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spacing w:line="360" w:lineRule="auto"/>
        <w:ind w:left="0" w:firstLine="0" w:firstLineChars="0"/>
        <w:jc w:val="center"/>
        <w:textAlignment w:val="auto"/>
        <w:rPr>
          <w:rFonts w:hint="eastAsia" w:ascii="宋体" w:hAnsi="宋体" w:eastAsia="宋体" w:cs="宋体"/>
          <w:b/>
          <w:color w:val="000000" w:themeColor="text1"/>
          <w:w w:val="99"/>
          <w:kern w:val="0"/>
          <w:sz w:val="36"/>
          <w:szCs w:val="36"/>
          <w14:textFill>
            <w14:solidFill>
              <w14:schemeClr w14:val="tx1"/>
            </w14:solidFill>
          </w14:textFill>
        </w:rPr>
      </w:pPr>
      <w:r>
        <w:rPr>
          <w:rFonts w:hint="eastAsia" w:ascii="宋体" w:hAnsi="宋体" w:eastAsia="宋体" w:cs="宋体"/>
          <w:b/>
          <w:color w:val="000000" w:themeColor="text1"/>
          <w:w w:val="99"/>
          <w:kern w:val="0"/>
          <w:sz w:val="36"/>
          <w:szCs w:val="36"/>
          <w14:textFill>
            <w14:solidFill>
              <w14:schemeClr w14:val="tx1"/>
            </w14:solidFill>
          </w14:textFill>
        </w:rPr>
        <w:t>项目名称：重庆三峡银行不动产线上评估服务项目</w:t>
      </w:r>
    </w:p>
    <w:p>
      <w:pPr>
        <w:keepNext w:val="0"/>
        <w:keepLines w:val="0"/>
        <w:pageBreakBefore w:val="0"/>
        <w:widowControl w:val="0"/>
        <w:kinsoku/>
        <w:wordWrap/>
        <w:overflowPunct/>
        <w:topLinePunct w:val="0"/>
        <w:autoSpaceDE w:val="0"/>
        <w:autoSpaceDN w:val="0"/>
        <w:bidi w:val="0"/>
        <w:spacing w:line="360" w:lineRule="auto"/>
        <w:ind w:left="0" w:firstLine="0" w:firstLineChars="0"/>
        <w:jc w:val="left"/>
        <w:textAlignment w:val="auto"/>
        <w:rPr>
          <w:rFonts w:hint="eastAsia" w:ascii="宋体" w:hAnsi="宋体" w:eastAsia="宋体" w:cs="宋体"/>
          <w:snapToGrid w:val="0"/>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val="0"/>
        <w:autoSpaceDN w:val="0"/>
        <w:bidi w:val="0"/>
        <w:spacing w:line="360" w:lineRule="auto"/>
        <w:ind w:left="0" w:firstLine="0" w:firstLineChars="0"/>
        <w:jc w:val="left"/>
        <w:textAlignment w:val="auto"/>
        <w:rPr>
          <w:rFonts w:hint="eastAsia" w:ascii="宋体" w:hAnsi="宋体" w:eastAsia="宋体" w:cs="宋体"/>
          <w:snapToGrid w:val="0"/>
          <w:color w:val="000000" w:themeColor="text1"/>
          <w:kern w:val="0"/>
          <w:sz w:val="24"/>
          <w:szCs w:val="24"/>
          <w14:textFill>
            <w14:solidFill>
              <w14:schemeClr w14:val="tx1"/>
            </w14:solidFill>
          </w14:textFill>
        </w:rPr>
      </w:pPr>
    </w:p>
    <w:p>
      <w:pPr>
        <w:pStyle w:val="5"/>
        <w:keepNext w:val="0"/>
        <w:keepLines w:val="0"/>
        <w:pageBreakBefore w:val="0"/>
        <w:widowControl w:val="0"/>
        <w:tabs>
          <w:tab w:val="left" w:pos="1418"/>
        </w:tabs>
        <w:kinsoku/>
        <w:wordWrap/>
        <w:overflowPunct/>
        <w:topLinePunct w:val="0"/>
        <w:bidi w:val="0"/>
        <w:spacing w:line="360" w:lineRule="auto"/>
        <w:ind w:left="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bidi w:val="0"/>
        <w:spacing w:line="360" w:lineRule="auto"/>
        <w:ind w:left="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val="0"/>
        <w:autoSpaceDN w:val="0"/>
        <w:bidi w:val="0"/>
        <w:spacing w:line="360" w:lineRule="auto"/>
        <w:ind w:left="0" w:firstLine="0" w:firstLineChars="0"/>
        <w:jc w:val="left"/>
        <w:textAlignment w:val="auto"/>
        <w:rPr>
          <w:rFonts w:hint="eastAsia" w:ascii="宋体" w:hAnsi="宋体" w:eastAsia="宋体" w:cs="宋体"/>
          <w:snapToGrid w:val="0"/>
          <w:color w:val="000000" w:themeColor="text1"/>
          <w:kern w:val="0"/>
          <w:sz w:val="24"/>
          <w:szCs w:val="24"/>
          <w14:textFill>
            <w14:solidFill>
              <w14:schemeClr w14:val="tx1"/>
            </w14:solidFill>
          </w14:textFill>
        </w:rPr>
      </w:pPr>
    </w:p>
    <w:p>
      <w:pPr>
        <w:pStyle w:val="2"/>
        <w:rPr>
          <w:rFonts w:hint="eastAsia" w:ascii="宋体" w:hAnsi="宋体" w:eastAsia="宋体" w:cs="宋体"/>
          <w:snapToGrid w:val="0"/>
          <w:color w:val="000000" w:themeColor="text1"/>
          <w:kern w:val="0"/>
          <w:sz w:val="24"/>
          <w:szCs w:val="24"/>
          <w14:textFill>
            <w14:solidFill>
              <w14:schemeClr w14:val="tx1"/>
            </w14:solidFill>
          </w14:textFill>
        </w:rPr>
      </w:pPr>
    </w:p>
    <w:p>
      <w:pPr>
        <w:rPr>
          <w:rFonts w:hint="eastAsia"/>
        </w:rPr>
      </w:pPr>
    </w:p>
    <w:p>
      <w:pPr>
        <w:keepNext w:val="0"/>
        <w:keepLines w:val="0"/>
        <w:pageBreakBefore w:val="0"/>
        <w:widowControl w:val="0"/>
        <w:kinsoku/>
        <w:wordWrap/>
        <w:overflowPunct/>
        <w:topLinePunct w:val="0"/>
        <w:autoSpaceDE w:val="0"/>
        <w:autoSpaceDN w:val="0"/>
        <w:bidi w:val="0"/>
        <w:spacing w:line="360" w:lineRule="auto"/>
        <w:ind w:left="0" w:firstLine="0" w:firstLineChars="0"/>
        <w:jc w:val="left"/>
        <w:textAlignment w:val="auto"/>
        <w:rPr>
          <w:rFonts w:hint="eastAsia" w:ascii="宋体" w:hAnsi="宋体" w:eastAsia="宋体" w:cs="宋体"/>
          <w:snapToGrid w:val="0"/>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0" w:firstLineChars="0"/>
        <w:jc w:val="center"/>
        <w:textAlignment w:val="auto"/>
        <w:rPr>
          <w:rFonts w:hint="eastAsia" w:ascii="宋体" w:hAnsi="宋体" w:eastAsia="宋体" w:cs="宋体"/>
          <w:b/>
          <w:color w:val="000000" w:themeColor="text1"/>
          <w:kern w:val="0"/>
          <w:sz w:val="84"/>
          <w:szCs w:val="44"/>
          <w14:textFill>
            <w14:solidFill>
              <w14:schemeClr w14:val="tx1"/>
            </w14:solidFill>
          </w14:textFill>
        </w:rPr>
      </w:pPr>
      <w:r>
        <w:rPr>
          <w:rFonts w:hint="eastAsia" w:ascii="宋体" w:hAnsi="宋体" w:eastAsia="宋体" w:cs="宋体"/>
          <w:b/>
          <w:color w:val="000000" w:themeColor="text1"/>
          <w:kern w:val="0"/>
          <w:sz w:val="84"/>
          <w:szCs w:val="44"/>
          <w14:textFill>
            <w14:solidFill>
              <w14:schemeClr w14:val="tx1"/>
            </w14:solidFill>
          </w14:textFill>
        </w:rPr>
        <w:t>比　选　文　件</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0" w:firstLineChars="0"/>
        <w:jc w:val="left"/>
        <w:textAlignment w:val="auto"/>
        <w:rPr>
          <w:rFonts w:hint="eastAsia" w:ascii="宋体" w:hAnsi="宋体" w:eastAsia="宋体" w:cs="宋体"/>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0" w:firstLineChars="0"/>
        <w:jc w:val="left"/>
        <w:textAlignment w:val="auto"/>
        <w:rPr>
          <w:rFonts w:hint="eastAsia" w:ascii="宋体" w:hAnsi="宋体" w:eastAsia="宋体" w:cs="宋体"/>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0" w:firstLineChars="0"/>
        <w:jc w:val="left"/>
        <w:textAlignment w:val="auto"/>
        <w:rPr>
          <w:rFonts w:hint="eastAsia" w:ascii="宋体" w:hAnsi="宋体" w:eastAsia="宋体" w:cs="宋体"/>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0" w:firstLineChars="0"/>
        <w:jc w:val="left"/>
        <w:textAlignment w:val="auto"/>
        <w:rPr>
          <w:rFonts w:hint="eastAsia" w:ascii="宋体" w:hAnsi="宋体" w:eastAsia="宋体" w:cs="宋体"/>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0" w:firstLineChars="0"/>
        <w:jc w:val="left"/>
        <w:textAlignment w:val="auto"/>
        <w:rPr>
          <w:rFonts w:hint="eastAsia" w:ascii="宋体" w:hAnsi="宋体" w:eastAsia="宋体" w:cs="宋体"/>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0" w:firstLineChars="0"/>
        <w:jc w:val="left"/>
        <w:textAlignment w:val="auto"/>
        <w:rPr>
          <w:rFonts w:hint="eastAsia" w:ascii="宋体" w:hAnsi="宋体" w:eastAsia="宋体" w:cs="宋体"/>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p>
    <w:p>
      <w:pPr>
        <w:keepNext w:val="0"/>
        <w:keepLines w:val="0"/>
        <w:pageBreakBefore w:val="0"/>
        <w:widowControl w:val="0"/>
        <w:tabs>
          <w:tab w:val="left" w:pos="6252"/>
        </w:tabs>
        <w:kinsoku/>
        <w:wordWrap/>
        <w:overflowPunct/>
        <w:topLinePunct w:val="0"/>
        <w:autoSpaceDE w:val="0"/>
        <w:autoSpaceDN w:val="0"/>
        <w:bidi w:val="0"/>
        <w:adjustRightInd w:val="0"/>
        <w:snapToGrid w:val="0"/>
        <w:spacing w:line="360" w:lineRule="auto"/>
        <w:ind w:left="0" w:firstLine="0" w:firstLineChars="0"/>
        <w:jc w:val="left"/>
        <w:textAlignment w:val="auto"/>
        <w:rPr>
          <w:rFonts w:hint="eastAsia" w:ascii="宋体" w:hAnsi="宋体" w:eastAsia="宋体" w:cs="宋体"/>
          <w:b/>
          <w:color w:val="000000" w:themeColor="text1"/>
          <w:w w:val="99"/>
          <w:kern w:val="0"/>
          <w:sz w:val="24"/>
          <w:szCs w:val="24"/>
          <w14:textFill>
            <w14:solidFill>
              <w14:schemeClr w14:val="tx1"/>
            </w14:solidFill>
          </w14:textFill>
        </w:rPr>
      </w:pPr>
    </w:p>
    <w:p>
      <w:pPr>
        <w:keepNext w:val="0"/>
        <w:keepLines w:val="0"/>
        <w:pageBreakBefore w:val="0"/>
        <w:widowControl w:val="0"/>
        <w:tabs>
          <w:tab w:val="left" w:pos="6252"/>
        </w:tabs>
        <w:kinsoku/>
        <w:wordWrap/>
        <w:overflowPunct/>
        <w:topLinePunct w:val="0"/>
        <w:autoSpaceDE w:val="0"/>
        <w:autoSpaceDN w:val="0"/>
        <w:bidi w:val="0"/>
        <w:adjustRightInd w:val="0"/>
        <w:snapToGrid w:val="0"/>
        <w:spacing w:line="360" w:lineRule="auto"/>
        <w:ind w:left="0" w:firstLine="0" w:firstLineChars="0"/>
        <w:jc w:val="left"/>
        <w:textAlignment w:val="auto"/>
        <w:rPr>
          <w:rFonts w:hint="eastAsia" w:ascii="宋体" w:hAnsi="宋体" w:eastAsia="宋体" w:cs="宋体"/>
          <w:b/>
          <w:color w:val="000000" w:themeColor="text1"/>
          <w:kern w:val="0"/>
          <w:sz w:val="32"/>
          <w:szCs w:val="32"/>
          <w14:textFill>
            <w14:solidFill>
              <w14:schemeClr w14:val="tx1"/>
            </w14:solidFill>
          </w14:textFill>
        </w:rPr>
      </w:pPr>
      <w:r>
        <w:rPr>
          <w:rFonts w:hint="eastAsia" w:ascii="宋体" w:hAnsi="宋体" w:eastAsia="宋体" w:cs="宋体"/>
          <w:b/>
          <w:color w:val="000000" w:themeColor="text1"/>
          <w:spacing w:val="235"/>
          <w:kern w:val="0"/>
          <w:sz w:val="32"/>
          <w:szCs w:val="32"/>
          <w:fitText w:val="1901" w:id="1270830609"/>
          <w14:textFill>
            <w14:solidFill>
              <w14:schemeClr w14:val="tx1"/>
            </w14:solidFill>
          </w14:textFill>
        </w:rPr>
        <w:t>比选</w:t>
      </w:r>
      <w:r>
        <w:rPr>
          <w:rFonts w:hint="eastAsia" w:ascii="宋体" w:hAnsi="宋体" w:eastAsia="宋体" w:cs="宋体"/>
          <w:b/>
          <w:color w:val="000000" w:themeColor="text1"/>
          <w:spacing w:val="0"/>
          <w:kern w:val="0"/>
          <w:sz w:val="32"/>
          <w:szCs w:val="32"/>
          <w:fitText w:val="1901" w:id="1270830609"/>
          <w14:textFill>
            <w14:solidFill>
              <w14:schemeClr w14:val="tx1"/>
            </w14:solidFill>
          </w14:textFill>
        </w:rPr>
        <w:t>人</w:t>
      </w:r>
      <w:r>
        <w:rPr>
          <w:rFonts w:hint="eastAsia" w:ascii="宋体" w:hAnsi="宋体" w:eastAsia="宋体" w:cs="宋体"/>
          <w:b/>
          <w:color w:val="000000" w:themeColor="text1"/>
          <w:spacing w:val="8"/>
          <w:kern w:val="0"/>
          <w:sz w:val="32"/>
          <w:szCs w:val="32"/>
          <w14:textFill>
            <w14:solidFill>
              <w14:schemeClr w14:val="tx1"/>
            </w14:solidFill>
          </w14:textFill>
        </w:rPr>
        <w:t>：</w:t>
      </w:r>
      <w:r>
        <w:rPr>
          <w:rFonts w:hint="eastAsia" w:ascii="宋体" w:hAnsi="宋体" w:eastAsia="宋体" w:cs="宋体"/>
          <w:b/>
          <w:color w:val="000000" w:themeColor="text1"/>
          <w:spacing w:val="8"/>
          <w:kern w:val="0"/>
          <w:sz w:val="32"/>
          <w:szCs w:val="32"/>
          <w:u w:val="single"/>
          <w14:textFill>
            <w14:solidFill>
              <w14:schemeClr w14:val="tx1"/>
            </w14:solidFill>
          </w14:textFill>
        </w:rPr>
        <w:t>重庆三峡银行股份有限公司</w:t>
      </w:r>
      <w:r>
        <w:rPr>
          <w:rFonts w:hint="eastAsia" w:ascii="宋体" w:hAnsi="宋体" w:eastAsia="宋体" w:cs="宋体"/>
          <w:b/>
          <w:color w:val="000000" w:themeColor="text1"/>
          <w:kern w:val="0"/>
          <w:sz w:val="32"/>
          <w:szCs w:val="32"/>
          <w14:textFill>
            <w14:solidFill>
              <w14:schemeClr w14:val="tx1"/>
            </w14:solidFill>
          </w14:textFill>
        </w:rPr>
        <w:t>（盖单位章）</w:t>
      </w:r>
    </w:p>
    <w:p>
      <w:pPr>
        <w:keepNext w:val="0"/>
        <w:keepLines w:val="0"/>
        <w:pageBreakBefore w:val="0"/>
        <w:widowControl w:val="0"/>
        <w:kinsoku/>
        <w:wordWrap/>
        <w:overflowPunct/>
        <w:topLinePunct w:val="0"/>
        <w:bidi w:val="0"/>
        <w:spacing w:line="360" w:lineRule="auto"/>
        <w:ind w:left="0" w:firstLine="0" w:firstLineChars="0"/>
        <w:jc w:val="center"/>
        <w:textAlignment w:val="auto"/>
        <w:rPr>
          <w:rFonts w:hint="eastAsia" w:ascii="宋体" w:hAnsi="宋体" w:eastAsia="宋体" w:cs="宋体"/>
          <w:b/>
          <w:color w:val="000000" w:themeColor="text1"/>
          <w:w w:val="99"/>
          <w:kern w:val="0"/>
          <w:sz w:val="32"/>
          <w:szCs w:val="32"/>
          <w14:textFill>
            <w14:solidFill>
              <w14:schemeClr w14:val="tx1"/>
            </w14:solidFill>
          </w14:textFill>
        </w:rPr>
      </w:pPr>
    </w:p>
    <w:p>
      <w:pPr>
        <w:keepNext w:val="0"/>
        <w:keepLines w:val="0"/>
        <w:pageBreakBefore w:val="0"/>
        <w:widowControl w:val="0"/>
        <w:kinsoku/>
        <w:wordWrap/>
        <w:overflowPunct/>
        <w:topLinePunct w:val="0"/>
        <w:bidi w:val="0"/>
        <w:spacing w:line="360" w:lineRule="auto"/>
        <w:ind w:left="0" w:firstLine="0" w:firstLineChars="0"/>
        <w:jc w:val="center"/>
        <w:textAlignment w:val="auto"/>
        <w:rPr>
          <w:rFonts w:hint="eastAsia" w:ascii="宋体" w:hAnsi="宋体" w:eastAsia="宋体" w:cs="宋体"/>
          <w:b/>
          <w:color w:val="000000" w:themeColor="text1"/>
          <w:w w:val="99"/>
          <w:kern w:val="0"/>
          <w:sz w:val="32"/>
          <w:szCs w:val="32"/>
          <w14:textFill>
            <w14:solidFill>
              <w14:schemeClr w14:val="tx1"/>
            </w14:solidFill>
          </w14:textFill>
        </w:rPr>
      </w:pPr>
    </w:p>
    <w:p>
      <w:pPr>
        <w:keepNext w:val="0"/>
        <w:keepLines w:val="0"/>
        <w:pageBreakBefore w:val="0"/>
        <w:widowControl w:val="0"/>
        <w:kinsoku/>
        <w:wordWrap/>
        <w:overflowPunct/>
        <w:topLinePunct w:val="0"/>
        <w:bidi w:val="0"/>
        <w:spacing w:line="360" w:lineRule="auto"/>
        <w:ind w:left="0" w:firstLine="0" w:firstLineChars="0"/>
        <w:jc w:val="center"/>
        <w:textAlignment w:val="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w w:val="99"/>
          <w:kern w:val="0"/>
          <w:sz w:val="32"/>
          <w:szCs w:val="32"/>
          <w14:textFill>
            <w14:solidFill>
              <w14:schemeClr w14:val="tx1"/>
            </w14:solidFill>
          </w14:textFill>
        </w:rPr>
        <w:t>二○</w:t>
      </w:r>
      <w:r>
        <w:rPr>
          <w:rFonts w:hint="eastAsia" w:ascii="宋体" w:hAnsi="宋体" w:eastAsia="宋体" w:cs="宋体"/>
          <w:b/>
          <w:color w:val="000000" w:themeColor="text1"/>
          <w:kern w:val="0"/>
          <w:sz w:val="32"/>
          <w:szCs w:val="32"/>
          <w14:textFill>
            <w14:solidFill>
              <w14:schemeClr w14:val="tx1"/>
            </w14:solidFill>
          </w14:textFill>
        </w:rPr>
        <w:t>二</w:t>
      </w:r>
      <w:r>
        <w:rPr>
          <w:rFonts w:hint="eastAsia" w:ascii="宋体" w:hAnsi="宋体" w:eastAsia="宋体" w:cs="宋体"/>
          <w:b/>
          <w:color w:val="000000" w:themeColor="text1"/>
          <w:w w:val="99"/>
          <w:kern w:val="0"/>
          <w:sz w:val="32"/>
          <w:szCs w:val="32"/>
          <w14:textFill>
            <w14:solidFill>
              <w14:schemeClr w14:val="tx1"/>
            </w14:solidFill>
          </w14:textFill>
        </w:rPr>
        <w:t>三年十一月</w:t>
      </w:r>
    </w:p>
    <w:p>
      <w:pPr>
        <w:keepNext w:val="0"/>
        <w:keepLines w:val="0"/>
        <w:pageBreakBefore w:val="0"/>
        <w:widowControl w:val="0"/>
        <w:kinsoku/>
        <w:wordWrap/>
        <w:overflowPunct/>
        <w:topLinePunct w:val="0"/>
        <w:bidi w:val="0"/>
        <w:snapToGrid w:val="0"/>
        <w:spacing w:line="360" w:lineRule="auto"/>
        <w:ind w:left="0" w:firstLine="0" w:firstLineChars="0"/>
        <w:jc w:val="center"/>
        <w:textAlignment w:val="auto"/>
        <w:rPr>
          <w:rFonts w:ascii="宋体"/>
          <w:b/>
          <w:snapToGrid w:val="0"/>
          <w:color w:val="000000" w:themeColor="text1"/>
          <w:kern w:val="0"/>
          <w:sz w:val="44"/>
          <w:szCs w:val="4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br w:type="page"/>
      </w:r>
      <w:r>
        <w:rPr>
          <w:rFonts w:hint="eastAsia" w:ascii="宋体"/>
          <w:b/>
          <w:snapToGrid w:val="0"/>
          <w:color w:val="000000" w:themeColor="text1"/>
          <w:kern w:val="0"/>
          <w:sz w:val="44"/>
          <w:szCs w:val="44"/>
          <w14:textFill>
            <w14:solidFill>
              <w14:schemeClr w14:val="tx1"/>
            </w14:solidFill>
          </w14:textFill>
        </w:rPr>
        <w:t>目录</w:t>
      </w:r>
    </w:p>
    <w:p>
      <w:pPr>
        <w:pStyle w:val="15"/>
        <w:tabs>
          <w:tab w:val="right" w:leader="dot" w:pos="8960"/>
          <w:tab w:val="clear" w:pos="1260"/>
          <w:tab w:val="clear" w:pos="1685"/>
          <w:tab w:val="clear" w:pos="8400"/>
        </w:tabs>
      </w:pPr>
      <w:r>
        <w:rPr>
          <w:rFonts w:ascii="宋体"/>
          <w:snapToGrid w:val="0"/>
          <w:color w:val="000000" w:themeColor="text1"/>
          <w:kern w:val="0"/>
          <w:sz w:val="24"/>
          <w:szCs w:val="24"/>
          <w14:textFill>
            <w14:solidFill>
              <w14:schemeClr w14:val="tx1"/>
            </w14:solidFill>
          </w14:textFill>
        </w:rPr>
        <w:fldChar w:fldCharType="begin"/>
      </w:r>
      <w:r>
        <w:rPr>
          <w:rFonts w:hint="eastAsia" w:ascii="宋体"/>
          <w:snapToGrid w:val="0"/>
          <w:color w:val="000000" w:themeColor="text1"/>
          <w:kern w:val="0"/>
          <w:sz w:val="24"/>
          <w:szCs w:val="24"/>
          <w14:textFill>
            <w14:solidFill>
              <w14:schemeClr w14:val="tx1"/>
            </w14:solidFill>
          </w14:textFill>
        </w:rPr>
        <w:instrText xml:space="preserve">TOC \o "1-1" \h \z \u</w:instrText>
      </w:r>
      <w:r>
        <w:rPr>
          <w:rFonts w:ascii="宋体"/>
          <w:snapToGrid w:val="0"/>
          <w:color w:val="000000" w:themeColor="text1"/>
          <w:kern w:val="0"/>
          <w:sz w:val="24"/>
          <w:szCs w:val="24"/>
          <w14:textFill>
            <w14:solidFill>
              <w14:schemeClr w14:val="tx1"/>
            </w14:solidFill>
          </w14:textFill>
        </w:rPr>
        <w:fldChar w:fldCharType="separate"/>
      </w:r>
      <w:r>
        <w:rPr>
          <w:rFonts w:ascii="宋体"/>
          <w:snapToGrid w:val="0"/>
          <w:color w:val="000000" w:themeColor="text1"/>
          <w:kern w:val="0"/>
          <w:szCs w:val="24"/>
          <w14:textFill>
            <w14:solidFill>
              <w14:schemeClr w14:val="tx1"/>
            </w14:solidFill>
          </w14:textFill>
        </w:rPr>
        <w:fldChar w:fldCharType="begin"/>
      </w:r>
      <w:r>
        <w:rPr>
          <w:rFonts w:ascii="宋体"/>
          <w:snapToGrid w:val="0"/>
          <w:kern w:val="0"/>
          <w:szCs w:val="24"/>
        </w:rPr>
        <w:instrText xml:space="preserve"> HYPERLINK \l _Toc32004 </w:instrText>
      </w:r>
      <w:r>
        <w:rPr>
          <w:rFonts w:ascii="宋体"/>
          <w:snapToGrid w:val="0"/>
          <w:kern w:val="0"/>
          <w:szCs w:val="24"/>
        </w:rPr>
        <w:fldChar w:fldCharType="separate"/>
      </w:r>
      <w:r>
        <w:rPr>
          <w:rFonts w:hint="eastAsia"/>
        </w:rPr>
        <w:t>第一章 比选公告</w:t>
      </w:r>
      <w:r>
        <w:tab/>
      </w:r>
      <w:r>
        <w:fldChar w:fldCharType="begin"/>
      </w:r>
      <w:r>
        <w:instrText xml:space="preserve"> PAGEREF _Toc32004 \h </w:instrText>
      </w:r>
      <w:r>
        <w:fldChar w:fldCharType="separate"/>
      </w:r>
      <w:r>
        <w:t>3</w:t>
      </w:r>
      <w:r>
        <w:fldChar w:fldCharType="end"/>
      </w:r>
      <w:r>
        <w:rPr>
          <w:rFonts w:ascii="宋体"/>
          <w:snapToGrid w:val="0"/>
          <w:color w:val="000000" w:themeColor="text1"/>
          <w:kern w:val="0"/>
          <w:szCs w:val="24"/>
          <w14:textFill>
            <w14:solidFill>
              <w14:schemeClr w14:val="tx1"/>
            </w14:solidFill>
          </w14:textFill>
        </w:rPr>
        <w:fldChar w:fldCharType="end"/>
      </w:r>
    </w:p>
    <w:p>
      <w:pPr>
        <w:pStyle w:val="15"/>
        <w:tabs>
          <w:tab w:val="right" w:leader="dot" w:pos="8960"/>
          <w:tab w:val="clear" w:pos="1260"/>
          <w:tab w:val="clear" w:pos="1685"/>
          <w:tab w:val="clear" w:pos="8400"/>
        </w:tabs>
      </w:pPr>
      <w:r>
        <w:rPr>
          <w:rFonts w:ascii="宋体"/>
          <w:snapToGrid w:val="0"/>
          <w:color w:val="000000" w:themeColor="text1"/>
          <w:kern w:val="0"/>
          <w:szCs w:val="24"/>
          <w14:textFill>
            <w14:solidFill>
              <w14:schemeClr w14:val="tx1"/>
            </w14:solidFill>
          </w14:textFill>
        </w:rPr>
        <w:fldChar w:fldCharType="begin"/>
      </w:r>
      <w:r>
        <w:rPr>
          <w:rFonts w:ascii="宋体"/>
          <w:snapToGrid w:val="0"/>
          <w:kern w:val="0"/>
          <w:szCs w:val="24"/>
        </w:rPr>
        <w:instrText xml:space="preserve"> HYPERLINK \l _Toc7794 </w:instrText>
      </w:r>
      <w:r>
        <w:rPr>
          <w:rFonts w:ascii="宋体"/>
          <w:snapToGrid w:val="0"/>
          <w:kern w:val="0"/>
          <w:szCs w:val="24"/>
        </w:rPr>
        <w:fldChar w:fldCharType="separate"/>
      </w:r>
      <w:r>
        <w:rPr>
          <w:rFonts w:hint="eastAsia"/>
        </w:rPr>
        <w:t>第二章 项目介绍</w:t>
      </w:r>
      <w:r>
        <w:tab/>
      </w:r>
      <w:r>
        <w:fldChar w:fldCharType="begin"/>
      </w:r>
      <w:r>
        <w:instrText xml:space="preserve"> PAGEREF _Toc7794 \h </w:instrText>
      </w:r>
      <w:r>
        <w:fldChar w:fldCharType="separate"/>
      </w:r>
      <w:r>
        <w:t>6</w:t>
      </w:r>
      <w:r>
        <w:fldChar w:fldCharType="end"/>
      </w:r>
      <w:r>
        <w:rPr>
          <w:rFonts w:ascii="宋体"/>
          <w:snapToGrid w:val="0"/>
          <w:color w:val="000000" w:themeColor="text1"/>
          <w:kern w:val="0"/>
          <w:szCs w:val="24"/>
          <w14:textFill>
            <w14:solidFill>
              <w14:schemeClr w14:val="tx1"/>
            </w14:solidFill>
          </w14:textFill>
        </w:rPr>
        <w:fldChar w:fldCharType="end"/>
      </w:r>
    </w:p>
    <w:p>
      <w:pPr>
        <w:pStyle w:val="15"/>
        <w:tabs>
          <w:tab w:val="right" w:leader="dot" w:pos="8960"/>
          <w:tab w:val="clear" w:pos="1260"/>
          <w:tab w:val="clear" w:pos="1685"/>
          <w:tab w:val="clear" w:pos="8400"/>
        </w:tabs>
      </w:pPr>
      <w:r>
        <w:rPr>
          <w:rFonts w:ascii="宋体"/>
          <w:snapToGrid w:val="0"/>
          <w:color w:val="000000" w:themeColor="text1"/>
          <w:kern w:val="0"/>
          <w:szCs w:val="24"/>
          <w14:textFill>
            <w14:solidFill>
              <w14:schemeClr w14:val="tx1"/>
            </w14:solidFill>
          </w14:textFill>
        </w:rPr>
        <w:fldChar w:fldCharType="begin"/>
      </w:r>
      <w:r>
        <w:rPr>
          <w:rFonts w:ascii="宋体"/>
          <w:snapToGrid w:val="0"/>
          <w:kern w:val="0"/>
          <w:szCs w:val="24"/>
        </w:rPr>
        <w:instrText xml:space="preserve"> HYPERLINK \l _Toc6724 </w:instrText>
      </w:r>
      <w:r>
        <w:rPr>
          <w:rFonts w:ascii="宋体"/>
          <w:snapToGrid w:val="0"/>
          <w:kern w:val="0"/>
          <w:szCs w:val="24"/>
        </w:rPr>
        <w:fldChar w:fldCharType="separate"/>
      </w:r>
      <w:r>
        <w:rPr>
          <w:rFonts w:hint="eastAsia"/>
        </w:rPr>
        <w:t>第三章 商务与技术条款</w:t>
      </w:r>
      <w:r>
        <w:tab/>
      </w:r>
      <w:r>
        <w:fldChar w:fldCharType="begin"/>
      </w:r>
      <w:r>
        <w:instrText xml:space="preserve"> PAGEREF _Toc6724 \h </w:instrText>
      </w:r>
      <w:r>
        <w:fldChar w:fldCharType="separate"/>
      </w:r>
      <w:r>
        <w:t>8</w:t>
      </w:r>
      <w:r>
        <w:fldChar w:fldCharType="end"/>
      </w:r>
      <w:r>
        <w:rPr>
          <w:rFonts w:ascii="宋体"/>
          <w:snapToGrid w:val="0"/>
          <w:color w:val="000000" w:themeColor="text1"/>
          <w:kern w:val="0"/>
          <w:szCs w:val="24"/>
          <w14:textFill>
            <w14:solidFill>
              <w14:schemeClr w14:val="tx1"/>
            </w14:solidFill>
          </w14:textFill>
        </w:rPr>
        <w:fldChar w:fldCharType="end"/>
      </w:r>
    </w:p>
    <w:p>
      <w:pPr>
        <w:pStyle w:val="15"/>
        <w:tabs>
          <w:tab w:val="right" w:leader="dot" w:pos="8960"/>
          <w:tab w:val="clear" w:pos="1260"/>
          <w:tab w:val="clear" w:pos="1685"/>
          <w:tab w:val="clear" w:pos="8400"/>
        </w:tabs>
      </w:pPr>
      <w:r>
        <w:rPr>
          <w:rFonts w:ascii="宋体"/>
          <w:snapToGrid w:val="0"/>
          <w:color w:val="000000" w:themeColor="text1"/>
          <w:kern w:val="0"/>
          <w:szCs w:val="24"/>
          <w14:textFill>
            <w14:solidFill>
              <w14:schemeClr w14:val="tx1"/>
            </w14:solidFill>
          </w14:textFill>
        </w:rPr>
        <w:fldChar w:fldCharType="begin"/>
      </w:r>
      <w:r>
        <w:rPr>
          <w:rFonts w:ascii="宋体"/>
          <w:snapToGrid w:val="0"/>
          <w:kern w:val="0"/>
          <w:szCs w:val="24"/>
        </w:rPr>
        <w:instrText xml:space="preserve"> HYPERLINK \l _Toc29508 </w:instrText>
      </w:r>
      <w:r>
        <w:rPr>
          <w:rFonts w:ascii="宋体"/>
          <w:snapToGrid w:val="0"/>
          <w:kern w:val="0"/>
          <w:szCs w:val="24"/>
        </w:rPr>
        <w:fldChar w:fldCharType="separate"/>
      </w:r>
      <w:r>
        <w:rPr>
          <w:rFonts w:hint="eastAsia"/>
        </w:rPr>
        <w:t>第四章</w:t>
      </w:r>
      <w:r>
        <w:t xml:space="preserve"> </w:t>
      </w:r>
      <w:r>
        <w:rPr>
          <w:rFonts w:hint="eastAsia"/>
        </w:rPr>
        <w:t>评审方法、评审标准和参选无效条款</w:t>
      </w:r>
      <w:r>
        <w:tab/>
      </w:r>
      <w:r>
        <w:fldChar w:fldCharType="begin"/>
      </w:r>
      <w:r>
        <w:instrText xml:space="preserve"> PAGEREF _Toc29508 \h </w:instrText>
      </w:r>
      <w:r>
        <w:fldChar w:fldCharType="separate"/>
      </w:r>
      <w:r>
        <w:t>12</w:t>
      </w:r>
      <w:r>
        <w:fldChar w:fldCharType="end"/>
      </w:r>
      <w:r>
        <w:rPr>
          <w:rFonts w:ascii="宋体"/>
          <w:snapToGrid w:val="0"/>
          <w:color w:val="000000" w:themeColor="text1"/>
          <w:kern w:val="0"/>
          <w:szCs w:val="24"/>
          <w14:textFill>
            <w14:solidFill>
              <w14:schemeClr w14:val="tx1"/>
            </w14:solidFill>
          </w14:textFill>
        </w:rPr>
        <w:fldChar w:fldCharType="end"/>
      </w:r>
    </w:p>
    <w:p>
      <w:pPr>
        <w:pStyle w:val="15"/>
        <w:tabs>
          <w:tab w:val="right" w:leader="dot" w:pos="8960"/>
          <w:tab w:val="clear" w:pos="1260"/>
          <w:tab w:val="clear" w:pos="1685"/>
          <w:tab w:val="clear" w:pos="8400"/>
        </w:tabs>
      </w:pPr>
      <w:r>
        <w:rPr>
          <w:rFonts w:ascii="宋体"/>
          <w:snapToGrid w:val="0"/>
          <w:color w:val="000000" w:themeColor="text1"/>
          <w:kern w:val="0"/>
          <w:szCs w:val="24"/>
          <w14:textFill>
            <w14:solidFill>
              <w14:schemeClr w14:val="tx1"/>
            </w14:solidFill>
          </w14:textFill>
        </w:rPr>
        <w:fldChar w:fldCharType="begin"/>
      </w:r>
      <w:r>
        <w:rPr>
          <w:rFonts w:ascii="宋体"/>
          <w:snapToGrid w:val="0"/>
          <w:kern w:val="0"/>
          <w:szCs w:val="24"/>
        </w:rPr>
        <w:instrText xml:space="preserve"> HYPERLINK \l _Toc27709 </w:instrText>
      </w:r>
      <w:r>
        <w:rPr>
          <w:rFonts w:ascii="宋体"/>
          <w:snapToGrid w:val="0"/>
          <w:kern w:val="0"/>
          <w:szCs w:val="24"/>
        </w:rPr>
        <w:fldChar w:fldCharType="separate"/>
      </w:r>
      <w:r>
        <w:rPr>
          <w:rFonts w:hint="eastAsia"/>
        </w:rPr>
        <w:t>第五章 合同模版</w:t>
      </w:r>
      <w:r>
        <w:tab/>
      </w:r>
      <w:r>
        <w:fldChar w:fldCharType="begin"/>
      </w:r>
      <w:r>
        <w:instrText xml:space="preserve"> PAGEREF _Toc27709 \h </w:instrText>
      </w:r>
      <w:r>
        <w:fldChar w:fldCharType="separate"/>
      </w:r>
      <w:r>
        <w:t>19</w:t>
      </w:r>
      <w:r>
        <w:fldChar w:fldCharType="end"/>
      </w:r>
      <w:r>
        <w:rPr>
          <w:rFonts w:ascii="宋体"/>
          <w:snapToGrid w:val="0"/>
          <w:color w:val="000000" w:themeColor="text1"/>
          <w:kern w:val="0"/>
          <w:szCs w:val="24"/>
          <w14:textFill>
            <w14:solidFill>
              <w14:schemeClr w14:val="tx1"/>
            </w14:solidFill>
          </w14:textFill>
        </w:rPr>
        <w:fldChar w:fldCharType="end"/>
      </w:r>
    </w:p>
    <w:p>
      <w:pPr>
        <w:pStyle w:val="15"/>
        <w:tabs>
          <w:tab w:val="right" w:leader="dot" w:pos="8960"/>
          <w:tab w:val="clear" w:pos="1260"/>
          <w:tab w:val="clear" w:pos="1685"/>
          <w:tab w:val="clear" w:pos="8400"/>
        </w:tabs>
      </w:pPr>
      <w:r>
        <w:rPr>
          <w:rFonts w:ascii="宋体"/>
          <w:snapToGrid w:val="0"/>
          <w:color w:val="000000" w:themeColor="text1"/>
          <w:kern w:val="0"/>
          <w:szCs w:val="24"/>
          <w14:textFill>
            <w14:solidFill>
              <w14:schemeClr w14:val="tx1"/>
            </w14:solidFill>
          </w14:textFill>
        </w:rPr>
        <w:fldChar w:fldCharType="begin"/>
      </w:r>
      <w:r>
        <w:rPr>
          <w:rFonts w:ascii="宋体"/>
          <w:snapToGrid w:val="0"/>
          <w:kern w:val="0"/>
          <w:szCs w:val="24"/>
        </w:rPr>
        <w:instrText xml:space="preserve"> HYPERLINK \l _Toc2183 </w:instrText>
      </w:r>
      <w:r>
        <w:rPr>
          <w:rFonts w:ascii="宋体"/>
          <w:snapToGrid w:val="0"/>
          <w:kern w:val="0"/>
          <w:szCs w:val="24"/>
        </w:rPr>
        <w:fldChar w:fldCharType="separate"/>
      </w:r>
      <w:r>
        <w:rPr>
          <w:rFonts w:hint="eastAsia"/>
        </w:rPr>
        <w:t>第六章 参选人须知</w:t>
      </w:r>
      <w:r>
        <w:tab/>
      </w:r>
      <w:r>
        <w:fldChar w:fldCharType="begin"/>
      </w:r>
      <w:r>
        <w:instrText xml:space="preserve"> PAGEREF _Toc2183 \h </w:instrText>
      </w:r>
      <w:r>
        <w:fldChar w:fldCharType="separate"/>
      </w:r>
      <w:r>
        <w:t>31</w:t>
      </w:r>
      <w:r>
        <w:fldChar w:fldCharType="end"/>
      </w:r>
      <w:r>
        <w:rPr>
          <w:rFonts w:ascii="宋体"/>
          <w:snapToGrid w:val="0"/>
          <w:color w:val="000000" w:themeColor="text1"/>
          <w:kern w:val="0"/>
          <w:szCs w:val="24"/>
          <w14:textFill>
            <w14:solidFill>
              <w14:schemeClr w14:val="tx1"/>
            </w14:solidFill>
          </w14:textFill>
        </w:rPr>
        <w:fldChar w:fldCharType="end"/>
      </w:r>
    </w:p>
    <w:p>
      <w:pPr>
        <w:pStyle w:val="15"/>
        <w:tabs>
          <w:tab w:val="right" w:leader="dot" w:pos="8960"/>
          <w:tab w:val="clear" w:pos="1260"/>
          <w:tab w:val="clear" w:pos="1685"/>
          <w:tab w:val="clear" w:pos="8400"/>
        </w:tabs>
      </w:pPr>
      <w:r>
        <w:rPr>
          <w:rFonts w:ascii="宋体"/>
          <w:snapToGrid w:val="0"/>
          <w:color w:val="000000" w:themeColor="text1"/>
          <w:kern w:val="0"/>
          <w:szCs w:val="24"/>
          <w14:textFill>
            <w14:solidFill>
              <w14:schemeClr w14:val="tx1"/>
            </w14:solidFill>
          </w14:textFill>
        </w:rPr>
        <w:fldChar w:fldCharType="begin"/>
      </w:r>
      <w:r>
        <w:rPr>
          <w:rFonts w:ascii="宋体"/>
          <w:snapToGrid w:val="0"/>
          <w:kern w:val="0"/>
          <w:szCs w:val="24"/>
        </w:rPr>
        <w:instrText xml:space="preserve"> HYPERLINK \l _Toc18167 </w:instrText>
      </w:r>
      <w:r>
        <w:rPr>
          <w:rFonts w:ascii="宋体"/>
          <w:snapToGrid w:val="0"/>
          <w:kern w:val="0"/>
          <w:szCs w:val="24"/>
        </w:rPr>
        <w:fldChar w:fldCharType="separate"/>
      </w:r>
      <w:r>
        <w:rPr>
          <w:rFonts w:hint="eastAsia"/>
        </w:rPr>
        <w:t>第七章 参选文件格式</w:t>
      </w:r>
      <w:r>
        <w:tab/>
      </w:r>
      <w:r>
        <w:fldChar w:fldCharType="begin"/>
      </w:r>
      <w:r>
        <w:instrText xml:space="preserve"> PAGEREF _Toc18167 \h </w:instrText>
      </w:r>
      <w:r>
        <w:fldChar w:fldCharType="separate"/>
      </w:r>
      <w:r>
        <w:t>40</w:t>
      </w:r>
      <w:r>
        <w:fldChar w:fldCharType="end"/>
      </w:r>
      <w:r>
        <w:rPr>
          <w:rFonts w:ascii="宋体"/>
          <w:snapToGrid w:val="0"/>
          <w:color w:val="000000" w:themeColor="text1"/>
          <w:kern w:val="0"/>
          <w:szCs w:val="24"/>
          <w14:textFill>
            <w14:solidFill>
              <w14:schemeClr w14:val="tx1"/>
            </w14:solidFill>
          </w14:textFill>
        </w:rPr>
        <w:fldChar w:fldCharType="end"/>
      </w:r>
    </w:p>
    <w:p>
      <w:pPr>
        <w:widowControl/>
        <w:jc w:val="left"/>
        <w:rPr>
          <w:rFonts w:ascii="宋体"/>
          <w:snapToGrid w:val="0"/>
          <w:color w:val="000000" w:themeColor="text1"/>
          <w:kern w:val="0"/>
          <w:sz w:val="24"/>
          <w:szCs w:val="24"/>
          <w14:textFill>
            <w14:solidFill>
              <w14:schemeClr w14:val="tx1"/>
            </w14:solidFill>
          </w14:textFill>
        </w:rPr>
      </w:pPr>
      <w:r>
        <w:rPr>
          <w:rFonts w:ascii="宋体"/>
          <w:snapToGrid w:val="0"/>
          <w:color w:val="000000" w:themeColor="text1"/>
          <w:kern w:val="0"/>
          <w:szCs w:val="24"/>
          <w14:textFill>
            <w14:solidFill>
              <w14:schemeClr w14:val="tx1"/>
            </w14:solidFill>
          </w14:textFill>
        </w:rPr>
        <w:fldChar w:fldCharType="end"/>
      </w:r>
    </w:p>
    <w:p>
      <w:pPr>
        <w:widowControl/>
        <w:jc w:val="left"/>
        <w:rPr>
          <w:rFonts w:ascii="宋体"/>
          <w:snapToGrid w:val="0"/>
          <w:color w:val="000000" w:themeColor="text1"/>
          <w:kern w:val="0"/>
          <w:sz w:val="24"/>
          <w:szCs w:val="24"/>
          <w14:textFill>
            <w14:solidFill>
              <w14:schemeClr w14:val="tx1"/>
            </w14:solidFill>
          </w14:textFill>
        </w:rPr>
      </w:pPr>
      <w:r>
        <w:rPr>
          <w:rFonts w:ascii="宋体"/>
          <w:snapToGrid w:val="0"/>
          <w:color w:val="000000" w:themeColor="text1"/>
          <w:kern w:val="0"/>
          <w:sz w:val="24"/>
          <w:szCs w:val="24"/>
          <w14:textFill>
            <w14:solidFill>
              <w14:schemeClr w14:val="tx1"/>
            </w14:solidFill>
          </w14:textFill>
        </w:rPr>
        <w:br w:type="page"/>
      </w:r>
    </w:p>
    <w:p>
      <w:pPr>
        <w:pStyle w:val="3"/>
        <w:bidi w:val="0"/>
      </w:pPr>
      <w:bookmarkStart w:id="0" w:name="_Toc440628903"/>
      <w:bookmarkStart w:id="1" w:name="_Toc11041"/>
      <w:bookmarkStart w:id="2" w:name="_Toc6745"/>
      <w:bookmarkStart w:id="3" w:name="_Toc469574661"/>
      <w:bookmarkStart w:id="4" w:name="_Toc18993"/>
      <w:bookmarkStart w:id="5" w:name="_Toc55566254"/>
      <w:bookmarkStart w:id="6" w:name="_Toc32004"/>
      <w:r>
        <w:rPr>
          <w:rFonts w:hint="eastAsia"/>
        </w:rPr>
        <w:t>第一章</w:t>
      </w:r>
      <w:bookmarkEnd w:id="0"/>
      <w:r>
        <w:rPr>
          <w:rFonts w:hint="eastAsia"/>
        </w:rPr>
        <w:t xml:space="preserve"> 比选公告</w:t>
      </w:r>
      <w:bookmarkEnd w:id="1"/>
      <w:bookmarkEnd w:id="2"/>
      <w:bookmarkEnd w:id="3"/>
      <w:bookmarkEnd w:id="4"/>
      <w:bookmarkEnd w:id="5"/>
      <w:bookmarkEnd w:id="6"/>
    </w:p>
    <w:p>
      <w:pPr>
        <w:bidi w:val="0"/>
      </w:pPr>
      <w:r>
        <w:rPr>
          <w:rFonts w:hint="eastAsia"/>
        </w:rPr>
        <w:t>为规范本行不动产线上评估工作，提升本行抵押物价值认定工作效率和准确有效性，把好抵押物价值认定的质量关，遴选优秀的合作伙伴。现对重庆三峡银行不动产线上评估服务项目进行公开比选，特邀请有兴趣的潜在参选人进行参选。</w:t>
      </w:r>
    </w:p>
    <w:p>
      <w:pPr>
        <w:pStyle w:val="4"/>
        <w:bidi w:val="0"/>
      </w:pPr>
      <w:bookmarkStart w:id="7" w:name="_Toc89675127"/>
      <w:bookmarkStart w:id="8" w:name="_Toc55379218"/>
      <w:r>
        <w:rPr>
          <w:rFonts w:hint="eastAsia"/>
        </w:rPr>
        <w:t>一、比选项目内容</w:t>
      </w:r>
      <w:bookmarkEnd w:id="7"/>
      <w:bookmarkEnd w:id="8"/>
    </w:p>
    <w:tbl>
      <w:tblPr>
        <w:tblStyle w:val="19"/>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633"/>
        <w:gridCol w:w="1839"/>
        <w:gridCol w:w="1798"/>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napToGrid w:val="0"/>
                <w:color w:val="000000" w:themeColor="text1"/>
                <w:kern w:val="0"/>
                <w:sz w:val="24"/>
                <w:szCs w:val="24"/>
                <w14:textFill>
                  <w14:solidFill>
                    <w14:schemeClr w14:val="tx1"/>
                  </w14:solidFill>
                </w14:textFill>
              </w:rPr>
            </w:pPr>
            <w:bookmarkStart w:id="9" w:name="_Toc478053862"/>
            <w:bookmarkStart w:id="10" w:name="_Toc478044645"/>
            <w:r>
              <w:rPr>
                <w:rFonts w:hint="eastAsia" w:ascii="宋体" w:hAnsi="宋体" w:eastAsia="宋体" w:cs="宋体"/>
                <w:b/>
                <w:snapToGrid w:val="0"/>
                <w:color w:val="000000" w:themeColor="text1"/>
                <w:kern w:val="0"/>
                <w:sz w:val="24"/>
                <w:szCs w:val="24"/>
                <w14:textFill>
                  <w14:solidFill>
                    <w14:schemeClr w14:val="tx1"/>
                  </w14:solidFill>
                </w14:textFill>
              </w:rPr>
              <w:t>序号</w:t>
            </w:r>
            <w:bookmarkEnd w:id="9"/>
            <w:bookmarkEnd w:id="10"/>
          </w:p>
        </w:tc>
        <w:tc>
          <w:tcPr>
            <w:tcW w:w="263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napToGrid w:val="0"/>
                <w:color w:val="000000" w:themeColor="text1"/>
                <w:kern w:val="0"/>
                <w:sz w:val="24"/>
                <w:szCs w:val="24"/>
                <w14:textFill>
                  <w14:solidFill>
                    <w14:schemeClr w14:val="tx1"/>
                  </w14:solidFill>
                </w14:textFill>
              </w:rPr>
            </w:pPr>
            <w:bookmarkStart w:id="11" w:name="_Toc478053863"/>
            <w:bookmarkStart w:id="12" w:name="_Toc478044646"/>
            <w:r>
              <w:rPr>
                <w:rFonts w:hint="eastAsia" w:ascii="宋体" w:hAnsi="宋体" w:eastAsia="宋体" w:cs="宋体"/>
                <w:b/>
                <w:snapToGrid w:val="0"/>
                <w:color w:val="000000" w:themeColor="text1"/>
                <w:kern w:val="0"/>
                <w:sz w:val="24"/>
                <w:szCs w:val="24"/>
                <w14:textFill>
                  <w14:solidFill>
                    <w14:schemeClr w14:val="tx1"/>
                  </w14:solidFill>
                </w14:textFill>
              </w:rPr>
              <w:t>项目名称</w:t>
            </w:r>
            <w:bookmarkEnd w:id="11"/>
            <w:bookmarkEnd w:id="12"/>
          </w:p>
        </w:tc>
        <w:tc>
          <w:tcPr>
            <w:tcW w:w="183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napToGrid w:val="0"/>
                <w:color w:val="000000" w:themeColor="text1"/>
                <w:kern w:val="0"/>
                <w:sz w:val="24"/>
                <w:szCs w:val="24"/>
                <w14:textFill>
                  <w14:solidFill>
                    <w14:schemeClr w14:val="tx1"/>
                  </w14:solidFill>
                </w14:textFill>
              </w:rPr>
            </w:pPr>
            <w:bookmarkStart w:id="13" w:name="_Toc478053864"/>
            <w:bookmarkStart w:id="14" w:name="_Toc478044647"/>
            <w:r>
              <w:rPr>
                <w:rFonts w:hint="eastAsia" w:ascii="宋体" w:hAnsi="宋体" w:eastAsia="宋体" w:cs="宋体"/>
                <w:b/>
                <w:snapToGrid w:val="0"/>
                <w:color w:val="000000" w:themeColor="text1"/>
                <w:kern w:val="0"/>
                <w:sz w:val="24"/>
                <w:szCs w:val="24"/>
                <w14:textFill>
                  <w14:solidFill>
                    <w14:schemeClr w14:val="tx1"/>
                  </w14:solidFill>
                </w14:textFill>
              </w:rPr>
              <w:t>最高限价</w:t>
            </w:r>
            <w:bookmarkEnd w:id="13"/>
            <w:bookmarkEnd w:id="14"/>
          </w:p>
        </w:tc>
        <w:tc>
          <w:tcPr>
            <w:tcW w:w="179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napToGrid w:val="0"/>
                <w:color w:val="000000" w:themeColor="text1"/>
                <w:kern w:val="0"/>
                <w:sz w:val="24"/>
                <w:szCs w:val="24"/>
                <w14:textFill>
                  <w14:solidFill>
                    <w14:schemeClr w14:val="tx1"/>
                  </w14:solidFill>
                </w14:textFill>
              </w:rPr>
            </w:pPr>
            <w:bookmarkStart w:id="15" w:name="_Toc478053866"/>
            <w:bookmarkStart w:id="16" w:name="_Toc478044649"/>
            <w:r>
              <w:rPr>
                <w:rFonts w:hint="eastAsia" w:ascii="宋体" w:hAnsi="宋体" w:eastAsia="宋体" w:cs="宋体"/>
                <w:b/>
                <w:snapToGrid w:val="0"/>
                <w:color w:val="000000" w:themeColor="text1"/>
                <w:kern w:val="0"/>
                <w:sz w:val="24"/>
                <w:szCs w:val="24"/>
                <w14:textFill>
                  <w14:solidFill>
                    <w14:schemeClr w14:val="tx1"/>
                  </w14:solidFill>
                </w14:textFill>
              </w:rPr>
              <w:t>中选人数量</w:t>
            </w:r>
            <w:bookmarkEnd w:id="15"/>
            <w:bookmarkEnd w:id="16"/>
          </w:p>
        </w:tc>
        <w:tc>
          <w:tcPr>
            <w:tcW w:w="179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napToGrid w:val="0"/>
                <w:color w:val="000000" w:themeColor="text1"/>
                <w:kern w:val="0"/>
                <w:sz w:val="24"/>
                <w:szCs w:val="24"/>
                <w14:textFill>
                  <w14:solidFill>
                    <w14:schemeClr w14:val="tx1"/>
                  </w14:solidFill>
                </w14:textFill>
              </w:rPr>
            </w:pPr>
            <w:r>
              <w:rPr>
                <w:rFonts w:hint="eastAsia" w:ascii="宋体" w:hAnsi="宋体" w:eastAsia="宋体" w:cs="宋体"/>
                <w:b/>
                <w:snapToGrid w:val="0"/>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napToGrid w:val="0"/>
                <w:color w:val="000000" w:themeColor="text1"/>
                <w:kern w:val="0"/>
                <w:sz w:val="24"/>
                <w:szCs w:val="24"/>
                <w14:textFill>
                  <w14:solidFill>
                    <w14:schemeClr w14:val="tx1"/>
                  </w14:solidFill>
                </w14:textFill>
              </w:rPr>
            </w:pPr>
            <w:bookmarkStart w:id="17" w:name="_Toc478053868"/>
            <w:bookmarkStart w:id="18" w:name="_Toc478044651"/>
            <w:r>
              <w:rPr>
                <w:rFonts w:hint="eastAsia" w:ascii="宋体" w:hAnsi="宋体" w:eastAsia="宋体" w:cs="宋体"/>
                <w:snapToGrid w:val="0"/>
                <w:color w:val="000000" w:themeColor="text1"/>
                <w:kern w:val="0"/>
                <w:sz w:val="24"/>
                <w:szCs w:val="24"/>
                <w14:textFill>
                  <w14:solidFill>
                    <w14:schemeClr w14:val="tx1"/>
                  </w14:solidFill>
                </w14:textFill>
              </w:rPr>
              <w:t>1</w:t>
            </w:r>
            <w:bookmarkEnd w:id="17"/>
            <w:bookmarkEnd w:id="18"/>
          </w:p>
        </w:tc>
        <w:tc>
          <w:tcPr>
            <w:tcW w:w="263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bCs/>
                <w:snapToGrid w:val="0"/>
                <w:color w:val="000000" w:themeColor="text1"/>
                <w:kern w:val="0"/>
                <w:sz w:val="24"/>
                <w:szCs w:val="24"/>
                <w14:textFill>
                  <w14:solidFill>
                    <w14:schemeClr w14:val="tx1"/>
                  </w14:solidFill>
                </w14:textFill>
              </w:rPr>
              <w:t>重庆三峡银行不动产线上评估服务项目</w:t>
            </w:r>
          </w:p>
        </w:tc>
        <w:tc>
          <w:tcPr>
            <w:tcW w:w="183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25万元/年</w:t>
            </w:r>
          </w:p>
        </w:tc>
        <w:tc>
          <w:tcPr>
            <w:tcW w:w="179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3</w:t>
            </w:r>
          </w:p>
        </w:tc>
        <w:tc>
          <w:tcPr>
            <w:tcW w:w="179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含税价</w:t>
            </w:r>
          </w:p>
        </w:tc>
      </w:tr>
    </w:tbl>
    <w:p>
      <w:pPr>
        <w:pStyle w:val="4"/>
        <w:bidi w:val="0"/>
      </w:pPr>
      <w:bookmarkStart w:id="19" w:name="_Toc288224935"/>
      <w:bookmarkStart w:id="20" w:name="_Toc55379219"/>
      <w:bookmarkStart w:id="21" w:name="_Toc297817088"/>
      <w:bookmarkStart w:id="22" w:name="_Toc89675128"/>
      <w:bookmarkStart w:id="23" w:name="_Toc469574664"/>
      <w:r>
        <w:rPr>
          <w:rFonts w:hint="eastAsia"/>
        </w:rPr>
        <w:t>二、参选人资格要求</w:t>
      </w:r>
      <w:bookmarkEnd w:id="19"/>
      <w:bookmarkEnd w:id="20"/>
      <w:bookmarkEnd w:id="21"/>
      <w:bookmarkEnd w:id="22"/>
      <w:bookmarkEnd w:id="23"/>
    </w:p>
    <w:p>
      <w:pPr>
        <w:pStyle w:val="5"/>
        <w:bidi w:val="0"/>
      </w:pPr>
      <w:bookmarkStart w:id="24" w:name="_Hlk55488870"/>
      <w:r>
        <w:rPr>
          <w:rFonts w:hint="eastAsia"/>
        </w:rPr>
        <w:t>（一）基本资格条件</w:t>
      </w:r>
    </w:p>
    <w:p>
      <w:pPr>
        <w:keepNext w:val="0"/>
        <w:keepLines w:val="0"/>
        <w:pageBreakBefore w:val="0"/>
        <w:widowControl w:val="0"/>
        <w:numPr>
          <w:ilvl w:val="0"/>
          <w:numId w:val="1"/>
        </w:numPr>
        <w:kinsoku/>
        <w:wordWrap/>
        <w:overflowPunct/>
        <w:topLinePunct w:val="0"/>
        <w:autoSpaceDE/>
        <w:autoSpaceDN/>
        <w:bidi w:val="0"/>
        <w:adjustRightInd/>
        <w:snapToGrid/>
        <w:ind w:left="0"/>
        <w:textAlignment w:val="auto"/>
      </w:pPr>
      <w:r>
        <w:rPr>
          <w:rFonts w:hint="eastAsia"/>
        </w:rPr>
        <w:t>具有独立承担民事责任的能力（参选人有效营业执照（副本）、直属的分支机构（直属的分支机构参与参选必须具有总公司的授权委托书）或事业单位法人证书（副本）或个体工商户营业执照或有效的自然人身份证明；参选人法定代表人身份证明和法定代表人授权代表委托书。）；</w:t>
      </w:r>
    </w:p>
    <w:p>
      <w:pPr>
        <w:keepNext w:val="0"/>
        <w:keepLines w:val="0"/>
        <w:pageBreakBefore w:val="0"/>
        <w:widowControl w:val="0"/>
        <w:numPr>
          <w:ilvl w:val="0"/>
          <w:numId w:val="1"/>
        </w:numPr>
        <w:kinsoku/>
        <w:wordWrap/>
        <w:overflowPunct/>
        <w:topLinePunct w:val="0"/>
        <w:autoSpaceDE/>
        <w:autoSpaceDN/>
        <w:bidi w:val="0"/>
        <w:adjustRightInd/>
        <w:snapToGrid/>
        <w:ind w:left="0"/>
        <w:textAlignment w:val="auto"/>
      </w:pPr>
      <w:r>
        <w:rPr>
          <w:rFonts w:hint="eastAsia"/>
        </w:rPr>
        <w:t>具有良好的商业信誉和健全的财务会计制度（提供书面声明）；</w:t>
      </w:r>
    </w:p>
    <w:p>
      <w:pPr>
        <w:keepNext w:val="0"/>
        <w:keepLines w:val="0"/>
        <w:pageBreakBefore w:val="0"/>
        <w:widowControl w:val="0"/>
        <w:numPr>
          <w:ilvl w:val="0"/>
          <w:numId w:val="1"/>
        </w:numPr>
        <w:kinsoku/>
        <w:wordWrap/>
        <w:overflowPunct/>
        <w:topLinePunct w:val="0"/>
        <w:autoSpaceDE/>
        <w:autoSpaceDN/>
        <w:bidi w:val="0"/>
        <w:adjustRightInd/>
        <w:snapToGrid/>
        <w:ind w:left="0"/>
        <w:textAlignment w:val="auto"/>
      </w:pPr>
      <w:r>
        <w:rPr>
          <w:rFonts w:hint="eastAsia"/>
        </w:rPr>
        <w:t>具有履行合同所必需的设备和专业技术能力（提供书面声明）；</w:t>
      </w:r>
    </w:p>
    <w:p>
      <w:pPr>
        <w:keepNext w:val="0"/>
        <w:keepLines w:val="0"/>
        <w:pageBreakBefore w:val="0"/>
        <w:widowControl w:val="0"/>
        <w:numPr>
          <w:ilvl w:val="0"/>
          <w:numId w:val="1"/>
        </w:numPr>
        <w:kinsoku/>
        <w:wordWrap/>
        <w:overflowPunct/>
        <w:topLinePunct w:val="0"/>
        <w:autoSpaceDE/>
        <w:autoSpaceDN/>
        <w:bidi w:val="0"/>
        <w:adjustRightInd/>
        <w:snapToGrid/>
        <w:ind w:left="0"/>
        <w:textAlignment w:val="auto"/>
      </w:pPr>
      <w:r>
        <w:rPr>
          <w:rFonts w:hint="eastAsia"/>
        </w:rPr>
        <w:t>有依法缴纳税收和社会保障金的良好记录（税务登记证（副本）复印件，三证合一的企业提供统一社会信用代码的营业执照，近半年社会保险缴纳证明材料（社保局加盖公章））；</w:t>
      </w:r>
    </w:p>
    <w:p>
      <w:pPr>
        <w:keepNext w:val="0"/>
        <w:keepLines w:val="0"/>
        <w:pageBreakBefore w:val="0"/>
        <w:widowControl w:val="0"/>
        <w:numPr>
          <w:ilvl w:val="0"/>
          <w:numId w:val="1"/>
        </w:numPr>
        <w:kinsoku/>
        <w:wordWrap/>
        <w:overflowPunct/>
        <w:topLinePunct w:val="0"/>
        <w:autoSpaceDE/>
        <w:autoSpaceDN/>
        <w:bidi w:val="0"/>
        <w:adjustRightInd/>
        <w:snapToGrid/>
        <w:ind w:left="0"/>
        <w:textAlignment w:val="auto"/>
      </w:pPr>
      <w:r>
        <w:rPr>
          <w:rFonts w:hint="eastAsia"/>
        </w:rPr>
        <w:t>三年内在经营活动中没有重大违法记录（提供书面声明）；</w:t>
      </w:r>
    </w:p>
    <w:p>
      <w:pPr>
        <w:keepNext w:val="0"/>
        <w:keepLines w:val="0"/>
        <w:pageBreakBefore w:val="0"/>
        <w:widowControl w:val="0"/>
        <w:numPr>
          <w:ilvl w:val="0"/>
          <w:numId w:val="1"/>
        </w:numPr>
        <w:kinsoku/>
        <w:wordWrap/>
        <w:overflowPunct/>
        <w:topLinePunct w:val="0"/>
        <w:autoSpaceDE/>
        <w:autoSpaceDN/>
        <w:bidi w:val="0"/>
        <w:adjustRightInd/>
        <w:snapToGrid/>
        <w:ind w:left="0"/>
        <w:textAlignment w:val="auto"/>
      </w:pPr>
      <w:r>
        <w:rPr>
          <w:rFonts w:hint="eastAsia"/>
        </w:rPr>
        <w:t>法人及法定代表人没有被人民法院列为失信被执行人名单（提供中国执行信息公开网截图）；</w:t>
      </w:r>
    </w:p>
    <w:p>
      <w:pPr>
        <w:keepNext w:val="0"/>
        <w:keepLines w:val="0"/>
        <w:pageBreakBefore w:val="0"/>
        <w:widowControl w:val="0"/>
        <w:numPr>
          <w:ilvl w:val="0"/>
          <w:numId w:val="1"/>
        </w:numPr>
        <w:kinsoku/>
        <w:wordWrap/>
        <w:overflowPunct/>
        <w:topLinePunct w:val="0"/>
        <w:autoSpaceDE/>
        <w:autoSpaceDN/>
        <w:bidi w:val="0"/>
        <w:adjustRightInd/>
        <w:snapToGrid/>
        <w:ind w:left="0"/>
        <w:textAlignment w:val="auto"/>
      </w:pPr>
      <w:r>
        <w:rPr>
          <w:rFonts w:hint="eastAsia"/>
        </w:rPr>
        <w:t>法律、行政法规规定的其他条件（提供书面声明）。</w:t>
      </w:r>
    </w:p>
    <w:p>
      <w:pPr>
        <w:pStyle w:val="5"/>
        <w:bidi w:val="0"/>
      </w:pPr>
      <w:r>
        <w:rPr>
          <w:rFonts w:hint="eastAsia"/>
        </w:rPr>
        <w:t>（二）特定资格条件</w:t>
      </w:r>
    </w:p>
    <w:p>
      <w:pPr>
        <w:bidi w:val="0"/>
      </w:pPr>
      <w:r>
        <w:rPr>
          <w:rFonts w:hint="eastAsia"/>
        </w:rPr>
        <w:t>1、2020年1月1日至今具有银行不动产线上评估服务相关实施案例(需提供合同复印件和项目简介)不少于3家，低于3个案例（不含3个）取消参选资质；</w:t>
      </w:r>
    </w:p>
    <w:p>
      <w:pPr>
        <w:bidi w:val="0"/>
      </w:pPr>
      <w:r>
        <w:rPr>
          <w:rFonts w:hint="eastAsia"/>
        </w:rPr>
        <w:t>注: 案例要求以下信息不可隐藏，包含：甲乙双方名称、双方印章、项目/产品的名称、合同/中标通知书签订时间等。以上证明文件若采购人存疑，参选人需提供原件备查,参选文件中须附相关证明文件复印件并逐页加盖公章。</w:t>
      </w:r>
    </w:p>
    <w:p>
      <w:pPr>
        <w:bidi w:val="0"/>
      </w:pPr>
      <w:r>
        <w:t>2、</w:t>
      </w:r>
      <w:r>
        <w:rPr>
          <w:rFonts w:hint="eastAsia"/>
        </w:rPr>
        <w:t>近3年财务状况稳定（参选人法人营业执照（副本）及财务报表复印件）；</w:t>
      </w:r>
    </w:p>
    <w:p>
      <w:pPr>
        <w:bidi w:val="0"/>
      </w:pPr>
      <w:r>
        <w:rPr>
          <w:rFonts w:hint="eastAsia"/>
        </w:rPr>
        <w:t>注:以上证明文件若比选人存疑，参选人需提供原件备查，参选文件中须附相关证明文件复印件并逐页加盖公章。</w:t>
      </w:r>
    </w:p>
    <w:bookmarkEnd w:id="24"/>
    <w:p>
      <w:pPr>
        <w:pStyle w:val="4"/>
        <w:bidi w:val="0"/>
      </w:pPr>
      <w:bookmarkStart w:id="25" w:name="_Toc55379220"/>
      <w:bookmarkStart w:id="26" w:name="_Toc89675130"/>
      <w:bookmarkStart w:id="27" w:name="_Toc469574667"/>
      <w:bookmarkStart w:id="28" w:name="_Toc297817090"/>
      <w:r>
        <w:rPr>
          <w:rFonts w:hint="eastAsia"/>
        </w:rPr>
        <w:t>三、比选文件的获取</w:t>
      </w:r>
      <w:bookmarkEnd w:id="25"/>
    </w:p>
    <w:p>
      <w:pPr>
        <w:bidi w:val="0"/>
        <w:rPr>
          <w:rFonts w:hint="eastAsia"/>
        </w:rPr>
      </w:pPr>
      <w:bookmarkStart w:id="29" w:name="_Toc55379221"/>
      <w:r>
        <w:rPr>
          <w:rFonts w:hint="eastAsia"/>
        </w:rPr>
        <w:t>1、获取时间：从2023年</w:t>
      </w:r>
      <w:r>
        <w:rPr>
          <w:rFonts w:hint="eastAsia"/>
          <w:lang w:val="en-US" w:eastAsia="zh-CN"/>
        </w:rPr>
        <w:t>11</w:t>
      </w:r>
      <w:r>
        <w:rPr>
          <w:rFonts w:hint="eastAsia"/>
        </w:rPr>
        <w:t>月</w:t>
      </w:r>
      <w:r>
        <w:rPr>
          <w:rFonts w:hint="eastAsia"/>
          <w:lang w:val="en-US" w:eastAsia="zh-CN"/>
        </w:rPr>
        <w:t>22</w:t>
      </w:r>
      <w:r>
        <w:rPr>
          <w:rFonts w:hint="eastAsia"/>
        </w:rPr>
        <w:t>日</w:t>
      </w:r>
      <w:r>
        <w:rPr>
          <w:rFonts w:hint="eastAsia"/>
          <w:lang w:val="en-US" w:eastAsia="zh-CN"/>
        </w:rPr>
        <w:t>15</w:t>
      </w:r>
      <w:r>
        <w:rPr>
          <w:rFonts w:hint="eastAsia"/>
        </w:rPr>
        <w:t>时</w:t>
      </w:r>
      <w:r>
        <w:rPr>
          <w:rFonts w:hint="eastAsia"/>
          <w:lang w:val="en-US" w:eastAsia="zh-CN"/>
        </w:rPr>
        <w:t>00</w:t>
      </w:r>
      <w:r>
        <w:rPr>
          <w:rFonts w:hint="eastAsia"/>
        </w:rPr>
        <w:t>分到2023年</w:t>
      </w:r>
      <w:r>
        <w:rPr>
          <w:rFonts w:hint="eastAsia"/>
          <w:lang w:val="en-US" w:eastAsia="zh-CN"/>
        </w:rPr>
        <w:t>12</w:t>
      </w:r>
      <w:r>
        <w:rPr>
          <w:rFonts w:hint="eastAsia"/>
        </w:rPr>
        <w:t>月</w:t>
      </w:r>
      <w:r>
        <w:rPr>
          <w:rFonts w:hint="eastAsia"/>
          <w:lang w:val="en-US" w:eastAsia="zh-CN"/>
        </w:rPr>
        <w:t>13</w:t>
      </w:r>
      <w:r>
        <w:rPr>
          <w:rFonts w:hint="eastAsia"/>
        </w:rPr>
        <w:t>日</w:t>
      </w:r>
      <w:r>
        <w:rPr>
          <w:rFonts w:hint="eastAsia"/>
          <w:lang w:val="en-US" w:eastAsia="zh-CN"/>
        </w:rPr>
        <w:t>11</w:t>
      </w:r>
      <w:r>
        <w:rPr>
          <w:rFonts w:hint="eastAsia"/>
        </w:rPr>
        <w:t>时</w:t>
      </w:r>
      <w:r>
        <w:rPr>
          <w:rFonts w:hint="eastAsia"/>
          <w:lang w:val="en-US" w:eastAsia="zh-CN"/>
        </w:rPr>
        <w:t>00</w:t>
      </w:r>
      <w:r>
        <w:rPr>
          <w:rFonts w:hint="eastAsia"/>
        </w:rPr>
        <w:t>分（北京时间）。</w:t>
      </w:r>
    </w:p>
    <w:p>
      <w:pPr>
        <w:bidi w:val="0"/>
        <w:rPr>
          <w:rFonts w:hint="eastAsia"/>
        </w:rPr>
      </w:pPr>
      <w:r>
        <w:rPr>
          <w:rFonts w:hint="eastAsia"/>
        </w:rPr>
        <w:t>2、获取方式：在重庆市公共资源交易网（www.cqggzy.com）下载比选文件。</w:t>
      </w:r>
    </w:p>
    <w:p>
      <w:pPr>
        <w:pStyle w:val="4"/>
        <w:bidi w:val="0"/>
      </w:pPr>
      <w:r>
        <w:rPr>
          <w:rFonts w:hint="eastAsia"/>
        </w:rPr>
        <w:t>四、比选保证金的递交</w:t>
      </w:r>
      <w:bookmarkEnd w:id="26"/>
      <w:bookmarkEnd w:id="27"/>
      <w:bookmarkEnd w:id="28"/>
      <w:bookmarkEnd w:id="29"/>
    </w:p>
    <w:p>
      <w:pPr>
        <w:bidi w:val="0"/>
      </w:pPr>
      <w:bookmarkStart w:id="30" w:name="_Toc297817091"/>
      <w:r>
        <w:rPr>
          <w:rFonts w:hint="eastAsia"/>
        </w:rPr>
        <w:t>1、参选保证金的金额：3600元整（大写：叁仟陆佰元整）；</w:t>
      </w:r>
    </w:p>
    <w:p>
      <w:pPr>
        <w:bidi w:val="0"/>
      </w:pPr>
      <w:r>
        <w:rPr>
          <w:rFonts w:hint="eastAsia"/>
        </w:rPr>
        <w:t>2、参选保证金缴纳方式：参选人从参选人的银行账户，通过转账或电汇方式直接划付至下面指定的账户，否则，参选保证金无效。参选人自行考虑汇入到账时间风险，本项目参选保证金不接受任何形式保函（包括电子保函）；</w:t>
      </w:r>
    </w:p>
    <w:p>
      <w:pPr>
        <w:bidi w:val="0"/>
        <w:rPr>
          <w:b/>
          <w:bCs/>
        </w:rPr>
      </w:pPr>
      <w:r>
        <w:rPr>
          <w:rFonts w:hint="eastAsia"/>
          <w:b/>
          <w:bCs/>
        </w:rPr>
        <w:t>参选人必须在付款凭证备注栏中注明是“重庆三峡银行不动产线上评估服务项目参选保证金”。项目名称可简写成：不动产线上评估项目。</w:t>
      </w:r>
    </w:p>
    <w:p>
      <w:pPr>
        <w:bidi w:val="0"/>
      </w:pPr>
      <w:r>
        <w:rPr>
          <w:rFonts w:hint="eastAsia"/>
        </w:rPr>
        <w:t>3、参选保证金递交的截止时间为20</w:t>
      </w:r>
      <w:r>
        <w:rPr>
          <w:rFonts w:hint="eastAsia"/>
          <w:lang w:val="en-US" w:eastAsia="zh-CN"/>
        </w:rPr>
        <w:t>23</w:t>
      </w:r>
      <w:r>
        <w:rPr>
          <w:rFonts w:hint="eastAsia"/>
        </w:rPr>
        <w:t>年</w:t>
      </w:r>
      <w:r>
        <w:rPr>
          <w:rFonts w:hint="eastAsia"/>
          <w:lang w:val="en-US" w:eastAsia="zh-CN"/>
        </w:rPr>
        <w:t>12</w:t>
      </w:r>
      <w:r>
        <w:rPr>
          <w:rFonts w:hint="eastAsia"/>
        </w:rPr>
        <w:t>月</w:t>
      </w:r>
      <w:r>
        <w:rPr>
          <w:rFonts w:hint="eastAsia"/>
          <w:lang w:val="en-US" w:eastAsia="zh-CN"/>
        </w:rPr>
        <w:t>13</w:t>
      </w:r>
      <w:r>
        <w:rPr>
          <w:rFonts w:hint="eastAsia"/>
        </w:rPr>
        <w:t>日</w:t>
      </w:r>
      <w:r>
        <w:rPr>
          <w:rFonts w:hint="eastAsia"/>
          <w:lang w:val="en-US" w:eastAsia="zh-CN"/>
        </w:rPr>
        <w:t>11</w:t>
      </w:r>
      <w:r>
        <w:rPr>
          <w:rFonts w:hint="eastAsia"/>
        </w:rPr>
        <w:t>时</w:t>
      </w:r>
      <w:r>
        <w:rPr>
          <w:rFonts w:hint="eastAsia"/>
          <w:lang w:val="en-US" w:eastAsia="zh-CN"/>
        </w:rPr>
        <w:t>00</w:t>
      </w:r>
      <w:r>
        <w:rPr>
          <w:rFonts w:hint="eastAsia"/>
        </w:rPr>
        <w:t>分。</w:t>
      </w:r>
    </w:p>
    <w:p>
      <w:pPr>
        <w:bidi w:val="0"/>
      </w:pPr>
      <w:r>
        <w:t>4</w:t>
      </w:r>
      <w:r>
        <w:rPr>
          <w:rFonts w:hint="eastAsia"/>
        </w:rPr>
        <w:t>、参选保证金专用账户如下：</w:t>
      </w:r>
    </w:p>
    <w:p>
      <w:pPr>
        <w:bidi w:val="0"/>
      </w:pPr>
      <w:r>
        <w:rPr>
          <w:rFonts w:hint="eastAsia"/>
        </w:rPr>
        <w:t>详见重庆市公共资源交易网（www.cqggzy.com）对应本项目比选公告信息栏中的保证金信息。</w:t>
      </w:r>
    </w:p>
    <w:p>
      <w:pPr>
        <w:bidi w:val="0"/>
      </w:pPr>
      <w:r>
        <w:rPr>
          <w:rFonts w:hint="eastAsia"/>
        </w:rPr>
        <w:t>参选保证金以重庆市公共资源交易中心比选现场展示的保证金交纳情况为准。</w:t>
      </w:r>
    </w:p>
    <w:p>
      <w:pPr>
        <w:pStyle w:val="4"/>
        <w:bidi w:val="0"/>
      </w:pPr>
      <w:bookmarkStart w:id="31" w:name="_Toc89675131"/>
      <w:bookmarkStart w:id="32" w:name="_Toc55379222"/>
      <w:bookmarkStart w:id="33" w:name="_Toc469574668"/>
      <w:r>
        <w:rPr>
          <w:rFonts w:hint="eastAsia"/>
        </w:rPr>
        <w:t>五、参选文件的递交</w:t>
      </w:r>
      <w:bookmarkEnd w:id="30"/>
      <w:bookmarkEnd w:id="31"/>
      <w:bookmarkEnd w:id="32"/>
      <w:bookmarkEnd w:id="33"/>
    </w:p>
    <w:p>
      <w:pPr>
        <w:bidi w:val="0"/>
      </w:pPr>
      <w:bookmarkStart w:id="34" w:name="_Toc89675132"/>
      <w:bookmarkStart w:id="35" w:name="_Toc469574669"/>
      <w:bookmarkStart w:id="36" w:name="_Toc55379223"/>
      <w:r>
        <w:rPr>
          <w:rFonts w:hint="eastAsia"/>
        </w:rPr>
        <w:t>1、参选文件现场递交的开始时间为20</w:t>
      </w:r>
      <w:r>
        <w:rPr>
          <w:rFonts w:hint="eastAsia"/>
          <w:lang w:val="en-US" w:eastAsia="zh-CN"/>
        </w:rPr>
        <w:t>23</w:t>
      </w:r>
      <w:r>
        <w:rPr>
          <w:rFonts w:hint="eastAsia"/>
        </w:rPr>
        <w:t>年</w:t>
      </w:r>
      <w:r>
        <w:rPr>
          <w:rFonts w:hint="eastAsia"/>
          <w:lang w:val="en-US" w:eastAsia="zh-CN"/>
        </w:rPr>
        <w:t>12</w:t>
      </w:r>
      <w:r>
        <w:rPr>
          <w:rFonts w:hint="eastAsia"/>
        </w:rPr>
        <w:t>月</w:t>
      </w:r>
      <w:r>
        <w:rPr>
          <w:rFonts w:hint="eastAsia"/>
          <w:lang w:val="en-US" w:eastAsia="zh-CN"/>
        </w:rPr>
        <w:t>13</w:t>
      </w:r>
      <w:r>
        <w:rPr>
          <w:rFonts w:hint="eastAsia"/>
        </w:rPr>
        <w:t>日</w:t>
      </w:r>
      <w:r>
        <w:rPr>
          <w:rFonts w:hint="eastAsia"/>
          <w:lang w:val="en-US" w:eastAsia="zh-CN"/>
        </w:rPr>
        <w:t>10</w:t>
      </w:r>
      <w:r>
        <w:rPr>
          <w:rFonts w:hint="eastAsia"/>
        </w:rPr>
        <w:t>时</w:t>
      </w:r>
      <w:r>
        <w:rPr>
          <w:rFonts w:hint="eastAsia"/>
          <w:lang w:val="en-US" w:eastAsia="zh-CN"/>
        </w:rPr>
        <w:t>30</w:t>
      </w:r>
      <w:r>
        <w:rPr>
          <w:rFonts w:hint="eastAsia"/>
        </w:rPr>
        <w:t>分(北京时间)。递交截止时间为20</w:t>
      </w:r>
      <w:r>
        <w:rPr>
          <w:rFonts w:hint="eastAsia"/>
          <w:lang w:val="en-US" w:eastAsia="zh-CN"/>
        </w:rPr>
        <w:t>23</w:t>
      </w:r>
      <w:r>
        <w:rPr>
          <w:rFonts w:hint="eastAsia"/>
        </w:rPr>
        <w:t>年</w:t>
      </w:r>
      <w:r>
        <w:rPr>
          <w:rFonts w:hint="eastAsia"/>
          <w:lang w:val="en-US" w:eastAsia="zh-CN"/>
        </w:rPr>
        <w:t>12</w:t>
      </w:r>
      <w:r>
        <w:rPr>
          <w:rFonts w:hint="eastAsia"/>
        </w:rPr>
        <w:t>月</w:t>
      </w:r>
      <w:r>
        <w:rPr>
          <w:rFonts w:hint="eastAsia"/>
          <w:lang w:val="en-US" w:eastAsia="zh-CN"/>
        </w:rPr>
        <w:t>13</w:t>
      </w:r>
      <w:r>
        <w:rPr>
          <w:rFonts w:hint="eastAsia"/>
        </w:rPr>
        <w:t>日</w:t>
      </w:r>
      <w:r>
        <w:rPr>
          <w:rFonts w:hint="eastAsia"/>
          <w:lang w:val="en-US" w:eastAsia="zh-CN"/>
        </w:rPr>
        <w:t>11</w:t>
      </w:r>
      <w:r>
        <w:rPr>
          <w:rFonts w:hint="eastAsia"/>
        </w:rPr>
        <w:t>时</w:t>
      </w:r>
      <w:r>
        <w:rPr>
          <w:rFonts w:hint="eastAsia"/>
          <w:lang w:val="en-US" w:eastAsia="zh-CN"/>
        </w:rPr>
        <w:t>00</w:t>
      </w:r>
      <w:r>
        <w:rPr>
          <w:rFonts w:hint="eastAsia"/>
        </w:rPr>
        <w:t>分（北京时间）。</w:t>
      </w:r>
    </w:p>
    <w:p>
      <w:pPr>
        <w:bidi w:val="0"/>
      </w:pPr>
      <w:r>
        <w:rPr>
          <w:rFonts w:hint="eastAsia"/>
        </w:rPr>
        <w:t>2、递交地点为重庆市公共资源交易中心开标区（具体请登陆重庆市公共资源交易网（www.cqggzy.com）查询或递交文件当日见交易中心大厅电子显示屏）。</w:t>
      </w:r>
    </w:p>
    <w:p>
      <w:pPr>
        <w:bidi w:val="0"/>
      </w:pPr>
      <w:r>
        <w:rPr>
          <w:rFonts w:hint="eastAsia"/>
        </w:rPr>
        <w:t>3、逾期送达的参选文件，不予接收。</w:t>
      </w:r>
    </w:p>
    <w:p>
      <w:pPr>
        <w:pStyle w:val="4"/>
        <w:bidi w:val="0"/>
      </w:pPr>
      <w:r>
        <w:rPr>
          <w:rFonts w:hint="eastAsia"/>
        </w:rPr>
        <w:t>六、发布公告的媒介</w:t>
      </w:r>
      <w:bookmarkEnd w:id="34"/>
      <w:bookmarkEnd w:id="35"/>
      <w:bookmarkEnd w:id="36"/>
    </w:p>
    <w:p>
      <w:pPr>
        <w:bidi w:val="0"/>
      </w:pPr>
      <w:bookmarkStart w:id="37" w:name="_Toc250565211"/>
      <w:bookmarkStart w:id="38" w:name="_Toc469574670"/>
      <w:r>
        <w:rPr>
          <w:rFonts w:hint="eastAsia"/>
        </w:rPr>
        <w:t>本次比选公告同时在《重庆市公共资源交易网（www.cqggzy.com）》《重庆三峡银行官网（https://www.ccqtgb.com）》和《中国招标投标公共服务平台（http://www.cebpubservice.com）》上发布。</w:t>
      </w:r>
    </w:p>
    <w:p>
      <w:pPr>
        <w:pStyle w:val="4"/>
        <w:bidi w:val="0"/>
      </w:pPr>
      <w:bookmarkStart w:id="39" w:name="_Toc89675133"/>
      <w:bookmarkStart w:id="40" w:name="_Toc55379224"/>
      <w:r>
        <w:rPr>
          <w:rFonts w:hint="eastAsia"/>
        </w:rPr>
        <w:t>七、联系方式</w:t>
      </w:r>
      <w:bookmarkEnd w:id="37"/>
      <w:bookmarkEnd w:id="38"/>
      <w:bookmarkEnd w:id="39"/>
      <w:bookmarkEnd w:id="40"/>
    </w:p>
    <w:p>
      <w:pPr>
        <w:bidi w:val="0"/>
      </w:pPr>
      <w:r>
        <w:rPr>
          <w:rFonts w:hint="eastAsia"/>
        </w:rPr>
        <w:t>比选人：重庆三峡银行股份有限公司</w:t>
      </w:r>
    </w:p>
    <w:p>
      <w:pPr>
        <w:bidi w:val="0"/>
      </w:pPr>
      <w:r>
        <w:rPr>
          <w:rFonts w:hint="eastAsia"/>
        </w:rPr>
        <w:t>地址：重庆市渝北区嘉州路88号附1号新光天地4号写字楼21楼</w:t>
      </w:r>
    </w:p>
    <w:p>
      <w:pPr>
        <w:bidi w:val="0"/>
      </w:pPr>
      <w:r>
        <w:rPr>
          <w:rFonts w:hint="eastAsia"/>
        </w:rPr>
        <w:t>联系人：敬希</w:t>
      </w:r>
      <w:r>
        <w:rPr>
          <w:rFonts w:hint="eastAsia"/>
          <w:lang w:val="en-US" w:eastAsia="zh-CN"/>
        </w:rPr>
        <w:t xml:space="preserve"> </w:t>
      </w:r>
      <w:r>
        <w:rPr>
          <w:rFonts w:hint="eastAsia"/>
        </w:rPr>
        <w:t>肖玥</w:t>
      </w:r>
    </w:p>
    <w:p>
      <w:pPr>
        <w:bidi w:val="0"/>
      </w:pPr>
      <w:r>
        <w:rPr>
          <w:rFonts w:hint="eastAsia"/>
        </w:rPr>
        <w:t>采购咨询电话：023-88890395</w:t>
      </w:r>
    </w:p>
    <w:p>
      <w:pPr>
        <w:bidi w:val="0"/>
      </w:pPr>
      <w:r>
        <w:rPr>
          <w:rFonts w:hint="eastAsia"/>
        </w:rPr>
        <w:t>业务咨询电话：023-88890365</w:t>
      </w:r>
    </w:p>
    <w:p>
      <w:pPr>
        <w:bidi w:val="0"/>
      </w:pPr>
    </w:p>
    <w:p>
      <w:pPr>
        <w:bidi w:val="0"/>
      </w:pPr>
      <w:r>
        <w:rPr>
          <w:rFonts w:hint="eastAsia"/>
        </w:rPr>
        <w:t>平台服务机构：重庆联合产权交易所集团股份有限公司</w:t>
      </w:r>
    </w:p>
    <w:p>
      <w:pPr>
        <w:bidi w:val="0"/>
      </w:pPr>
      <w:r>
        <w:rPr>
          <w:rFonts w:hint="eastAsia"/>
        </w:rPr>
        <w:t>平台服务联系人：杜老师</w:t>
      </w:r>
    </w:p>
    <w:p>
      <w:pPr>
        <w:bidi w:val="0"/>
      </w:pPr>
      <w:r>
        <w:rPr>
          <w:rFonts w:hint="eastAsia"/>
        </w:rPr>
        <w:t>平台服务电话：023-63621694</w:t>
      </w:r>
    </w:p>
    <w:p>
      <w:pPr>
        <w:bidi w:val="0"/>
      </w:pPr>
    </w:p>
    <w:p>
      <w:pPr>
        <w:bidi w:val="0"/>
      </w:pPr>
    </w:p>
    <w:p>
      <w:pPr>
        <w:topLinePunct/>
        <w:spacing w:line="360" w:lineRule="auto"/>
        <w:ind w:firstLine="480" w:firstLineChars="200"/>
        <w:rPr>
          <w:rFonts w:ascii="宋体" w:cs="宋体"/>
          <w:snapToGrid w:val="0"/>
          <w:color w:val="000000" w:themeColor="text1"/>
          <w:kern w:val="0"/>
          <w:szCs w:val="28"/>
          <w14:textFill>
            <w14:solidFill>
              <w14:schemeClr w14:val="tx1"/>
            </w14:solidFill>
          </w14:textFill>
        </w:rPr>
      </w:pPr>
      <w:r>
        <w:rPr>
          <w:rFonts w:hint="eastAsia" w:ascii="宋体" w:cs="Cambria"/>
          <w:snapToGrid w:val="0"/>
          <w:color w:val="000000"/>
          <w:kern w:val="0"/>
          <w:sz w:val="24"/>
          <w:szCs w:val="24"/>
        </w:rPr>
        <w:br w:type="page"/>
      </w:r>
    </w:p>
    <w:p>
      <w:pPr>
        <w:pStyle w:val="3"/>
        <w:bidi w:val="0"/>
      </w:pPr>
      <w:bookmarkStart w:id="41" w:name="_Toc55566255"/>
      <w:bookmarkStart w:id="42" w:name="_Toc7794"/>
      <w:bookmarkStart w:id="43" w:name="_Toc5014"/>
      <w:bookmarkStart w:id="44" w:name="_Toc27064"/>
      <w:r>
        <w:rPr>
          <w:rFonts w:hint="eastAsia"/>
        </w:rPr>
        <w:t>第二章 项目介绍</w:t>
      </w:r>
      <w:bookmarkEnd w:id="41"/>
      <w:bookmarkEnd w:id="42"/>
      <w:bookmarkEnd w:id="43"/>
      <w:bookmarkEnd w:id="44"/>
    </w:p>
    <w:p>
      <w:pPr>
        <w:pStyle w:val="4"/>
        <w:bidi w:val="0"/>
      </w:pPr>
      <w:r>
        <w:rPr>
          <w:rFonts w:hint="eastAsia"/>
        </w:rPr>
        <w:t>一、</w:t>
      </w:r>
      <w:r>
        <w:t>项目</w:t>
      </w:r>
      <w:r>
        <w:rPr>
          <w:rFonts w:hint="eastAsia"/>
        </w:rPr>
        <w:t>服务期限</w:t>
      </w:r>
    </w:p>
    <w:p>
      <w:pPr>
        <w:bidi w:val="0"/>
      </w:pPr>
      <w:r>
        <w:rPr>
          <w:rFonts w:hint="eastAsia"/>
        </w:rPr>
        <w:t>服务期限3年。合同一年一签。最终以实际项目合同为准。</w:t>
      </w:r>
    </w:p>
    <w:p>
      <w:pPr>
        <w:pStyle w:val="4"/>
        <w:bidi w:val="0"/>
      </w:pPr>
      <w:r>
        <w:rPr>
          <w:rFonts w:hint="eastAsia"/>
        </w:rPr>
        <w:t>二、</w:t>
      </w:r>
      <w:r>
        <w:t>项目</w:t>
      </w:r>
      <w:r>
        <w:rPr>
          <w:rFonts w:hint="eastAsia"/>
        </w:rPr>
        <w:t>最高限价</w:t>
      </w:r>
    </w:p>
    <w:p>
      <w:pPr>
        <w:bidi w:val="0"/>
      </w:pPr>
      <w:r>
        <w:rPr>
          <w:rFonts w:hint="eastAsia"/>
        </w:rPr>
        <w:t>每年最高限价人民币（小写）：25万元，人民币（大写）：贰拾伍万圆整。</w:t>
      </w:r>
    </w:p>
    <w:p>
      <w:pPr>
        <w:pStyle w:val="4"/>
        <w:bidi w:val="0"/>
      </w:pPr>
      <w:r>
        <w:rPr>
          <w:rFonts w:hint="eastAsia"/>
        </w:rPr>
        <w:t>三、项目具体要求</w:t>
      </w:r>
    </w:p>
    <w:p>
      <w:pPr>
        <w:bidi w:val="0"/>
      </w:pPr>
      <w:r>
        <w:rPr>
          <w:rFonts w:hint="eastAsia"/>
        </w:rPr>
        <w:t>（一）采购人列出项目主要内容及项目需求，参选人根据自身实力进行报价，采购人以文件规定的方式进行综合评审，项目报价为含税包干价，本项目不保证低价中标。</w:t>
      </w:r>
    </w:p>
    <w:p>
      <w:pPr>
        <w:bidi w:val="0"/>
      </w:pPr>
      <w:r>
        <w:rPr>
          <w:rFonts w:hint="eastAsia"/>
        </w:rPr>
        <w:t>（二）服务范围及内容</w:t>
      </w:r>
    </w:p>
    <w:p>
      <w:pPr>
        <w:bidi w:val="0"/>
      </w:pPr>
      <w:r>
        <w:rPr>
          <w:rFonts w:hint="eastAsia"/>
        </w:rPr>
        <w:t>1、向本行提供全重庆市（包含所有区县城市）的不动产线上评估结果服务；</w:t>
      </w:r>
    </w:p>
    <w:p>
      <w:pPr>
        <w:bidi w:val="0"/>
      </w:pPr>
      <w:r>
        <w:rPr>
          <w:rFonts w:hint="eastAsia"/>
        </w:rPr>
        <w:t>2、评估的不动产物业类型包含：住宅、商业用房、办公用房；</w:t>
      </w:r>
    </w:p>
    <w:p>
      <w:pPr>
        <w:bidi w:val="0"/>
      </w:pPr>
      <w:r>
        <w:rPr>
          <w:rFonts w:hint="eastAsia"/>
        </w:rPr>
        <w:t>3、不动产线上评估均不进行现场查勘，服务方式分为：线上自动查询、线上人工评估；</w:t>
      </w:r>
    </w:p>
    <w:p>
      <w:pPr>
        <w:bidi w:val="0"/>
      </w:pPr>
      <w:r>
        <w:rPr>
          <w:rFonts w:hint="eastAsia"/>
        </w:rPr>
        <w:t>4、向本行开放房地产评估数据接口服务，实现与本行相关系统的对接应用，达到线上评估相关要求；</w:t>
      </w:r>
    </w:p>
    <w:p>
      <w:pPr>
        <w:bidi w:val="0"/>
      </w:pPr>
      <w:r>
        <w:rPr>
          <w:rFonts w:hint="eastAsia"/>
        </w:rPr>
        <w:t>5、定期向本行提供房地产批量重估服务，对已贷款的住宅用房，实现押品的价格动态监测；</w:t>
      </w:r>
    </w:p>
    <w:p>
      <w:pPr>
        <w:bidi w:val="0"/>
      </w:pPr>
      <w:r>
        <w:rPr>
          <w:rFonts w:hint="eastAsia"/>
        </w:rPr>
        <w:t>6、定期向本行提供服务使用分析报告，报告的内容包括但不限于服务情况总结、问题分析及相关建议；</w:t>
      </w:r>
    </w:p>
    <w:p>
      <w:pPr>
        <w:bidi w:val="0"/>
      </w:pPr>
      <w:r>
        <w:rPr>
          <w:rFonts w:hint="eastAsia"/>
        </w:rPr>
        <w:t>7、不定期向我行提供重庆市不动产分析报告，至少保证每年两次；</w:t>
      </w:r>
    </w:p>
    <w:p>
      <w:pPr>
        <w:bidi w:val="0"/>
      </w:pPr>
      <w:r>
        <w:rPr>
          <w:rFonts w:hint="eastAsia"/>
        </w:rPr>
        <w:t>8、其他需线上评估的事项。</w:t>
      </w:r>
    </w:p>
    <w:p>
      <w:pPr>
        <w:pStyle w:val="4"/>
        <w:bidi w:val="0"/>
      </w:pPr>
      <w:r>
        <w:rPr>
          <w:rFonts w:hint="eastAsia"/>
        </w:rPr>
        <w:t>四、</w:t>
      </w:r>
      <w:r>
        <w:t>项目</w:t>
      </w:r>
      <w:r>
        <w:rPr>
          <w:rFonts w:hint="eastAsia"/>
        </w:rPr>
        <w:t>服务方式</w:t>
      </w:r>
    </w:p>
    <w:p>
      <w:pPr>
        <w:bidi w:val="0"/>
      </w:pPr>
      <w:r>
        <w:t>（一）</w:t>
      </w:r>
      <w:r>
        <w:rPr>
          <w:rFonts w:hint="eastAsia"/>
        </w:rPr>
        <w:t>本次服务采用开通PC端、APP端账号和数据库对接两种方式，开通PC端、APP端账号的方式由贵司为本行辖内所有经营机构开通查询账号，通过PC端、APP端为本行提供不动产线上估价服务，数据库对接方式由贵司的不动产估值数据库与本行业务系统对接，通过本行业务系统直接获取贵司不动产线上估价服务。</w:t>
      </w:r>
    </w:p>
    <w:p>
      <w:pPr>
        <w:bidi w:val="0"/>
      </w:pPr>
      <w:r>
        <w:t>（二）</w:t>
      </w:r>
      <w:r>
        <w:rPr>
          <w:rFonts w:hint="eastAsia"/>
        </w:rPr>
        <w:t>不动产线上评估自动查询服务，应实现7×24小时服务，若出现宕机或系统更新等情况应提前一个工作日通知本行。</w:t>
      </w:r>
    </w:p>
    <w:p>
      <w:pPr>
        <w:bidi w:val="0"/>
      </w:pPr>
      <w:r>
        <w:rPr>
          <w:rFonts w:hint="eastAsia"/>
        </w:rPr>
        <w:t>（三）不动产线上评估人工查询服务，应实现每周一至周五（法定节假日例外）、每天8</w:t>
      </w:r>
      <w:r>
        <w:t>:</w:t>
      </w:r>
      <w:r>
        <w:rPr>
          <w:rFonts w:hint="eastAsia"/>
        </w:rPr>
        <w:t>3</w:t>
      </w:r>
      <w:r>
        <w:t>0～</w:t>
      </w:r>
      <w:r>
        <w:rPr>
          <w:rFonts w:hint="eastAsia"/>
        </w:rPr>
        <w:t>12:00,13:00</w:t>
      </w:r>
      <w:r>
        <w:t>～</w:t>
      </w:r>
      <w:r>
        <w:rPr>
          <w:rFonts w:hint="eastAsia"/>
        </w:rPr>
        <w:t>18</w:t>
      </w:r>
      <w:r>
        <w:t>:</w:t>
      </w:r>
      <w:r>
        <w:rPr>
          <w:rFonts w:hint="eastAsia"/>
        </w:rPr>
        <w:t>0</w:t>
      </w:r>
      <w:r>
        <w:t>0</w:t>
      </w:r>
      <w:r>
        <w:rPr>
          <w:rFonts w:hint="eastAsia"/>
        </w:rPr>
        <w:t>的服务时效，住宅回价时间不超过30分钟，商业、办公回价时间不超过60分钟。除了固定服务时间外，若遇特殊情况，不动产线上评估人工服务应在非固定服务时间应采取电话、传真及电子数据交换等方式与本行联络，以快捷、简便的方式处理相关评估服务事项。</w:t>
      </w:r>
    </w:p>
    <w:p>
      <w:pPr>
        <w:bidi w:val="0"/>
        <w:sectPr>
          <w:pgSz w:w="11906" w:h="16838"/>
          <w:pgMar w:top="1440" w:right="1146" w:bottom="1440" w:left="1800" w:header="851" w:footer="992" w:gutter="0"/>
          <w:cols w:space="720" w:num="1"/>
          <w:docGrid w:type="lines" w:linePitch="312" w:charSpace="0"/>
        </w:sectPr>
      </w:pPr>
      <w:r>
        <w:t>（四）</w:t>
      </w:r>
      <w:r>
        <w:rPr>
          <w:rFonts w:hint="eastAsia"/>
        </w:rPr>
        <w:t>项目具体要求的未尽事宜，以双方签订的合作合同为最终依</w:t>
      </w:r>
      <w:bookmarkStart w:id="45" w:name="_Toc55566256"/>
      <w:r>
        <w:rPr>
          <w:rFonts w:hint="eastAsia"/>
        </w:rPr>
        <w:t>。</w:t>
      </w:r>
    </w:p>
    <w:bookmarkEnd w:id="45"/>
    <w:p>
      <w:pPr>
        <w:pStyle w:val="3"/>
        <w:bidi w:val="0"/>
      </w:pPr>
      <w:bookmarkStart w:id="46" w:name="_Toc17123"/>
      <w:bookmarkStart w:id="47" w:name="_Toc6724"/>
      <w:bookmarkStart w:id="48" w:name="_Toc55566257"/>
      <w:bookmarkStart w:id="49" w:name="_Toc18708"/>
      <w:r>
        <w:rPr>
          <w:rFonts w:hint="eastAsia"/>
        </w:rPr>
        <w:t>第三章 商务与技术条款</w:t>
      </w:r>
      <w:bookmarkEnd w:id="46"/>
      <w:bookmarkEnd w:id="47"/>
      <w:bookmarkEnd w:id="48"/>
      <w:bookmarkEnd w:id="49"/>
    </w:p>
    <w:p>
      <w:pPr>
        <w:pStyle w:val="4"/>
        <w:bidi w:val="0"/>
      </w:pPr>
      <w:bookmarkStart w:id="50" w:name="_Toc89675144"/>
      <w:bookmarkStart w:id="51" w:name="_Toc15059418"/>
      <w:r>
        <w:rPr>
          <w:rFonts w:hint="eastAsia"/>
        </w:rPr>
        <w:t>一、交付时间、地点</w:t>
      </w:r>
      <w:bookmarkEnd w:id="50"/>
      <w:bookmarkEnd w:id="51"/>
    </w:p>
    <w:p>
      <w:pPr>
        <w:bidi w:val="0"/>
      </w:pPr>
      <w:r>
        <w:rPr>
          <w:rFonts w:hint="eastAsia"/>
        </w:rPr>
        <w:t>（一）交付时间：以项目合同为准。</w:t>
      </w:r>
    </w:p>
    <w:p>
      <w:pPr>
        <w:bidi w:val="0"/>
      </w:pPr>
      <w:r>
        <w:rPr>
          <w:rFonts w:hint="eastAsia"/>
        </w:rPr>
        <w:t>（二）实施及交付地点：比选人指定地点。</w:t>
      </w:r>
    </w:p>
    <w:p>
      <w:pPr>
        <w:pStyle w:val="4"/>
        <w:bidi w:val="0"/>
      </w:pPr>
      <w:bookmarkStart w:id="52" w:name="_Toc15059419"/>
      <w:bookmarkStart w:id="53" w:name="_Toc89675145"/>
      <w:bookmarkStart w:id="54" w:name="_Toc440628915"/>
      <w:bookmarkStart w:id="55" w:name="_Toc432254881"/>
      <w:bookmarkStart w:id="56" w:name="_Toc1125"/>
      <w:bookmarkStart w:id="57" w:name="_Toc387826347"/>
      <w:r>
        <w:rPr>
          <w:rFonts w:hint="eastAsia"/>
        </w:rPr>
        <w:t>二、</w:t>
      </w:r>
      <w:bookmarkEnd w:id="52"/>
      <w:bookmarkEnd w:id="53"/>
      <w:r>
        <w:rPr>
          <w:rFonts w:hint="eastAsia"/>
        </w:rPr>
        <w:t>比选范围</w:t>
      </w:r>
    </w:p>
    <w:p>
      <w:pPr>
        <w:bidi w:val="0"/>
      </w:pPr>
      <w:bookmarkStart w:id="58" w:name="_Toc89675146"/>
      <w:bookmarkStart w:id="59" w:name="_Toc15059420"/>
      <w:r>
        <w:rPr>
          <w:rFonts w:hint="eastAsia"/>
        </w:rPr>
        <w:t>项目价格、资质等级、执业人员、注册资本、内控流程、财务指标、工作方案、服务时效、线上自动查询区域覆盖率、操作便捷度、评估结果与市场价值匹配度、增值服务。</w:t>
      </w:r>
    </w:p>
    <w:p>
      <w:pPr>
        <w:pStyle w:val="4"/>
        <w:numPr>
          <w:ilvl w:val="0"/>
          <w:numId w:val="2"/>
        </w:numPr>
        <w:bidi w:val="0"/>
      </w:pPr>
      <w:r>
        <w:rPr>
          <w:rFonts w:hint="eastAsia"/>
        </w:rPr>
        <w:t>商务与技术要求</w:t>
      </w:r>
    </w:p>
    <w:p>
      <w:pPr>
        <w:pStyle w:val="5"/>
        <w:bidi w:val="0"/>
      </w:pPr>
      <w:r>
        <w:rPr>
          <w:rFonts w:hint="eastAsia"/>
        </w:rPr>
        <w:t>（一）商务要求</w:t>
      </w:r>
    </w:p>
    <w:p>
      <w:pPr>
        <w:bidi w:val="0"/>
      </w:pPr>
      <w:r>
        <w:t>1.</w:t>
      </w:r>
      <w:r>
        <w:rPr>
          <w:rFonts w:hint="eastAsia"/>
        </w:rPr>
        <w:t>参选价格：按提供的服务类型以及服务类型涉及的单价综合评分。</w:t>
      </w:r>
    </w:p>
    <w:p>
      <w:pPr>
        <w:pStyle w:val="5"/>
        <w:numPr>
          <w:ilvl w:val="0"/>
          <w:numId w:val="3"/>
        </w:numPr>
        <w:bidi w:val="0"/>
      </w:pPr>
      <w:r>
        <w:rPr>
          <w:rFonts w:hint="eastAsia"/>
        </w:rPr>
        <w:t>技术要求</w:t>
      </w:r>
    </w:p>
    <w:p>
      <w:pPr>
        <w:bidi w:val="0"/>
      </w:pPr>
      <w:r>
        <w:t>1.</w:t>
      </w:r>
      <w:r>
        <w:rPr>
          <w:rFonts w:hint="eastAsia"/>
        </w:rPr>
        <w:t>资质等级：按资产、房地产、土地评估资质评分；</w:t>
      </w:r>
    </w:p>
    <w:p>
      <w:pPr>
        <w:bidi w:val="0"/>
      </w:pPr>
      <w:r>
        <w:t>2.</w:t>
      </w:r>
      <w:r>
        <w:rPr>
          <w:rFonts w:hint="eastAsia"/>
        </w:rPr>
        <w:t>服务于你机构的执业人员：按具体服务人员数量多少评分；</w:t>
      </w:r>
    </w:p>
    <w:p>
      <w:pPr>
        <w:bidi w:val="0"/>
      </w:pPr>
      <w:r>
        <w:t>3.</w:t>
      </w:r>
      <w:r>
        <w:rPr>
          <w:rFonts w:hint="eastAsia"/>
        </w:rPr>
        <w:t>注册资本：按实收资本金多少评分；</w:t>
      </w:r>
    </w:p>
    <w:p>
      <w:pPr>
        <w:bidi w:val="0"/>
      </w:pPr>
      <w:r>
        <w:t>4.</w:t>
      </w:r>
      <w:r>
        <w:rPr>
          <w:rFonts w:hint="eastAsia"/>
        </w:rPr>
        <w:t>内控流程：内部复核机制，复核流程是否严谨、设立了几级复核等综合评分；</w:t>
      </w:r>
    </w:p>
    <w:p>
      <w:pPr>
        <w:bidi w:val="0"/>
      </w:pPr>
      <w:r>
        <w:rPr>
          <w:rFonts w:hint="eastAsia"/>
        </w:rPr>
        <w:t>5</w:t>
      </w:r>
      <w:r>
        <w:t>.</w:t>
      </w:r>
      <w:r>
        <w:rPr>
          <w:rFonts w:hint="eastAsia"/>
        </w:rPr>
        <w:t>财务指标：按经营收入多少评分；</w:t>
      </w:r>
    </w:p>
    <w:p>
      <w:pPr>
        <w:bidi w:val="0"/>
      </w:pPr>
      <w:r>
        <w:rPr>
          <w:rFonts w:hint="eastAsia"/>
        </w:rPr>
        <w:t>6.服务时效：按每周服务时间，每日服务时长、人工反馈时效综合评分；</w:t>
      </w:r>
    </w:p>
    <w:p>
      <w:pPr>
        <w:bidi w:val="0"/>
        <w:rPr>
          <w:rFonts w:hint="eastAsia"/>
        </w:rPr>
      </w:pPr>
      <w:r>
        <w:rPr>
          <w:rFonts w:hint="eastAsia"/>
        </w:rPr>
        <w:t>7.声誉：按服务同业的数量以及与我行合作时长综合评分。</w:t>
      </w:r>
    </w:p>
    <w:p>
      <w:pPr>
        <w:pStyle w:val="2"/>
      </w:pPr>
    </w:p>
    <w:p>
      <w:pPr>
        <w:pStyle w:val="4"/>
        <w:bidi w:val="0"/>
      </w:pPr>
      <w:r>
        <w:rPr>
          <w:rFonts w:hint="eastAsia"/>
        </w:rPr>
        <w:t>四、</w:t>
      </w:r>
      <w:bookmarkEnd w:id="58"/>
      <w:bookmarkEnd w:id="59"/>
      <w:r>
        <w:rPr>
          <w:rFonts w:hint="eastAsia"/>
        </w:rPr>
        <w:t>付款要求</w:t>
      </w:r>
    </w:p>
    <w:p>
      <w:pPr>
        <w:bidi w:val="0"/>
      </w:pPr>
      <w:bookmarkStart w:id="60" w:name="_Toc15059421"/>
      <w:bookmarkStart w:id="61" w:name="_Toc89675147"/>
      <w:r>
        <w:rPr>
          <w:rFonts w:hint="eastAsia"/>
        </w:rPr>
        <w:t>每年服务费用分两期支付，服务期限内每满六个月付款一次，付款金额以本行实际使用查询情况为准，第二次应付款项与服务机构的后评价挂钩。</w:t>
      </w:r>
    </w:p>
    <w:bookmarkEnd w:id="60"/>
    <w:bookmarkEnd w:id="61"/>
    <w:p>
      <w:pPr>
        <w:pStyle w:val="4"/>
        <w:bidi w:val="0"/>
      </w:pPr>
      <w:bookmarkStart w:id="62" w:name="_Toc15059422"/>
      <w:bookmarkStart w:id="63" w:name="_Toc89675148"/>
      <w:r>
        <w:rPr>
          <w:rFonts w:hint="eastAsia"/>
        </w:rPr>
        <w:t>五、后续评价管理</w:t>
      </w:r>
    </w:p>
    <w:p>
      <w:pPr>
        <w:bidi w:val="0"/>
      </w:pPr>
      <w:r>
        <w:t>（一）</w:t>
      </w:r>
      <w:r>
        <w:rPr>
          <w:rFonts w:hint="eastAsia"/>
        </w:rPr>
        <w:t>每年度服务期限届满前 1 个月，本行对不动产线上评估服务开展评价。</w:t>
      </w:r>
    </w:p>
    <w:p>
      <w:pPr>
        <w:bidi w:val="0"/>
      </w:pPr>
      <w:r>
        <w:t>1、</w:t>
      </w:r>
      <w:r>
        <w:rPr>
          <w:rFonts w:hint="eastAsia"/>
        </w:rPr>
        <w:t>履职情况考核40分：无正当理由不按要求履行服务时效，1 次扣5分；未按要求无故宕机导致不动产线上评估无法开展工作的，1 次扣5 分：未及时响应线上人工评估服务或怠于履行职责的，1 次扣5分；如因工作失误给本行造成较大损失的，1次扣10分；未按要求提供其他线上评估服务的，酌情扣分。</w:t>
      </w:r>
    </w:p>
    <w:p>
      <w:pPr>
        <w:bidi w:val="0"/>
      </w:pPr>
      <w:r>
        <w:t>2、</w:t>
      </w:r>
      <w:r>
        <w:rPr>
          <w:rFonts w:hint="eastAsia"/>
        </w:rPr>
        <w:t>规范执业考核40分：未建立不动产线上评估工作档案、保存工作记录的，扣5分；未按时提供服务期工作总结或报告的，1次扣5分；服务期内被本行部门及分支机构投诉的，1 次扣5 分；其他违反执业规范要求的，酌情扣分。</w:t>
      </w:r>
    </w:p>
    <w:p>
      <w:pPr>
        <w:bidi w:val="0"/>
      </w:pPr>
      <w:r>
        <w:t>3、</w:t>
      </w:r>
      <w:r>
        <w:rPr>
          <w:rFonts w:hint="eastAsia"/>
        </w:rPr>
        <w:t>树立形象考核20分：从事不动产线上评估工作中，损害本行利益或形象的，1次扣10分。</w:t>
      </w:r>
    </w:p>
    <w:p>
      <w:pPr>
        <w:bidi w:val="0"/>
      </w:pPr>
      <w:r>
        <w:t>（二）</w:t>
      </w:r>
      <w:r>
        <w:rPr>
          <w:rFonts w:hint="eastAsia"/>
        </w:rPr>
        <w:t>后评价运用</w:t>
      </w:r>
    </w:p>
    <w:p>
      <w:pPr>
        <w:bidi w:val="0"/>
      </w:pPr>
      <w:r>
        <w:rPr>
          <w:rFonts w:hint="eastAsia"/>
        </w:rPr>
        <w:t>不动产线上评估服务后评价采用打分制，总分为100分。如考评结果为优秀（90分及以上）则全额支付剩余应付款项，采购期内可续签下一年的合同；如考评结果为合格（80分及以上不满90分）则减半支付剩余应付款项，采购期内可续签下一年的合同；如考评为不合格（不满80分），则剩余款项不再支付，不再续签合同且以后三年不得入围。</w:t>
      </w:r>
    </w:p>
    <w:bookmarkEnd w:id="62"/>
    <w:bookmarkEnd w:id="63"/>
    <w:p>
      <w:pPr>
        <w:pStyle w:val="4"/>
        <w:bidi w:val="0"/>
      </w:pPr>
      <w:bookmarkStart w:id="64" w:name="_Toc89675149"/>
      <w:bookmarkStart w:id="65" w:name="_Toc15059423"/>
      <w:r>
        <w:rPr>
          <w:rFonts w:hint="eastAsia"/>
        </w:rPr>
        <w:t>六、税票要求</w:t>
      </w:r>
    </w:p>
    <w:p>
      <w:pPr>
        <w:bidi w:val="0"/>
      </w:pPr>
      <w:r>
        <w:rPr>
          <w:rFonts w:hint="eastAsia"/>
        </w:rPr>
        <w:t>每次付款，服务方应向甲方出具相应金额合法合规的增值税专用发票；不动产线上评估服务适用增值税率6%；服务方须按税法规定税率向我行出具相应金额合法合规的增值税专用发票。</w:t>
      </w:r>
    </w:p>
    <w:p>
      <w:pPr>
        <w:bidi w:val="0"/>
      </w:pPr>
      <w:r>
        <w:rPr>
          <w:rFonts w:hint="eastAsia"/>
        </w:rPr>
        <w:t>由于卖方纳税人身份、纳税方式及国家税制改革原因带来的税种及税率的变化，合同不含税价款保持不变。</w:t>
      </w:r>
    </w:p>
    <w:bookmarkEnd w:id="64"/>
    <w:bookmarkEnd w:id="65"/>
    <w:p>
      <w:pPr>
        <w:pStyle w:val="4"/>
        <w:bidi w:val="0"/>
      </w:pPr>
      <w:bookmarkStart w:id="66" w:name="_Toc89675150"/>
      <w:bookmarkStart w:id="67" w:name="_Toc15059424"/>
      <w:r>
        <w:rPr>
          <w:rFonts w:hint="eastAsia"/>
        </w:rPr>
        <w:t>七</w:t>
      </w:r>
      <w:r>
        <w:t>、</w:t>
      </w:r>
      <w:r>
        <w:rPr>
          <w:rFonts w:hint="eastAsia"/>
        </w:rPr>
        <w:t>保密条款</w:t>
      </w:r>
      <w:bookmarkEnd w:id="54"/>
      <w:bookmarkEnd w:id="55"/>
      <w:bookmarkEnd w:id="56"/>
      <w:bookmarkEnd w:id="57"/>
      <w:bookmarkEnd w:id="66"/>
      <w:bookmarkEnd w:id="67"/>
    </w:p>
    <w:p>
      <w:pPr>
        <w:pStyle w:val="5"/>
        <w:bidi w:val="0"/>
      </w:pPr>
      <w:r>
        <w:rPr>
          <w:rFonts w:hint="eastAsia"/>
        </w:rPr>
        <w:t>（一）保密范围</w:t>
      </w:r>
    </w:p>
    <w:p>
      <w:pPr>
        <w:bidi w:val="0"/>
      </w:pPr>
      <w:r>
        <w:rPr>
          <w:rFonts w:hint="eastAsia"/>
        </w:rPr>
        <w:t>中选人在实施过程中接触到的比选人知识产权、经营信息等。</w:t>
      </w:r>
    </w:p>
    <w:p>
      <w:pPr>
        <w:pStyle w:val="5"/>
        <w:bidi w:val="0"/>
      </w:pPr>
      <w:r>
        <w:rPr>
          <w:rFonts w:hint="eastAsia"/>
        </w:rPr>
        <w:t>（二）保密责任</w:t>
      </w:r>
    </w:p>
    <w:p>
      <w:pPr>
        <w:bidi w:val="0"/>
      </w:pPr>
      <w:r>
        <w:rPr>
          <w:rFonts w:hint="eastAsia"/>
        </w:rPr>
        <w:t>双方互为保密资料的提供方和接受方，负有保密义务，承担保密责任。除经过双方书面同意，任何一方不得将有关内容提供给合同以外的第三人。</w:t>
      </w:r>
    </w:p>
    <w:p>
      <w:pPr>
        <w:pStyle w:val="4"/>
        <w:bidi w:val="0"/>
      </w:pPr>
      <w:bookmarkStart w:id="68" w:name="_Toc89675151"/>
      <w:bookmarkStart w:id="69" w:name="_Toc15059425"/>
      <w:r>
        <w:rPr>
          <w:rFonts w:hint="eastAsia"/>
        </w:rPr>
        <w:t>八、报价要求</w:t>
      </w:r>
      <w:bookmarkEnd w:id="68"/>
      <w:bookmarkEnd w:id="69"/>
    </w:p>
    <w:p>
      <w:pPr>
        <w:bidi w:val="0"/>
      </w:pPr>
      <w:r>
        <w:rPr>
          <w:rFonts w:hint="eastAsia"/>
        </w:rPr>
        <w:t>1、在最高限价范围内，参选人自主密封报价，总价及单价超限报价的视为无效报价。参选人所报价格为含税包干价格。</w:t>
      </w:r>
    </w:p>
    <w:p>
      <w:pPr>
        <w:bidi w:val="0"/>
      </w:pPr>
      <w:r>
        <w:rPr>
          <w:rFonts w:hint="eastAsia"/>
        </w:rPr>
        <w:t>2、报价单上应列明增值税专用发票的税率。</w:t>
      </w:r>
    </w:p>
    <w:p>
      <w:pPr>
        <w:pStyle w:val="4"/>
        <w:bidi w:val="0"/>
      </w:pPr>
      <w:bookmarkStart w:id="70" w:name="_Toc15059426"/>
      <w:bookmarkStart w:id="71" w:name="_Toc89675152"/>
      <w:r>
        <w:rPr>
          <w:rFonts w:hint="eastAsia"/>
        </w:rPr>
        <w:t>九</w:t>
      </w:r>
      <w:r>
        <w:t>、</w:t>
      </w:r>
      <w:r>
        <w:rPr>
          <w:rFonts w:hint="eastAsia"/>
        </w:rPr>
        <w:t>知识产权</w:t>
      </w:r>
      <w:bookmarkEnd w:id="70"/>
      <w:bookmarkEnd w:id="71"/>
    </w:p>
    <w:p>
      <w:pPr>
        <w:bidi w:val="0"/>
      </w:pPr>
      <w:r>
        <w:rPr>
          <w:rFonts w:hint="eastAsia"/>
        </w:rPr>
        <w:t>1、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pPr>
        <w:bidi w:val="0"/>
      </w:pPr>
      <w:r>
        <w:rPr>
          <w:rFonts w:hint="eastAsia"/>
        </w:rPr>
        <w:t>2、一经发现中选人将我行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w:t>
      </w:r>
      <w:r>
        <w:t>0</w:t>
      </w:r>
      <w:r>
        <w:rPr>
          <w:rFonts w:hint="eastAsia"/>
        </w:rPr>
        <w:t>%）。</w:t>
      </w:r>
    </w:p>
    <w:p>
      <w:pPr>
        <w:pStyle w:val="4"/>
        <w:bidi w:val="0"/>
      </w:pPr>
      <w:bookmarkStart w:id="72" w:name="_Toc15059427"/>
      <w:bookmarkStart w:id="73" w:name="_Toc89675153"/>
      <w:r>
        <w:rPr>
          <w:rFonts w:hint="eastAsia"/>
        </w:rPr>
        <w:t>十、其他</w:t>
      </w:r>
      <w:bookmarkEnd w:id="72"/>
      <w:bookmarkEnd w:id="73"/>
    </w:p>
    <w:p>
      <w:pPr>
        <w:bidi w:val="0"/>
      </w:pPr>
      <w:r>
        <w:rPr>
          <w:rFonts w:hint="eastAsia"/>
        </w:rPr>
        <w:t>1、参选人必须在参选文件中对以上条款和服务承诺明确列出，承诺内容必须达到本篇及比选文件其他条款的要求。</w:t>
      </w:r>
    </w:p>
    <w:p>
      <w:pPr>
        <w:bidi w:val="0"/>
      </w:pPr>
      <w:r>
        <w:rPr>
          <w:rFonts w:hint="eastAsia"/>
        </w:rPr>
        <w:t>2、其他未尽事宜由供需双方在合同中详细约定。如果比选文件和合同条款不一致，以合同约定为准。</w:t>
      </w:r>
      <w:bookmarkStart w:id="74" w:name="_Toc55566258"/>
      <w:bookmarkStart w:id="75" w:name="_Toc15059428"/>
    </w:p>
    <w:p>
      <w:pPr>
        <w:spacing w:line="360" w:lineRule="auto"/>
        <w:ind w:firstLine="480" w:firstLineChars="200"/>
        <w:rPr>
          <w:rFonts w:ascii="宋体" w:cs="宋体"/>
          <w:snapToGrid w:val="0"/>
          <w:color w:val="000000" w:themeColor="text1"/>
          <w:kern w:val="0"/>
          <w:sz w:val="24"/>
          <w:szCs w:val="24"/>
          <w14:textFill>
            <w14:solidFill>
              <w14:schemeClr w14:val="tx1"/>
            </w14:solidFill>
          </w14:textFill>
        </w:rPr>
      </w:pPr>
    </w:p>
    <w:p>
      <w:pPr>
        <w:tabs>
          <w:tab w:val="left" w:pos="3360"/>
        </w:tabs>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pStyle w:val="3"/>
        <w:bidi w:val="0"/>
      </w:pPr>
      <w:bookmarkStart w:id="76" w:name="_Toc29508"/>
      <w:bookmarkStart w:id="77" w:name="_Toc4815"/>
      <w:bookmarkStart w:id="78" w:name="_Toc14132"/>
      <w:r>
        <w:rPr>
          <w:rFonts w:hint="eastAsia"/>
        </w:rPr>
        <w:t>第四章</w:t>
      </w:r>
      <w:r>
        <w:t xml:space="preserve"> </w:t>
      </w:r>
      <w:r>
        <w:rPr>
          <w:rFonts w:hint="eastAsia"/>
        </w:rPr>
        <w:t>评审方法、评审标准和参选无效条款</w:t>
      </w:r>
      <w:bookmarkEnd w:id="74"/>
      <w:bookmarkEnd w:id="75"/>
      <w:bookmarkEnd w:id="76"/>
      <w:bookmarkEnd w:id="77"/>
      <w:bookmarkEnd w:id="78"/>
      <w:bookmarkStart w:id="79" w:name="_Toc440628922"/>
      <w:bookmarkStart w:id="80" w:name="_Toc32178"/>
      <w:bookmarkStart w:id="81" w:name="_Toc275199616"/>
    </w:p>
    <w:p>
      <w:pPr>
        <w:pStyle w:val="4"/>
        <w:bidi w:val="0"/>
      </w:pPr>
      <w:bookmarkStart w:id="82" w:name="_Toc15059429"/>
      <w:bookmarkStart w:id="83" w:name="_Toc89675155"/>
      <w:r>
        <w:rPr>
          <w:rFonts w:hint="eastAsia"/>
        </w:rPr>
        <w:t>一、评审方法</w:t>
      </w:r>
      <w:bookmarkEnd w:id="79"/>
      <w:bookmarkEnd w:id="80"/>
      <w:bookmarkEnd w:id="81"/>
      <w:bookmarkEnd w:id="82"/>
      <w:bookmarkEnd w:id="83"/>
    </w:p>
    <w:p>
      <w:pPr>
        <w:pStyle w:val="5"/>
        <w:bidi w:val="0"/>
      </w:pPr>
      <w:r>
        <w:rPr>
          <w:rFonts w:hint="eastAsia"/>
        </w:rPr>
        <w:t>（一）评审方法定义</w:t>
      </w:r>
    </w:p>
    <w:p>
      <w:pPr>
        <w:bidi w:val="0"/>
      </w:pPr>
      <w:r>
        <w:rPr>
          <w:rFonts w:hint="eastAsia"/>
        </w:rPr>
        <w:t>本项目采用综合评分法进行评审。综合评分法是指在最大限度地满足比选文件实质性要求前提下，按照比选文件中规定的各项评分因素进行综合评审后，以评审总得分排名前三名的参选人作为中选人。参选人总得分为商务、技术等评定因素分别按照相应权重值计算分项得分后相加，满分为100分。若参与比选供应商不足三家，经评审委员会判定，响应单位参选人具有相对行业竞争力的，可继续进行评审。</w:t>
      </w:r>
    </w:p>
    <w:p>
      <w:pPr>
        <w:pStyle w:val="5"/>
        <w:bidi w:val="0"/>
      </w:pPr>
      <w:r>
        <w:rPr>
          <w:rFonts w:hint="eastAsia"/>
        </w:rPr>
        <w:t>（二）评审程序</w:t>
      </w:r>
    </w:p>
    <w:p>
      <w:pPr>
        <w:bidi w:val="0"/>
      </w:pPr>
      <w:r>
        <w:rPr>
          <w:rFonts w:hint="eastAsia"/>
        </w:rPr>
        <w:t>评审工作由比选人依法组建的评审委员会进行，负责具体评审事务。按以下程序独立履行评审职责：</w:t>
      </w:r>
    </w:p>
    <w:p>
      <w:pPr>
        <w:bidi w:val="0"/>
      </w:pPr>
      <w:r>
        <w:rPr>
          <w:rFonts w:hint="eastAsia"/>
        </w:rPr>
        <w:t>1、资格性检查。依据法律法规和比选文件的规定，对参选文件中的资格证明、参选保证金等进行审查，以确定参选人是否具备参选资格。资格性检查资料表如下：</w:t>
      </w:r>
    </w:p>
    <w:tbl>
      <w:tblPr>
        <w:tblStyle w:val="19"/>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716"/>
        <w:gridCol w:w="4239"/>
        <w:gridCol w:w="3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jc w:val="center"/>
              <w:textAlignment w:val="auto"/>
              <w:rPr>
                <w:rFonts w:hint="eastAsia" w:ascii="宋体" w:hAnsi="宋体" w:eastAsia="宋体" w:cs="宋体"/>
                <w:b/>
                <w:snapToGrid w:val="0"/>
                <w:color w:val="000000" w:themeColor="text1"/>
                <w:kern w:val="0"/>
                <w:sz w:val="24"/>
                <w:szCs w:val="24"/>
                <w14:textFill>
                  <w14:solidFill>
                    <w14:schemeClr w14:val="tx1"/>
                  </w14:solidFill>
                </w14:textFill>
              </w:rPr>
            </w:pPr>
            <w:r>
              <w:rPr>
                <w:rFonts w:hint="eastAsia" w:ascii="宋体" w:hAnsi="宋体" w:eastAsia="宋体" w:cs="宋体"/>
                <w:b/>
                <w:snapToGrid w:val="0"/>
                <w:color w:val="000000" w:themeColor="text1"/>
                <w:kern w:val="0"/>
                <w:sz w:val="24"/>
                <w:szCs w:val="24"/>
                <w14:textFill>
                  <w14:solidFill>
                    <w14:schemeClr w14:val="tx1"/>
                  </w14:solidFill>
                </w14:textFill>
              </w:rPr>
              <w:t>序号</w:t>
            </w:r>
          </w:p>
        </w:tc>
        <w:tc>
          <w:tcPr>
            <w:tcW w:w="4955" w:type="dxa"/>
            <w:gridSpan w:val="2"/>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jc w:val="center"/>
              <w:textAlignment w:val="auto"/>
              <w:rPr>
                <w:rFonts w:hint="eastAsia" w:ascii="宋体" w:hAnsi="宋体" w:eastAsia="宋体" w:cs="宋体"/>
                <w:b/>
                <w:snapToGrid w:val="0"/>
                <w:color w:val="000000" w:themeColor="text1"/>
                <w:kern w:val="0"/>
                <w:sz w:val="24"/>
                <w:szCs w:val="24"/>
                <w14:textFill>
                  <w14:solidFill>
                    <w14:schemeClr w14:val="tx1"/>
                  </w14:solidFill>
                </w14:textFill>
              </w:rPr>
            </w:pPr>
            <w:r>
              <w:rPr>
                <w:rFonts w:hint="eastAsia" w:ascii="宋体" w:hAnsi="宋体" w:eastAsia="宋体" w:cs="宋体"/>
                <w:b/>
                <w:snapToGrid w:val="0"/>
                <w:color w:val="000000" w:themeColor="text1"/>
                <w:kern w:val="0"/>
                <w:sz w:val="24"/>
                <w:szCs w:val="24"/>
                <w14:textFill>
                  <w14:solidFill>
                    <w14:schemeClr w14:val="tx1"/>
                  </w14:solidFill>
                </w14:textFill>
              </w:rPr>
              <w:t>检查因素</w:t>
            </w:r>
          </w:p>
        </w:tc>
        <w:tc>
          <w:tcPr>
            <w:tcW w:w="3763" w:type="dxa"/>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jc w:val="center"/>
              <w:textAlignment w:val="auto"/>
              <w:rPr>
                <w:rFonts w:hint="eastAsia" w:ascii="宋体" w:hAnsi="宋体" w:eastAsia="宋体" w:cs="宋体"/>
                <w:b/>
                <w:snapToGrid w:val="0"/>
                <w:color w:val="000000" w:themeColor="text1"/>
                <w:kern w:val="0"/>
                <w:sz w:val="24"/>
                <w:szCs w:val="24"/>
                <w14:textFill>
                  <w14:solidFill>
                    <w14:schemeClr w14:val="tx1"/>
                  </w14:solidFill>
                </w14:textFill>
              </w:rPr>
            </w:pPr>
            <w:r>
              <w:rPr>
                <w:rFonts w:hint="eastAsia" w:ascii="宋体" w:hAnsi="宋体" w:eastAsia="宋体" w:cs="宋体"/>
                <w:b/>
                <w:snapToGrid w:val="0"/>
                <w:color w:val="000000" w:themeColor="text1"/>
                <w:kern w:val="0"/>
                <w:sz w:val="24"/>
                <w:szCs w:val="24"/>
                <w14:textFill>
                  <w14:solidFill>
                    <w14:schemeClr w14:val="tx1"/>
                  </w14:solidFill>
                </w14:textFill>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restart"/>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jc w:val="center"/>
              <w:textAlignment w:val="auto"/>
              <w:rPr>
                <w:rFonts w:hint="eastAsia" w:ascii="宋体" w:hAnsi="宋体" w:eastAsia="宋体" w:cs="宋体"/>
                <w:snapToGrid w:val="0"/>
                <w:color w:val="000000" w:themeColor="text1"/>
                <w:kern w:val="0"/>
                <w:sz w:val="24"/>
                <w:szCs w:val="24"/>
                <w:lang w:val="zh-CN"/>
                <w14:textFill>
                  <w14:solidFill>
                    <w14:schemeClr w14:val="tx1"/>
                  </w14:solidFill>
                </w14:textFill>
              </w:rPr>
            </w:pPr>
            <w:r>
              <w:rPr>
                <w:rFonts w:hint="eastAsia" w:ascii="宋体" w:hAnsi="宋体" w:eastAsia="宋体" w:cs="宋体"/>
                <w:snapToGrid w:val="0"/>
                <w:color w:val="000000" w:themeColor="text1"/>
                <w:kern w:val="0"/>
                <w:sz w:val="24"/>
                <w:szCs w:val="24"/>
                <w:lang w:val="zh-CN"/>
                <w14:textFill>
                  <w14:solidFill>
                    <w14:schemeClr w14:val="tx1"/>
                  </w14:solidFill>
                </w14:textFill>
              </w:rPr>
              <w:t>1</w:t>
            </w:r>
          </w:p>
        </w:tc>
        <w:tc>
          <w:tcPr>
            <w:tcW w:w="716" w:type="dxa"/>
            <w:vMerge w:val="restart"/>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textAlignment w:val="auto"/>
              <w:rPr>
                <w:rFonts w:hint="eastAsia" w:ascii="宋体" w:hAnsi="宋体" w:eastAsia="宋体" w:cs="宋体"/>
                <w:snapToGrid w:val="0"/>
                <w:color w:val="000000" w:themeColor="text1"/>
                <w:kern w:val="0"/>
                <w:sz w:val="24"/>
                <w:szCs w:val="24"/>
                <w:lang w:val="zh-CN"/>
                <w14:textFill>
                  <w14:solidFill>
                    <w14:schemeClr w14:val="tx1"/>
                  </w14:solidFill>
                </w14:textFill>
              </w:rPr>
            </w:pPr>
            <w:r>
              <w:rPr>
                <w:rFonts w:hint="eastAsia" w:ascii="宋体" w:hAnsi="宋体" w:eastAsia="宋体" w:cs="宋体"/>
                <w:snapToGrid w:val="0"/>
                <w:color w:val="000000" w:themeColor="text1"/>
                <w:kern w:val="0"/>
                <w:sz w:val="24"/>
                <w:szCs w:val="24"/>
                <w:lang w:val="zh-CN"/>
                <w14:textFill>
                  <w14:solidFill>
                    <w14:schemeClr w14:val="tx1"/>
                  </w14:solidFill>
                </w14:textFill>
              </w:rPr>
              <w:t>基本资格条件</w:t>
            </w:r>
          </w:p>
        </w:tc>
        <w:tc>
          <w:tcPr>
            <w:tcW w:w="4239" w:type="dxa"/>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（1）具有独立承担民事责任的能力</w:t>
            </w:r>
          </w:p>
        </w:tc>
        <w:tc>
          <w:tcPr>
            <w:tcW w:w="3763" w:type="dxa"/>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参选人有效营业执照（副本）、直属的分支机构（直属的分支机构参与参选必须具有总公司的授权委托书）或事业单位法人证书（副本）或个体工商户营业执照或有效的自然人身份证明；</w:t>
            </w:r>
          </w:p>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参选人法定代表人身份证明和法定代表人授权代表委托书。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716"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4239" w:type="dxa"/>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lang w:val="zh-CN"/>
                <w14:textFill>
                  <w14:solidFill>
                    <w14:schemeClr w14:val="tx1"/>
                  </w14:solidFill>
                </w14:textFill>
              </w:rPr>
              <w:t>（2）</w:t>
            </w:r>
            <w:r>
              <w:rPr>
                <w:rFonts w:hint="eastAsia" w:ascii="宋体" w:hAnsi="宋体" w:eastAsia="宋体" w:cs="宋体"/>
                <w:snapToGrid w:val="0"/>
                <w:color w:val="000000" w:themeColor="text1"/>
                <w:kern w:val="0"/>
                <w:sz w:val="24"/>
                <w:szCs w:val="24"/>
                <w14:textFill>
                  <w14:solidFill>
                    <w14:schemeClr w14:val="tx1"/>
                  </w14:solidFill>
                </w14:textFill>
              </w:rPr>
              <w:t>具有良好的商业信誉和健全的财务会计制度</w:t>
            </w:r>
          </w:p>
        </w:tc>
        <w:tc>
          <w:tcPr>
            <w:tcW w:w="3763" w:type="dxa"/>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716"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4239" w:type="dxa"/>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textAlignment w:val="auto"/>
              <w:rPr>
                <w:rFonts w:hint="eastAsia" w:ascii="宋体" w:hAnsi="宋体" w:eastAsia="宋体" w:cs="宋体"/>
                <w:snapToGrid w:val="0"/>
                <w:color w:val="000000" w:themeColor="text1"/>
                <w:kern w:val="0"/>
                <w:sz w:val="24"/>
                <w:szCs w:val="24"/>
                <w:lang w:val="zh-CN"/>
                <w14:textFill>
                  <w14:solidFill>
                    <w14:schemeClr w14:val="tx1"/>
                  </w14:solidFill>
                </w14:textFill>
              </w:rPr>
            </w:pPr>
            <w:r>
              <w:rPr>
                <w:rFonts w:hint="eastAsia" w:ascii="宋体" w:hAnsi="宋体" w:eastAsia="宋体" w:cs="宋体"/>
                <w:snapToGrid w:val="0"/>
                <w:color w:val="000000" w:themeColor="text1"/>
                <w:kern w:val="0"/>
                <w:sz w:val="24"/>
                <w:szCs w:val="24"/>
                <w:lang w:val="zh-CN"/>
                <w14:textFill>
                  <w14:solidFill>
                    <w14:schemeClr w14:val="tx1"/>
                  </w14:solidFill>
                </w14:textFill>
              </w:rPr>
              <w:t>（3）具有履行合同所必需的设备和专业技术能力</w:t>
            </w:r>
          </w:p>
        </w:tc>
        <w:tc>
          <w:tcPr>
            <w:tcW w:w="3763" w:type="dxa"/>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716"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4239" w:type="dxa"/>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textAlignment w:val="auto"/>
              <w:rPr>
                <w:rFonts w:hint="eastAsia" w:ascii="宋体" w:hAnsi="宋体" w:eastAsia="宋体" w:cs="宋体"/>
                <w:snapToGrid w:val="0"/>
                <w:color w:val="000000" w:themeColor="text1"/>
                <w:kern w:val="0"/>
                <w:sz w:val="24"/>
                <w:szCs w:val="24"/>
                <w:lang w:val="zh-CN"/>
                <w14:textFill>
                  <w14:solidFill>
                    <w14:schemeClr w14:val="tx1"/>
                  </w14:solidFill>
                </w14:textFill>
              </w:rPr>
            </w:pPr>
            <w:r>
              <w:rPr>
                <w:rFonts w:hint="eastAsia" w:ascii="宋体" w:hAnsi="宋体" w:eastAsia="宋体" w:cs="宋体"/>
                <w:snapToGrid w:val="0"/>
                <w:color w:val="000000" w:themeColor="text1"/>
                <w:kern w:val="0"/>
                <w:sz w:val="24"/>
                <w:szCs w:val="24"/>
                <w:lang w:val="zh-CN"/>
                <w14:textFill>
                  <w14:solidFill>
                    <w14:schemeClr w14:val="tx1"/>
                  </w14:solidFill>
                </w14:textFill>
              </w:rPr>
              <w:t>（4）有依法缴纳税收和社会保障金的良好记录</w:t>
            </w:r>
          </w:p>
        </w:tc>
        <w:tc>
          <w:tcPr>
            <w:tcW w:w="3763" w:type="dxa"/>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jc w:val="left"/>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税务登记证（副本）复印件，三证合一的企业提供统一社会信用代码的营业执照，近半年社会保险缴纳证明材料（社保局加盖公章）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716"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4239" w:type="dxa"/>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textAlignment w:val="auto"/>
              <w:rPr>
                <w:rFonts w:hint="eastAsia" w:ascii="宋体" w:hAnsi="宋体" w:eastAsia="宋体" w:cs="宋体"/>
                <w:snapToGrid w:val="0"/>
                <w:color w:val="000000" w:themeColor="text1"/>
                <w:kern w:val="0"/>
                <w:sz w:val="24"/>
                <w:szCs w:val="24"/>
                <w:lang w:val="zh-CN"/>
                <w14:textFill>
                  <w14:solidFill>
                    <w14:schemeClr w14:val="tx1"/>
                  </w14:solidFill>
                </w14:textFill>
              </w:rPr>
            </w:pPr>
            <w:r>
              <w:rPr>
                <w:rFonts w:hint="eastAsia" w:ascii="宋体" w:hAnsi="宋体" w:eastAsia="宋体" w:cs="宋体"/>
                <w:snapToGrid w:val="0"/>
                <w:color w:val="000000" w:themeColor="text1"/>
                <w:kern w:val="0"/>
                <w:sz w:val="24"/>
                <w:szCs w:val="24"/>
                <w:lang w:val="zh-CN"/>
                <w14:textFill>
                  <w14:solidFill>
                    <w14:schemeClr w14:val="tx1"/>
                  </w14:solidFill>
                </w14:textFill>
              </w:rPr>
              <w:t>（</w:t>
            </w:r>
            <w:r>
              <w:rPr>
                <w:rFonts w:hint="eastAsia" w:ascii="宋体" w:hAnsi="宋体" w:eastAsia="宋体" w:cs="宋体"/>
                <w:snapToGrid w:val="0"/>
                <w:color w:val="000000" w:themeColor="text1"/>
                <w:kern w:val="0"/>
                <w:sz w:val="24"/>
                <w:szCs w:val="24"/>
                <w14:textFill>
                  <w14:solidFill>
                    <w14:schemeClr w14:val="tx1"/>
                  </w14:solidFill>
                </w14:textFill>
              </w:rPr>
              <w:t>5</w:t>
            </w:r>
            <w:r>
              <w:rPr>
                <w:rFonts w:hint="eastAsia" w:ascii="宋体" w:hAnsi="宋体" w:eastAsia="宋体" w:cs="宋体"/>
                <w:snapToGrid w:val="0"/>
                <w:color w:val="000000" w:themeColor="text1"/>
                <w:kern w:val="0"/>
                <w:sz w:val="24"/>
                <w:szCs w:val="24"/>
                <w:lang w:val="zh-CN"/>
                <w14:textFill>
                  <w14:solidFill>
                    <w14:schemeClr w14:val="tx1"/>
                  </w14:solidFill>
                </w14:textFill>
              </w:rPr>
              <w:t>）三年内在经营活动中没有重大违法记录</w:t>
            </w:r>
          </w:p>
        </w:tc>
        <w:tc>
          <w:tcPr>
            <w:tcW w:w="3763" w:type="dxa"/>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716"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4239" w:type="dxa"/>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textAlignment w:val="auto"/>
              <w:rPr>
                <w:rFonts w:hint="eastAsia" w:ascii="宋体" w:hAnsi="宋体" w:eastAsia="宋体" w:cs="宋体"/>
                <w:snapToGrid w:val="0"/>
                <w:color w:val="000000" w:themeColor="text1"/>
                <w:kern w:val="0"/>
                <w:sz w:val="24"/>
                <w:szCs w:val="24"/>
                <w:lang w:val="zh-CN"/>
                <w14:textFill>
                  <w14:solidFill>
                    <w14:schemeClr w14:val="tx1"/>
                  </w14:solidFill>
                </w14:textFill>
              </w:rPr>
            </w:pPr>
            <w:r>
              <w:rPr>
                <w:rFonts w:hint="eastAsia" w:ascii="宋体" w:hAnsi="宋体" w:eastAsia="宋体" w:cs="宋体"/>
                <w:snapToGrid w:val="0"/>
                <w:color w:val="000000" w:themeColor="text1"/>
                <w:kern w:val="0"/>
                <w:sz w:val="24"/>
                <w:szCs w:val="24"/>
                <w:lang w:val="zh-CN"/>
                <w14:textFill>
                  <w14:solidFill>
                    <w14:schemeClr w14:val="tx1"/>
                  </w14:solidFill>
                </w14:textFill>
              </w:rPr>
              <w:t>（</w:t>
            </w:r>
            <w:r>
              <w:rPr>
                <w:rFonts w:hint="eastAsia" w:ascii="宋体" w:hAnsi="宋体" w:eastAsia="宋体" w:cs="宋体"/>
                <w:snapToGrid w:val="0"/>
                <w:color w:val="000000" w:themeColor="text1"/>
                <w:kern w:val="0"/>
                <w:sz w:val="24"/>
                <w:szCs w:val="24"/>
                <w14:textFill>
                  <w14:solidFill>
                    <w14:schemeClr w14:val="tx1"/>
                  </w14:solidFill>
                </w14:textFill>
              </w:rPr>
              <w:t>6</w:t>
            </w:r>
            <w:r>
              <w:rPr>
                <w:rFonts w:hint="eastAsia" w:ascii="宋体" w:hAnsi="宋体" w:eastAsia="宋体" w:cs="宋体"/>
                <w:snapToGrid w:val="0"/>
                <w:color w:val="000000" w:themeColor="text1"/>
                <w:kern w:val="0"/>
                <w:sz w:val="24"/>
                <w:szCs w:val="24"/>
                <w:lang w:val="zh-CN"/>
                <w14:textFill>
                  <w14:solidFill>
                    <w14:schemeClr w14:val="tx1"/>
                  </w14:solidFill>
                </w14:textFill>
              </w:rPr>
              <w:t>）法人及法定代表人没有被人民法院列为失信被执行人名单</w:t>
            </w:r>
          </w:p>
        </w:tc>
        <w:tc>
          <w:tcPr>
            <w:tcW w:w="3763" w:type="dxa"/>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提供中国执行信息公开网截图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716"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4239" w:type="dxa"/>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textAlignment w:val="auto"/>
              <w:rPr>
                <w:rFonts w:hint="eastAsia" w:ascii="宋体" w:hAnsi="宋体" w:eastAsia="宋体" w:cs="宋体"/>
                <w:snapToGrid w:val="0"/>
                <w:color w:val="000000" w:themeColor="text1"/>
                <w:kern w:val="0"/>
                <w:sz w:val="24"/>
                <w:szCs w:val="24"/>
                <w:lang w:val="zh-CN"/>
                <w14:textFill>
                  <w14:solidFill>
                    <w14:schemeClr w14:val="tx1"/>
                  </w14:solidFill>
                </w14:textFill>
              </w:rPr>
            </w:pPr>
            <w:r>
              <w:rPr>
                <w:rFonts w:hint="eastAsia" w:ascii="宋体" w:hAnsi="宋体" w:eastAsia="宋体" w:cs="宋体"/>
                <w:snapToGrid w:val="0"/>
                <w:color w:val="000000" w:themeColor="text1"/>
                <w:kern w:val="0"/>
                <w:sz w:val="24"/>
                <w:szCs w:val="24"/>
                <w:lang w:val="zh-CN"/>
                <w14:textFill>
                  <w14:solidFill>
                    <w14:schemeClr w14:val="tx1"/>
                  </w14:solidFill>
                </w14:textFill>
              </w:rPr>
              <w:t>（</w:t>
            </w:r>
            <w:r>
              <w:rPr>
                <w:rFonts w:hint="eastAsia" w:ascii="宋体" w:hAnsi="宋体" w:eastAsia="宋体" w:cs="宋体"/>
                <w:snapToGrid w:val="0"/>
                <w:color w:val="000000" w:themeColor="text1"/>
                <w:kern w:val="0"/>
                <w:sz w:val="24"/>
                <w:szCs w:val="24"/>
                <w14:textFill>
                  <w14:solidFill>
                    <w14:schemeClr w14:val="tx1"/>
                  </w14:solidFill>
                </w14:textFill>
              </w:rPr>
              <w:t>7</w:t>
            </w:r>
            <w:r>
              <w:rPr>
                <w:rFonts w:hint="eastAsia" w:ascii="宋体" w:hAnsi="宋体" w:eastAsia="宋体" w:cs="宋体"/>
                <w:snapToGrid w:val="0"/>
                <w:color w:val="000000" w:themeColor="text1"/>
                <w:kern w:val="0"/>
                <w:sz w:val="24"/>
                <w:szCs w:val="24"/>
                <w:lang w:val="zh-CN"/>
                <w14:textFill>
                  <w14:solidFill>
                    <w14:schemeClr w14:val="tx1"/>
                  </w14:solidFill>
                </w14:textFill>
              </w:rPr>
              <w:t>）法律、行政法规规定的其他条件。</w:t>
            </w:r>
          </w:p>
        </w:tc>
        <w:tc>
          <w:tcPr>
            <w:tcW w:w="3763" w:type="dxa"/>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restart"/>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jc w:val="center"/>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2</w:t>
            </w:r>
          </w:p>
        </w:tc>
        <w:tc>
          <w:tcPr>
            <w:tcW w:w="716" w:type="dxa"/>
            <w:vMerge w:val="restart"/>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jc w:val="center"/>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lang w:val="zh-CN"/>
                <w14:textFill>
                  <w14:solidFill>
                    <w14:schemeClr w14:val="tx1"/>
                  </w14:solidFill>
                </w14:textFill>
              </w:rPr>
              <w:t>特定资格条件</w:t>
            </w:r>
          </w:p>
        </w:tc>
        <w:tc>
          <w:tcPr>
            <w:tcW w:w="423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（1）近3年财务状况稳定</w:t>
            </w:r>
          </w:p>
        </w:tc>
        <w:tc>
          <w:tcPr>
            <w:tcW w:w="376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参选人法人营业执照（副本）及财务报表复印件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716"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4239"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right="0" w:rightChars="0" w:firstLine="0" w:firstLine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（2）2020年1月1日至今具有银行不动产线上评估服务相关实施案例(需提供合同复印件和项目简介)不少于3家，低于3个案例（不含3个）取消参选资质</w:t>
            </w:r>
          </w:p>
        </w:tc>
        <w:tc>
          <w:tcPr>
            <w:tcW w:w="376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证明材料的复印件，</w:t>
            </w:r>
            <w:r>
              <w:rPr>
                <w:rFonts w:hint="eastAsia" w:ascii="宋体" w:hAnsi="宋体" w:eastAsia="宋体" w:cs="宋体"/>
                <w:color w:val="000000" w:themeColor="text1"/>
                <w:sz w:val="24"/>
                <w:szCs w:val="24"/>
                <w14:textFill>
                  <w14:solidFill>
                    <w14:schemeClr w14:val="tx1"/>
                  </w14:solidFill>
                </w14:textFill>
              </w:rPr>
              <w:t>案例证明需提供甲方联系方式备查。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jc w:val="center"/>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3</w:t>
            </w:r>
          </w:p>
        </w:tc>
        <w:tc>
          <w:tcPr>
            <w:tcW w:w="4955" w:type="dxa"/>
            <w:gridSpan w:val="2"/>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参选保证金</w:t>
            </w:r>
          </w:p>
        </w:tc>
        <w:tc>
          <w:tcPr>
            <w:tcW w:w="3763" w:type="dxa"/>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足额缴纳参选保证金</w:t>
            </w:r>
          </w:p>
        </w:tc>
      </w:tr>
    </w:tbl>
    <w:p>
      <w:pPr>
        <w:bidi w:val="0"/>
      </w:pPr>
      <w:r>
        <w:rPr>
          <w:rFonts w:hint="eastAsia"/>
        </w:rPr>
        <w:t>2、符合性检查。依据比选文件的规定，从参选人参选文件的有效性、完整性和对比选文件的响应程度进行审查，以确定是否对比选文件的实质性要求作出响应。符合性检查资料表如下：</w:t>
      </w:r>
    </w:p>
    <w:tbl>
      <w:tblPr>
        <w:tblStyle w:val="19"/>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62"/>
        <w:gridCol w:w="1986"/>
        <w:gridCol w:w="5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序号</w:t>
            </w:r>
          </w:p>
        </w:tc>
        <w:tc>
          <w:tcPr>
            <w:tcW w:w="354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评审因素</w:t>
            </w:r>
          </w:p>
        </w:tc>
        <w:tc>
          <w:tcPr>
            <w:tcW w:w="51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156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有效性审查</w:t>
            </w:r>
          </w:p>
        </w:tc>
        <w:tc>
          <w:tcPr>
            <w:tcW w:w="19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参选</w:t>
            </w:r>
            <w:r>
              <w:rPr>
                <w:rFonts w:hint="eastAsia" w:ascii="宋体" w:hAnsi="宋体" w:eastAsia="宋体" w:cs="宋体"/>
                <w:color w:val="000000" w:themeColor="text1"/>
                <w:kern w:val="0"/>
                <w:sz w:val="24"/>
                <w:szCs w:val="24"/>
                <w14:textFill>
                  <w14:solidFill>
                    <w14:schemeClr w14:val="tx1"/>
                  </w14:solidFill>
                </w14:textFill>
              </w:rPr>
              <w:t>文件签署</w:t>
            </w:r>
          </w:p>
        </w:tc>
        <w:tc>
          <w:tcPr>
            <w:tcW w:w="51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参选</w:t>
            </w:r>
            <w:r>
              <w:rPr>
                <w:rFonts w:hint="eastAsia" w:ascii="宋体" w:hAnsi="宋体" w:eastAsia="宋体" w:cs="宋体"/>
                <w:color w:val="000000" w:themeColor="text1"/>
                <w:kern w:val="0"/>
                <w:sz w:val="24"/>
                <w:szCs w:val="24"/>
                <w14:textFill>
                  <w14:solidFill>
                    <w14:schemeClr w14:val="tx1"/>
                  </w14:solidFill>
                </w14:textFill>
              </w:rPr>
              <w:t>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56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9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法定代表人身份证明及授权委托书</w:t>
            </w:r>
          </w:p>
        </w:tc>
        <w:tc>
          <w:tcPr>
            <w:tcW w:w="51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法定代表人身份证明及授权委托书有效，符合比选文件规定的格式，签字或盖章齐全。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56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9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参选</w:t>
            </w:r>
            <w:r>
              <w:rPr>
                <w:rFonts w:hint="eastAsia" w:ascii="宋体" w:hAnsi="宋体" w:eastAsia="宋体" w:cs="宋体"/>
                <w:color w:val="000000" w:themeColor="text1"/>
                <w:kern w:val="0"/>
                <w:sz w:val="24"/>
                <w:szCs w:val="24"/>
                <w14:textFill>
                  <w14:solidFill>
                    <w14:schemeClr w14:val="tx1"/>
                  </w14:solidFill>
                </w14:textFill>
              </w:rPr>
              <w:t>方案唯一</w:t>
            </w:r>
          </w:p>
        </w:tc>
        <w:tc>
          <w:tcPr>
            <w:tcW w:w="51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只能有一个方案</w:t>
            </w:r>
            <w:r>
              <w:rPr>
                <w:rFonts w:hint="eastAsia" w:ascii="宋体" w:hAnsi="宋体" w:eastAsia="宋体" w:cs="宋体"/>
                <w:snapToGrid w:val="0"/>
                <w:color w:val="000000" w:themeColor="text1"/>
                <w:kern w:val="0"/>
                <w:sz w:val="24"/>
                <w:szCs w:val="24"/>
                <w14:textFill>
                  <w14:solidFill>
                    <w14:schemeClr w14:val="tx1"/>
                  </w14:solidFill>
                </w14:textFill>
              </w:rPr>
              <w:t>参选</w:t>
            </w:r>
            <w:r>
              <w:rPr>
                <w:rFonts w:hint="eastAsia" w:ascii="宋体" w:hAnsi="宋体" w:eastAsia="宋体" w:cs="宋体"/>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56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9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报价唯一</w:t>
            </w:r>
          </w:p>
        </w:tc>
        <w:tc>
          <w:tcPr>
            <w:tcW w:w="51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156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完整性审查</w:t>
            </w:r>
          </w:p>
        </w:tc>
        <w:tc>
          <w:tcPr>
            <w:tcW w:w="19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参选</w:t>
            </w:r>
            <w:r>
              <w:rPr>
                <w:rFonts w:hint="eastAsia" w:ascii="宋体" w:hAnsi="宋体" w:eastAsia="宋体" w:cs="宋体"/>
                <w:color w:val="000000" w:themeColor="text1"/>
                <w:kern w:val="0"/>
                <w:sz w:val="24"/>
                <w:szCs w:val="24"/>
                <w14:textFill>
                  <w14:solidFill>
                    <w14:schemeClr w14:val="tx1"/>
                  </w14:solidFill>
                </w14:textFill>
              </w:rPr>
              <w:t>文件份数</w:t>
            </w:r>
          </w:p>
        </w:tc>
        <w:tc>
          <w:tcPr>
            <w:tcW w:w="51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参选</w:t>
            </w:r>
            <w:r>
              <w:rPr>
                <w:rFonts w:hint="eastAsia" w:ascii="宋体" w:hAnsi="宋体" w:eastAsia="宋体" w:cs="宋体"/>
                <w:color w:val="000000" w:themeColor="text1"/>
                <w:kern w:val="0"/>
                <w:sz w:val="24"/>
                <w:szCs w:val="24"/>
                <w14:textFill>
                  <w14:solidFill>
                    <w14:schemeClr w14:val="tx1"/>
                  </w14:solidFill>
                </w14:textFill>
              </w:rPr>
              <w:t>文件数量符合比选文件要求。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56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9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参选</w:t>
            </w:r>
            <w:r>
              <w:rPr>
                <w:rFonts w:hint="eastAsia" w:ascii="宋体" w:hAnsi="宋体" w:eastAsia="宋体" w:cs="宋体"/>
                <w:color w:val="000000" w:themeColor="text1"/>
                <w:kern w:val="0"/>
                <w:sz w:val="24"/>
                <w:szCs w:val="24"/>
                <w14:textFill>
                  <w14:solidFill>
                    <w14:schemeClr w14:val="tx1"/>
                  </w14:solidFill>
                </w14:textFill>
              </w:rPr>
              <w:t>文件内容</w:t>
            </w:r>
          </w:p>
        </w:tc>
        <w:tc>
          <w:tcPr>
            <w:tcW w:w="51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参选</w:t>
            </w:r>
            <w:r>
              <w:rPr>
                <w:rFonts w:hint="eastAsia" w:ascii="宋体" w:hAnsi="宋体" w:eastAsia="宋体" w:cs="宋体"/>
                <w:color w:val="000000" w:themeColor="text1"/>
                <w:kern w:val="0"/>
                <w:sz w:val="24"/>
                <w:szCs w:val="24"/>
                <w14:textFill>
                  <w14:solidFill>
                    <w14:schemeClr w14:val="tx1"/>
                  </w14:solidFill>
                </w14:textFill>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p>
        </w:tc>
        <w:tc>
          <w:tcPr>
            <w:tcW w:w="156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响应程度审查</w:t>
            </w:r>
          </w:p>
        </w:tc>
        <w:tc>
          <w:tcPr>
            <w:tcW w:w="19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参选</w:t>
            </w:r>
            <w:r>
              <w:rPr>
                <w:rFonts w:hint="eastAsia" w:ascii="宋体" w:hAnsi="宋体" w:eastAsia="宋体" w:cs="宋体"/>
                <w:color w:val="000000" w:themeColor="text1"/>
                <w:kern w:val="0"/>
                <w:sz w:val="24"/>
                <w:szCs w:val="24"/>
                <w14:textFill>
                  <w14:solidFill>
                    <w14:schemeClr w14:val="tx1"/>
                  </w14:solidFill>
                </w14:textFill>
              </w:rPr>
              <w:t>文件内容</w:t>
            </w:r>
          </w:p>
        </w:tc>
        <w:tc>
          <w:tcPr>
            <w:tcW w:w="5192"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对比选文件第二章、第三章规定的比选内容作出响应。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56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9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参选</w:t>
            </w:r>
            <w:r>
              <w:rPr>
                <w:rFonts w:hint="eastAsia" w:ascii="宋体" w:hAnsi="宋体" w:eastAsia="宋体" w:cs="宋体"/>
                <w:color w:val="000000" w:themeColor="text1"/>
                <w:kern w:val="0"/>
                <w:sz w:val="24"/>
                <w:szCs w:val="24"/>
                <w14:textFill>
                  <w14:solidFill>
                    <w14:schemeClr w14:val="tx1"/>
                  </w14:solidFill>
                </w14:textFill>
              </w:rPr>
              <w:t>有效期</w:t>
            </w:r>
          </w:p>
        </w:tc>
        <w:tc>
          <w:tcPr>
            <w:tcW w:w="51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满足比选文件规定。</w:t>
            </w:r>
          </w:p>
        </w:tc>
      </w:tr>
    </w:tbl>
    <w:p>
      <w:pPr>
        <w:bidi w:val="0"/>
      </w:pPr>
      <w:r>
        <w:rPr>
          <w:rFonts w:hint="eastAsia"/>
        </w:rPr>
        <w:t>3、澄清有关问题。对参选文件中含义不明确、同类问题表述不一致或者有明显文字和计算错误的内容，评审委员会可以书面形式（应当由评审委员会成员签字）要求参选人作出必要澄清、说明或者纠正。参选人的澄清、说明或者补正应当采用书面形式，由其授权的代表签字，并不得超出参选文件的范围或者改变参选文件的实质性内容。</w:t>
      </w:r>
    </w:p>
    <w:p>
      <w:pPr>
        <w:bidi w:val="0"/>
      </w:pPr>
      <w:r>
        <w:rPr>
          <w:rFonts w:hint="eastAsia"/>
        </w:rPr>
        <w:t>4、比较与评价。按比选文件中规定的评审方法和标准，对资格性检查和符合性检查合格的参选文件进行商务和技术评估，综合比较与评价。</w:t>
      </w:r>
    </w:p>
    <w:p>
      <w:pPr>
        <w:bidi w:val="0"/>
      </w:pPr>
      <w:r>
        <w:rPr>
          <w:rFonts w:hint="eastAsia"/>
        </w:rPr>
        <w:t>评审委员会应当独立对每个有效参选人的参选文件进行评价、打分，对同一参选人同一评分项的打分偏离较大的，应对参选人的参选文件进行再次核对，确属打分有误的，应及时进行修正。复核后，汇总每个参选人每项评分因素的得分。</w:t>
      </w:r>
    </w:p>
    <w:p>
      <w:pPr>
        <w:bidi w:val="0"/>
      </w:pPr>
      <w:r>
        <w:rPr>
          <w:rFonts w:hint="eastAsia"/>
        </w:rPr>
        <w:t>5、推荐中选候选人名单。按评审后得分由高到低顺序排列推荐中选人。综合得分排名第一的参选人为第一中选人，以此类推排名。排名得分相同的按比选文件评分标准</w:t>
      </w:r>
      <w:bookmarkStart w:id="84" w:name="_Toc443294656"/>
      <w:bookmarkStart w:id="85" w:name="_Toc424733476"/>
      <w:r>
        <w:rPr>
          <w:rFonts w:hint="eastAsia"/>
        </w:rPr>
        <w:t>中参选报价得分由高到低顺序排列。</w:t>
      </w:r>
      <w:bookmarkStart w:id="86" w:name="_Toc440628923"/>
      <w:bookmarkStart w:id="87" w:name="_Toc14892"/>
      <w:bookmarkStart w:id="88" w:name="_Toc275199617"/>
      <w:bookmarkStart w:id="89" w:name="_Toc89675156"/>
    </w:p>
    <w:p>
      <w:pPr>
        <w:pStyle w:val="4"/>
        <w:bidi w:val="0"/>
      </w:pPr>
      <w:bookmarkStart w:id="90" w:name="_Toc15059430"/>
      <w:r>
        <w:rPr>
          <w:rFonts w:hint="eastAsia"/>
        </w:rPr>
        <w:t>二、评审标准</w:t>
      </w:r>
      <w:bookmarkEnd w:id="86"/>
      <w:bookmarkEnd w:id="87"/>
      <w:bookmarkEnd w:id="88"/>
      <w:bookmarkEnd w:id="89"/>
      <w:bookmarkEnd w:id="90"/>
    </w:p>
    <w:p>
      <w:pPr>
        <w:bidi w:val="0"/>
      </w:pPr>
      <w:r>
        <w:rPr>
          <w:rFonts w:hint="eastAsia"/>
        </w:rPr>
        <w:t>评审标准总分为1</w:t>
      </w:r>
      <w:r>
        <w:t>00</w:t>
      </w:r>
      <w:r>
        <w:rPr>
          <w:rFonts w:hint="eastAsia"/>
        </w:rPr>
        <w:t>分，分为商务评分和技术评分，商务评分为客观评分，技术评分为主观评分。</w:t>
      </w:r>
    </w:p>
    <w:tbl>
      <w:tblPr>
        <w:tblStyle w:val="19"/>
        <w:tblW w:w="8600" w:type="dxa"/>
        <w:tblInd w:w="416" w:type="dxa"/>
        <w:tblLayout w:type="autofit"/>
        <w:tblCellMar>
          <w:top w:w="0" w:type="dxa"/>
          <w:left w:w="108" w:type="dxa"/>
          <w:bottom w:w="0" w:type="dxa"/>
          <w:right w:w="108" w:type="dxa"/>
        </w:tblCellMar>
      </w:tblPr>
      <w:tblGrid>
        <w:gridCol w:w="980"/>
        <w:gridCol w:w="1120"/>
        <w:gridCol w:w="660"/>
        <w:gridCol w:w="5840"/>
      </w:tblGrid>
      <w:tr>
        <w:tblPrEx>
          <w:tblCellMar>
            <w:top w:w="0" w:type="dxa"/>
            <w:left w:w="108" w:type="dxa"/>
            <w:bottom w:w="0" w:type="dxa"/>
            <w:right w:w="108" w:type="dxa"/>
          </w:tblCellMar>
        </w:tblPrEx>
        <w:trPr>
          <w:trHeight w:val="570" w:hRule="atLeast"/>
        </w:trPr>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分类</w:t>
            </w:r>
          </w:p>
        </w:tc>
        <w:tc>
          <w:tcPr>
            <w:tcW w:w="11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评分指标</w:t>
            </w:r>
          </w:p>
        </w:tc>
        <w:tc>
          <w:tcPr>
            <w:tcW w:w="6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分项</w:t>
            </w:r>
            <w:r>
              <w:rPr>
                <w:rFonts w:hint="eastAsia" w:ascii="宋体" w:hAnsi="宋体" w:eastAsia="宋体" w:cs="宋体"/>
                <w:b/>
                <w:bCs/>
                <w:color w:val="000000" w:themeColor="text1"/>
                <w:kern w:val="0"/>
                <w:sz w:val="24"/>
                <w:szCs w:val="24"/>
                <w14:textFill>
                  <w14:solidFill>
                    <w14:schemeClr w14:val="tx1"/>
                  </w14:solidFill>
                </w14:textFill>
              </w:rPr>
              <w:br w:type="textWrapping"/>
            </w:r>
            <w:r>
              <w:rPr>
                <w:rFonts w:hint="eastAsia" w:ascii="宋体" w:hAnsi="宋体" w:eastAsia="宋体" w:cs="宋体"/>
                <w:b/>
                <w:bCs/>
                <w:color w:val="000000" w:themeColor="text1"/>
                <w:kern w:val="0"/>
                <w:sz w:val="24"/>
                <w:szCs w:val="24"/>
                <w14:textFill>
                  <w14:solidFill>
                    <w14:schemeClr w14:val="tx1"/>
                  </w14:solidFill>
                </w14:textFill>
              </w:rPr>
              <w:t>分值</w:t>
            </w:r>
          </w:p>
        </w:tc>
        <w:tc>
          <w:tcPr>
            <w:tcW w:w="58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评分标准</w:t>
            </w:r>
          </w:p>
        </w:tc>
      </w:tr>
      <w:tr>
        <w:tblPrEx>
          <w:tblCellMar>
            <w:top w:w="0" w:type="dxa"/>
            <w:left w:w="108" w:type="dxa"/>
            <w:bottom w:w="0" w:type="dxa"/>
            <w:right w:w="108" w:type="dxa"/>
          </w:tblCellMar>
        </w:tblPrEx>
        <w:trPr>
          <w:trHeight w:val="1018"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商务部分评分</w:t>
            </w:r>
            <w:r>
              <w:rPr>
                <w:rFonts w:hint="eastAsia" w:ascii="宋体" w:hAnsi="宋体" w:eastAsia="宋体" w:cs="宋体"/>
                <w:b/>
                <w:bCs/>
                <w:color w:val="000000" w:themeColor="text1"/>
                <w:kern w:val="0"/>
                <w:sz w:val="24"/>
                <w:szCs w:val="24"/>
                <w14:textFill>
                  <w14:solidFill>
                    <w14:schemeClr w14:val="tx1"/>
                  </w14:solidFill>
                </w14:textFill>
              </w:rPr>
              <w:br w:type="textWrapping"/>
            </w:r>
            <w:r>
              <w:rPr>
                <w:rFonts w:hint="eastAsia" w:ascii="宋体" w:hAnsi="宋体" w:eastAsia="宋体" w:cs="宋体"/>
                <w:b/>
                <w:bCs/>
                <w:color w:val="000000" w:themeColor="text1"/>
                <w:kern w:val="0"/>
                <w:sz w:val="24"/>
                <w:szCs w:val="24"/>
                <w14:textFill>
                  <w14:solidFill>
                    <w14:schemeClr w14:val="tx1"/>
                  </w14:solidFill>
                </w14:textFill>
              </w:rPr>
              <w:t>（45分）</w:t>
            </w:r>
          </w:p>
        </w:tc>
        <w:tc>
          <w:tcPr>
            <w:tcW w:w="11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参选价格</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45</w:t>
            </w:r>
          </w:p>
        </w:tc>
        <w:tc>
          <w:tcPr>
            <w:tcW w:w="58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1.提供服务项目：住宅用房线上自动评估；</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住宅用房线上人工评估；</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商业、办公用房线上人工评估；</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住宅、商业、办公用房批量复估；</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以上四个项目，参选单位提供一项服务得2.5分，提供两项服务得5分，提供三项服务得7.5分，提供四项服务得10分。                                                                               2.住宅用房线上自动评估单价：免费，得10分；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1元/笔—5元/笔，得7分；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6元/笔—10元/笔，得4分；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11元/笔—15元/笔，得2分；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16元/笔（含）以上，得0分；                                                              3.住宅用房线上人工评估单价：免费，得10分；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1元/笔—5元/笔，得7分；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6元/笔—10元/笔，得4分；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11元/笔—15元/笔，得2分；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16元/笔（含）以上，得0分；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 商业、办公用房线上人工评估：按参选单位报价孰低原则排序，报价最低的前四个单位分别得分：10分、7分、5分、2分，其余得0分，没提供该服务项目的默认得0分。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5.批量复估单价：免费，得5分；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1元/笔—5元/笔，得4分；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6元/笔—10元/笔，得3分；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11元/笔—15元/笔，得2分；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16元/笔（含）以上，得1分；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没提供该服务项目的默认得0分。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6.是否附带免费增值服务（如房产滚动评级、风险预警、场景VR图片展示、黑白灰名单及法拍房打标、楼盘热度排名等）等内容：每增加附带1项服务在以上1-5项评分总和的基础上加1分，1-6项评分总和不超过45分。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评审标准：所有参选人有效报价（含税总价）。</w:t>
            </w:r>
          </w:p>
        </w:tc>
      </w:tr>
      <w:tr>
        <w:tblPrEx>
          <w:tblCellMar>
            <w:top w:w="0" w:type="dxa"/>
            <w:left w:w="108" w:type="dxa"/>
            <w:bottom w:w="0" w:type="dxa"/>
            <w:right w:w="108" w:type="dxa"/>
          </w:tblCellMar>
        </w:tblPrEx>
        <w:trPr>
          <w:trHeight w:val="754" w:hRule="atLeast"/>
        </w:trPr>
        <w:tc>
          <w:tcPr>
            <w:tcW w:w="9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技术部分评分</w:t>
            </w:r>
            <w:r>
              <w:rPr>
                <w:rFonts w:hint="eastAsia" w:ascii="宋体" w:hAnsi="宋体" w:eastAsia="宋体" w:cs="宋体"/>
                <w:b/>
                <w:bCs/>
                <w:color w:val="000000" w:themeColor="text1"/>
                <w:kern w:val="0"/>
                <w:sz w:val="24"/>
                <w:szCs w:val="24"/>
                <w14:textFill>
                  <w14:solidFill>
                    <w14:schemeClr w14:val="tx1"/>
                  </w14:solidFill>
                </w14:textFill>
              </w:rPr>
              <w:br w:type="textWrapping"/>
            </w:r>
            <w:r>
              <w:rPr>
                <w:rFonts w:hint="eastAsia" w:ascii="宋体" w:hAnsi="宋体" w:eastAsia="宋体" w:cs="宋体"/>
                <w:b/>
                <w:bCs/>
                <w:color w:val="000000" w:themeColor="text1"/>
                <w:kern w:val="0"/>
                <w:sz w:val="24"/>
                <w:szCs w:val="24"/>
                <w14:textFill>
                  <w14:solidFill>
                    <w14:schemeClr w14:val="tx1"/>
                  </w14:solidFill>
                </w14:textFill>
              </w:rPr>
              <w:t>（55分）</w:t>
            </w:r>
          </w:p>
        </w:tc>
        <w:tc>
          <w:tcPr>
            <w:tcW w:w="11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资质等级</w:t>
            </w:r>
          </w:p>
        </w:tc>
        <w:tc>
          <w:tcPr>
            <w:tcW w:w="6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10</w:t>
            </w:r>
          </w:p>
        </w:tc>
        <w:tc>
          <w:tcPr>
            <w:tcW w:w="58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1.资产：取得市级财政资质备案的，得3分；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无市级财政资质备案的，得0分。                                                                                2.房地产：一级资质，得4分；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二级资质，得1分；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二级以下，得0分。                          3.土地：可在全国范围内开展业务的，得3分；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可在全市范围内开展业务的，得1分；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不具备在我市范围内开展评估业务资质的，得0分。</w:t>
            </w:r>
          </w:p>
        </w:tc>
      </w:tr>
      <w:tr>
        <w:tblPrEx>
          <w:tblCellMar>
            <w:top w:w="0" w:type="dxa"/>
            <w:left w:w="108" w:type="dxa"/>
            <w:bottom w:w="0" w:type="dxa"/>
            <w:right w:w="108" w:type="dxa"/>
          </w:tblCellMar>
        </w:tblPrEx>
        <w:trPr>
          <w:trHeight w:val="732" w:hRule="atLeast"/>
        </w:trPr>
        <w:tc>
          <w:tcPr>
            <w:tcW w:w="98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1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服务于你机构的执业人员</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5</w:t>
            </w:r>
          </w:p>
        </w:tc>
        <w:tc>
          <w:tcPr>
            <w:tcW w:w="58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1.以缴纳社保养老保险或退休返聘等材料依据，10人得1分，每增加5人加0.5分，最高可加2分，该项总得分不超过3分，其中不足10人的不符合入围要求；       2.无社保养老保险等凭证，但在其资格证书上可见为该机构服务的，10人得1分，每增加5人加0.5分，最高可加1分，该项总得分不超过2分。</w:t>
            </w:r>
          </w:p>
        </w:tc>
      </w:tr>
      <w:tr>
        <w:tblPrEx>
          <w:tblCellMar>
            <w:top w:w="0" w:type="dxa"/>
            <w:left w:w="108" w:type="dxa"/>
            <w:bottom w:w="0" w:type="dxa"/>
            <w:right w:w="108" w:type="dxa"/>
          </w:tblCellMar>
        </w:tblPrEx>
        <w:trPr>
          <w:trHeight w:val="720" w:hRule="atLeast"/>
        </w:trPr>
        <w:tc>
          <w:tcPr>
            <w:tcW w:w="98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1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注册资本</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5</w:t>
            </w:r>
          </w:p>
        </w:tc>
        <w:tc>
          <w:tcPr>
            <w:tcW w:w="58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1.已到位的资本金100万得2分，每增加50万多0.5分，最高可加3分；</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2.与本行合作年限5年（含）以上可不考虑本因素直接认定为5分。</w:t>
            </w:r>
          </w:p>
        </w:tc>
      </w:tr>
      <w:tr>
        <w:tblPrEx>
          <w:tblCellMar>
            <w:top w:w="0" w:type="dxa"/>
            <w:left w:w="108" w:type="dxa"/>
            <w:bottom w:w="0" w:type="dxa"/>
            <w:right w:w="108" w:type="dxa"/>
          </w:tblCellMar>
        </w:tblPrEx>
        <w:trPr>
          <w:trHeight w:val="589" w:hRule="atLeast"/>
        </w:trPr>
        <w:tc>
          <w:tcPr>
            <w:tcW w:w="98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1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内控流程</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5</w:t>
            </w:r>
          </w:p>
        </w:tc>
        <w:tc>
          <w:tcPr>
            <w:tcW w:w="58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1.内部复核机制，复核流程是否严谨、设立了几级复核等，总分不超过3分；</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2.资料真实性核实（是否明确要求对评估材料的真实性核实），有该项要求得2分，无该要求得0分。</w:t>
            </w:r>
          </w:p>
        </w:tc>
      </w:tr>
      <w:tr>
        <w:tblPrEx>
          <w:tblCellMar>
            <w:top w:w="0" w:type="dxa"/>
            <w:left w:w="108" w:type="dxa"/>
            <w:bottom w:w="0" w:type="dxa"/>
            <w:right w:w="108" w:type="dxa"/>
          </w:tblCellMar>
        </w:tblPrEx>
        <w:trPr>
          <w:trHeight w:val="2083" w:hRule="atLeast"/>
        </w:trPr>
        <w:tc>
          <w:tcPr>
            <w:tcW w:w="980" w:type="dxa"/>
            <w:vMerge w:val="continue"/>
            <w:tcBorders>
              <w:left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p>
        </w:tc>
        <w:tc>
          <w:tcPr>
            <w:tcW w:w="11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财务指标</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5</w:t>
            </w:r>
          </w:p>
        </w:tc>
        <w:tc>
          <w:tcPr>
            <w:tcW w:w="58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1.报表经审计且评估业务收入在1000万以上，得5分，600万以上-1000万，得4分，200万以上-600万得3分，200万以下得0分；</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2.报表未经审计且评估业务收入在1000万以上，得4分，600万以上-1000万，得3分，200万以上-600万得2分，200万以下得0分。</w:t>
            </w:r>
          </w:p>
        </w:tc>
      </w:tr>
      <w:tr>
        <w:tblPrEx>
          <w:tblCellMar>
            <w:top w:w="0" w:type="dxa"/>
            <w:left w:w="108" w:type="dxa"/>
            <w:bottom w:w="0" w:type="dxa"/>
            <w:right w:w="108" w:type="dxa"/>
          </w:tblCellMar>
        </w:tblPrEx>
        <w:trPr>
          <w:trHeight w:val="1624" w:hRule="atLeast"/>
        </w:trPr>
        <w:tc>
          <w:tcPr>
            <w:tcW w:w="980" w:type="dxa"/>
            <w:vMerge w:val="continue"/>
            <w:tcBorders>
              <w:left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p>
        </w:tc>
        <w:tc>
          <w:tcPr>
            <w:tcW w:w="11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服务时效</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15</w:t>
            </w:r>
          </w:p>
        </w:tc>
        <w:tc>
          <w:tcPr>
            <w:tcW w:w="58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1.线上人工评估每周服务时间：一周七天，得5分；</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一周六天，得4分；</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一周五天，得3分；</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一周四天，得2分；</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一周三天，得1分；</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一周两天以下，得0分。</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2.线上人工评估每天服务时长：10小时，得5分；</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9小时，得4分；</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8小时，得3分；</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7小时，得2分；</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6小时，得1分；</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6小时以下，得0分。</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3.线上人工评估反馈时效：平均时效15分钟内，得5分；</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平均时效20分钟内，得4分；</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平均时效30分钟内，得3分；</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平均时效45分钟内，得2分；</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平均时效60分钟内，得1分；</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平均时效60分钟以上，得0分。</w:t>
            </w:r>
          </w:p>
        </w:tc>
      </w:tr>
      <w:tr>
        <w:tblPrEx>
          <w:tblCellMar>
            <w:top w:w="0" w:type="dxa"/>
            <w:left w:w="108" w:type="dxa"/>
            <w:bottom w:w="0" w:type="dxa"/>
            <w:right w:w="108" w:type="dxa"/>
          </w:tblCellMar>
        </w:tblPrEx>
        <w:trPr>
          <w:trHeight w:val="285" w:hRule="atLeast"/>
        </w:trPr>
        <w:tc>
          <w:tcPr>
            <w:tcW w:w="980" w:type="dxa"/>
            <w:vMerge w:val="continue"/>
            <w:tcBorders>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p>
        </w:tc>
        <w:tc>
          <w:tcPr>
            <w:tcW w:w="11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声誉</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10</w:t>
            </w:r>
          </w:p>
        </w:tc>
        <w:tc>
          <w:tcPr>
            <w:tcW w:w="58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1.入围并服务于重庆市其他银行至少5家，得2分，每多一家加0.3分，最高可加3分，少于5家的一律不得分。</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2.我行存量合作年限：5年及以上，得5分；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2-3年，得3分；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1-2年，得1分；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一年以下和未合作，得0分。</w:t>
            </w:r>
          </w:p>
        </w:tc>
      </w:tr>
      <w:tr>
        <w:tblPrEx>
          <w:tblCellMar>
            <w:top w:w="0" w:type="dxa"/>
            <w:left w:w="108" w:type="dxa"/>
            <w:bottom w:w="0" w:type="dxa"/>
            <w:right w:w="108" w:type="dxa"/>
          </w:tblCellMar>
        </w:tblPrEx>
        <w:trPr>
          <w:trHeight w:val="285" w:hRule="atLeast"/>
        </w:trPr>
        <w:tc>
          <w:tcPr>
            <w:tcW w:w="980"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总计</w:t>
            </w:r>
          </w:p>
        </w:tc>
        <w:tc>
          <w:tcPr>
            <w:tcW w:w="11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　</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100</w:t>
            </w:r>
          </w:p>
        </w:tc>
        <w:tc>
          <w:tcPr>
            <w:tcW w:w="58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　</w:t>
            </w:r>
          </w:p>
        </w:tc>
      </w:tr>
      <w:bookmarkEnd w:id="84"/>
      <w:bookmarkEnd w:id="85"/>
    </w:tbl>
    <w:p>
      <w:pPr>
        <w:pStyle w:val="4"/>
        <w:bidi w:val="0"/>
      </w:pPr>
      <w:bookmarkStart w:id="91" w:name="_Toc440628924"/>
      <w:bookmarkStart w:id="92" w:name="_Toc89675157"/>
      <w:bookmarkStart w:id="93" w:name="_Toc15059431"/>
      <w:bookmarkStart w:id="94" w:name="_Toc11439"/>
      <w:bookmarkStart w:id="95" w:name="_Toc275199618"/>
      <w:r>
        <w:rPr>
          <w:rFonts w:hint="eastAsia"/>
        </w:rPr>
        <w:t>三、无效</w:t>
      </w:r>
      <w:r>
        <w:t>参选</w:t>
      </w:r>
      <w:r>
        <w:rPr>
          <w:rFonts w:hint="eastAsia"/>
        </w:rPr>
        <w:t>条款</w:t>
      </w:r>
      <w:bookmarkEnd w:id="91"/>
      <w:bookmarkEnd w:id="92"/>
      <w:bookmarkEnd w:id="93"/>
      <w:bookmarkEnd w:id="94"/>
      <w:bookmarkEnd w:id="95"/>
    </w:p>
    <w:p>
      <w:pPr>
        <w:bidi w:val="0"/>
      </w:pPr>
      <w:r>
        <w:rPr>
          <w:rFonts w:hint="eastAsia"/>
        </w:rPr>
        <w:t>参选人或其参选文件出现下列情况之一者，应为无效参选：</w:t>
      </w:r>
    </w:p>
    <w:p>
      <w:pPr>
        <w:bidi w:val="0"/>
      </w:pPr>
      <w:r>
        <w:t>（一）参选人未按比选文件规定提交足额参选保证金的</w:t>
      </w:r>
      <w:r>
        <w:rPr>
          <w:rFonts w:hint="eastAsia"/>
        </w:rPr>
        <w:t>。</w:t>
      </w:r>
    </w:p>
    <w:p>
      <w:pPr>
        <w:bidi w:val="0"/>
      </w:pPr>
      <w:r>
        <w:t>（二）参选人未通过资格性检查，参选文件未通过符合性检查或参选文件经证实存在弄虚作假的</w:t>
      </w:r>
      <w:r>
        <w:rPr>
          <w:rFonts w:hint="eastAsia"/>
        </w:rPr>
        <w:t>。</w:t>
      </w:r>
    </w:p>
    <w:p>
      <w:pPr>
        <w:bidi w:val="0"/>
      </w:pPr>
      <w:r>
        <w:rPr>
          <w:rFonts w:hint="eastAsia"/>
        </w:rPr>
        <w:t>（三）参选人超出其营业执照或事业单位法人证书上经营范围（业务范围）参选的。</w:t>
      </w:r>
    </w:p>
    <w:p>
      <w:pPr>
        <w:bidi w:val="0"/>
      </w:pPr>
      <w:r>
        <w:rPr>
          <w:rFonts w:hint="eastAsia"/>
        </w:rPr>
        <w:t>（四）单位负责人为同一人或者存在直接控股、管理关系的不同参选人，不得参加同一合同项下的采购活动，上述参选人的参选均无效。</w:t>
      </w:r>
    </w:p>
    <w:p>
      <w:pPr>
        <w:bidi w:val="0"/>
      </w:pPr>
      <w:r>
        <w:t>（五）同一分包的软件，制造商参与参选，再委托代理商参与参选的</w:t>
      </w:r>
      <w:r>
        <w:rPr>
          <w:rFonts w:hint="eastAsia"/>
        </w:rPr>
        <w:t>。</w:t>
      </w:r>
    </w:p>
    <w:p>
      <w:pPr>
        <w:bidi w:val="0"/>
      </w:pPr>
      <w:r>
        <w:t>（六）参选文件不满足比选文件第</w:t>
      </w:r>
      <w:r>
        <w:rPr>
          <w:rFonts w:hint="eastAsia"/>
        </w:rPr>
        <w:t>六</w:t>
      </w:r>
      <w:r>
        <w:t>章参选文件格式中所规定签字、盖章的</w:t>
      </w:r>
      <w:r>
        <w:rPr>
          <w:rFonts w:hint="eastAsia"/>
        </w:rPr>
        <w:t>。</w:t>
      </w:r>
    </w:p>
    <w:p>
      <w:pPr>
        <w:bidi w:val="0"/>
      </w:pPr>
      <w:r>
        <w:t>（七）参选文件出现多个参选方案或参选报价的</w:t>
      </w:r>
      <w:r>
        <w:rPr>
          <w:rFonts w:hint="eastAsia"/>
        </w:rPr>
        <w:t>。</w:t>
      </w:r>
    </w:p>
    <w:p>
      <w:pPr>
        <w:bidi w:val="0"/>
      </w:pPr>
      <w:r>
        <w:t>（八）参选报价超出最高限价的</w:t>
      </w:r>
      <w:r>
        <w:rPr>
          <w:rFonts w:hint="eastAsia"/>
        </w:rPr>
        <w:t>。</w:t>
      </w:r>
    </w:p>
    <w:p>
      <w:pPr>
        <w:bidi w:val="0"/>
      </w:pPr>
      <w:r>
        <w:t>（九）参选文件含有违反国家法律、法规的内容，或附有比选人不能接受的条件的。</w:t>
      </w:r>
    </w:p>
    <w:p>
      <w:pPr>
        <w:bidi w:val="0"/>
      </w:pPr>
      <w:r>
        <w:rPr>
          <w:rFonts w:hint="eastAsia"/>
        </w:rPr>
        <w:t>（十）出现影响比选公正的违法、违规行为的。</w:t>
      </w:r>
    </w:p>
    <w:p>
      <w:pPr>
        <w:bidi w:val="0"/>
      </w:pPr>
      <w:r>
        <w:rPr>
          <w:rFonts w:hint="eastAsia"/>
        </w:rPr>
        <w:t>（十一）与比选人、评审专家、其他参选人恶意串通。</w:t>
      </w:r>
    </w:p>
    <w:p>
      <w:pPr>
        <w:bidi w:val="0"/>
      </w:pPr>
      <w:r>
        <w:rPr>
          <w:rFonts w:hint="eastAsia"/>
        </w:rPr>
        <w:t>（十二）参选法人发生合并、分立、破产等重大变化后，不再具备比选要求的资格条件的。</w:t>
      </w:r>
    </w:p>
    <w:p>
      <w:pPr>
        <w:bidi w:val="0"/>
      </w:pPr>
      <w:r>
        <w:rPr>
          <w:rFonts w:hint="eastAsia"/>
        </w:rPr>
        <w:t>（十三）提供虚假材料谋取中选资格的。</w:t>
      </w:r>
    </w:p>
    <w:p>
      <w:pPr>
        <w:bidi w:val="0"/>
      </w:pPr>
      <w:r>
        <w:rPr>
          <w:rFonts w:hint="eastAsia"/>
        </w:rPr>
        <w:t>（十四）参选文件含有比选人不能接受的附件条件的。</w:t>
      </w:r>
      <w:bookmarkStart w:id="96" w:name="_Toc303066033"/>
      <w:bookmarkStart w:id="97" w:name="_Toc55566259"/>
      <w:bookmarkStart w:id="98" w:name="_Toc89675159"/>
    </w:p>
    <w:p>
      <w:pPr>
        <w:pStyle w:val="4"/>
        <w:bidi w:val="0"/>
      </w:pPr>
      <w:r>
        <w:rPr>
          <w:rFonts w:hint="eastAsia"/>
        </w:rPr>
        <w:t>四、对评审委员会成员的纪律要求</w:t>
      </w:r>
    </w:p>
    <w:p>
      <w:pPr>
        <w:bidi w:val="0"/>
      </w:pPr>
      <w:r>
        <w:rPr>
          <w:rFonts w:hint="eastAsia"/>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pPr>
        <w:pStyle w:val="4"/>
        <w:bidi w:val="0"/>
      </w:pPr>
      <w:r>
        <w:rPr>
          <w:rFonts w:hint="eastAsia"/>
        </w:rPr>
        <w:t>五、对与评审活动有关的工作人员的纪律要求</w:t>
      </w:r>
    </w:p>
    <w:p>
      <w:pPr>
        <w:bidi w:val="0"/>
      </w:pPr>
      <w:r>
        <w:rPr>
          <w:rFonts w:hint="eastAsia"/>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标程序正常进行。</w:t>
      </w:r>
    </w:p>
    <w:p>
      <w:pPr>
        <w:snapToGrid w:val="0"/>
        <w:spacing w:line="360" w:lineRule="auto"/>
        <w:ind w:firstLine="480" w:firstLineChars="200"/>
        <w:rPr>
          <w:rFonts w:ascii="宋体"/>
          <w:snapToGrid w:val="0"/>
          <w:color w:val="000000" w:themeColor="text1"/>
          <w:kern w:val="0"/>
          <w:sz w:val="24"/>
          <w:szCs w:val="24"/>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pStyle w:val="3"/>
        <w:bidi w:val="0"/>
      </w:pPr>
      <w:bookmarkStart w:id="99" w:name="_Toc28538"/>
      <w:bookmarkStart w:id="100" w:name="_Toc18612"/>
      <w:bookmarkStart w:id="101" w:name="_Toc27709"/>
      <w:r>
        <w:rPr>
          <w:rFonts w:hint="eastAsia"/>
        </w:rPr>
        <w:t>第五章 合同模版</w:t>
      </w:r>
      <w:bookmarkEnd w:id="99"/>
      <w:bookmarkEnd w:id="100"/>
      <w:bookmarkEnd w:id="101"/>
    </w:p>
    <w:p>
      <w:pPr>
        <w:bidi w:val="0"/>
        <w:rPr>
          <w:rFonts w:hint="eastAsia"/>
        </w:rPr>
      </w:pPr>
      <w:r>
        <w:rPr>
          <w:rFonts w:hint="eastAsia"/>
        </w:rPr>
        <w:t>以下合同内容为部分条款，若比选文件与最终合同条款不一致，以合同条款为准。</w:t>
      </w:r>
    </w:p>
    <w:p>
      <w:pPr>
        <w:snapToGrid w:val="0"/>
        <w:spacing w:line="600" w:lineRule="atLeast"/>
        <w:ind w:firstLine="480" w:firstLineChars="200"/>
        <w:rPr>
          <w:rFonts w:ascii="方正小标宋_GBK" w:eastAsia="方正小标宋_GBK"/>
          <w:color w:val="000000" w:themeColor="text1"/>
          <w:sz w:val="44"/>
          <w:szCs w:val="44"/>
          <w14:textFill>
            <w14:solidFill>
              <w14:schemeClr w14:val="tx1"/>
            </w14:solidFill>
          </w14:textFill>
        </w:rPr>
      </w:pPr>
      <w:r>
        <w:rPr>
          <w:rFonts w:hint="eastAsia"/>
          <w:color w:val="000000" w:themeColor="text1"/>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方正小标宋_GBK" w:eastAsia="方正小标宋_GBK"/>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方正小标宋_GBK" w:eastAsia="方正小标宋_GBK"/>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方正小标宋_GBK" w:eastAsia="方正小标宋_GBK"/>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方正小标宋_GBK" w:eastAsia="方正小标宋_GBK"/>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方正小标宋_GBK" w:eastAsia="方正小标宋_GBK"/>
          <w:color w:val="000000" w:themeColor="text1"/>
          <w:sz w:val="52"/>
          <w:szCs w:val="52"/>
          <w14:textFill>
            <w14:solidFill>
              <w14:schemeClr w14:val="tx1"/>
            </w14:solidFill>
          </w14:textFill>
        </w:rPr>
      </w:pPr>
      <w:r>
        <w:rPr>
          <w:rFonts w:hint="eastAsia" w:ascii="方正小标宋_GBK" w:eastAsia="方正小标宋_GBK"/>
          <w:color w:val="000000" w:themeColor="text1"/>
          <w:sz w:val="52"/>
          <w:szCs w:val="52"/>
          <w14:textFill>
            <w14:solidFill>
              <w14:schemeClr w14:val="tx1"/>
            </w14:solidFill>
          </w14:textFill>
        </w:rPr>
        <w:t>重庆三峡银行</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方正小标宋_GBK" w:eastAsia="方正小标宋_GBK"/>
          <w:color w:val="000000" w:themeColor="text1"/>
          <w:sz w:val="52"/>
          <w:szCs w:val="52"/>
          <w14:textFill>
            <w14:solidFill>
              <w14:schemeClr w14:val="tx1"/>
            </w14:solidFill>
          </w14:textFill>
        </w:rPr>
      </w:pPr>
      <w:r>
        <w:rPr>
          <w:rFonts w:hint="eastAsia" w:ascii="方正小标宋_GBK" w:eastAsia="方正小标宋_GBK"/>
          <w:color w:val="000000" w:themeColor="text1"/>
          <w:sz w:val="52"/>
          <w:szCs w:val="52"/>
          <w14:textFill>
            <w14:solidFill>
              <w14:schemeClr w14:val="tx1"/>
            </w14:solidFill>
          </w14:textFill>
        </w:rPr>
        <w:t>不动产线上评估服务协议</w:t>
      </w:r>
    </w:p>
    <w:p>
      <w:pPr>
        <w:keepNext w:val="0"/>
        <w:keepLines w:val="0"/>
        <w:pageBreakBefore w:val="0"/>
        <w:widowControl w:val="0"/>
        <w:kinsoku/>
        <w:wordWrap/>
        <w:overflowPunct/>
        <w:topLinePunct w:val="0"/>
        <w:autoSpaceDE/>
        <w:autoSpaceDN/>
        <w:bidi w:val="0"/>
        <w:adjustRightInd/>
        <w:snapToGrid/>
        <w:ind w:firstLine="0" w:firstLineChars="0"/>
        <w:textAlignment w:val="auto"/>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华文细黑" w:hAnsi="华文细黑" w:eastAsia="华文细黑"/>
          <w:b/>
          <w:color w:val="000000" w:themeColor="text1"/>
          <w:sz w:val="32"/>
          <w:shd w:val="clear" w:color="auto" w:fill="FFFFFF" w:themeFill="background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华文细黑" w:hAnsi="华文细黑" w:eastAsia="华文细黑"/>
          <w:b/>
          <w:color w:val="000000" w:themeColor="text1"/>
          <w:sz w:val="32"/>
          <w:shd w:val="clear" w:color="auto" w:fill="FFFFFF" w:themeFill="background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华文细黑" w:hAnsi="华文细黑" w:eastAsia="华文细黑"/>
          <w:b/>
          <w:color w:val="000000" w:themeColor="text1"/>
          <w:sz w:val="32"/>
          <w:shd w:val="clear" w:color="auto" w:fill="FFFFFF" w:themeFill="background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华文细黑" w:hAnsi="华文细黑" w:eastAsia="华文细黑"/>
          <w:b/>
          <w:color w:val="000000" w:themeColor="text1"/>
          <w:sz w:val="32"/>
          <w:shd w:val="clear" w:color="auto" w:fill="FFFFFF" w:themeFill="background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华文细黑" w:hAnsi="华文细黑" w:eastAsia="华文细黑"/>
          <w:b/>
          <w:color w:val="000000" w:themeColor="text1"/>
          <w:sz w:val="32"/>
          <w:shd w:val="clear" w:color="auto" w:fill="FFFFFF" w:themeFill="background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华文细黑" w:hAnsi="华文细黑" w:eastAsia="华文细黑"/>
          <w:b/>
          <w:color w:val="000000" w:themeColor="text1"/>
          <w:sz w:val="32"/>
          <w:shd w:val="clear" w:color="auto" w:fill="FFFFFF" w:themeFill="background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华文细黑" w:hAnsi="华文细黑" w:eastAsia="华文细黑"/>
          <w:b/>
          <w:color w:val="000000" w:themeColor="text1"/>
          <w:sz w:val="32"/>
          <w:shd w:val="clear" w:color="auto" w:fill="FFFFFF" w:themeFill="background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华文细黑" w:hAnsi="华文细黑" w:eastAsia="华文细黑"/>
          <w:b/>
          <w:color w:val="000000" w:themeColor="text1"/>
          <w:sz w:val="32"/>
          <w:shd w:val="clear" w:color="auto" w:fill="FFFFFF" w:themeFill="background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华文细黑" w:hAnsi="华文细黑" w:eastAsia="华文细黑"/>
          <w:b/>
          <w:color w:val="000000" w:themeColor="text1"/>
          <w:sz w:val="32"/>
          <w:shd w:val="clear" w:color="auto" w:fill="FFFFFF" w:themeFill="background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华文细黑" w:hAnsi="华文细黑" w:eastAsia="华文细黑"/>
          <w:b/>
          <w:color w:val="000000" w:themeColor="text1"/>
          <w:sz w:val="32"/>
          <w:shd w:val="clear" w:color="auto" w:fill="FFFFFF" w:themeFill="background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华文细黑" w:hAnsi="华文细黑" w:eastAsia="华文细黑"/>
          <w:b/>
          <w:color w:val="000000" w:themeColor="text1"/>
          <w:sz w:val="32"/>
          <w:shd w:val="clear" w:color="auto" w:fill="FFFFFF" w:themeFill="background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华文细黑" w:hAnsi="华文细黑" w:eastAsia="华文细黑"/>
          <w:b/>
          <w:color w:val="000000" w:themeColor="text1"/>
          <w:sz w:val="32"/>
          <w:shd w:val="clear" w:color="auto" w:fill="FFFFFF" w:themeFill="background1"/>
          <w14:textFill>
            <w14:solidFill>
              <w14:schemeClr w14:val="tx1"/>
            </w14:solidFill>
          </w14:textFill>
        </w:rPr>
      </w:pPr>
      <w:r>
        <w:rPr>
          <w:rFonts w:hint="eastAsia" w:ascii="华文细黑" w:hAnsi="华文细黑" w:eastAsia="华文细黑"/>
          <w:b/>
          <w:color w:val="000000" w:themeColor="text1"/>
          <w:sz w:val="32"/>
          <w:shd w:val="clear" w:color="auto" w:fill="FFFFFF" w:themeFill="background1"/>
          <w14:textFill>
            <w14:solidFill>
              <w14:schemeClr w14:val="tx1"/>
            </w14:solidFill>
          </w14:textFill>
        </w:rPr>
        <w:t>二</w:t>
      </w:r>
      <w:r>
        <w:rPr>
          <w:rFonts w:hint="eastAsia" w:ascii="华文细黑" w:hAnsi="华文细黑" w:eastAsia="华文细黑"/>
          <w:b/>
          <w:color w:val="000000" w:themeColor="text1"/>
          <w:sz w:val="32"/>
          <w:shd w:val="clear" w:color="auto" w:fill="FFFFFF" w:themeFill="background1"/>
          <w:lang w:val="en-US" w:eastAsia="zh-CN"/>
          <w14:textFill>
            <w14:solidFill>
              <w14:schemeClr w14:val="tx1"/>
            </w14:solidFill>
          </w14:textFill>
        </w:rPr>
        <w:t>〇</w:t>
      </w:r>
      <w:r>
        <w:rPr>
          <w:rFonts w:hint="eastAsia" w:ascii="华文细黑" w:hAnsi="华文细黑" w:eastAsia="华文细黑"/>
          <w:b/>
          <w:color w:val="000000" w:themeColor="text1"/>
          <w:sz w:val="32"/>
          <w:shd w:val="clear" w:color="auto" w:fill="FFFFFF" w:themeFill="background1"/>
          <w14:textFill>
            <w14:solidFill>
              <w14:schemeClr w14:val="tx1"/>
            </w14:solidFill>
          </w14:textFill>
        </w:rPr>
        <w:t>二三年</w:t>
      </w:r>
      <w:r>
        <w:rPr>
          <w:rFonts w:hint="eastAsia" w:ascii="华文细黑" w:hAnsi="华文细黑" w:eastAsia="华文细黑"/>
          <w:b/>
          <w:color w:val="000000" w:themeColor="text1"/>
          <w:sz w:val="32"/>
          <w:shd w:val="clear" w:color="auto" w:fill="FFFFFF" w:themeFill="background1"/>
          <w:lang w:val="en-US" w:eastAsia="zh-CN"/>
          <w14:textFill>
            <w14:solidFill>
              <w14:schemeClr w14:val="tx1"/>
            </w14:solidFill>
          </w14:textFill>
        </w:rPr>
        <w:t xml:space="preserve">  </w:t>
      </w:r>
      <w:r>
        <w:rPr>
          <w:rFonts w:hint="eastAsia" w:ascii="华文细黑" w:hAnsi="华文细黑" w:eastAsia="华文细黑"/>
          <w:b/>
          <w:color w:val="000000" w:themeColor="text1"/>
          <w:sz w:val="32"/>
          <w:shd w:val="clear" w:color="auto" w:fill="FFFFFF" w:themeFill="background1"/>
          <w14:textFill>
            <w14:solidFill>
              <w14:schemeClr w14:val="tx1"/>
            </w14:solidFill>
          </w14:textFill>
        </w:rPr>
        <w:t>月</w:t>
      </w:r>
    </w:p>
    <w:p>
      <w:pPr>
        <w:jc w:val="center"/>
        <w:rPr>
          <w:rFonts w:ascii="华文细黑" w:hAnsi="华文细黑" w:eastAsia="华文细黑"/>
          <w:b/>
          <w:color w:val="000000" w:themeColor="text1"/>
          <w:sz w:val="32"/>
          <w:shd w:val="clear" w:color="auto" w:fill="FFFFFF" w:themeFill="background1"/>
          <w14:textFill>
            <w14:solidFill>
              <w14:schemeClr w14:val="tx1"/>
            </w14:solidFill>
          </w14:textFill>
        </w:rPr>
        <w:sectPr>
          <w:headerReference r:id="rId5" w:type="default"/>
          <w:footerReference r:id="rId6" w:type="default"/>
          <w:pgSz w:w="11906" w:h="16838"/>
          <w:pgMar w:top="1440" w:right="1800" w:bottom="1440" w:left="1800" w:header="851" w:footer="992" w:gutter="0"/>
          <w:pgNumType w:chapStyle="1"/>
          <w:cols w:space="720" w:num="1"/>
          <w:docGrid w:type="lines" w:linePitch="312" w:charSpace="0"/>
        </w:sectPr>
      </w:pPr>
    </w:p>
    <w:p>
      <w:pPr>
        <w:bidi w:val="0"/>
        <w:rPr>
          <w:rFonts w:hint="eastAsia"/>
        </w:rPr>
      </w:pPr>
      <w:bookmarkStart w:id="102" w:name="_Toc22175"/>
      <w:bookmarkStart w:id="103" w:name="_Toc29543"/>
      <w:r>
        <w:rPr>
          <w:rFonts w:hint="eastAsia"/>
        </w:rPr>
        <w:t>甲方：重庆三峡银行股份有限公司</w:t>
      </w:r>
    </w:p>
    <w:p>
      <w:pPr>
        <w:bidi w:val="0"/>
        <w:rPr>
          <w:rFonts w:hint="eastAsia"/>
        </w:rPr>
      </w:pPr>
      <w:r>
        <w:rPr>
          <w:rFonts w:hint="eastAsia"/>
        </w:rPr>
        <w:t>地址：</w:t>
      </w:r>
    </w:p>
    <w:p>
      <w:pPr>
        <w:bidi w:val="0"/>
        <w:rPr>
          <w:rFonts w:hint="eastAsia"/>
        </w:rPr>
      </w:pPr>
      <w:r>
        <w:rPr>
          <w:rFonts w:hint="eastAsia"/>
        </w:rPr>
        <w:t>联系人：</w:t>
      </w:r>
    </w:p>
    <w:p>
      <w:pPr>
        <w:bidi w:val="0"/>
        <w:rPr>
          <w:rFonts w:hint="eastAsia"/>
        </w:rPr>
      </w:pPr>
    </w:p>
    <w:p>
      <w:pPr>
        <w:bidi w:val="0"/>
        <w:rPr>
          <w:rFonts w:hint="eastAsia"/>
        </w:rPr>
      </w:pPr>
      <w:r>
        <w:rPr>
          <w:rFonts w:hint="eastAsia"/>
        </w:rPr>
        <w:t>乙方：</w:t>
      </w:r>
    </w:p>
    <w:p>
      <w:pPr>
        <w:bidi w:val="0"/>
        <w:rPr>
          <w:rFonts w:hint="eastAsia"/>
        </w:rPr>
      </w:pPr>
      <w:r>
        <w:rPr>
          <w:rFonts w:hint="eastAsia"/>
        </w:rPr>
        <w:t>地址：</w:t>
      </w:r>
    </w:p>
    <w:p>
      <w:pPr>
        <w:bidi w:val="0"/>
        <w:rPr>
          <w:rFonts w:hint="eastAsia"/>
        </w:rPr>
      </w:pPr>
      <w:r>
        <w:rPr>
          <w:rFonts w:hint="eastAsia"/>
        </w:rPr>
        <w:t>联系人：电话：</w:t>
      </w:r>
    </w:p>
    <w:p>
      <w:pPr>
        <w:bidi w:val="0"/>
        <w:rPr>
          <w:rFonts w:hint="eastAsia"/>
        </w:rPr>
      </w:pPr>
    </w:p>
    <w:p>
      <w:pPr>
        <w:bidi w:val="0"/>
        <w:rPr>
          <w:rFonts w:hint="eastAsia"/>
        </w:rPr>
      </w:pPr>
      <w:r>
        <w:rPr>
          <w:rFonts w:hint="eastAsia"/>
        </w:rPr>
        <w:t>甲乙双方经过平等、友好协商，根据公平、自愿和诚实信用原则，为甲方提供抵押不动产信息和评估价值专项服务，甲方委托乙方提供服务，以便满足甲方业务发展规划需要，特签订本合同。</w:t>
      </w:r>
    </w:p>
    <w:p>
      <w:pPr>
        <w:bidi w:val="0"/>
        <w:rPr>
          <w:rFonts w:hint="eastAsia"/>
        </w:rPr>
      </w:pPr>
      <w:r>
        <w:rPr>
          <w:rFonts w:hint="eastAsia"/>
        </w:rPr>
        <w:t>一、服务内容</w:t>
      </w:r>
    </w:p>
    <w:p>
      <w:pPr>
        <w:bidi w:val="0"/>
        <w:rPr>
          <w:rFonts w:hint="eastAsia"/>
        </w:rPr>
      </w:pPr>
      <w:r>
        <w:rPr>
          <w:rFonts w:hint="eastAsia"/>
        </w:rPr>
        <w:t>（一）乙方通过智能评估支持系统为甲方提供不动产价格评估及数据咨询等服务，具体包括：</w:t>
      </w:r>
    </w:p>
    <w:p>
      <w:pPr>
        <w:bidi w:val="0"/>
        <w:rPr>
          <w:rFonts w:hint="eastAsia"/>
        </w:rPr>
      </w:pPr>
      <w:r>
        <w:rPr>
          <w:rFonts w:hint="eastAsia"/>
        </w:rPr>
        <w:t>1.向甲方提供全重庆市（包含所有区县城市）的住宅物业价格自动评估。</w:t>
      </w:r>
    </w:p>
    <w:p>
      <w:pPr>
        <w:bidi w:val="0"/>
        <w:rPr>
          <w:rFonts w:hint="eastAsia"/>
        </w:rPr>
      </w:pPr>
      <w:r>
        <w:rPr>
          <w:rFonts w:hint="eastAsia"/>
        </w:rPr>
        <w:t>2.由乙方专业估价人员向甲方提供全重庆市（包含所有区县城市）的住宅、商业用房、办公用房的线上人工评估服务，价值类型为市场价值。</w:t>
      </w:r>
    </w:p>
    <w:p>
      <w:pPr>
        <w:bidi w:val="0"/>
        <w:rPr>
          <w:rFonts w:hint="eastAsia"/>
        </w:rPr>
      </w:pPr>
      <w:r>
        <w:rPr>
          <w:rFonts w:hint="eastAsia"/>
        </w:rPr>
        <w:t>3.向甲方开放房地产评估数据接口服务，实现与甲方相关系统的对接应用，达到智能估价的效果。</w:t>
      </w:r>
    </w:p>
    <w:p>
      <w:pPr>
        <w:bidi w:val="0"/>
        <w:rPr>
          <w:rFonts w:hint="eastAsia"/>
        </w:rPr>
      </w:pPr>
      <w:r>
        <w:rPr>
          <w:rFonts w:hint="eastAsia"/>
        </w:rPr>
        <w:t>（二）乙方依据甲方需求提供不动产批量重估服务，对已贷款的住宅、商业用房、办公用房，实现押品的价格动态监测。</w:t>
      </w:r>
    </w:p>
    <w:p>
      <w:pPr>
        <w:bidi w:val="0"/>
        <w:rPr>
          <w:rFonts w:hint="eastAsia"/>
        </w:rPr>
      </w:pPr>
      <w:r>
        <w:rPr>
          <w:rFonts w:hint="eastAsia"/>
        </w:rPr>
        <w:t>（三）乙方每半年向甲方提供服务使用分析报告，报告的内容包括但不限于服务情况总结、问题分析及相关建议。</w:t>
      </w:r>
    </w:p>
    <w:p>
      <w:pPr>
        <w:bidi w:val="0"/>
        <w:rPr>
          <w:rFonts w:hint="eastAsia"/>
        </w:rPr>
      </w:pPr>
      <w:r>
        <w:rPr>
          <w:rFonts w:hint="eastAsia"/>
        </w:rPr>
        <w:t>（四）乙方不定期向甲方提供重庆市房地产分析报告，至少保证每年两次。</w:t>
      </w:r>
    </w:p>
    <w:p>
      <w:pPr>
        <w:bidi w:val="0"/>
        <w:rPr>
          <w:rFonts w:hint="eastAsia"/>
        </w:rPr>
      </w:pPr>
      <w:r>
        <w:rPr>
          <w:rFonts w:hint="eastAsia"/>
        </w:rPr>
        <w:t>（五）如今后甲乙双方需调整服务区域和服务内容，将另行协商约定。</w:t>
      </w:r>
    </w:p>
    <w:p>
      <w:pPr>
        <w:bidi w:val="0"/>
        <w:rPr>
          <w:rFonts w:hint="eastAsia"/>
        </w:rPr>
      </w:pPr>
      <w:r>
        <w:rPr>
          <w:rFonts w:hint="eastAsia"/>
        </w:rPr>
        <w:t>二、服务方式</w:t>
      </w:r>
    </w:p>
    <w:p>
      <w:pPr>
        <w:bidi w:val="0"/>
        <w:rPr>
          <w:rFonts w:hint="eastAsia"/>
        </w:rPr>
      </w:pPr>
      <w:r>
        <w:rPr>
          <w:rFonts w:hint="eastAsia"/>
        </w:rPr>
        <w:t>（一）本次服务采用开通PC端、APP端账号和数据库对接两种方式。开通PC端、APP端账号的方式由乙方为甲方辖内所有经营机构开通查询账号，通过PC端、APP端为甲方提供不动产线上估价服务。数据库对接方式由乙方的不动产估值数据库与甲方业务系统对接，通过甲方业务系统直接获取乙方不动产线上估价服务。</w:t>
      </w:r>
    </w:p>
    <w:p>
      <w:pPr>
        <w:bidi w:val="0"/>
        <w:rPr>
          <w:rFonts w:hint="eastAsia"/>
        </w:rPr>
      </w:pPr>
      <w:r>
        <w:rPr>
          <w:rFonts w:hint="eastAsia"/>
        </w:rPr>
        <w:t>（二）住宅、商业用房、办公用房线上自动评估，不进行现场查勘，由甲方直接登录乙方提供的查询渠道或通过内部业务系统直接查询房地产估价信息。</w:t>
      </w:r>
    </w:p>
    <w:p>
      <w:pPr>
        <w:bidi w:val="0"/>
        <w:rPr>
          <w:rFonts w:hint="eastAsia"/>
        </w:rPr>
      </w:pPr>
      <w:r>
        <w:rPr>
          <w:rFonts w:hint="eastAsia"/>
        </w:rPr>
        <w:t>（三）住宅线上人工评估，不进行现场查勘，原则上仅提供房地产地址即可，如果乙方要求甲方提供不动产权证、现场照片等影像资料时，甲方应配合提供相应资料。</w:t>
      </w:r>
    </w:p>
    <w:p>
      <w:pPr>
        <w:bidi w:val="0"/>
        <w:rPr>
          <w:rFonts w:hint="eastAsia"/>
        </w:rPr>
      </w:pPr>
      <w:r>
        <w:rPr>
          <w:rFonts w:hint="eastAsia"/>
        </w:rPr>
        <w:t>（四）商业用房、办公用房线上人工评估，为保证效率，不进行现场查勘，甲方须提供不动产权证资料、租赁合同、房屋照片等，乙方根据租金、售价等数据进行价值测算，结合历史评估数据作出价值判断，并通过内部两次审核程序，提供较为准确的价值。</w:t>
      </w:r>
    </w:p>
    <w:p>
      <w:pPr>
        <w:bidi w:val="0"/>
        <w:rPr>
          <w:rFonts w:hint="eastAsia"/>
        </w:rPr>
      </w:pPr>
      <w:r>
        <w:rPr>
          <w:rFonts w:hint="eastAsia"/>
        </w:rPr>
        <w:t>（五）批量重估所需的不动产要素具体由双方商定，重估方式由甲方向乙方批量提供不动产信息数据，乙方在保障甲方数据信息安全性的前提下进行重估，并返回评估结果。</w:t>
      </w:r>
    </w:p>
    <w:p>
      <w:pPr>
        <w:bidi w:val="0"/>
        <w:rPr>
          <w:rFonts w:hint="eastAsia"/>
        </w:rPr>
      </w:pPr>
      <w:r>
        <w:rPr>
          <w:rFonts w:hint="eastAsia"/>
        </w:rPr>
        <w:t>三、服务时效</w:t>
      </w:r>
    </w:p>
    <w:p>
      <w:pPr>
        <w:bidi w:val="0"/>
        <w:rPr>
          <w:rFonts w:hint="eastAsia"/>
        </w:rPr>
      </w:pPr>
      <w:r>
        <w:rPr>
          <w:rFonts w:hint="eastAsia"/>
        </w:rPr>
        <w:t>（一）乙方向甲方提供的不动产线上评估自动查询服务，应实现7×24小时服务，系统自动估价响应时间不超过1分钟。若出现宕机或系统更新等情况应提前一个工作日通知甲方。</w:t>
      </w:r>
    </w:p>
    <w:p>
      <w:pPr>
        <w:bidi w:val="0"/>
        <w:rPr>
          <w:rFonts w:hint="eastAsia"/>
        </w:rPr>
      </w:pPr>
      <w:r>
        <w:rPr>
          <w:rFonts w:hint="eastAsia"/>
        </w:rPr>
        <w:t>（二）乙方向甲方提供的不动产线上评估人工查询服务，应实现每周一至周五（法定节假日例外）每天8:30～18:30的服务时效，住宅回价时间不超过30分钟，商业、办公用房回价时间不超过60分钟。除了固定服务时间外，若遇特殊情况，不动产线上评估人工服务应在非固定服务时间采取电话、传真及电子数据交换等方式与甲方联络，以快捷、简便的方式处理相关评估服务事项。</w:t>
      </w:r>
    </w:p>
    <w:p>
      <w:pPr>
        <w:bidi w:val="0"/>
        <w:rPr>
          <w:rFonts w:hint="eastAsia"/>
        </w:rPr>
      </w:pPr>
      <w:r>
        <w:rPr>
          <w:rFonts w:hint="eastAsia"/>
        </w:rPr>
        <w:t>四、质量承诺与保障</w:t>
      </w:r>
    </w:p>
    <w:p>
      <w:pPr>
        <w:bidi w:val="0"/>
        <w:rPr>
          <w:rFonts w:hint="eastAsia"/>
        </w:rPr>
      </w:pPr>
      <w:r>
        <w:rPr>
          <w:rFonts w:hint="eastAsia"/>
        </w:rPr>
        <w:t>（一）乙方每月对所提供不动产数据库进行动态维护和价格更新。乙方专职团队需持续不断提升不动产数据积累、市场案例更新和质量控制工作，提升系统精准房号的可估率及准确性。</w:t>
      </w:r>
    </w:p>
    <w:p>
      <w:pPr>
        <w:bidi w:val="0"/>
        <w:rPr>
          <w:rFonts w:hint="eastAsia"/>
        </w:rPr>
      </w:pPr>
      <w:r>
        <w:rPr>
          <w:rFonts w:hint="eastAsia"/>
        </w:rPr>
        <w:t>（二）乙方承诺提供的不动产线上估价结果建立在客观、专业、公正和公平的基础之上，无任何他人不当授意和干扰，并对估价结果负责。若评估价值偏离公开市场交易价值15%（含）以上，并因此对甲方授信业务造成损失的，甲方有权解除本合同，不再支付任何费用，且乙方应赔偿给甲方造成的全部损失。</w:t>
      </w:r>
    </w:p>
    <w:p>
      <w:pPr>
        <w:bidi w:val="0"/>
        <w:rPr>
          <w:rFonts w:hint="eastAsia"/>
        </w:rPr>
      </w:pPr>
      <w:r>
        <w:rPr>
          <w:rFonts w:hint="eastAsia"/>
        </w:rPr>
        <w:t>（三）乙方保证在规定时效内完成估价业务，如果超出时限，则不计算费用。在本合同履行过程中，出现前述情形达【】次的，甲方有权解除本合同，不再支付任何费用，且乙方应赔偿给甲方造成的全部损失。</w:t>
      </w:r>
    </w:p>
    <w:p>
      <w:pPr>
        <w:bidi w:val="0"/>
        <w:rPr>
          <w:rFonts w:hint="eastAsia"/>
        </w:rPr>
      </w:pPr>
      <w:r>
        <w:rPr>
          <w:rFonts w:hint="eastAsia"/>
        </w:rPr>
        <w:t>（四）乙方免费提供不动产数据库升级服务。</w:t>
      </w:r>
    </w:p>
    <w:p>
      <w:pPr>
        <w:bidi w:val="0"/>
        <w:rPr>
          <w:rFonts w:hint="eastAsia"/>
        </w:rPr>
      </w:pPr>
      <w:r>
        <w:rPr>
          <w:rFonts w:hint="eastAsia"/>
        </w:rPr>
        <w:t>五、甲、乙双方责任</w:t>
      </w:r>
    </w:p>
    <w:p>
      <w:pPr>
        <w:bidi w:val="0"/>
        <w:rPr>
          <w:rFonts w:hint="eastAsia"/>
        </w:rPr>
      </w:pPr>
      <w:r>
        <w:rPr>
          <w:rFonts w:hint="eastAsia"/>
        </w:rPr>
        <w:t>（一）甲方有责任保证所提供资料的真实性、完整性、准确性，资料包括估价对象的不动产权证、照片、租赁合同等；</w:t>
      </w:r>
    </w:p>
    <w:p>
      <w:pPr>
        <w:bidi w:val="0"/>
        <w:rPr>
          <w:rFonts w:hint="eastAsia"/>
        </w:rPr>
      </w:pPr>
      <w:r>
        <w:rPr>
          <w:rFonts w:hint="eastAsia"/>
        </w:rPr>
        <w:t>（二）乙方应对不动产线上估价结果的价值客观性、准确性负责。</w:t>
      </w:r>
    </w:p>
    <w:p>
      <w:pPr>
        <w:bidi w:val="0"/>
        <w:rPr>
          <w:rFonts w:hint="eastAsia"/>
        </w:rPr>
      </w:pPr>
      <w:r>
        <w:rPr>
          <w:rFonts w:hint="eastAsia"/>
        </w:rPr>
        <w:t>（三）乙方如不能按本合同约定的期限及要求提供服务，每出现一次，除不计算该次费用外，乙方应向甲方支付【】元/次的违约金；出现前述情形达【】次的，甲方有权解除本合同，不再支付任何费用，且乙方应赔偿给甲方造成的全部损失。</w:t>
      </w:r>
    </w:p>
    <w:p>
      <w:pPr>
        <w:bidi w:val="0"/>
        <w:rPr>
          <w:rFonts w:hint="eastAsia"/>
        </w:rPr>
      </w:pPr>
      <w:r>
        <w:rPr>
          <w:rFonts w:hint="eastAsia"/>
        </w:rPr>
        <w:t>（四）除本合同另有约定外，甲方未按照合同第六条约定的时间付款即为违约，甲方未按照合同约定的时间付款，由甲乙双方协商确定解决方案，如甲方逾期30日仍未付款，乙方有权采取包括暂停服务等在内的相关措施，直至甲方完成付款。但若因乙方原因造成甲方未按时付款的，不视为甲方违约。</w:t>
      </w:r>
    </w:p>
    <w:p>
      <w:pPr>
        <w:bidi w:val="0"/>
        <w:rPr>
          <w:rFonts w:hint="eastAsia"/>
        </w:rPr>
      </w:pPr>
      <w:r>
        <w:rPr>
          <w:rFonts w:hint="eastAsia"/>
        </w:rPr>
        <w:t>（五）任何一方违返保密义务造成对方损失的，应依法赔偿对方相应损失。</w:t>
      </w:r>
    </w:p>
    <w:p>
      <w:pPr>
        <w:bidi w:val="0"/>
        <w:rPr>
          <w:rFonts w:hint="eastAsia"/>
        </w:rPr>
      </w:pPr>
      <w:r>
        <w:rPr>
          <w:rFonts w:hint="eastAsia"/>
        </w:rPr>
        <w:t>六、服务费用及支付</w:t>
      </w:r>
    </w:p>
    <w:p>
      <w:pPr>
        <w:bidi w:val="0"/>
        <w:rPr>
          <w:rFonts w:hint="eastAsia"/>
        </w:rPr>
      </w:pPr>
      <w:r>
        <w:rPr>
          <w:rFonts w:hint="eastAsia"/>
        </w:rPr>
        <w:t>（一）服务费用标准</w:t>
      </w:r>
    </w:p>
    <w:p>
      <w:pPr>
        <w:bidi w:val="0"/>
        <w:rPr>
          <w:rFonts w:hint="eastAsia"/>
        </w:rPr>
      </w:pPr>
      <w:r>
        <w:rPr>
          <w:rFonts w:hint="eastAsia"/>
        </w:rPr>
        <w:t>服务项目</w:t>
      </w:r>
      <w:r>
        <w:rPr>
          <w:rFonts w:hint="eastAsia"/>
        </w:rPr>
        <w:tab/>
      </w:r>
      <w:r>
        <w:rPr>
          <w:rFonts w:hint="eastAsia"/>
        </w:rPr>
        <w:t>含税单价（元/笔）</w:t>
      </w:r>
    </w:p>
    <w:p>
      <w:pPr>
        <w:bidi w:val="0"/>
        <w:rPr>
          <w:rFonts w:hint="eastAsia"/>
        </w:rPr>
      </w:pPr>
      <w:r>
        <w:rPr>
          <w:rFonts w:hint="eastAsia"/>
        </w:rPr>
        <w:t>住宅用房线上自动评估</w:t>
      </w:r>
      <w:r>
        <w:rPr>
          <w:rFonts w:hint="eastAsia"/>
        </w:rPr>
        <w:tab/>
      </w:r>
    </w:p>
    <w:p>
      <w:pPr>
        <w:bidi w:val="0"/>
        <w:rPr>
          <w:rFonts w:hint="eastAsia"/>
        </w:rPr>
      </w:pPr>
      <w:r>
        <w:rPr>
          <w:rFonts w:hint="eastAsia"/>
        </w:rPr>
        <w:t>住宅用房线上人工评估</w:t>
      </w:r>
      <w:r>
        <w:rPr>
          <w:rFonts w:hint="eastAsia"/>
        </w:rPr>
        <w:tab/>
      </w:r>
    </w:p>
    <w:p>
      <w:pPr>
        <w:bidi w:val="0"/>
        <w:rPr>
          <w:rFonts w:hint="eastAsia"/>
        </w:rPr>
      </w:pPr>
      <w:r>
        <w:rPr>
          <w:rFonts w:hint="eastAsia"/>
        </w:rPr>
        <w:t>商业、办公用房线上人工评估</w:t>
      </w:r>
      <w:r>
        <w:rPr>
          <w:rFonts w:hint="eastAsia"/>
        </w:rPr>
        <w:tab/>
      </w:r>
    </w:p>
    <w:p>
      <w:pPr>
        <w:bidi w:val="0"/>
        <w:rPr>
          <w:rFonts w:hint="eastAsia"/>
        </w:rPr>
      </w:pPr>
      <w:r>
        <w:rPr>
          <w:rFonts w:hint="eastAsia"/>
        </w:rPr>
        <w:t>住宅批量重估</w:t>
      </w:r>
      <w:r>
        <w:rPr>
          <w:rFonts w:hint="eastAsia"/>
        </w:rPr>
        <w:tab/>
      </w:r>
    </w:p>
    <w:p>
      <w:pPr>
        <w:bidi w:val="0"/>
        <w:rPr>
          <w:rFonts w:hint="eastAsia"/>
        </w:rPr>
      </w:pPr>
      <w:r>
        <w:rPr>
          <w:rFonts w:hint="eastAsia"/>
        </w:rPr>
        <w:t>商业、办公批量重估</w:t>
      </w:r>
      <w:r>
        <w:rPr>
          <w:rFonts w:hint="eastAsia"/>
        </w:rPr>
        <w:tab/>
      </w:r>
    </w:p>
    <w:p>
      <w:pPr>
        <w:bidi w:val="0"/>
        <w:rPr>
          <w:rFonts w:hint="eastAsia"/>
        </w:rPr>
      </w:pPr>
      <w:r>
        <w:rPr>
          <w:rFonts w:hint="eastAsia"/>
        </w:rPr>
        <w:t>注：1.执行封顶价含税25万元/年。一年25万元以内，按照以上单价结算，超过25万元，以25万元结算。2.住宅用房线上自动评估、住宅用房线上人工评估、商业、办公用房线上人工评估中同一套抵押物重复查询，计费标准按一次计算。</w:t>
      </w:r>
    </w:p>
    <w:p>
      <w:pPr>
        <w:bidi w:val="0"/>
        <w:rPr>
          <w:rFonts w:hint="eastAsia"/>
        </w:rPr>
      </w:pPr>
      <w:r>
        <w:rPr>
          <w:rFonts w:hint="eastAsia"/>
        </w:rPr>
        <w:t>（二）付款方式</w:t>
      </w:r>
    </w:p>
    <w:p>
      <w:pPr>
        <w:bidi w:val="0"/>
        <w:rPr>
          <w:rFonts w:hint="eastAsia"/>
        </w:rPr>
      </w:pPr>
      <w:r>
        <w:rPr>
          <w:rFonts w:hint="eastAsia"/>
        </w:rPr>
        <w:t>1. 服务费用每半年结算一次，上半年付款金额以甲方实际使用查询情况为准，下半年应付款项与乙方的后评价挂钩。甲方应在结算日期满后且收到乙方出具的足额、有效的增值税专用发票起的10个工作日内支付。若乙方未如约向甲方提供发票的，甲方有权不予付款且不承担逾期付款违约责任。</w:t>
      </w:r>
    </w:p>
    <w:p>
      <w:pPr>
        <w:bidi w:val="0"/>
        <w:rPr>
          <w:rFonts w:hint="eastAsia"/>
        </w:rPr>
      </w:pPr>
      <w:r>
        <w:rPr>
          <w:rFonts w:hint="eastAsia"/>
        </w:rPr>
        <w:t>2.乙方收款账户信息如下：</w:t>
      </w:r>
    </w:p>
    <w:p>
      <w:pPr>
        <w:bidi w:val="0"/>
        <w:rPr>
          <w:rFonts w:hint="eastAsia"/>
        </w:rPr>
      </w:pPr>
      <w:r>
        <w:rPr>
          <w:rFonts w:hint="eastAsia"/>
        </w:rPr>
        <w:t>账户名：</w:t>
      </w:r>
    </w:p>
    <w:p>
      <w:pPr>
        <w:bidi w:val="0"/>
        <w:rPr>
          <w:rFonts w:hint="eastAsia"/>
        </w:rPr>
      </w:pPr>
      <w:r>
        <w:rPr>
          <w:rFonts w:hint="eastAsia"/>
        </w:rPr>
        <w:t>账号：</w:t>
      </w:r>
    </w:p>
    <w:p>
      <w:pPr>
        <w:bidi w:val="0"/>
        <w:rPr>
          <w:rFonts w:hint="eastAsia"/>
        </w:rPr>
      </w:pPr>
      <w:r>
        <w:rPr>
          <w:rFonts w:hint="eastAsia"/>
        </w:rPr>
        <w:t>开户行名称：</w:t>
      </w:r>
    </w:p>
    <w:p>
      <w:pPr>
        <w:bidi w:val="0"/>
        <w:rPr>
          <w:rFonts w:hint="eastAsia"/>
        </w:rPr>
      </w:pPr>
      <w:r>
        <w:rPr>
          <w:rFonts w:hint="eastAsia"/>
        </w:rPr>
        <w:t>七、后续评价管理</w:t>
      </w:r>
    </w:p>
    <w:p>
      <w:pPr>
        <w:bidi w:val="0"/>
        <w:rPr>
          <w:rFonts w:hint="eastAsia"/>
        </w:rPr>
      </w:pPr>
      <w:r>
        <w:rPr>
          <w:rFonts w:hint="eastAsia"/>
        </w:rPr>
        <w:t>（一）每年度服务期限届满前 1 个月，甲方对不动产线上评估服务开展评价。</w:t>
      </w:r>
    </w:p>
    <w:p>
      <w:pPr>
        <w:bidi w:val="0"/>
        <w:rPr>
          <w:rFonts w:hint="eastAsia"/>
        </w:rPr>
      </w:pPr>
      <w:r>
        <w:rPr>
          <w:rFonts w:hint="eastAsia"/>
        </w:rPr>
        <w:t>1.履职情况考核40分：无正当理由不按要求履行服务时效，1 次扣5分；未按要求无故宕机导致不动产线上评估无法开展工作的，1 次扣5 分：未及时响应线上人工评估服务或怠于履行职责的，1 次扣5分；如因工作失误给甲方造成较大损失的，1次扣10分；未按要求提供其他线上评估服务的，酌情扣分。</w:t>
      </w:r>
    </w:p>
    <w:p>
      <w:pPr>
        <w:bidi w:val="0"/>
        <w:rPr>
          <w:rFonts w:hint="eastAsia"/>
        </w:rPr>
      </w:pPr>
      <w:r>
        <w:rPr>
          <w:rFonts w:hint="eastAsia"/>
        </w:rPr>
        <w:t>2.规范执业考核40分：未建立不动产线上评估工作档案、保存工作记录的，扣5分；未按时提供服务期工作总结或报告的，1次扣5分；服务期内被甲方部门及分支机构投诉的，1 次扣5 分；其他违反执业规范要求的，酌情扣分。</w:t>
      </w:r>
    </w:p>
    <w:p>
      <w:pPr>
        <w:bidi w:val="0"/>
        <w:rPr>
          <w:rFonts w:hint="eastAsia"/>
        </w:rPr>
      </w:pPr>
      <w:r>
        <w:rPr>
          <w:rFonts w:hint="eastAsia"/>
        </w:rPr>
        <w:t>3.树立形象考核20分：从事不动产线上评估工作中，损害甲方利益或形象的，1次扣10分。</w:t>
      </w:r>
    </w:p>
    <w:p>
      <w:pPr>
        <w:bidi w:val="0"/>
        <w:rPr>
          <w:rFonts w:hint="eastAsia"/>
        </w:rPr>
      </w:pPr>
      <w:r>
        <w:rPr>
          <w:rFonts w:hint="eastAsia"/>
        </w:rPr>
        <w:t>（二）后评价运用</w:t>
      </w:r>
    </w:p>
    <w:p>
      <w:pPr>
        <w:bidi w:val="0"/>
        <w:rPr>
          <w:rFonts w:hint="eastAsia"/>
        </w:rPr>
      </w:pPr>
      <w:r>
        <w:rPr>
          <w:rFonts w:hint="eastAsia"/>
        </w:rPr>
        <w:t>不动产线上评估服务后评价采用打分制，总分为100分。如考评结果为优秀（90分及以上）则全额支付剩余应付款项，采购期内可续签下一年的合同；如考评结果为合格（80分及以上不满90分）则减半支付剩余应付款项，采购期内可续签下一年的合同；如考评为不合格（不满80分），则剩余款项不再支付，不再续签合同且以后两年不得入围。</w:t>
      </w:r>
    </w:p>
    <w:p>
      <w:pPr>
        <w:bidi w:val="0"/>
        <w:rPr>
          <w:rFonts w:hint="eastAsia"/>
        </w:rPr>
      </w:pPr>
      <w:r>
        <w:rPr>
          <w:rFonts w:hint="eastAsia"/>
        </w:rPr>
        <w:t>八、税票要求</w:t>
      </w:r>
    </w:p>
    <w:p>
      <w:pPr>
        <w:bidi w:val="0"/>
        <w:rPr>
          <w:rFonts w:hint="eastAsia"/>
        </w:rPr>
      </w:pPr>
      <w:r>
        <w:rPr>
          <w:rFonts w:hint="eastAsia"/>
        </w:rPr>
        <w:t>每次付款，乙方应向甲方出具足额、有效的合法合规的增值税专用发票；不动产线上评估服务适用增值税率6%；乙方须按税法规定税率向甲方出具相应金额合法合规的增值税专用发票。</w:t>
      </w:r>
    </w:p>
    <w:p>
      <w:pPr>
        <w:bidi w:val="0"/>
        <w:rPr>
          <w:rFonts w:hint="eastAsia"/>
        </w:rPr>
      </w:pPr>
      <w:r>
        <w:rPr>
          <w:rFonts w:hint="eastAsia"/>
        </w:rPr>
        <w:t>由于乙方纳税人身份、纳税方式及国家税制改革原因带来的税种及税率的变化，合同不含税价款保持不变。</w:t>
      </w:r>
    </w:p>
    <w:p>
      <w:pPr>
        <w:bidi w:val="0"/>
        <w:rPr>
          <w:rFonts w:hint="eastAsia"/>
        </w:rPr>
      </w:pPr>
      <w:r>
        <w:rPr>
          <w:rFonts w:hint="eastAsia"/>
        </w:rPr>
        <w:t>九、合同期限</w:t>
      </w:r>
    </w:p>
    <w:p>
      <w:pPr>
        <w:bidi w:val="0"/>
        <w:rPr>
          <w:rFonts w:hint="eastAsia"/>
        </w:rPr>
      </w:pPr>
      <w:r>
        <w:rPr>
          <w:rFonts w:hint="eastAsia"/>
        </w:rPr>
        <w:t>合同期限为12个月，即：年1月1日至年12月31日止。合同期限届满前一个月，双方协商确定是否续订合同。</w:t>
      </w:r>
    </w:p>
    <w:p>
      <w:pPr>
        <w:bidi w:val="0"/>
        <w:rPr>
          <w:rFonts w:hint="eastAsia"/>
        </w:rPr>
      </w:pPr>
      <w:r>
        <w:rPr>
          <w:rFonts w:hint="eastAsia"/>
        </w:rPr>
        <w:t>十、保密义务</w:t>
      </w:r>
    </w:p>
    <w:p>
      <w:pPr>
        <w:bidi w:val="0"/>
        <w:rPr>
          <w:rFonts w:hint="eastAsia"/>
        </w:rPr>
      </w:pPr>
      <w:r>
        <w:rPr>
          <w:rFonts w:hint="eastAsia"/>
        </w:rPr>
        <w:t>（一）甲方应保守因协议履行而获取的乙方提供的技术和信息的秘密（不包括乙方为履行合同义务而提供的数据、信息、资料），不得以任何形式向任何第三方透露，否则应承担由此引发乙方损失的赔偿责任。</w:t>
      </w:r>
    </w:p>
    <w:p>
      <w:pPr>
        <w:bidi w:val="0"/>
        <w:rPr>
          <w:rFonts w:hint="eastAsia"/>
        </w:rPr>
      </w:pPr>
      <w:r>
        <w:rPr>
          <w:rFonts w:hint="eastAsia"/>
        </w:rPr>
        <w:t>（二）乙方对甲方承担保密义务，即未经甲方许可，不得将签订、执行本合同的信息和签订、执行本合同过程中了解到的甲方信息（包括甲方客户信息）以及系统估价结果向任何第三方透露。乙方保密义务在本合同终止后继续有效。</w:t>
      </w:r>
    </w:p>
    <w:p>
      <w:pPr>
        <w:bidi w:val="0"/>
        <w:rPr>
          <w:rFonts w:hint="eastAsia"/>
        </w:rPr>
      </w:pPr>
      <w:r>
        <w:rPr>
          <w:rFonts w:hint="eastAsia"/>
        </w:rPr>
        <w:t>（三）乙方的不动产估值数据结果属于保密数据，仅供甲方在内部业务审核和管理使用，未经乙方书面同意，甲方不得向业务当事人之外的第三方披露。甲方保密义务在本合同终止后继续有效。</w:t>
      </w:r>
    </w:p>
    <w:p>
      <w:pPr>
        <w:bidi w:val="0"/>
        <w:rPr>
          <w:rFonts w:hint="eastAsia"/>
        </w:rPr>
      </w:pPr>
      <w:r>
        <w:rPr>
          <w:rFonts w:hint="eastAsia"/>
        </w:rPr>
        <w:t>（四）若因法律法规、监管要求等需要提供本条约定的保密信息的，不视为违约。</w:t>
      </w:r>
    </w:p>
    <w:p>
      <w:pPr>
        <w:bidi w:val="0"/>
        <w:rPr>
          <w:rFonts w:hint="eastAsia"/>
        </w:rPr>
      </w:pPr>
      <w:r>
        <w:rPr>
          <w:rFonts w:hint="eastAsia"/>
        </w:rPr>
        <w:t>十一、知识产权</w:t>
      </w:r>
    </w:p>
    <w:p>
      <w:pPr>
        <w:bidi w:val="0"/>
        <w:rPr>
          <w:rFonts w:hint="eastAsia"/>
        </w:rPr>
      </w:pPr>
      <w:r>
        <w:rPr>
          <w:rFonts w:hint="eastAsia"/>
        </w:rPr>
        <w:t>（一）甲乙双方对各自所有的专利、商标、版权等享有所有权，且不因合作而导致上述知识产权的共享。未经一方书面授权或许可，任何一方不能基于本合作协议而对另一方的知识产权享有任何权利。</w:t>
      </w:r>
    </w:p>
    <w:p>
      <w:pPr>
        <w:bidi w:val="0"/>
        <w:rPr>
          <w:rFonts w:hint="eastAsia"/>
        </w:rPr>
      </w:pPr>
      <w:r>
        <w:rPr>
          <w:rFonts w:hint="eastAsia"/>
        </w:rPr>
        <w:t>（二）甲乙双方对各自所有的经营、技术秘密等享有所有权。未经一方书面授权或许可，任何一方不得以不正当的方法获取、披露、使用或允许他人使用因本合作获悉的商业秘密。</w:t>
      </w:r>
    </w:p>
    <w:p>
      <w:pPr>
        <w:bidi w:val="0"/>
        <w:rPr>
          <w:rFonts w:hint="eastAsia"/>
        </w:rPr>
      </w:pPr>
      <w:r>
        <w:rPr>
          <w:rFonts w:hint="eastAsia"/>
        </w:rPr>
        <w:t>（三）乙方对不动产数据库进行动态维护及升级后形成的后续版本及后续产品，知识产权均属于乙方。</w:t>
      </w:r>
    </w:p>
    <w:p>
      <w:pPr>
        <w:bidi w:val="0"/>
        <w:rPr>
          <w:rFonts w:hint="eastAsia"/>
        </w:rPr>
      </w:pPr>
      <w:r>
        <w:rPr>
          <w:rFonts w:hint="eastAsia"/>
        </w:rPr>
        <w:t>十二、不可抗力</w:t>
      </w:r>
    </w:p>
    <w:p>
      <w:pPr>
        <w:bidi w:val="0"/>
        <w:rPr>
          <w:rFonts w:hint="eastAsia"/>
        </w:rPr>
      </w:pPr>
      <w:r>
        <w:rPr>
          <w:rFonts w:hint="eastAsia"/>
        </w:rPr>
        <w:t>（一）任何一方因不可抗力不能履行合同的全部或部分义务的，免除其全部或部分的责任。对方不得对此要求损害赔偿。</w:t>
      </w:r>
    </w:p>
    <w:p>
      <w:pPr>
        <w:bidi w:val="0"/>
        <w:rPr>
          <w:rFonts w:hint="eastAsia"/>
        </w:rPr>
      </w:pPr>
      <w:r>
        <w:rPr>
          <w:rFonts w:hint="eastAsia"/>
        </w:rPr>
        <w:t>（二）不可抗力是指不能预见、不能避免和不能克服的客观情况。</w:t>
      </w:r>
    </w:p>
    <w:p>
      <w:pPr>
        <w:bidi w:val="0"/>
        <w:rPr>
          <w:rFonts w:hint="eastAsia"/>
        </w:rPr>
      </w:pPr>
      <w:r>
        <w:rPr>
          <w:rFonts w:hint="eastAsia"/>
        </w:rPr>
        <w:t>十三、反商业贿赂条款</w:t>
      </w:r>
    </w:p>
    <w:p>
      <w:pPr>
        <w:bidi w:val="0"/>
        <w:rPr>
          <w:rFonts w:hint="eastAsia"/>
        </w:rPr>
      </w:pPr>
      <w:r>
        <w:rPr>
          <w:rFonts w:hint="eastAsia"/>
        </w:rPr>
        <w:t>反商业贿赂条款是本合同之必备条款，与本合同其他条款具有同等法律效力，请与本公司（甲方）签署合同之当事人认真阅读本条款，同意与本公司（甲方）签订并遵守如下反商业贿赂条款：</w:t>
      </w:r>
    </w:p>
    <w:p>
      <w:pPr>
        <w:bidi w:val="0"/>
        <w:rPr>
          <w:rFonts w:hint="eastAsia"/>
        </w:rPr>
      </w:pPr>
      <w:r>
        <w:rPr>
          <w:rFonts w:hint="eastAsia"/>
        </w:rPr>
        <w:t>（一）甲乙双方都清楚并愿意严格遵守中华人民共和国反商业贿赂的法律规定，双方都清楚任何形式的贿赂和贪渎行为都将触犯法律，并将受到法律的严惩。</w:t>
      </w:r>
    </w:p>
    <w:p>
      <w:pPr>
        <w:bidi w:val="0"/>
        <w:rPr>
          <w:rFonts w:hint="eastAsia"/>
        </w:rPr>
      </w:pPr>
      <w:r>
        <w:rPr>
          <w:rFonts w:hint="eastAsia"/>
        </w:rPr>
        <w:t>（二）甲方或乙方均不得向对方或对方经办部门或其他相关人员索要、收受、提供、给予合同约定外的任何利益，包括但不限于明扣、暗扣、现金、购物卡、实物、有价证券、旅游或其他非物质性利益等，但如该等利益属于行业惯例或通常做法，则须在合同中明示。</w:t>
      </w:r>
    </w:p>
    <w:p>
      <w:pPr>
        <w:bidi w:val="0"/>
        <w:rPr>
          <w:rFonts w:hint="eastAsia"/>
        </w:rPr>
      </w:pPr>
      <w:r>
        <w:rPr>
          <w:rFonts w:hint="eastAsia"/>
        </w:rPr>
        <w:t>（三）甲方严格禁止甲方经办部门的任何商业贿赂行为。甲方经办部门发生本条第二款所列示的任何一种行为，都是违反甲方公司制度的，都将受到甲方公司制度和国家法律的惩处。</w:t>
      </w:r>
    </w:p>
    <w:p>
      <w:pPr>
        <w:bidi w:val="0"/>
        <w:rPr>
          <w:rFonts w:hint="eastAsia"/>
        </w:rPr>
      </w:pPr>
      <w:r>
        <w:rPr>
          <w:rFonts w:hint="eastAsia"/>
        </w:rPr>
        <w:t>（四）本公司（甲方）郑重提示：本公司（甲方）反对乙方或乙方经办部门为了本合同之目的与本合同以外的任何第三方发生本条款第二条所列示的任何一种行为，该等行为都是违反国家法律的行为，并将受到国家法律的惩处。</w:t>
      </w:r>
    </w:p>
    <w:p>
      <w:pPr>
        <w:bidi w:val="0"/>
        <w:rPr>
          <w:rFonts w:hint="eastAsia"/>
        </w:rPr>
      </w:pPr>
      <w:r>
        <w:rPr>
          <w:rFonts w:hint="eastAsia"/>
        </w:rPr>
        <w:t>（五）如因一方或一方经办部门违反上述第二款、第三款、第四款之规定，给对方造成损失的，应承担损害赔偿责任。</w:t>
      </w:r>
    </w:p>
    <w:p>
      <w:pPr>
        <w:bidi w:val="0"/>
        <w:rPr>
          <w:rFonts w:hint="eastAsia"/>
        </w:rPr>
      </w:pPr>
      <w:r>
        <w:rPr>
          <w:rFonts w:hint="eastAsia"/>
        </w:rPr>
        <w:t>（六）本条所称“其他相关人员”是指甲乙方经办部门以外的与合同有直接或间接利益关系的人员，包括但不仅限于合同经办部门的亲友。</w:t>
      </w:r>
    </w:p>
    <w:p>
      <w:pPr>
        <w:bidi w:val="0"/>
        <w:rPr>
          <w:rFonts w:hint="eastAsia"/>
        </w:rPr>
      </w:pPr>
      <w:r>
        <w:rPr>
          <w:rFonts w:hint="eastAsia"/>
        </w:rPr>
        <w:t>十四、数据安全及保护条款</w:t>
      </w:r>
    </w:p>
    <w:p>
      <w:pPr>
        <w:bidi w:val="0"/>
        <w:rPr>
          <w:rFonts w:hint="eastAsia"/>
        </w:rPr>
      </w:pPr>
      <w:r>
        <w:rPr>
          <w:rFonts w:hint="eastAsia"/>
        </w:rPr>
        <w:t>（一）双方知悉并愿意按照《个人信息保护法》的要求，履行个人信息保护的职责；</w:t>
      </w:r>
    </w:p>
    <w:p>
      <w:pPr>
        <w:bidi w:val="0"/>
        <w:rPr>
          <w:rFonts w:hint="eastAsia"/>
        </w:rPr>
      </w:pPr>
      <w:r>
        <w:rPr>
          <w:rFonts w:hint="eastAsia"/>
        </w:rPr>
        <w:t>（二）双方应确保客户个人金融信息安全，保证客户信息来源合法合规，且所有信息的使用均以“最小范围”、“最小数据”为原则，最大限度保障客户信息安全；</w:t>
      </w:r>
    </w:p>
    <w:p>
      <w:pPr>
        <w:bidi w:val="0"/>
        <w:rPr>
          <w:rFonts w:hint="eastAsia"/>
        </w:rPr>
      </w:pPr>
      <w:r>
        <w:rPr>
          <w:rFonts w:hint="eastAsia"/>
        </w:rPr>
        <w:t>（三）双方应当遵循合法、正当、必要和诚信原则，除法律法规另有规定外，双方的个人信息处理活动不能超出本协议约定的目的、处理方式和范围。双方变更本协议的处理目的、处理方式的，应当依照法律法规规定重新取得客户个人同意或确保具备其他的合法性基础；</w:t>
      </w:r>
    </w:p>
    <w:p>
      <w:pPr>
        <w:bidi w:val="0"/>
        <w:rPr>
          <w:rFonts w:hint="eastAsia"/>
        </w:rPr>
      </w:pPr>
      <w:r>
        <w:rPr>
          <w:rFonts w:hint="eastAsia"/>
        </w:rPr>
        <w:t>（四）双方应建立数据安全管理的策略与标准，采取有效技术措施，保障客户数据在各环节的安全，防范数据泄露、丢失或被篡改的风险，并做好定期数据备份工作；</w:t>
      </w:r>
    </w:p>
    <w:p>
      <w:pPr>
        <w:bidi w:val="0"/>
        <w:rPr>
          <w:rFonts w:hint="eastAsia"/>
        </w:rPr>
      </w:pPr>
      <w:r>
        <w:rPr>
          <w:rFonts w:hint="eastAsia"/>
        </w:rPr>
        <w:t>（五）双方应建立必要的网络安全防护措施，加强网络访问控制和行为监测，有效防范网络攻击等威胁。双方进行数据交互时应当采取切实措施，实现敏感数据的有效隔离，保证数据交互在安全、合规的环境下进行。</w:t>
      </w:r>
    </w:p>
    <w:p>
      <w:pPr>
        <w:bidi w:val="0"/>
        <w:rPr>
          <w:rFonts w:hint="eastAsia"/>
        </w:rPr>
      </w:pPr>
      <w:r>
        <w:rPr>
          <w:rFonts w:hint="eastAsia"/>
        </w:rPr>
        <w:t>（六）为确保客户个人金融信息安全，履行客户个人金融信息保护义务，防止信息泄露和滥用，双方同意传输必要的客户信息时，对客户联系方式掩码传输。</w:t>
      </w:r>
    </w:p>
    <w:p>
      <w:pPr>
        <w:bidi w:val="0"/>
        <w:rPr>
          <w:rFonts w:hint="eastAsia"/>
        </w:rPr>
      </w:pPr>
      <w:r>
        <w:rPr>
          <w:rFonts w:hint="eastAsia"/>
        </w:rPr>
        <w:t>十五、争议条款</w:t>
      </w:r>
    </w:p>
    <w:p>
      <w:pPr>
        <w:bidi w:val="0"/>
        <w:rPr>
          <w:rFonts w:hint="eastAsia"/>
        </w:rPr>
      </w:pPr>
      <w:r>
        <w:rPr>
          <w:rFonts w:hint="eastAsia"/>
        </w:rPr>
        <w:t>本合同履行过程中发生争议，由甲乙双方友好协商解决；协商不成，依法向本合同首部载明的甲方地址所在地人民法院起诉。</w:t>
      </w:r>
    </w:p>
    <w:p>
      <w:pPr>
        <w:bidi w:val="0"/>
        <w:rPr>
          <w:rFonts w:hint="eastAsia"/>
        </w:rPr>
      </w:pPr>
      <w:r>
        <w:rPr>
          <w:rFonts w:hint="eastAsia"/>
        </w:rPr>
        <w:t>十六、通知与送达</w:t>
      </w:r>
    </w:p>
    <w:p>
      <w:pPr>
        <w:bidi w:val="0"/>
        <w:rPr>
          <w:rFonts w:hint="eastAsia"/>
        </w:rPr>
      </w:pPr>
      <w:r>
        <w:rPr>
          <w:rFonts w:hint="eastAsia"/>
        </w:rPr>
        <w:t>除双方另有约定，本合同项下的所有通知均应通过书面形式，按本合同首部载明的住所/地址及联系方式进行，任何一方地址、联系方式如有变动，应于10日内以书面形式通知另一方。否则，向本合同首部载明的住所/地址和联系方式发送有关文件，均视为送达。</w:t>
      </w:r>
    </w:p>
    <w:p>
      <w:pPr>
        <w:bidi w:val="0"/>
        <w:rPr>
          <w:rFonts w:hint="eastAsia"/>
        </w:rPr>
      </w:pPr>
      <w:r>
        <w:rPr>
          <w:rFonts w:hint="eastAsia"/>
        </w:rPr>
        <w:t>发生纠纷的，本合同首部载明的住所/地址为司法送达地址，法院、仲裁机构等有权机关依照前述地址邮寄的传票、证据、通知、裁定、判决等诉讼（仲裁）文书及执行阶段法律文书资料，无论是否签收，均视为送达，当事人承担法律责任。</w:t>
      </w:r>
    </w:p>
    <w:p>
      <w:pPr>
        <w:bidi w:val="0"/>
        <w:rPr>
          <w:rFonts w:hint="eastAsia"/>
        </w:rPr>
      </w:pPr>
      <w:r>
        <w:rPr>
          <w:rFonts w:hint="eastAsia"/>
        </w:rPr>
        <w:t>十七、其他</w:t>
      </w:r>
    </w:p>
    <w:p>
      <w:pPr>
        <w:bidi w:val="0"/>
        <w:rPr>
          <w:rFonts w:hint="eastAsia"/>
        </w:rPr>
      </w:pPr>
      <w:r>
        <w:rPr>
          <w:rFonts w:hint="eastAsia"/>
        </w:rPr>
        <w:t>（一）如果甲方在服务期限内有任何疑问、建议、需求或投诉等，可电至：，对接的服务人员为。乙方如变更上述客户服务人员，应当提前3个工作日告知甲方。</w:t>
      </w:r>
    </w:p>
    <w:p>
      <w:pPr>
        <w:bidi w:val="0"/>
        <w:rPr>
          <w:rFonts w:hint="eastAsia"/>
        </w:rPr>
      </w:pPr>
      <w:r>
        <w:rPr>
          <w:rFonts w:hint="eastAsia"/>
        </w:rPr>
        <w:t>（二）本合同正本一式四份，甲方执两份，乙方执两份，具有同等法律效力。</w:t>
      </w:r>
    </w:p>
    <w:p>
      <w:pPr>
        <w:bidi w:val="0"/>
        <w:rPr>
          <w:rFonts w:hint="eastAsia"/>
        </w:rPr>
      </w:pPr>
      <w:r>
        <w:rPr>
          <w:rFonts w:hint="eastAsia"/>
        </w:rPr>
        <w:t>（三）本合同未尽事宜，甲乙双方可另行签订补充合同，补充合同与本合同具有同等法律效力。</w:t>
      </w:r>
    </w:p>
    <w:p>
      <w:pPr>
        <w:bidi w:val="0"/>
        <w:rPr>
          <w:rFonts w:hint="eastAsia"/>
        </w:rPr>
      </w:pPr>
      <w:r>
        <w:rPr>
          <w:rFonts w:hint="eastAsia"/>
        </w:rPr>
        <w:t>（四）本合同经双方加盖公章后即为生效。</w:t>
      </w:r>
    </w:p>
    <w:p>
      <w:pPr>
        <w:bidi w:val="0"/>
        <w:rPr>
          <w:rFonts w:hint="eastAsia"/>
        </w:rPr>
      </w:pPr>
      <w:r>
        <w:rPr>
          <w:rFonts w:hint="eastAsia"/>
        </w:rPr>
        <w:t>（以下无正文）</w:t>
      </w:r>
    </w:p>
    <w:p>
      <w:pPr>
        <w:bidi w:val="0"/>
        <w:rPr>
          <w:rFonts w:hint="eastAsia"/>
        </w:rPr>
      </w:pPr>
    </w:p>
    <w:p>
      <w:pPr>
        <w:bidi w:val="0"/>
        <w:rPr>
          <w:rFonts w:hint="eastAsia"/>
        </w:rPr>
      </w:pPr>
    </w:p>
    <w:p>
      <w:pPr>
        <w:bidi w:val="0"/>
        <w:rPr>
          <w:rFonts w:hint="eastAsia"/>
        </w:rPr>
      </w:pPr>
      <w:r>
        <w:rPr>
          <w:rFonts w:hint="eastAsia"/>
        </w:rPr>
        <w:t>甲方（盖章）：乙方（盖章）：</w:t>
      </w:r>
      <w:r>
        <w:rPr>
          <w:rFonts w:hint="eastAsia"/>
        </w:rPr>
        <w:tab/>
      </w:r>
    </w:p>
    <w:p>
      <w:pPr>
        <w:bidi w:val="0"/>
        <w:rPr>
          <w:rFonts w:hint="eastAsia"/>
        </w:rPr>
      </w:pPr>
      <w:r>
        <w:rPr>
          <w:rFonts w:hint="eastAsia"/>
        </w:rPr>
        <w:t>法定代表人/负责人：法定代表人/负责人：</w:t>
      </w:r>
    </w:p>
    <w:p>
      <w:pPr>
        <w:bidi w:val="0"/>
        <w:rPr>
          <w:rFonts w:hint="eastAsia"/>
        </w:rPr>
      </w:pPr>
      <w:r>
        <w:rPr>
          <w:rFonts w:hint="eastAsia"/>
        </w:rPr>
        <w:t>签字时间：年月日签字时间：年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r>
        <w:rPr>
          <w:rFonts w:hint="eastAsia"/>
        </w:rPr>
        <w:br w:type="page"/>
      </w:r>
    </w:p>
    <w:p>
      <w:pPr>
        <w:pStyle w:val="3"/>
        <w:bidi w:val="0"/>
      </w:pPr>
      <w:bookmarkStart w:id="104" w:name="_Toc2183"/>
      <w:r>
        <w:rPr>
          <w:rFonts w:hint="eastAsia"/>
        </w:rPr>
        <w:t>第六章 参选人须知</w:t>
      </w:r>
      <w:bookmarkEnd w:id="96"/>
      <w:bookmarkEnd w:id="97"/>
      <w:bookmarkEnd w:id="98"/>
      <w:bookmarkEnd w:id="102"/>
      <w:bookmarkEnd w:id="103"/>
      <w:bookmarkEnd w:id="104"/>
    </w:p>
    <w:p>
      <w:pPr>
        <w:pStyle w:val="4"/>
        <w:bidi w:val="0"/>
      </w:pPr>
      <w:bookmarkStart w:id="105" w:name="_Toc89675160"/>
      <w:r>
        <w:rPr>
          <w:rFonts w:hint="eastAsia"/>
        </w:rPr>
        <w:t>一、</w:t>
      </w:r>
      <w:r>
        <w:t>参选</w:t>
      </w:r>
      <w:r>
        <w:rPr>
          <w:rFonts w:hint="eastAsia"/>
        </w:rPr>
        <w:t>费用</w:t>
      </w:r>
      <w:bookmarkEnd w:id="105"/>
    </w:p>
    <w:p>
      <w:pPr>
        <w:bidi w:val="0"/>
      </w:pPr>
      <w:r>
        <w:rPr>
          <w:rFonts w:hint="eastAsia"/>
        </w:rPr>
        <w:t>1、参选人参与本比选项目时，一切与参选有关的费用均由参选人自理。</w:t>
      </w:r>
    </w:p>
    <w:p>
      <w:pPr>
        <w:bidi w:val="0"/>
      </w:pPr>
      <w:r>
        <w:rPr>
          <w:rFonts w:hint="eastAsia"/>
        </w:rPr>
        <w:t>2、本项目平台服务费为8000元，中选人均摊平台服务费，由中选人向重庆联合产权交易所集团股份有限公司支付。中选人应在领取中选通知书时一次性缴纳，请各参选人综合考虑进报价。</w:t>
      </w:r>
    </w:p>
    <w:p>
      <w:pPr>
        <w:pStyle w:val="4"/>
        <w:bidi w:val="0"/>
      </w:pPr>
      <w:bookmarkStart w:id="106" w:name="_Toc89675161"/>
      <w:r>
        <w:rPr>
          <w:rFonts w:hint="eastAsia"/>
        </w:rPr>
        <w:t>二、</w:t>
      </w:r>
      <w:r>
        <w:t>参选</w:t>
      </w:r>
      <w:r>
        <w:rPr>
          <w:rFonts w:hint="eastAsia"/>
        </w:rPr>
        <w:t>人</w:t>
      </w:r>
      <w:bookmarkEnd w:id="106"/>
    </w:p>
    <w:p>
      <w:pPr>
        <w:bidi w:val="0"/>
      </w:pPr>
      <w:r>
        <w:rPr>
          <w:rFonts w:hint="eastAsia"/>
        </w:rPr>
        <w:t>1、合格参选人条件</w:t>
      </w:r>
    </w:p>
    <w:p>
      <w:pPr>
        <w:bidi w:val="0"/>
      </w:pPr>
      <w:r>
        <w:rPr>
          <w:rFonts w:hint="eastAsia"/>
        </w:rPr>
        <w:t>合格参选人应完全符合比选文件第一章中规定的参选人资格条件，并对比选文件作出实质性响应。</w:t>
      </w:r>
    </w:p>
    <w:p>
      <w:pPr>
        <w:bidi w:val="0"/>
      </w:pPr>
      <w:r>
        <w:rPr>
          <w:rFonts w:hint="eastAsia"/>
        </w:rPr>
        <w:t>2、参选人的风险</w:t>
      </w:r>
    </w:p>
    <w:p>
      <w:pPr>
        <w:bidi w:val="0"/>
      </w:pPr>
      <w:r>
        <w:rPr>
          <w:rFonts w:hint="eastAsia"/>
        </w:rPr>
        <w:t>参选人没有按照比选文件要求提供全部资料，或者参选人没有对比选文件在各方面作出实质性响应，可能导致参选被拒绝或评定为无效参选。</w:t>
      </w:r>
    </w:p>
    <w:p>
      <w:pPr>
        <w:pStyle w:val="4"/>
        <w:bidi w:val="0"/>
      </w:pPr>
      <w:bookmarkStart w:id="107" w:name="_Toc89675162"/>
      <w:r>
        <w:rPr>
          <w:rFonts w:hint="eastAsia"/>
        </w:rPr>
        <w:t>三、比选文件</w:t>
      </w:r>
      <w:bookmarkEnd w:id="107"/>
    </w:p>
    <w:p>
      <w:pPr>
        <w:bidi w:val="0"/>
      </w:pPr>
      <w:r>
        <w:rPr>
          <w:rFonts w:hint="eastAsia"/>
        </w:rPr>
        <w:t>比选文件是参选人编制参选文件的依据，是评审委员会评判依据和标准。比选文件也是比选人与中选人签订合同的基础。</w:t>
      </w:r>
    </w:p>
    <w:p>
      <w:pPr>
        <w:bidi w:val="0"/>
      </w:pPr>
      <w:r>
        <w:rPr>
          <w:rFonts w:hint="eastAsia"/>
        </w:rPr>
        <w:t>本行对比选文件所作的一切有效的书面通知、修改及补充，都是比选文件不可分割的部分。</w:t>
      </w:r>
    </w:p>
    <w:p>
      <w:pPr>
        <w:pStyle w:val="4"/>
        <w:bidi w:val="0"/>
      </w:pPr>
      <w:bookmarkStart w:id="108" w:name="_Toc89675163"/>
      <w:r>
        <w:rPr>
          <w:rFonts w:hint="eastAsia"/>
        </w:rPr>
        <w:t>四、</w:t>
      </w:r>
      <w:r>
        <w:t>参选</w:t>
      </w:r>
      <w:bookmarkEnd w:id="108"/>
    </w:p>
    <w:p>
      <w:pPr>
        <w:bidi w:val="0"/>
      </w:pPr>
      <w:r>
        <w:rPr>
          <w:rFonts w:hint="eastAsia"/>
        </w:rPr>
        <w:t>参选人应当按照比选文件的要求编制参选文件，并对比选文件提出的要求和条件作出实质性响应。</w:t>
      </w:r>
    </w:p>
    <w:p>
      <w:pPr>
        <w:pStyle w:val="5"/>
        <w:bidi w:val="0"/>
      </w:pPr>
      <w:r>
        <w:rPr>
          <w:rFonts w:hint="eastAsia"/>
        </w:rPr>
        <w:t>（一）参选文件组成</w:t>
      </w:r>
    </w:p>
    <w:p>
      <w:pPr>
        <w:bidi w:val="0"/>
      </w:pPr>
      <w:r>
        <w:rPr>
          <w:rFonts w:hint="eastAsia"/>
        </w:rPr>
        <w:t>参选文件参选人所作的一切有效补充、修改和承诺等文件组成，参选人应按照第七章“参选文件格式”规定的目录顺序组织编写和装订，否则有可能影响参选人的参选文件响应程度得分。</w:t>
      </w:r>
    </w:p>
    <w:p>
      <w:pPr>
        <w:pStyle w:val="5"/>
        <w:bidi w:val="0"/>
      </w:pPr>
      <w:r>
        <w:rPr>
          <w:rFonts w:hint="eastAsia"/>
        </w:rPr>
        <w:t>（二）联合参选</w:t>
      </w:r>
    </w:p>
    <w:p>
      <w:pPr>
        <w:bidi w:val="0"/>
      </w:pPr>
      <w:r>
        <w:rPr>
          <w:rFonts w:hint="eastAsia"/>
        </w:rPr>
        <w:t>本比选项目不接受联合参选</w:t>
      </w:r>
    </w:p>
    <w:p>
      <w:pPr>
        <w:pStyle w:val="5"/>
        <w:bidi w:val="0"/>
      </w:pPr>
      <w:r>
        <w:rPr>
          <w:rFonts w:hint="eastAsia"/>
        </w:rPr>
        <w:t>（三）参选有效期</w:t>
      </w:r>
    </w:p>
    <w:p>
      <w:pPr>
        <w:bidi w:val="0"/>
      </w:pPr>
      <w:r>
        <w:rPr>
          <w:rFonts w:hint="eastAsia"/>
        </w:rPr>
        <w:t>参选有效期为参选截止日期后90天内。</w:t>
      </w:r>
    </w:p>
    <w:p>
      <w:pPr>
        <w:pStyle w:val="5"/>
        <w:bidi w:val="0"/>
      </w:pPr>
      <w:r>
        <w:rPr>
          <w:rFonts w:hint="eastAsia"/>
        </w:rPr>
        <w:t>（四）参选保证金</w:t>
      </w:r>
    </w:p>
    <w:p>
      <w:pPr>
        <w:bidi w:val="0"/>
      </w:pPr>
      <w:r>
        <w:rPr>
          <w:rFonts w:hint="eastAsia"/>
        </w:rPr>
        <w:t>1、参选人应在参选截止时间前，按比选文件第一章规定向比选人缴纳参选保证金。</w:t>
      </w:r>
    </w:p>
    <w:p>
      <w:pPr>
        <w:bidi w:val="0"/>
      </w:pPr>
      <w:r>
        <w:rPr>
          <w:rFonts w:hint="eastAsia"/>
        </w:rPr>
        <w:t>2、参选保证金为参选的有效约束条件。</w:t>
      </w:r>
    </w:p>
    <w:p>
      <w:pPr>
        <w:bidi w:val="0"/>
      </w:pPr>
      <w:r>
        <w:rPr>
          <w:rFonts w:hint="eastAsia"/>
        </w:rPr>
        <w:t>3、参选保证金的有效期限在参选有效期过后30天内继续有效。</w:t>
      </w:r>
    </w:p>
    <w:p>
      <w:pPr>
        <w:bidi w:val="0"/>
      </w:pPr>
      <w:r>
        <w:rPr>
          <w:rFonts w:hint="eastAsia"/>
        </w:rPr>
        <w:t>4、参选保证金币种应与参选报价币种相同。</w:t>
      </w:r>
    </w:p>
    <w:p>
      <w:pPr>
        <w:bidi w:val="0"/>
      </w:pPr>
      <w:r>
        <w:rPr>
          <w:rFonts w:hint="eastAsia"/>
        </w:rPr>
        <w:t>5、参选保证金的退还：</w:t>
      </w:r>
    </w:p>
    <w:p>
      <w:pPr>
        <w:bidi w:val="0"/>
      </w:pPr>
      <w:r>
        <w:rPr>
          <w:rFonts w:hint="eastAsia"/>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pPr>
        <w:bidi w:val="0"/>
      </w:pPr>
      <w:r>
        <w:rPr>
          <w:rFonts w:hint="eastAsia"/>
        </w:rPr>
        <w:t>比选人在合同生效后2个工作日内将签订的合同和保证金退还通知抄告重庆市公共资源交易中心，重庆市公共资源交易中心在收到保证金退还通知后2个工作日内，向中选人和中选候选人退还参选保证金。</w:t>
      </w:r>
    </w:p>
    <w:p>
      <w:pPr>
        <w:bidi w:val="0"/>
      </w:pPr>
      <w:r>
        <w:rPr>
          <w:rFonts w:hint="eastAsia"/>
        </w:rPr>
        <w:t>参选保证金专用账户由重庆市公共资源交易中心制定，关于保证金相关情况的问题请咨询重庆市公共资源交易中心，联系电话023-63621694。</w:t>
      </w:r>
    </w:p>
    <w:p>
      <w:pPr>
        <w:bidi w:val="0"/>
      </w:pPr>
      <w:r>
        <w:rPr>
          <w:rFonts w:hint="eastAsia"/>
        </w:rPr>
        <w:t>6、参选人有下列情形之一的，参选保证金将不予退还：</w:t>
      </w:r>
    </w:p>
    <w:p>
      <w:pPr>
        <w:bidi w:val="0"/>
      </w:pPr>
      <w:r>
        <w:rPr>
          <w:rFonts w:hint="eastAsia"/>
        </w:rPr>
        <w:t>（1）参选人在参选有效期内撤回参选文件的；</w:t>
      </w:r>
    </w:p>
    <w:p>
      <w:pPr>
        <w:bidi w:val="0"/>
      </w:pPr>
      <w:r>
        <w:rPr>
          <w:rFonts w:hint="eastAsia"/>
        </w:rPr>
        <w:t>（2）参选人在参选过程中弄虚作假，提供虚假材料的；</w:t>
      </w:r>
    </w:p>
    <w:p>
      <w:pPr>
        <w:bidi w:val="0"/>
      </w:pPr>
      <w:r>
        <w:rPr>
          <w:rFonts w:hint="eastAsia"/>
        </w:rPr>
        <w:t>（3）中选人无正当理由不与比选人签订合同的；</w:t>
      </w:r>
    </w:p>
    <w:p>
      <w:pPr>
        <w:bidi w:val="0"/>
      </w:pPr>
      <w:r>
        <w:rPr>
          <w:rFonts w:hint="eastAsia"/>
        </w:rPr>
        <w:t>（4）中选人将中选项目转让给他人或者在参选文件中未说明且未经比选单位同意，将中选项目分包给他人的；</w:t>
      </w:r>
    </w:p>
    <w:p>
      <w:pPr>
        <w:bidi w:val="0"/>
      </w:pPr>
      <w:r>
        <w:rPr>
          <w:rFonts w:hint="eastAsia"/>
        </w:rPr>
        <w:t>（5）中选人拒绝履行合同义务的；</w:t>
      </w:r>
    </w:p>
    <w:p>
      <w:pPr>
        <w:bidi w:val="0"/>
      </w:pPr>
      <w:r>
        <w:rPr>
          <w:rFonts w:hint="eastAsia"/>
        </w:rPr>
        <w:t>（6）其他严重扰乱比选程序的；</w:t>
      </w:r>
    </w:p>
    <w:p>
      <w:pPr>
        <w:pStyle w:val="5"/>
        <w:bidi w:val="0"/>
      </w:pPr>
      <w:r>
        <w:rPr>
          <w:rFonts w:hint="eastAsia"/>
        </w:rPr>
        <w:t>（五）参选文件的份数和签署</w:t>
      </w:r>
    </w:p>
    <w:p>
      <w:pPr>
        <w:bidi w:val="0"/>
      </w:pPr>
      <w:r>
        <w:rPr>
          <w:rFonts w:hint="eastAsia"/>
        </w:rPr>
        <w:t>1、参选文件一式三份，其中正本一份，副本一份，电子文件一份（光盘或U盘），副本可为正本的复印件，必须与正本一致，如出现不一致情况以正本为准，电子文件装入信封中，表面须加盖鲜章（公章）。</w:t>
      </w:r>
    </w:p>
    <w:p>
      <w:pPr>
        <w:bidi w:val="0"/>
      </w:pPr>
      <w:r>
        <w:rPr>
          <w:rFonts w:hint="eastAsia"/>
        </w:rPr>
        <w:t>2、参选文件正本中，每一页均应由参选人加盖公章，其中规定格式的文件应当按要求签名和加盖参选人公章。</w:t>
      </w:r>
    </w:p>
    <w:p>
      <w:pPr>
        <w:bidi w:val="0"/>
      </w:pPr>
      <w:r>
        <w:rPr>
          <w:rFonts w:hint="eastAsia"/>
        </w:rPr>
        <w:t>3、若参选人对参选文件的错处作必要修改，则应在修改处加盖参选人公章或由法人或法人授权代表签字确认。</w:t>
      </w:r>
    </w:p>
    <w:p>
      <w:pPr>
        <w:bidi w:val="0"/>
      </w:pPr>
      <w:r>
        <w:rPr>
          <w:rFonts w:hint="eastAsia"/>
        </w:rPr>
        <w:t>4、电报、电话、传真形式的参选文件概不接受。</w:t>
      </w:r>
    </w:p>
    <w:p>
      <w:pPr>
        <w:pStyle w:val="5"/>
        <w:bidi w:val="0"/>
      </w:pPr>
      <w:r>
        <w:rPr>
          <w:rFonts w:hint="eastAsia"/>
        </w:rPr>
        <w:t>（六）参选报价</w:t>
      </w:r>
    </w:p>
    <w:p>
      <w:pPr>
        <w:bidi w:val="0"/>
      </w:pPr>
      <w:r>
        <w:rPr>
          <w:rFonts w:hint="eastAsia"/>
        </w:rPr>
        <w:t>1、参选人应严格按照“参选文件格式”填写报价。</w:t>
      </w:r>
    </w:p>
    <w:p>
      <w:pPr>
        <w:bidi w:val="0"/>
      </w:pPr>
      <w:r>
        <w:rPr>
          <w:rFonts w:hint="eastAsia"/>
        </w:rPr>
        <w:t>2、参选人的报价为一次性报价，即在参选有效期内参选价格固定不变。</w:t>
      </w:r>
    </w:p>
    <w:p>
      <w:pPr>
        <w:bidi w:val="0"/>
      </w:pPr>
      <w:r>
        <w:rPr>
          <w:rFonts w:hint="eastAsia"/>
        </w:rPr>
        <w:t>3、本项目只接受一个参选报价，有选择的或有条件的参选将不予接受。</w:t>
      </w:r>
    </w:p>
    <w:p>
      <w:pPr>
        <w:pStyle w:val="5"/>
        <w:bidi w:val="0"/>
      </w:pPr>
      <w:r>
        <w:rPr>
          <w:rFonts w:hint="eastAsia"/>
        </w:rPr>
        <w:t>（七）修正错误</w:t>
      </w:r>
    </w:p>
    <w:p>
      <w:pPr>
        <w:bidi w:val="0"/>
      </w:pPr>
      <w:r>
        <w:rPr>
          <w:rFonts w:hint="eastAsia"/>
        </w:rPr>
        <w:t>若参选文件出现计算或表达上的错误，修正错误的原则如下：</w:t>
      </w:r>
    </w:p>
    <w:p>
      <w:pPr>
        <w:bidi w:val="0"/>
      </w:pPr>
      <w:r>
        <w:rPr>
          <w:rFonts w:hint="eastAsia"/>
        </w:rPr>
        <w:t>1、参选文件的大写金额和小写金额不一致的，以大写金额为准；</w:t>
      </w:r>
    </w:p>
    <w:p>
      <w:pPr>
        <w:bidi w:val="0"/>
      </w:pPr>
      <w:r>
        <w:rPr>
          <w:rFonts w:hint="eastAsia"/>
        </w:rPr>
        <w:t>2、总价金额与按单价汇总金额不一致的，以单价金额计算结果为准；</w:t>
      </w:r>
    </w:p>
    <w:p>
      <w:pPr>
        <w:bidi w:val="0"/>
      </w:pPr>
      <w:r>
        <w:rPr>
          <w:rFonts w:hint="eastAsia"/>
        </w:rPr>
        <w:t>3、单价金额小数点有明显错位的，应以总价为准，并修正单价；</w:t>
      </w:r>
    </w:p>
    <w:p>
      <w:pPr>
        <w:bidi w:val="0"/>
      </w:pPr>
      <w:r>
        <w:rPr>
          <w:rFonts w:hint="eastAsia"/>
        </w:rPr>
        <w:t>4、对不同文字文本参选文件的解释发生异议的，以中文文本为准。</w:t>
      </w:r>
    </w:p>
    <w:p>
      <w:pPr>
        <w:bidi w:val="0"/>
      </w:pPr>
      <w:r>
        <w:rPr>
          <w:rFonts w:hint="eastAsia"/>
        </w:rPr>
        <w:t>评审委员会按上述修正错误的原则及方法调整或修正参选人参选报价，参选人同意并签字确认后，调整后的参选报价对参选人具有约束作用。如果参选人不接受修正后的报价，则其参选将作为无效参选处理。</w:t>
      </w:r>
    </w:p>
    <w:p>
      <w:pPr>
        <w:pStyle w:val="5"/>
        <w:bidi w:val="0"/>
      </w:pPr>
      <w:r>
        <w:rPr>
          <w:rFonts w:hint="eastAsia"/>
        </w:rPr>
        <w:t>（八）参选文件的递交</w:t>
      </w:r>
    </w:p>
    <w:p>
      <w:pPr>
        <w:bidi w:val="0"/>
      </w:pPr>
      <w:r>
        <w:rPr>
          <w:rFonts w:hint="eastAsia"/>
        </w:rPr>
        <w:t>1、参选文件的密封与标记</w:t>
      </w:r>
    </w:p>
    <w:p>
      <w:pPr>
        <w:bidi w:val="0"/>
      </w:pPr>
      <w:r>
        <w:rPr>
          <w:rFonts w:hint="eastAsia"/>
        </w:rPr>
        <w:t>参选文件的正本、副本均应用信封分别密封。信封上注明项目名称、参选人名称地址、“正本”、“副本”字样及“不准提前启封”字样。信封的封口须加盖参选人公章或授权代表签字。</w:t>
      </w:r>
    </w:p>
    <w:p>
      <w:pPr>
        <w:bidi w:val="0"/>
      </w:pPr>
      <w:r>
        <w:rPr>
          <w:rFonts w:hint="eastAsia"/>
        </w:rPr>
        <w:t>如果未按上述规定进行密封和标记，则其参选将作为无效参选处理。</w:t>
      </w:r>
    </w:p>
    <w:p>
      <w:pPr>
        <w:pStyle w:val="4"/>
        <w:bidi w:val="0"/>
      </w:pPr>
      <w:bookmarkStart w:id="109" w:name="_Toc89675164"/>
      <w:r>
        <w:rPr>
          <w:rFonts w:hint="eastAsia"/>
        </w:rPr>
        <w:t>五、比选程序</w:t>
      </w:r>
    </w:p>
    <w:p>
      <w:pPr>
        <w:bidi w:val="0"/>
      </w:pPr>
      <w:r>
        <w:rPr>
          <w:rFonts w:hint="eastAsia"/>
        </w:rPr>
        <w:t>主持人按下列程序进行比选：</w:t>
      </w:r>
    </w:p>
    <w:p>
      <w:pPr>
        <w:bidi w:val="0"/>
      </w:pPr>
      <w:r>
        <w:rPr>
          <w:rFonts w:hint="eastAsia"/>
        </w:rPr>
        <w:t>1. 宣布比选纪律；</w:t>
      </w:r>
    </w:p>
    <w:p>
      <w:pPr>
        <w:bidi w:val="0"/>
      </w:pPr>
      <w:r>
        <w:rPr>
          <w:rFonts w:hint="eastAsia"/>
        </w:rPr>
        <w:t>2. 宣布比选人、唱标人、记录人、监标人等有关人员姓名；</w:t>
      </w:r>
    </w:p>
    <w:p>
      <w:pPr>
        <w:bidi w:val="0"/>
      </w:pPr>
      <w:r>
        <w:rPr>
          <w:rFonts w:hint="eastAsia"/>
        </w:rPr>
        <w:t>3. 公布在比选截止时间前递交参选文件的参选人名称，并点名确认参选人是否派人到场；</w:t>
      </w:r>
    </w:p>
    <w:p>
      <w:pPr>
        <w:bidi w:val="0"/>
      </w:pPr>
      <w:r>
        <w:rPr>
          <w:rFonts w:hint="eastAsia"/>
        </w:rPr>
        <w:t>4. 展示参选保证金，参选保证金缴款不全或有误的，则记录在案交由评审委员会评审；</w:t>
      </w:r>
    </w:p>
    <w:p>
      <w:pPr>
        <w:bidi w:val="0"/>
      </w:pPr>
      <w:r>
        <w:rPr>
          <w:rFonts w:hint="eastAsia"/>
        </w:rPr>
        <w:t>5. 封装情况检查：参选人或者其推选的代表检查各参选文件的封装情况并确认；</w:t>
      </w:r>
    </w:p>
    <w:p>
      <w:pPr>
        <w:bidi w:val="0"/>
      </w:pPr>
      <w:r>
        <w:rPr>
          <w:rFonts w:hint="eastAsia"/>
        </w:rPr>
        <w:t>6. 设有竞争性比选最高限价的，公布竞争性比选最高限价；</w:t>
      </w:r>
    </w:p>
    <w:p>
      <w:pPr>
        <w:bidi w:val="0"/>
      </w:pPr>
      <w:r>
        <w:rPr>
          <w:rFonts w:hint="eastAsia"/>
        </w:rPr>
        <w:t>7. 开启参选文件；</w:t>
      </w:r>
    </w:p>
    <w:p>
      <w:pPr>
        <w:bidi w:val="0"/>
      </w:pPr>
      <w:r>
        <w:rPr>
          <w:rFonts w:hint="eastAsia"/>
        </w:rPr>
        <w:t>8. 参选人代表、参选人代表、监标人、记录人等有关人员在比选记录上签字确认；</w:t>
      </w:r>
    </w:p>
    <w:p>
      <w:pPr>
        <w:bidi w:val="0"/>
      </w:pPr>
      <w:r>
        <w:rPr>
          <w:rFonts w:hint="eastAsia"/>
        </w:rPr>
        <w:t>9. 比选结束。</w:t>
      </w:r>
    </w:p>
    <w:bookmarkEnd w:id="109"/>
    <w:p>
      <w:pPr>
        <w:pStyle w:val="4"/>
        <w:bidi w:val="0"/>
      </w:pPr>
      <w:bookmarkStart w:id="110" w:name="_Toc89675165"/>
      <w:r>
        <w:rPr>
          <w:rFonts w:hint="eastAsia"/>
        </w:rPr>
        <w:t>六、</w:t>
      </w:r>
      <w:bookmarkEnd w:id="110"/>
      <w:r>
        <w:rPr>
          <w:rFonts w:hint="eastAsia"/>
        </w:rPr>
        <w:t>评审</w:t>
      </w:r>
    </w:p>
    <w:p>
      <w:pPr>
        <w:bidi w:val="0"/>
      </w:pPr>
      <w:r>
        <w:rPr>
          <w:rFonts w:hint="eastAsia"/>
        </w:rPr>
        <w:t>见第四章内容。</w:t>
      </w:r>
    </w:p>
    <w:p>
      <w:pPr>
        <w:pStyle w:val="4"/>
        <w:bidi w:val="0"/>
      </w:pPr>
      <w:bookmarkStart w:id="111" w:name="_Toc89675166"/>
      <w:r>
        <w:rPr>
          <w:rFonts w:hint="eastAsia"/>
        </w:rPr>
        <w:t>七、定</w:t>
      </w:r>
      <w:r>
        <w:t>选</w:t>
      </w:r>
      <w:bookmarkEnd w:id="111"/>
    </w:p>
    <w:p>
      <w:pPr>
        <w:bidi w:val="0"/>
      </w:pPr>
      <w:r>
        <w:rPr>
          <w:rFonts w:hint="eastAsia"/>
        </w:rPr>
        <w:t>1、定选原则</w:t>
      </w:r>
    </w:p>
    <w:p>
      <w:pPr>
        <w:bidi w:val="0"/>
      </w:pPr>
      <w:r>
        <w:rPr>
          <w:rFonts w:hint="eastAsia"/>
        </w:rPr>
        <w:t>比选人和评审委员会按照评审报告中推荐的中选候选人排名顺序确定中选人，如中选人因不可抗力或者自身原因不能履行合同的，比选人和评审委员会可以确定依次其后的候选人为中选人，以此类推。</w:t>
      </w:r>
    </w:p>
    <w:p>
      <w:pPr>
        <w:bidi w:val="0"/>
      </w:pPr>
      <w:r>
        <w:rPr>
          <w:rFonts w:hint="eastAsia"/>
        </w:rPr>
        <w:t>2、不承诺最低价格中选。</w:t>
      </w:r>
    </w:p>
    <w:p>
      <w:pPr>
        <w:bidi w:val="0"/>
      </w:pPr>
      <w:r>
        <w:rPr>
          <w:rFonts w:hint="eastAsia"/>
        </w:rPr>
        <w:t>3、若中选人参选材料出现造假、不实等与实际查询结果不符或无故弃选的情况，比选人有权选择重新比选或顺延下一中选候选人，由此带来的损失比选人有权通过没收参选保证金等方式进行追溯。</w:t>
      </w:r>
    </w:p>
    <w:p>
      <w:pPr>
        <w:pStyle w:val="4"/>
        <w:bidi w:val="0"/>
      </w:pPr>
      <w:bookmarkStart w:id="112" w:name="_Toc12245"/>
      <w:bookmarkStart w:id="113" w:name="_Toc89675168"/>
      <w:r>
        <w:rPr>
          <w:rFonts w:hint="eastAsia"/>
        </w:rPr>
        <w:t>八、签订合同</w:t>
      </w:r>
      <w:bookmarkEnd w:id="112"/>
      <w:bookmarkEnd w:id="113"/>
    </w:p>
    <w:p>
      <w:pPr>
        <w:bidi w:val="0"/>
      </w:pPr>
      <w:r>
        <w:rPr>
          <w:rFonts w:hint="eastAsia"/>
        </w:rPr>
        <w:t>1.比选人指定的使用单位将在自中选通知发出之日起，依据比选文件和中选人参选文件的约定，按照比选人内部流程与中选人签订书面合同。所签订的合同不得对比选文件和中选人参选文件作实质性修改。</w:t>
      </w:r>
    </w:p>
    <w:p>
      <w:pPr>
        <w:bidi w:val="0"/>
      </w:pPr>
      <w:r>
        <w:rPr>
          <w:rFonts w:hint="eastAsia"/>
        </w:rPr>
        <w:t>2.比选文件、中选人的参选文件及澄清文件等，均为签订合同的依据。</w:t>
      </w:r>
    </w:p>
    <w:p>
      <w:pPr>
        <w:bidi w:val="0"/>
      </w:pPr>
      <w:r>
        <w:rPr>
          <w:rFonts w:hint="eastAsia"/>
        </w:rPr>
        <w:t>3.合同生效条款由供需双方约定，法律、行政法规规定应当办理批准、登记等手续后生效的合同，依照其规定。</w:t>
      </w:r>
    </w:p>
    <w:p>
      <w:pPr>
        <w:bidi w:val="0"/>
      </w:pPr>
      <w:r>
        <w:rPr>
          <w:rFonts w:hint="eastAsia"/>
        </w:rPr>
        <w:t>4.签订合同后，若中选人无法按要求履约，比选人可以废除中选人资格，并可选择按照中选候选人顺位与第二候选人签订合同。</w:t>
      </w:r>
    </w:p>
    <w:p>
      <w:pPr>
        <w:pStyle w:val="4"/>
        <w:bidi w:val="0"/>
      </w:pPr>
      <w:r>
        <w:rPr>
          <w:rFonts w:hint="eastAsia"/>
        </w:rPr>
        <w:t>九、纪律与要求</w:t>
      </w:r>
    </w:p>
    <w:p>
      <w:pPr>
        <w:bidi w:val="0"/>
      </w:pPr>
      <w:r>
        <w:rPr>
          <w:rFonts w:hint="eastAsia"/>
        </w:rPr>
        <w:t>参选人不得相互串通参选或者与比选人串通参选，不得向比选人行贿谋取中选，不得以他人名义参选或者以其他方式弄虚作假骗取中选；参选人不得以任何方式干扰、影响评标工作。</w:t>
      </w:r>
    </w:p>
    <w:p>
      <w:pPr>
        <w:bidi w:val="0"/>
      </w:pPr>
      <w:r>
        <w:rPr>
          <w:rFonts w:hint="eastAsia"/>
        </w:rPr>
        <w:t>1、有下列情形之一的，属于参选人相互串通参选：</w:t>
      </w:r>
    </w:p>
    <w:p>
      <w:pPr>
        <w:bidi w:val="0"/>
      </w:pPr>
      <w:r>
        <w:rPr>
          <w:rFonts w:hint="eastAsia"/>
        </w:rPr>
        <w:t>（1）参选人之间协商参选报价等参选文件的实质性内容；</w:t>
      </w:r>
    </w:p>
    <w:p>
      <w:pPr>
        <w:bidi w:val="0"/>
      </w:pPr>
      <w:r>
        <w:rPr>
          <w:rFonts w:hint="eastAsia"/>
        </w:rPr>
        <w:t>（2）参选人之间约定中选人；</w:t>
      </w:r>
    </w:p>
    <w:p>
      <w:pPr>
        <w:bidi w:val="0"/>
      </w:pPr>
      <w:r>
        <w:rPr>
          <w:rFonts w:hint="eastAsia"/>
        </w:rPr>
        <w:t>（3）参选人之间约定部分参选人放弃参选或者中选；</w:t>
      </w:r>
    </w:p>
    <w:p>
      <w:pPr>
        <w:bidi w:val="0"/>
      </w:pPr>
      <w:r>
        <w:rPr>
          <w:rFonts w:hint="eastAsia"/>
        </w:rPr>
        <w:t>（4）属于同一集团、协会、商会等组织成员的参选人按照该组织要求协同参选；</w:t>
      </w:r>
    </w:p>
    <w:p>
      <w:pPr>
        <w:bidi w:val="0"/>
      </w:pPr>
      <w:r>
        <w:rPr>
          <w:rFonts w:hint="eastAsia"/>
        </w:rPr>
        <w:t>（5）参选人之间为谋取中选或者排斥特定参选人而采取的其他联合行动。</w:t>
      </w:r>
    </w:p>
    <w:p>
      <w:pPr>
        <w:bidi w:val="0"/>
      </w:pPr>
      <w:r>
        <w:rPr>
          <w:rFonts w:hint="eastAsia"/>
        </w:rPr>
        <w:t>2、有下列情形之一的，视为参选人相互串通参选：</w:t>
      </w:r>
    </w:p>
    <w:p>
      <w:pPr>
        <w:bidi w:val="0"/>
      </w:pPr>
      <w:r>
        <w:rPr>
          <w:rFonts w:hint="eastAsia"/>
        </w:rPr>
        <w:t>（1）不同参选人的参选文件由同一单位或者个人编制；</w:t>
      </w:r>
    </w:p>
    <w:p>
      <w:pPr>
        <w:bidi w:val="0"/>
      </w:pPr>
      <w:r>
        <w:rPr>
          <w:rFonts w:hint="eastAsia"/>
        </w:rPr>
        <w:t>（2）不同参选人委托同一单位或者个人办理参选事宜；</w:t>
      </w:r>
    </w:p>
    <w:p>
      <w:pPr>
        <w:bidi w:val="0"/>
      </w:pPr>
      <w:r>
        <w:rPr>
          <w:rFonts w:hint="eastAsia"/>
        </w:rPr>
        <w:t>（3）不同参选人的参选文件载明的项目管理成员为同一人；</w:t>
      </w:r>
    </w:p>
    <w:p>
      <w:pPr>
        <w:bidi w:val="0"/>
      </w:pPr>
      <w:r>
        <w:rPr>
          <w:rFonts w:hint="eastAsia"/>
        </w:rPr>
        <w:t>（4）不同参选人的参选文件异常一致或者参选报价呈规律性差异；</w:t>
      </w:r>
    </w:p>
    <w:p>
      <w:pPr>
        <w:bidi w:val="0"/>
      </w:pPr>
      <w:r>
        <w:rPr>
          <w:rFonts w:hint="eastAsia"/>
        </w:rPr>
        <w:t>（5）不同参选人的参选文件相互混装；</w:t>
      </w:r>
    </w:p>
    <w:p>
      <w:pPr>
        <w:bidi w:val="0"/>
      </w:pPr>
      <w:r>
        <w:rPr>
          <w:rFonts w:hint="eastAsia"/>
        </w:rPr>
        <w:t>（6）不同参选人的参选保证金从同一单位或者个人的账户转出。</w:t>
      </w:r>
    </w:p>
    <w:p>
      <w:pPr>
        <w:bidi w:val="0"/>
      </w:pPr>
      <w:r>
        <w:rPr>
          <w:rFonts w:hint="eastAsia"/>
        </w:rPr>
        <w:t>3、使用通过受让或者租借等方式获取的资格、资质证书参选的，属于以他人名义参选。</w:t>
      </w:r>
    </w:p>
    <w:p>
      <w:pPr>
        <w:bidi w:val="0"/>
      </w:pPr>
      <w:r>
        <w:rPr>
          <w:rFonts w:hint="eastAsia"/>
        </w:rPr>
        <w:t>4、参选人有下列情形之一的，属于其他方式弄虚作假的行为：</w:t>
      </w:r>
    </w:p>
    <w:p>
      <w:pPr>
        <w:bidi w:val="0"/>
      </w:pPr>
      <w:r>
        <w:rPr>
          <w:rFonts w:hint="eastAsia"/>
        </w:rPr>
        <w:t>（一）使用伪造、变造的许可证件；</w:t>
      </w:r>
    </w:p>
    <w:p>
      <w:pPr>
        <w:bidi w:val="0"/>
      </w:pPr>
      <w:r>
        <w:rPr>
          <w:rFonts w:hint="eastAsia"/>
        </w:rPr>
        <w:t>（二）提供虚假的财务状况或者虚假业绩；</w:t>
      </w:r>
    </w:p>
    <w:p>
      <w:pPr>
        <w:bidi w:val="0"/>
      </w:pPr>
      <w:r>
        <w:rPr>
          <w:rFonts w:hint="eastAsia"/>
        </w:rPr>
        <w:t>（三）提供虚假的项目负责人或者主要技术人员简历、劳动关系证明；</w:t>
      </w:r>
    </w:p>
    <w:p>
      <w:pPr>
        <w:bidi w:val="0"/>
      </w:pPr>
      <w:r>
        <w:rPr>
          <w:rFonts w:hint="eastAsia"/>
        </w:rPr>
        <w:t>（四）提供虚假的信用状况；</w:t>
      </w:r>
    </w:p>
    <w:p>
      <w:pPr>
        <w:bidi w:val="0"/>
      </w:pPr>
      <w:r>
        <w:rPr>
          <w:rFonts w:hint="eastAsia"/>
        </w:rPr>
        <w:t>（五）其它弄虚作假的行为。</w:t>
      </w:r>
    </w:p>
    <w:p>
      <w:pPr>
        <w:bidi w:val="0"/>
      </w:pPr>
      <w:r>
        <w:rPr>
          <w:rFonts w:hint="eastAsia"/>
        </w:rPr>
        <w:t>5、签订合同前后，若中选单位提供的产品测试不合格或与参选文件中的产品不一致，比选人可废除中选人资格。</w:t>
      </w:r>
    </w:p>
    <w:p>
      <w:pPr>
        <w:bidi w:val="0"/>
      </w:pPr>
      <w:r>
        <w:rPr>
          <w:rFonts w:hint="eastAsia"/>
        </w:rPr>
        <w:t>针对以上情况，比选人有权没收参选人的参选保证金，并保留进一步追究由此带来损失的权利。</w:t>
      </w:r>
    </w:p>
    <w:p>
      <w:pPr>
        <w:pStyle w:val="4"/>
        <w:bidi w:val="0"/>
      </w:pPr>
      <w:bookmarkStart w:id="114" w:name="_Toc89675169"/>
      <w:r>
        <w:rPr>
          <w:rFonts w:hint="eastAsia"/>
        </w:rPr>
        <w:t>十、提问、质疑、投诉</w:t>
      </w:r>
    </w:p>
    <w:p>
      <w:pPr>
        <w:bidi w:val="0"/>
      </w:pPr>
      <w:r>
        <w:rPr>
          <w:rFonts w:hint="eastAsia"/>
        </w:rPr>
        <w:t>1</w:t>
      </w:r>
      <w:r>
        <w:t>.</w:t>
      </w:r>
      <w:r>
        <w:rPr>
          <w:rFonts w:hint="eastAsia"/>
        </w:rPr>
        <w:t>参选人在下载比选文件后，应仔细检查比选文件的所有内容，如有残缺或文字表述不清，以及存在错、碰、漏、缺、概念模糊和有可能出现歧义或理解上的偏差的内容等应在20</w:t>
      </w:r>
      <w:r>
        <w:rPr>
          <w:rFonts w:hint="eastAsia"/>
          <w:lang w:val="en-US" w:eastAsia="zh-CN"/>
        </w:rPr>
        <w:t>23</w:t>
      </w:r>
      <w:r>
        <w:rPr>
          <w:rFonts w:hint="eastAsia"/>
        </w:rPr>
        <w:t>年</w:t>
      </w:r>
      <w:r>
        <w:rPr>
          <w:rFonts w:hint="eastAsia"/>
          <w:lang w:val="en-US" w:eastAsia="zh-CN"/>
        </w:rPr>
        <w:t>11</w:t>
      </w:r>
      <w:r>
        <w:rPr>
          <w:rFonts w:hint="eastAsia"/>
        </w:rPr>
        <w:t>月</w:t>
      </w:r>
      <w:r>
        <w:rPr>
          <w:rFonts w:hint="eastAsia"/>
          <w:lang w:val="en-US" w:eastAsia="zh-CN"/>
        </w:rPr>
        <w:t>25</w:t>
      </w:r>
      <w:r>
        <w:rPr>
          <w:rFonts w:hint="eastAsia"/>
        </w:rPr>
        <w:t>日</w:t>
      </w:r>
      <w:r>
        <w:rPr>
          <w:rFonts w:hint="eastAsia"/>
          <w:lang w:val="en-US" w:eastAsia="zh-CN"/>
        </w:rPr>
        <w:t>17</w:t>
      </w:r>
      <w:bookmarkStart w:id="128" w:name="_GoBack"/>
      <w:bookmarkEnd w:id="128"/>
      <w:r>
        <w:rPr>
          <w:rFonts w:hint="eastAsia"/>
        </w:rPr>
        <w:t>时</w:t>
      </w:r>
      <w:r>
        <w:rPr>
          <w:rFonts w:hint="eastAsia"/>
          <w:lang w:val="en-US" w:eastAsia="zh-CN"/>
        </w:rPr>
        <w:t>00</w:t>
      </w:r>
      <w:r>
        <w:rPr>
          <w:rFonts w:hint="eastAsia"/>
        </w:rPr>
        <w:t>分（北京时间）前自行在重庆市公共资源交易网（http://www.cqggzy.com/）比选公告的“我要提问”栏目匿名提出。参选人未提出，则视为参选人已全面确认比选文件内容。</w:t>
      </w:r>
    </w:p>
    <w:p>
      <w:pPr>
        <w:bidi w:val="0"/>
      </w:pPr>
      <w:r>
        <w:rPr>
          <w:rFonts w:hint="eastAsia"/>
        </w:rPr>
        <w:t>比选人在认为有必要对参选人所提问题进行答复或对比选文件进行补充时，将于20</w:t>
      </w:r>
      <w:r>
        <w:rPr>
          <w:rFonts w:hint="eastAsia"/>
          <w:lang w:val="en-US" w:eastAsia="zh-CN"/>
        </w:rPr>
        <w:t>23</w:t>
      </w:r>
      <w:r>
        <w:rPr>
          <w:rFonts w:hint="eastAsia"/>
        </w:rPr>
        <w:t>年</w:t>
      </w:r>
      <w:r>
        <w:rPr>
          <w:rFonts w:hint="eastAsia"/>
          <w:lang w:val="en-US" w:eastAsia="zh-CN"/>
        </w:rPr>
        <w:t>11</w:t>
      </w:r>
      <w:r>
        <w:rPr>
          <w:rFonts w:hint="eastAsia"/>
        </w:rPr>
        <w:t>月</w:t>
      </w:r>
      <w:r>
        <w:rPr>
          <w:rFonts w:hint="eastAsia"/>
          <w:lang w:val="en-US" w:eastAsia="zh-CN"/>
        </w:rPr>
        <w:t>28</w:t>
      </w:r>
      <w:r>
        <w:rPr>
          <w:rFonts w:hint="eastAsia"/>
        </w:rPr>
        <w:t>日</w:t>
      </w:r>
      <w:r>
        <w:rPr>
          <w:rFonts w:hint="eastAsia"/>
          <w:lang w:val="en-US" w:eastAsia="zh-CN"/>
        </w:rPr>
        <w:t>17</w:t>
      </w:r>
      <w:r>
        <w:rPr>
          <w:rFonts w:hint="eastAsia"/>
        </w:rPr>
        <w:t>时</w:t>
      </w:r>
      <w:r>
        <w:rPr>
          <w:rFonts w:hint="eastAsia"/>
          <w:lang w:val="en-US" w:eastAsia="zh-CN"/>
        </w:rPr>
        <w:t>00</w:t>
      </w:r>
      <w:r>
        <w:rPr>
          <w:rFonts w:hint="eastAsia"/>
        </w:rPr>
        <w:t>分（北京时间）前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补遗内容可能影响参选文件编制的，须在比选截止时间3日前发布，发布时间至比选截止时间不足3日的，须相应延后比选截止时间。</w:t>
      </w:r>
    </w:p>
    <w:p>
      <w:pPr>
        <w:bidi w:val="0"/>
      </w:pPr>
      <w:r>
        <w:rPr>
          <w:rFonts w:hint="eastAsia"/>
        </w:rPr>
        <w:t>2.参选人对比选文件和答疑补遗有质疑的，应当在比选截止时间3日前，以书面形式通知比选人。比选人应当自收到质疑之日起3日内做出答复，并将答复内容以补遗的形式发布。补遗内容可能影响参选文件编制的，须在比选截止时间3日前发布，发布时间至比选截止时间不足3日的，须相应延后比选截止时间。</w:t>
      </w:r>
    </w:p>
    <w:p>
      <w:pPr>
        <w:bidi w:val="0"/>
      </w:pPr>
      <w:r>
        <w:rPr>
          <w:rFonts w:hint="eastAsia"/>
        </w:rPr>
        <w:t>3</w:t>
      </w:r>
      <w:r>
        <w:t>.</w:t>
      </w:r>
      <w:r>
        <w:rPr>
          <w:rFonts w:hint="eastAsia"/>
        </w:rPr>
        <w:t>参选人对公示的中选结果有质疑，参选人需在公示期内以书面形式向比选人提出质疑。本行在公示截止日期前负责书面答复。</w:t>
      </w:r>
    </w:p>
    <w:p>
      <w:pPr>
        <w:bidi w:val="0"/>
      </w:pPr>
      <w:r>
        <w:rPr>
          <w:rFonts w:hint="eastAsia"/>
        </w:rPr>
        <w:t>4</w:t>
      </w:r>
      <w:r>
        <w:t>.</w:t>
      </w:r>
      <w:r>
        <w:rPr>
          <w:rFonts w:hint="eastAsia"/>
        </w:rPr>
        <w:t>参选人对比选人的答复不满意或者有质疑，可向本行纪检监察部投诉。</w:t>
      </w:r>
    </w:p>
    <w:p>
      <w:pPr>
        <w:bidi w:val="0"/>
      </w:pPr>
      <w:r>
        <w:rPr>
          <w:rFonts w:hint="eastAsia"/>
        </w:rPr>
        <w:t>采购质疑邮箱：307364172@qq.com</w:t>
      </w:r>
    </w:p>
    <w:p>
      <w:pPr>
        <w:bidi w:val="0"/>
      </w:pPr>
      <w:r>
        <w:rPr>
          <w:rFonts w:hint="eastAsia"/>
        </w:rPr>
        <w:t>采购投诉邮箱：</w:t>
      </w:r>
      <w:bookmarkStart w:id="115" w:name="_Hlk74215856"/>
      <w:r>
        <w:rPr>
          <w:rFonts w:hint="eastAsia"/>
        </w:rPr>
        <w:t>sxyhjjz@</w:t>
      </w:r>
      <w:r>
        <w:t>ccqtgb</w:t>
      </w:r>
      <w:r>
        <w:rPr>
          <w:rFonts w:hint="eastAsia"/>
        </w:rPr>
        <w:t>.com</w:t>
      </w:r>
      <w:bookmarkEnd w:id="115"/>
    </w:p>
    <w:p>
      <w:pPr>
        <w:pStyle w:val="4"/>
        <w:bidi w:val="0"/>
      </w:pPr>
      <w:r>
        <w:rPr>
          <w:rFonts w:hint="eastAsia"/>
        </w:rPr>
        <w:t>十一、终止</w:t>
      </w:r>
      <w:r>
        <w:t>比选</w:t>
      </w:r>
      <w:bookmarkEnd w:id="114"/>
    </w:p>
    <w:p>
      <w:pPr>
        <w:bidi w:val="0"/>
      </w:pPr>
      <w:r>
        <w:rPr>
          <w:rFonts w:hint="eastAsia"/>
        </w:rPr>
        <w:t>1、因情况发生变化或其他原因造成该项目取消的，本次比选自动终止，双方互不承担责任，比选人无息退还参选保证金。</w:t>
      </w:r>
    </w:p>
    <w:p>
      <w:pPr>
        <w:bidi w:val="0"/>
      </w:pPr>
      <w:r>
        <w:rPr>
          <w:rFonts w:hint="eastAsia"/>
        </w:rPr>
        <w:t>2、签订合同之前，比选人发现中选候选人经营、财务状况发生较大变化或存在违法行为，比选人认为可能影响其履约能力的，比选人可废除中选人或中选候选人资格。</w:t>
      </w:r>
      <w:bookmarkStart w:id="116" w:name="_Toc89675170"/>
      <w:bookmarkStart w:id="117" w:name="_Toc303066034"/>
      <w:bookmarkStart w:id="118" w:name="_Toc55566260"/>
      <w:r>
        <w:rPr>
          <w:rFonts w:hint="eastAsia"/>
        </w:rPr>
        <w:br w:type="page"/>
      </w:r>
    </w:p>
    <w:p>
      <w:pPr>
        <w:pStyle w:val="3"/>
        <w:bidi w:val="0"/>
      </w:pPr>
      <w:bookmarkStart w:id="119" w:name="_Toc17144"/>
      <w:bookmarkStart w:id="120" w:name="_Toc18167"/>
      <w:bookmarkStart w:id="121" w:name="_Toc850"/>
      <w:r>
        <w:rPr>
          <w:rFonts w:hint="eastAsia"/>
        </w:rPr>
        <w:t>第七章 参选文件</w:t>
      </w:r>
      <w:bookmarkEnd w:id="116"/>
      <w:bookmarkEnd w:id="117"/>
      <w:bookmarkStart w:id="122" w:name="_Toc303066035"/>
      <w:r>
        <w:rPr>
          <w:rFonts w:hint="eastAsia"/>
        </w:rPr>
        <w:t>格式</w:t>
      </w:r>
      <w:bookmarkEnd w:id="118"/>
      <w:bookmarkEnd w:id="119"/>
      <w:bookmarkEnd w:id="120"/>
      <w:bookmarkEnd w:id="121"/>
    </w:p>
    <w:bookmarkEnd w:id="122"/>
    <w:p>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right="0" w:rightChars="0" w:firstLine="0" w:firstLineChars="0"/>
        <w:textAlignment w:val="auto"/>
        <w:rPr>
          <w:rFonts w:ascii="宋体"/>
          <w:b/>
          <w:color w:val="000000" w:themeColor="text1"/>
          <w:kern w:val="0"/>
          <w:u w:val="single"/>
          <w14:textFill>
            <w14:solidFill>
              <w14:schemeClr w14:val="tx1"/>
            </w14:solidFill>
          </w14:textFill>
        </w:rPr>
      </w:pPr>
    </w:p>
    <w:p>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right="0" w:rightChars="0" w:firstLine="0" w:firstLineChars="0"/>
        <w:jc w:val="center"/>
        <w:textAlignment w:val="auto"/>
        <w:rPr>
          <w:rFonts w:ascii="宋体"/>
          <w:b/>
          <w:color w:val="000000" w:themeColor="text1"/>
          <w:kern w:val="0"/>
          <w:sz w:val="40"/>
          <w14:textFill>
            <w14:solidFill>
              <w14:schemeClr w14:val="tx1"/>
            </w14:solidFill>
          </w14:textFill>
        </w:rPr>
      </w:pPr>
      <w:r>
        <w:rPr>
          <w:rFonts w:hint="eastAsia" w:ascii="宋体"/>
          <w:b/>
          <w:color w:val="000000" w:themeColor="text1"/>
          <w:kern w:val="0"/>
          <w:sz w:val="40"/>
          <w14:textFill>
            <w14:solidFill>
              <w14:schemeClr w14:val="tx1"/>
            </w14:solidFill>
          </w14:textFill>
        </w:rPr>
        <w:t>重庆三峡银行不动产线上评估服务项目</w:t>
      </w: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right="0" w:rightChars="0" w:firstLine="0" w:firstLineChars="0"/>
        <w:textAlignment w:val="auto"/>
        <w:rPr>
          <w:rFonts w:ascii="宋体"/>
          <w:color w:val="000000" w:themeColor="text1"/>
          <w:kern w:val="0"/>
          <w:sz w:val="44"/>
          <w14:textFill>
            <w14:solidFill>
              <w14:schemeClr w14:val="tx1"/>
            </w14:solidFill>
          </w14:textFill>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right="0" w:rightChars="0" w:firstLine="0" w:firstLineChars="0"/>
        <w:textAlignment w:val="auto"/>
        <w:rPr>
          <w:rFonts w:ascii="宋体"/>
          <w:color w:val="000000" w:themeColor="text1"/>
          <w:kern w:val="0"/>
          <w:sz w:val="44"/>
          <w14:textFill>
            <w14:solidFill>
              <w14:schemeClr w14:val="tx1"/>
            </w14:solidFill>
          </w14:textFill>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right="0" w:rightChars="0" w:firstLine="0" w:firstLineChars="0"/>
        <w:textAlignment w:val="auto"/>
        <w:rPr>
          <w:rFonts w:ascii="宋体"/>
          <w:color w:val="000000" w:themeColor="text1"/>
          <w:kern w:val="0"/>
          <w:sz w:val="44"/>
          <w14:textFill>
            <w14:solidFill>
              <w14:schemeClr w14:val="tx1"/>
            </w14:solidFill>
          </w14:textFill>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right="0" w:rightChars="0" w:firstLine="0" w:firstLineChars="0"/>
        <w:jc w:val="center"/>
        <w:textAlignment w:val="auto"/>
        <w:rPr>
          <w:rFonts w:ascii="宋体"/>
          <w:b/>
          <w:color w:val="000000" w:themeColor="text1"/>
          <w:kern w:val="0"/>
          <w:sz w:val="84"/>
          <w14:textFill>
            <w14:solidFill>
              <w14:schemeClr w14:val="tx1"/>
            </w14:solidFill>
          </w14:textFill>
        </w:rPr>
      </w:pPr>
      <w:r>
        <w:rPr>
          <w:rFonts w:hint="eastAsia" w:ascii="宋体"/>
          <w:b/>
          <w:color w:val="000000" w:themeColor="text1"/>
          <w:kern w:val="0"/>
          <w:sz w:val="84"/>
          <w14:textFill>
            <w14:solidFill>
              <w14:schemeClr w14:val="tx1"/>
            </w14:solidFill>
          </w14:textFill>
        </w:rPr>
        <w:t>参选文件</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0" w:firstLineChars="0"/>
        <w:textAlignment w:val="auto"/>
        <w:rPr>
          <w:rFonts w:ascii="宋体"/>
          <w:color w:val="000000" w:themeColor="text1"/>
          <w:kern w:val="0"/>
          <w:sz w:val="16"/>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0" w:firstLineChars="0"/>
        <w:textAlignment w:val="auto"/>
        <w:rPr>
          <w:rFonts w:ascii="宋体"/>
          <w:b/>
          <w:color w:val="000000" w:themeColor="text1"/>
          <w:kern w:val="0"/>
          <w:sz w:val="20"/>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0" w:firstLineChars="0"/>
        <w:textAlignment w:val="auto"/>
        <w:rPr>
          <w:rFonts w:ascii="宋体"/>
          <w:b/>
          <w:color w:val="000000" w:themeColor="text1"/>
          <w:kern w:val="0"/>
          <w:sz w:val="20"/>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0" w:firstLineChars="0"/>
        <w:textAlignment w:val="auto"/>
        <w:rPr>
          <w:rFonts w:ascii="宋体"/>
          <w:b/>
          <w:color w:val="000000" w:themeColor="text1"/>
          <w:kern w:val="0"/>
          <w:sz w:val="20"/>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0" w:firstLineChars="0"/>
        <w:textAlignment w:val="auto"/>
        <w:rPr>
          <w:rFonts w:ascii="宋体"/>
          <w:b/>
          <w:color w:val="000000" w:themeColor="text1"/>
          <w:kern w:val="0"/>
          <w:sz w:val="20"/>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0" w:firstLineChars="0"/>
        <w:textAlignment w:val="auto"/>
        <w:rPr>
          <w:rFonts w:ascii="宋体"/>
          <w:b/>
          <w:color w:val="000000" w:themeColor="text1"/>
          <w:kern w:val="0"/>
          <w:sz w:val="20"/>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0" w:firstLineChars="0"/>
        <w:textAlignment w:val="auto"/>
        <w:rPr>
          <w:rFonts w:ascii="宋体"/>
          <w:b/>
          <w:color w:val="000000" w:themeColor="text1"/>
          <w:kern w:val="0"/>
          <w:sz w:val="20"/>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0" w:firstLineChars="0"/>
        <w:textAlignment w:val="auto"/>
        <w:rPr>
          <w:rFonts w:ascii="宋体"/>
          <w:b/>
          <w:color w:val="000000" w:themeColor="text1"/>
          <w:kern w:val="0"/>
          <w:sz w:val="20"/>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0" w:firstLineChars="0"/>
        <w:textAlignment w:val="auto"/>
        <w:rPr>
          <w:rFonts w:ascii="宋体"/>
          <w:b/>
          <w:color w:val="000000" w:themeColor="text1"/>
          <w:kern w:val="0"/>
          <w:sz w:val="20"/>
          <w14:textFill>
            <w14:solidFill>
              <w14:schemeClr w14:val="tx1"/>
            </w14:solidFill>
          </w14:textFill>
        </w:rPr>
      </w:pPr>
    </w:p>
    <w:p>
      <w:pPr>
        <w:ind w:left="0" w:leftChars="0" w:right="0" w:rightChars="0" w:firstLine="0" w:firstLineChars="0"/>
        <w:jc w:val="center"/>
        <w:rPr>
          <w:b/>
          <w:bCs/>
        </w:rPr>
      </w:pPr>
    </w:p>
    <w:p>
      <w:pPr>
        <w:ind w:left="0" w:leftChars="0" w:right="0" w:rightChars="0" w:firstLine="0" w:firstLineChars="0"/>
        <w:jc w:val="center"/>
        <w:rPr>
          <w:b/>
          <w:bCs/>
        </w:rPr>
      </w:pPr>
      <w:r>
        <w:rPr>
          <w:rFonts w:hint="eastAsia"/>
          <w:b/>
          <w:bCs/>
        </w:rPr>
        <w:t>参选人：　　　　　　（盖单位公章）</w:t>
      </w:r>
    </w:p>
    <w:p>
      <w:pPr>
        <w:ind w:left="0" w:leftChars="0" w:right="0" w:rightChars="0" w:firstLine="0" w:firstLineChars="0"/>
        <w:jc w:val="center"/>
        <w:rPr>
          <w:b/>
          <w:bCs/>
        </w:rPr>
      </w:pPr>
      <w:r>
        <w:rPr>
          <w:rFonts w:hint="eastAsia"/>
          <w:b/>
          <w:bCs/>
        </w:rPr>
        <w:t>法定代表人或其委托代理人：　　　（签字）</w:t>
      </w:r>
    </w:p>
    <w:p>
      <w:pPr>
        <w:ind w:left="0" w:leftChars="0" w:right="0" w:rightChars="0" w:firstLine="0" w:firstLineChars="0"/>
        <w:jc w:val="center"/>
        <w:rPr>
          <w:b/>
          <w:bCs/>
        </w:rPr>
      </w:pPr>
      <w:r>
        <w:rPr>
          <w:rFonts w:hint="eastAsia"/>
          <w:b/>
          <w:bCs/>
        </w:rPr>
        <w:t>年　月　日</w:t>
      </w:r>
    </w:p>
    <w:p>
      <w:pPr>
        <w:keepNext w:val="0"/>
        <w:keepLines w:val="0"/>
        <w:pageBreakBefore w:val="0"/>
        <w:widowControl w:val="0"/>
        <w:tabs>
          <w:tab w:val="left" w:pos="3280"/>
          <w:tab w:val="left" w:pos="4680"/>
          <w:tab w:val="left" w:pos="6080"/>
        </w:tabs>
        <w:kinsoku/>
        <w:wordWrap/>
        <w:overflowPunct/>
        <w:topLinePunct w:val="0"/>
        <w:autoSpaceDE w:val="0"/>
        <w:autoSpaceDN w:val="0"/>
        <w:bidi w:val="0"/>
        <w:adjustRightInd w:val="0"/>
        <w:snapToGrid w:val="0"/>
        <w:spacing w:line="360" w:lineRule="auto"/>
        <w:ind w:right="0" w:rightChars="0" w:firstLine="0" w:firstLineChars="0"/>
        <w:jc w:val="center"/>
        <w:textAlignment w:val="auto"/>
        <w:rPr>
          <w:rFonts w:ascii="宋体"/>
          <w:b/>
          <w:color w:val="000000" w:themeColor="text1"/>
          <w:kern w:val="0"/>
          <w14:textFill>
            <w14:solidFill>
              <w14:schemeClr w14:val="tx1"/>
            </w14:solidFill>
          </w14:textFill>
        </w:rPr>
      </w:pPr>
    </w:p>
    <w:p>
      <w:pPr>
        <w:keepNext w:val="0"/>
        <w:keepLines w:val="0"/>
        <w:pageBreakBefore w:val="0"/>
        <w:widowControl w:val="0"/>
        <w:tabs>
          <w:tab w:val="left" w:pos="6300"/>
        </w:tabs>
        <w:kinsoku/>
        <w:wordWrap/>
        <w:overflowPunct/>
        <w:topLinePunct w:val="0"/>
        <w:bidi w:val="0"/>
        <w:snapToGrid w:val="0"/>
        <w:spacing w:line="360" w:lineRule="auto"/>
        <w:ind w:right="0" w:rightChars="0" w:firstLine="0" w:firstLineChars="0"/>
        <w:jc w:val="center"/>
        <w:textAlignment w:val="auto"/>
        <w:rPr>
          <w:rFonts w:ascii="宋体"/>
          <w:snapToGrid w:val="0"/>
          <w:color w:val="000000" w:themeColor="text1"/>
          <w:kern w:val="0"/>
          <w:szCs w:val="28"/>
          <w14:textFill>
            <w14:solidFill>
              <w14:schemeClr w14:val="tx1"/>
            </w14:solidFill>
          </w14:textFill>
        </w:rPr>
      </w:pPr>
    </w:p>
    <w:p>
      <w:pPr>
        <w:tabs>
          <w:tab w:val="left" w:pos="6300"/>
        </w:tabs>
        <w:snapToGrid w:val="0"/>
        <w:spacing w:line="360" w:lineRule="auto"/>
        <w:ind w:right="-34" w:rightChars="-14"/>
        <w:jc w:val="center"/>
        <w:rPr>
          <w:rFonts w:hint="eastAsia" w:ascii="宋体"/>
          <w:b/>
          <w:snapToGrid w:val="0"/>
          <w:color w:val="000000" w:themeColor="text1"/>
          <w:kern w:val="0"/>
          <w:sz w:val="36"/>
          <w:szCs w:val="28"/>
          <w14:textFill>
            <w14:solidFill>
              <w14:schemeClr w14:val="tx1"/>
            </w14:solidFill>
          </w14:textFill>
        </w:rPr>
        <w:sectPr>
          <w:pgSz w:w="11906" w:h="16838"/>
          <w:pgMar w:top="1440" w:right="1800" w:bottom="1440" w:left="1800" w:header="851" w:footer="992" w:gutter="0"/>
          <w:pgNumType w:chapStyle="1"/>
          <w:cols w:space="720" w:num="1"/>
          <w:docGrid w:type="lines" w:linePitch="312" w:charSpace="0"/>
        </w:sectPr>
      </w:pP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left="0" w:right="0" w:rightChars="0" w:firstLine="0" w:firstLineChars="0"/>
        <w:jc w:val="center"/>
        <w:textAlignment w:val="auto"/>
        <w:rPr>
          <w:rFonts w:ascii="宋体"/>
          <w:b/>
          <w:snapToGrid w:val="0"/>
          <w:color w:val="000000" w:themeColor="text1"/>
          <w:kern w:val="0"/>
          <w:sz w:val="36"/>
          <w:szCs w:val="28"/>
          <w14:textFill>
            <w14:solidFill>
              <w14:schemeClr w14:val="tx1"/>
            </w14:solidFill>
          </w14:textFill>
        </w:rPr>
      </w:pPr>
      <w:r>
        <w:rPr>
          <w:rFonts w:hint="eastAsia" w:ascii="宋体"/>
          <w:b/>
          <w:snapToGrid w:val="0"/>
          <w:color w:val="000000" w:themeColor="text1"/>
          <w:kern w:val="0"/>
          <w:sz w:val="36"/>
          <w:szCs w:val="28"/>
          <w14:textFill>
            <w14:solidFill>
              <w14:schemeClr w14:val="tx1"/>
            </w14:solidFill>
          </w14:textFill>
        </w:rPr>
        <w:t>目录</w:t>
      </w:r>
    </w:p>
    <w:p>
      <w:pPr>
        <w:keepNext w:val="0"/>
        <w:keepLines w:val="0"/>
        <w:pageBreakBefore w:val="0"/>
        <w:widowControl w:val="0"/>
        <w:kinsoku/>
        <w:wordWrap/>
        <w:overflowPunct/>
        <w:topLinePunct w:val="0"/>
        <w:autoSpaceDE/>
        <w:autoSpaceDN/>
        <w:bidi w:val="0"/>
        <w:adjustRightInd/>
        <w:snapToGrid w:val="0"/>
        <w:spacing w:line="360" w:lineRule="auto"/>
        <w:ind w:left="0" w:right="0" w:rightChars="0" w:firstLine="0" w:firstLineChars="0"/>
        <w:textAlignment w:val="auto"/>
        <w:rPr>
          <w:rFonts w:ascii="宋体"/>
          <w:snapToGrid w:val="0"/>
          <w:color w:val="000000" w:themeColor="text1"/>
          <w:kern w:val="0"/>
          <w:sz w:val="24"/>
          <w:szCs w:val="24"/>
          <w14:textFill>
            <w14:solidFill>
              <w14:schemeClr w14:val="tx1"/>
            </w14:solidFill>
          </w14:textFill>
        </w:rPr>
      </w:pPr>
    </w:p>
    <w:p>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right="0" w:rightChars="0" w:firstLine="0" w:firstLineChars="0"/>
        <w:textAlignment w:val="auto"/>
        <w:rPr>
          <w:rFonts w:ascii="宋体"/>
          <w:snapToGrid w:val="0"/>
          <w:color w:val="000000" w:themeColor="text1"/>
          <w:kern w:val="0"/>
          <w:sz w:val="24"/>
          <w:szCs w:val="24"/>
          <w14:textFill>
            <w14:solidFill>
              <w14:schemeClr w14:val="tx1"/>
            </w14:solidFill>
          </w14:textFill>
        </w:rPr>
      </w:pPr>
      <w:r>
        <w:rPr>
          <w:rFonts w:hint="eastAsia" w:ascii="宋体" w:cs="Cambria"/>
          <w:snapToGrid w:val="0"/>
          <w:color w:val="000000" w:themeColor="text1"/>
          <w:kern w:val="0"/>
          <w:sz w:val="24"/>
          <w:szCs w:val="24"/>
          <w14:textFill>
            <w14:solidFill>
              <w14:schemeClr w14:val="tx1"/>
            </w14:solidFill>
          </w14:textFill>
        </w:rPr>
        <w:t>参选</w:t>
      </w:r>
      <w:r>
        <w:rPr>
          <w:rFonts w:hint="eastAsia" w:ascii="宋体"/>
          <w:snapToGrid w:val="0"/>
          <w:color w:val="000000" w:themeColor="text1"/>
          <w:kern w:val="0"/>
          <w:sz w:val="24"/>
          <w:szCs w:val="24"/>
          <w14:textFill>
            <w14:solidFill>
              <w14:schemeClr w14:val="tx1"/>
            </w14:solidFill>
          </w14:textFill>
        </w:rPr>
        <w:t>函</w:t>
      </w:r>
    </w:p>
    <w:p>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right="0" w:rightChars="0" w:firstLine="0" w:firstLineChars="0"/>
        <w:textAlignment w:val="auto"/>
        <w:rPr>
          <w:rFonts w:ascii="宋体"/>
          <w:snapToGrid w:val="0"/>
          <w:color w:val="000000" w:themeColor="text1"/>
          <w:kern w:val="0"/>
          <w:sz w:val="24"/>
          <w:szCs w:val="24"/>
          <w14:textFill>
            <w14:solidFill>
              <w14:schemeClr w14:val="tx1"/>
            </w14:solidFill>
          </w14:textFill>
        </w:rPr>
      </w:pPr>
      <w:r>
        <w:rPr>
          <w:rFonts w:hint="eastAsia" w:ascii="宋体" w:cs="Cambria"/>
          <w:snapToGrid w:val="0"/>
          <w:color w:val="000000" w:themeColor="text1"/>
          <w:kern w:val="0"/>
          <w:sz w:val="24"/>
          <w:szCs w:val="24"/>
          <w14:textFill>
            <w14:solidFill>
              <w14:schemeClr w14:val="tx1"/>
            </w14:solidFill>
          </w14:textFill>
        </w:rPr>
        <w:t>参选</w:t>
      </w:r>
      <w:r>
        <w:rPr>
          <w:rFonts w:hint="eastAsia" w:ascii="宋体"/>
          <w:snapToGrid w:val="0"/>
          <w:color w:val="000000" w:themeColor="text1"/>
          <w:kern w:val="0"/>
          <w:sz w:val="24"/>
          <w:szCs w:val="24"/>
          <w14:textFill>
            <w14:solidFill>
              <w14:schemeClr w14:val="tx1"/>
            </w14:solidFill>
          </w14:textFill>
        </w:rPr>
        <w:t>人基本情况介绍，资质证明等</w:t>
      </w:r>
    </w:p>
    <w:p>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right="0" w:rightChars="0" w:firstLine="0" w:firstLineChars="0"/>
        <w:textAlignment w:val="auto"/>
        <w:rPr>
          <w:rFonts w:ascii="宋体"/>
          <w:snapToGrid w:val="0"/>
          <w:color w:val="000000" w:themeColor="text1"/>
          <w:kern w:val="0"/>
          <w:sz w:val="24"/>
          <w:szCs w:val="24"/>
          <w14:textFill>
            <w14:solidFill>
              <w14:schemeClr w14:val="tx1"/>
            </w14:solidFill>
          </w14:textFill>
        </w:rPr>
      </w:pPr>
      <w:r>
        <w:rPr>
          <w:rFonts w:hint="eastAsia" w:ascii="宋体"/>
          <w:snapToGrid w:val="0"/>
          <w:color w:val="000000" w:themeColor="text1"/>
          <w:kern w:val="0"/>
          <w:sz w:val="24"/>
          <w:szCs w:val="24"/>
          <w14:textFill>
            <w14:solidFill>
              <w14:schemeClr w14:val="tx1"/>
            </w14:solidFill>
          </w14:textFill>
        </w:rPr>
        <w:t>法定代表人身份证明及授权委托书</w:t>
      </w:r>
    </w:p>
    <w:p>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right="0" w:rightChars="0" w:firstLine="0" w:firstLineChars="0"/>
        <w:textAlignment w:val="auto"/>
        <w:rPr>
          <w:rFonts w:ascii="宋体"/>
          <w:snapToGrid w:val="0"/>
          <w:color w:val="000000" w:themeColor="text1"/>
          <w:kern w:val="0"/>
          <w:sz w:val="24"/>
          <w:szCs w:val="24"/>
          <w14:textFill>
            <w14:solidFill>
              <w14:schemeClr w14:val="tx1"/>
            </w14:solidFill>
          </w14:textFill>
        </w:rPr>
      </w:pPr>
      <w:r>
        <w:rPr>
          <w:rFonts w:hint="eastAsia" w:ascii="宋体"/>
          <w:snapToGrid w:val="0"/>
          <w:color w:val="000000" w:themeColor="text1"/>
          <w:kern w:val="0"/>
          <w:sz w:val="24"/>
          <w:szCs w:val="24"/>
          <w14:textFill>
            <w14:solidFill>
              <w14:schemeClr w14:val="tx1"/>
            </w14:solidFill>
          </w14:textFill>
        </w:rPr>
        <w:t>报价一览表</w:t>
      </w:r>
    </w:p>
    <w:p>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right="0" w:rightChars="0" w:firstLine="0" w:firstLineChars="0"/>
        <w:textAlignment w:val="auto"/>
        <w:rPr>
          <w:rFonts w:ascii="宋体"/>
          <w:snapToGrid w:val="0"/>
          <w:color w:val="000000" w:themeColor="text1"/>
          <w:kern w:val="0"/>
          <w:sz w:val="24"/>
          <w:szCs w:val="24"/>
          <w14:textFill>
            <w14:solidFill>
              <w14:schemeClr w14:val="tx1"/>
            </w14:solidFill>
          </w14:textFill>
        </w:rPr>
      </w:pPr>
      <w:r>
        <w:rPr>
          <w:rFonts w:hint="eastAsia" w:ascii="宋体"/>
          <w:snapToGrid w:val="0"/>
          <w:color w:val="000000" w:themeColor="text1"/>
          <w:kern w:val="0"/>
          <w:sz w:val="24"/>
          <w:szCs w:val="24"/>
          <w14:textFill>
            <w14:solidFill>
              <w14:schemeClr w14:val="tx1"/>
            </w14:solidFill>
          </w14:textFill>
        </w:rPr>
        <w:t>书面声明</w:t>
      </w:r>
    </w:p>
    <w:p>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right="0" w:rightChars="0" w:firstLine="0" w:firstLineChars="0"/>
        <w:textAlignment w:val="auto"/>
        <w:rPr>
          <w:rFonts w:ascii="宋体"/>
          <w:snapToGrid w:val="0"/>
          <w:color w:val="000000" w:themeColor="text1"/>
          <w:kern w:val="0"/>
          <w:sz w:val="24"/>
          <w:szCs w:val="24"/>
          <w14:textFill>
            <w14:solidFill>
              <w14:schemeClr w14:val="tx1"/>
            </w14:solidFill>
          </w14:textFill>
        </w:rPr>
      </w:pPr>
      <w:r>
        <w:rPr>
          <w:rFonts w:hint="eastAsia" w:ascii="宋体" w:cs="Cambria"/>
          <w:snapToGrid w:val="0"/>
          <w:color w:val="000000" w:themeColor="text1"/>
          <w:kern w:val="0"/>
          <w:sz w:val="24"/>
          <w:szCs w:val="24"/>
          <w14:textFill>
            <w14:solidFill>
              <w14:schemeClr w14:val="tx1"/>
            </w14:solidFill>
          </w14:textFill>
        </w:rPr>
        <w:t>参选</w:t>
      </w:r>
      <w:r>
        <w:rPr>
          <w:rFonts w:hint="eastAsia" w:ascii="宋体"/>
          <w:snapToGrid w:val="0"/>
          <w:color w:val="000000" w:themeColor="text1"/>
          <w:kern w:val="0"/>
          <w:sz w:val="24"/>
          <w:szCs w:val="24"/>
          <w14:textFill>
            <w14:solidFill>
              <w14:schemeClr w14:val="tx1"/>
            </w14:solidFill>
          </w14:textFill>
        </w:rPr>
        <w:t>人业绩证明文件复印件</w:t>
      </w:r>
    </w:p>
    <w:p>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right="0" w:rightChars="0" w:firstLine="0" w:firstLineChars="0"/>
        <w:textAlignment w:val="auto"/>
        <w:rPr>
          <w:rFonts w:ascii="宋体"/>
          <w:snapToGrid w:val="0"/>
          <w:color w:val="000000" w:themeColor="text1"/>
          <w:kern w:val="0"/>
          <w:sz w:val="24"/>
          <w:szCs w:val="24"/>
          <w14:textFill>
            <w14:solidFill>
              <w14:schemeClr w14:val="tx1"/>
            </w14:solidFill>
          </w14:textFill>
        </w:rPr>
      </w:pPr>
      <w:r>
        <w:rPr>
          <w:rFonts w:hint="eastAsia" w:ascii="宋体"/>
          <w:snapToGrid w:val="0"/>
          <w:color w:val="000000" w:themeColor="text1"/>
          <w:kern w:val="0"/>
          <w:sz w:val="24"/>
          <w:szCs w:val="24"/>
          <w14:textFill>
            <w14:solidFill>
              <w14:schemeClr w14:val="tx1"/>
            </w14:solidFill>
          </w14:textFill>
        </w:rPr>
        <w:t>反商业贿赂承诺书</w:t>
      </w:r>
    </w:p>
    <w:p>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right="0" w:rightChars="0" w:firstLine="0" w:firstLineChars="0"/>
        <w:textAlignment w:val="auto"/>
        <w:rPr>
          <w:rFonts w:ascii="宋体"/>
          <w:snapToGrid w:val="0"/>
          <w:color w:val="000000" w:themeColor="text1"/>
          <w:kern w:val="0"/>
          <w:sz w:val="24"/>
          <w:szCs w:val="24"/>
          <w14:textFill>
            <w14:solidFill>
              <w14:schemeClr w14:val="tx1"/>
            </w14:solidFill>
          </w14:textFill>
        </w:rPr>
      </w:pPr>
      <w:r>
        <w:rPr>
          <w:rFonts w:hint="eastAsia" w:ascii="宋体"/>
          <w:snapToGrid w:val="0"/>
          <w:color w:val="000000" w:themeColor="text1"/>
          <w:kern w:val="0"/>
          <w:sz w:val="24"/>
          <w:szCs w:val="24"/>
          <w14:textFill>
            <w14:solidFill>
              <w14:schemeClr w14:val="tx1"/>
            </w14:solidFill>
          </w14:textFill>
        </w:rPr>
        <w:t>参选人对于参选文件以及相关的服务承诺所出具的真实性承诺</w:t>
      </w:r>
    </w:p>
    <w:p>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right="0" w:rightChars="0" w:firstLine="0" w:firstLineChars="0"/>
        <w:textAlignment w:val="auto"/>
        <w:rPr>
          <w:rFonts w:ascii="宋体"/>
          <w:snapToGrid w:val="0"/>
          <w:color w:val="000000" w:themeColor="text1"/>
          <w:kern w:val="0"/>
          <w:sz w:val="24"/>
          <w:szCs w:val="24"/>
          <w14:textFill>
            <w14:solidFill>
              <w14:schemeClr w14:val="tx1"/>
            </w14:solidFill>
          </w14:textFill>
        </w:rPr>
      </w:pPr>
      <w:r>
        <w:rPr>
          <w:rFonts w:hint="eastAsia" w:ascii="宋体"/>
          <w:snapToGrid w:val="0"/>
          <w:color w:val="000000" w:themeColor="text1"/>
          <w:kern w:val="0"/>
          <w:sz w:val="24"/>
          <w:szCs w:val="24"/>
          <w14:textFill>
            <w14:solidFill>
              <w14:schemeClr w14:val="tx1"/>
            </w14:solidFill>
          </w14:textFill>
        </w:rPr>
        <w:t>服务时效承诺表</w:t>
      </w:r>
    </w:p>
    <w:p>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right="0" w:rightChars="0" w:firstLine="0" w:firstLineChars="0"/>
        <w:textAlignment w:val="auto"/>
        <w:rPr>
          <w:rFonts w:ascii="宋体"/>
          <w:snapToGrid w:val="0"/>
          <w:color w:val="000000" w:themeColor="text1"/>
          <w:kern w:val="0"/>
          <w:sz w:val="24"/>
          <w:szCs w:val="24"/>
          <w14:textFill>
            <w14:solidFill>
              <w14:schemeClr w14:val="tx1"/>
            </w14:solidFill>
          </w14:textFill>
        </w:rPr>
      </w:pPr>
      <w:r>
        <w:rPr>
          <w:rFonts w:hint="eastAsia" w:ascii="宋体"/>
          <w:snapToGrid w:val="0"/>
          <w:color w:val="000000" w:themeColor="text1"/>
          <w:kern w:val="0"/>
          <w:sz w:val="24"/>
          <w:szCs w:val="24"/>
          <w14:textFill>
            <w14:solidFill>
              <w14:schemeClr w14:val="tx1"/>
            </w14:solidFill>
          </w14:textFill>
        </w:rPr>
        <w:t>线上评估方案及优秀服务案例</w:t>
      </w:r>
    </w:p>
    <w:p>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right="0" w:rightChars="0" w:firstLine="0" w:firstLineChars="0"/>
        <w:textAlignment w:val="auto"/>
        <w:rPr>
          <w:rFonts w:hint="default" w:ascii="宋体" w:eastAsia="宋体"/>
          <w:snapToGrid w:val="0"/>
          <w:color w:val="000000" w:themeColor="text1"/>
          <w:kern w:val="0"/>
          <w:sz w:val="24"/>
          <w:szCs w:val="24"/>
          <w:lang w:val="en-US" w:eastAsia="zh-CN"/>
          <w14:textFill>
            <w14:solidFill>
              <w14:schemeClr w14:val="tx1"/>
            </w14:solidFill>
          </w14:textFill>
        </w:rPr>
      </w:pPr>
      <w:r>
        <w:rPr>
          <w:rFonts w:hint="eastAsia" w:ascii="宋体"/>
          <w:snapToGrid w:val="0"/>
          <w:color w:val="000000" w:themeColor="text1"/>
          <w:kern w:val="0"/>
          <w:sz w:val="24"/>
          <w:szCs w:val="24"/>
          <w14:textFill>
            <w14:solidFill>
              <w14:schemeClr w14:val="tx1"/>
            </w14:solidFill>
          </w14:textFill>
        </w:rPr>
        <w:t>参选保证金</w:t>
      </w:r>
    </w:p>
    <w:p>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right="0" w:rightChars="0" w:firstLine="0" w:firstLineChars="0"/>
        <w:textAlignment w:val="auto"/>
        <w:rPr>
          <w:rFonts w:hint="default" w:ascii="宋体" w:eastAsia="宋体"/>
          <w:snapToGrid w:val="0"/>
          <w:color w:val="000000" w:themeColor="text1"/>
          <w:kern w:val="0"/>
          <w:sz w:val="24"/>
          <w:szCs w:val="24"/>
          <w:lang w:val="en-US" w:eastAsia="zh-CN"/>
          <w14:textFill>
            <w14:solidFill>
              <w14:schemeClr w14:val="tx1"/>
            </w14:solidFill>
          </w14:textFill>
        </w:rPr>
      </w:pPr>
      <w:r>
        <w:rPr>
          <w:rFonts w:hint="eastAsia" w:ascii="宋体"/>
          <w:snapToGrid w:val="0"/>
          <w:color w:val="000000" w:themeColor="text1"/>
          <w:kern w:val="0"/>
          <w:sz w:val="24"/>
          <w:szCs w:val="24"/>
          <w:lang w:val="en-US" w:eastAsia="zh-CN"/>
          <w14:textFill>
            <w14:solidFill>
              <w14:schemeClr w14:val="tx1"/>
            </w14:solidFill>
          </w14:textFill>
        </w:rPr>
        <w:t>其他（如有）</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left="0" w:right="0" w:rightChars="0" w:firstLine="0" w:firstLineChars="0"/>
        <w:textAlignment w:val="auto"/>
        <w:rPr>
          <w:rFonts w:ascii="宋体"/>
          <w:snapToGrid w:val="0"/>
          <w:color w:val="000000" w:themeColor="text1"/>
          <w:kern w:val="0"/>
          <w:sz w:val="24"/>
          <w:szCs w:val="24"/>
          <w14:textFill>
            <w14:solidFill>
              <w14:schemeClr w14:val="tx1"/>
            </w14:solidFill>
          </w14:textFill>
        </w:rPr>
      </w:pP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left="0" w:right="0" w:rightChars="0" w:firstLine="0" w:firstLineChars="0"/>
        <w:textAlignment w:val="auto"/>
        <w:rPr>
          <w:rFonts w:ascii="宋体"/>
          <w:snapToGrid w:val="0"/>
          <w:color w:val="000000" w:themeColor="text1"/>
          <w:kern w:val="0"/>
          <w:sz w:val="24"/>
          <w:szCs w:val="24"/>
          <w14:textFill>
            <w14:solidFill>
              <w14:schemeClr w14:val="tx1"/>
            </w14:solidFill>
          </w14:textFill>
        </w:rPr>
      </w:pP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left="0" w:right="0" w:rightChars="0" w:firstLine="0" w:firstLineChars="0"/>
        <w:textAlignment w:val="auto"/>
        <w:rPr>
          <w:rFonts w:ascii="宋体"/>
          <w:snapToGrid w:val="0"/>
          <w:color w:val="000000" w:themeColor="text1"/>
          <w:kern w:val="0"/>
          <w:sz w:val="24"/>
          <w:szCs w:val="24"/>
          <w14:textFill>
            <w14:solidFill>
              <w14:schemeClr w14:val="tx1"/>
            </w14:solidFill>
          </w14:textFill>
        </w:rPr>
      </w:pP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left="0" w:right="0" w:rightChars="0" w:firstLine="0" w:firstLineChars="0"/>
        <w:textAlignment w:val="auto"/>
        <w:rPr>
          <w:rFonts w:ascii="宋体"/>
          <w:snapToGrid w:val="0"/>
          <w:color w:val="000000" w:themeColor="text1"/>
          <w:kern w:val="0"/>
          <w:szCs w:val="28"/>
          <w14:textFill>
            <w14:solidFill>
              <w14:schemeClr w14:val="tx1"/>
            </w14:solidFill>
          </w14:textFill>
        </w:rPr>
      </w:pP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left="0" w:right="0" w:rightChars="0" w:firstLine="0" w:firstLineChars="0"/>
        <w:textAlignment w:val="auto"/>
        <w:rPr>
          <w:rFonts w:ascii="宋体"/>
          <w:snapToGrid w:val="0"/>
          <w:color w:val="000000" w:themeColor="text1"/>
          <w:kern w:val="0"/>
          <w:szCs w:val="28"/>
          <w14:textFill>
            <w14:solidFill>
              <w14:schemeClr w14:val="tx1"/>
            </w14:solidFill>
          </w14:textFill>
        </w:rPr>
      </w:pPr>
    </w:p>
    <w:p>
      <w:pPr>
        <w:pStyle w:val="4"/>
        <w:numPr>
          <w:ilvl w:val="0"/>
          <w:numId w:val="5"/>
        </w:numPr>
        <w:ind w:firstLineChars="0"/>
        <w:jc w:val="center"/>
        <w:rPr>
          <w:bCs w:val="0"/>
          <w:color w:val="000000" w:themeColor="text1"/>
          <w:kern w:val="0"/>
          <w:szCs w:val="28"/>
          <w14:textFill>
            <w14:solidFill>
              <w14:schemeClr w14:val="tx1"/>
            </w14:solidFill>
          </w14:textFill>
        </w:rPr>
      </w:pPr>
      <w:r>
        <w:rPr>
          <w:rFonts w:hint="eastAsia"/>
          <w:color w:val="000000" w:themeColor="text1"/>
          <w:kern w:val="0"/>
          <w:szCs w:val="28"/>
          <w14:textFill>
            <w14:solidFill>
              <w14:schemeClr w14:val="tx1"/>
            </w14:solidFill>
          </w14:textFill>
        </w:rPr>
        <w:br w:type="page"/>
      </w:r>
      <w:r>
        <w:rPr>
          <w:rFonts w:hint="eastAsia" w:cs="Cambria"/>
          <w:bCs w:val="0"/>
          <w:snapToGrid/>
          <w:color w:val="000000" w:themeColor="text1"/>
          <w:sz w:val="28"/>
          <w:szCs w:val="28"/>
          <w14:textFill>
            <w14:solidFill>
              <w14:schemeClr w14:val="tx1"/>
            </w14:solidFill>
          </w14:textFill>
        </w:rPr>
        <w:t>参选函</w:t>
      </w:r>
    </w:p>
    <w:p>
      <w:pPr>
        <w:tabs>
          <w:tab w:val="left" w:pos="6300"/>
        </w:tabs>
        <w:snapToGrid w:val="0"/>
        <w:spacing w:line="360" w:lineRule="auto"/>
        <w:ind w:right="-34" w:rightChars="-14"/>
        <w:rPr>
          <w:rFonts w:ascii="宋体"/>
          <w:snapToGrid w:val="0"/>
          <w:color w:val="000000" w:themeColor="text1"/>
          <w:kern w:val="0"/>
          <w:sz w:val="24"/>
          <w:szCs w:val="24"/>
          <w:u w:val="single"/>
          <w14:textFill>
            <w14:solidFill>
              <w14:schemeClr w14:val="tx1"/>
            </w14:solidFill>
          </w14:textFill>
        </w:rPr>
      </w:pPr>
    </w:p>
    <w:p>
      <w:pPr>
        <w:tabs>
          <w:tab w:val="left" w:pos="6300"/>
        </w:tabs>
        <w:snapToGrid w:val="0"/>
        <w:spacing w:line="360" w:lineRule="auto"/>
        <w:ind w:right="-34" w:rightChars="-14"/>
        <w:rPr>
          <w:rFonts w:ascii="宋体"/>
          <w:snapToGrid w:val="0"/>
          <w:color w:val="000000" w:themeColor="text1"/>
          <w:kern w:val="0"/>
          <w:sz w:val="24"/>
          <w:szCs w:val="24"/>
          <w14:textFill>
            <w14:solidFill>
              <w14:schemeClr w14:val="tx1"/>
            </w14:solidFill>
          </w14:textFill>
        </w:rPr>
      </w:pPr>
      <w:r>
        <w:rPr>
          <w:rFonts w:hint="eastAsia" w:ascii="宋体"/>
          <w:snapToGrid w:val="0"/>
          <w:color w:val="000000" w:themeColor="text1"/>
          <w:kern w:val="0"/>
          <w:sz w:val="24"/>
          <w:szCs w:val="24"/>
          <w:u w:val="single"/>
          <w14:textFill>
            <w14:solidFill>
              <w14:schemeClr w14:val="tx1"/>
            </w14:solidFill>
          </w14:textFill>
        </w:rPr>
        <w:t>重庆三峡银行股份有限公司</w:t>
      </w:r>
      <w:r>
        <w:rPr>
          <w:rFonts w:hint="eastAsia" w:ascii="宋体"/>
          <w:snapToGrid w:val="0"/>
          <w:color w:val="000000" w:themeColor="text1"/>
          <w:kern w:val="0"/>
          <w:sz w:val="24"/>
          <w:szCs w:val="24"/>
          <w14:textFill>
            <w14:solidFill>
              <w14:schemeClr w14:val="tx1"/>
            </w14:solidFill>
          </w14:textFill>
        </w:rPr>
        <w:t>：</w:t>
      </w:r>
    </w:p>
    <w:p>
      <w:pPr>
        <w:tabs>
          <w:tab w:val="left" w:pos="6300"/>
        </w:tabs>
        <w:snapToGrid w:val="0"/>
        <w:spacing w:line="360" w:lineRule="auto"/>
        <w:ind w:right="-34" w:rightChars="-14" w:firstLine="570"/>
        <w:rPr>
          <w:rFonts w:ascii="宋体"/>
          <w:snapToGrid w:val="0"/>
          <w:color w:val="000000" w:themeColor="text1"/>
          <w:kern w:val="0"/>
          <w:sz w:val="24"/>
          <w:szCs w:val="24"/>
          <w14:textFill>
            <w14:solidFill>
              <w14:schemeClr w14:val="tx1"/>
            </w14:solidFill>
          </w14:textFill>
        </w:rPr>
      </w:pPr>
      <w:r>
        <w:rPr>
          <w:rFonts w:hint="eastAsia" w:ascii="宋体"/>
          <w:snapToGrid w:val="0"/>
          <w:color w:val="000000" w:themeColor="text1"/>
          <w:kern w:val="0"/>
          <w:sz w:val="24"/>
          <w:szCs w:val="24"/>
          <w14:textFill>
            <w14:solidFill>
              <w14:schemeClr w14:val="tx1"/>
            </w14:solidFill>
          </w14:textFill>
        </w:rPr>
        <w:t>我方收到</w:t>
      </w:r>
      <w:r>
        <w:rPr>
          <w:rFonts w:hint="eastAsia" w:ascii="宋体"/>
          <w:snapToGrid w:val="0"/>
          <w:color w:val="000000" w:themeColor="text1"/>
          <w:kern w:val="0"/>
          <w:sz w:val="24"/>
          <w:szCs w:val="24"/>
          <w:u w:val="single"/>
          <w14:textFill>
            <w14:solidFill>
              <w14:schemeClr w14:val="tx1"/>
            </w14:solidFill>
          </w14:textFill>
        </w:rPr>
        <w:t>___________________</w:t>
      </w:r>
      <w:r>
        <w:rPr>
          <w:rFonts w:hint="eastAsia" w:ascii="宋体"/>
          <w:snapToGrid w:val="0"/>
          <w:color w:val="000000" w:themeColor="text1"/>
          <w:kern w:val="0"/>
          <w:sz w:val="24"/>
          <w:szCs w:val="24"/>
          <w14:textFill>
            <w14:solidFill>
              <w14:schemeClr w14:val="tx1"/>
            </w14:solidFill>
          </w14:textFill>
        </w:rPr>
        <w:t>比选文件，经详细研究，决定参加该比选项目的</w:t>
      </w:r>
      <w:r>
        <w:rPr>
          <w:rFonts w:hint="eastAsia" w:ascii="宋体" w:cs="Cambria"/>
          <w:snapToGrid w:val="0"/>
          <w:color w:val="000000" w:themeColor="text1"/>
          <w:kern w:val="0"/>
          <w:sz w:val="24"/>
          <w:szCs w:val="24"/>
          <w14:textFill>
            <w14:solidFill>
              <w14:schemeClr w14:val="tx1"/>
            </w14:solidFill>
          </w14:textFill>
        </w:rPr>
        <w:t>参选</w:t>
      </w:r>
      <w:r>
        <w:rPr>
          <w:rFonts w:hint="eastAsia" w:ascii="宋体"/>
          <w:snapToGrid w:val="0"/>
          <w:color w:val="000000" w:themeColor="text1"/>
          <w:kern w:val="0"/>
          <w:sz w:val="24"/>
          <w:szCs w:val="24"/>
          <w14:textFill>
            <w14:solidFill>
              <w14:schemeClr w14:val="tx1"/>
            </w14:solidFill>
          </w14:textFill>
        </w:rPr>
        <w:t>。</w:t>
      </w:r>
    </w:p>
    <w:p>
      <w:pPr>
        <w:tabs>
          <w:tab w:val="left" w:pos="6300"/>
        </w:tabs>
        <w:autoSpaceDE w:val="0"/>
        <w:snapToGrid w:val="0"/>
        <w:spacing w:line="360" w:lineRule="auto"/>
        <w:ind w:right="-34" w:rightChars="-14" w:firstLine="573"/>
        <w:rPr>
          <w:rFonts w:ascii="宋体"/>
          <w:snapToGrid w:val="0"/>
          <w:color w:val="000000" w:themeColor="text1"/>
          <w:kern w:val="0"/>
          <w:sz w:val="24"/>
          <w:szCs w:val="24"/>
          <w14:textFill>
            <w14:solidFill>
              <w14:schemeClr w14:val="tx1"/>
            </w14:solidFill>
          </w14:textFill>
        </w:rPr>
      </w:pPr>
      <w:r>
        <w:rPr>
          <w:rFonts w:hint="eastAsia" w:ascii="宋体"/>
          <w:snapToGrid w:val="0"/>
          <w:color w:val="000000" w:themeColor="text1"/>
          <w:kern w:val="0"/>
          <w:sz w:val="24"/>
          <w:szCs w:val="24"/>
          <w14:textFill>
            <w14:solidFill>
              <w14:schemeClr w14:val="tx1"/>
            </w14:solidFill>
          </w14:textFill>
        </w:rPr>
        <w:t>1、愿意按照比选文件中的一切要求，以人民币小写：，人民币大写：的</w:t>
      </w:r>
      <w:r>
        <w:rPr>
          <w:rFonts w:hint="eastAsia" w:ascii="宋体" w:cs="Cambria"/>
          <w:snapToGrid w:val="0"/>
          <w:color w:val="000000" w:themeColor="text1"/>
          <w:kern w:val="0"/>
          <w:sz w:val="24"/>
          <w:szCs w:val="24"/>
          <w14:textFill>
            <w14:solidFill>
              <w14:schemeClr w14:val="tx1"/>
            </w14:solidFill>
          </w14:textFill>
        </w:rPr>
        <w:t>参选</w:t>
      </w:r>
      <w:r>
        <w:rPr>
          <w:rFonts w:hint="eastAsia" w:ascii="宋体"/>
          <w:snapToGrid w:val="0"/>
          <w:color w:val="000000" w:themeColor="text1"/>
          <w:kern w:val="0"/>
          <w:sz w:val="24"/>
          <w:szCs w:val="24"/>
          <w14:textFill>
            <w14:solidFill>
              <w14:schemeClr w14:val="tx1"/>
            </w14:solidFill>
          </w14:textFill>
        </w:rPr>
        <w:t>总价承担和完成本项目。</w:t>
      </w:r>
    </w:p>
    <w:p>
      <w:pPr>
        <w:tabs>
          <w:tab w:val="left" w:pos="6300"/>
        </w:tabs>
        <w:snapToGrid w:val="0"/>
        <w:spacing w:line="360" w:lineRule="auto"/>
        <w:ind w:right="-34" w:rightChars="-14" w:firstLine="570"/>
        <w:rPr>
          <w:rFonts w:ascii="宋体"/>
          <w:snapToGrid w:val="0"/>
          <w:color w:val="000000" w:themeColor="text1"/>
          <w:kern w:val="0"/>
          <w:sz w:val="24"/>
          <w:szCs w:val="24"/>
          <w14:textFill>
            <w14:solidFill>
              <w14:schemeClr w14:val="tx1"/>
            </w14:solidFill>
          </w14:textFill>
        </w:rPr>
      </w:pPr>
      <w:r>
        <w:rPr>
          <w:rFonts w:hint="eastAsia" w:ascii="宋体"/>
          <w:snapToGrid w:val="0"/>
          <w:color w:val="000000" w:themeColor="text1"/>
          <w:kern w:val="0"/>
          <w:sz w:val="24"/>
          <w:szCs w:val="24"/>
          <w14:textFill>
            <w14:solidFill>
              <w14:schemeClr w14:val="tx1"/>
            </w14:solidFill>
          </w14:textFill>
        </w:rPr>
        <w:t>2、我方现提交的</w:t>
      </w:r>
      <w:r>
        <w:rPr>
          <w:rFonts w:hint="eastAsia" w:ascii="宋体" w:cs="Cambria"/>
          <w:snapToGrid w:val="0"/>
          <w:color w:val="000000" w:themeColor="text1"/>
          <w:kern w:val="0"/>
          <w:sz w:val="24"/>
          <w:szCs w:val="24"/>
          <w14:textFill>
            <w14:solidFill>
              <w14:schemeClr w14:val="tx1"/>
            </w14:solidFill>
          </w14:textFill>
        </w:rPr>
        <w:t>参选</w:t>
      </w:r>
      <w:r>
        <w:rPr>
          <w:rFonts w:hint="eastAsia" w:ascii="宋体"/>
          <w:snapToGrid w:val="0"/>
          <w:color w:val="000000" w:themeColor="text1"/>
          <w:kern w:val="0"/>
          <w:sz w:val="24"/>
          <w:szCs w:val="24"/>
          <w14:textFill>
            <w14:solidFill>
              <w14:schemeClr w14:val="tx1"/>
            </w14:solidFill>
          </w14:textFill>
        </w:rPr>
        <w:t>文件为：</w:t>
      </w:r>
      <w:r>
        <w:rPr>
          <w:rFonts w:hint="eastAsia" w:ascii="宋体" w:cs="Cambria"/>
          <w:snapToGrid w:val="0"/>
          <w:color w:val="000000" w:themeColor="text1"/>
          <w:kern w:val="0"/>
          <w:sz w:val="24"/>
          <w:szCs w:val="24"/>
          <w14:textFill>
            <w14:solidFill>
              <w14:schemeClr w14:val="tx1"/>
            </w14:solidFill>
          </w14:textFill>
        </w:rPr>
        <w:t>参选</w:t>
      </w:r>
      <w:r>
        <w:rPr>
          <w:rFonts w:hint="eastAsia" w:ascii="宋体"/>
          <w:snapToGrid w:val="0"/>
          <w:color w:val="000000" w:themeColor="text1"/>
          <w:kern w:val="0"/>
          <w:sz w:val="24"/>
          <w:szCs w:val="24"/>
          <w14:textFill>
            <w14:solidFill>
              <w14:schemeClr w14:val="tx1"/>
            </w14:solidFill>
          </w14:textFill>
        </w:rPr>
        <w:t>文件正本一份，副本一份，</w:t>
      </w:r>
      <w:r>
        <w:rPr>
          <w:rFonts w:hint="eastAsia" w:ascii="宋体"/>
          <w:snapToGrid w:val="0"/>
          <w:color w:val="000000"/>
          <w:kern w:val="0"/>
          <w:sz w:val="24"/>
          <w:szCs w:val="24"/>
        </w:rPr>
        <w:t>电子文件一份。</w:t>
      </w:r>
    </w:p>
    <w:p>
      <w:pPr>
        <w:tabs>
          <w:tab w:val="left" w:pos="6300"/>
        </w:tabs>
        <w:snapToGrid w:val="0"/>
        <w:spacing w:line="360" w:lineRule="auto"/>
        <w:ind w:right="-34" w:rightChars="-14" w:firstLine="570"/>
        <w:rPr>
          <w:rFonts w:ascii="宋体"/>
          <w:snapToGrid w:val="0"/>
          <w:color w:val="000000" w:themeColor="text1"/>
          <w:kern w:val="0"/>
          <w:sz w:val="24"/>
          <w:szCs w:val="24"/>
          <w14:textFill>
            <w14:solidFill>
              <w14:schemeClr w14:val="tx1"/>
            </w14:solidFill>
          </w14:textFill>
        </w:rPr>
      </w:pPr>
      <w:r>
        <w:rPr>
          <w:rFonts w:hint="eastAsia" w:ascii="宋体"/>
          <w:snapToGrid w:val="0"/>
          <w:color w:val="000000" w:themeColor="text1"/>
          <w:kern w:val="0"/>
          <w:sz w:val="24"/>
          <w:szCs w:val="24"/>
          <w14:textFill>
            <w14:solidFill>
              <w14:schemeClr w14:val="tx1"/>
            </w14:solidFill>
          </w14:textFill>
        </w:rPr>
        <w:t>3、如果我方</w:t>
      </w:r>
      <w:r>
        <w:rPr>
          <w:rFonts w:hint="eastAsia" w:ascii="宋体" w:cs="Cambria"/>
          <w:snapToGrid w:val="0"/>
          <w:color w:val="000000" w:themeColor="text1"/>
          <w:kern w:val="0"/>
          <w:sz w:val="24"/>
          <w:szCs w:val="24"/>
          <w14:textFill>
            <w14:solidFill>
              <w14:schemeClr w14:val="tx1"/>
            </w14:solidFill>
          </w14:textFill>
        </w:rPr>
        <w:t>参选</w:t>
      </w:r>
      <w:r>
        <w:rPr>
          <w:rFonts w:hint="eastAsia" w:ascii="宋体"/>
          <w:snapToGrid w:val="0"/>
          <w:color w:val="000000" w:themeColor="text1"/>
          <w:kern w:val="0"/>
          <w:sz w:val="24"/>
          <w:szCs w:val="24"/>
          <w14:textFill>
            <w14:solidFill>
              <w14:schemeClr w14:val="tx1"/>
            </w14:solidFill>
          </w14:textFill>
        </w:rPr>
        <w:t>文件被接受，我方将履行比选文件中规定的各项要求，按相关法律法规和合同约定条款承担我方的责任。</w:t>
      </w:r>
    </w:p>
    <w:p>
      <w:pPr>
        <w:tabs>
          <w:tab w:val="left" w:pos="6300"/>
        </w:tabs>
        <w:snapToGrid w:val="0"/>
        <w:spacing w:line="360" w:lineRule="auto"/>
        <w:ind w:right="-34" w:rightChars="-14" w:firstLine="570"/>
        <w:rPr>
          <w:rFonts w:ascii="宋体"/>
          <w:snapToGrid w:val="0"/>
          <w:color w:val="000000" w:themeColor="text1"/>
          <w:kern w:val="0"/>
          <w:sz w:val="24"/>
          <w:szCs w:val="24"/>
          <w14:textFill>
            <w14:solidFill>
              <w14:schemeClr w14:val="tx1"/>
            </w14:solidFill>
          </w14:textFill>
        </w:rPr>
      </w:pPr>
      <w:r>
        <w:rPr>
          <w:rFonts w:hint="eastAsia" w:ascii="宋体"/>
          <w:snapToGrid w:val="0"/>
          <w:color w:val="000000" w:themeColor="text1"/>
          <w:kern w:val="0"/>
          <w:sz w:val="24"/>
          <w:szCs w:val="24"/>
          <w14:textFill>
            <w14:solidFill>
              <w14:schemeClr w14:val="tx1"/>
            </w14:solidFill>
          </w14:textFill>
        </w:rPr>
        <w:t>4、我方愿意提供比选文件中要求的所有资料，并对其真实性负责。</w:t>
      </w:r>
    </w:p>
    <w:p>
      <w:pPr>
        <w:tabs>
          <w:tab w:val="left" w:pos="6300"/>
        </w:tabs>
        <w:snapToGrid w:val="0"/>
        <w:spacing w:line="360" w:lineRule="auto"/>
        <w:ind w:right="-34" w:rightChars="-14" w:firstLine="570"/>
        <w:rPr>
          <w:rFonts w:ascii="宋体"/>
          <w:snapToGrid w:val="0"/>
          <w:color w:val="000000" w:themeColor="text1"/>
          <w:kern w:val="0"/>
          <w:sz w:val="24"/>
          <w:szCs w:val="24"/>
          <w14:textFill>
            <w14:solidFill>
              <w14:schemeClr w14:val="tx1"/>
            </w14:solidFill>
          </w14:textFill>
        </w:rPr>
      </w:pPr>
      <w:r>
        <w:rPr>
          <w:rFonts w:hint="eastAsia" w:ascii="宋体"/>
          <w:snapToGrid w:val="0"/>
          <w:color w:val="000000" w:themeColor="text1"/>
          <w:kern w:val="0"/>
          <w:sz w:val="24"/>
          <w:szCs w:val="24"/>
          <w14:textFill>
            <w14:solidFill>
              <w14:schemeClr w14:val="tx1"/>
            </w14:solidFill>
          </w14:textFill>
        </w:rPr>
        <w:t>5、我方理解最低价格不是中选的唯一条件。</w:t>
      </w:r>
    </w:p>
    <w:p>
      <w:pPr>
        <w:tabs>
          <w:tab w:val="left" w:pos="6300"/>
        </w:tabs>
        <w:snapToGrid w:val="0"/>
        <w:spacing w:line="360" w:lineRule="auto"/>
        <w:ind w:right="-34" w:rightChars="-14" w:firstLine="570"/>
        <w:rPr>
          <w:rFonts w:ascii="宋体"/>
          <w:snapToGrid w:val="0"/>
          <w:color w:val="000000" w:themeColor="text1"/>
          <w:kern w:val="0"/>
          <w:sz w:val="24"/>
          <w:szCs w:val="24"/>
          <w14:textFill>
            <w14:solidFill>
              <w14:schemeClr w14:val="tx1"/>
            </w14:solidFill>
          </w14:textFill>
        </w:rPr>
      </w:pPr>
      <w:r>
        <w:rPr>
          <w:rFonts w:hint="eastAsia" w:ascii="宋体"/>
          <w:snapToGrid w:val="0"/>
          <w:color w:val="000000" w:themeColor="text1"/>
          <w:kern w:val="0"/>
          <w:sz w:val="24"/>
          <w:szCs w:val="24"/>
          <w14:textFill>
            <w14:solidFill>
              <w14:schemeClr w14:val="tx1"/>
            </w14:solidFill>
          </w14:textFill>
        </w:rPr>
        <w:t>6、</w:t>
      </w:r>
      <w:r>
        <w:rPr>
          <w:rFonts w:hint="eastAsia" w:ascii="宋体" w:cs="Cambria"/>
          <w:snapToGrid w:val="0"/>
          <w:color w:val="000000" w:themeColor="text1"/>
          <w:kern w:val="0"/>
          <w:sz w:val="24"/>
          <w:szCs w:val="24"/>
          <w14:textFill>
            <w14:solidFill>
              <w14:schemeClr w14:val="tx1"/>
            </w14:solidFill>
          </w14:textFill>
        </w:rPr>
        <w:t>参选</w:t>
      </w:r>
      <w:r>
        <w:rPr>
          <w:rFonts w:hint="eastAsia" w:ascii="宋体"/>
          <w:snapToGrid w:val="0"/>
          <w:color w:val="000000" w:themeColor="text1"/>
          <w:kern w:val="0"/>
          <w:sz w:val="24"/>
          <w:szCs w:val="24"/>
          <w14:textFill>
            <w14:solidFill>
              <w14:schemeClr w14:val="tx1"/>
            </w14:solidFill>
          </w14:textFill>
        </w:rPr>
        <w:t>有效期为</w:t>
      </w:r>
      <w:r>
        <w:rPr>
          <w:rFonts w:hint="eastAsia" w:ascii="宋体" w:cs="Cambria"/>
          <w:snapToGrid w:val="0"/>
          <w:color w:val="000000" w:themeColor="text1"/>
          <w:kern w:val="0"/>
          <w:sz w:val="24"/>
          <w:szCs w:val="24"/>
          <w14:textFill>
            <w14:solidFill>
              <w14:schemeClr w14:val="tx1"/>
            </w14:solidFill>
          </w14:textFill>
        </w:rPr>
        <w:t>参选</w:t>
      </w:r>
      <w:r>
        <w:rPr>
          <w:rFonts w:hint="eastAsia" w:ascii="宋体"/>
          <w:snapToGrid w:val="0"/>
          <w:color w:val="000000" w:themeColor="text1"/>
          <w:kern w:val="0"/>
          <w:sz w:val="24"/>
          <w:szCs w:val="24"/>
          <w14:textFill>
            <w14:solidFill>
              <w14:schemeClr w14:val="tx1"/>
            </w14:solidFill>
          </w14:textFill>
        </w:rPr>
        <w:t>截止日期后90天内。</w:t>
      </w:r>
    </w:p>
    <w:p>
      <w:pPr>
        <w:tabs>
          <w:tab w:val="left" w:pos="6300"/>
        </w:tabs>
        <w:snapToGrid w:val="0"/>
        <w:spacing w:line="360" w:lineRule="auto"/>
        <w:ind w:right="-34" w:rightChars="-14" w:firstLine="570"/>
        <w:rPr>
          <w:rFonts w:ascii="宋体"/>
          <w:snapToGrid w:val="0"/>
          <w:color w:val="000000" w:themeColor="text1"/>
          <w:kern w:val="0"/>
          <w:sz w:val="24"/>
          <w:szCs w:val="24"/>
          <w14:textFill>
            <w14:solidFill>
              <w14:schemeClr w14:val="tx1"/>
            </w14:solidFill>
          </w14:textFill>
        </w:rPr>
      </w:pPr>
    </w:p>
    <w:p>
      <w:pPr>
        <w:tabs>
          <w:tab w:val="left" w:pos="6300"/>
        </w:tabs>
        <w:snapToGrid w:val="0"/>
        <w:spacing w:line="360" w:lineRule="auto"/>
        <w:ind w:right="-34" w:rightChars="-14"/>
        <w:rPr>
          <w:rFonts w:ascii="宋体"/>
          <w:snapToGrid w:val="0"/>
          <w:color w:val="000000" w:themeColor="text1"/>
          <w:kern w:val="0"/>
          <w:sz w:val="24"/>
          <w:szCs w:val="24"/>
          <w14:textFill>
            <w14:solidFill>
              <w14:schemeClr w14:val="tx1"/>
            </w14:solidFill>
          </w14:textFill>
        </w:rPr>
      </w:pPr>
    </w:p>
    <w:p>
      <w:pPr>
        <w:tabs>
          <w:tab w:val="left" w:pos="6300"/>
        </w:tabs>
        <w:snapToGrid w:val="0"/>
        <w:spacing w:line="360" w:lineRule="auto"/>
        <w:ind w:right="-34" w:rightChars="-14" w:firstLine="570"/>
        <w:rPr>
          <w:rFonts w:ascii="宋体"/>
          <w:snapToGrid w:val="0"/>
          <w:color w:val="000000" w:themeColor="text1"/>
          <w:kern w:val="0"/>
          <w:sz w:val="24"/>
          <w:szCs w:val="24"/>
          <w14:textFill>
            <w14:solidFill>
              <w14:schemeClr w14:val="tx1"/>
            </w14:solidFill>
          </w14:textFill>
        </w:rPr>
      </w:pPr>
      <w:r>
        <w:rPr>
          <w:rFonts w:hint="eastAsia" w:ascii="宋体" w:cs="Cambria"/>
          <w:snapToGrid w:val="0"/>
          <w:color w:val="000000" w:themeColor="text1"/>
          <w:kern w:val="0"/>
          <w:sz w:val="24"/>
          <w:szCs w:val="24"/>
          <w14:textFill>
            <w14:solidFill>
              <w14:schemeClr w14:val="tx1"/>
            </w14:solidFill>
          </w14:textFill>
        </w:rPr>
        <w:t>参选</w:t>
      </w:r>
      <w:r>
        <w:rPr>
          <w:rFonts w:hint="eastAsia" w:ascii="宋体"/>
          <w:snapToGrid w:val="0"/>
          <w:color w:val="000000" w:themeColor="text1"/>
          <w:kern w:val="0"/>
          <w:sz w:val="24"/>
          <w:szCs w:val="24"/>
          <w14:textFill>
            <w14:solidFill>
              <w14:schemeClr w14:val="tx1"/>
            </w14:solidFill>
          </w14:textFill>
        </w:rPr>
        <w:t>人（公章）：</w:t>
      </w:r>
    </w:p>
    <w:p>
      <w:pPr>
        <w:tabs>
          <w:tab w:val="left" w:pos="6300"/>
        </w:tabs>
        <w:snapToGrid w:val="0"/>
        <w:spacing w:line="360" w:lineRule="auto"/>
        <w:ind w:right="-34" w:rightChars="-14" w:firstLine="570"/>
        <w:rPr>
          <w:rFonts w:ascii="宋体"/>
          <w:snapToGrid w:val="0"/>
          <w:color w:val="000000" w:themeColor="text1"/>
          <w:kern w:val="0"/>
          <w:sz w:val="24"/>
          <w:szCs w:val="24"/>
          <w14:textFill>
            <w14:solidFill>
              <w14:schemeClr w14:val="tx1"/>
            </w14:solidFill>
          </w14:textFill>
        </w:rPr>
      </w:pPr>
      <w:r>
        <w:rPr>
          <w:rFonts w:hint="eastAsia" w:ascii="宋体"/>
          <w:snapToGrid w:val="0"/>
          <w:color w:val="000000" w:themeColor="text1"/>
          <w:kern w:val="0"/>
          <w:sz w:val="24"/>
          <w:szCs w:val="24"/>
          <w14:textFill>
            <w14:solidFill>
              <w14:schemeClr w14:val="tx1"/>
            </w14:solidFill>
          </w14:textFill>
        </w:rPr>
        <w:t>地址：</w:t>
      </w:r>
    </w:p>
    <w:p>
      <w:pPr>
        <w:tabs>
          <w:tab w:val="left" w:pos="6300"/>
        </w:tabs>
        <w:snapToGrid w:val="0"/>
        <w:spacing w:line="360" w:lineRule="auto"/>
        <w:ind w:right="-34" w:rightChars="-14" w:firstLine="570"/>
        <w:rPr>
          <w:rFonts w:ascii="宋体"/>
          <w:snapToGrid w:val="0"/>
          <w:color w:val="000000" w:themeColor="text1"/>
          <w:kern w:val="0"/>
          <w:sz w:val="24"/>
          <w:szCs w:val="24"/>
          <w14:textFill>
            <w14:solidFill>
              <w14:schemeClr w14:val="tx1"/>
            </w14:solidFill>
          </w14:textFill>
        </w:rPr>
      </w:pPr>
      <w:r>
        <w:rPr>
          <w:rFonts w:hint="eastAsia" w:ascii="宋体"/>
          <w:snapToGrid w:val="0"/>
          <w:color w:val="000000" w:themeColor="text1"/>
          <w:kern w:val="0"/>
          <w:sz w:val="24"/>
          <w:szCs w:val="24"/>
          <w14:textFill>
            <w14:solidFill>
              <w14:schemeClr w14:val="tx1"/>
            </w14:solidFill>
          </w14:textFill>
        </w:rPr>
        <w:t>电话：传真：</w:t>
      </w:r>
    </w:p>
    <w:p>
      <w:pPr>
        <w:tabs>
          <w:tab w:val="left" w:pos="6300"/>
        </w:tabs>
        <w:snapToGrid w:val="0"/>
        <w:spacing w:line="360" w:lineRule="auto"/>
        <w:ind w:right="-34" w:rightChars="-14" w:firstLine="570"/>
        <w:rPr>
          <w:rFonts w:ascii="宋体"/>
          <w:snapToGrid w:val="0"/>
          <w:color w:val="000000" w:themeColor="text1"/>
          <w:kern w:val="0"/>
          <w:sz w:val="24"/>
          <w:szCs w:val="24"/>
          <w14:textFill>
            <w14:solidFill>
              <w14:schemeClr w14:val="tx1"/>
            </w14:solidFill>
          </w14:textFill>
        </w:rPr>
      </w:pPr>
      <w:r>
        <w:rPr>
          <w:rFonts w:hint="eastAsia" w:ascii="宋体"/>
          <w:snapToGrid w:val="0"/>
          <w:color w:val="000000" w:themeColor="text1"/>
          <w:kern w:val="0"/>
          <w:sz w:val="24"/>
          <w:szCs w:val="24"/>
          <w14:textFill>
            <w14:solidFill>
              <w14:schemeClr w14:val="tx1"/>
            </w14:solidFill>
          </w14:textFill>
        </w:rPr>
        <w:t>网址：</w:t>
      </w:r>
    </w:p>
    <w:p>
      <w:pPr>
        <w:tabs>
          <w:tab w:val="left" w:pos="6300"/>
        </w:tabs>
        <w:snapToGrid w:val="0"/>
        <w:spacing w:line="360" w:lineRule="auto"/>
        <w:ind w:right="-34" w:rightChars="-14" w:firstLine="6540" w:firstLineChars="2725"/>
        <w:rPr>
          <w:rFonts w:ascii="宋体"/>
          <w:snapToGrid w:val="0"/>
          <w:color w:val="000000" w:themeColor="text1"/>
          <w:kern w:val="0"/>
          <w:sz w:val="24"/>
          <w:szCs w:val="24"/>
          <w14:textFill>
            <w14:solidFill>
              <w14:schemeClr w14:val="tx1"/>
            </w14:solidFill>
          </w14:textFill>
        </w:rPr>
      </w:pPr>
    </w:p>
    <w:p>
      <w:pPr>
        <w:tabs>
          <w:tab w:val="left" w:pos="6300"/>
        </w:tabs>
        <w:snapToGrid w:val="0"/>
        <w:spacing w:line="360" w:lineRule="auto"/>
        <w:ind w:right="-34" w:rightChars="-14" w:firstLine="5400" w:firstLineChars="2250"/>
        <w:jc w:val="right"/>
        <w:rPr>
          <w:rFonts w:ascii="宋体"/>
          <w:snapToGrid w:val="0"/>
          <w:color w:val="000000" w:themeColor="text1"/>
          <w:kern w:val="0"/>
          <w:sz w:val="24"/>
          <w:szCs w:val="24"/>
          <w14:textFill>
            <w14:solidFill>
              <w14:schemeClr w14:val="tx1"/>
            </w14:solidFill>
          </w14:textFill>
        </w:rPr>
      </w:pPr>
      <w:r>
        <w:rPr>
          <w:rFonts w:hint="eastAsia" w:ascii="宋体"/>
          <w:snapToGrid w:val="0"/>
          <w:color w:val="000000" w:themeColor="text1"/>
          <w:kern w:val="0"/>
          <w:sz w:val="24"/>
          <w:szCs w:val="24"/>
          <w14:textFill>
            <w14:solidFill>
              <w14:schemeClr w14:val="tx1"/>
            </w14:solidFill>
          </w14:textFill>
        </w:rPr>
        <w:t>年</w:t>
      </w:r>
      <w:r>
        <w:rPr>
          <w:rFonts w:hint="eastAsia" w:ascii="宋体"/>
          <w:snapToGrid w:val="0"/>
          <w:color w:val="000000" w:themeColor="text1"/>
          <w:kern w:val="0"/>
          <w:sz w:val="24"/>
          <w:szCs w:val="24"/>
          <w:lang w:val="en-US" w:eastAsia="zh-CN"/>
          <w14:textFill>
            <w14:solidFill>
              <w14:schemeClr w14:val="tx1"/>
            </w14:solidFill>
          </w14:textFill>
        </w:rPr>
        <w:t xml:space="preserve">    </w:t>
      </w:r>
      <w:r>
        <w:rPr>
          <w:rFonts w:hint="eastAsia" w:ascii="宋体"/>
          <w:snapToGrid w:val="0"/>
          <w:color w:val="000000" w:themeColor="text1"/>
          <w:kern w:val="0"/>
          <w:sz w:val="24"/>
          <w:szCs w:val="24"/>
          <w14:textFill>
            <w14:solidFill>
              <w14:schemeClr w14:val="tx1"/>
            </w14:solidFill>
          </w14:textFill>
        </w:rPr>
        <w:t>月</w:t>
      </w:r>
      <w:r>
        <w:rPr>
          <w:rFonts w:hint="eastAsia" w:ascii="宋体"/>
          <w:snapToGrid w:val="0"/>
          <w:color w:val="000000" w:themeColor="text1"/>
          <w:kern w:val="0"/>
          <w:sz w:val="24"/>
          <w:szCs w:val="24"/>
          <w:lang w:val="en-US" w:eastAsia="zh-CN"/>
          <w14:textFill>
            <w14:solidFill>
              <w14:schemeClr w14:val="tx1"/>
            </w14:solidFill>
          </w14:textFill>
        </w:rPr>
        <w:t xml:space="preserve">    </w:t>
      </w:r>
      <w:r>
        <w:rPr>
          <w:rFonts w:hint="eastAsia" w:ascii="宋体"/>
          <w:snapToGrid w:val="0"/>
          <w:color w:val="000000" w:themeColor="text1"/>
          <w:kern w:val="0"/>
          <w:sz w:val="24"/>
          <w:szCs w:val="24"/>
          <w14:textFill>
            <w14:solidFill>
              <w14:schemeClr w14:val="tx1"/>
            </w14:solidFill>
          </w14:textFill>
        </w:rPr>
        <w:t>日</w:t>
      </w:r>
    </w:p>
    <w:p>
      <w:pPr>
        <w:widowControl/>
        <w:spacing w:line="360" w:lineRule="auto"/>
        <w:jc w:val="left"/>
        <w:rPr>
          <w:rFonts w:ascii="宋体"/>
          <w:snapToGrid w:val="0"/>
          <w:color w:val="000000" w:themeColor="text1"/>
          <w:kern w:val="0"/>
          <w:sz w:val="24"/>
          <w:szCs w:val="24"/>
          <w14:textFill>
            <w14:solidFill>
              <w14:schemeClr w14:val="tx1"/>
            </w14:solidFill>
          </w14:textFill>
        </w:rPr>
      </w:pPr>
    </w:p>
    <w:p>
      <w:pPr>
        <w:tabs>
          <w:tab w:val="left" w:pos="6300"/>
        </w:tabs>
        <w:snapToGrid w:val="0"/>
        <w:spacing w:line="360" w:lineRule="auto"/>
        <w:rPr>
          <w:rFonts w:ascii="宋体"/>
          <w:snapToGrid w:val="0"/>
          <w:color w:val="000000" w:themeColor="text1"/>
          <w:kern w:val="0"/>
          <w:sz w:val="24"/>
          <w:szCs w:val="24"/>
          <w14:textFill>
            <w14:solidFill>
              <w14:schemeClr w14:val="tx1"/>
            </w14:solidFill>
          </w14:textFill>
        </w:rPr>
      </w:pPr>
    </w:p>
    <w:p>
      <w:pPr>
        <w:widowControl/>
        <w:spacing w:line="360" w:lineRule="auto"/>
        <w:jc w:val="left"/>
        <w:rPr>
          <w:rFonts w:ascii="宋体"/>
          <w:snapToGrid w:val="0"/>
          <w:color w:val="000000" w:themeColor="text1"/>
          <w:kern w:val="0"/>
          <w:sz w:val="24"/>
          <w:szCs w:val="24"/>
          <w14:textFill>
            <w14:solidFill>
              <w14:schemeClr w14:val="tx1"/>
            </w14:solidFill>
          </w14:textFill>
        </w:rPr>
      </w:pPr>
    </w:p>
    <w:p>
      <w:pPr>
        <w:widowControl/>
        <w:spacing w:line="360" w:lineRule="auto"/>
        <w:jc w:val="left"/>
        <w:rPr>
          <w:rFonts w:ascii="宋体"/>
          <w:snapToGrid w:val="0"/>
          <w:color w:val="000000" w:themeColor="text1"/>
          <w:kern w:val="0"/>
          <w:sz w:val="24"/>
          <w:szCs w:val="24"/>
          <w14:textFill>
            <w14:solidFill>
              <w14:schemeClr w14:val="tx1"/>
            </w14:solidFill>
          </w14:textFill>
        </w:rPr>
      </w:pPr>
    </w:p>
    <w:p>
      <w:pPr>
        <w:pStyle w:val="4"/>
        <w:numPr>
          <w:ilvl w:val="0"/>
          <w:numId w:val="5"/>
        </w:numPr>
        <w:ind w:firstLineChars="0"/>
        <w:jc w:val="center"/>
        <w:rPr>
          <w:b w:val="0"/>
          <w:color w:val="000000" w:themeColor="text1"/>
          <w:kern w:val="0"/>
          <w:szCs w:val="28"/>
          <w14:textFill>
            <w14:solidFill>
              <w14:schemeClr w14:val="tx1"/>
            </w14:solidFill>
          </w14:textFill>
        </w:rPr>
      </w:pPr>
      <w:r>
        <w:rPr>
          <w:rFonts w:hint="eastAsia"/>
          <w:color w:val="000000" w:themeColor="text1"/>
          <w:kern w:val="0"/>
          <w14:textFill>
            <w14:solidFill>
              <w14:schemeClr w14:val="tx1"/>
            </w14:solidFill>
          </w14:textFill>
        </w:rPr>
        <w:br w:type="page"/>
      </w:r>
      <w:r>
        <w:rPr>
          <w:rFonts w:hint="eastAsia" w:cs="Cambria"/>
          <w:bCs w:val="0"/>
          <w:snapToGrid/>
          <w:color w:val="000000" w:themeColor="text1"/>
          <w:sz w:val="28"/>
          <w:szCs w:val="28"/>
          <w14:textFill>
            <w14:solidFill>
              <w14:schemeClr w14:val="tx1"/>
            </w14:solidFill>
          </w14:textFill>
        </w:rPr>
        <w:t>参选人基本情况介绍，有权部门颁发的评估资质证明等</w:t>
      </w:r>
    </w:p>
    <w:tbl>
      <w:tblPr>
        <w:tblStyle w:val="19"/>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1012"/>
        <w:gridCol w:w="1694"/>
        <w:gridCol w:w="671"/>
        <w:gridCol w:w="507"/>
        <w:gridCol w:w="1245"/>
        <w:gridCol w:w="165"/>
        <w:gridCol w:w="679"/>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86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参选人名称</w:t>
            </w:r>
          </w:p>
        </w:tc>
        <w:tc>
          <w:tcPr>
            <w:tcW w:w="7318" w:type="dxa"/>
            <w:gridSpan w:val="8"/>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86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注册地址</w:t>
            </w:r>
          </w:p>
        </w:tc>
        <w:tc>
          <w:tcPr>
            <w:tcW w:w="3884" w:type="dxa"/>
            <w:gridSpan w:val="4"/>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p>
        </w:tc>
        <w:tc>
          <w:tcPr>
            <w:tcW w:w="2189" w:type="dxa"/>
            <w:gridSpan w:val="3"/>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6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p>
        </w:tc>
        <w:tc>
          <w:tcPr>
            <w:tcW w:w="101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tc>
        <w:tc>
          <w:tcPr>
            <w:tcW w:w="2872" w:type="dxa"/>
            <w:gridSpan w:val="3"/>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p>
        </w:tc>
        <w:tc>
          <w:tcPr>
            <w:tcW w:w="2189" w:type="dxa"/>
            <w:gridSpan w:val="3"/>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86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01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传真</w:t>
            </w:r>
          </w:p>
        </w:tc>
        <w:tc>
          <w:tcPr>
            <w:tcW w:w="2872" w:type="dxa"/>
            <w:gridSpan w:val="3"/>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网址</w:t>
            </w:r>
          </w:p>
        </w:tc>
        <w:tc>
          <w:tcPr>
            <w:tcW w:w="2189" w:type="dxa"/>
            <w:gridSpan w:val="3"/>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86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组织结构</w:t>
            </w:r>
          </w:p>
        </w:tc>
        <w:tc>
          <w:tcPr>
            <w:tcW w:w="7318"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86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101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姓名</w:t>
            </w:r>
          </w:p>
        </w:tc>
        <w:tc>
          <w:tcPr>
            <w:tcW w:w="1694"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17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技术职称</w:t>
            </w:r>
          </w:p>
        </w:tc>
        <w:tc>
          <w:tcPr>
            <w:tcW w:w="141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67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p>
        </w:tc>
        <w:tc>
          <w:tcPr>
            <w:tcW w:w="1345"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86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技术负责人</w:t>
            </w:r>
          </w:p>
        </w:tc>
        <w:tc>
          <w:tcPr>
            <w:tcW w:w="101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姓名</w:t>
            </w:r>
          </w:p>
        </w:tc>
        <w:tc>
          <w:tcPr>
            <w:tcW w:w="1694"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17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技术职称</w:t>
            </w:r>
          </w:p>
        </w:tc>
        <w:tc>
          <w:tcPr>
            <w:tcW w:w="141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67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p>
        </w:tc>
        <w:tc>
          <w:tcPr>
            <w:tcW w:w="1345"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86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成立时间</w:t>
            </w:r>
          </w:p>
        </w:tc>
        <w:tc>
          <w:tcPr>
            <w:tcW w:w="2706" w:type="dxa"/>
            <w:gridSpan w:val="2"/>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4612" w:type="dxa"/>
            <w:gridSpan w:val="6"/>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86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企业资质等级</w:t>
            </w:r>
          </w:p>
        </w:tc>
        <w:tc>
          <w:tcPr>
            <w:tcW w:w="2706" w:type="dxa"/>
            <w:gridSpan w:val="2"/>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67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其中</w:t>
            </w:r>
          </w:p>
        </w:tc>
        <w:tc>
          <w:tcPr>
            <w:tcW w:w="191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项目经理</w:t>
            </w:r>
          </w:p>
        </w:tc>
        <w:tc>
          <w:tcPr>
            <w:tcW w:w="2024" w:type="dxa"/>
            <w:gridSpan w:val="2"/>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86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营业执照号</w:t>
            </w:r>
          </w:p>
        </w:tc>
        <w:tc>
          <w:tcPr>
            <w:tcW w:w="2706" w:type="dxa"/>
            <w:gridSpan w:val="2"/>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671" w:type="dxa"/>
            <w:vMerge w:val="continue"/>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91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高级职称人员</w:t>
            </w:r>
          </w:p>
        </w:tc>
        <w:tc>
          <w:tcPr>
            <w:tcW w:w="2024" w:type="dxa"/>
            <w:gridSpan w:val="2"/>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86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注册资金</w:t>
            </w:r>
          </w:p>
        </w:tc>
        <w:tc>
          <w:tcPr>
            <w:tcW w:w="2706" w:type="dxa"/>
            <w:gridSpan w:val="2"/>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671" w:type="dxa"/>
            <w:vMerge w:val="continue"/>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91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中级职称人员</w:t>
            </w:r>
          </w:p>
        </w:tc>
        <w:tc>
          <w:tcPr>
            <w:tcW w:w="2024" w:type="dxa"/>
            <w:gridSpan w:val="2"/>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86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p>
        </w:tc>
        <w:tc>
          <w:tcPr>
            <w:tcW w:w="2706" w:type="dxa"/>
            <w:gridSpan w:val="2"/>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671" w:type="dxa"/>
            <w:vMerge w:val="continue"/>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91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初级职称人员</w:t>
            </w:r>
          </w:p>
        </w:tc>
        <w:tc>
          <w:tcPr>
            <w:tcW w:w="2024" w:type="dxa"/>
            <w:gridSpan w:val="2"/>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86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账号</w:t>
            </w:r>
          </w:p>
        </w:tc>
        <w:tc>
          <w:tcPr>
            <w:tcW w:w="2706" w:type="dxa"/>
            <w:gridSpan w:val="2"/>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671" w:type="dxa"/>
            <w:vMerge w:val="continue"/>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4"/>
                <w:szCs w:val="24"/>
                <w14:textFill>
                  <w14:solidFill>
                    <w14:schemeClr w14:val="tx1"/>
                  </w14:solidFill>
                </w14:textFill>
              </w:rPr>
            </w:pPr>
          </w:p>
        </w:tc>
        <w:tc>
          <w:tcPr>
            <w:tcW w:w="191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技工</w:t>
            </w:r>
          </w:p>
        </w:tc>
        <w:tc>
          <w:tcPr>
            <w:tcW w:w="2024" w:type="dxa"/>
            <w:gridSpan w:val="2"/>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jc w:val="center"/>
        </w:trPr>
        <w:tc>
          <w:tcPr>
            <w:tcW w:w="186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经营范围</w:t>
            </w:r>
          </w:p>
        </w:tc>
        <w:tc>
          <w:tcPr>
            <w:tcW w:w="7318" w:type="dxa"/>
            <w:gridSpan w:val="8"/>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86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w:t>
            </w:r>
          </w:p>
        </w:tc>
        <w:tc>
          <w:tcPr>
            <w:tcW w:w="7318" w:type="dxa"/>
            <w:gridSpan w:val="8"/>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r>
    </w:tbl>
    <w:p>
      <w:pPr>
        <w:widowControl/>
        <w:spacing w:line="360" w:lineRule="auto"/>
        <w:jc w:val="left"/>
        <w:rPr>
          <w:rFonts w:ascii="宋体"/>
          <w:b/>
          <w:snapToGrid w:val="0"/>
          <w:color w:val="000000" w:themeColor="text1"/>
          <w:kern w:val="0"/>
          <w:szCs w:val="28"/>
          <w14:textFill>
            <w14:solidFill>
              <w14:schemeClr w14:val="tx1"/>
            </w14:solidFill>
          </w14:textFill>
        </w:rPr>
      </w:pPr>
      <w:r>
        <w:rPr>
          <w:rFonts w:hint="eastAsia" w:ascii="宋体"/>
          <w:color w:val="000000" w:themeColor="text1"/>
          <w:sz w:val="20"/>
          <w:szCs w:val="21"/>
          <w14:textFill>
            <w14:solidFill>
              <w14:schemeClr w14:val="tx1"/>
            </w14:solidFill>
          </w14:textFill>
        </w:rPr>
        <w:t>注：附营业执照（副本）、资质证明复印件等。加盖鲜章。</w:t>
      </w:r>
    </w:p>
    <w:p>
      <w:pPr>
        <w:pStyle w:val="4"/>
        <w:numPr>
          <w:ilvl w:val="0"/>
          <w:numId w:val="5"/>
        </w:numPr>
        <w:bidi w:val="0"/>
      </w:pPr>
      <w:r>
        <w:rPr>
          <w:rFonts w:hint="eastAsia"/>
          <w:color w:val="000000" w:themeColor="text1"/>
          <w:kern w:val="0"/>
          <w:szCs w:val="28"/>
          <w14:textFill>
            <w14:solidFill>
              <w14:schemeClr w14:val="tx1"/>
            </w14:solidFill>
          </w14:textFill>
        </w:rPr>
        <w:br w:type="page"/>
      </w:r>
      <w:bookmarkStart w:id="123" w:name="_Toc378234770"/>
      <w:bookmarkStart w:id="124" w:name="_Toc478053903"/>
      <w:bookmarkStart w:id="125" w:name="_Toc472780356"/>
      <w:bookmarkStart w:id="126" w:name="_Toc378234584"/>
      <w:bookmarkStart w:id="127" w:name="_Toc478054435"/>
      <w:r>
        <w:rPr>
          <w:rFonts w:hint="eastAsia"/>
        </w:rPr>
        <w:t>法定代表人身份证明及授权委托书</w:t>
      </w:r>
      <w:bookmarkEnd w:id="123"/>
      <w:bookmarkEnd w:id="124"/>
      <w:bookmarkEnd w:id="125"/>
      <w:bookmarkEnd w:id="126"/>
      <w:bookmarkEnd w:id="127"/>
    </w:p>
    <w:p>
      <w:pPr>
        <w:pStyle w:val="5"/>
        <w:bidi w:val="0"/>
        <w:ind w:left="0" w:leftChars="0" w:right="0" w:rightChars="0" w:firstLine="0" w:firstLineChars="0"/>
        <w:jc w:val="center"/>
        <w:rPr>
          <w:b/>
          <w:bCs w:val="0"/>
        </w:rPr>
      </w:pPr>
      <w:r>
        <w:rPr>
          <w:rFonts w:hint="eastAsia"/>
          <w:b/>
          <w:bCs w:val="0"/>
        </w:rPr>
        <w:t>法定代表人身份证明书</w:t>
      </w:r>
    </w:p>
    <w:p>
      <w:pPr>
        <w:tabs>
          <w:tab w:val="left" w:pos="6300"/>
        </w:tabs>
        <w:snapToGrid w:val="0"/>
        <w:spacing w:line="360" w:lineRule="auto"/>
        <w:ind w:firstLine="570"/>
        <w:rPr>
          <w:rFonts w:ascii="宋体"/>
          <w:snapToGrid w:val="0"/>
          <w:color w:val="000000" w:themeColor="text1"/>
          <w:kern w:val="0"/>
          <w:sz w:val="24"/>
          <w14:textFill>
            <w14:solidFill>
              <w14:schemeClr w14:val="tx1"/>
            </w14:solidFill>
          </w14:textFill>
        </w:rPr>
      </w:pPr>
    </w:p>
    <w:p>
      <w:pPr>
        <w:tabs>
          <w:tab w:val="left" w:pos="6300"/>
        </w:tabs>
        <w:snapToGrid w:val="0"/>
        <w:spacing w:line="360" w:lineRule="auto"/>
        <w:ind w:firstLine="570"/>
        <w:rPr>
          <w:rFonts w:ascii="宋体"/>
          <w:snapToGrid w:val="0"/>
          <w:color w:val="000000" w:themeColor="text1"/>
          <w:kern w:val="0"/>
          <w:sz w:val="24"/>
          <w14:textFill>
            <w14:solidFill>
              <w14:schemeClr w14:val="tx1"/>
            </w14:solidFill>
          </w14:textFill>
        </w:rPr>
      </w:pPr>
      <w:r>
        <w:rPr>
          <w:rFonts w:hint="eastAsia" w:ascii="宋体"/>
          <w:snapToGrid w:val="0"/>
          <w:color w:val="000000" w:themeColor="text1"/>
          <w:kern w:val="0"/>
          <w:sz w:val="24"/>
          <w14:textFill>
            <w14:solidFill>
              <w14:schemeClr w14:val="tx1"/>
            </w14:solidFill>
          </w14:textFill>
        </w:rPr>
        <w:t>项目名称：</w:t>
      </w:r>
      <w:r>
        <w:rPr>
          <w:rFonts w:hint="eastAsia" w:ascii="宋体"/>
          <w:snapToGrid w:val="0"/>
          <w:color w:val="000000" w:themeColor="text1"/>
          <w:kern w:val="0"/>
          <w:sz w:val="24"/>
          <w:u w:val="single"/>
          <w14:textFill>
            <w14:solidFill>
              <w14:schemeClr w14:val="tx1"/>
            </w14:solidFill>
          </w14:textFill>
        </w:rPr>
        <w:t>____________________</w:t>
      </w:r>
    </w:p>
    <w:p>
      <w:pPr>
        <w:tabs>
          <w:tab w:val="left" w:pos="6300"/>
        </w:tabs>
        <w:snapToGrid w:val="0"/>
        <w:spacing w:line="360" w:lineRule="auto"/>
        <w:ind w:firstLine="570"/>
        <w:rPr>
          <w:rFonts w:ascii="宋体"/>
          <w:snapToGrid w:val="0"/>
          <w:color w:val="000000" w:themeColor="text1"/>
          <w:kern w:val="0"/>
          <w:sz w:val="24"/>
          <w14:textFill>
            <w14:solidFill>
              <w14:schemeClr w14:val="tx1"/>
            </w14:solidFill>
          </w14:textFill>
        </w:rPr>
      </w:pPr>
    </w:p>
    <w:p>
      <w:pPr>
        <w:tabs>
          <w:tab w:val="left" w:pos="6300"/>
        </w:tabs>
        <w:snapToGrid w:val="0"/>
        <w:spacing w:line="360" w:lineRule="auto"/>
        <w:ind w:firstLine="570"/>
        <w:rPr>
          <w:rFonts w:ascii="宋体"/>
          <w:snapToGrid w:val="0"/>
          <w:color w:val="000000" w:themeColor="text1"/>
          <w:kern w:val="0"/>
          <w:sz w:val="24"/>
          <w14:textFill>
            <w14:solidFill>
              <w14:schemeClr w14:val="tx1"/>
            </w14:solidFill>
          </w14:textFill>
        </w:rPr>
      </w:pPr>
      <w:r>
        <w:rPr>
          <w:rFonts w:hint="eastAsia" w:ascii="宋体"/>
          <w:snapToGrid w:val="0"/>
          <w:color w:val="000000" w:themeColor="text1"/>
          <w:kern w:val="0"/>
          <w:sz w:val="24"/>
          <w14:textFill>
            <w14:solidFill>
              <w14:schemeClr w14:val="tx1"/>
            </w14:solidFill>
          </w14:textFill>
        </w:rPr>
        <w:t>致：</w:t>
      </w:r>
      <w:r>
        <w:rPr>
          <w:rFonts w:hint="eastAsia" w:ascii="宋体"/>
          <w:snapToGrid w:val="0"/>
          <w:color w:val="000000" w:themeColor="text1"/>
          <w:kern w:val="0"/>
          <w:sz w:val="24"/>
          <w:u w:val="single"/>
          <w14:textFill>
            <w14:solidFill>
              <w14:schemeClr w14:val="tx1"/>
            </w14:solidFill>
          </w14:textFill>
        </w:rPr>
        <w:t>重庆三峡银行股份有限公司</w:t>
      </w:r>
      <w:r>
        <w:rPr>
          <w:rFonts w:hint="eastAsia" w:ascii="宋体"/>
          <w:snapToGrid w:val="0"/>
          <w:color w:val="000000" w:themeColor="text1"/>
          <w:kern w:val="0"/>
          <w:sz w:val="24"/>
          <w14:textFill>
            <w14:solidFill>
              <w14:schemeClr w14:val="tx1"/>
            </w14:solidFill>
          </w14:textFill>
        </w:rPr>
        <w:t>：</w:t>
      </w:r>
    </w:p>
    <w:p>
      <w:pPr>
        <w:tabs>
          <w:tab w:val="left" w:pos="6300"/>
        </w:tabs>
        <w:snapToGrid w:val="0"/>
        <w:spacing w:line="360" w:lineRule="auto"/>
        <w:ind w:firstLine="570"/>
        <w:rPr>
          <w:rFonts w:ascii="宋体"/>
          <w:snapToGrid w:val="0"/>
          <w:color w:val="000000" w:themeColor="text1"/>
          <w:kern w:val="0"/>
          <w:sz w:val="24"/>
          <w14:textFill>
            <w14:solidFill>
              <w14:schemeClr w14:val="tx1"/>
            </w14:solidFill>
          </w14:textFill>
        </w:rPr>
      </w:pPr>
      <w:r>
        <w:rPr>
          <w:rFonts w:hint="eastAsia" w:ascii="宋体"/>
          <w:snapToGrid w:val="0"/>
          <w:color w:val="000000" w:themeColor="text1"/>
          <w:kern w:val="0"/>
          <w:sz w:val="24"/>
          <w14:textFill>
            <w14:solidFill>
              <w14:schemeClr w14:val="tx1"/>
            </w14:solidFill>
          </w14:textFill>
        </w:rPr>
        <w:t>（法定代表人姓名）在（</w:t>
      </w:r>
      <w:r>
        <w:rPr>
          <w:rFonts w:hint="eastAsia" w:ascii="宋体" w:cs="Cambria"/>
          <w:snapToGrid w:val="0"/>
          <w:color w:val="000000" w:themeColor="text1"/>
          <w:kern w:val="0"/>
          <w:sz w:val="24"/>
          <w:szCs w:val="24"/>
          <w14:textFill>
            <w14:solidFill>
              <w14:schemeClr w14:val="tx1"/>
            </w14:solidFill>
          </w14:textFill>
        </w:rPr>
        <w:t>参选</w:t>
      </w:r>
      <w:r>
        <w:rPr>
          <w:rFonts w:hint="eastAsia" w:ascii="宋体"/>
          <w:snapToGrid w:val="0"/>
          <w:color w:val="000000" w:themeColor="text1"/>
          <w:kern w:val="0"/>
          <w:sz w:val="24"/>
          <w14:textFill>
            <w14:solidFill>
              <w14:schemeClr w14:val="tx1"/>
            </w14:solidFill>
          </w14:textFill>
        </w:rPr>
        <w:t>人名称）任（职务名称）职务，是（</w:t>
      </w:r>
      <w:r>
        <w:rPr>
          <w:rFonts w:hint="eastAsia" w:ascii="宋体" w:cs="Cambria"/>
          <w:snapToGrid w:val="0"/>
          <w:color w:val="000000" w:themeColor="text1"/>
          <w:kern w:val="0"/>
          <w:sz w:val="24"/>
          <w:szCs w:val="24"/>
          <w14:textFill>
            <w14:solidFill>
              <w14:schemeClr w14:val="tx1"/>
            </w14:solidFill>
          </w14:textFill>
        </w:rPr>
        <w:t>参选</w:t>
      </w:r>
      <w:r>
        <w:rPr>
          <w:rFonts w:hint="eastAsia" w:ascii="宋体"/>
          <w:snapToGrid w:val="0"/>
          <w:color w:val="000000" w:themeColor="text1"/>
          <w:kern w:val="0"/>
          <w:sz w:val="24"/>
          <w14:textFill>
            <w14:solidFill>
              <w14:schemeClr w14:val="tx1"/>
            </w14:solidFill>
          </w14:textFill>
        </w:rPr>
        <w:t>人名称）的法定代表人。</w:t>
      </w:r>
    </w:p>
    <w:p>
      <w:pPr>
        <w:tabs>
          <w:tab w:val="left" w:pos="6300"/>
        </w:tabs>
        <w:snapToGrid w:val="0"/>
        <w:spacing w:line="360" w:lineRule="auto"/>
        <w:ind w:firstLine="570"/>
        <w:rPr>
          <w:rFonts w:ascii="宋体"/>
          <w:snapToGrid w:val="0"/>
          <w:color w:val="000000" w:themeColor="text1"/>
          <w:kern w:val="0"/>
          <w:sz w:val="24"/>
          <w14:textFill>
            <w14:solidFill>
              <w14:schemeClr w14:val="tx1"/>
            </w14:solidFill>
          </w14:textFill>
        </w:rPr>
      </w:pPr>
    </w:p>
    <w:p>
      <w:pPr>
        <w:tabs>
          <w:tab w:val="left" w:pos="6300"/>
        </w:tabs>
        <w:snapToGrid w:val="0"/>
        <w:spacing w:line="360" w:lineRule="auto"/>
        <w:ind w:firstLine="570"/>
        <w:rPr>
          <w:rFonts w:ascii="宋体"/>
          <w:snapToGrid w:val="0"/>
          <w:color w:val="000000" w:themeColor="text1"/>
          <w:kern w:val="0"/>
          <w:sz w:val="24"/>
          <w14:textFill>
            <w14:solidFill>
              <w14:schemeClr w14:val="tx1"/>
            </w14:solidFill>
          </w14:textFill>
        </w:rPr>
      </w:pPr>
      <w:r>
        <w:rPr>
          <w:rFonts w:hint="eastAsia" w:ascii="宋体"/>
          <w:snapToGrid w:val="0"/>
          <w:color w:val="000000" w:themeColor="text1"/>
          <w:kern w:val="0"/>
          <w:sz w:val="24"/>
          <w14:textFill>
            <w14:solidFill>
              <w14:schemeClr w14:val="tx1"/>
            </w14:solidFill>
          </w14:textFill>
        </w:rPr>
        <w:t>特此证明。</w:t>
      </w:r>
    </w:p>
    <w:p>
      <w:pPr>
        <w:tabs>
          <w:tab w:val="left" w:pos="6300"/>
        </w:tabs>
        <w:snapToGrid w:val="0"/>
        <w:spacing w:line="360" w:lineRule="auto"/>
        <w:ind w:firstLine="570"/>
        <w:rPr>
          <w:rFonts w:ascii="宋体"/>
          <w:snapToGrid w:val="0"/>
          <w:color w:val="000000" w:themeColor="text1"/>
          <w:kern w:val="0"/>
          <w:sz w:val="24"/>
          <w14:textFill>
            <w14:solidFill>
              <w14:schemeClr w14:val="tx1"/>
            </w14:solidFill>
          </w14:textFill>
        </w:rPr>
      </w:pPr>
    </w:p>
    <w:p>
      <w:pPr>
        <w:tabs>
          <w:tab w:val="left" w:pos="6300"/>
        </w:tabs>
        <w:snapToGrid w:val="0"/>
        <w:spacing w:line="360" w:lineRule="auto"/>
        <w:ind w:firstLine="570"/>
        <w:rPr>
          <w:rFonts w:ascii="宋体"/>
          <w:snapToGrid w:val="0"/>
          <w:color w:val="000000" w:themeColor="text1"/>
          <w:kern w:val="0"/>
          <w:sz w:val="24"/>
          <w14:textFill>
            <w14:solidFill>
              <w14:schemeClr w14:val="tx1"/>
            </w14:solidFill>
          </w14:textFill>
        </w:rPr>
      </w:pPr>
    </w:p>
    <w:p>
      <w:pPr>
        <w:tabs>
          <w:tab w:val="left" w:pos="6300"/>
        </w:tabs>
        <w:snapToGrid w:val="0"/>
        <w:spacing w:line="360" w:lineRule="auto"/>
        <w:ind w:firstLine="570"/>
        <w:rPr>
          <w:rFonts w:ascii="宋体"/>
          <w:snapToGrid w:val="0"/>
          <w:color w:val="000000" w:themeColor="text1"/>
          <w:kern w:val="0"/>
          <w:sz w:val="24"/>
          <w14:textFill>
            <w14:solidFill>
              <w14:schemeClr w14:val="tx1"/>
            </w14:solidFill>
          </w14:textFill>
        </w:rPr>
      </w:pPr>
    </w:p>
    <w:p>
      <w:pPr>
        <w:tabs>
          <w:tab w:val="left" w:pos="6300"/>
        </w:tabs>
        <w:snapToGrid w:val="0"/>
        <w:spacing w:line="360" w:lineRule="auto"/>
        <w:ind w:firstLine="570"/>
        <w:rPr>
          <w:rFonts w:ascii="宋体"/>
          <w:snapToGrid w:val="0"/>
          <w:color w:val="000000" w:themeColor="text1"/>
          <w:kern w:val="0"/>
          <w:sz w:val="24"/>
          <w14:textFill>
            <w14:solidFill>
              <w14:schemeClr w14:val="tx1"/>
            </w14:solidFill>
          </w14:textFill>
        </w:rPr>
      </w:pPr>
      <w:r>
        <w:rPr>
          <w:rFonts w:hint="eastAsia" w:ascii="宋体"/>
          <w:snapToGrid w:val="0"/>
          <w:color w:val="000000" w:themeColor="text1"/>
          <w:kern w:val="0"/>
          <w:sz w:val="24"/>
          <w14:textFill>
            <w14:solidFill>
              <w14:schemeClr w14:val="tx1"/>
            </w14:solidFill>
          </w14:textFill>
        </w:rPr>
        <w:t>（</w:t>
      </w:r>
      <w:r>
        <w:rPr>
          <w:rFonts w:hint="eastAsia" w:ascii="宋体" w:cs="Cambria"/>
          <w:snapToGrid w:val="0"/>
          <w:color w:val="000000" w:themeColor="text1"/>
          <w:kern w:val="0"/>
          <w:sz w:val="24"/>
          <w:szCs w:val="24"/>
          <w14:textFill>
            <w14:solidFill>
              <w14:schemeClr w14:val="tx1"/>
            </w14:solidFill>
          </w14:textFill>
        </w:rPr>
        <w:t>参选</w:t>
      </w:r>
      <w:r>
        <w:rPr>
          <w:rFonts w:hint="eastAsia" w:ascii="宋体"/>
          <w:snapToGrid w:val="0"/>
          <w:color w:val="000000" w:themeColor="text1"/>
          <w:kern w:val="0"/>
          <w:sz w:val="24"/>
          <w14:textFill>
            <w14:solidFill>
              <w14:schemeClr w14:val="tx1"/>
            </w14:solidFill>
          </w14:textFill>
        </w:rPr>
        <w:t>人公章）</w:t>
      </w:r>
    </w:p>
    <w:p>
      <w:pPr>
        <w:tabs>
          <w:tab w:val="left" w:pos="6300"/>
        </w:tabs>
        <w:snapToGrid w:val="0"/>
        <w:spacing w:line="360" w:lineRule="auto"/>
        <w:ind w:firstLine="570"/>
        <w:rPr>
          <w:rFonts w:ascii="宋体"/>
          <w:snapToGrid w:val="0"/>
          <w:color w:val="000000" w:themeColor="text1"/>
          <w:kern w:val="0"/>
          <w:sz w:val="24"/>
          <w14:textFill>
            <w14:solidFill>
              <w14:schemeClr w14:val="tx1"/>
            </w14:solidFill>
          </w14:textFill>
        </w:rPr>
      </w:pPr>
    </w:p>
    <w:p>
      <w:pPr>
        <w:tabs>
          <w:tab w:val="left" w:pos="6300"/>
        </w:tabs>
        <w:snapToGrid w:val="0"/>
        <w:spacing w:line="360" w:lineRule="auto"/>
        <w:ind w:firstLine="570"/>
        <w:jc w:val="right"/>
        <w:rPr>
          <w:rFonts w:ascii="宋体"/>
          <w:snapToGrid w:val="0"/>
          <w:color w:val="000000" w:themeColor="text1"/>
          <w:kern w:val="0"/>
          <w:sz w:val="24"/>
          <w14:textFill>
            <w14:solidFill>
              <w14:schemeClr w14:val="tx1"/>
            </w14:solidFill>
          </w14:textFill>
        </w:rPr>
      </w:pPr>
      <w:r>
        <w:rPr>
          <w:rFonts w:hint="eastAsia" w:ascii="宋体"/>
          <w:snapToGrid w:val="0"/>
          <w:color w:val="000000" w:themeColor="text1"/>
          <w:kern w:val="0"/>
          <w:sz w:val="24"/>
          <w14:textFill>
            <w14:solidFill>
              <w14:schemeClr w14:val="tx1"/>
            </w14:solidFill>
          </w14:textFill>
        </w:rPr>
        <w:t>年</w:t>
      </w:r>
      <w:r>
        <w:rPr>
          <w:rFonts w:hint="eastAsia" w:ascii="宋体"/>
          <w:snapToGrid w:val="0"/>
          <w:color w:val="000000" w:themeColor="text1"/>
          <w:kern w:val="0"/>
          <w:sz w:val="24"/>
          <w:lang w:val="en-US" w:eastAsia="zh-CN"/>
          <w14:textFill>
            <w14:solidFill>
              <w14:schemeClr w14:val="tx1"/>
            </w14:solidFill>
          </w14:textFill>
        </w:rPr>
        <w:t xml:space="preserve">    </w:t>
      </w:r>
      <w:r>
        <w:rPr>
          <w:rFonts w:hint="eastAsia" w:ascii="宋体"/>
          <w:snapToGrid w:val="0"/>
          <w:color w:val="000000" w:themeColor="text1"/>
          <w:kern w:val="0"/>
          <w:sz w:val="24"/>
          <w14:textFill>
            <w14:solidFill>
              <w14:schemeClr w14:val="tx1"/>
            </w14:solidFill>
          </w14:textFill>
        </w:rPr>
        <w:t>月</w:t>
      </w:r>
      <w:r>
        <w:rPr>
          <w:rFonts w:hint="eastAsia" w:ascii="宋体"/>
          <w:snapToGrid w:val="0"/>
          <w:color w:val="000000" w:themeColor="text1"/>
          <w:kern w:val="0"/>
          <w:sz w:val="24"/>
          <w:lang w:val="en-US" w:eastAsia="zh-CN"/>
          <w14:textFill>
            <w14:solidFill>
              <w14:schemeClr w14:val="tx1"/>
            </w14:solidFill>
          </w14:textFill>
        </w:rPr>
        <w:t xml:space="preserve">    </w:t>
      </w:r>
      <w:r>
        <w:rPr>
          <w:rFonts w:hint="eastAsia" w:ascii="宋体"/>
          <w:snapToGrid w:val="0"/>
          <w:color w:val="000000" w:themeColor="text1"/>
          <w:kern w:val="0"/>
          <w:sz w:val="24"/>
          <w14:textFill>
            <w14:solidFill>
              <w14:schemeClr w14:val="tx1"/>
            </w14:solidFill>
          </w14:textFill>
        </w:rPr>
        <w:t>日</w:t>
      </w:r>
    </w:p>
    <w:p>
      <w:pPr>
        <w:tabs>
          <w:tab w:val="left" w:pos="6300"/>
        </w:tabs>
        <w:snapToGrid w:val="0"/>
        <w:spacing w:line="360" w:lineRule="auto"/>
        <w:ind w:firstLine="570"/>
        <w:rPr>
          <w:rFonts w:ascii="宋体"/>
          <w:snapToGrid w:val="0"/>
          <w:color w:val="000000" w:themeColor="text1"/>
          <w:kern w:val="0"/>
          <w:sz w:val="24"/>
          <w14:textFill>
            <w14:solidFill>
              <w14:schemeClr w14:val="tx1"/>
            </w14:solidFill>
          </w14:textFill>
        </w:rPr>
      </w:pPr>
    </w:p>
    <w:p>
      <w:pPr>
        <w:tabs>
          <w:tab w:val="left" w:pos="6300"/>
        </w:tabs>
        <w:snapToGrid w:val="0"/>
        <w:spacing w:line="360" w:lineRule="auto"/>
        <w:ind w:firstLine="570"/>
        <w:rPr>
          <w:rFonts w:ascii="宋体"/>
          <w:snapToGrid w:val="0"/>
          <w:color w:val="000000" w:themeColor="text1"/>
          <w:kern w:val="0"/>
          <w:sz w:val="24"/>
          <w14:textFill>
            <w14:solidFill>
              <w14:schemeClr w14:val="tx1"/>
            </w14:solidFill>
          </w14:textFill>
        </w:rPr>
      </w:pPr>
      <w:r>
        <w:rPr>
          <w:rFonts w:hint="eastAsia" w:ascii="宋体"/>
          <w:snapToGrid w:val="0"/>
          <w:color w:val="000000" w:themeColor="text1"/>
          <w:kern w:val="0"/>
          <w:sz w:val="24"/>
          <w14:textFill>
            <w14:solidFill>
              <w14:schemeClr w14:val="tx1"/>
            </w14:solidFill>
          </w14:textFill>
        </w:rPr>
        <w:t>（附：法定代表人身份证正反面复印件）</w:t>
      </w:r>
    </w:p>
    <w:p>
      <w:pPr>
        <w:tabs>
          <w:tab w:val="left" w:pos="6300"/>
        </w:tabs>
        <w:snapToGrid w:val="0"/>
        <w:spacing w:line="360" w:lineRule="auto"/>
        <w:ind w:firstLine="570"/>
        <w:rPr>
          <w:rFonts w:ascii="宋体"/>
          <w:snapToGrid w:val="0"/>
          <w:color w:val="000000" w:themeColor="text1"/>
          <w:kern w:val="0"/>
          <w:sz w:val="24"/>
          <w14:textFill>
            <w14:solidFill>
              <w14:schemeClr w14:val="tx1"/>
            </w14:solidFill>
          </w14:textFill>
        </w:rPr>
      </w:pPr>
    </w:p>
    <w:p>
      <w:pPr>
        <w:tabs>
          <w:tab w:val="left" w:pos="6300"/>
        </w:tabs>
        <w:snapToGrid w:val="0"/>
        <w:spacing w:line="360" w:lineRule="auto"/>
        <w:ind w:firstLine="570"/>
        <w:rPr>
          <w:rFonts w:ascii="宋体"/>
          <w:snapToGrid w:val="0"/>
          <w:color w:val="000000" w:themeColor="text1"/>
          <w:kern w:val="0"/>
          <w:sz w:val="24"/>
          <w14:textFill>
            <w14:solidFill>
              <w14:schemeClr w14:val="tx1"/>
            </w14:solidFill>
          </w14:textFill>
        </w:rPr>
      </w:pPr>
    </w:p>
    <w:p>
      <w:pPr>
        <w:tabs>
          <w:tab w:val="left" w:pos="6300"/>
        </w:tabs>
        <w:snapToGrid w:val="0"/>
        <w:spacing w:line="360" w:lineRule="auto"/>
        <w:ind w:firstLine="570"/>
        <w:rPr>
          <w:rFonts w:ascii="宋体"/>
          <w:snapToGrid w:val="0"/>
          <w:color w:val="000000" w:themeColor="text1"/>
          <w:kern w:val="0"/>
          <w:sz w:val="24"/>
          <w14:textFill>
            <w14:solidFill>
              <w14:schemeClr w14:val="tx1"/>
            </w14:solidFill>
          </w14:textFill>
        </w:rPr>
      </w:pPr>
    </w:p>
    <w:p>
      <w:pPr>
        <w:jc w:val="center"/>
        <w:outlineLvl w:val="2"/>
        <w:rPr>
          <w:rStyle w:val="32"/>
          <w:b/>
          <w:bCs w:val="0"/>
        </w:rPr>
      </w:pPr>
      <w:r>
        <w:rPr>
          <w:rFonts w:hint="eastAsia"/>
          <w:snapToGrid w:val="0"/>
          <w:color w:val="000000" w:themeColor="text1"/>
          <w:kern w:val="0"/>
          <w14:textFill>
            <w14:solidFill>
              <w14:schemeClr w14:val="tx1"/>
            </w14:solidFill>
          </w14:textFill>
        </w:rPr>
        <w:br w:type="column"/>
      </w:r>
      <w:r>
        <w:rPr>
          <w:rStyle w:val="32"/>
          <w:rFonts w:hint="eastAsia"/>
          <w:b/>
          <w:bCs w:val="0"/>
        </w:rPr>
        <w:t>法定代表人授权委托书</w:t>
      </w:r>
    </w:p>
    <w:p>
      <w:pPr>
        <w:tabs>
          <w:tab w:val="left" w:pos="6300"/>
        </w:tabs>
        <w:snapToGrid w:val="0"/>
        <w:spacing w:line="360" w:lineRule="auto"/>
        <w:ind w:firstLine="570"/>
        <w:rPr>
          <w:rFonts w:ascii="宋体"/>
          <w:snapToGrid w:val="0"/>
          <w:color w:val="000000" w:themeColor="text1"/>
          <w:kern w:val="0"/>
          <w:sz w:val="24"/>
          <w14:textFill>
            <w14:solidFill>
              <w14:schemeClr w14:val="tx1"/>
            </w14:solidFill>
          </w14:textFill>
        </w:rPr>
      </w:pPr>
    </w:p>
    <w:p>
      <w:pPr>
        <w:tabs>
          <w:tab w:val="left" w:pos="6300"/>
        </w:tabs>
        <w:snapToGrid w:val="0"/>
        <w:spacing w:line="360" w:lineRule="auto"/>
        <w:ind w:firstLine="480" w:firstLineChars="200"/>
        <w:rPr>
          <w:rFonts w:ascii="宋体"/>
          <w:snapToGrid w:val="0"/>
          <w:color w:val="000000" w:themeColor="text1"/>
          <w:kern w:val="0"/>
          <w:sz w:val="24"/>
          <w14:textFill>
            <w14:solidFill>
              <w14:schemeClr w14:val="tx1"/>
            </w14:solidFill>
          </w14:textFill>
        </w:rPr>
      </w:pPr>
      <w:r>
        <w:rPr>
          <w:rFonts w:hint="eastAsia" w:ascii="宋体"/>
          <w:snapToGrid w:val="0"/>
          <w:color w:val="000000" w:themeColor="text1"/>
          <w:kern w:val="0"/>
          <w:sz w:val="24"/>
          <w:szCs w:val="28"/>
          <w14:textFill>
            <w14:solidFill>
              <w14:schemeClr w14:val="tx1"/>
            </w14:solidFill>
          </w14:textFill>
        </w:rPr>
        <w:t>项目名称</w:t>
      </w:r>
      <w:r>
        <w:rPr>
          <w:rFonts w:hint="eastAsia" w:ascii="宋体"/>
          <w:snapToGrid w:val="0"/>
          <w:color w:val="000000" w:themeColor="text1"/>
          <w:kern w:val="0"/>
          <w:sz w:val="24"/>
          <w14:textFill>
            <w14:solidFill>
              <w14:schemeClr w14:val="tx1"/>
            </w14:solidFill>
          </w14:textFill>
        </w:rPr>
        <w:t>：</w:t>
      </w:r>
      <w:r>
        <w:rPr>
          <w:rFonts w:hint="eastAsia" w:ascii="宋体"/>
          <w:snapToGrid w:val="0"/>
          <w:color w:val="000000" w:themeColor="text1"/>
          <w:kern w:val="0"/>
          <w:sz w:val="24"/>
          <w:szCs w:val="24"/>
          <w:u w:val="single"/>
          <w14:textFill>
            <w14:solidFill>
              <w14:schemeClr w14:val="tx1"/>
            </w14:solidFill>
          </w14:textFill>
        </w:rPr>
        <w:t>___________________</w:t>
      </w:r>
    </w:p>
    <w:p>
      <w:pPr>
        <w:tabs>
          <w:tab w:val="left" w:pos="6300"/>
        </w:tabs>
        <w:snapToGrid w:val="0"/>
        <w:spacing w:line="360" w:lineRule="auto"/>
        <w:ind w:firstLine="570"/>
        <w:rPr>
          <w:rFonts w:ascii="宋体"/>
          <w:snapToGrid w:val="0"/>
          <w:color w:val="000000" w:themeColor="text1"/>
          <w:kern w:val="0"/>
          <w:sz w:val="24"/>
          <w14:textFill>
            <w14:solidFill>
              <w14:schemeClr w14:val="tx1"/>
            </w14:solidFill>
          </w14:textFill>
        </w:rPr>
      </w:pPr>
    </w:p>
    <w:p>
      <w:pPr>
        <w:tabs>
          <w:tab w:val="left" w:pos="6300"/>
        </w:tabs>
        <w:snapToGrid w:val="0"/>
        <w:spacing w:line="360" w:lineRule="auto"/>
        <w:ind w:firstLine="480" w:firstLineChars="200"/>
        <w:rPr>
          <w:rFonts w:ascii="宋体"/>
          <w:snapToGrid w:val="0"/>
          <w:color w:val="000000" w:themeColor="text1"/>
          <w:kern w:val="0"/>
          <w:sz w:val="24"/>
          <w14:textFill>
            <w14:solidFill>
              <w14:schemeClr w14:val="tx1"/>
            </w14:solidFill>
          </w14:textFill>
        </w:rPr>
      </w:pPr>
      <w:r>
        <w:rPr>
          <w:rFonts w:hint="eastAsia" w:ascii="宋体"/>
          <w:snapToGrid w:val="0"/>
          <w:color w:val="000000" w:themeColor="text1"/>
          <w:kern w:val="0"/>
          <w:sz w:val="24"/>
          <w14:textFill>
            <w14:solidFill>
              <w14:schemeClr w14:val="tx1"/>
            </w14:solidFill>
          </w14:textFill>
        </w:rPr>
        <w:t>致：</w:t>
      </w:r>
      <w:r>
        <w:rPr>
          <w:rFonts w:hint="eastAsia" w:ascii="宋体"/>
          <w:snapToGrid w:val="0"/>
          <w:color w:val="000000" w:themeColor="text1"/>
          <w:kern w:val="0"/>
          <w:sz w:val="24"/>
          <w:u w:val="single"/>
          <w14:textFill>
            <w14:solidFill>
              <w14:schemeClr w14:val="tx1"/>
            </w14:solidFill>
          </w14:textFill>
        </w:rPr>
        <w:t>重庆三峡银行股份有限公司</w:t>
      </w:r>
      <w:r>
        <w:rPr>
          <w:rFonts w:hint="eastAsia" w:ascii="宋体"/>
          <w:snapToGrid w:val="0"/>
          <w:color w:val="000000" w:themeColor="text1"/>
          <w:kern w:val="0"/>
          <w:sz w:val="24"/>
          <w14:textFill>
            <w14:solidFill>
              <w14:schemeClr w14:val="tx1"/>
            </w14:solidFill>
          </w14:textFill>
        </w:rPr>
        <w:t>：</w:t>
      </w:r>
    </w:p>
    <w:p>
      <w:pPr>
        <w:tabs>
          <w:tab w:val="left" w:pos="6300"/>
        </w:tabs>
        <w:snapToGrid w:val="0"/>
        <w:spacing w:line="360" w:lineRule="auto"/>
        <w:ind w:firstLine="480" w:firstLineChars="200"/>
        <w:rPr>
          <w:rFonts w:ascii="宋体"/>
          <w:snapToGrid w:val="0"/>
          <w:color w:val="000000" w:themeColor="text1"/>
          <w:kern w:val="0"/>
          <w:sz w:val="24"/>
          <w14:textFill>
            <w14:solidFill>
              <w14:schemeClr w14:val="tx1"/>
            </w14:solidFill>
          </w14:textFill>
        </w:rPr>
      </w:pPr>
      <w:r>
        <w:rPr>
          <w:rFonts w:hint="eastAsia" w:ascii="宋体"/>
          <w:snapToGrid w:val="0"/>
          <w:color w:val="000000" w:themeColor="text1"/>
          <w:kern w:val="0"/>
          <w:sz w:val="24"/>
          <w14:textFill>
            <w14:solidFill>
              <w14:schemeClr w14:val="tx1"/>
            </w14:solidFill>
          </w14:textFill>
        </w:rPr>
        <w:t>（</w:t>
      </w:r>
      <w:r>
        <w:rPr>
          <w:rFonts w:hint="eastAsia" w:ascii="宋体" w:cs="Cambria"/>
          <w:snapToGrid w:val="0"/>
          <w:color w:val="000000" w:themeColor="text1"/>
          <w:kern w:val="0"/>
          <w:sz w:val="24"/>
          <w:szCs w:val="24"/>
          <w14:textFill>
            <w14:solidFill>
              <w14:schemeClr w14:val="tx1"/>
            </w14:solidFill>
          </w14:textFill>
        </w:rPr>
        <w:t>参选</w:t>
      </w:r>
      <w:r>
        <w:rPr>
          <w:rFonts w:hint="eastAsia" w:ascii="宋体"/>
          <w:snapToGrid w:val="0"/>
          <w:color w:val="000000" w:themeColor="text1"/>
          <w:kern w:val="0"/>
          <w:sz w:val="24"/>
          <w14:textFill>
            <w14:solidFill>
              <w14:schemeClr w14:val="tx1"/>
            </w14:solidFill>
          </w14:textFill>
        </w:rPr>
        <w:t>人法定代表人名称）是（</w:t>
      </w:r>
      <w:r>
        <w:rPr>
          <w:rFonts w:hint="eastAsia" w:ascii="宋体" w:cs="Cambria"/>
          <w:snapToGrid w:val="0"/>
          <w:color w:val="000000" w:themeColor="text1"/>
          <w:kern w:val="0"/>
          <w:sz w:val="24"/>
          <w:szCs w:val="24"/>
          <w14:textFill>
            <w14:solidFill>
              <w14:schemeClr w14:val="tx1"/>
            </w14:solidFill>
          </w14:textFill>
        </w:rPr>
        <w:t>参选</w:t>
      </w:r>
      <w:r>
        <w:rPr>
          <w:rFonts w:hint="eastAsia" w:ascii="宋体"/>
          <w:snapToGrid w:val="0"/>
          <w:color w:val="000000" w:themeColor="text1"/>
          <w:kern w:val="0"/>
          <w:sz w:val="24"/>
          <w14:textFill>
            <w14:solidFill>
              <w14:schemeClr w14:val="tx1"/>
            </w14:solidFill>
          </w14:textFill>
        </w:rPr>
        <w:t>人名称）的法定代表人，特授权（被授权人姓名及身份证代码）代表我单位全权办理上述项目的</w:t>
      </w:r>
      <w:r>
        <w:rPr>
          <w:rFonts w:hint="eastAsia" w:ascii="宋体" w:cs="Cambria"/>
          <w:snapToGrid w:val="0"/>
          <w:color w:val="000000" w:themeColor="text1"/>
          <w:kern w:val="0"/>
          <w:sz w:val="24"/>
          <w:szCs w:val="24"/>
          <w14:textFill>
            <w14:solidFill>
              <w14:schemeClr w14:val="tx1"/>
            </w14:solidFill>
          </w14:textFill>
        </w:rPr>
        <w:t>参选</w:t>
      </w:r>
      <w:r>
        <w:rPr>
          <w:rFonts w:hint="eastAsia" w:ascii="宋体"/>
          <w:snapToGrid w:val="0"/>
          <w:color w:val="000000" w:themeColor="text1"/>
          <w:kern w:val="0"/>
          <w:sz w:val="24"/>
          <w14:textFill>
            <w14:solidFill>
              <w14:schemeClr w14:val="tx1"/>
            </w14:solidFill>
          </w14:textFill>
        </w:rPr>
        <w:t>、谈判、签约等具体工作，并签署全部有关文件、协议及合同。</w:t>
      </w:r>
    </w:p>
    <w:p>
      <w:pPr>
        <w:tabs>
          <w:tab w:val="left" w:pos="6300"/>
        </w:tabs>
        <w:snapToGrid w:val="0"/>
        <w:spacing w:line="360" w:lineRule="auto"/>
        <w:ind w:firstLine="480" w:firstLineChars="200"/>
        <w:rPr>
          <w:rFonts w:ascii="宋体"/>
          <w:snapToGrid w:val="0"/>
          <w:color w:val="000000" w:themeColor="text1"/>
          <w:kern w:val="0"/>
          <w:sz w:val="24"/>
          <w14:textFill>
            <w14:solidFill>
              <w14:schemeClr w14:val="tx1"/>
            </w14:solidFill>
          </w14:textFill>
        </w:rPr>
      </w:pPr>
      <w:r>
        <w:rPr>
          <w:rFonts w:hint="eastAsia" w:ascii="宋体"/>
          <w:snapToGrid w:val="0"/>
          <w:color w:val="000000" w:themeColor="text1"/>
          <w:kern w:val="0"/>
          <w:sz w:val="24"/>
          <w14:textFill>
            <w14:solidFill>
              <w14:schemeClr w14:val="tx1"/>
            </w14:solidFill>
          </w14:textFill>
        </w:rPr>
        <w:t>我单位对被授权人的签字负全部责任。</w:t>
      </w:r>
    </w:p>
    <w:p>
      <w:pPr>
        <w:tabs>
          <w:tab w:val="left" w:pos="6300"/>
        </w:tabs>
        <w:snapToGrid w:val="0"/>
        <w:spacing w:line="360" w:lineRule="auto"/>
        <w:ind w:firstLine="480" w:firstLineChars="200"/>
        <w:rPr>
          <w:rFonts w:ascii="宋体"/>
          <w:snapToGrid w:val="0"/>
          <w:color w:val="000000" w:themeColor="text1"/>
          <w:kern w:val="0"/>
          <w:sz w:val="24"/>
          <w14:textFill>
            <w14:solidFill>
              <w14:schemeClr w14:val="tx1"/>
            </w14:solidFill>
          </w14:textFill>
        </w:rPr>
      </w:pPr>
      <w:r>
        <w:rPr>
          <w:rFonts w:hint="eastAsia" w:ascii="宋体"/>
          <w:snapToGrid w:val="0"/>
          <w:color w:val="000000" w:themeColor="text1"/>
          <w:kern w:val="0"/>
          <w:sz w:val="24"/>
          <w14:textFill>
            <w14:solidFill>
              <w14:schemeClr w14:val="tx1"/>
            </w14:solidFill>
          </w14:textFill>
        </w:rPr>
        <w:t>在撤消授权的书面通知以前，本授权书一直有效。被授权人在授权书有效期内签署的所有文件不因授权的撤消而失效。</w:t>
      </w:r>
    </w:p>
    <w:p>
      <w:pPr>
        <w:tabs>
          <w:tab w:val="left" w:pos="6300"/>
        </w:tabs>
        <w:snapToGrid w:val="0"/>
        <w:spacing w:line="360" w:lineRule="auto"/>
        <w:ind w:firstLine="570"/>
        <w:rPr>
          <w:rFonts w:ascii="宋体"/>
          <w:snapToGrid w:val="0"/>
          <w:color w:val="000000" w:themeColor="text1"/>
          <w:kern w:val="0"/>
          <w:sz w:val="24"/>
          <w14:textFill>
            <w14:solidFill>
              <w14:schemeClr w14:val="tx1"/>
            </w14:solidFill>
          </w14:textFill>
        </w:rPr>
      </w:pPr>
    </w:p>
    <w:p>
      <w:pPr>
        <w:tabs>
          <w:tab w:val="left" w:pos="6300"/>
        </w:tabs>
        <w:snapToGrid w:val="0"/>
        <w:spacing w:line="360" w:lineRule="auto"/>
        <w:ind w:firstLine="570"/>
        <w:rPr>
          <w:rFonts w:ascii="宋体"/>
          <w:snapToGrid w:val="0"/>
          <w:color w:val="000000" w:themeColor="text1"/>
          <w:kern w:val="0"/>
          <w:sz w:val="24"/>
          <w14:textFill>
            <w14:solidFill>
              <w14:schemeClr w14:val="tx1"/>
            </w14:solidFill>
          </w14:textFill>
        </w:rPr>
      </w:pPr>
    </w:p>
    <w:p>
      <w:pPr>
        <w:tabs>
          <w:tab w:val="left" w:pos="6300"/>
        </w:tabs>
        <w:snapToGrid w:val="0"/>
        <w:spacing w:line="360" w:lineRule="auto"/>
        <w:ind w:firstLine="570"/>
        <w:rPr>
          <w:rFonts w:ascii="宋体"/>
          <w:snapToGrid w:val="0"/>
          <w:color w:val="000000" w:themeColor="text1"/>
          <w:kern w:val="0"/>
          <w:sz w:val="24"/>
          <w14:textFill>
            <w14:solidFill>
              <w14:schemeClr w14:val="tx1"/>
            </w14:solidFill>
          </w14:textFill>
        </w:rPr>
      </w:pPr>
      <w:r>
        <w:rPr>
          <w:rFonts w:hint="eastAsia" w:ascii="宋体"/>
          <w:snapToGrid w:val="0"/>
          <w:color w:val="000000" w:themeColor="text1"/>
          <w:kern w:val="0"/>
          <w:sz w:val="24"/>
          <w14:textFill>
            <w14:solidFill>
              <w14:schemeClr w14:val="tx1"/>
            </w14:solidFill>
          </w14:textFill>
        </w:rPr>
        <w:t>被授权人：</w:t>
      </w:r>
      <w:r>
        <w:rPr>
          <w:rFonts w:hint="eastAsia" w:ascii="宋体"/>
          <w:snapToGrid w:val="0"/>
          <w:color w:val="000000" w:themeColor="text1"/>
          <w:kern w:val="0"/>
          <w:sz w:val="24"/>
          <w:lang w:val="en-US" w:eastAsia="zh-CN"/>
          <w14:textFill>
            <w14:solidFill>
              <w14:schemeClr w14:val="tx1"/>
            </w14:solidFill>
          </w14:textFill>
        </w:rPr>
        <w:t xml:space="preserve">                                 </w:t>
      </w:r>
      <w:r>
        <w:rPr>
          <w:rFonts w:hint="eastAsia" w:ascii="宋体" w:cs="Cambria"/>
          <w:snapToGrid w:val="0"/>
          <w:color w:val="000000" w:themeColor="text1"/>
          <w:kern w:val="0"/>
          <w:sz w:val="24"/>
          <w:szCs w:val="24"/>
          <w14:textFill>
            <w14:solidFill>
              <w14:schemeClr w14:val="tx1"/>
            </w14:solidFill>
          </w14:textFill>
        </w:rPr>
        <w:t>参选</w:t>
      </w:r>
      <w:r>
        <w:rPr>
          <w:rFonts w:hint="eastAsia" w:ascii="宋体"/>
          <w:snapToGrid w:val="0"/>
          <w:color w:val="000000" w:themeColor="text1"/>
          <w:kern w:val="0"/>
          <w:sz w:val="24"/>
          <w14:textFill>
            <w14:solidFill>
              <w14:schemeClr w14:val="tx1"/>
            </w14:solidFill>
          </w14:textFill>
        </w:rPr>
        <w:t>人法定代表人：</w:t>
      </w:r>
    </w:p>
    <w:p>
      <w:pPr>
        <w:tabs>
          <w:tab w:val="left" w:pos="6300"/>
        </w:tabs>
        <w:snapToGrid w:val="0"/>
        <w:spacing w:line="360" w:lineRule="auto"/>
        <w:ind w:firstLine="570"/>
        <w:rPr>
          <w:rFonts w:ascii="宋体"/>
          <w:snapToGrid w:val="0"/>
          <w:color w:val="000000" w:themeColor="text1"/>
          <w:kern w:val="0"/>
          <w:sz w:val="24"/>
          <w:szCs w:val="28"/>
          <w14:textFill>
            <w14:solidFill>
              <w14:schemeClr w14:val="tx1"/>
            </w14:solidFill>
          </w14:textFill>
        </w:rPr>
      </w:pPr>
      <w:r>
        <w:rPr>
          <w:rFonts w:hint="eastAsia" w:ascii="宋体"/>
          <w:snapToGrid w:val="0"/>
          <w:color w:val="000000" w:themeColor="text1"/>
          <w:kern w:val="0"/>
          <w:sz w:val="24"/>
          <w:szCs w:val="28"/>
          <w14:textFill>
            <w14:solidFill>
              <w14:schemeClr w14:val="tx1"/>
            </w14:solidFill>
          </w14:textFill>
        </w:rPr>
        <w:t>（签字或盖章）</w:t>
      </w:r>
      <w:r>
        <w:rPr>
          <w:rFonts w:hint="eastAsia" w:ascii="宋体"/>
          <w:snapToGrid w:val="0"/>
          <w:color w:val="000000" w:themeColor="text1"/>
          <w:kern w:val="0"/>
          <w:sz w:val="24"/>
          <w:szCs w:val="28"/>
          <w:lang w:val="en-US" w:eastAsia="zh-CN"/>
          <w14:textFill>
            <w14:solidFill>
              <w14:schemeClr w14:val="tx1"/>
            </w14:solidFill>
          </w14:textFill>
        </w:rPr>
        <w:t xml:space="preserve">                             </w:t>
      </w:r>
      <w:r>
        <w:rPr>
          <w:rFonts w:hint="eastAsia" w:ascii="宋体"/>
          <w:snapToGrid w:val="0"/>
          <w:color w:val="000000" w:themeColor="text1"/>
          <w:kern w:val="0"/>
          <w:sz w:val="24"/>
          <w:szCs w:val="28"/>
          <w14:textFill>
            <w14:solidFill>
              <w14:schemeClr w14:val="tx1"/>
            </w14:solidFill>
          </w14:textFill>
        </w:rPr>
        <w:t>（签字或盖章）</w:t>
      </w:r>
    </w:p>
    <w:p>
      <w:pPr>
        <w:tabs>
          <w:tab w:val="left" w:pos="6300"/>
        </w:tabs>
        <w:snapToGrid w:val="0"/>
        <w:spacing w:line="360" w:lineRule="auto"/>
        <w:ind w:firstLine="570"/>
        <w:rPr>
          <w:rFonts w:ascii="宋体"/>
          <w:snapToGrid w:val="0"/>
          <w:color w:val="000000" w:themeColor="text1"/>
          <w:kern w:val="0"/>
          <w:sz w:val="24"/>
          <w:szCs w:val="28"/>
          <w14:textFill>
            <w14:solidFill>
              <w14:schemeClr w14:val="tx1"/>
            </w14:solidFill>
          </w14:textFill>
        </w:rPr>
      </w:pPr>
    </w:p>
    <w:p>
      <w:pPr>
        <w:tabs>
          <w:tab w:val="left" w:pos="6300"/>
        </w:tabs>
        <w:snapToGrid w:val="0"/>
        <w:spacing w:line="360" w:lineRule="auto"/>
        <w:ind w:firstLine="570"/>
        <w:rPr>
          <w:rFonts w:ascii="宋体"/>
          <w:snapToGrid w:val="0"/>
          <w:color w:val="000000" w:themeColor="text1"/>
          <w:kern w:val="0"/>
          <w:sz w:val="24"/>
          <w14:textFill>
            <w14:solidFill>
              <w14:schemeClr w14:val="tx1"/>
            </w14:solidFill>
          </w14:textFill>
        </w:rPr>
      </w:pPr>
    </w:p>
    <w:p>
      <w:pPr>
        <w:tabs>
          <w:tab w:val="left" w:pos="6300"/>
        </w:tabs>
        <w:snapToGrid w:val="0"/>
        <w:spacing w:line="360" w:lineRule="auto"/>
        <w:ind w:firstLine="570"/>
        <w:rPr>
          <w:rFonts w:ascii="宋体"/>
          <w:snapToGrid w:val="0"/>
          <w:color w:val="000000" w:themeColor="text1"/>
          <w:kern w:val="0"/>
          <w:sz w:val="24"/>
          <w14:textFill>
            <w14:solidFill>
              <w14:schemeClr w14:val="tx1"/>
            </w14:solidFill>
          </w14:textFill>
        </w:rPr>
      </w:pPr>
      <w:r>
        <w:rPr>
          <w:rFonts w:hint="eastAsia" w:ascii="宋体"/>
          <w:snapToGrid w:val="0"/>
          <w:color w:val="000000" w:themeColor="text1"/>
          <w:kern w:val="0"/>
          <w:sz w:val="24"/>
          <w14:textFill>
            <w14:solidFill>
              <w14:schemeClr w14:val="tx1"/>
            </w14:solidFill>
          </w14:textFill>
        </w:rPr>
        <w:t>（附：被授权人身份证正反面复印件）</w:t>
      </w:r>
    </w:p>
    <w:p>
      <w:pPr>
        <w:tabs>
          <w:tab w:val="left" w:pos="6300"/>
        </w:tabs>
        <w:snapToGrid w:val="0"/>
        <w:spacing w:line="360" w:lineRule="auto"/>
        <w:ind w:firstLine="570"/>
        <w:rPr>
          <w:rFonts w:ascii="宋体"/>
          <w:snapToGrid w:val="0"/>
          <w:color w:val="000000" w:themeColor="text1"/>
          <w:kern w:val="0"/>
          <w:sz w:val="24"/>
          <w14:textFill>
            <w14:solidFill>
              <w14:schemeClr w14:val="tx1"/>
            </w14:solidFill>
          </w14:textFill>
        </w:rPr>
      </w:pPr>
    </w:p>
    <w:p>
      <w:pPr>
        <w:tabs>
          <w:tab w:val="left" w:pos="6300"/>
        </w:tabs>
        <w:snapToGrid w:val="0"/>
        <w:spacing w:line="360" w:lineRule="auto"/>
        <w:ind w:firstLine="570"/>
        <w:rPr>
          <w:rFonts w:ascii="宋体"/>
          <w:snapToGrid w:val="0"/>
          <w:color w:val="000000" w:themeColor="text1"/>
          <w:kern w:val="0"/>
          <w:sz w:val="24"/>
          <w14:textFill>
            <w14:solidFill>
              <w14:schemeClr w14:val="tx1"/>
            </w14:solidFill>
          </w14:textFill>
        </w:rPr>
      </w:pPr>
    </w:p>
    <w:p>
      <w:pPr>
        <w:tabs>
          <w:tab w:val="left" w:pos="6300"/>
        </w:tabs>
        <w:snapToGrid w:val="0"/>
        <w:spacing w:line="360" w:lineRule="auto"/>
        <w:ind w:firstLine="570"/>
        <w:rPr>
          <w:rFonts w:ascii="宋体"/>
          <w:snapToGrid w:val="0"/>
          <w:color w:val="000000" w:themeColor="text1"/>
          <w:kern w:val="0"/>
          <w:sz w:val="24"/>
          <w14:textFill>
            <w14:solidFill>
              <w14:schemeClr w14:val="tx1"/>
            </w14:solidFill>
          </w14:textFill>
        </w:rPr>
      </w:pPr>
    </w:p>
    <w:p>
      <w:pPr>
        <w:tabs>
          <w:tab w:val="left" w:pos="6300"/>
        </w:tabs>
        <w:snapToGrid w:val="0"/>
        <w:spacing w:line="360" w:lineRule="auto"/>
        <w:ind w:right="480" w:firstLine="570"/>
        <w:jc w:val="right"/>
        <w:rPr>
          <w:rFonts w:ascii="宋体"/>
          <w:snapToGrid w:val="0"/>
          <w:color w:val="000000" w:themeColor="text1"/>
          <w:kern w:val="0"/>
          <w:sz w:val="24"/>
          <w14:textFill>
            <w14:solidFill>
              <w14:schemeClr w14:val="tx1"/>
            </w14:solidFill>
          </w14:textFill>
        </w:rPr>
      </w:pPr>
      <w:r>
        <w:rPr>
          <w:rFonts w:hint="eastAsia" w:ascii="宋体"/>
          <w:snapToGrid w:val="0"/>
          <w:color w:val="000000" w:themeColor="text1"/>
          <w:kern w:val="0"/>
          <w:sz w:val="24"/>
          <w14:textFill>
            <w14:solidFill>
              <w14:schemeClr w14:val="tx1"/>
            </w14:solidFill>
          </w14:textFill>
        </w:rPr>
        <w:t>（</w:t>
      </w:r>
      <w:r>
        <w:rPr>
          <w:rFonts w:hint="eastAsia" w:ascii="宋体" w:cs="Cambria"/>
          <w:snapToGrid w:val="0"/>
          <w:color w:val="000000" w:themeColor="text1"/>
          <w:kern w:val="0"/>
          <w:sz w:val="24"/>
          <w:szCs w:val="24"/>
          <w14:textFill>
            <w14:solidFill>
              <w14:schemeClr w14:val="tx1"/>
            </w14:solidFill>
          </w14:textFill>
        </w:rPr>
        <w:t>参选</w:t>
      </w:r>
      <w:r>
        <w:rPr>
          <w:rFonts w:hint="eastAsia" w:ascii="宋体"/>
          <w:snapToGrid w:val="0"/>
          <w:color w:val="000000" w:themeColor="text1"/>
          <w:kern w:val="0"/>
          <w:sz w:val="24"/>
          <w14:textFill>
            <w14:solidFill>
              <w14:schemeClr w14:val="tx1"/>
            </w14:solidFill>
          </w14:textFill>
        </w:rPr>
        <w:t>人公章）</w:t>
      </w:r>
    </w:p>
    <w:p>
      <w:pPr>
        <w:tabs>
          <w:tab w:val="left" w:pos="6300"/>
        </w:tabs>
        <w:snapToGrid w:val="0"/>
        <w:spacing w:line="360" w:lineRule="auto"/>
        <w:ind w:right="480" w:firstLine="570"/>
        <w:jc w:val="right"/>
        <w:rPr>
          <w:rFonts w:ascii="宋体"/>
          <w:snapToGrid w:val="0"/>
          <w:color w:val="000000" w:themeColor="text1"/>
          <w:kern w:val="0"/>
          <w:sz w:val="24"/>
          <w14:textFill>
            <w14:solidFill>
              <w14:schemeClr w14:val="tx1"/>
            </w14:solidFill>
          </w14:textFill>
        </w:rPr>
      </w:pPr>
      <w:r>
        <w:rPr>
          <w:rFonts w:hint="eastAsia" w:ascii="宋体"/>
          <w:snapToGrid w:val="0"/>
          <w:color w:val="000000" w:themeColor="text1"/>
          <w:kern w:val="0"/>
          <w:sz w:val="24"/>
          <w14:textFill>
            <w14:solidFill>
              <w14:schemeClr w14:val="tx1"/>
            </w14:solidFill>
          </w14:textFill>
        </w:rPr>
        <w:t>年</w:t>
      </w:r>
      <w:r>
        <w:rPr>
          <w:rFonts w:hint="eastAsia" w:ascii="宋体"/>
          <w:snapToGrid w:val="0"/>
          <w:color w:val="000000" w:themeColor="text1"/>
          <w:kern w:val="0"/>
          <w:sz w:val="24"/>
          <w:lang w:val="en-US" w:eastAsia="zh-CN"/>
          <w14:textFill>
            <w14:solidFill>
              <w14:schemeClr w14:val="tx1"/>
            </w14:solidFill>
          </w14:textFill>
        </w:rPr>
        <w:t xml:space="preserve">    </w:t>
      </w:r>
      <w:r>
        <w:rPr>
          <w:rFonts w:hint="eastAsia" w:ascii="宋体"/>
          <w:snapToGrid w:val="0"/>
          <w:color w:val="000000" w:themeColor="text1"/>
          <w:kern w:val="0"/>
          <w:sz w:val="24"/>
          <w14:textFill>
            <w14:solidFill>
              <w14:schemeClr w14:val="tx1"/>
            </w14:solidFill>
          </w14:textFill>
        </w:rPr>
        <w:t>月</w:t>
      </w:r>
      <w:r>
        <w:rPr>
          <w:rFonts w:hint="eastAsia" w:ascii="宋体"/>
          <w:snapToGrid w:val="0"/>
          <w:color w:val="000000" w:themeColor="text1"/>
          <w:kern w:val="0"/>
          <w:sz w:val="24"/>
          <w:lang w:val="en-US" w:eastAsia="zh-CN"/>
          <w14:textFill>
            <w14:solidFill>
              <w14:schemeClr w14:val="tx1"/>
            </w14:solidFill>
          </w14:textFill>
        </w:rPr>
        <w:t xml:space="preserve">    </w:t>
      </w:r>
      <w:r>
        <w:rPr>
          <w:rFonts w:hint="eastAsia" w:ascii="宋体"/>
          <w:snapToGrid w:val="0"/>
          <w:color w:val="000000" w:themeColor="text1"/>
          <w:kern w:val="0"/>
          <w:sz w:val="24"/>
          <w14:textFill>
            <w14:solidFill>
              <w14:schemeClr w14:val="tx1"/>
            </w14:solidFill>
          </w14:textFill>
        </w:rPr>
        <w:t>日</w:t>
      </w:r>
    </w:p>
    <w:p>
      <w:pPr>
        <w:widowControl/>
        <w:spacing w:line="360" w:lineRule="auto"/>
        <w:jc w:val="left"/>
        <w:rPr>
          <w:rFonts w:ascii="宋体"/>
          <w:snapToGrid w:val="0"/>
          <w:color w:val="000000" w:themeColor="text1"/>
          <w:kern w:val="0"/>
          <w:sz w:val="24"/>
          <w:szCs w:val="24"/>
          <w14:textFill>
            <w14:solidFill>
              <w14:schemeClr w14:val="tx1"/>
            </w14:solidFill>
          </w14:textFill>
        </w:rPr>
      </w:pPr>
    </w:p>
    <w:p>
      <w:pPr>
        <w:jc w:val="center"/>
        <w:outlineLvl w:val="1"/>
        <w:rPr>
          <w:rStyle w:val="33"/>
        </w:rPr>
      </w:pPr>
      <w:r>
        <w:rPr>
          <w:rFonts w:hint="eastAsia"/>
          <w:color w:val="000000" w:themeColor="text1"/>
          <w:kern w:val="0"/>
          <w14:textFill>
            <w14:solidFill>
              <w14:schemeClr w14:val="tx1"/>
            </w14:solidFill>
          </w14:textFill>
        </w:rPr>
        <w:br w:type="page"/>
      </w:r>
      <w:r>
        <w:rPr>
          <w:rStyle w:val="33"/>
          <w:rFonts w:hint="eastAsia"/>
        </w:rPr>
        <w:t>四、项目报价表</w:t>
      </w:r>
    </w:p>
    <w:tbl>
      <w:tblPr>
        <w:tblStyle w:val="19"/>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7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2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项目名称</w:t>
            </w:r>
          </w:p>
        </w:tc>
        <w:tc>
          <w:tcPr>
            <w:tcW w:w="73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2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可提供服务项目以及服务项目单价（含税）</w:t>
            </w:r>
          </w:p>
        </w:tc>
        <w:tc>
          <w:tcPr>
            <w:tcW w:w="73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提供单次查询服务，请选择以下可以提供的服务项目：</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住宅用房线上自动评估</w:t>
            </w:r>
            <w:r>
              <w:rPr>
                <w:rFonts w:hint="eastAsia" w:ascii="宋体" w:hAnsi="宋体" w:eastAsia="宋体" w:cs="宋体"/>
                <w:snapToGrid w:val="0"/>
                <w:color w:val="000000" w:themeColor="text1"/>
                <w:kern w:val="0"/>
                <w:sz w:val="24"/>
                <w:szCs w:val="24"/>
                <w:lang w:val="en-US" w:eastAsia="zh-CN"/>
                <w14:textFill>
                  <w14:solidFill>
                    <w14:schemeClr w14:val="tx1"/>
                  </w14:solidFill>
                </w14:textFill>
              </w:rPr>
              <w:t xml:space="preserve">□   </w:t>
            </w:r>
            <w:r>
              <w:rPr>
                <w:rFonts w:hint="eastAsia" w:ascii="宋体" w:hAnsi="宋体" w:cs="宋体"/>
                <w:snapToGrid w:val="0"/>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4"/>
                <w:szCs w:val="24"/>
                <w14:textFill>
                  <w14:solidFill>
                    <w14:schemeClr w14:val="tx1"/>
                  </w14:solidFill>
                </w14:textFill>
              </w:rPr>
              <w:t>查询单价（元/笔）：__________</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住宅用房线上人工评估</w:t>
            </w:r>
            <w:r>
              <w:rPr>
                <w:rFonts w:hint="eastAsia" w:ascii="宋体" w:hAnsi="宋体" w:eastAsia="宋体" w:cs="宋体"/>
                <w:snapToGrid w:val="0"/>
                <w:color w:val="000000" w:themeColor="text1"/>
                <w:kern w:val="0"/>
                <w:sz w:val="24"/>
                <w:szCs w:val="24"/>
                <w:lang w:val="en-US" w:eastAsia="zh-CN"/>
                <w14:textFill>
                  <w14:solidFill>
                    <w14:schemeClr w14:val="tx1"/>
                  </w14:solidFill>
                </w14:textFill>
              </w:rPr>
              <w:t xml:space="preserve">□   </w:t>
            </w:r>
            <w:r>
              <w:rPr>
                <w:rFonts w:hint="eastAsia" w:ascii="宋体" w:hAnsi="宋体" w:cs="宋体"/>
                <w:snapToGrid w:val="0"/>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4"/>
                <w:szCs w:val="24"/>
                <w14:textFill>
                  <w14:solidFill>
                    <w14:schemeClr w14:val="tx1"/>
                  </w14:solidFill>
                </w14:textFill>
              </w:rPr>
              <w:t>查询单价（元/笔）：__________</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商业、办公用房线上人工评估</w:t>
            </w:r>
            <w:r>
              <w:rPr>
                <w:rFonts w:hint="eastAsia" w:ascii="宋体" w:cs="宋体"/>
                <w:snapToGrid w:val="0"/>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4"/>
                <w:szCs w:val="24"/>
                <w14:textFill>
                  <w14:solidFill>
                    <w14:schemeClr w14:val="tx1"/>
                  </w14:solidFill>
                </w14:textFill>
              </w:rPr>
              <w:t>查询单价（元/笔）：__________</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批量复估</w:t>
            </w:r>
            <w:r>
              <w:rPr>
                <w:rFonts w:hint="eastAsia" w:ascii="宋体" w:cs="宋体"/>
                <w:snapToGrid w:val="0"/>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4"/>
                <w:szCs w:val="24"/>
                <w14:textFill>
                  <w14:solidFill>
                    <w14:schemeClr w14:val="tx1"/>
                  </w14:solidFill>
                </w14:textFill>
              </w:rPr>
              <w:t>查询单价（元/笔）：__________</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是否附带免费增值服务：是</w:t>
            </w:r>
            <w:r>
              <w:rPr>
                <w:rFonts w:hint="eastAsia" w:ascii="宋体" w:cs="宋体"/>
                <w:snapToGrid w:val="0"/>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4"/>
                <w:szCs w:val="24"/>
                <w14:textFill>
                  <w14:solidFill>
                    <w14:schemeClr w14:val="tx1"/>
                  </w14:solidFill>
                </w14:textFill>
              </w:rPr>
              <w:t>否</w:t>
            </w:r>
            <w:r>
              <w:rPr>
                <w:rFonts w:hint="eastAsia" w:ascii="宋体" w:cs="宋体"/>
                <w:snapToGrid w:val="0"/>
                <w:color w:val="000000" w:themeColor="text1"/>
                <w:kern w:val="0"/>
                <w:sz w:val="24"/>
                <w:szCs w:val="24"/>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具体服务内容：房产滚动评级</w:t>
            </w:r>
            <w:r>
              <w:rPr>
                <w:rFonts w:hint="eastAsia" w:ascii="宋体" w:cs="宋体"/>
                <w:snapToGrid w:val="0"/>
                <w:color w:val="000000" w:themeColor="text1"/>
                <w:kern w:val="0"/>
                <w:sz w:val="24"/>
                <w:szCs w:val="24"/>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风险预警</w:t>
            </w:r>
            <w:r>
              <w:rPr>
                <w:rFonts w:hint="eastAsia" w:ascii="宋体" w:cs="宋体"/>
                <w:snapToGrid w:val="0"/>
                <w:color w:val="000000" w:themeColor="text1"/>
                <w:kern w:val="0"/>
                <w:sz w:val="24"/>
                <w:szCs w:val="24"/>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场景VR图片展示</w:t>
            </w:r>
            <w:r>
              <w:rPr>
                <w:rFonts w:hint="eastAsia" w:ascii="宋体" w:cs="宋体"/>
                <w:snapToGrid w:val="0"/>
                <w:color w:val="000000" w:themeColor="text1"/>
                <w:kern w:val="0"/>
                <w:sz w:val="24"/>
                <w:szCs w:val="24"/>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黑白灰名单及法拍房打标</w:t>
            </w:r>
            <w:r>
              <w:rPr>
                <w:rFonts w:hint="eastAsia" w:ascii="宋体" w:cs="宋体"/>
                <w:snapToGrid w:val="0"/>
                <w:color w:val="000000" w:themeColor="text1"/>
                <w:kern w:val="0"/>
                <w:sz w:val="24"/>
                <w:szCs w:val="24"/>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楼盘热度排名</w:t>
            </w:r>
            <w:r>
              <w:rPr>
                <w:rFonts w:hint="eastAsia" w:ascii="宋体" w:cs="宋体"/>
                <w:snapToGrid w:val="0"/>
                <w:color w:val="000000" w:themeColor="text1"/>
                <w:kern w:val="0"/>
                <w:sz w:val="24"/>
                <w:szCs w:val="24"/>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其他</w:t>
            </w:r>
            <w:r>
              <w:rPr>
                <w:rFonts w:hint="eastAsia" w:ascii="宋体" w:hAnsi="宋体" w:cs="宋体"/>
                <w:snapToGrid w:val="0"/>
                <w:color w:val="000000" w:themeColor="text1"/>
                <w:kern w:val="0"/>
                <w:sz w:val="24"/>
                <w:szCs w:val="24"/>
                <w:lang w:val="en-US" w:eastAsia="zh-CN"/>
                <w14:textFill>
                  <w14:solidFill>
                    <w14:schemeClr w14:val="tx1"/>
                  </w14:solidFill>
                </w14:textFill>
              </w:rPr>
              <w:t xml:space="preserve"> </w:t>
            </w:r>
            <w:r>
              <w:rPr>
                <w:rFonts w:hint="eastAsia" w:ascii="宋体" w:cs="宋体"/>
                <w:snapToGrid w:val="0"/>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4"/>
                <w:szCs w:val="24"/>
                <w14:textFill>
                  <w14:solidFill>
                    <w14:schemeClr w14:val="tx1"/>
                  </w14:solidFill>
                </w14:textFill>
              </w:rPr>
              <w:t>____________________</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以上服务项目总价不超过：人民币（小写）_______________/年</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人民币（大写）____________________/年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2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开具发票类型</w:t>
            </w:r>
          </w:p>
        </w:tc>
        <w:tc>
          <w:tcPr>
            <w:tcW w:w="73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税率为______%的增值税专用发票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9389"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备注：</w:t>
            </w:r>
          </w:p>
        </w:tc>
      </w:tr>
    </w:tbl>
    <w:p>
      <w:pPr>
        <w:spacing w:line="0" w:lineRule="atLeast"/>
        <w:rPr>
          <w:rFonts w:ascii="宋体" w:cs="宋体"/>
          <w:snapToGrid w:val="0"/>
          <w:color w:val="000000" w:themeColor="text1"/>
          <w:kern w:val="0"/>
          <w:sz w:val="21"/>
          <w:szCs w:val="21"/>
          <w14:textFill>
            <w14:solidFill>
              <w14:schemeClr w14:val="tx1"/>
            </w14:solidFill>
          </w14:textFill>
        </w:rPr>
      </w:pPr>
      <w:r>
        <w:rPr>
          <w:rFonts w:hint="eastAsia" w:ascii="宋体" w:cs="宋体"/>
          <w:snapToGrid w:val="0"/>
          <w:color w:val="000000" w:themeColor="text1"/>
          <w:kern w:val="0"/>
          <w:sz w:val="21"/>
          <w:szCs w:val="21"/>
          <w14:textFill>
            <w14:solidFill>
              <w14:schemeClr w14:val="tx1"/>
            </w14:solidFill>
          </w14:textFill>
        </w:rPr>
        <w:t>注：1.若含有多种税率，请注明各自金额比重，否则统一按低税率核算价格得分。2.报价方案需填写“查询单价”和“服务项目总价”进行综合报价方式，若有其余报价方案，可在备注说明，若报价方案不符合参选标准视为废标。</w:t>
      </w:r>
    </w:p>
    <w:p>
      <w:pPr>
        <w:spacing w:line="0" w:lineRule="atLeast"/>
        <w:ind w:firstLine="420" w:firstLineChars="200"/>
        <w:rPr>
          <w:rFonts w:ascii="宋体" w:cs="宋体"/>
          <w:snapToGrid w:val="0"/>
          <w:color w:val="000000" w:themeColor="text1"/>
          <w:kern w:val="0"/>
          <w:sz w:val="21"/>
          <w:szCs w:val="21"/>
          <w14:textFill>
            <w14:solidFill>
              <w14:schemeClr w14:val="tx1"/>
            </w14:solidFill>
          </w14:textFill>
        </w:rPr>
      </w:pPr>
    </w:p>
    <w:p>
      <w:pPr>
        <w:spacing w:line="0" w:lineRule="atLeast"/>
        <w:ind w:firstLine="420" w:firstLineChars="200"/>
        <w:rPr>
          <w:rFonts w:ascii="宋体" w:cs="宋体"/>
          <w:snapToGrid w:val="0"/>
          <w:color w:val="000000" w:themeColor="text1"/>
          <w:kern w:val="0"/>
          <w:sz w:val="21"/>
          <w:szCs w:val="21"/>
          <w14:textFill>
            <w14:solidFill>
              <w14:schemeClr w14:val="tx1"/>
            </w14:solidFill>
          </w14:textFill>
        </w:rPr>
      </w:pPr>
    </w:p>
    <w:p>
      <w:pPr>
        <w:spacing w:line="0" w:lineRule="atLeast"/>
        <w:ind w:firstLine="420" w:firstLineChars="200"/>
        <w:rPr>
          <w:rFonts w:ascii="宋体" w:cs="宋体"/>
          <w:snapToGrid w:val="0"/>
          <w:color w:val="000000" w:themeColor="text1"/>
          <w:kern w:val="0"/>
          <w:sz w:val="21"/>
          <w:szCs w:val="21"/>
          <w14:textFill>
            <w14:solidFill>
              <w14:schemeClr w14:val="tx1"/>
            </w14:solidFill>
          </w14:textFill>
        </w:rPr>
      </w:pPr>
    </w:p>
    <w:p>
      <w:pPr>
        <w:spacing w:line="560" w:lineRule="exact"/>
        <w:rPr>
          <w:rFonts w:ascii="宋体"/>
          <w:color w:val="000000" w:themeColor="text1"/>
          <w:sz w:val="24"/>
          <w:szCs w:val="24"/>
          <w14:textFill>
            <w14:solidFill>
              <w14:schemeClr w14:val="tx1"/>
            </w14:solidFill>
          </w14:textFill>
        </w:rPr>
      </w:pPr>
      <w:r>
        <w:rPr>
          <w:rFonts w:hint="eastAsia" w:ascii="宋体" w:cs="宋体"/>
          <w:snapToGrid w:val="0"/>
          <w:color w:val="000000" w:themeColor="text1"/>
          <w:kern w:val="0"/>
          <w:sz w:val="24"/>
          <w:szCs w:val="24"/>
          <w14:textFill>
            <w14:solidFill>
              <w14:schemeClr w14:val="tx1"/>
            </w14:solidFill>
          </w14:textFill>
        </w:rPr>
        <w:t>公司名称：</w:t>
      </w:r>
      <w:r>
        <w:rPr>
          <w:rFonts w:hint="eastAsia" w:ascii="宋体" w:cs="宋体"/>
          <w:snapToGrid w:val="0"/>
          <w:color w:val="000000" w:themeColor="text1"/>
          <w:kern w:val="0"/>
          <w:sz w:val="24"/>
          <w:szCs w:val="24"/>
          <w:lang w:val="en-US" w:eastAsia="zh-CN"/>
          <w14:textFill>
            <w14:solidFill>
              <w14:schemeClr w14:val="tx1"/>
            </w14:solidFill>
          </w14:textFill>
        </w:rPr>
        <w:t xml:space="preserve">                          </w:t>
      </w:r>
      <w:r>
        <w:rPr>
          <w:rFonts w:hint="eastAsia" w:ascii="宋体" w:cs="宋体"/>
          <w:snapToGrid w:val="0"/>
          <w:color w:val="000000" w:themeColor="text1"/>
          <w:kern w:val="0"/>
          <w:sz w:val="24"/>
          <w:szCs w:val="24"/>
          <w14:textFill>
            <w14:solidFill>
              <w14:schemeClr w14:val="tx1"/>
            </w14:solidFill>
          </w14:textFill>
        </w:rPr>
        <w:t>负责人授权代表：</w:t>
      </w:r>
    </w:p>
    <w:p>
      <w:pPr>
        <w:ind w:right="-34" w:rightChars="-14"/>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（公章）</w:t>
      </w:r>
      <w:r>
        <w:rPr>
          <w:rFonts w:hint="eastAsia" w:ascii="宋体"/>
          <w:color w:val="000000" w:themeColor="text1"/>
          <w:sz w:val="24"/>
          <w:szCs w:val="24"/>
          <w:lang w:val="en-US" w:eastAsia="zh-CN"/>
          <w14:textFill>
            <w14:solidFill>
              <w14:schemeClr w14:val="tx1"/>
            </w14:solidFill>
          </w14:textFill>
        </w:rPr>
        <w:t xml:space="preserve">                              </w:t>
      </w:r>
      <w:r>
        <w:rPr>
          <w:rFonts w:hint="eastAsia" w:ascii="宋体"/>
          <w:color w:val="000000" w:themeColor="text1"/>
          <w:sz w:val="24"/>
          <w:szCs w:val="24"/>
          <w14:textFill>
            <w14:solidFill>
              <w14:schemeClr w14:val="tx1"/>
            </w14:solidFill>
          </w14:textFill>
        </w:rPr>
        <w:t>（签章）</w:t>
      </w:r>
    </w:p>
    <w:p>
      <w:pPr>
        <w:ind w:right="-34" w:rightChars="-14"/>
        <w:jc w:val="right"/>
        <w:rPr>
          <w:rFonts w:ascii="宋体"/>
          <w:snapToGrid w:val="0"/>
          <w:color w:val="000000" w:themeColor="text1"/>
          <w:kern w:val="0"/>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年</w:t>
      </w:r>
      <w:r>
        <w:rPr>
          <w:rFonts w:hint="eastAsia" w:ascii="宋体"/>
          <w:color w:val="000000" w:themeColor="text1"/>
          <w:sz w:val="24"/>
          <w:szCs w:val="24"/>
          <w:lang w:val="en-US" w:eastAsia="zh-CN"/>
          <w14:textFill>
            <w14:solidFill>
              <w14:schemeClr w14:val="tx1"/>
            </w14:solidFill>
          </w14:textFill>
        </w:rPr>
        <w:t xml:space="preserve">    </w:t>
      </w:r>
      <w:r>
        <w:rPr>
          <w:rFonts w:hint="eastAsia" w:ascii="宋体"/>
          <w:color w:val="000000" w:themeColor="text1"/>
          <w:sz w:val="24"/>
          <w:szCs w:val="24"/>
          <w14:textFill>
            <w14:solidFill>
              <w14:schemeClr w14:val="tx1"/>
            </w14:solidFill>
          </w14:textFill>
        </w:rPr>
        <w:t>月</w:t>
      </w:r>
      <w:r>
        <w:rPr>
          <w:rFonts w:hint="eastAsia" w:ascii="宋体"/>
          <w:color w:val="000000" w:themeColor="text1"/>
          <w:sz w:val="24"/>
          <w:szCs w:val="24"/>
          <w:lang w:val="en-US" w:eastAsia="zh-CN"/>
          <w14:textFill>
            <w14:solidFill>
              <w14:schemeClr w14:val="tx1"/>
            </w14:solidFill>
          </w14:textFill>
        </w:rPr>
        <w:t xml:space="preserve">    </w:t>
      </w:r>
      <w:r>
        <w:rPr>
          <w:rFonts w:hint="eastAsia" w:ascii="宋体"/>
          <w:color w:val="000000" w:themeColor="text1"/>
          <w:sz w:val="24"/>
          <w:szCs w:val="24"/>
          <w14:textFill>
            <w14:solidFill>
              <w14:schemeClr w14:val="tx1"/>
            </w14:solidFill>
          </w14:textFill>
        </w:rPr>
        <w:t>日</w:t>
      </w:r>
    </w:p>
    <w:p>
      <w:pPr>
        <w:snapToGrid w:val="0"/>
        <w:spacing w:line="360" w:lineRule="auto"/>
        <w:rPr>
          <w:rFonts w:ascii="宋体"/>
          <w:snapToGrid w:val="0"/>
          <w:color w:val="000000" w:themeColor="text1"/>
          <w:kern w:val="0"/>
          <w:sz w:val="24"/>
          <w:szCs w:val="24"/>
          <w14:textFill>
            <w14:solidFill>
              <w14:schemeClr w14:val="tx1"/>
            </w14:solidFill>
          </w14:textFill>
        </w:rPr>
      </w:pPr>
    </w:p>
    <w:p>
      <w:pPr>
        <w:snapToGrid w:val="0"/>
        <w:spacing w:line="360" w:lineRule="auto"/>
        <w:rPr>
          <w:rFonts w:ascii="宋体"/>
          <w:snapToGrid w:val="0"/>
          <w:color w:val="000000" w:themeColor="text1"/>
          <w:kern w:val="0"/>
          <w:sz w:val="24"/>
          <w:szCs w:val="24"/>
          <w14:textFill>
            <w14:solidFill>
              <w14:schemeClr w14:val="tx1"/>
            </w14:solidFill>
          </w14:textFill>
        </w:rPr>
      </w:pPr>
      <w:r>
        <w:rPr>
          <w:rFonts w:hint="eastAsia" w:ascii="宋体"/>
          <w:snapToGrid w:val="0"/>
          <w:color w:val="000000" w:themeColor="text1"/>
          <w:kern w:val="0"/>
          <w:sz w:val="24"/>
          <w:szCs w:val="24"/>
          <w14:textFill>
            <w14:solidFill>
              <w14:schemeClr w14:val="tx1"/>
            </w14:solidFill>
          </w14:textFill>
        </w:rPr>
        <w:t>有关说明：</w:t>
      </w:r>
    </w:p>
    <w:p>
      <w:pPr>
        <w:snapToGrid w:val="0"/>
        <w:spacing w:line="360" w:lineRule="auto"/>
        <w:jc w:val="left"/>
        <w:rPr>
          <w:rFonts w:hint="eastAsia" w:ascii="宋体"/>
          <w:snapToGrid w:val="0"/>
          <w:color w:val="000000" w:themeColor="text1"/>
          <w:kern w:val="0"/>
          <w:sz w:val="24"/>
          <w:szCs w:val="24"/>
          <w14:textFill>
            <w14:solidFill>
              <w14:schemeClr w14:val="tx1"/>
            </w14:solidFill>
          </w14:textFill>
        </w:rPr>
        <w:sectPr>
          <w:pgSz w:w="11906" w:h="16838"/>
          <w:pgMar w:top="1440" w:right="1800" w:bottom="1440" w:left="1800" w:header="851" w:footer="992" w:gutter="0"/>
          <w:pgNumType w:chapStyle="1"/>
          <w:cols w:space="720" w:num="1"/>
          <w:docGrid w:type="lines" w:linePitch="312" w:charSpace="0"/>
        </w:sectPr>
      </w:pPr>
      <w:r>
        <w:rPr>
          <w:rFonts w:hint="eastAsia" w:ascii="宋体"/>
          <w:snapToGrid w:val="0"/>
          <w:color w:val="000000" w:themeColor="text1"/>
          <w:kern w:val="0"/>
          <w:sz w:val="24"/>
          <w:szCs w:val="24"/>
          <w14:textFill>
            <w14:solidFill>
              <w14:schemeClr w14:val="tx1"/>
            </w14:solidFill>
          </w14:textFill>
        </w:rPr>
        <w:t>报价一览表在开标大会上当众宣读，务必填写清楚，准确无误。表格可扩展。</w:t>
      </w:r>
    </w:p>
    <w:p>
      <w:pPr>
        <w:pStyle w:val="4"/>
        <w:ind w:firstLine="0" w:firstLineChars="0"/>
        <w:jc w:val="center"/>
        <w:rPr>
          <w:rFonts w:cs="Cambria"/>
          <w:bCs w:val="0"/>
          <w:snapToGrid/>
          <w:color w:val="000000" w:themeColor="text1"/>
          <w:sz w:val="28"/>
          <w:szCs w:val="28"/>
          <w14:textFill>
            <w14:solidFill>
              <w14:schemeClr w14:val="tx1"/>
            </w14:solidFill>
          </w14:textFill>
        </w:rPr>
      </w:pPr>
      <w:r>
        <w:rPr>
          <w:rFonts w:hint="eastAsia" w:cs="Cambria"/>
          <w:bCs w:val="0"/>
          <w:snapToGrid/>
          <w:color w:val="000000" w:themeColor="text1"/>
          <w:sz w:val="28"/>
          <w:szCs w:val="28"/>
          <w14:textFill>
            <w14:solidFill>
              <w14:schemeClr w14:val="tx1"/>
            </w14:solidFill>
          </w14:textFill>
        </w:rPr>
        <w:t>五、书面声明</w:t>
      </w:r>
    </w:p>
    <w:p>
      <w:pPr>
        <w:tabs>
          <w:tab w:val="left" w:pos="6300"/>
        </w:tabs>
        <w:snapToGrid w:val="0"/>
        <w:spacing w:line="360" w:lineRule="auto"/>
        <w:ind w:firstLine="570"/>
        <w:rPr>
          <w:rFonts w:ascii="宋体"/>
          <w:color w:val="000000" w:themeColor="text1"/>
          <w:sz w:val="24"/>
          <w14:textFill>
            <w14:solidFill>
              <w14:schemeClr w14:val="tx1"/>
            </w14:solidFill>
          </w14:textFill>
        </w:rPr>
      </w:pPr>
    </w:p>
    <w:p>
      <w:pPr>
        <w:tabs>
          <w:tab w:val="left" w:pos="6300"/>
        </w:tabs>
        <w:snapToGrid w:val="0"/>
        <w:spacing w:line="360" w:lineRule="auto"/>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szCs w:val="28"/>
          <w14:textFill>
            <w14:solidFill>
              <w14:schemeClr w14:val="tx1"/>
            </w14:solidFill>
          </w14:textFill>
        </w:rPr>
        <w:t>项目名称</w:t>
      </w:r>
      <w:r>
        <w:rPr>
          <w:rFonts w:hint="eastAsia" w:ascii="宋体"/>
          <w:color w:val="000000" w:themeColor="text1"/>
          <w:sz w:val="24"/>
          <w14:textFill>
            <w14:solidFill>
              <w14:schemeClr w14:val="tx1"/>
            </w14:solidFill>
          </w14:textFill>
        </w:rPr>
        <w:t>：</w:t>
      </w:r>
      <w:r>
        <w:rPr>
          <w:rFonts w:hint="eastAsia" w:ascii="宋体"/>
          <w:snapToGrid w:val="0"/>
          <w:color w:val="000000" w:themeColor="text1"/>
          <w:kern w:val="0"/>
          <w:sz w:val="24"/>
          <w:szCs w:val="24"/>
          <w:u w:val="single"/>
          <w14:textFill>
            <w14:solidFill>
              <w14:schemeClr w14:val="tx1"/>
            </w14:solidFill>
          </w14:textFill>
        </w:rPr>
        <w:t>__________________</w:t>
      </w:r>
    </w:p>
    <w:p>
      <w:pPr>
        <w:tabs>
          <w:tab w:val="left" w:pos="6300"/>
        </w:tabs>
        <w:snapToGrid w:val="0"/>
        <w:spacing w:line="360" w:lineRule="auto"/>
        <w:ind w:firstLine="570"/>
        <w:rPr>
          <w:rFonts w:ascii="宋体"/>
          <w:color w:val="000000" w:themeColor="text1"/>
          <w:sz w:val="24"/>
          <w14:textFill>
            <w14:solidFill>
              <w14:schemeClr w14:val="tx1"/>
            </w14:solidFill>
          </w14:textFill>
        </w:rPr>
      </w:pPr>
    </w:p>
    <w:p>
      <w:pPr>
        <w:tabs>
          <w:tab w:val="left" w:pos="6300"/>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snapToGrid w:val="0"/>
          <w:color w:val="000000" w:themeColor="text1"/>
          <w:kern w:val="0"/>
          <w:sz w:val="24"/>
          <w:u w:val="single"/>
          <w14:textFill>
            <w14:solidFill>
              <w14:schemeClr w14:val="tx1"/>
            </w14:solidFill>
          </w14:textFill>
        </w:rPr>
        <w:t>重庆三峡银行股份有限公司</w:t>
      </w:r>
      <w:r>
        <w:rPr>
          <w:color w:val="000000" w:themeColor="text1"/>
          <w:sz w:val="24"/>
          <w14:textFill>
            <w14:solidFill>
              <w14:schemeClr w14:val="tx1"/>
            </w14:solidFill>
          </w14:textFill>
        </w:rPr>
        <w:t>：</w:t>
      </w:r>
    </w:p>
    <w:p>
      <w:pPr>
        <w:tabs>
          <w:tab w:val="left" w:pos="6300"/>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snapToGrid w:val="0"/>
          <w:color w:val="000000" w:themeColor="text1"/>
          <w:kern w:val="0"/>
          <w:sz w:val="24"/>
          <w:szCs w:val="24"/>
          <w14:textFill>
            <w14:solidFill>
              <w14:schemeClr w14:val="tx1"/>
            </w14:solidFill>
          </w14:textFill>
        </w:rPr>
        <w:t>参选</w:t>
      </w:r>
      <w:r>
        <w:rPr>
          <w:color w:val="000000" w:themeColor="text1"/>
          <w:sz w:val="24"/>
          <w14:textFill>
            <w14:solidFill>
              <w14:schemeClr w14:val="tx1"/>
            </w14:solidFill>
          </w14:textFill>
        </w:rPr>
        <w:t>人名称）郑重声明，我公司具有独立承担民事责任的能力，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snapToGrid w:val="0"/>
          <w:color w:val="000000" w:themeColor="text1"/>
          <w:kern w:val="0"/>
          <w:sz w:val="24"/>
          <w:szCs w:val="24"/>
          <w14:textFill>
            <w14:solidFill>
              <w14:schemeClr w14:val="tx1"/>
            </w14:solidFill>
          </w14:textFill>
        </w:rPr>
        <w:t>参选</w:t>
      </w:r>
      <w:r>
        <w:rPr>
          <w:color w:val="000000" w:themeColor="text1"/>
          <w:sz w:val="24"/>
          <w14:textFill>
            <w14:solidFill>
              <w14:schemeClr w14:val="tx1"/>
            </w14:solidFill>
          </w14:textFill>
        </w:rPr>
        <w:t>人资格条件。我方对以上声明负全部法律责任。</w:t>
      </w:r>
    </w:p>
    <w:p>
      <w:pPr>
        <w:tabs>
          <w:tab w:val="left" w:pos="6300"/>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特此声明。</w:t>
      </w:r>
    </w:p>
    <w:p>
      <w:pPr>
        <w:tabs>
          <w:tab w:val="left" w:pos="6300"/>
        </w:tabs>
        <w:snapToGrid w:val="0"/>
        <w:spacing w:line="360" w:lineRule="auto"/>
        <w:ind w:firstLine="570"/>
        <w:rPr>
          <w:color w:val="000000" w:themeColor="text1"/>
          <w:sz w:val="24"/>
          <w14:textFill>
            <w14:solidFill>
              <w14:schemeClr w14:val="tx1"/>
            </w14:solidFill>
          </w14:textFill>
        </w:rPr>
      </w:pPr>
    </w:p>
    <w:p>
      <w:pPr>
        <w:tabs>
          <w:tab w:val="left" w:pos="6300"/>
        </w:tabs>
        <w:snapToGrid w:val="0"/>
        <w:spacing w:line="360" w:lineRule="auto"/>
        <w:ind w:firstLine="570"/>
        <w:rPr>
          <w:color w:val="000000" w:themeColor="text1"/>
          <w:sz w:val="24"/>
          <w14:textFill>
            <w14:solidFill>
              <w14:schemeClr w14:val="tx1"/>
            </w14:solidFill>
          </w14:textFill>
        </w:rPr>
      </w:pPr>
    </w:p>
    <w:p>
      <w:pPr>
        <w:tabs>
          <w:tab w:val="left" w:pos="6300"/>
        </w:tabs>
        <w:snapToGrid w:val="0"/>
        <w:spacing w:line="360" w:lineRule="auto"/>
        <w:ind w:right="424" w:firstLine="570"/>
        <w:jc w:val="right"/>
        <w:rPr>
          <w:color w:val="000000" w:themeColor="text1"/>
          <w:sz w:val="24"/>
          <w14:textFill>
            <w14:solidFill>
              <w14:schemeClr w14:val="tx1"/>
            </w14:solidFill>
          </w14:textFill>
        </w:rPr>
      </w:pPr>
    </w:p>
    <w:p>
      <w:pPr>
        <w:tabs>
          <w:tab w:val="left" w:pos="6300"/>
        </w:tabs>
        <w:snapToGrid w:val="0"/>
        <w:spacing w:line="360" w:lineRule="auto"/>
        <w:ind w:right="424" w:firstLine="570"/>
        <w:jc w:val="right"/>
        <w:rPr>
          <w:color w:val="000000" w:themeColor="text1"/>
          <w:sz w:val="24"/>
          <w14:textFill>
            <w14:solidFill>
              <w14:schemeClr w14:val="tx1"/>
            </w14:solidFill>
          </w14:textFill>
        </w:rPr>
      </w:pPr>
    </w:p>
    <w:p>
      <w:pPr>
        <w:tabs>
          <w:tab w:val="left" w:pos="6300"/>
        </w:tabs>
        <w:snapToGrid w:val="0"/>
        <w:spacing w:line="360" w:lineRule="auto"/>
        <w:ind w:right="424" w:firstLine="57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snapToGrid w:val="0"/>
          <w:color w:val="000000" w:themeColor="text1"/>
          <w:kern w:val="0"/>
          <w:sz w:val="24"/>
          <w:szCs w:val="24"/>
          <w14:textFill>
            <w14:solidFill>
              <w14:schemeClr w14:val="tx1"/>
            </w14:solidFill>
          </w14:textFill>
        </w:rPr>
        <w:t>参选</w:t>
      </w:r>
      <w:r>
        <w:rPr>
          <w:color w:val="000000" w:themeColor="text1"/>
          <w:sz w:val="24"/>
          <w14:textFill>
            <w14:solidFill>
              <w14:schemeClr w14:val="tx1"/>
            </w14:solidFill>
          </w14:textFill>
        </w:rPr>
        <w:t>人公章）</w:t>
      </w:r>
    </w:p>
    <w:p>
      <w:pPr>
        <w:tabs>
          <w:tab w:val="left" w:pos="6300"/>
        </w:tabs>
        <w:snapToGrid w:val="0"/>
        <w:spacing w:line="360" w:lineRule="auto"/>
        <w:ind w:right="480" w:firstLine="57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 xml:space="preserve">    </w:t>
      </w:r>
      <w:r>
        <w:rPr>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 xml:space="preserve">    </w:t>
      </w:r>
      <w:r>
        <w:rPr>
          <w:color w:val="000000" w:themeColor="text1"/>
          <w:sz w:val="24"/>
          <w14:textFill>
            <w14:solidFill>
              <w14:schemeClr w14:val="tx1"/>
            </w14:solidFill>
          </w14:textFill>
        </w:rPr>
        <w:t>日</w:t>
      </w:r>
    </w:p>
    <w:p>
      <w:pPr>
        <w:spacing w:line="360" w:lineRule="auto"/>
        <w:jc w:val="left"/>
        <w:rPr>
          <w:snapToGrid w:val="0"/>
          <w:color w:val="000000" w:themeColor="text1"/>
          <w:kern w:val="0"/>
          <w:sz w:val="24"/>
          <w:szCs w:val="24"/>
          <w14:textFill>
            <w14:solidFill>
              <w14:schemeClr w14:val="tx1"/>
            </w14:solidFill>
          </w14:textFill>
        </w:rPr>
      </w:pPr>
    </w:p>
    <w:p>
      <w:pPr>
        <w:spacing w:line="360" w:lineRule="auto"/>
        <w:jc w:val="left"/>
        <w:rPr>
          <w:snapToGrid w:val="0"/>
          <w:color w:val="000000" w:themeColor="text1"/>
          <w:kern w:val="0"/>
          <w:sz w:val="24"/>
          <w:szCs w:val="24"/>
          <w14:textFill>
            <w14:solidFill>
              <w14:schemeClr w14:val="tx1"/>
            </w14:solidFill>
          </w14:textFill>
        </w:rPr>
      </w:pPr>
    </w:p>
    <w:p>
      <w:pPr>
        <w:spacing w:line="360" w:lineRule="auto"/>
        <w:jc w:val="left"/>
        <w:rPr>
          <w:snapToGrid w:val="0"/>
          <w:color w:val="000000" w:themeColor="text1"/>
          <w:kern w:val="0"/>
          <w:sz w:val="24"/>
          <w:szCs w:val="24"/>
          <w14:textFill>
            <w14:solidFill>
              <w14:schemeClr w14:val="tx1"/>
            </w14:solidFill>
          </w14:textFill>
        </w:rPr>
      </w:pPr>
    </w:p>
    <w:p>
      <w:pPr>
        <w:spacing w:line="360" w:lineRule="auto"/>
        <w:jc w:val="left"/>
        <w:rPr>
          <w:snapToGrid w:val="0"/>
          <w:color w:val="000000" w:themeColor="text1"/>
          <w:kern w:val="0"/>
          <w:sz w:val="24"/>
          <w:szCs w:val="24"/>
          <w14:textFill>
            <w14:solidFill>
              <w14:schemeClr w14:val="tx1"/>
            </w14:solidFill>
          </w14:textFill>
        </w:rPr>
      </w:pPr>
    </w:p>
    <w:p>
      <w:pPr>
        <w:tabs>
          <w:tab w:val="left" w:pos="6300"/>
        </w:tabs>
        <w:snapToGrid w:val="0"/>
        <w:spacing w:line="360" w:lineRule="auto"/>
        <w:ind w:firstLine="570"/>
        <w:rPr>
          <w:snapToGrid w:val="0"/>
          <w:color w:val="000000" w:themeColor="text1"/>
          <w:kern w:val="0"/>
          <w:sz w:val="24"/>
          <w:szCs w:val="24"/>
          <w14:textFill>
            <w14:solidFill>
              <w14:schemeClr w14:val="tx1"/>
            </w14:solidFill>
          </w14:textFill>
        </w:rPr>
        <w:sectPr>
          <w:pgSz w:w="11906" w:h="16838"/>
          <w:pgMar w:top="1440" w:right="1800" w:bottom="1440" w:left="1800" w:header="851" w:footer="992" w:gutter="0"/>
          <w:pgNumType w:chapStyle="1"/>
          <w:cols w:space="720" w:num="1"/>
          <w:docGrid w:type="lines" w:linePitch="312" w:charSpace="0"/>
        </w:sectPr>
      </w:pPr>
      <w:r>
        <w:rPr>
          <w:snapToGrid w:val="0"/>
          <w:color w:val="000000" w:themeColor="text1"/>
          <w:kern w:val="0"/>
          <w:sz w:val="24"/>
          <w:szCs w:val="24"/>
          <w14:textFill>
            <w14:solidFill>
              <w14:schemeClr w14:val="tx1"/>
            </w14:solidFill>
          </w14:textFill>
        </w:rPr>
        <w:br w:type="page"/>
      </w:r>
      <w:r>
        <w:rPr>
          <w:rFonts w:hint="eastAsia"/>
          <w:b/>
          <w:bCs/>
          <w:color w:val="000000" w:themeColor="text1"/>
          <w:sz w:val="24"/>
          <w14:textFill>
            <w14:solidFill>
              <w14:schemeClr w14:val="tx1"/>
            </w14:solidFill>
          </w14:textFill>
        </w:rPr>
        <w:t>“法人及法定代表人没有被人民法院列为失信被执行人名单”，提供中国执行信息公开网截图加盖参选人公章</w:t>
      </w:r>
    </w:p>
    <w:p>
      <w:pPr>
        <w:pStyle w:val="4"/>
        <w:ind w:firstLine="0" w:firstLineChars="0"/>
        <w:jc w:val="center"/>
        <w:rPr>
          <w:b w:val="0"/>
          <w:color w:val="000000" w:themeColor="text1"/>
          <w:kern w:val="0"/>
          <w:sz w:val="32"/>
          <w14:textFill>
            <w14:solidFill>
              <w14:schemeClr w14:val="tx1"/>
            </w14:solidFill>
          </w14:textFill>
        </w:rPr>
      </w:pPr>
      <w:r>
        <w:rPr>
          <w:rFonts w:hint="eastAsia" w:cs="等线 Light"/>
          <w:color w:val="000000" w:themeColor="text1"/>
          <w:kern w:val="0"/>
          <w14:textFill>
            <w14:solidFill>
              <w14:schemeClr w14:val="tx1"/>
            </w14:solidFill>
          </w14:textFill>
        </w:rPr>
        <w:t>六、</w:t>
      </w:r>
      <w:r>
        <w:rPr>
          <w:rFonts w:hint="eastAsia" w:cs="Cambria"/>
          <w:bCs w:val="0"/>
          <w:snapToGrid/>
          <w:color w:val="000000" w:themeColor="text1"/>
          <w:sz w:val="28"/>
          <w:szCs w:val="28"/>
          <w14:textFill>
            <w14:solidFill>
              <w14:schemeClr w14:val="tx1"/>
            </w14:solidFill>
          </w14:textFill>
        </w:rPr>
        <w:t>参选人业绩证明文件复印件</w:t>
      </w:r>
    </w:p>
    <w:p>
      <w:pPr>
        <w:tabs>
          <w:tab w:val="left" w:pos="6300"/>
        </w:tabs>
        <w:snapToGrid w:val="0"/>
        <w:spacing w:line="360" w:lineRule="auto"/>
        <w:jc w:val="center"/>
        <w:rPr>
          <w:rFonts w:ascii="宋体"/>
          <w:snapToGrid w:val="0"/>
          <w:color w:val="000000" w:themeColor="text1"/>
          <w:kern w:val="0"/>
          <w:sz w:val="24"/>
          <w:szCs w:val="24"/>
          <w14:textFill>
            <w14:solidFill>
              <w14:schemeClr w14:val="tx1"/>
            </w14:solidFill>
          </w14:textFill>
        </w:rPr>
      </w:pPr>
      <w:r>
        <w:rPr>
          <w:rFonts w:hint="eastAsia" w:ascii="宋体"/>
          <w:snapToGrid w:val="0"/>
          <w:color w:val="000000" w:themeColor="text1"/>
          <w:kern w:val="0"/>
          <w:sz w:val="24"/>
          <w:szCs w:val="24"/>
          <w14:textFill>
            <w14:solidFill>
              <w14:schemeClr w14:val="tx1"/>
            </w14:solidFill>
          </w14:textFill>
        </w:rPr>
        <w:t>（中选通知书、合同等）</w:t>
      </w:r>
    </w:p>
    <w:p>
      <w:pPr>
        <w:jc w:val="center"/>
        <w:rPr>
          <w:rFonts w:hint="eastAsia" w:ascii="宋体" w:cs="Cambria"/>
          <w:b/>
          <w:color w:val="000000" w:themeColor="text1"/>
          <w:szCs w:val="28"/>
          <w14:textFill>
            <w14:solidFill>
              <w14:schemeClr w14:val="tx1"/>
            </w14:solidFill>
          </w14:textFill>
        </w:rPr>
      </w:pPr>
      <w:r>
        <w:rPr>
          <w:rFonts w:hint="eastAsia"/>
          <w:color w:val="000000" w:themeColor="text1"/>
          <w:kern w:val="0"/>
          <w14:textFill>
            <w14:solidFill>
              <w14:schemeClr w14:val="tx1"/>
            </w14:solidFill>
          </w14:textFill>
        </w:rPr>
        <w:br w:type="page"/>
      </w:r>
      <w:r>
        <w:rPr>
          <w:rFonts w:hint="eastAsia" w:ascii="宋体" w:cs="Cambria"/>
          <w:b/>
          <w:color w:val="000000" w:themeColor="text1"/>
          <w:kern w:val="2"/>
          <w:szCs w:val="28"/>
          <w14:textFill>
            <w14:solidFill>
              <w14:schemeClr w14:val="tx1"/>
            </w14:solidFill>
          </w14:textFill>
        </w:rPr>
        <w:t>七</w:t>
      </w:r>
      <w:r>
        <w:rPr>
          <w:rFonts w:hint="eastAsia" w:ascii="宋体" w:cs="Cambria"/>
          <w:b/>
          <w:color w:val="000000" w:themeColor="text1"/>
          <w:szCs w:val="28"/>
          <w14:textFill>
            <w14:solidFill>
              <w14:schemeClr w14:val="tx1"/>
            </w14:solidFill>
          </w14:textFill>
        </w:rPr>
        <w:t>、反商业贿赂承诺书</w:t>
      </w:r>
    </w:p>
    <w:p>
      <w:pPr>
        <w:spacing w:line="560" w:lineRule="exact"/>
        <w:rPr>
          <w:rFonts w:ascii="宋体" w:cs="宋体"/>
          <w:snapToGrid w:val="0"/>
          <w:color w:val="000000" w:themeColor="text1"/>
          <w:kern w:val="0"/>
          <w:sz w:val="24"/>
          <w:szCs w:val="24"/>
          <w14:textFill>
            <w14:solidFill>
              <w14:schemeClr w14:val="tx1"/>
            </w14:solidFill>
          </w14:textFill>
        </w:rPr>
      </w:pPr>
      <w:r>
        <w:rPr>
          <w:rFonts w:hint="eastAsia" w:ascii="宋体" w:cs="宋体"/>
          <w:snapToGrid w:val="0"/>
          <w:color w:val="000000" w:themeColor="text1"/>
          <w:kern w:val="0"/>
          <w:sz w:val="24"/>
          <w:szCs w:val="24"/>
          <w14:textFill>
            <w14:solidFill>
              <w14:schemeClr w14:val="tx1"/>
            </w14:solidFill>
          </w14:textFill>
        </w:rPr>
        <w:t>项目名称：</w:t>
      </w:r>
    </w:p>
    <w:p>
      <w:pPr>
        <w:spacing w:line="560" w:lineRule="exact"/>
        <w:rPr>
          <w:rFonts w:ascii="宋体" w:cs="宋体"/>
          <w:snapToGrid w:val="0"/>
          <w:color w:val="000000" w:themeColor="text1"/>
          <w:kern w:val="0"/>
          <w:sz w:val="24"/>
          <w:szCs w:val="24"/>
          <w14:textFill>
            <w14:solidFill>
              <w14:schemeClr w14:val="tx1"/>
            </w14:solidFill>
          </w14:textFill>
        </w:rPr>
      </w:pPr>
      <w:r>
        <w:rPr>
          <w:rFonts w:hint="eastAsia" w:ascii="宋体" w:cs="宋体"/>
          <w:snapToGrid w:val="0"/>
          <w:color w:val="000000" w:themeColor="text1"/>
          <w:kern w:val="0"/>
          <w:sz w:val="24"/>
          <w:szCs w:val="24"/>
          <w14:textFill>
            <w14:solidFill>
              <w14:schemeClr w14:val="tx1"/>
            </w14:solidFill>
          </w14:textFill>
        </w:rPr>
        <w:t>日期：</w:t>
      </w:r>
    </w:p>
    <w:p>
      <w:pPr>
        <w:spacing w:line="560" w:lineRule="exact"/>
        <w:ind w:firstLine="480" w:firstLineChars="200"/>
        <w:rPr>
          <w:rFonts w:ascii="宋体" w:cs="宋体"/>
          <w:snapToGrid w:val="0"/>
          <w:color w:val="000000" w:themeColor="text1"/>
          <w:kern w:val="0"/>
          <w:sz w:val="24"/>
          <w:szCs w:val="24"/>
          <w14:textFill>
            <w14:solidFill>
              <w14:schemeClr w14:val="tx1"/>
            </w14:solidFill>
          </w14:textFill>
        </w:rPr>
      </w:pPr>
      <w:r>
        <w:rPr>
          <w:rFonts w:hint="eastAsia" w:ascii="宋体" w:cs="宋体"/>
          <w:snapToGrid w:val="0"/>
          <w:color w:val="000000" w:themeColor="text1"/>
          <w:kern w:val="0"/>
          <w:sz w:val="24"/>
          <w:szCs w:val="24"/>
          <w14:textFill>
            <w14:solidFill>
              <w14:schemeClr w14:val="tx1"/>
            </w14:solidFill>
          </w14:textFill>
        </w:rPr>
        <w:t>致：（采购人）</w:t>
      </w:r>
    </w:p>
    <w:p>
      <w:pPr>
        <w:spacing w:line="560" w:lineRule="exact"/>
        <w:ind w:firstLine="480" w:firstLineChars="200"/>
        <w:rPr>
          <w:rFonts w:ascii="宋体" w:cs="宋体"/>
          <w:snapToGrid w:val="0"/>
          <w:color w:val="000000" w:themeColor="text1"/>
          <w:kern w:val="0"/>
          <w:sz w:val="24"/>
          <w:szCs w:val="24"/>
          <w14:textFill>
            <w14:solidFill>
              <w14:schemeClr w14:val="tx1"/>
            </w14:solidFill>
          </w14:textFill>
        </w:rPr>
      </w:pPr>
      <w:r>
        <w:rPr>
          <w:rFonts w:hint="eastAsia" w:ascii="宋体" w:cs="宋体"/>
          <w:snapToGrid w:val="0"/>
          <w:color w:val="000000" w:themeColor="text1"/>
          <w:kern w:val="0"/>
          <w:sz w:val="24"/>
          <w:szCs w:val="24"/>
          <w14:textFill>
            <w14:solidFill>
              <w14:schemeClr w14:val="tx1"/>
            </w14:solidFill>
          </w14:textFill>
        </w:rPr>
        <w:t>我代表（参选人名称），在此作如下承诺：</w:t>
      </w:r>
    </w:p>
    <w:p>
      <w:pPr>
        <w:spacing w:line="560" w:lineRule="exact"/>
        <w:ind w:firstLine="600" w:firstLineChars="250"/>
        <w:rPr>
          <w:rFonts w:ascii="宋体" w:cs="宋体"/>
          <w:snapToGrid w:val="0"/>
          <w:color w:val="000000" w:themeColor="text1"/>
          <w:kern w:val="0"/>
          <w:sz w:val="24"/>
          <w:szCs w:val="24"/>
          <w14:textFill>
            <w14:solidFill>
              <w14:schemeClr w14:val="tx1"/>
            </w14:solidFill>
          </w14:textFill>
        </w:rPr>
      </w:pPr>
      <w:r>
        <w:rPr>
          <w:rFonts w:hint="eastAsia" w:ascii="宋体" w:cs="宋体"/>
          <w:snapToGrid w:val="0"/>
          <w:color w:val="000000" w:themeColor="text1"/>
          <w:kern w:val="0"/>
          <w:sz w:val="24"/>
          <w:szCs w:val="24"/>
          <w14:textFill>
            <w14:solidFill>
              <w14:schemeClr w14:val="tx1"/>
            </w14:solidFill>
          </w14:textFill>
        </w:rPr>
        <w:t>一、不赠送礼金礼品、有价证券、购物券。</w:t>
      </w:r>
    </w:p>
    <w:p>
      <w:pPr>
        <w:spacing w:line="560" w:lineRule="exact"/>
        <w:ind w:firstLine="600" w:firstLineChars="250"/>
        <w:rPr>
          <w:rFonts w:ascii="宋体" w:cs="宋体"/>
          <w:snapToGrid w:val="0"/>
          <w:color w:val="000000" w:themeColor="text1"/>
          <w:kern w:val="0"/>
          <w:sz w:val="24"/>
          <w:szCs w:val="24"/>
          <w14:textFill>
            <w14:solidFill>
              <w14:schemeClr w14:val="tx1"/>
            </w14:solidFill>
          </w14:textFill>
        </w:rPr>
      </w:pPr>
      <w:r>
        <w:rPr>
          <w:rFonts w:hint="eastAsia" w:ascii="宋体" w:cs="宋体"/>
          <w:snapToGrid w:val="0"/>
          <w:color w:val="000000" w:themeColor="text1"/>
          <w:kern w:val="0"/>
          <w:sz w:val="24"/>
          <w:szCs w:val="24"/>
          <w14:textFill>
            <w14:solidFill>
              <w14:schemeClr w14:val="tx1"/>
            </w14:solidFill>
          </w14:textFill>
        </w:rPr>
        <w:t>二、不支付回扣、佣金、咨询费、劳务费、赞助费、宣传费。</w:t>
      </w:r>
    </w:p>
    <w:p>
      <w:pPr>
        <w:spacing w:line="560" w:lineRule="exact"/>
        <w:ind w:firstLine="600" w:firstLineChars="250"/>
        <w:rPr>
          <w:rFonts w:ascii="宋体" w:cs="宋体"/>
          <w:snapToGrid w:val="0"/>
          <w:color w:val="000000" w:themeColor="text1"/>
          <w:kern w:val="0"/>
          <w:sz w:val="24"/>
          <w:szCs w:val="24"/>
          <w14:textFill>
            <w14:solidFill>
              <w14:schemeClr w14:val="tx1"/>
            </w14:solidFill>
          </w14:textFill>
        </w:rPr>
      </w:pPr>
      <w:r>
        <w:rPr>
          <w:rFonts w:hint="eastAsia" w:ascii="宋体" w:cs="宋体"/>
          <w:snapToGrid w:val="0"/>
          <w:color w:val="000000" w:themeColor="text1"/>
          <w:kern w:val="0"/>
          <w:sz w:val="24"/>
          <w:szCs w:val="24"/>
          <w14:textFill>
            <w14:solidFill>
              <w14:schemeClr w14:val="tx1"/>
            </w14:solidFill>
          </w14:textFill>
        </w:rPr>
        <w:t>三、不支付旅游费用、不报销各种消费凭证、不邀请参加高消费娱乐活动。</w:t>
      </w:r>
    </w:p>
    <w:p>
      <w:pPr>
        <w:spacing w:line="560" w:lineRule="exact"/>
        <w:ind w:firstLine="600" w:firstLineChars="250"/>
        <w:rPr>
          <w:rFonts w:ascii="宋体" w:cs="宋体"/>
          <w:snapToGrid w:val="0"/>
          <w:color w:val="000000" w:themeColor="text1"/>
          <w:kern w:val="0"/>
          <w:sz w:val="24"/>
          <w:szCs w:val="24"/>
          <w14:textFill>
            <w14:solidFill>
              <w14:schemeClr w14:val="tx1"/>
            </w14:solidFill>
          </w14:textFill>
        </w:rPr>
      </w:pPr>
      <w:r>
        <w:rPr>
          <w:rFonts w:hint="eastAsia" w:ascii="宋体" w:cs="宋体"/>
          <w:snapToGrid w:val="0"/>
          <w:color w:val="000000" w:themeColor="text1"/>
          <w:kern w:val="0"/>
          <w:sz w:val="24"/>
          <w:szCs w:val="24"/>
          <w14:textFill>
            <w14:solidFill>
              <w14:schemeClr w14:val="tx1"/>
            </w14:solidFill>
          </w14:textFill>
        </w:rPr>
        <w:t>四、不宴请或以工作餐名义宴请。</w:t>
      </w:r>
    </w:p>
    <w:p>
      <w:pPr>
        <w:spacing w:line="560" w:lineRule="exact"/>
        <w:ind w:firstLine="600" w:firstLineChars="250"/>
        <w:rPr>
          <w:rFonts w:ascii="宋体" w:cs="宋体"/>
          <w:snapToGrid w:val="0"/>
          <w:color w:val="000000" w:themeColor="text1"/>
          <w:kern w:val="0"/>
          <w:sz w:val="24"/>
          <w:szCs w:val="24"/>
          <w14:textFill>
            <w14:solidFill>
              <w14:schemeClr w14:val="tx1"/>
            </w14:solidFill>
          </w14:textFill>
        </w:rPr>
      </w:pPr>
      <w:r>
        <w:rPr>
          <w:rFonts w:hint="eastAsia" w:ascii="宋体" w:cs="宋体"/>
          <w:snapToGrid w:val="0"/>
          <w:color w:val="000000" w:themeColor="text1"/>
          <w:kern w:val="0"/>
          <w:sz w:val="24"/>
          <w:szCs w:val="24"/>
          <w14:textFill>
            <w14:solidFill>
              <w14:schemeClr w14:val="tx1"/>
            </w14:solidFill>
          </w14:textFill>
        </w:rPr>
        <w:t>五、不以低于成本价出售该公司产品或代理商品。</w:t>
      </w:r>
    </w:p>
    <w:p>
      <w:pPr>
        <w:spacing w:line="560" w:lineRule="exact"/>
        <w:ind w:firstLine="600" w:firstLineChars="250"/>
        <w:rPr>
          <w:rFonts w:ascii="宋体" w:cs="宋体"/>
          <w:snapToGrid w:val="0"/>
          <w:color w:val="000000" w:themeColor="text1"/>
          <w:kern w:val="0"/>
          <w:sz w:val="24"/>
          <w:szCs w:val="24"/>
          <w14:textFill>
            <w14:solidFill>
              <w14:schemeClr w14:val="tx1"/>
            </w14:solidFill>
          </w14:textFill>
        </w:rPr>
      </w:pPr>
      <w:r>
        <w:rPr>
          <w:rFonts w:hint="eastAsia" w:ascii="宋体" w:cs="宋体"/>
          <w:snapToGrid w:val="0"/>
          <w:color w:val="000000" w:themeColor="text1"/>
          <w:kern w:val="0"/>
          <w:sz w:val="24"/>
          <w:szCs w:val="24"/>
          <w14:textFill>
            <w14:solidFill>
              <w14:schemeClr w14:val="tx1"/>
            </w14:solidFill>
          </w14:textFill>
        </w:rPr>
        <w:t>六、不提供交通车辆服务和油料。</w:t>
      </w:r>
    </w:p>
    <w:p>
      <w:pPr>
        <w:spacing w:line="560" w:lineRule="exact"/>
        <w:ind w:firstLine="600" w:firstLineChars="250"/>
        <w:rPr>
          <w:rFonts w:ascii="宋体" w:cs="宋体"/>
          <w:snapToGrid w:val="0"/>
          <w:color w:val="000000" w:themeColor="text1"/>
          <w:kern w:val="0"/>
          <w:sz w:val="24"/>
          <w:szCs w:val="24"/>
          <w14:textFill>
            <w14:solidFill>
              <w14:schemeClr w14:val="tx1"/>
            </w14:solidFill>
          </w14:textFill>
        </w:rPr>
      </w:pPr>
      <w:r>
        <w:rPr>
          <w:rFonts w:hint="eastAsia" w:ascii="宋体" w:cs="宋体"/>
          <w:snapToGrid w:val="0"/>
          <w:color w:val="000000" w:themeColor="text1"/>
          <w:kern w:val="0"/>
          <w:sz w:val="24"/>
          <w:szCs w:val="24"/>
          <w14:textFill>
            <w14:solidFill>
              <w14:schemeClr w14:val="tx1"/>
            </w14:solidFill>
          </w14:textFill>
        </w:rPr>
        <w:t>对此，我方将严格按承诺书中的各项要求执行，如有违反，将自愿接受限制一至三年服务资格的处罚。</w:t>
      </w:r>
    </w:p>
    <w:p>
      <w:pPr>
        <w:spacing w:line="560" w:lineRule="exact"/>
        <w:ind w:firstLine="480" w:firstLineChars="200"/>
        <w:rPr>
          <w:rFonts w:ascii="宋体" w:cs="宋体"/>
          <w:snapToGrid w:val="0"/>
          <w:color w:val="000000" w:themeColor="text1"/>
          <w:kern w:val="0"/>
          <w:sz w:val="24"/>
          <w:szCs w:val="24"/>
          <w14:textFill>
            <w14:solidFill>
              <w14:schemeClr w14:val="tx1"/>
            </w14:solidFill>
          </w14:textFill>
        </w:rPr>
      </w:pPr>
    </w:p>
    <w:p>
      <w:pPr>
        <w:spacing w:line="560" w:lineRule="exact"/>
        <w:ind w:firstLine="480" w:firstLineChars="200"/>
        <w:rPr>
          <w:rFonts w:ascii="宋体" w:cs="宋体"/>
          <w:snapToGrid w:val="0"/>
          <w:color w:val="000000" w:themeColor="text1"/>
          <w:kern w:val="0"/>
          <w:sz w:val="24"/>
          <w:szCs w:val="24"/>
          <w14:textFill>
            <w14:solidFill>
              <w14:schemeClr w14:val="tx1"/>
            </w14:solidFill>
          </w14:textFill>
        </w:rPr>
      </w:pPr>
      <w:r>
        <w:rPr>
          <w:rFonts w:hint="eastAsia" w:ascii="宋体" w:cs="宋体"/>
          <w:snapToGrid w:val="0"/>
          <w:color w:val="000000" w:themeColor="text1"/>
          <w:kern w:val="0"/>
          <w:sz w:val="24"/>
          <w:szCs w:val="24"/>
          <w14:textFill>
            <w14:solidFill>
              <w14:schemeClr w14:val="tx1"/>
            </w14:solidFill>
          </w14:textFill>
        </w:rPr>
        <w:t>负责人或其委托代理人（签章）：</w:t>
      </w:r>
    </w:p>
    <w:p>
      <w:pPr>
        <w:spacing w:line="560" w:lineRule="exact"/>
        <w:ind w:firstLine="480" w:firstLineChars="200"/>
        <w:rPr>
          <w:rFonts w:ascii="宋体" w:cs="宋体"/>
          <w:snapToGrid w:val="0"/>
          <w:color w:val="000000" w:themeColor="text1"/>
          <w:kern w:val="0"/>
          <w:sz w:val="24"/>
          <w:szCs w:val="24"/>
          <w14:textFill>
            <w14:solidFill>
              <w14:schemeClr w14:val="tx1"/>
            </w14:solidFill>
          </w14:textFill>
        </w:rPr>
      </w:pPr>
      <w:r>
        <w:rPr>
          <w:rFonts w:hint="eastAsia" w:ascii="宋体" w:cs="宋体"/>
          <w:snapToGrid w:val="0"/>
          <w:color w:val="000000" w:themeColor="text1"/>
          <w:kern w:val="0"/>
          <w:sz w:val="24"/>
          <w:szCs w:val="24"/>
          <w14:textFill>
            <w14:solidFill>
              <w14:schemeClr w14:val="tx1"/>
            </w14:solidFill>
          </w14:textFill>
        </w:rPr>
        <w:t>参选人公章：</w:t>
      </w:r>
    </w:p>
    <w:p>
      <w:pPr>
        <w:spacing w:line="560" w:lineRule="exact"/>
        <w:ind w:firstLine="480" w:firstLineChars="200"/>
        <w:jc w:val="right"/>
        <w:rPr>
          <w:rFonts w:ascii="宋体" w:cs="宋体"/>
          <w:snapToGrid w:val="0"/>
          <w:color w:val="000000" w:themeColor="text1"/>
          <w:kern w:val="0"/>
          <w:sz w:val="24"/>
          <w:szCs w:val="24"/>
          <w14:textFill>
            <w14:solidFill>
              <w14:schemeClr w14:val="tx1"/>
            </w14:solidFill>
          </w14:textFill>
        </w:rPr>
      </w:pPr>
      <w:r>
        <w:rPr>
          <w:rFonts w:hint="eastAsia" w:ascii="宋体" w:cs="宋体"/>
          <w:snapToGrid w:val="0"/>
          <w:color w:val="000000" w:themeColor="text1"/>
          <w:kern w:val="0"/>
          <w:sz w:val="24"/>
          <w:szCs w:val="24"/>
          <w14:textFill>
            <w14:solidFill>
              <w14:schemeClr w14:val="tx1"/>
            </w14:solidFill>
          </w14:textFill>
        </w:rPr>
        <w:t>日期：年</w:t>
      </w:r>
      <w:r>
        <w:rPr>
          <w:rFonts w:hint="eastAsia" w:ascii="宋体" w:cs="宋体"/>
          <w:snapToGrid w:val="0"/>
          <w:color w:val="000000" w:themeColor="text1"/>
          <w:kern w:val="0"/>
          <w:sz w:val="24"/>
          <w:szCs w:val="24"/>
          <w:lang w:val="en-US" w:eastAsia="zh-CN"/>
          <w14:textFill>
            <w14:solidFill>
              <w14:schemeClr w14:val="tx1"/>
            </w14:solidFill>
          </w14:textFill>
        </w:rPr>
        <w:t xml:space="preserve">    </w:t>
      </w:r>
      <w:r>
        <w:rPr>
          <w:rFonts w:hint="eastAsia" w:ascii="宋体" w:cs="宋体"/>
          <w:snapToGrid w:val="0"/>
          <w:color w:val="000000" w:themeColor="text1"/>
          <w:kern w:val="0"/>
          <w:sz w:val="24"/>
          <w:szCs w:val="24"/>
          <w14:textFill>
            <w14:solidFill>
              <w14:schemeClr w14:val="tx1"/>
            </w14:solidFill>
          </w14:textFill>
        </w:rPr>
        <w:t>月</w:t>
      </w:r>
      <w:r>
        <w:rPr>
          <w:rFonts w:hint="eastAsia" w:ascii="宋体" w:cs="宋体"/>
          <w:snapToGrid w:val="0"/>
          <w:color w:val="000000" w:themeColor="text1"/>
          <w:kern w:val="0"/>
          <w:sz w:val="24"/>
          <w:szCs w:val="24"/>
          <w:lang w:val="en-US" w:eastAsia="zh-CN"/>
          <w14:textFill>
            <w14:solidFill>
              <w14:schemeClr w14:val="tx1"/>
            </w14:solidFill>
          </w14:textFill>
        </w:rPr>
        <w:t xml:space="preserve">    </w:t>
      </w:r>
      <w:r>
        <w:rPr>
          <w:rFonts w:hint="eastAsia" w:ascii="宋体" w:cs="宋体"/>
          <w:snapToGrid w:val="0"/>
          <w:color w:val="000000" w:themeColor="text1"/>
          <w:kern w:val="0"/>
          <w:sz w:val="24"/>
          <w:szCs w:val="24"/>
          <w14:textFill>
            <w14:solidFill>
              <w14:schemeClr w14:val="tx1"/>
            </w14:solidFill>
          </w14:textFill>
        </w:rPr>
        <w:t>日</w:t>
      </w:r>
    </w:p>
    <w:p>
      <w:pPr>
        <w:tabs>
          <w:tab w:val="left" w:pos="6300"/>
        </w:tabs>
        <w:snapToGrid w:val="0"/>
        <w:spacing w:line="560" w:lineRule="exact"/>
        <w:ind w:firstLine="6480" w:firstLineChars="2700"/>
        <w:rPr>
          <w:color w:val="000000" w:themeColor="text1"/>
          <w14:textFill>
            <w14:solidFill>
              <w14:schemeClr w14:val="tx1"/>
            </w14:solidFill>
          </w14:textFill>
        </w:rPr>
      </w:pPr>
    </w:p>
    <w:p>
      <w:pPr>
        <w:tabs>
          <w:tab w:val="left" w:pos="6300"/>
        </w:tabs>
        <w:snapToGrid w:val="0"/>
        <w:spacing w:line="560" w:lineRule="exact"/>
        <w:ind w:firstLine="6480" w:firstLineChars="2700"/>
        <w:rPr>
          <w:color w:val="000000" w:themeColor="text1"/>
          <w14:textFill>
            <w14:solidFill>
              <w14:schemeClr w14:val="tx1"/>
            </w14:solidFill>
          </w14:textFill>
        </w:rPr>
      </w:pPr>
    </w:p>
    <w:p>
      <w:pPr>
        <w:tabs>
          <w:tab w:val="left" w:pos="6300"/>
        </w:tabs>
        <w:snapToGrid w:val="0"/>
        <w:spacing w:line="560" w:lineRule="exact"/>
        <w:ind w:firstLine="6480" w:firstLineChars="2700"/>
        <w:rPr>
          <w:color w:val="000000" w:themeColor="text1"/>
          <w14:textFill>
            <w14:solidFill>
              <w14:schemeClr w14:val="tx1"/>
            </w14:solidFill>
          </w14:textFill>
        </w:rPr>
      </w:pPr>
    </w:p>
    <w:p>
      <w:pPr>
        <w:tabs>
          <w:tab w:val="left" w:pos="6300"/>
        </w:tabs>
        <w:snapToGrid w:val="0"/>
        <w:spacing w:line="560" w:lineRule="exact"/>
        <w:ind w:firstLine="6480" w:firstLineChars="2700"/>
        <w:rPr>
          <w:color w:val="000000" w:themeColor="text1"/>
          <w14:textFill>
            <w14:solidFill>
              <w14:schemeClr w14:val="tx1"/>
            </w14:solidFill>
          </w14:textFill>
        </w:rPr>
      </w:pPr>
    </w:p>
    <w:p>
      <w:pPr>
        <w:tabs>
          <w:tab w:val="left" w:pos="6300"/>
        </w:tabs>
        <w:snapToGrid w:val="0"/>
        <w:spacing w:line="560" w:lineRule="exact"/>
        <w:ind w:firstLine="6480" w:firstLineChars="2700"/>
        <w:rPr>
          <w:color w:val="000000" w:themeColor="text1"/>
          <w14:textFill>
            <w14:solidFill>
              <w14:schemeClr w14:val="tx1"/>
            </w14:solidFill>
          </w14:textFill>
        </w:rPr>
      </w:pPr>
    </w:p>
    <w:p>
      <w:pPr>
        <w:tabs>
          <w:tab w:val="left" w:pos="6300"/>
        </w:tabs>
        <w:snapToGrid w:val="0"/>
        <w:spacing w:line="560" w:lineRule="exact"/>
        <w:ind w:firstLine="6480" w:firstLineChars="2700"/>
        <w:rPr>
          <w:color w:val="000000" w:themeColor="text1"/>
          <w14:textFill>
            <w14:solidFill>
              <w14:schemeClr w14:val="tx1"/>
            </w14:solidFill>
          </w14:textFill>
        </w:rPr>
      </w:pPr>
    </w:p>
    <w:p>
      <w:pPr>
        <w:jc w:val="center"/>
        <w:rPr>
          <w:rFonts w:ascii="宋体" w:cs="宋体"/>
          <w:b/>
          <w:color w:val="000000" w:themeColor="text1"/>
          <w:sz w:val="48"/>
          <w:szCs w:val="48"/>
          <w14:textFill>
            <w14:solidFill>
              <w14:schemeClr w14:val="tx1"/>
            </w14:solidFill>
          </w14:textFill>
        </w:rPr>
      </w:pPr>
    </w:p>
    <w:p>
      <w:pPr>
        <w:jc w:val="center"/>
        <w:rPr>
          <w:rFonts w:ascii="宋体" w:cs="Cambria"/>
          <w:b/>
          <w:color w:val="000000" w:themeColor="text1"/>
          <w:szCs w:val="28"/>
          <w14:textFill>
            <w14:solidFill>
              <w14:schemeClr w14:val="tx1"/>
            </w14:solidFill>
          </w14:textFill>
        </w:rPr>
      </w:pPr>
      <w:r>
        <w:rPr>
          <w:rFonts w:hint="eastAsia" w:ascii="宋体" w:cs="Cambria"/>
          <w:b/>
          <w:color w:val="000000" w:themeColor="text1"/>
          <w:szCs w:val="28"/>
          <w14:textFill>
            <w14:solidFill>
              <w14:schemeClr w14:val="tx1"/>
            </w14:solidFill>
          </w14:textFill>
        </w:rPr>
        <w:t>八、参选人对于参选文件以及相关的服务承诺所出具的真实性承诺</w:t>
      </w:r>
    </w:p>
    <w:p>
      <w:pPr>
        <w:spacing w:line="560" w:lineRule="exact"/>
        <w:ind w:firstLine="720" w:firstLineChars="300"/>
        <w:rPr>
          <w:rFonts w:ascii="宋体" w:cs="宋体"/>
          <w:snapToGrid w:val="0"/>
          <w:color w:val="000000" w:themeColor="text1"/>
          <w:kern w:val="0"/>
          <w:sz w:val="24"/>
          <w:szCs w:val="24"/>
          <w14:textFill>
            <w14:solidFill>
              <w14:schemeClr w14:val="tx1"/>
            </w14:solidFill>
          </w14:textFill>
        </w:rPr>
      </w:pPr>
    </w:p>
    <w:p>
      <w:pPr>
        <w:spacing w:line="560" w:lineRule="exact"/>
        <w:rPr>
          <w:rFonts w:ascii="宋体" w:cs="宋体"/>
          <w:snapToGrid w:val="0"/>
          <w:color w:val="000000" w:themeColor="text1"/>
          <w:kern w:val="0"/>
          <w:sz w:val="24"/>
          <w:szCs w:val="24"/>
          <w14:textFill>
            <w14:solidFill>
              <w14:schemeClr w14:val="tx1"/>
            </w14:solidFill>
          </w14:textFill>
        </w:rPr>
      </w:pPr>
      <w:r>
        <w:rPr>
          <w:rFonts w:hint="eastAsia" w:ascii="宋体" w:cs="宋体"/>
          <w:snapToGrid w:val="0"/>
          <w:color w:val="000000" w:themeColor="text1"/>
          <w:kern w:val="0"/>
          <w:sz w:val="24"/>
          <w:szCs w:val="24"/>
          <w14:textFill>
            <w14:solidFill>
              <w14:schemeClr w14:val="tx1"/>
            </w14:solidFill>
          </w14:textFill>
        </w:rPr>
        <w:t>重庆三峡银行股份有限公司：</w:t>
      </w:r>
    </w:p>
    <w:p>
      <w:pPr>
        <w:spacing w:line="560" w:lineRule="exact"/>
        <w:ind w:firstLine="600" w:firstLineChars="250"/>
        <w:rPr>
          <w:rFonts w:ascii="宋体" w:cs="宋体"/>
          <w:snapToGrid w:val="0"/>
          <w:color w:val="000000" w:themeColor="text1"/>
          <w:kern w:val="0"/>
          <w:sz w:val="24"/>
          <w:szCs w:val="24"/>
          <w14:textFill>
            <w14:solidFill>
              <w14:schemeClr w14:val="tx1"/>
            </w14:solidFill>
          </w14:textFill>
        </w:rPr>
      </w:pPr>
      <w:r>
        <w:rPr>
          <w:rFonts w:hint="eastAsia" w:ascii="宋体" w:cs="宋体"/>
          <w:snapToGrid w:val="0"/>
          <w:color w:val="000000" w:themeColor="text1"/>
          <w:kern w:val="0"/>
          <w:sz w:val="24"/>
          <w:szCs w:val="24"/>
          <w14:textFill>
            <w14:solidFill>
              <w14:schemeClr w14:val="tx1"/>
            </w14:solidFill>
          </w14:textFill>
        </w:rPr>
        <w:t>年月日，我单位（公司）向贵行提交了不动产线上评估服务项目参选文件。</w:t>
      </w:r>
    </w:p>
    <w:p>
      <w:pPr>
        <w:spacing w:line="560" w:lineRule="exact"/>
        <w:ind w:firstLine="600" w:firstLineChars="250"/>
        <w:rPr>
          <w:rFonts w:ascii="宋体" w:cs="宋体"/>
          <w:snapToGrid w:val="0"/>
          <w:color w:val="000000" w:themeColor="text1"/>
          <w:kern w:val="0"/>
          <w:sz w:val="24"/>
          <w:szCs w:val="24"/>
          <w14:textFill>
            <w14:solidFill>
              <w14:schemeClr w14:val="tx1"/>
            </w14:solidFill>
          </w14:textFill>
        </w:rPr>
      </w:pPr>
      <w:r>
        <w:rPr>
          <w:rFonts w:hint="eastAsia" w:ascii="宋体" w:cs="宋体"/>
          <w:snapToGrid w:val="0"/>
          <w:color w:val="000000" w:themeColor="text1"/>
          <w:kern w:val="0"/>
          <w:sz w:val="24"/>
          <w:szCs w:val="24"/>
          <w14:textFill>
            <w14:solidFill>
              <w14:schemeClr w14:val="tx1"/>
            </w14:solidFill>
          </w14:textFill>
        </w:rPr>
        <w:t>现郑重承诺：我单位（公司）对提供的参选文件资料真实、准确、完整，不存在任何虚假资料、误导性陈述或者重大遗漏，并对所提供信息资料以及对其作出的相关服务承诺的真实性、准确性和完整性承担个别及连带的法律责任。若采购人审查发现参选人出现虚假资料、误导性陈述或者重大遗漏等情况，采购人有权单方面终止其合作关系。</w:t>
      </w:r>
    </w:p>
    <w:p>
      <w:pPr>
        <w:spacing w:line="560" w:lineRule="exact"/>
        <w:ind w:firstLine="720" w:firstLineChars="300"/>
        <w:rPr>
          <w:rFonts w:ascii="宋体" w:cs="宋体"/>
          <w:snapToGrid w:val="0"/>
          <w:color w:val="000000" w:themeColor="text1"/>
          <w:kern w:val="0"/>
          <w:sz w:val="24"/>
          <w:szCs w:val="24"/>
          <w14:textFill>
            <w14:solidFill>
              <w14:schemeClr w14:val="tx1"/>
            </w14:solidFill>
          </w14:textFill>
        </w:rPr>
      </w:pPr>
    </w:p>
    <w:p>
      <w:pPr>
        <w:spacing w:line="560" w:lineRule="exact"/>
        <w:ind w:firstLine="720" w:firstLineChars="300"/>
        <w:rPr>
          <w:rFonts w:ascii="宋体" w:cs="宋体"/>
          <w:snapToGrid w:val="0"/>
          <w:color w:val="000000" w:themeColor="text1"/>
          <w:kern w:val="0"/>
          <w:sz w:val="24"/>
          <w:szCs w:val="24"/>
          <w14:textFill>
            <w14:solidFill>
              <w14:schemeClr w14:val="tx1"/>
            </w14:solidFill>
          </w14:textFill>
        </w:rPr>
      </w:pPr>
    </w:p>
    <w:p>
      <w:pPr>
        <w:spacing w:line="560" w:lineRule="exact"/>
        <w:ind w:firstLine="720" w:firstLineChars="300"/>
        <w:jc w:val="right"/>
        <w:rPr>
          <w:rFonts w:ascii="宋体" w:cs="宋体"/>
          <w:snapToGrid w:val="0"/>
          <w:color w:val="000000" w:themeColor="text1"/>
          <w:kern w:val="0"/>
          <w:sz w:val="24"/>
          <w:szCs w:val="24"/>
          <w14:textFill>
            <w14:solidFill>
              <w14:schemeClr w14:val="tx1"/>
            </w14:solidFill>
          </w14:textFill>
        </w:rPr>
      </w:pPr>
      <w:r>
        <w:rPr>
          <w:rFonts w:hint="eastAsia" w:ascii="宋体" w:cs="宋体"/>
          <w:snapToGrid w:val="0"/>
          <w:color w:val="000000" w:themeColor="text1"/>
          <w:kern w:val="0"/>
          <w:sz w:val="24"/>
          <w:szCs w:val="24"/>
          <w14:textFill>
            <w14:solidFill>
              <w14:schemeClr w14:val="tx1"/>
            </w14:solidFill>
          </w14:textFill>
        </w:rPr>
        <w:t>承诺人：（印章）</w:t>
      </w:r>
    </w:p>
    <w:p>
      <w:pPr>
        <w:spacing w:line="560" w:lineRule="exact"/>
        <w:ind w:firstLine="720" w:firstLineChars="300"/>
        <w:jc w:val="right"/>
        <w:rPr>
          <w:rFonts w:ascii="宋体" w:cs="宋体"/>
          <w:snapToGrid w:val="0"/>
          <w:color w:val="000000" w:themeColor="text1"/>
          <w:kern w:val="0"/>
          <w:sz w:val="24"/>
          <w:szCs w:val="24"/>
          <w14:textFill>
            <w14:solidFill>
              <w14:schemeClr w14:val="tx1"/>
            </w14:solidFill>
          </w14:textFill>
        </w:rPr>
      </w:pPr>
      <w:r>
        <w:rPr>
          <w:rFonts w:hint="eastAsia" w:ascii="宋体" w:cs="宋体"/>
          <w:snapToGrid w:val="0"/>
          <w:color w:val="000000" w:themeColor="text1"/>
          <w:kern w:val="0"/>
          <w:sz w:val="24"/>
          <w:szCs w:val="24"/>
          <w14:textFill>
            <w14:solidFill>
              <w14:schemeClr w14:val="tx1"/>
            </w14:solidFill>
          </w14:textFill>
        </w:rPr>
        <w:t>日期：年</w:t>
      </w:r>
      <w:r>
        <w:rPr>
          <w:rFonts w:hint="eastAsia" w:ascii="宋体" w:cs="宋体"/>
          <w:snapToGrid w:val="0"/>
          <w:color w:val="000000" w:themeColor="text1"/>
          <w:kern w:val="0"/>
          <w:sz w:val="24"/>
          <w:szCs w:val="24"/>
          <w:lang w:val="en-US" w:eastAsia="zh-CN"/>
          <w14:textFill>
            <w14:solidFill>
              <w14:schemeClr w14:val="tx1"/>
            </w14:solidFill>
          </w14:textFill>
        </w:rPr>
        <w:t xml:space="preserve">    </w:t>
      </w:r>
      <w:r>
        <w:rPr>
          <w:rFonts w:hint="eastAsia" w:ascii="宋体" w:cs="宋体"/>
          <w:snapToGrid w:val="0"/>
          <w:color w:val="000000" w:themeColor="text1"/>
          <w:kern w:val="0"/>
          <w:sz w:val="24"/>
          <w:szCs w:val="24"/>
          <w14:textFill>
            <w14:solidFill>
              <w14:schemeClr w14:val="tx1"/>
            </w14:solidFill>
          </w14:textFill>
        </w:rPr>
        <w:t>月</w:t>
      </w:r>
      <w:r>
        <w:rPr>
          <w:rFonts w:hint="eastAsia" w:ascii="宋体" w:cs="宋体"/>
          <w:snapToGrid w:val="0"/>
          <w:color w:val="000000" w:themeColor="text1"/>
          <w:kern w:val="0"/>
          <w:sz w:val="24"/>
          <w:szCs w:val="24"/>
          <w:lang w:val="en-US" w:eastAsia="zh-CN"/>
          <w14:textFill>
            <w14:solidFill>
              <w14:schemeClr w14:val="tx1"/>
            </w14:solidFill>
          </w14:textFill>
        </w:rPr>
        <w:t xml:space="preserve">    </w:t>
      </w:r>
      <w:r>
        <w:rPr>
          <w:rFonts w:hint="eastAsia" w:ascii="宋体" w:cs="宋体"/>
          <w:snapToGrid w:val="0"/>
          <w:color w:val="000000" w:themeColor="text1"/>
          <w:kern w:val="0"/>
          <w:sz w:val="24"/>
          <w:szCs w:val="24"/>
          <w14:textFill>
            <w14:solidFill>
              <w14:schemeClr w14:val="tx1"/>
            </w14:solidFill>
          </w14:textFill>
        </w:rPr>
        <w:t>日</w:t>
      </w:r>
    </w:p>
    <w:p>
      <w:pPr>
        <w:tabs>
          <w:tab w:val="left" w:pos="6300"/>
        </w:tabs>
        <w:snapToGrid w:val="0"/>
        <w:spacing w:line="560" w:lineRule="exact"/>
        <w:ind w:firstLine="4800" w:firstLineChars="2000"/>
        <w:rPr>
          <w:color w:val="000000" w:themeColor="text1"/>
          <w14:textFill>
            <w14:solidFill>
              <w14:schemeClr w14:val="tx1"/>
            </w14:solidFill>
          </w14:textFill>
        </w:rPr>
      </w:pPr>
    </w:p>
    <w:p>
      <w:pPr>
        <w:tabs>
          <w:tab w:val="left" w:pos="6300"/>
        </w:tabs>
        <w:snapToGrid w:val="0"/>
        <w:spacing w:line="560" w:lineRule="exact"/>
        <w:ind w:firstLine="4800" w:firstLineChars="2000"/>
        <w:rPr>
          <w:color w:val="000000" w:themeColor="text1"/>
          <w14:textFill>
            <w14:solidFill>
              <w14:schemeClr w14:val="tx1"/>
            </w14:solidFill>
          </w14:textFill>
        </w:rPr>
      </w:pPr>
    </w:p>
    <w:p>
      <w:pPr>
        <w:tabs>
          <w:tab w:val="left" w:pos="6300"/>
        </w:tabs>
        <w:snapToGrid w:val="0"/>
        <w:spacing w:line="560" w:lineRule="exact"/>
        <w:ind w:firstLine="4800" w:firstLineChars="2000"/>
        <w:rPr>
          <w:color w:val="000000" w:themeColor="text1"/>
          <w14:textFill>
            <w14:solidFill>
              <w14:schemeClr w14:val="tx1"/>
            </w14:solidFill>
          </w14:textFill>
        </w:rPr>
      </w:pPr>
    </w:p>
    <w:p>
      <w:pPr>
        <w:tabs>
          <w:tab w:val="left" w:pos="6300"/>
        </w:tabs>
        <w:snapToGrid w:val="0"/>
        <w:spacing w:line="560" w:lineRule="exact"/>
        <w:ind w:firstLine="4800" w:firstLineChars="2000"/>
        <w:rPr>
          <w:color w:val="000000" w:themeColor="text1"/>
          <w14:textFill>
            <w14:solidFill>
              <w14:schemeClr w14:val="tx1"/>
            </w14:solidFill>
          </w14:textFill>
        </w:rPr>
      </w:pPr>
    </w:p>
    <w:p>
      <w:pPr>
        <w:tabs>
          <w:tab w:val="left" w:pos="6300"/>
        </w:tabs>
        <w:snapToGrid w:val="0"/>
        <w:spacing w:line="560" w:lineRule="exact"/>
        <w:ind w:firstLine="4800" w:firstLineChars="2000"/>
        <w:rPr>
          <w:color w:val="000000" w:themeColor="text1"/>
          <w14:textFill>
            <w14:solidFill>
              <w14:schemeClr w14:val="tx1"/>
            </w14:solidFill>
          </w14:textFill>
        </w:rPr>
      </w:pPr>
    </w:p>
    <w:p>
      <w:pPr>
        <w:tabs>
          <w:tab w:val="left" w:pos="6300"/>
        </w:tabs>
        <w:snapToGrid w:val="0"/>
        <w:spacing w:line="560" w:lineRule="exact"/>
        <w:ind w:firstLine="4800" w:firstLineChars="2000"/>
        <w:rPr>
          <w:color w:val="000000" w:themeColor="text1"/>
          <w14:textFill>
            <w14:solidFill>
              <w14:schemeClr w14:val="tx1"/>
            </w14:solidFill>
          </w14:textFill>
        </w:rPr>
      </w:pPr>
    </w:p>
    <w:p>
      <w:pPr>
        <w:tabs>
          <w:tab w:val="left" w:pos="6300"/>
        </w:tabs>
        <w:snapToGrid w:val="0"/>
        <w:spacing w:line="560" w:lineRule="exact"/>
        <w:ind w:firstLine="4800" w:firstLineChars="2000"/>
        <w:rPr>
          <w:color w:val="000000" w:themeColor="text1"/>
          <w14:textFill>
            <w14:solidFill>
              <w14:schemeClr w14:val="tx1"/>
            </w14:solidFill>
          </w14:textFill>
        </w:rPr>
      </w:pPr>
    </w:p>
    <w:p>
      <w:pPr>
        <w:tabs>
          <w:tab w:val="left" w:pos="6300"/>
        </w:tabs>
        <w:snapToGrid w:val="0"/>
        <w:spacing w:line="560" w:lineRule="exact"/>
        <w:ind w:firstLine="4800" w:firstLineChars="2000"/>
        <w:rPr>
          <w:color w:val="000000" w:themeColor="text1"/>
          <w14:textFill>
            <w14:solidFill>
              <w14:schemeClr w14:val="tx1"/>
            </w14:solidFill>
          </w14:textFill>
        </w:rPr>
      </w:pPr>
    </w:p>
    <w:p>
      <w:pPr>
        <w:tabs>
          <w:tab w:val="left" w:pos="6300"/>
        </w:tabs>
        <w:snapToGrid w:val="0"/>
        <w:spacing w:line="560" w:lineRule="exact"/>
        <w:ind w:firstLine="4800" w:firstLineChars="2000"/>
        <w:rPr>
          <w:color w:val="000000" w:themeColor="text1"/>
          <w14:textFill>
            <w14:solidFill>
              <w14:schemeClr w14:val="tx1"/>
            </w14:solidFill>
          </w14:textFill>
        </w:rPr>
      </w:pPr>
    </w:p>
    <w:p>
      <w:pPr>
        <w:spacing w:line="560" w:lineRule="exact"/>
        <w:rPr>
          <w:rFonts w:ascii="宋体" w:cs="宋体"/>
          <w:snapToGrid w:val="0"/>
          <w:color w:val="000000" w:themeColor="text1"/>
          <w:kern w:val="0"/>
          <w:sz w:val="24"/>
          <w:szCs w:val="24"/>
          <w14:textFill>
            <w14:solidFill>
              <w14:schemeClr w14:val="tx1"/>
            </w14:solidFill>
          </w14:textFill>
        </w:rPr>
      </w:pPr>
    </w:p>
    <w:p>
      <w:pPr>
        <w:jc w:val="center"/>
        <w:rPr>
          <w:rFonts w:ascii="宋体" w:cs="Cambria"/>
          <w:b/>
          <w:color w:val="000000" w:themeColor="text1"/>
          <w:szCs w:val="28"/>
          <w14:textFill>
            <w14:solidFill>
              <w14:schemeClr w14:val="tx1"/>
            </w14:solidFill>
          </w14:textFill>
        </w:rPr>
      </w:pPr>
      <w:r>
        <w:rPr>
          <w:rFonts w:hint="eastAsia" w:ascii="宋体" w:cs="Cambria"/>
          <w:b/>
          <w:color w:val="000000" w:themeColor="text1"/>
          <w:szCs w:val="28"/>
          <w14:textFill>
            <w14:solidFill>
              <w14:schemeClr w14:val="tx1"/>
            </w14:solidFill>
          </w14:textFill>
        </w:rPr>
        <w:t>九、服务时效承诺表</w:t>
      </w:r>
    </w:p>
    <w:tbl>
      <w:tblPr>
        <w:tblStyle w:val="19"/>
        <w:tblW w:w="854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04"/>
        <w:gridCol w:w="2257"/>
        <w:gridCol w:w="28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2" w:hRule="atLeast"/>
          <w:jc w:val="center"/>
        </w:trPr>
        <w:tc>
          <w:tcPr>
            <w:tcW w:w="3404" w:type="dxa"/>
            <w:vAlign w:val="center"/>
          </w:tcPr>
          <w:p>
            <w:pPr>
              <w:keepNext w:val="0"/>
              <w:keepLines w:val="0"/>
              <w:pageBreakBefore w:val="0"/>
              <w:widowControl/>
              <w:kinsoku/>
              <w:wordWrap/>
              <w:overflowPunct/>
              <w:topLinePunct w:val="0"/>
              <w:autoSpaceDE/>
              <w:autoSpaceDN/>
              <w:bidi w:val="0"/>
              <w:adjustRightInd/>
              <w:snapToGrid w:val="0"/>
              <w:spacing w:line="480" w:lineRule="auto"/>
              <w:ind w:left="0" w:firstLine="0" w:firstLineChars="0"/>
              <w:jc w:val="right"/>
              <w:textAlignment w:val="auto"/>
              <w:rPr>
                <w:rFonts w:ascii="仿宋_GB2312"/>
                <w:color w:val="000000" w:themeColor="text1"/>
                <w:kern w:val="0"/>
                <w:sz w:val="24"/>
                <w14:textFill>
                  <w14:solidFill>
                    <w14:schemeClr w14:val="tx1"/>
                  </w14:solidFill>
                </w14:textFill>
              </w:rPr>
            </w:pPr>
            <w:r>
              <w:rPr>
                <w:rFonts w:ascii="仿宋_GB2312"/>
                <w:color w:val="000000" w:themeColor="text1"/>
                <w:sz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-62865</wp:posOffset>
                      </wp:positionH>
                      <wp:positionV relativeFrom="paragraph">
                        <wp:posOffset>11430</wp:posOffset>
                      </wp:positionV>
                      <wp:extent cx="2152650" cy="575945"/>
                      <wp:effectExtent l="1270" t="4445" r="17780" b="10160"/>
                      <wp:wrapNone/>
                      <wp:docPr id="6" name="直线 13"/>
                      <wp:cNvGraphicFramePr/>
                      <a:graphic xmlns:a="http://schemas.openxmlformats.org/drawingml/2006/main">
                        <a:graphicData uri="http://schemas.microsoft.com/office/word/2010/wordprocessingShape">
                          <wps:wsp>
                            <wps:cNvCnPr/>
                            <wps:spPr>
                              <a:xfrm>
                                <a:off x="0" y="0"/>
                                <a:ext cx="2152650" cy="57594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3" o:spid="_x0000_s1026" o:spt="20" style="position:absolute;left:0pt;margin-left:-4.95pt;margin-top:0.9pt;height:45.35pt;width:169.5pt;z-index:251660288;mso-width-relative:page;mso-height-relative:page;" filled="f" stroked="t" coordsize="21600,21600" o:gfxdata="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3CIQutYA&#10;AAAHAQAADwAAAAAAAAABACAAAAAiAAAAZHJzL2Rvd25yZXYueG1sUEsBAhQAFAAAAAgAh07iQFuG&#10;kqzoAQAA4wMAAA4AAAAAAAAAAQAgAAAAJQEAAGRycy9lMm9Eb2MueG1sUEsFBgAAAAAGAAYAWQEA&#10;AH8FAAAAAA==&#10;">
                      <v:fill on="f" focussize="0,0"/>
                      <v:stroke color="#000000" joinstyle="round"/>
                      <v:imagedata o:title=""/>
                      <o:lock v:ext="edit" aspectratio="f"/>
                    </v:line>
                  </w:pict>
                </mc:Fallback>
              </mc:AlternateContent>
            </w:r>
            <w:r>
              <w:rPr>
                <w:rFonts w:hint="eastAsia" w:ascii="仿宋_GB2312" w:hAnsi="宋体"/>
                <w:color w:val="000000" w:themeColor="text1"/>
                <w:kern w:val="0"/>
                <w:sz w:val="24"/>
                <w14:textFill>
                  <w14:solidFill>
                    <w14:schemeClr w14:val="tx1"/>
                  </w14:solidFill>
                </w14:textFill>
              </w:rPr>
              <w:t>时效标准</w:t>
            </w:r>
          </w:p>
          <w:p>
            <w:pPr>
              <w:keepNext w:val="0"/>
              <w:keepLines w:val="0"/>
              <w:pageBreakBefore w:val="0"/>
              <w:widowControl/>
              <w:kinsoku/>
              <w:wordWrap/>
              <w:overflowPunct/>
              <w:topLinePunct w:val="0"/>
              <w:autoSpaceDE/>
              <w:autoSpaceDN/>
              <w:bidi w:val="0"/>
              <w:adjustRightInd/>
              <w:snapToGrid w:val="0"/>
              <w:spacing w:line="480" w:lineRule="auto"/>
              <w:ind w:left="0" w:firstLine="0" w:firstLineChars="0"/>
              <w:textAlignment w:val="auto"/>
              <w:rPr>
                <w:rFonts w:ascii="仿宋_GB2312"/>
                <w:color w:val="000000" w:themeColor="text1"/>
                <w:kern w:val="0"/>
                <w:sz w:val="24"/>
                <w14:textFill>
                  <w14:solidFill>
                    <w14:schemeClr w14:val="tx1"/>
                  </w14:solidFill>
                </w14:textFill>
              </w:rPr>
            </w:pPr>
            <w:r>
              <w:rPr>
                <w:rFonts w:hint="eastAsia" w:ascii="仿宋_GB2312" w:hAnsi="宋体"/>
                <w:color w:val="000000" w:themeColor="text1"/>
                <w:kern w:val="0"/>
                <w:sz w:val="24"/>
                <w14:textFill>
                  <w14:solidFill>
                    <w14:schemeClr w14:val="tx1"/>
                  </w14:solidFill>
                </w14:textFill>
              </w:rPr>
              <w:t>类别</w:t>
            </w:r>
          </w:p>
        </w:tc>
        <w:tc>
          <w:tcPr>
            <w:tcW w:w="5138" w:type="dxa"/>
            <w:gridSpan w:val="2"/>
            <w:vAlign w:val="center"/>
          </w:tcPr>
          <w:p>
            <w:pPr>
              <w:keepNext w:val="0"/>
              <w:keepLines w:val="0"/>
              <w:pageBreakBefore w:val="0"/>
              <w:widowControl/>
              <w:kinsoku/>
              <w:wordWrap/>
              <w:overflowPunct/>
              <w:topLinePunct w:val="0"/>
              <w:autoSpaceDE/>
              <w:autoSpaceDN/>
              <w:bidi w:val="0"/>
              <w:adjustRightInd/>
              <w:snapToGrid w:val="0"/>
              <w:spacing w:line="480" w:lineRule="auto"/>
              <w:ind w:left="0" w:firstLine="0" w:firstLineChars="0"/>
              <w:jc w:val="center"/>
              <w:textAlignment w:val="auto"/>
              <w:rPr>
                <w:rFonts w:ascii="仿宋_GB2312"/>
                <w:color w:val="000000" w:themeColor="text1"/>
                <w:kern w:val="0"/>
                <w:sz w:val="24"/>
                <w14:textFill>
                  <w14:solidFill>
                    <w14:schemeClr w14:val="tx1"/>
                  </w14:solidFill>
                </w14:textFill>
              </w:rPr>
            </w:pPr>
            <w:r>
              <w:rPr>
                <w:rFonts w:hint="eastAsia" w:ascii="仿宋_GB2312" w:hAnsi="宋体"/>
                <w:color w:val="000000" w:themeColor="text1"/>
                <w:kern w:val="0"/>
                <w:sz w:val="24"/>
                <w14:textFill>
                  <w14:solidFill>
                    <w14:schemeClr w14:val="tx1"/>
                  </w14:solidFill>
                </w14:textFill>
              </w:rPr>
              <w:t>服务时间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 w:hRule="atLeast"/>
          <w:jc w:val="center"/>
        </w:trPr>
        <w:tc>
          <w:tcPr>
            <w:tcW w:w="3404" w:type="dxa"/>
            <w:vAlign w:val="center"/>
          </w:tcPr>
          <w:p>
            <w:pPr>
              <w:keepNext w:val="0"/>
              <w:keepLines w:val="0"/>
              <w:pageBreakBefore w:val="0"/>
              <w:widowControl/>
              <w:kinsoku/>
              <w:wordWrap/>
              <w:overflowPunct/>
              <w:topLinePunct w:val="0"/>
              <w:autoSpaceDE/>
              <w:autoSpaceDN/>
              <w:bidi w:val="0"/>
              <w:adjustRightInd/>
              <w:snapToGrid w:val="0"/>
              <w:spacing w:line="480" w:lineRule="auto"/>
              <w:ind w:left="0" w:firstLine="0" w:firstLineChars="0"/>
              <w:jc w:val="left"/>
              <w:textAlignment w:val="auto"/>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线上人工评估每周服务时间</w:t>
            </w:r>
          </w:p>
        </w:tc>
        <w:tc>
          <w:tcPr>
            <w:tcW w:w="2257"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80" w:lineRule="auto"/>
              <w:ind w:left="0" w:firstLine="0" w:firstLineChars="0"/>
              <w:jc w:val="left"/>
              <w:textAlignment w:val="auto"/>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一周几天</w:t>
            </w:r>
          </w:p>
        </w:tc>
        <w:tc>
          <w:tcPr>
            <w:tcW w:w="2881"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80" w:lineRule="auto"/>
              <w:ind w:left="0" w:firstLine="0" w:firstLineChars="0"/>
              <w:jc w:val="left"/>
              <w:textAlignment w:val="auto"/>
              <w:rPr>
                <w:rFonts w:asciiTheme="minorEastAsia" w:hAnsiTheme="minorEastAsia"/>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3404" w:type="dxa"/>
            <w:vAlign w:val="center"/>
          </w:tcPr>
          <w:p>
            <w:pPr>
              <w:keepNext w:val="0"/>
              <w:keepLines w:val="0"/>
              <w:pageBreakBefore w:val="0"/>
              <w:widowControl/>
              <w:kinsoku/>
              <w:wordWrap/>
              <w:overflowPunct/>
              <w:topLinePunct w:val="0"/>
              <w:autoSpaceDE/>
              <w:autoSpaceDN/>
              <w:bidi w:val="0"/>
              <w:adjustRightInd/>
              <w:snapToGrid w:val="0"/>
              <w:spacing w:line="480" w:lineRule="auto"/>
              <w:ind w:left="0" w:firstLine="0" w:firstLineChars="0"/>
              <w:jc w:val="left"/>
              <w:textAlignment w:val="auto"/>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线上人工评估每天服务时长</w:t>
            </w:r>
          </w:p>
        </w:tc>
        <w:tc>
          <w:tcPr>
            <w:tcW w:w="2257"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80" w:lineRule="auto"/>
              <w:ind w:left="0" w:firstLine="0" w:firstLineChars="0"/>
              <w:jc w:val="left"/>
              <w:textAlignment w:val="auto"/>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一天几小时</w:t>
            </w:r>
          </w:p>
        </w:tc>
        <w:tc>
          <w:tcPr>
            <w:tcW w:w="2881"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80" w:lineRule="auto"/>
              <w:ind w:left="0" w:firstLine="0" w:firstLineChars="0"/>
              <w:jc w:val="left"/>
              <w:textAlignment w:val="auto"/>
              <w:rPr>
                <w:rFonts w:asciiTheme="minorEastAsia" w:hAnsiTheme="minorEastAsia"/>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3404"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80" w:lineRule="auto"/>
              <w:ind w:left="0" w:firstLine="0" w:firstLineChars="0"/>
              <w:jc w:val="left"/>
              <w:textAlignment w:val="auto"/>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线上人工评估反馈时效</w:t>
            </w:r>
          </w:p>
        </w:tc>
        <w:tc>
          <w:tcPr>
            <w:tcW w:w="2257" w:type="dxa"/>
            <w:tcBorders>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80" w:lineRule="auto"/>
              <w:ind w:left="0" w:firstLine="0" w:firstLineChars="0"/>
              <w:jc w:val="left"/>
              <w:textAlignment w:val="auto"/>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平均时效多少分钟</w:t>
            </w:r>
          </w:p>
        </w:tc>
        <w:tc>
          <w:tcPr>
            <w:tcW w:w="2881" w:type="dxa"/>
            <w:tcBorders>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80" w:lineRule="auto"/>
              <w:ind w:left="0" w:firstLine="0" w:firstLineChars="0"/>
              <w:jc w:val="left"/>
              <w:textAlignment w:val="auto"/>
              <w:rPr>
                <w:rFonts w:asciiTheme="minorEastAsia" w:hAnsiTheme="minorEastAsia"/>
                <w:color w:val="000000" w:themeColor="text1"/>
                <w:szCs w:val="21"/>
                <w14:textFill>
                  <w14:solidFill>
                    <w14:schemeClr w14:val="tx1"/>
                  </w14:solidFill>
                </w14:textFill>
              </w:rPr>
            </w:pPr>
          </w:p>
        </w:tc>
      </w:tr>
    </w:tbl>
    <w:p>
      <w:pPr>
        <w:tabs>
          <w:tab w:val="left" w:pos="5760"/>
        </w:tabs>
        <w:autoSpaceDE w:val="0"/>
        <w:autoSpaceDN w:val="0"/>
        <w:adjustRightInd w:val="0"/>
        <w:spacing w:line="500" w:lineRule="exact"/>
        <w:ind w:right="11" w:firstLine="480" w:firstLineChars="200"/>
        <w:rPr>
          <w:rFonts w:ascii="仿宋" w:hAnsi="仿宋" w:eastAsia="仿宋"/>
          <w:bCs/>
          <w:color w:val="000000" w:themeColor="text1"/>
          <w:szCs w:val="28"/>
          <w14:textFill>
            <w14:solidFill>
              <w14:schemeClr w14:val="tx1"/>
            </w14:solidFill>
          </w14:textFill>
        </w:rPr>
      </w:pPr>
    </w:p>
    <w:p>
      <w:pPr>
        <w:tabs>
          <w:tab w:val="left" w:pos="5760"/>
        </w:tabs>
        <w:autoSpaceDE w:val="0"/>
        <w:autoSpaceDN w:val="0"/>
        <w:adjustRightInd w:val="0"/>
        <w:spacing w:line="500" w:lineRule="exact"/>
        <w:ind w:right="11" w:firstLine="480" w:firstLineChars="200"/>
        <w:rPr>
          <w:rFonts w:ascii="仿宋" w:hAnsi="仿宋" w:eastAsia="仿宋"/>
          <w:bCs/>
          <w:color w:val="000000" w:themeColor="text1"/>
          <w:szCs w:val="28"/>
          <w14:textFill>
            <w14:solidFill>
              <w14:schemeClr w14:val="tx1"/>
            </w14:solidFill>
          </w14:textFill>
        </w:rPr>
      </w:pPr>
      <w:r>
        <w:rPr>
          <w:rFonts w:hint="eastAsia" w:ascii="仿宋" w:hAnsi="仿宋" w:eastAsia="仿宋"/>
          <w:bCs/>
          <w:color w:val="000000" w:themeColor="text1"/>
          <w:szCs w:val="28"/>
          <w14:textFill>
            <w14:solidFill>
              <w14:schemeClr w14:val="tx1"/>
            </w14:solidFill>
          </w14:textFill>
        </w:rPr>
        <w:t>我司是否愿意承诺将客观公允的对抵质押物价值进行评估，并对估价结果负责。若评估价值偏离公开市场交易价值15%（含）以上，并因此对贵行授信业务造成损失的，我司将承担相应责任。（回答“是”或“否”）</w:t>
      </w:r>
    </w:p>
    <w:p>
      <w:pPr>
        <w:spacing w:line="560" w:lineRule="exact"/>
        <w:rPr>
          <w:rFonts w:ascii="宋体" w:cs="宋体"/>
          <w:snapToGrid w:val="0"/>
          <w:color w:val="000000" w:themeColor="text1"/>
          <w:kern w:val="0"/>
          <w:sz w:val="24"/>
          <w:szCs w:val="24"/>
          <w14:textFill>
            <w14:solidFill>
              <w14:schemeClr w14:val="tx1"/>
            </w14:solidFill>
          </w14:textFill>
        </w:rPr>
      </w:pPr>
    </w:p>
    <w:p>
      <w:pPr>
        <w:spacing w:line="560" w:lineRule="exact"/>
        <w:rPr>
          <w:rFonts w:ascii="宋体" w:cs="宋体"/>
          <w:snapToGrid w:val="0"/>
          <w:color w:val="000000" w:themeColor="text1"/>
          <w:kern w:val="0"/>
          <w:sz w:val="24"/>
          <w:szCs w:val="24"/>
          <w14:textFill>
            <w14:solidFill>
              <w14:schemeClr w14:val="tx1"/>
            </w14:solidFill>
          </w14:textFill>
        </w:rPr>
      </w:pPr>
    </w:p>
    <w:p>
      <w:pPr>
        <w:spacing w:line="560" w:lineRule="exact"/>
        <w:rPr>
          <w:rFonts w:ascii="宋体" w:cs="宋体"/>
          <w:snapToGrid w:val="0"/>
          <w:color w:val="000000" w:themeColor="text1"/>
          <w:kern w:val="0"/>
          <w:sz w:val="24"/>
          <w:szCs w:val="24"/>
          <w14:textFill>
            <w14:solidFill>
              <w14:schemeClr w14:val="tx1"/>
            </w14:solidFill>
          </w14:textFill>
        </w:rPr>
      </w:pPr>
    </w:p>
    <w:p>
      <w:pPr>
        <w:spacing w:line="560" w:lineRule="exact"/>
        <w:rPr>
          <w:rFonts w:ascii="宋体" w:cs="宋体"/>
          <w:snapToGrid w:val="0"/>
          <w:color w:val="000000" w:themeColor="text1"/>
          <w:kern w:val="0"/>
          <w:sz w:val="24"/>
          <w:szCs w:val="24"/>
          <w14:textFill>
            <w14:solidFill>
              <w14:schemeClr w14:val="tx1"/>
            </w14:solidFill>
          </w14:textFill>
        </w:rPr>
      </w:pPr>
    </w:p>
    <w:p>
      <w:pPr>
        <w:spacing w:line="560" w:lineRule="exact"/>
        <w:rPr>
          <w:rFonts w:ascii="宋体" w:cs="宋体"/>
          <w:snapToGrid w:val="0"/>
          <w:color w:val="000000" w:themeColor="text1"/>
          <w:kern w:val="0"/>
          <w:sz w:val="24"/>
          <w:szCs w:val="24"/>
          <w14:textFill>
            <w14:solidFill>
              <w14:schemeClr w14:val="tx1"/>
            </w14:solidFill>
          </w14:textFill>
        </w:rPr>
      </w:pPr>
    </w:p>
    <w:p>
      <w:pPr>
        <w:spacing w:line="560" w:lineRule="exact"/>
        <w:rPr>
          <w:rFonts w:ascii="宋体" w:cs="宋体"/>
          <w:snapToGrid w:val="0"/>
          <w:color w:val="000000" w:themeColor="text1"/>
          <w:kern w:val="0"/>
          <w:sz w:val="24"/>
          <w:szCs w:val="24"/>
          <w14:textFill>
            <w14:solidFill>
              <w14:schemeClr w14:val="tx1"/>
            </w14:solidFill>
          </w14:textFill>
        </w:rPr>
      </w:pPr>
    </w:p>
    <w:p>
      <w:pPr>
        <w:spacing w:line="560" w:lineRule="exact"/>
        <w:rPr>
          <w:rFonts w:ascii="宋体" w:cs="宋体"/>
          <w:snapToGrid w:val="0"/>
          <w:color w:val="000000" w:themeColor="text1"/>
          <w:kern w:val="0"/>
          <w:sz w:val="24"/>
          <w:szCs w:val="24"/>
          <w14:textFill>
            <w14:solidFill>
              <w14:schemeClr w14:val="tx1"/>
            </w14:solidFill>
          </w14:textFill>
        </w:rPr>
      </w:pPr>
    </w:p>
    <w:p>
      <w:pPr>
        <w:spacing w:line="560" w:lineRule="exact"/>
        <w:rPr>
          <w:rFonts w:ascii="宋体" w:cs="宋体"/>
          <w:snapToGrid w:val="0"/>
          <w:color w:val="000000" w:themeColor="text1"/>
          <w:kern w:val="0"/>
          <w:sz w:val="24"/>
          <w:szCs w:val="24"/>
          <w14:textFill>
            <w14:solidFill>
              <w14:schemeClr w14:val="tx1"/>
            </w14:solidFill>
          </w14:textFill>
        </w:rPr>
      </w:pPr>
    </w:p>
    <w:p>
      <w:pPr>
        <w:spacing w:line="560" w:lineRule="exact"/>
        <w:rPr>
          <w:rFonts w:ascii="宋体" w:cs="宋体"/>
          <w:snapToGrid w:val="0"/>
          <w:color w:val="000000" w:themeColor="text1"/>
          <w:kern w:val="0"/>
          <w:sz w:val="24"/>
          <w:szCs w:val="24"/>
          <w14:textFill>
            <w14:solidFill>
              <w14:schemeClr w14:val="tx1"/>
            </w14:solidFill>
          </w14:textFill>
        </w:rPr>
      </w:pPr>
    </w:p>
    <w:p>
      <w:pPr>
        <w:spacing w:line="560" w:lineRule="exact"/>
        <w:rPr>
          <w:rFonts w:ascii="宋体" w:cs="宋体"/>
          <w:snapToGrid w:val="0"/>
          <w:color w:val="000000" w:themeColor="text1"/>
          <w:kern w:val="0"/>
          <w:sz w:val="24"/>
          <w:szCs w:val="24"/>
          <w14:textFill>
            <w14:solidFill>
              <w14:schemeClr w14:val="tx1"/>
            </w14:solidFill>
          </w14:textFill>
        </w:rPr>
      </w:pPr>
    </w:p>
    <w:p>
      <w:pPr>
        <w:spacing w:line="560" w:lineRule="exact"/>
        <w:rPr>
          <w:rFonts w:ascii="宋体" w:cs="宋体"/>
          <w:snapToGrid w:val="0"/>
          <w:color w:val="000000" w:themeColor="text1"/>
          <w:kern w:val="0"/>
          <w:sz w:val="24"/>
          <w:szCs w:val="24"/>
          <w14:textFill>
            <w14:solidFill>
              <w14:schemeClr w14:val="tx1"/>
            </w14:solidFill>
          </w14:textFill>
        </w:rPr>
      </w:pPr>
    </w:p>
    <w:p>
      <w:pPr>
        <w:spacing w:line="560" w:lineRule="exact"/>
        <w:rPr>
          <w:rFonts w:ascii="宋体" w:cs="宋体"/>
          <w:snapToGrid w:val="0"/>
          <w:color w:val="000000" w:themeColor="text1"/>
          <w:kern w:val="0"/>
          <w:sz w:val="24"/>
          <w:szCs w:val="24"/>
          <w14:textFill>
            <w14:solidFill>
              <w14:schemeClr w14:val="tx1"/>
            </w14:solidFill>
          </w14:textFill>
        </w:rPr>
      </w:pPr>
    </w:p>
    <w:p>
      <w:pPr>
        <w:jc w:val="center"/>
        <w:rPr>
          <w:rFonts w:ascii="宋体" w:cs="Cambria"/>
          <w:b/>
          <w:color w:val="000000" w:themeColor="text1"/>
          <w:szCs w:val="28"/>
          <w14:textFill>
            <w14:solidFill>
              <w14:schemeClr w14:val="tx1"/>
            </w14:solidFill>
          </w14:textFill>
        </w:rPr>
      </w:pPr>
      <w:r>
        <w:rPr>
          <w:rFonts w:hint="eastAsia" w:ascii="宋体" w:cs="Cambria"/>
          <w:b/>
          <w:color w:val="000000" w:themeColor="text1"/>
          <w:szCs w:val="28"/>
          <w14:textFill>
            <w14:solidFill>
              <w14:schemeClr w14:val="tx1"/>
            </w14:solidFill>
          </w14:textFill>
        </w:rPr>
        <w:t>十、线上评估方案及优秀服务案例</w:t>
      </w:r>
    </w:p>
    <w:p>
      <w:pPr>
        <w:spacing w:line="560" w:lineRule="exact"/>
        <w:ind w:firstLine="600" w:firstLineChars="250"/>
        <w:rPr>
          <w:color w:val="000000" w:themeColor="text1"/>
          <w14:textFill>
            <w14:solidFill>
              <w14:schemeClr w14:val="tx1"/>
            </w14:solidFill>
          </w14:textFill>
        </w:rPr>
      </w:pPr>
      <w:r>
        <w:rPr>
          <w:rFonts w:hint="eastAsia" w:ascii="宋体" w:cs="宋体"/>
          <w:snapToGrid w:val="0"/>
          <w:color w:val="000000" w:themeColor="text1"/>
          <w:kern w:val="0"/>
          <w:sz w:val="24"/>
          <w:szCs w:val="24"/>
          <w14:textFill>
            <w14:solidFill>
              <w14:schemeClr w14:val="tx1"/>
            </w14:solidFill>
          </w14:textFill>
        </w:rPr>
        <w:t>项目实施服务工作方案、服务能力、人员安排（包括不限于资质、劳动关系、业绩证明材料等）、优秀案例、增值服务等内容。</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tabs>
          <w:tab w:val="left" w:pos="6300"/>
        </w:tabs>
        <w:snapToGrid w:val="0"/>
        <w:spacing w:line="360" w:lineRule="auto"/>
        <w:jc w:val="center"/>
        <w:rPr>
          <w:rFonts w:ascii="宋体"/>
          <w:snapToGrid w:val="0"/>
          <w:color w:val="000000" w:themeColor="text1"/>
          <w:kern w:val="0"/>
          <w:sz w:val="24"/>
          <w:szCs w:val="24"/>
          <w14:textFill>
            <w14:solidFill>
              <w14:schemeClr w14:val="tx1"/>
            </w14:solidFill>
          </w14:textFill>
        </w:rPr>
      </w:pPr>
    </w:p>
    <w:p>
      <w:pPr>
        <w:widowControl/>
        <w:spacing w:line="360" w:lineRule="auto"/>
        <w:jc w:val="center"/>
        <w:rPr>
          <w:rFonts w:ascii="宋体"/>
          <w:b/>
          <w:snapToGrid w:val="0"/>
          <w:color w:val="000000" w:themeColor="text1"/>
          <w:kern w:val="0"/>
          <w:szCs w:val="28"/>
          <w14:textFill>
            <w14:solidFill>
              <w14:schemeClr w14:val="tx1"/>
            </w14:solidFill>
          </w14:textFill>
        </w:rPr>
      </w:pPr>
      <w:r>
        <w:rPr>
          <w:rFonts w:hint="eastAsia"/>
          <w:color w:val="000000" w:themeColor="text1"/>
          <w:kern w:val="0"/>
          <w14:textFill>
            <w14:solidFill>
              <w14:schemeClr w14:val="tx1"/>
            </w14:solidFill>
          </w14:textFill>
        </w:rPr>
        <w:br w:type="page"/>
      </w:r>
    </w:p>
    <w:p>
      <w:pPr>
        <w:pStyle w:val="4"/>
        <w:ind w:firstLine="0" w:firstLineChars="0"/>
        <w:jc w:val="center"/>
        <w:rPr>
          <w:rFonts w:cs="Cambria"/>
          <w:bCs w:val="0"/>
          <w:snapToGrid/>
          <w:color w:val="000000" w:themeColor="text1"/>
          <w:sz w:val="28"/>
          <w:szCs w:val="28"/>
          <w14:textFill>
            <w14:solidFill>
              <w14:schemeClr w14:val="tx1"/>
            </w14:solidFill>
          </w14:textFill>
        </w:rPr>
      </w:pPr>
      <w:r>
        <w:rPr>
          <w:rFonts w:hint="eastAsia" w:cs="Cambria"/>
          <w:bCs w:val="0"/>
          <w:snapToGrid/>
          <w:color w:val="000000" w:themeColor="text1"/>
          <w:sz w:val="28"/>
          <w:szCs w:val="28"/>
          <w14:textFill>
            <w14:solidFill>
              <w14:schemeClr w14:val="tx1"/>
            </w14:solidFill>
          </w14:textFill>
        </w:rPr>
        <w:t>十一、参选保证金</w:t>
      </w:r>
    </w:p>
    <w:p>
      <w:pPr>
        <w:spacing w:line="360" w:lineRule="auto"/>
        <w:rPr>
          <w:rFonts w:ascii="宋体" w:cs="等线 Light"/>
          <w:color w:val="000000" w:themeColor="text1"/>
          <w14:textFill>
            <w14:solidFill>
              <w14:schemeClr w14:val="tx1"/>
            </w14:solidFill>
          </w14:textFill>
        </w:rPr>
      </w:pPr>
    </w:p>
    <w:p>
      <w:pPr>
        <w:spacing w:line="360" w:lineRule="auto"/>
        <w:rPr>
          <w:rFonts w:ascii="宋体" w:cs="等线 Light"/>
          <w:color w:val="000000" w:themeColor="text1"/>
          <w14:textFill>
            <w14:solidFill>
              <w14:schemeClr w14:val="tx1"/>
            </w14:solidFill>
          </w14:textFill>
        </w:rPr>
      </w:pPr>
    </w:p>
    <w:p>
      <w:pPr>
        <w:spacing w:line="360" w:lineRule="auto"/>
        <w:rPr>
          <w:rFonts w:ascii="宋体" w:cs="等线 Light"/>
          <w:color w:val="000000" w:themeColor="text1"/>
          <w14:textFill>
            <w14:solidFill>
              <w14:schemeClr w14:val="tx1"/>
            </w14:solidFill>
          </w14:textFill>
        </w:rPr>
      </w:pPr>
    </w:p>
    <w:p>
      <w:pPr>
        <w:spacing w:line="360" w:lineRule="auto"/>
        <w:rPr>
          <w:rFonts w:ascii="宋体" w:cs="等线 Light"/>
          <w:color w:val="000000" w:themeColor="text1"/>
          <w14:textFill>
            <w14:solidFill>
              <w14:schemeClr w14:val="tx1"/>
            </w14:solidFill>
          </w14:textFill>
        </w:rPr>
      </w:pPr>
    </w:p>
    <w:p>
      <w:pPr>
        <w:spacing w:line="360" w:lineRule="auto"/>
        <w:rPr>
          <w:rFonts w:ascii="宋体" w:cs="等线 Light"/>
          <w:color w:val="000000" w:themeColor="text1"/>
          <w14:textFill>
            <w14:solidFill>
              <w14:schemeClr w14:val="tx1"/>
            </w14:solidFill>
          </w14:textFill>
        </w:rPr>
      </w:pPr>
    </w:p>
    <w:p>
      <w:pPr>
        <w:spacing w:line="360" w:lineRule="auto"/>
        <w:rPr>
          <w:rFonts w:ascii="宋体" w:cs="等线 Light"/>
          <w:color w:val="000000" w:themeColor="text1"/>
          <w14:textFill>
            <w14:solidFill>
              <w14:schemeClr w14:val="tx1"/>
            </w14:solidFill>
          </w14:textFill>
        </w:rPr>
      </w:pPr>
    </w:p>
    <w:p>
      <w:pPr>
        <w:spacing w:line="360" w:lineRule="auto"/>
        <w:rPr>
          <w:rFonts w:ascii="宋体" w:cs="等线 Light"/>
          <w:color w:val="000000" w:themeColor="text1"/>
          <w14:textFill>
            <w14:solidFill>
              <w14:schemeClr w14:val="tx1"/>
            </w14:solidFill>
          </w14:textFill>
        </w:rPr>
      </w:pPr>
    </w:p>
    <w:p>
      <w:pPr>
        <w:spacing w:line="360" w:lineRule="auto"/>
        <w:rPr>
          <w:rFonts w:ascii="宋体" w:cs="等线 Light"/>
          <w:color w:val="000000" w:themeColor="text1"/>
          <w14:textFill>
            <w14:solidFill>
              <w14:schemeClr w14:val="tx1"/>
            </w14:solidFill>
          </w14:textFill>
        </w:rPr>
      </w:pPr>
    </w:p>
    <w:p>
      <w:pPr>
        <w:spacing w:line="360" w:lineRule="auto"/>
        <w:rPr>
          <w:rFonts w:ascii="宋体" w:cs="等线 Light"/>
          <w:color w:val="000000" w:themeColor="text1"/>
          <w14:textFill>
            <w14:solidFill>
              <w14:schemeClr w14:val="tx1"/>
            </w14:solidFill>
          </w14:textFill>
        </w:rPr>
      </w:pPr>
    </w:p>
    <w:p>
      <w:pPr>
        <w:spacing w:line="360" w:lineRule="auto"/>
        <w:rPr>
          <w:rFonts w:ascii="宋体" w:cs="等线 Light"/>
          <w:color w:val="000000" w:themeColor="text1"/>
          <w14:textFill>
            <w14:solidFill>
              <w14:schemeClr w14:val="tx1"/>
            </w14:solidFill>
          </w14:textFill>
        </w:rPr>
      </w:pPr>
    </w:p>
    <w:p>
      <w:pPr>
        <w:spacing w:line="360" w:lineRule="auto"/>
        <w:rPr>
          <w:rFonts w:ascii="宋体" w:cs="等线 Light"/>
          <w:color w:val="000000" w:themeColor="text1"/>
          <w14:textFill>
            <w14:solidFill>
              <w14:schemeClr w14:val="tx1"/>
            </w14:solidFill>
          </w14:textFill>
        </w:rPr>
      </w:pPr>
    </w:p>
    <w:p>
      <w:pPr>
        <w:spacing w:line="360" w:lineRule="auto"/>
        <w:rPr>
          <w:rFonts w:ascii="宋体" w:cs="等线 Light"/>
          <w:color w:val="000000" w:themeColor="text1"/>
          <w14:textFill>
            <w14:solidFill>
              <w14:schemeClr w14:val="tx1"/>
            </w14:solidFill>
          </w14:textFill>
        </w:rPr>
      </w:pPr>
    </w:p>
    <w:p>
      <w:pPr>
        <w:spacing w:line="360" w:lineRule="auto"/>
        <w:rPr>
          <w:rFonts w:ascii="宋体" w:cs="等线 Light"/>
          <w:color w:val="000000" w:themeColor="text1"/>
          <w14:textFill>
            <w14:solidFill>
              <w14:schemeClr w14:val="tx1"/>
            </w14:solidFill>
          </w14:textFill>
        </w:rPr>
      </w:pPr>
    </w:p>
    <w:p>
      <w:pPr>
        <w:spacing w:line="360" w:lineRule="auto"/>
        <w:rPr>
          <w:rFonts w:ascii="宋体" w:cs="等线 Light"/>
          <w:color w:val="000000" w:themeColor="text1"/>
          <w14:textFill>
            <w14:solidFill>
              <w14:schemeClr w14:val="tx1"/>
            </w14:solidFill>
          </w14:textFill>
        </w:rPr>
      </w:pPr>
    </w:p>
    <w:p>
      <w:pPr>
        <w:spacing w:line="360" w:lineRule="auto"/>
        <w:rPr>
          <w:rFonts w:ascii="宋体" w:cs="等线 Light"/>
          <w:color w:val="000000" w:themeColor="text1"/>
          <w14:textFill>
            <w14:solidFill>
              <w14:schemeClr w14:val="tx1"/>
            </w14:solidFill>
          </w14:textFill>
        </w:rPr>
      </w:pPr>
    </w:p>
    <w:p>
      <w:pPr>
        <w:spacing w:line="360" w:lineRule="auto"/>
        <w:rPr>
          <w:rFonts w:ascii="宋体" w:cs="等线 Light"/>
          <w:color w:val="000000" w:themeColor="text1"/>
          <w14:textFill>
            <w14:solidFill>
              <w14:schemeClr w14:val="tx1"/>
            </w14:solidFill>
          </w14:textFill>
        </w:rPr>
      </w:pPr>
    </w:p>
    <w:p>
      <w:pPr>
        <w:spacing w:line="360" w:lineRule="auto"/>
        <w:rPr>
          <w:rFonts w:ascii="宋体" w:cs="等线 Light"/>
          <w:color w:val="000000" w:themeColor="text1"/>
          <w14:textFill>
            <w14:solidFill>
              <w14:schemeClr w14:val="tx1"/>
            </w14:solidFill>
          </w14:textFill>
        </w:rPr>
      </w:pPr>
    </w:p>
    <w:p>
      <w:pPr>
        <w:spacing w:line="360" w:lineRule="auto"/>
        <w:rPr>
          <w:rFonts w:ascii="宋体" w:cs="等线 Light"/>
          <w:color w:val="000000" w:themeColor="text1"/>
          <w14:textFill>
            <w14:solidFill>
              <w14:schemeClr w14:val="tx1"/>
            </w14:solidFill>
          </w14:textFill>
        </w:rPr>
      </w:pPr>
    </w:p>
    <w:p>
      <w:pPr>
        <w:autoSpaceDE w:val="0"/>
        <w:autoSpaceDN w:val="0"/>
        <w:adjustRightInd w:val="0"/>
        <w:snapToGrid w:val="0"/>
        <w:spacing w:line="360" w:lineRule="auto"/>
        <w:jc w:val="left"/>
        <w:rPr>
          <w:rFonts w:ascii="宋体"/>
          <w:color w:val="000000" w:themeColor="text1"/>
          <w:kern w:val="0"/>
          <w14:textFill>
            <w14:solidFill>
              <w14:schemeClr w14:val="tx1"/>
            </w14:solidFill>
          </w14:textFill>
        </w:rPr>
      </w:pPr>
      <w:r>
        <w:rPr>
          <w:rFonts w:ascii="宋体"/>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a:effectLst/>
                      </wps:spPr>
                      <wps:bodyPr/>
                    </wps:wsp>
                  </a:graphicData>
                </a:graphic>
              </wp:anchor>
            </w:drawing>
          </mc:Choice>
          <mc:Fallback>
            <w:pict>
              <v:line id="_x0000_s1026" o:spid="_x0000_s1026" o:spt="20" style="position:absolute;left:0pt;margin-left:-2.25pt;margin-top:18.6pt;height:0pt;width:222.75pt;z-index:251659264;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wFANztUAAAAIAQAADwAAAAAA&#10;AAABACAAAAAiAAAAZHJzL2Rvd25yZXYueG1sUEsBAhQAFAAAAAgAh07iQDbFU83dAQAApwMAAA4A&#10;AAAAAAAAAQAgAAAAJAEAAGRycy9lMm9Eb2MueG1sUEsFBgAAAAAGAAYAWQEAAHMFAAAAAA==&#10;">
                <v:fill on="f" focussize="0,0"/>
                <v:stroke weight="0.25pt" color="#000000" joinstyle="miter"/>
                <v:imagedata o:title=""/>
                <o:lock v:ext="edit" aspectratio="f"/>
              </v:line>
            </w:pict>
          </mc:Fallback>
        </mc:AlternateContent>
      </w:r>
    </w:p>
    <w:p>
      <w:pPr>
        <w:tabs>
          <w:tab w:val="left" w:pos="6300"/>
        </w:tabs>
        <w:snapToGrid w:val="0"/>
        <w:spacing w:line="360" w:lineRule="auto"/>
        <w:ind w:firstLine="570"/>
        <w:rPr>
          <w:rFonts w:ascii="宋体" w:cs="等线 Light"/>
          <w:color w:val="000000" w:themeColor="text1"/>
          <w:sz w:val="21"/>
          <w:szCs w:val="21"/>
          <w14:textFill>
            <w14:solidFill>
              <w14:schemeClr w14:val="tx1"/>
            </w14:solidFill>
          </w14:textFill>
        </w:rPr>
      </w:pPr>
      <w:r>
        <w:rPr>
          <w:rFonts w:hint="eastAsia" w:ascii="宋体"/>
          <w:snapToGrid w:val="0"/>
          <w:color w:val="000000" w:themeColor="text1"/>
          <w:kern w:val="0"/>
          <w:sz w:val="24"/>
          <w14:textFill>
            <w14:solidFill>
              <w14:schemeClr w14:val="tx1"/>
            </w14:solidFill>
          </w14:textFill>
        </w:rPr>
        <w:t>注：附</w:t>
      </w:r>
      <w:r>
        <w:rPr>
          <w:rFonts w:hint="eastAsia" w:ascii="宋体" w:cs="等线 Light"/>
          <w:snapToGrid w:val="0"/>
          <w:color w:val="000000" w:themeColor="text1"/>
          <w:kern w:val="0"/>
          <w:sz w:val="24"/>
          <w:szCs w:val="24"/>
          <w14:textFill>
            <w14:solidFill>
              <w14:schemeClr w14:val="tx1"/>
            </w14:solidFill>
          </w14:textFill>
        </w:rPr>
        <w:t>参选</w:t>
      </w:r>
      <w:r>
        <w:rPr>
          <w:rFonts w:hint="eastAsia" w:ascii="宋体"/>
          <w:snapToGrid w:val="0"/>
          <w:color w:val="000000" w:themeColor="text1"/>
          <w:kern w:val="0"/>
          <w:sz w:val="24"/>
          <w14:textFill>
            <w14:solidFill>
              <w14:schemeClr w14:val="tx1"/>
            </w14:solidFill>
          </w14:textFill>
        </w:rPr>
        <w:t>保证金交款凭据复印件</w:t>
      </w:r>
    </w:p>
    <w:p>
      <w:pPr>
        <w:spacing w:line="360" w:lineRule="auto"/>
        <w:ind w:firstLine="2400"/>
        <w:rPr>
          <w:rFonts w:ascii="宋体" w:cs="等线 Light"/>
          <w:color w:val="000000" w:themeColor="text1"/>
          <w:sz w:val="21"/>
          <w:szCs w:val="21"/>
          <w14:textFill>
            <w14:solidFill>
              <w14:schemeClr w14:val="tx1"/>
            </w14:solidFill>
          </w14:textFill>
        </w:rPr>
      </w:pPr>
    </w:p>
    <w:p>
      <w:pPr>
        <w:spacing w:line="360" w:lineRule="auto"/>
        <w:rPr>
          <w:rFonts w:ascii="宋体"/>
          <w:snapToGrid w:val="0"/>
          <w:color w:val="000000" w:themeColor="text1"/>
          <w:kern w:val="0"/>
          <w:sz w:val="24"/>
          <w:szCs w:val="24"/>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pStyle w:val="4"/>
        <w:numPr>
          <w:ilvl w:val="0"/>
          <w:numId w:val="0"/>
        </w:numPr>
        <w:ind w:left="0" w:leftChars="0" w:right="0" w:rightChars="0" w:firstLine="0" w:firstLineChars="0"/>
        <w:jc w:val="center"/>
        <w:rPr>
          <w:rFonts w:ascii="Times New Roman" w:hAnsi="Times New Roman" w:cs="Times New Roman"/>
          <w:bCs w:val="0"/>
          <w:snapToGrid/>
          <w:sz w:val="28"/>
          <w:szCs w:val="28"/>
        </w:rPr>
      </w:pPr>
      <w:r>
        <w:rPr>
          <w:rFonts w:hint="eastAsia" w:ascii="Times New Roman" w:hAnsi="Times New Roman" w:cs="Times New Roman"/>
          <w:bCs w:val="0"/>
          <w:snapToGrid/>
          <w:sz w:val="28"/>
          <w:szCs w:val="28"/>
          <w:lang w:val="en-US" w:eastAsia="zh-CN"/>
        </w:rPr>
        <w:t>十二、</w:t>
      </w:r>
      <w:r>
        <w:rPr>
          <w:rFonts w:hint="eastAsia" w:ascii="Times New Roman" w:hAnsi="Times New Roman" w:cs="Times New Roman"/>
          <w:bCs w:val="0"/>
          <w:snapToGrid/>
          <w:sz w:val="28"/>
          <w:szCs w:val="28"/>
        </w:rPr>
        <w:t>其他（如有）</w:t>
      </w:r>
    </w:p>
    <w:p>
      <w:pPr>
        <w:jc w:val="center"/>
        <w:rPr>
          <w:sz w:val="24"/>
          <w:szCs w:val="18"/>
        </w:rPr>
      </w:pPr>
      <w:r>
        <w:rPr>
          <w:rFonts w:hint="eastAsia"/>
          <w:sz w:val="24"/>
          <w:szCs w:val="18"/>
        </w:rPr>
        <w:t>参选人认为参与此次比选应递交的其他资料</w:t>
      </w:r>
    </w:p>
    <w:p>
      <w:pPr>
        <w:pStyle w:val="2"/>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10AF527-AFAE-4145-AEAA-70B96A393E1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embedRegular r:id="rId2" w:fontKey="{5F48F1FA-67A0-4FD9-A3C5-99ED55189679}"/>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embedRegular r:id="rId3" w:fontKey="{6615C57E-8860-4B58-8859-7579EF054FC5}"/>
  </w:font>
  <w:font w:name="Cambria">
    <w:panose1 w:val="02040503050406030204"/>
    <w:charset w:val="00"/>
    <w:family w:val="roman"/>
    <w:pitch w:val="default"/>
    <w:sig w:usb0="E00006FF" w:usb1="420024FF" w:usb2="02000000" w:usb3="00000000" w:csb0="2000019F" w:csb1="00000000"/>
    <w:embedRegular r:id="rId4" w:fontKey="{ACE21700-0E91-42FF-A30C-BBE737CF083F}"/>
  </w:font>
  <w:font w:name="方正小标宋_GBK">
    <w:panose1 w:val="03000509000000000000"/>
    <w:charset w:val="86"/>
    <w:family w:val="script"/>
    <w:pitch w:val="default"/>
    <w:sig w:usb0="00000001" w:usb1="080E0000" w:usb2="00000000" w:usb3="00000000" w:csb0="00040000" w:csb1="00000000"/>
    <w:embedRegular r:id="rId5" w:fontKey="{DD9D2750-0E62-493B-B6F2-77A84A52DC3C}"/>
  </w:font>
  <w:font w:name="华文细黑">
    <w:altName w:val="微软雅黑"/>
    <w:panose1 w:val="02010600040101010101"/>
    <w:charset w:val="86"/>
    <w:family w:val="auto"/>
    <w:pitch w:val="default"/>
    <w:sig w:usb0="00000000" w:usb1="00000000" w:usb2="00000000" w:usb3="00000000" w:csb0="0004009F" w:csb1="DFD70000"/>
    <w:embedRegular r:id="rId6" w:fontKey="{D970B58D-DDCF-44CC-A985-3DF25D8D7F5F}"/>
  </w:font>
  <w:font w:name="仿宋">
    <w:panose1 w:val="02010609060101010101"/>
    <w:charset w:val="86"/>
    <w:family w:val="modern"/>
    <w:pitch w:val="default"/>
    <w:sig w:usb0="800002BF" w:usb1="38CF7CFA" w:usb2="00000016" w:usb3="00000000" w:csb0="00040001" w:csb1="00000000"/>
    <w:embedRegular r:id="rId7" w:fontKey="{366FC1BA-D3FB-49B0-9975-52CC4733BB3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Arabic  \* MERGEFORMAT</w:instrText>
    </w:r>
    <w:r>
      <w:fldChar w:fldCharType="separate"/>
    </w:r>
    <w:r>
      <w:rPr>
        <w:lang w:val="zh-CN"/>
      </w:rPr>
      <w:t>52</w:t>
    </w:r>
    <w:r>
      <w:rPr>
        <w:lang w:val="zh-CN"/>
      </w:rPr>
      <w:fldChar w:fldCharType="end"/>
    </w:r>
  </w:p>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82F4F1"/>
    <w:multiLevelType w:val="singleLevel"/>
    <w:tmpl w:val="A482F4F1"/>
    <w:lvl w:ilvl="0" w:tentative="0">
      <w:start w:val="3"/>
      <w:numFmt w:val="chineseCounting"/>
      <w:suff w:val="nothing"/>
      <w:lvlText w:val="%1、"/>
      <w:lvlJc w:val="left"/>
      <w:rPr>
        <w:rFonts w:hint="eastAsia"/>
      </w:rPr>
    </w:lvl>
  </w:abstractNum>
  <w:abstractNum w:abstractNumId="1">
    <w:nsid w:val="AEF3ABE0"/>
    <w:multiLevelType w:val="multilevel"/>
    <w:tmpl w:val="AEF3ABE0"/>
    <w:lvl w:ilvl="0" w:tentative="0">
      <w:start w:val="1"/>
      <w:numFmt w:val="chineseCountingThousand"/>
      <w:lvlText w:val="%1、"/>
      <w:lvlJc w:val="left"/>
      <w:pPr>
        <w:tabs>
          <w:tab w:val="left" w:pos="900"/>
        </w:tabs>
        <w:ind w:left="480" w:firstLine="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CDD39F5E"/>
    <w:multiLevelType w:val="singleLevel"/>
    <w:tmpl w:val="CDD39F5E"/>
    <w:lvl w:ilvl="0" w:tentative="0">
      <w:start w:val="2"/>
      <w:numFmt w:val="chineseCounting"/>
      <w:suff w:val="nothing"/>
      <w:lvlText w:val="（%1）"/>
      <w:lvlJc w:val="left"/>
      <w:rPr>
        <w:rFonts w:hint="eastAsia"/>
      </w:rPr>
    </w:lvl>
  </w:abstractNum>
  <w:abstractNum w:abstractNumId="3">
    <w:nsid w:val="4F703DB9"/>
    <w:multiLevelType w:val="multilevel"/>
    <w:tmpl w:val="4F703DB9"/>
    <w:lvl w:ilvl="0" w:tentative="0">
      <w:start w:val="1"/>
      <w:numFmt w:val="chineseCountingThousand"/>
      <w:lvlText w:val="%1、"/>
      <w:lvlJc w:val="left"/>
      <w:pPr>
        <w:ind w:left="420" w:hanging="420"/>
      </w:pPr>
      <w:rPr>
        <w:b/>
        <w:bCs w:val="0"/>
        <w:sz w:val="28"/>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CEFD278"/>
    <w:multiLevelType w:val="multilevel"/>
    <w:tmpl w:val="6CEFD278"/>
    <w:lvl w:ilvl="0" w:tentative="0">
      <w:start w:val="1"/>
      <w:numFmt w:val="decimal"/>
      <w:suff w:val="nothing"/>
      <w:lvlText w:val="%1、"/>
      <w:lvlJc w:val="left"/>
      <w:pPr>
        <w:ind w:left="900" w:hanging="420"/>
      </w:pPr>
      <w:rPr>
        <w:rFonts w:hint="eastAsia"/>
      </w:r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HorizontalSpacing w:val="140"/>
  <w:drawingGridVerticalSpacing w:val="156"/>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MmQxZjA1Y2YxYjcxZTkzZjljNGM2ODFmNzIxYzcifQ=="/>
  </w:docVars>
  <w:rsids>
    <w:rsidRoot w:val="00A77378"/>
    <w:rsid w:val="00010D15"/>
    <w:rsid w:val="000D1277"/>
    <w:rsid w:val="000E17D0"/>
    <w:rsid w:val="001B5900"/>
    <w:rsid w:val="003520D7"/>
    <w:rsid w:val="003D496D"/>
    <w:rsid w:val="004411B4"/>
    <w:rsid w:val="00447D6C"/>
    <w:rsid w:val="004D1129"/>
    <w:rsid w:val="0058149B"/>
    <w:rsid w:val="006A320C"/>
    <w:rsid w:val="00776C4C"/>
    <w:rsid w:val="007A4741"/>
    <w:rsid w:val="00880D7E"/>
    <w:rsid w:val="008F0D51"/>
    <w:rsid w:val="00A15631"/>
    <w:rsid w:val="00A27E37"/>
    <w:rsid w:val="00A77378"/>
    <w:rsid w:val="00AD01DF"/>
    <w:rsid w:val="00B51786"/>
    <w:rsid w:val="00DC105C"/>
    <w:rsid w:val="00E83365"/>
    <w:rsid w:val="00EF45A5"/>
    <w:rsid w:val="00F725B6"/>
    <w:rsid w:val="0202673A"/>
    <w:rsid w:val="03622777"/>
    <w:rsid w:val="0506380A"/>
    <w:rsid w:val="05A21435"/>
    <w:rsid w:val="08D312F7"/>
    <w:rsid w:val="0F427387"/>
    <w:rsid w:val="10D50EC8"/>
    <w:rsid w:val="124208D5"/>
    <w:rsid w:val="125052AB"/>
    <w:rsid w:val="13D066E7"/>
    <w:rsid w:val="1495587B"/>
    <w:rsid w:val="15485429"/>
    <w:rsid w:val="17D63EBC"/>
    <w:rsid w:val="196256C3"/>
    <w:rsid w:val="1C586618"/>
    <w:rsid w:val="1E824187"/>
    <w:rsid w:val="1EBE589F"/>
    <w:rsid w:val="1F4F2864"/>
    <w:rsid w:val="221E19EC"/>
    <w:rsid w:val="23B23F9D"/>
    <w:rsid w:val="23B74786"/>
    <w:rsid w:val="24320465"/>
    <w:rsid w:val="249057DB"/>
    <w:rsid w:val="25830BE4"/>
    <w:rsid w:val="26861CB4"/>
    <w:rsid w:val="27260373"/>
    <w:rsid w:val="27D95DAE"/>
    <w:rsid w:val="295403E9"/>
    <w:rsid w:val="2A125B2D"/>
    <w:rsid w:val="2B243F09"/>
    <w:rsid w:val="2D704AE8"/>
    <w:rsid w:val="2E1744D1"/>
    <w:rsid w:val="2E4A2BEF"/>
    <w:rsid w:val="2E69799D"/>
    <w:rsid w:val="2F542FC0"/>
    <w:rsid w:val="2FFB268C"/>
    <w:rsid w:val="306F596B"/>
    <w:rsid w:val="308250AE"/>
    <w:rsid w:val="3139786C"/>
    <w:rsid w:val="32775F22"/>
    <w:rsid w:val="330003E7"/>
    <w:rsid w:val="334F7FE5"/>
    <w:rsid w:val="338E6C7F"/>
    <w:rsid w:val="33A00A95"/>
    <w:rsid w:val="33AE0ED8"/>
    <w:rsid w:val="34CA7860"/>
    <w:rsid w:val="37476045"/>
    <w:rsid w:val="37B862F9"/>
    <w:rsid w:val="37CC2275"/>
    <w:rsid w:val="389B2A43"/>
    <w:rsid w:val="38E222A3"/>
    <w:rsid w:val="399C796E"/>
    <w:rsid w:val="39DB5ABC"/>
    <w:rsid w:val="3ADE5D64"/>
    <w:rsid w:val="3B3C653D"/>
    <w:rsid w:val="3CDB04CF"/>
    <w:rsid w:val="3D0A2E41"/>
    <w:rsid w:val="3D617B95"/>
    <w:rsid w:val="3E376FD3"/>
    <w:rsid w:val="3FC1331B"/>
    <w:rsid w:val="408F745D"/>
    <w:rsid w:val="422A5E1B"/>
    <w:rsid w:val="429E09BF"/>
    <w:rsid w:val="42FC5212"/>
    <w:rsid w:val="439B2A45"/>
    <w:rsid w:val="447E67DD"/>
    <w:rsid w:val="44AB5C0C"/>
    <w:rsid w:val="45FA26CC"/>
    <w:rsid w:val="47CF42B4"/>
    <w:rsid w:val="49D31DEC"/>
    <w:rsid w:val="4B177539"/>
    <w:rsid w:val="4F1162B1"/>
    <w:rsid w:val="503E10AB"/>
    <w:rsid w:val="52371A12"/>
    <w:rsid w:val="52A955AB"/>
    <w:rsid w:val="52CE37D8"/>
    <w:rsid w:val="52ED493F"/>
    <w:rsid w:val="542304FB"/>
    <w:rsid w:val="545D401C"/>
    <w:rsid w:val="549863FE"/>
    <w:rsid w:val="558209AD"/>
    <w:rsid w:val="55833BCC"/>
    <w:rsid w:val="57B86799"/>
    <w:rsid w:val="583C4622"/>
    <w:rsid w:val="58844C80"/>
    <w:rsid w:val="597230D6"/>
    <w:rsid w:val="59B61F2F"/>
    <w:rsid w:val="5A3A490E"/>
    <w:rsid w:val="5F6C6BAD"/>
    <w:rsid w:val="60907FB2"/>
    <w:rsid w:val="62BB3936"/>
    <w:rsid w:val="64CD12A4"/>
    <w:rsid w:val="668E1C96"/>
    <w:rsid w:val="6778615A"/>
    <w:rsid w:val="67D06DB1"/>
    <w:rsid w:val="680229BA"/>
    <w:rsid w:val="69260A14"/>
    <w:rsid w:val="69A33D11"/>
    <w:rsid w:val="6CC73110"/>
    <w:rsid w:val="6D5E0667"/>
    <w:rsid w:val="6E390C03"/>
    <w:rsid w:val="6FB1731D"/>
    <w:rsid w:val="726971B8"/>
    <w:rsid w:val="759C7DBB"/>
    <w:rsid w:val="763C5012"/>
    <w:rsid w:val="766160EC"/>
    <w:rsid w:val="78373F24"/>
    <w:rsid w:val="7C8174D5"/>
    <w:rsid w:val="7D2B3A1A"/>
    <w:rsid w:val="7FD925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715" w:firstLineChars="200"/>
      <w:jc w:val="both"/>
    </w:pPr>
    <w:rPr>
      <w:rFonts w:ascii="Cambria Math" w:hAnsi="Cambria Math" w:eastAsia="宋体" w:cs="Cambria Math"/>
      <w:kern w:val="2"/>
      <w:sz w:val="24"/>
      <w:lang w:val="en-US" w:eastAsia="zh-CN" w:bidi="ar-SA"/>
    </w:rPr>
  </w:style>
  <w:style w:type="paragraph" w:styleId="3">
    <w:name w:val="heading 1"/>
    <w:basedOn w:val="1"/>
    <w:next w:val="1"/>
    <w:qFormat/>
    <w:uiPriority w:val="0"/>
    <w:pPr>
      <w:tabs>
        <w:tab w:val="left" w:pos="3360"/>
      </w:tabs>
      <w:snapToGrid w:val="0"/>
      <w:spacing w:before="120" w:line="600" w:lineRule="exact"/>
      <w:ind w:right="-11" w:rightChars="0" w:firstLine="0" w:firstLineChars="0"/>
      <w:jc w:val="center"/>
      <w:outlineLvl w:val="0"/>
    </w:pPr>
    <w:rPr>
      <w:rFonts w:ascii="宋体" w:hAnsi="宋体" w:cs="等线 Light"/>
      <w:b/>
      <w:snapToGrid w:val="0"/>
      <w:kern w:val="0"/>
      <w:sz w:val="44"/>
      <w:szCs w:val="44"/>
    </w:rPr>
  </w:style>
  <w:style w:type="paragraph" w:styleId="4">
    <w:name w:val="heading 2"/>
    <w:basedOn w:val="1"/>
    <w:next w:val="1"/>
    <w:link w:val="33"/>
    <w:qFormat/>
    <w:uiPriority w:val="0"/>
    <w:pPr>
      <w:spacing w:line="600" w:lineRule="exact"/>
      <w:ind w:firstLine="200" w:firstLineChars="200"/>
      <w:outlineLvl w:val="1"/>
    </w:pPr>
    <w:rPr>
      <w:rFonts w:ascii="宋体" w:hAnsi="宋体" w:cs="Arial"/>
      <w:b/>
      <w:bCs/>
      <w:snapToGrid w:val="0"/>
      <w:szCs w:val="24"/>
    </w:rPr>
  </w:style>
  <w:style w:type="paragraph" w:styleId="5">
    <w:name w:val="heading 3"/>
    <w:basedOn w:val="1"/>
    <w:next w:val="1"/>
    <w:link w:val="32"/>
    <w:qFormat/>
    <w:uiPriority w:val="0"/>
    <w:pPr>
      <w:keepNext w:val="0"/>
      <w:keepLines w:val="0"/>
      <w:spacing w:line="600" w:lineRule="exact"/>
      <w:outlineLvl w:val="2"/>
    </w:pPr>
    <w:rPr>
      <w:bCs/>
      <w:sz w:val="24"/>
      <w:szCs w:val="32"/>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6">
    <w:name w:val="Normal Indent"/>
    <w:next w:val="7"/>
    <w:qFormat/>
    <w:uiPriority w:val="0"/>
    <w:pPr>
      <w:widowControl w:val="0"/>
      <w:ind w:firstLine="420"/>
      <w:jc w:val="both"/>
    </w:pPr>
    <w:rPr>
      <w:rFonts w:ascii="Cambria Math" w:hAnsi="Cambria Math" w:eastAsia="等线 Light" w:cs="Cambria Math"/>
      <w:kern w:val="2"/>
      <w:sz w:val="21"/>
      <w:lang w:val="en-US" w:eastAsia="zh-CN" w:bidi="ar-SA"/>
    </w:rPr>
  </w:style>
  <w:style w:type="paragraph" w:styleId="7">
    <w:name w:val="Normal (Web)"/>
    <w:basedOn w:val="1"/>
    <w:qFormat/>
    <w:uiPriority w:val="0"/>
    <w:rPr>
      <w:rFonts w:ascii="Times New Roman" w:hAnsi="Times New Roman" w:cs="Times New Roman"/>
      <w:sz w:val="24"/>
      <w:szCs w:val="24"/>
    </w:rPr>
  </w:style>
  <w:style w:type="paragraph" w:styleId="8">
    <w:name w:val="Document Map"/>
    <w:basedOn w:val="1"/>
    <w:qFormat/>
    <w:uiPriority w:val="0"/>
    <w:rPr>
      <w:rFonts w:ascii="微软雅黑" w:hAnsi="微软雅黑"/>
      <w:sz w:val="18"/>
      <w:szCs w:val="18"/>
    </w:rPr>
  </w:style>
  <w:style w:type="paragraph" w:styleId="9">
    <w:name w:val="annotation text"/>
    <w:basedOn w:val="1"/>
    <w:qFormat/>
    <w:uiPriority w:val="0"/>
    <w:pPr>
      <w:jc w:val="left"/>
    </w:pPr>
  </w:style>
  <w:style w:type="paragraph" w:styleId="10">
    <w:name w:val="toc 3"/>
    <w:basedOn w:val="1"/>
    <w:next w:val="1"/>
    <w:qFormat/>
    <w:uiPriority w:val="0"/>
    <w:pPr>
      <w:ind w:left="840"/>
    </w:pPr>
  </w:style>
  <w:style w:type="paragraph" w:styleId="11">
    <w:name w:val="Date"/>
    <w:basedOn w:val="1"/>
    <w:next w:val="1"/>
    <w:qFormat/>
    <w:uiPriority w:val="0"/>
    <w:rPr>
      <w:rFonts w:ascii="Times New Roman" w:hAnsi="Times New Roman" w:cs="Times New Roman"/>
    </w:r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left" w:pos="1260"/>
        <w:tab w:val="left" w:pos="1685"/>
        <w:tab w:val="right" w:leader="dot" w:pos="8400"/>
      </w:tabs>
      <w:spacing w:line="480" w:lineRule="auto"/>
      <w:ind w:firstLine="100" w:firstLineChars="100"/>
    </w:pPr>
    <w:rPr>
      <w:szCs w:val="44"/>
    </w:rPr>
  </w:style>
  <w:style w:type="paragraph" w:styleId="16">
    <w:name w:val="toc 2"/>
    <w:basedOn w:val="1"/>
    <w:next w:val="1"/>
    <w:qFormat/>
    <w:uiPriority w:val="0"/>
    <w:pPr>
      <w:ind w:left="200" w:leftChars="200"/>
    </w:pPr>
  </w:style>
  <w:style w:type="paragraph" w:styleId="17">
    <w:name w:val="annotation subject"/>
    <w:basedOn w:val="9"/>
    <w:next w:val="9"/>
    <w:qFormat/>
    <w:uiPriority w:val="0"/>
    <w:rPr>
      <w:b/>
      <w:bCs/>
    </w:rPr>
  </w:style>
  <w:style w:type="paragraph" w:styleId="18">
    <w:name w:val="Body Text First Indent"/>
    <w:basedOn w:val="2"/>
    <w:next w:val="12"/>
    <w:qFormat/>
    <w:uiPriority w:val="0"/>
    <w:pPr>
      <w:spacing w:after="120"/>
      <w:ind w:firstLine="100" w:firstLineChars="100"/>
    </w:pPr>
    <w:rPr>
      <w:rFonts w:ascii="仿宋_GB2312" w:hAnsi="仿宋_GB2312"/>
      <w:sz w:val="21"/>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page number"/>
    <w:qFormat/>
    <w:uiPriority w:val="0"/>
  </w:style>
  <w:style w:type="character" w:styleId="23">
    <w:name w:val="FollowedHyperlink"/>
    <w:basedOn w:val="21"/>
    <w:qFormat/>
    <w:uiPriority w:val="0"/>
    <w:rPr>
      <w:color w:val="333333"/>
      <w:u w:val="none"/>
    </w:rPr>
  </w:style>
  <w:style w:type="character" w:styleId="24">
    <w:name w:val="Hyperlink"/>
    <w:basedOn w:val="21"/>
    <w:qFormat/>
    <w:uiPriority w:val="0"/>
    <w:rPr>
      <w:color w:val="0563C1"/>
      <w:u w:val="single"/>
    </w:rPr>
  </w:style>
  <w:style w:type="character" w:styleId="25">
    <w:name w:val="annotation reference"/>
    <w:basedOn w:val="21"/>
    <w:qFormat/>
    <w:uiPriority w:val="0"/>
    <w:rPr>
      <w:sz w:val="21"/>
      <w:szCs w:val="21"/>
    </w:rPr>
  </w:style>
  <w:style w:type="paragraph" w:customStyle="1" w:styleId="26">
    <w:name w:val="样式 正文缩进 + 小四 左侧:  2 字符"/>
    <w:next w:val="12"/>
    <w:qFormat/>
    <w:uiPriority w:val="0"/>
    <w:pPr>
      <w:widowControl w:val="0"/>
      <w:adjustRightInd w:val="0"/>
      <w:spacing w:before="60" w:after="60"/>
      <w:ind w:left="420" w:firstLine="225" w:firstLineChars="225"/>
      <w:jc w:val="both"/>
    </w:pPr>
    <w:rPr>
      <w:rFonts w:ascii="Cambria Math" w:hAnsi="Cambria Math" w:eastAsia="等线 Light" w:cs="Cambria Math"/>
      <w:kern w:val="2"/>
      <w:lang w:val="en-US" w:eastAsia="zh-CN" w:bidi="ar-SA"/>
    </w:rPr>
  </w:style>
  <w:style w:type="paragraph" w:customStyle="1" w:styleId="27">
    <w:name w:val="列表段落1"/>
    <w:next w:val="12"/>
    <w:qFormat/>
    <w:uiPriority w:val="0"/>
    <w:pPr>
      <w:widowControl w:val="0"/>
      <w:ind w:firstLine="200" w:firstLineChars="200"/>
      <w:jc w:val="both"/>
    </w:pPr>
    <w:rPr>
      <w:rFonts w:ascii="Cambria Math" w:hAnsi="Cambria Math" w:eastAsia="等线 Light" w:cs="Cambria Math"/>
      <w:kern w:val="2"/>
      <w:sz w:val="28"/>
      <w:lang w:val="en-US" w:eastAsia="zh-CN" w:bidi="ar-SA"/>
    </w:rPr>
  </w:style>
  <w:style w:type="paragraph" w:styleId="28">
    <w:name w:val="List Paragraph"/>
    <w:basedOn w:val="1"/>
    <w:qFormat/>
    <w:uiPriority w:val="34"/>
    <w:pPr>
      <w:ind w:firstLine="200" w:firstLineChars="200"/>
    </w:pPr>
  </w:style>
  <w:style w:type="paragraph" w:customStyle="1" w:styleId="29">
    <w:name w:val="TOC 标题1"/>
    <w:basedOn w:val="3"/>
    <w:next w:val="1"/>
    <w:qFormat/>
    <w:uiPriority w:val="0"/>
    <w:pPr>
      <w:keepNext/>
      <w:keepLines/>
      <w:widowControl/>
      <w:tabs>
        <w:tab w:val="clear" w:pos="3360"/>
      </w:tabs>
      <w:snapToGrid/>
      <w:spacing w:before="240" w:line="259" w:lineRule="auto"/>
      <w:ind w:right="0" w:rightChars="0"/>
      <w:jc w:val="left"/>
      <w:outlineLvl w:val="9"/>
    </w:pPr>
    <w:rPr>
      <w:rFonts w:ascii="Calibri" w:hAnsi="Calibri" w:cs="Arial"/>
      <w:b w:val="0"/>
      <w:snapToGrid/>
      <w:color w:val="2F5496"/>
      <w:sz w:val="32"/>
      <w:szCs w:val="32"/>
    </w:rPr>
  </w:style>
  <w:style w:type="character" w:customStyle="1" w:styleId="30">
    <w:name w:val="font_text_1"/>
    <w:basedOn w:val="21"/>
    <w:qFormat/>
    <w:uiPriority w:val="0"/>
  </w:style>
  <w:style w:type="paragraph" w:customStyle="1" w:styleId="31">
    <w:name w:val="列出段落1"/>
    <w:basedOn w:val="1"/>
    <w:qFormat/>
    <w:uiPriority w:val="34"/>
    <w:pPr>
      <w:spacing w:line="336" w:lineRule="auto"/>
      <w:ind w:firstLine="420" w:firstLineChars="200"/>
    </w:pPr>
    <w:rPr>
      <w:rFonts w:ascii="Calibri" w:hAnsi="Calibri" w:cs="Times New Roman"/>
      <w:sz w:val="21"/>
      <w:szCs w:val="22"/>
    </w:rPr>
  </w:style>
  <w:style w:type="character" w:customStyle="1" w:styleId="32">
    <w:name w:val="标题 3 Char"/>
    <w:link w:val="5"/>
    <w:qFormat/>
    <w:uiPriority w:val="0"/>
    <w:rPr>
      <w:bCs/>
      <w:sz w:val="24"/>
      <w:szCs w:val="32"/>
    </w:rPr>
  </w:style>
  <w:style w:type="character" w:customStyle="1" w:styleId="33">
    <w:name w:val="标题 2 Char"/>
    <w:link w:val="4"/>
    <w:qFormat/>
    <w:uiPriority w:val="0"/>
    <w:rPr>
      <w:rFonts w:ascii="宋体" w:hAnsi="宋体" w:cs="Arial"/>
      <w:b/>
      <w:bCs/>
      <w:snapToGrid w:val="0"/>
      <w:szCs w:val="24"/>
    </w:rPr>
  </w:style>
  <w:style w:type="paragraph" w:customStyle="1" w:styleId="34">
    <w:name w:val="列出段落11"/>
    <w:basedOn w:val="1"/>
    <w:qFormat/>
    <w:uiPriority w:val="0"/>
    <w:pPr>
      <w:spacing w:line="336" w:lineRule="auto"/>
      <w:ind w:firstLine="200" w:firstLineChars="200"/>
    </w:pPr>
    <w:rPr>
      <w:rFonts w:ascii="Calibri" w:hAnsi="Calibri" w:cs="Times New Roman"/>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52</Pages>
  <Words>3260</Words>
  <Characters>18582</Characters>
  <Lines>154</Lines>
  <Paragraphs>43</Paragraphs>
  <TotalTime>0</TotalTime>
  <ScaleCrop>false</ScaleCrop>
  <LinksUpToDate>false</LinksUpToDate>
  <CharactersWithSpaces>21799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2023-10-23T03:23:00Z</dcterms:created>
  <dc:creator>Rachel Chen</dc:creator>
  <cp:lastModifiedBy>admin</cp:lastModifiedBy>
  <cp:lastPrinted>2023-11-01T09:33:00Z</cp:lastPrinted>
  <dcterms:modified xsi:type="dcterms:W3CDTF">2023-11-22T06:28:52Z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B358BCEC983E4976AEB8184F052D04C2_13</vt:lpwstr>
  </property>
</Properties>
</file>