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480" w:lineRule="auto"/>
        <w:ind w:left="0" w:leftChars="0" w:right="0" w:rightChars="0" w:firstLine="0" w:firstLineChars="0"/>
        <w:jc w:val="center"/>
        <w:textAlignment w:val="auto"/>
        <w:rPr>
          <w:rFonts w:hint="eastAsia" w:ascii="宋体" w:hAnsi="宋体" w:eastAsia="宋体" w:cs="宋体"/>
          <w:b/>
          <w:color w:val="000000" w:themeColor="text1"/>
          <w:w w:val="99"/>
          <w:kern w:val="0"/>
          <w:sz w:val="30"/>
          <w:szCs w:val="30"/>
          <w14:textFill>
            <w14:solidFill>
              <w14:schemeClr w14:val="tx1"/>
            </w14:solidFill>
          </w14:textFill>
        </w:rPr>
      </w:pPr>
      <w:r>
        <w:rPr>
          <w:rFonts w:hint="eastAsia" w:ascii="宋体" w:hAnsi="宋体" w:eastAsia="宋体" w:cs="宋体"/>
          <w:b/>
          <w:color w:val="000000" w:themeColor="text1"/>
          <w:w w:val="99"/>
          <w:kern w:val="0"/>
          <w:sz w:val="30"/>
          <w:szCs w:val="30"/>
          <w14:textFill>
            <w14:solidFill>
              <w14:schemeClr w14:val="tx1"/>
            </w14:solidFill>
          </w14:textFill>
        </w:rPr>
        <w:t>项目名称：重庆三峡银行股份有限公司2024-2026年度房地产评估机构入围项目</w:t>
      </w:r>
    </w:p>
    <w:p>
      <w:pPr>
        <w:keepNext w:val="0"/>
        <w:keepLines w:val="0"/>
        <w:pageBreakBefore w:val="0"/>
        <w:widowControl w:val="0"/>
        <w:kinsoku/>
        <w:wordWrap/>
        <w:overflowPunct/>
        <w:topLinePunct w:val="0"/>
        <w:autoSpaceDE w:val="0"/>
        <w:autoSpaceDN w:val="0"/>
        <w:bidi w:val="0"/>
        <w:spacing w:line="480" w:lineRule="auto"/>
        <w:ind w:left="0" w:leftChars="0" w:right="0" w:rightChars="0" w:firstLine="0" w:firstLineChars="0"/>
        <w:jc w:val="center"/>
        <w:textAlignment w:val="auto"/>
        <w:rPr>
          <w:rFonts w:hint="eastAsia" w:ascii="宋体" w:hAnsi="宋体" w:eastAsia="宋体" w:cs="宋体"/>
          <w:snapToGrid w:val="0"/>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bidi w:val="0"/>
        <w:spacing w:line="480" w:lineRule="auto"/>
        <w:ind w:left="0" w:leftChars="0" w:right="0" w:rightChars="0" w:firstLine="0" w:firstLineChars="0"/>
        <w:jc w:val="center"/>
        <w:textAlignment w:val="auto"/>
        <w:rPr>
          <w:rFonts w:hint="eastAsia"/>
        </w:rPr>
      </w:pPr>
    </w:p>
    <w:p>
      <w:pPr>
        <w:keepNext w:val="0"/>
        <w:keepLines w:val="0"/>
        <w:pageBreakBefore w:val="0"/>
        <w:widowControl w:val="0"/>
        <w:kinsoku/>
        <w:wordWrap/>
        <w:overflowPunct/>
        <w:topLinePunct w:val="0"/>
        <w:autoSpaceDE w:val="0"/>
        <w:autoSpaceDN w:val="0"/>
        <w:bidi w:val="0"/>
        <w:spacing w:line="480" w:lineRule="auto"/>
        <w:ind w:left="0" w:leftChars="0" w:right="0" w:rightChars="0" w:firstLine="0" w:firstLineChars="0"/>
        <w:jc w:val="center"/>
        <w:textAlignment w:val="auto"/>
        <w:rPr>
          <w:rFonts w:hint="eastAsia" w:ascii="宋体" w:hAnsi="宋体" w:eastAsia="宋体" w:cs="宋体"/>
          <w:snapToGrid w:val="0"/>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480" w:lineRule="auto"/>
        <w:ind w:left="0" w:leftChars="0" w:right="0" w:rightChars="0" w:firstLine="0" w:firstLineChars="0"/>
        <w:jc w:val="center"/>
        <w:textAlignment w:val="auto"/>
        <w:rPr>
          <w:rFonts w:hint="eastAsia" w:ascii="宋体" w:hAnsi="宋体" w:eastAsia="宋体" w:cs="宋体"/>
          <w:b/>
          <w:color w:val="000000" w:themeColor="text1"/>
          <w:kern w:val="0"/>
          <w:sz w:val="84"/>
          <w:szCs w:val="44"/>
          <w14:textFill>
            <w14:solidFill>
              <w14:schemeClr w14:val="tx1"/>
            </w14:solidFill>
          </w14:textFill>
        </w:rPr>
      </w:pPr>
      <w:r>
        <w:rPr>
          <w:rFonts w:hint="eastAsia" w:ascii="宋体" w:hAnsi="宋体" w:eastAsia="宋体" w:cs="宋体"/>
          <w:b/>
          <w:color w:val="000000" w:themeColor="text1"/>
          <w:kern w:val="0"/>
          <w:sz w:val="84"/>
          <w:szCs w:val="44"/>
          <w14:textFill>
            <w14:solidFill>
              <w14:schemeClr w14:val="tx1"/>
            </w14:solidFill>
          </w14:textFill>
        </w:rPr>
        <w:t>比　选　文　件</w:t>
      </w:r>
    </w:p>
    <w:p>
      <w:pPr>
        <w:keepNext w:val="0"/>
        <w:keepLines w:val="0"/>
        <w:pageBreakBefore w:val="0"/>
        <w:widowControl w:val="0"/>
        <w:kinsoku/>
        <w:wordWrap/>
        <w:overflowPunct/>
        <w:topLinePunct w:val="0"/>
        <w:autoSpaceDE w:val="0"/>
        <w:autoSpaceDN w:val="0"/>
        <w:bidi w:val="0"/>
        <w:adjustRightInd w:val="0"/>
        <w:snapToGrid w:val="0"/>
        <w:spacing w:line="480" w:lineRule="auto"/>
        <w:ind w:left="0" w:leftChars="0" w:right="0" w:rightChars="0" w:firstLine="0" w:firstLineChars="0"/>
        <w:jc w:val="center"/>
        <w:textAlignment w:val="auto"/>
        <w:rPr>
          <w:rFonts w:hint="eastAsia" w:ascii="宋体" w:hAnsi="宋体" w:eastAsia="宋体" w:cs="宋体"/>
          <w:color w:val="000000" w:themeColor="text1"/>
          <w:kern w:val="0"/>
          <w:sz w:val="10"/>
          <w:szCs w:val="1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480" w:lineRule="auto"/>
        <w:ind w:left="0" w:leftChars="0" w:right="0" w:rightChars="0" w:firstLine="0" w:firstLineChars="0"/>
        <w:jc w:val="center"/>
        <w:textAlignment w:val="auto"/>
        <w:rPr>
          <w:rFonts w:hint="eastAsia" w:ascii="宋体" w:hAnsi="宋体" w:eastAsia="宋体" w:cs="宋体"/>
          <w:color w:val="000000" w:themeColor="text1"/>
          <w:kern w:val="0"/>
          <w:sz w:val="10"/>
          <w:szCs w:val="1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480" w:lineRule="auto"/>
        <w:ind w:left="0" w:leftChars="0" w:right="0" w:rightChars="0" w:firstLine="0" w:firstLineChars="0"/>
        <w:jc w:val="center"/>
        <w:textAlignment w:val="auto"/>
        <w:rPr>
          <w:rFonts w:hint="eastAsia" w:ascii="宋体" w:hAnsi="宋体" w:eastAsia="宋体" w:cs="宋体"/>
          <w:color w:val="000000" w:themeColor="text1"/>
          <w:kern w:val="0"/>
          <w:sz w:val="10"/>
          <w:szCs w:val="10"/>
          <w14:textFill>
            <w14:solidFill>
              <w14:schemeClr w14:val="tx1"/>
            </w14:solidFill>
          </w14:textFill>
        </w:rPr>
      </w:pPr>
    </w:p>
    <w:p>
      <w:pPr>
        <w:pStyle w:val="9"/>
        <w:keepNext w:val="0"/>
        <w:keepLines w:val="0"/>
        <w:pageBreakBefore w:val="0"/>
        <w:widowControl w:val="0"/>
        <w:kinsoku/>
        <w:wordWrap/>
        <w:overflowPunct/>
        <w:topLinePunct w:val="0"/>
        <w:bidi w:val="0"/>
        <w:spacing w:line="480" w:lineRule="auto"/>
        <w:ind w:left="0" w:leftChars="0" w:right="0" w:rightChars="0" w:firstLine="0" w:firstLineChars="0"/>
        <w:jc w:val="center"/>
        <w:textAlignment w:val="auto"/>
        <w:rPr>
          <w:rFonts w:hint="eastAsia" w:ascii="宋体" w:hAnsi="宋体" w:eastAsia="宋体" w:cs="宋体"/>
          <w:b/>
          <w:color w:val="000000" w:themeColor="text1"/>
          <w:w w:val="99"/>
          <w:kern w:val="0"/>
          <w:sz w:val="32"/>
          <w:szCs w:val="32"/>
          <w14:textFill>
            <w14:solidFill>
              <w14:schemeClr w14:val="tx1"/>
            </w14:solidFill>
          </w14:textFill>
        </w:rPr>
      </w:pPr>
    </w:p>
    <w:p>
      <w:pPr>
        <w:keepNext w:val="0"/>
        <w:keepLines w:val="0"/>
        <w:pageBreakBefore w:val="0"/>
        <w:widowControl w:val="0"/>
        <w:kinsoku/>
        <w:wordWrap/>
        <w:overflowPunct/>
        <w:topLinePunct w:val="0"/>
        <w:bidi w:val="0"/>
        <w:spacing w:line="480" w:lineRule="auto"/>
        <w:ind w:left="0" w:leftChars="0" w:right="0" w:rightChars="0" w:firstLine="0" w:firstLineChars="0"/>
        <w:jc w:val="center"/>
        <w:textAlignment w:val="auto"/>
        <w:rPr>
          <w:rFonts w:hint="eastAsia"/>
        </w:rPr>
      </w:pPr>
    </w:p>
    <w:p>
      <w:pPr>
        <w:keepNext w:val="0"/>
        <w:keepLines w:val="0"/>
        <w:pageBreakBefore w:val="0"/>
        <w:widowControl w:val="0"/>
        <w:kinsoku/>
        <w:wordWrap/>
        <w:overflowPunct/>
        <w:topLinePunct w:val="0"/>
        <w:bidi w:val="0"/>
        <w:spacing w:line="480" w:lineRule="auto"/>
        <w:ind w:left="0" w:leftChars="0" w:right="0" w:rightChars="0" w:firstLine="0" w:firstLineChars="0"/>
        <w:jc w:val="center"/>
        <w:textAlignment w:val="auto"/>
        <w:rPr>
          <w:rFonts w:hint="eastAsia" w:ascii="宋体" w:hAnsi="宋体" w:eastAsia="宋体" w:cs="宋体"/>
        </w:rPr>
      </w:pPr>
    </w:p>
    <w:p>
      <w:pPr>
        <w:keepNext w:val="0"/>
        <w:keepLines w:val="0"/>
        <w:pageBreakBefore w:val="0"/>
        <w:widowControl w:val="0"/>
        <w:tabs>
          <w:tab w:val="left" w:pos="6252"/>
        </w:tabs>
        <w:kinsoku/>
        <w:wordWrap/>
        <w:overflowPunct/>
        <w:topLinePunct w:val="0"/>
        <w:autoSpaceDE w:val="0"/>
        <w:autoSpaceDN w:val="0"/>
        <w:bidi w:val="0"/>
        <w:adjustRightInd w:val="0"/>
        <w:snapToGrid w:val="0"/>
        <w:spacing w:line="480" w:lineRule="auto"/>
        <w:ind w:left="0" w:leftChars="0" w:right="0" w:rightChars="0" w:firstLine="0" w:firstLineChars="0"/>
        <w:jc w:val="center"/>
        <w:textAlignment w:val="auto"/>
        <w:rPr>
          <w:rFonts w:hint="eastAsia" w:ascii="宋体" w:hAnsi="宋体" w:eastAsia="宋体" w:cs="宋体"/>
          <w:b/>
          <w:color w:val="000000" w:themeColor="text1"/>
          <w:w w:val="99"/>
          <w:kern w:val="0"/>
          <w:sz w:val="32"/>
          <w:szCs w:val="32"/>
          <w14:textFill>
            <w14:solidFill>
              <w14:schemeClr w14:val="tx1"/>
            </w14:solidFill>
          </w14:textFill>
        </w:rPr>
      </w:pPr>
    </w:p>
    <w:p>
      <w:pPr>
        <w:keepNext w:val="0"/>
        <w:keepLines w:val="0"/>
        <w:pageBreakBefore w:val="0"/>
        <w:widowControl w:val="0"/>
        <w:tabs>
          <w:tab w:val="left" w:pos="6252"/>
        </w:tabs>
        <w:kinsoku/>
        <w:wordWrap/>
        <w:overflowPunct/>
        <w:topLinePunct w:val="0"/>
        <w:autoSpaceDE w:val="0"/>
        <w:autoSpaceDN w:val="0"/>
        <w:bidi w:val="0"/>
        <w:adjustRightInd w:val="0"/>
        <w:snapToGrid w:val="0"/>
        <w:spacing w:line="480" w:lineRule="auto"/>
        <w:ind w:left="0" w:leftChars="0" w:right="0" w:rightChars="0" w:firstLine="0" w:firstLineChars="0"/>
        <w:jc w:val="center"/>
        <w:textAlignment w:val="auto"/>
        <w:rPr>
          <w:rFonts w:hint="eastAsia"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spacing w:val="235"/>
          <w:kern w:val="0"/>
          <w:sz w:val="32"/>
          <w:szCs w:val="32"/>
          <w:fitText w:val="1901" w:id="1270830609"/>
          <w14:textFill>
            <w14:solidFill>
              <w14:schemeClr w14:val="tx1"/>
            </w14:solidFill>
          </w14:textFill>
        </w:rPr>
        <w:t>比选</w:t>
      </w:r>
      <w:r>
        <w:rPr>
          <w:rFonts w:hint="eastAsia" w:ascii="宋体" w:hAnsi="宋体" w:eastAsia="宋体" w:cs="宋体"/>
          <w:b/>
          <w:color w:val="000000" w:themeColor="text1"/>
          <w:spacing w:val="0"/>
          <w:kern w:val="0"/>
          <w:sz w:val="32"/>
          <w:szCs w:val="32"/>
          <w:fitText w:val="1901" w:id="1270830609"/>
          <w14:textFill>
            <w14:solidFill>
              <w14:schemeClr w14:val="tx1"/>
            </w14:solidFill>
          </w14:textFill>
        </w:rPr>
        <w:t>人</w:t>
      </w:r>
      <w:r>
        <w:rPr>
          <w:rFonts w:hint="eastAsia" w:ascii="宋体" w:hAnsi="宋体" w:eastAsia="宋体" w:cs="宋体"/>
          <w:b/>
          <w:color w:val="000000" w:themeColor="text1"/>
          <w:spacing w:val="8"/>
          <w:kern w:val="0"/>
          <w:sz w:val="32"/>
          <w:szCs w:val="32"/>
          <w14:textFill>
            <w14:solidFill>
              <w14:schemeClr w14:val="tx1"/>
            </w14:solidFill>
          </w14:textFill>
        </w:rPr>
        <w:t>：</w:t>
      </w:r>
      <w:r>
        <w:rPr>
          <w:rFonts w:hint="eastAsia" w:ascii="宋体" w:hAnsi="宋体" w:eastAsia="宋体" w:cs="宋体"/>
          <w:b/>
          <w:color w:val="000000" w:themeColor="text1"/>
          <w:spacing w:val="8"/>
          <w:kern w:val="0"/>
          <w:sz w:val="32"/>
          <w:szCs w:val="32"/>
          <w:u w:val="single"/>
          <w14:textFill>
            <w14:solidFill>
              <w14:schemeClr w14:val="tx1"/>
            </w14:solidFill>
          </w14:textFill>
        </w:rPr>
        <w:t>重庆三峡银行股份有限公司</w:t>
      </w:r>
      <w:r>
        <w:rPr>
          <w:rFonts w:hint="eastAsia" w:ascii="宋体" w:hAnsi="宋体" w:eastAsia="宋体" w:cs="宋体"/>
          <w:b/>
          <w:color w:val="000000" w:themeColor="text1"/>
          <w:kern w:val="0"/>
          <w:sz w:val="32"/>
          <w:szCs w:val="32"/>
          <w14:textFill>
            <w14:solidFill>
              <w14:schemeClr w14:val="tx1"/>
            </w14:solidFill>
          </w14:textFill>
        </w:rPr>
        <w:t>（盖单位章）</w:t>
      </w:r>
    </w:p>
    <w:p>
      <w:pPr>
        <w:keepNext w:val="0"/>
        <w:keepLines w:val="0"/>
        <w:pageBreakBefore w:val="0"/>
        <w:widowControl w:val="0"/>
        <w:kinsoku/>
        <w:wordWrap/>
        <w:overflowPunct/>
        <w:topLinePunct w:val="0"/>
        <w:bidi w:val="0"/>
        <w:spacing w:line="480" w:lineRule="auto"/>
        <w:ind w:left="0" w:leftChars="0" w:right="0" w:rightChars="0" w:firstLine="0" w:firstLineChars="0"/>
        <w:jc w:val="center"/>
        <w:textAlignment w:val="auto"/>
        <w:rPr>
          <w:rFonts w:hint="eastAsia" w:ascii="宋体" w:hAnsi="宋体" w:eastAsia="宋体" w:cs="宋体"/>
          <w:b/>
          <w:color w:val="000000" w:themeColor="text1"/>
          <w:w w:val="99"/>
          <w:kern w:val="0"/>
          <w:sz w:val="32"/>
          <w:szCs w:val="32"/>
          <w14:textFill>
            <w14:solidFill>
              <w14:schemeClr w14:val="tx1"/>
            </w14:solidFill>
          </w14:textFill>
        </w:rPr>
      </w:pPr>
    </w:p>
    <w:p>
      <w:pPr>
        <w:pStyle w:val="13"/>
        <w:keepNext w:val="0"/>
        <w:keepLines w:val="0"/>
        <w:pageBreakBefore w:val="0"/>
        <w:widowControl w:val="0"/>
        <w:kinsoku/>
        <w:wordWrap/>
        <w:overflowPunct/>
        <w:topLinePunct w:val="0"/>
        <w:bidi w:val="0"/>
        <w:spacing w:line="480" w:lineRule="auto"/>
        <w:ind w:left="0" w:leftChars="0" w:right="0" w:rightChars="0" w:firstLine="0" w:firstLineChars="0"/>
        <w:jc w:val="center"/>
        <w:textAlignment w:val="auto"/>
        <w:rPr>
          <w:rFonts w:hint="eastAsia" w:ascii="宋体" w:hAnsi="宋体" w:eastAsia="宋体" w:cs="宋体"/>
          <w:b/>
          <w:color w:val="000000" w:themeColor="text1"/>
          <w:w w:val="99"/>
          <w:kern w:val="0"/>
          <w:sz w:val="32"/>
          <w:szCs w:val="32"/>
          <w14:textFill>
            <w14:solidFill>
              <w14:schemeClr w14:val="tx1"/>
            </w14:solidFill>
          </w14:textFill>
        </w:rPr>
      </w:pPr>
    </w:p>
    <w:p>
      <w:pPr>
        <w:keepNext w:val="0"/>
        <w:keepLines w:val="0"/>
        <w:pageBreakBefore w:val="0"/>
        <w:widowControl w:val="0"/>
        <w:kinsoku/>
        <w:wordWrap/>
        <w:overflowPunct/>
        <w:topLinePunct w:val="0"/>
        <w:bidi w:val="0"/>
        <w:spacing w:line="480" w:lineRule="auto"/>
        <w:ind w:left="0" w:leftChars="0" w:right="0" w:rightChars="0" w:firstLine="0" w:firstLineChars="0"/>
        <w:jc w:val="center"/>
        <w:textAlignment w:val="auto"/>
        <w:rPr>
          <w:rFonts w:hint="eastAsia" w:ascii="宋体" w:hAnsi="宋体" w:eastAsia="宋体" w:cs="宋体"/>
        </w:rPr>
      </w:pPr>
    </w:p>
    <w:p>
      <w:pPr>
        <w:keepNext w:val="0"/>
        <w:keepLines w:val="0"/>
        <w:pageBreakBefore w:val="0"/>
        <w:widowControl w:val="0"/>
        <w:kinsoku/>
        <w:wordWrap/>
        <w:overflowPunct/>
        <w:topLinePunct w:val="0"/>
        <w:bidi w:val="0"/>
        <w:spacing w:line="480" w:lineRule="auto"/>
        <w:ind w:left="0" w:leftChars="0" w:right="0" w:rightChars="0" w:firstLine="0" w:firstLineChars="0"/>
        <w:jc w:val="center"/>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w w:val="99"/>
          <w:kern w:val="0"/>
          <w:sz w:val="32"/>
          <w:szCs w:val="32"/>
          <w14:textFill>
            <w14:solidFill>
              <w14:schemeClr w14:val="tx1"/>
            </w14:solidFill>
          </w14:textFill>
        </w:rPr>
        <w:t>二○</w:t>
      </w:r>
      <w:r>
        <w:rPr>
          <w:rFonts w:hint="eastAsia" w:ascii="宋体" w:hAnsi="宋体" w:eastAsia="宋体" w:cs="宋体"/>
          <w:b/>
          <w:color w:val="000000" w:themeColor="text1"/>
          <w:kern w:val="0"/>
          <w:sz w:val="32"/>
          <w:szCs w:val="32"/>
          <w14:textFill>
            <w14:solidFill>
              <w14:schemeClr w14:val="tx1"/>
            </w14:solidFill>
          </w14:textFill>
        </w:rPr>
        <w:t>二</w:t>
      </w:r>
      <w:r>
        <w:rPr>
          <w:rFonts w:hint="eastAsia" w:ascii="宋体" w:hAnsi="宋体" w:eastAsia="宋体" w:cs="宋体"/>
          <w:b/>
          <w:color w:val="000000" w:themeColor="text1"/>
          <w:w w:val="99"/>
          <w:kern w:val="0"/>
          <w:sz w:val="32"/>
          <w:szCs w:val="32"/>
          <w14:textFill>
            <w14:solidFill>
              <w14:schemeClr w14:val="tx1"/>
            </w14:solidFill>
          </w14:textFill>
        </w:rPr>
        <w:t>三年十一月</w:t>
      </w:r>
    </w:p>
    <w:p>
      <w:pPr>
        <w:keepNext w:val="0"/>
        <w:keepLines w:val="0"/>
        <w:pageBreakBefore w:val="0"/>
        <w:kinsoku/>
        <w:wordWrap/>
        <w:overflowPunct/>
        <w:bidi w:val="0"/>
        <w:snapToGrid w:val="0"/>
        <w:spacing w:line="600" w:lineRule="exact"/>
        <w:ind w:left="0" w:leftChars="0" w:right="0" w:rightChars="0" w:firstLine="480" w:firstLineChars="200"/>
        <w:jc w:val="center"/>
        <w:textAlignment w:val="auto"/>
        <w:rPr>
          <w:rFonts w:hint="eastAsia" w:ascii="宋体" w:hAnsi="宋体" w:eastAsia="宋体" w:cs="宋体"/>
          <w:b/>
          <w:snapToGrid w:val="0"/>
          <w:color w:val="000000" w:themeColor="text1"/>
          <w:kern w:val="0"/>
          <w:sz w:val="44"/>
          <w:szCs w:val="4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br w:type="page"/>
      </w:r>
      <w:r>
        <w:rPr>
          <w:rFonts w:hint="eastAsia" w:ascii="宋体" w:hAnsi="宋体" w:eastAsia="宋体" w:cs="宋体"/>
          <w:b/>
          <w:snapToGrid w:val="0"/>
          <w:color w:val="000000" w:themeColor="text1"/>
          <w:kern w:val="0"/>
          <w:sz w:val="44"/>
          <w:szCs w:val="44"/>
          <w14:textFill>
            <w14:solidFill>
              <w14:schemeClr w14:val="tx1"/>
            </w14:solidFill>
          </w14:textFill>
        </w:rPr>
        <w:t>目录</w:t>
      </w:r>
    </w:p>
    <w:p>
      <w:pPr>
        <w:pStyle w:val="15"/>
        <w:tabs>
          <w:tab w:val="right" w:leader="dot" w:pos="8960"/>
          <w:tab w:val="clear" w:pos="1260"/>
          <w:tab w:val="clear" w:pos="1685"/>
          <w:tab w:val="clear" w:pos="8400"/>
        </w:tabs>
      </w:pPr>
      <w:r>
        <w:rPr>
          <w:rFonts w:hint="eastAsia" w:ascii="宋体" w:hAnsi="宋体" w:eastAsia="宋体" w:cs="宋体"/>
          <w:b/>
          <w:bCs/>
          <w:snapToGrid w:val="0"/>
          <w:color w:val="000000" w:themeColor="text1"/>
          <w:kern w:val="0"/>
          <w:szCs w:val="28"/>
          <w14:textFill>
            <w14:solidFill>
              <w14:schemeClr w14:val="tx1"/>
            </w14:solidFill>
          </w14:textFill>
        </w:rPr>
        <w:fldChar w:fldCharType="begin"/>
      </w:r>
      <w:r>
        <w:rPr>
          <w:rFonts w:hint="eastAsia" w:ascii="宋体" w:hAnsi="宋体" w:eastAsia="宋体" w:cs="宋体"/>
          <w:b/>
          <w:bCs/>
          <w:snapToGrid w:val="0"/>
          <w:color w:val="000000" w:themeColor="text1"/>
          <w:kern w:val="0"/>
          <w:szCs w:val="28"/>
          <w14:textFill>
            <w14:solidFill>
              <w14:schemeClr w14:val="tx1"/>
            </w14:solidFill>
          </w14:textFill>
        </w:rPr>
        <w:instrText xml:space="preserve">TOC \o "1-1" \h \u </w:instrText>
      </w:r>
      <w:r>
        <w:rPr>
          <w:rFonts w:hint="eastAsia" w:ascii="宋体" w:hAnsi="宋体" w:eastAsia="宋体" w:cs="宋体"/>
          <w:b/>
          <w:bCs/>
          <w:snapToGrid w:val="0"/>
          <w:color w:val="000000" w:themeColor="text1"/>
          <w:kern w:val="0"/>
          <w:szCs w:val="28"/>
          <w14:textFill>
            <w14:solidFill>
              <w14:schemeClr w14:val="tx1"/>
            </w14:solidFill>
          </w14:textFill>
        </w:rPr>
        <w:fldChar w:fldCharType="separate"/>
      </w:r>
      <w:r>
        <w:rPr>
          <w:rFonts w:hint="eastAsia" w:ascii="宋体" w:hAnsi="宋体" w:eastAsia="宋体" w:cs="宋体"/>
          <w:bCs/>
          <w:snapToGrid w:val="0"/>
          <w:color w:val="000000" w:themeColor="text1"/>
          <w:kern w:val="0"/>
          <w:szCs w:val="28"/>
          <w14:textFill>
            <w14:solidFill>
              <w14:schemeClr w14:val="tx1"/>
            </w14:solidFill>
          </w14:textFill>
        </w:rPr>
        <w:fldChar w:fldCharType="begin"/>
      </w:r>
      <w:r>
        <w:rPr>
          <w:rFonts w:hint="eastAsia" w:ascii="宋体" w:hAnsi="宋体" w:eastAsia="宋体" w:cs="宋体"/>
          <w:bCs/>
          <w:snapToGrid w:val="0"/>
          <w:kern w:val="0"/>
          <w:szCs w:val="28"/>
        </w:rPr>
        <w:instrText xml:space="preserve"> HYPERLINK \l _Toc10136 </w:instrText>
      </w:r>
      <w:r>
        <w:rPr>
          <w:rFonts w:hint="eastAsia" w:ascii="宋体" w:hAnsi="宋体" w:eastAsia="宋体" w:cs="宋体"/>
          <w:bCs/>
          <w:snapToGrid w:val="0"/>
          <w:kern w:val="0"/>
          <w:szCs w:val="28"/>
        </w:rPr>
        <w:fldChar w:fldCharType="separate"/>
      </w:r>
      <w:r>
        <w:rPr>
          <w:rFonts w:hint="eastAsia"/>
        </w:rPr>
        <w:t>第一章 比选公告</w:t>
      </w:r>
      <w:r>
        <w:tab/>
      </w:r>
      <w:r>
        <w:fldChar w:fldCharType="begin"/>
      </w:r>
      <w:r>
        <w:instrText xml:space="preserve"> PAGEREF _Toc10136 \h </w:instrText>
      </w:r>
      <w:r>
        <w:fldChar w:fldCharType="separate"/>
      </w:r>
      <w:r>
        <w:t>3</w:t>
      </w:r>
      <w:r>
        <w:fldChar w:fldCharType="end"/>
      </w:r>
      <w:r>
        <w:rPr>
          <w:rFonts w:hint="eastAsia" w:ascii="宋体" w:hAnsi="宋体" w:eastAsia="宋体" w:cs="宋体"/>
          <w:bCs/>
          <w:snapToGrid w:val="0"/>
          <w:color w:val="000000" w:themeColor="text1"/>
          <w:kern w:val="0"/>
          <w:szCs w:val="28"/>
          <w14:textFill>
            <w14:solidFill>
              <w14:schemeClr w14:val="tx1"/>
            </w14:solidFill>
          </w14:textFill>
        </w:rPr>
        <w:fldChar w:fldCharType="end"/>
      </w:r>
    </w:p>
    <w:p>
      <w:pPr>
        <w:pStyle w:val="15"/>
        <w:tabs>
          <w:tab w:val="right" w:leader="dot" w:pos="8960"/>
          <w:tab w:val="clear" w:pos="1260"/>
          <w:tab w:val="clear" w:pos="1685"/>
          <w:tab w:val="clear" w:pos="8400"/>
        </w:tabs>
      </w:pPr>
      <w:r>
        <w:rPr>
          <w:rFonts w:hint="eastAsia" w:ascii="宋体" w:hAnsi="宋体" w:eastAsia="宋体" w:cs="宋体"/>
          <w:bCs/>
          <w:snapToGrid w:val="0"/>
          <w:color w:val="000000" w:themeColor="text1"/>
          <w:kern w:val="0"/>
          <w:szCs w:val="28"/>
          <w14:textFill>
            <w14:solidFill>
              <w14:schemeClr w14:val="tx1"/>
            </w14:solidFill>
          </w14:textFill>
        </w:rPr>
        <w:fldChar w:fldCharType="begin"/>
      </w:r>
      <w:r>
        <w:rPr>
          <w:rFonts w:hint="eastAsia" w:ascii="宋体" w:hAnsi="宋体" w:eastAsia="宋体" w:cs="宋体"/>
          <w:bCs/>
          <w:snapToGrid w:val="0"/>
          <w:kern w:val="0"/>
          <w:szCs w:val="28"/>
        </w:rPr>
        <w:instrText xml:space="preserve"> HYPERLINK \l _Toc2893 </w:instrText>
      </w:r>
      <w:r>
        <w:rPr>
          <w:rFonts w:hint="eastAsia" w:ascii="宋体" w:hAnsi="宋体" w:eastAsia="宋体" w:cs="宋体"/>
          <w:bCs/>
          <w:snapToGrid w:val="0"/>
          <w:kern w:val="0"/>
          <w:szCs w:val="28"/>
        </w:rPr>
        <w:fldChar w:fldCharType="separate"/>
      </w:r>
      <w:r>
        <w:rPr>
          <w:rFonts w:hint="eastAsia"/>
        </w:rPr>
        <w:t>第二章 项目介绍</w:t>
      </w:r>
      <w:r>
        <w:tab/>
      </w:r>
      <w:r>
        <w:fldChar w:fldCharType="begin"/>
      </w:r>
      <w:r>
        <w:instrText xml:space="preserve"> PAGEREF _Toc2893 \h </w:instrText>
      </w:r>
      <w:r>
        <w:fldChar w:fldCharType="separate"/>
      </w:r>
      <w:r>
        <w:t>8</w:t>
      </w:r>
      <w:r>
        <w:fldChar w:fldCharType="end"/>
      </w:r>
      <w:r>
        <w:rPr>
          <w:rFonts w:hint="eastAsia" w:ascii="宋体" w:hAnsi="宋体" w:eastAsia="宋体" w:cs="宋体"/>
          <w:bCs/>
          <w:snapToGrid w:val="0"/>
          <w:color w:val="000000" w:themeColor="text1"/>
          <w:kern w:val="0"/>
          <w:szCs w:val="28"/>
          <w14:textFill>
            <w14:solidFill>
              <w14:schemeClr w14:val="tx1"/>
            </w14:solidFill>
          </w14:textFill>
        </w:rPr>
        <w:fldChar w:fldCharType="end"/>
      </w:r>
    </w:p>
    <w:p>
      <w:pPr>
        <w:pStyle w:val="15"/>
        <w:tabs>
          <w:tab w:val="right" w:leader="dot" w:pos="8960"/>
          <w:tab w:val="clear" w:pos="1260"/>
          <w:tab w:val="clear" w:pos="1685"/>
          <w:tab w:val="clear" w:pos="8400"/>
        </w:tabs>
      </w:pPr>
      <w:r>
        <w:rPr>
          <w:rFonts w:hint="eastAsia" w:ascii="宋体" w:hAnsi="宋体" w:eastAsia="宋体" w:cs="宋体"/>
          <w:bCs/>
          <w:snapToGrid w:val="0"/>
          <w:color w:val="000000" w:themeColor="text1"/>
          <w:kern w:val="0"/>
          <w:szCs w:val="28"/>
          <w14:textFill>
            <w14:solidFill>
              <w14:schemeClr w14:val="tx1"/>
            </w14:solidFill>
          </w14:textFill>
        </w:rPr>
        <w:fldChar w:fldCharType="begin"/>
      </w:r>
      <w:r>
        <w:rPr>
          <w:rFonts w:hint="eastAsia" w:ascii="宋体" w:hAnsi="宋体" w:eastAsia="宋体" w:cs="宋体"/>
          <w:bCs/>
          <w:snapToGrid w:val="0"/>
          <w:kern w:val="0"/>
          <w:szCs w:val="28"/>
        </w:rPr>
        <w:instrText xml:space="preserve"> HYPERLINK \l _Toc7389 </w:instrText>
      </w:r>
      <w:r>
        <w:rPr>
          <w:rFonts w:hint="eastAsia" w:ascii="宋体" w:hAnsi="宋体" w:eastAsia="宋体" w:cs="宋体"/>
          <w:bCs/>
          <w:snapToGrid w:val="0"/>
          <w:kern w:val="0"/>
          <w:szCs w:val="28"/>
        </w:rPr>
        <w:fldChar w:fldCharType="separate"/>
      </w:r>
      <w:r>
        <w:rPr>
          <w:rFonts w:hint="eastAsia"/>
        </w:rPr>
        <w:t>第三章 商务与技术条款</w:t>
      </w:r>
      <w:r>
        <w:tab/>
      </w:r>
      <w:r>
        <w:fldChar w:fldCharType="begin"/>
      </w:r>
      <w:r>
        <w:instrText xml:space="preserve"> PAGEREF _Toc7389 \h </w:instrText>
      </w:r>
      <w:r>
        <w:fldChar w:fldCharType="separate"/>
      </w:r>
      <w:r>
        <w:t>10</w:t>
      </w:r>
      <w:r>
        <w:fldChar w:fldCharType="end"/>
      </w:r>
      <w:r>
        <w:rPr>
          <w:rFonts w:hint="eastAsia" w:ascii="宋体" w:hAnsi="宋体" w:eastAsia="宋体" w:cs="宋体"/>
          <w:bCs/>
          <w:snapToGrid w:val="0"/>
          <w:color w:val="000000" w:themeColor="text1"/>
          <w:kern w:val="0"/>
          <w:szCs w:val="28"/>
          <w14:textFill>
            <w14:solidFill>
              <w14:schemeClr w14:val="tx1"/>
            </w14:solidFill>
          </w14:textFill>
        </w:rPr>
        <w:fldChar w:fldCharType="end"/>
      </w:r>
    </w:p>
    <w:p>
      <w:pPr>
        <w:pStyle w:val="15"/>
        <w:tabs>
          <w:tab w:val="right" w:leader="dot" w:pos="8960"/>
          <w:tab w:val="clear" w:pos="1260"/>
          <w:tab w:val="clear" w:pos="1685"/>
          <w:tab w:val="clear" w:pos="8400"/>
        </w:tabs>
      </w:pPr>
      <w:r>
        <w:rPr>
          <w:rFonts w:hint="eastAsia" w:ascii="宋体" w:hAnsi="宋体" w:eastAsia="宋体" w:cs="宋体"/>
          <w:bCs/>
          <w:snapToGrid w:val="0"/>
          <w:color w:val="000000" w:themeColor="text1"/>
          <w:kern w:val="0"/>
          <w:szCs w:val="28"/>
          <w14:textFill>
            <w14:solidFill>
              <w14:schemeClr w14:val="tx1"/>
            </w14:solidFill>
          </w14:textFill>
        </w:rPr>
        <w:fldChar w:fldCharType="begin"/>
      </w:r>
      <w:r>
        <w:rPr>
          <w:rFonts w:hint="eastAsia" w:ascii="宋体" w:hAnsi="宋体" w:eastAsia="宋体" w:cs="宋体"/>
          <w:bCs/>
          <w:snapToGrid w:val="0"/>
          <w:kern w:val="0"/>
          <w:szCs w:val="28"/>
        </w:rPr>
        <w:instrText xml:space="preserve"> HYPERLINK \l _Toc1105 </w:instrText>
      </w:r>
      <w:r>
        <w:rPr>
          <w:rFonts w:hint="eastAsia" w:ascii="宋体" w:hAnsi="宋体" w:eastAsia="宋体" w:cs="宋体"/>
          <w:bCs/>
          <w:snapToGrid w:val="0"/>
          <w:kern w:val="0"/>
          <w:szCs w:val="28"/>
        </w:rPr>
        <w:fldChar w:fldCharType="separate"/>
      </w:r>
      <w:r>
        <w:rPr>
          <w:rFonts w:hint="eastAsia"/>
        </w:rPr>
        <w:t>第四章 评审方法、评审标准和参选无效条款</w:t>
      </w:r>
      <w:r>
        <w:tab/>
      </w:r>
      <w:r>
        <w:fldChar w:fldCharType="begin"/>
      </w:r>
      <w:r>
        <w:instrText xml:space="preserve"> PAGEREF _Toc1105 \h </w:instrText>
      </w:r>
      <w:r>
        <w:fldChar w:fldCharType="separate"/>
      </w:r>
      <w:r>
        <w:t>13</w:t>
      </w:r>
      <w:r>
        <w:fldChar w:fldCharType="end"/>
      </w:r>
      <w:r>
        <w:rPr>
          <w:rFonts w:hint="eastAsia" w:ascii="宋体" w:hAnsi="宋体" w:eastAsia="宋体" w:cs="宋体"/>
          <w:bCs/>
          <w:snapToGrid w:val="0"/>
          <w:color w:val="000000" w:themeColor="text1"/>
          <w:kern w:val="0"/>
          <w:szCs w:val="28"/>
          <w14:textFill>
            <w14:solidFill>
              <w14:schemeClr w14:val="tx1"/>
            </w14:solidFill>
          </w14:textFill>
        </w:rPr>
        <w:fldChar w:fldCharType="end"/>
      </w:r>
    </w:p>
    <w:p>
      <w:pPr>
        <w:pStyle w:val="15"/>
        <w:tabs>
          <w:tab w:val="right" w:leader="dot" w:pos="8960"/>
          <w:tab w:val="clear" w:pos="1260"/>
          <w:tab w:val="clear" w:pos="1685"/>
          <w:tab w:val="clear" w:pos="8400"/>
        </w:tabs>
      </w:pPr>
      <w:r>
        <w:rPr>
          <w:rFonts w:hint="eastAsia" w:ascii="宋体" w:hAnsi="宋体" w:eastAsia="宋体" w:cs="宋体"/>
          <w:bCs/>
          <w:snapToGrid w:val="0"/>
          <w:color w:val="000000" w:themeColor="text1"/>
          <w:kern w:val="0"/>
          <w:szCs w:val="28"/>
          <w14:textFill>
            <w14:solidFill>
              <w14:schemeClr w14:val="tx1"/>
            </w14:solidFill>
          </w14:textFill>
        </w:rPr>
        <w:fldChar w:fldCharType="begin"/>
      </w:r>
      <w:r>
        <w:rPr>
          <w:rFonts w:hint="eastAsia" w:ascii="宋体" w:hAnsi="宋体" w:eastAsia="宋体" w:cs="宋体"/>
          <w:bCs/>
          <w:snapToGrid w:val="0"/>
          <w:kern w:val="0"/>
          <w:szCs w:val="28"/>
        </w:rPr>
        <w:instrText xml:space="preserve"> HYPERLINK \l _Toc17148 </w:instrText>
      </w:r>
      <w:r>
        <w:rPr>
          <w:rFonts w:hint="eastAsia" w:ascii="宋体" w:hAnsi="宋体" w:eastAsia="宋体" w:cs="宋体"/>
          <w:bCs/>
          <w:snapToGrid w:val="0"/>
          <w:kern w:val="0"/>
          <w:szCs w:val="28"/>
        </w:rPr>
        <w:fldChar w:fldCharType="separate"/>
      </w:r>
      <w:r>
        <w:rPr>
          <w:rFonts w:hint="eastAsia"/>
        </w:rPr>
        <w:t>第五章 合同模板（部分）</w:t>
      </w:r>
      <w:r>
        <w:tab/>
      </w:r>
      <w:r>
        <w:fldChar w:fldCharType="begin"/>
      </w:r>
      <w:r>
        <w:instrText xml:space="preserve"> PAGEREF _Toc17148 \h </w:instrText>
      </w:r>
      <w:r>
        <w:fldChar w:fldCharType="separate"/>
      </w:r>
      <w:r>
        <w:t>20</w:t>
      </w:r>
      <w:r>
        <w:fldChar w:fldCharType="end"/>
      </w:r>
      <w:r>
        <w:rPr>
          <w:rFonts w:hint="eastAsia" w:ascii="宋体" w:hAnsi="宋体" w:eastAsia="宋体" w:cs="宋体"/>
          <w:bCs/>
          <w:snapToGrid w:val="0"/>
          <w:color w:val="000000" w:themeColor="text1"/>
          <w:kern w:val="0"/>
          <w:szCs w:val="28"/>
          <w14:textFill>
            <w14:solidFill>
              <w14:schemeClr w14:val="tx1"/>
            </w14:solidFill>
          </w14:textFill>
        </w:rPr>
        <w:fldChar w:fldCharType="end"/>
      </w:r>
    </w:p>
    <w:p>
      <w:pPr>
        <w:pStyle w:val="15"/>
        <w:tabs>
          <w:tab w:val="right" w:leader="dot" w:pos="8960"/>
          <w:tab w:val="clear" w:pos="1260"/>
          <w:tab w:val="clear" w:pos="1685"/>
          <w:tab w:val="clear" w:pos="8400"/>
        </w:tabs>
      </w:pPr>
      <w:r>
        <w:rPr>
          <w:rFonts w:hint="eastAsia" w:ascii="宋体" w:hAnsi="宋体" w:eastAsia="宋体" w:cs="宋体"/>
          <w:bCs/>
          <w:snapToGrid w:val="0"/>
          <w:color w:val="000000" w:themeColor="text1"/>
          <w:kern w:val="0"/>
          <w:szCs w:val="28"/>
          <w14:textFill>
            <w14:solidFill>
              <w14:schemeClr w14:val="tx1"/>
            </w14:solidFill>
          </w14:textFill>
        </w:rPr>
        <w:fldChar w:fldCharType="begin"/>
      </w:r>
      <w:r>
        <w:rPr>
          <w:rFonts w:hint="eastAsia" w:ascii="宋体" w:hAnsi="宋体" w:eastAsia="宋体" w:cs="宋体"/>
          <w:bCs/>
          <w:snapToGrid w:val="0"/>
          <w:kern w:val="0"/>
          <w:szCs w:val="28"/>
        </w:rPr>
        <w:instrText xml:space="preserve"> HYPERLINK \l _Toc2970 </w:instrText>
      </w:r>
      <w:r>
        <w:rPr>
          <w:rFonts w:hint="eastAsia" w:ascii="宋体" w:hAnsi="宋体" w:eastAsia="宋体" w:cs="宋体"/>
          <w:bCs/>
          <w:snapToGrid w:val="0"/>
          <w:kern w:val="0"/>
          <w:szCs w:val="28"/>
        </w:rPr>
        <w:fldChar w:fldCharType="separate"/>
      </w:r>
      <w:r>
        <w:rPr>
          <w:rFonts w:hint="eastAsia"/>
        </w:rPr>
        <w:t>第六章 参选人须知</w:t>
      </w:r>
      <w:r>
        <w:tab/>
      </w:r>
      <w:r>
        <w:fldChar w:fldCharType="begin"/>
      </w:r>
      <w:r>
        <w:instrText xml:space="preserve"> PAGEREF _Toc2970 \h </w:instrText>
      </w:r>
      <w:r>
        <w:fldChar w:fldCharType="separate"/>
      </w:r>
      <w:r>
        <w:t>20</w:t>
      </w:r>
      <w:r>
        <w:fldChar w:fldCharType="end"/>
      </w:r>
      <w:r>
        <w:rPr>
          <w:rFonts w:hint="eastAsia" w:ascii="宋体" w:hAnsi="宋体" w:eastAsia="宋体" w:cs="宋体"/>
          <w:bCs/>
          <w:snapToGrid w:val="0"/>
          <w:color w:val="000000" w:themeColor="text1"/>
          <w:kern w:val="0"/>
          <w:szCs w:val="28"/>
          <w14:textFill>
            <w14:solidFill>
              <w14:schemeClr w14:val="tx1"/>
            </w14:solidFill>
          </w14:textFill>
        </w:rPr>
        <w:fldChar w:fldCharType="end"/>
      </w:r>
    </w:p>
    <w:p>
      <w:pPr>
        <w:pStyle w:val="15"/>
        <w:tabs>
          <w:tab w:val="right" w:leader="dot" w:pos="8960"/>
          <w:tab w:val="clear" w:pos="1260"/>
          <w:tab w:val="clear" w:pos="1685"/>
          <w:tab w:val="clear" w:pos="8400"/>
        </w:tabs>
      </w:pPr>
      <w:r>
        <w:rPr>
          <w:rFonts w:hint="eastAsia" w:ascii="宋体" w:hAnsi="宋体" w:eastAsia="宋体" w:cs="宋体"/>
          <w:bCs/>
          <w:snapToGrid w:val="0"/>
          <w:color w:val="000000" w:themeColor="text1"/>
          <w:kern w:val="0"/>
          <w:szCs w:val="28"/>
          <w14:textFill>
            <w14:solidFill>
              <w14:schemeClr w14:val="tx1"/>
            </w14:solidFill>
          </w14:textFill>
        </w:rPr>
        <w:fldChar w:fldCharType="begin"/>
      </w:r>
      <w:r>
        <w:rPr>
          <w:rFonts w:hint="eastAsia" w:ascii="宋体" w:hAnsi="宋体" w:eastAsia="宋体" w:cs="宋体"/>
          <w:bCs/>
          <w:snapToGrid w:val="0"/>
          <w:kern w:val="0"/>
          <w:szCs w:val="28"/>
        </w:rPr>
        <w:instrText xml:space="preserve"> HYPERLINK \l _Toc14542 </w:instrText>
      </w:r>
      <w:r>
        <w:rPr>
          <w:rFonts w:hint="eastAsia" w:ascii="宋体" w:hAnsi="宋体" w:eastAsia="宋体" w:cs="宋体"/>
          <w:bCs/>
          <w:snapToGrid w:val="0"/>
          <w:kern w:val="0"/>
          <w:szCs w:val="28"/>
        </w:rPr>
        <w:fldChar w:fldCharType="separate"/>
      </w:r>
      <w:r>
        <w:rPr>
          <w:rFonts w:hint="eastAsia"/>
        </w:rPr>
        <w:t>第七章参选文件格式</w:t>
      </w:r>
      <w:r>
        <w:tab/>
      </w:r>
      <w:r>
        <w:fldChar w:fldCharType="begin"/>
      </w:r>
      <w:r>
        <w:instrText xml:space="preserve"> PAGEREF _Toc14542 \h </w:instrText>
      </w:r>
      <w:r>
        <w:fldChar w:fldCharType="separate"/>
      </w:r>
      <w:r>
        <w:t>39</w:t>
      </w:r>
      <w:r>
        <w:fldChar w:fldCharType="end"/>
      </w:r>
      <w:r>
        <w:rPr>
          <w:rFonts w:hint="eastAsia" w:ascii="宋体" w:hAnsi="宋体" w:eastAsia="宋体" w:cs="宋体"/>
          <w:bCs/>
          <w:snapToGrid w:val="0"/>
          <w:color w:val="000000" w:themeColor="text1"/>
          <w:kern w:val="0"/>
          <w:szCs w:val="28"/>
          <w14:textFill>
            <w14:solidFill>
              <w14:schemeClr w14:val="tx1"/>
            </w14:solidFill>
          </w14:textFill>
        </w:rPr>
        <w:fldChar w:fldCharType="end"/>
      </w:r>
    </w:p>
    <w:p>
      <w:pPr>
        <w:keepNext w:val="0"/>
        <w:keepLines w:val="0"/>
        <w:pageBreakBefore w:val="0"/>
        <w:widowControl/>
        <w:kinsoku/>
        <w:wordWrap/>
        <w:overflowPunct/>
        <w:bidi w:val="0"/>
        <w:spacing w:line="600" w:lineRule="exact"/>
        <w:ind w:left="0" w:leftChars="0" w:right="0" w:rightChars="0" w:firstLine="240" w:firstLineChars="100"/>
        <w:textAlignment w:val="auto"/>
        <w:rPr>
          <w:rFonts w:hint="eastAsia" w:ascii="宋体" w:hAnsi="宋体" w:eastAsia="宋体" w:cs="宋体"/>
          <w:b/>
          <w:bCs/>
          <w:snapToGrid w:val="0"/>
          <w:color w:val="000000" w:themeColor="text1"/>
          <w:kern w:val="0"/>
          <w:sz w:val="24"/>
          <w:szCs w:val="24"/>
          <w14:textFill>
            <w14:solidFill>
              <w14:schemeClr w14:val="tx1"/>
            </w14:solidFill>
          </w14:textFill>
        </w:rPr>
      </w:pPr>
      <w:r>
        <w:rPr>
          <w:rFonts w:hint="eastAsia" w:ascii="宋体" w:hAnsi="宋体" w:eastAsia="宋体" w:cs="宋体"/>
          <w:bCs/>
          <w:snapToGrid w:val="0"/>
          <w:color w:val="000000" w:themeColor="text1"/>
          <w:kern w:val="0"/>
          <w:szCs w:val="28"/>
          <w14:textFill>
            <w14:solidFill>
              <w14:schemeClr w14:val="tx1"/>
            </w14:solidFill>
          </w14:textFill>
        </w:rPr>
        <w:fldChar w:fldCharType="end"/>
      </w:r>
    </w:p>
    <w:p>
      <w:pPr>
        <w:keepNext w:val="0"/>
        <w:keepLines w:val="0"/>
        <w:pageBreakBefore w:val="0"/>
        <w:widowControl/>
        <w:kinsoku/>
        <w:wordWrap/>
        <w:overflowPunct/>
        <w:bidi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br w:type="page"/>
      </w:r>
    </w:p>
    <w:p>
      <w:pPr>
        <w:pStyle w:val="2"/>
        <w:bidi w:val="0"/>
        <w:rPr>
          <w:rFonts w:hint="eastAsia"/>
        </w:rPr>
      </w:pPr>
      <w:bookmarkStart w:id="0" w:name="_Toc440628903"/>
      <w:bookmarkStart w:id="1" w:name="_Toc10136"/>
      <w:bookmarkStart w:id="2" w:name="_Toc26007"/>
      <w:bookmarkStart w:id="3" w:name="_Toc11058"/>
      <w:bookmarkStart w:id="4" w:name="_Toc469574661"/>
      <w:bookmarkStart w:id="5" w:name="_Toc55566254"/>
      <w:bookmarkStart w:id="6" w:name="_Toc6745"/>
      <w:bookmarkStart w:id="7" w:name="_Toc28543"/>
      <w:r>
        <w:rPr>
          <w:rFonts w:hint="eastAsia"/>
        </w:rPr>
        <w:t>第一章</w:t>
      </w:r>
      <w:bookmarkEnd w:id="0"/>
      <w:r>
        <w:rPr>
          <w:rFonts w:hint="eastAsia"/>
        </w:rPr>
        <w:t xml:space="preserve"> 比选公告</w:t>
      </w:r>
      <w:bookmarkEnd w:id="1"/>
      <w:bookmarkEnd w:id="2"/>
      <w:bookmarkEnd w:id="3"/>
      <w:bookmarkEnd w:id="4"/>
      <w:bookmarkEnd w:id="5"/>
      <w:bookmarkEnd w:id="6"/>
      <w:bookmarkEnd w:id="7"/>
    </w:p>
    <w:p>
      <w:pPr>
        <w:bidi w:val="0"/>
        <w:rPr>
          <w:rFonts w:hint="eastAsia"/>
        </w:rPr>
      </w:pPr>
      <w:r>
        <w:rPr>
          <w:rFonts w:hint="eastAsia"/>
        </w:rPr>
        <w:t>根据我行评估机构管理、押品管理及业务要求等相关制度规定，为全行提供授信业务抵（质）押物（包括房产、土地使用权、有形资产及其他资产）、不良债权和抵债资产、我行购置营业网点及我行闲置房产等价值评估服务。现对重庆三峡银行房地产评估机构入围项目进行公开比选，特邀请有兴趣的潜在参选人进行参选。</w:t>
      </w:r>
      <w:bookmarkStart w:id="8" w:name="_Toc55379218"/>
      <w:bookmarkStart w:id="9" w:name="_Toc89675127"/>
    </w:p>
    <w:p>
      <w:pPr>
        <w:pStyle w:val="3"/>
        <w:bidi w:val="0"/>
        <w:rPr>
          <w:rFonts w:hint="eastAsia"/>
        </w:rPr>
      </w:pPr>
      <w:r>
        <w:rPr>
          <w:rFonts w:hint="eastAsia"/>
        </w:rPr>
        <w:t>一、比选项目内容</w:t>
      </w:r>
      <w:bookmarkEnd w:id="8"/>
      <w:bookmarkEnd w:id="9"/>
    </w:p>
    <w:p>
      <w:pPr>
        <w:pStyle w:val="4"/>
        <w:bidi w:val="0"/>
        <w:rPr>
          <w:rFonts w:hint="eastAsia"/>
        </w:rPr>
      </w:pPr>
      <w:r>
        <w:rPr>
          <w:rFonts w:hint="eastAsia"/>
        </w:rPr>
        <w:t>（一）项目名称：</w:t>
      </w:r>
    </w:p>
    <w:p>
      <w:pPr>
        <w:bidi w:val="0"/>
        <w:rPr>
          <w:rFonts w:hint="eastAsia"/>
        </w:rPr>
      </w:pPr>
      <w:r>
        <w:rPr>
          <w:rFonts w:hint="eastAsia"/>
        </w:rPr>
        <w:t>重庆三峡银行股份有限公司2024-2026年度房地产评估机构入围项目</w:t>
      </w:r>
    </w:p>
    <w:p>
      <w:pPr>
        <w:keepNext w:val="0"/>
        <w:keepLines w:val="0"/>
        <w:pageBreakBefore w:val="0"/>
        <w:kinsoku/>
        <w:wordWrap/>
        <w:overflowPunct/>
        <w:bidi w:val="0"/>
        <w:snapToGrid w:val="0"/>
        <w:spacing w:line="600" w:lineRule="exact"/>
        <w:ind w:left="0" w:leftChars="0" w:right="0" w:rightChars="0" w:firstLine="480" w:firstLineChars="200"/>
        <w:textAlignment w:val="auto"/>
        <w:outlineLvl w:val="2"/>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（二）项目内容：</w:t>
      </w:r>
    </w:p>
    <w:p>
      <w:pPr>
        <w:bidi w:val="0"/>
        <w:rPr>
          <w:rFonts w:hint="eastAsia"/>
        </w:rPr>
      </w:pPr>
      <w:r>
        <w:rPr>
          <w:rFonts w:hint="eastAsia"/>
        </w:rPr>
        <w:t>重庆三峡银行股份有限公司拟采用公开比选的方式选择合作的房地产评估机构。中标的评估机构，将承担本行授信业务抵质押物或本行其他业务的评估或估值工作。</w:t>
      </w:r>
    </w:p>
    <w:p>
      <w:pPr>
        <w:pStyle w:val="4"/>
        <w:bidi w:val="0"/>
        <w:rPr>
          <w:rFonts w:hint="eastAsia"/>
        </w:rPr>
      </w:pPr>
      <w:r>
        <w:rPr>
          <w:rFonts w:hint="eastAsia"/>
        </w:rPr>
        <w:t>（三）中选人数量</w:t>
      </w:r>
    </w:p>
    <w:p>
      <w:pPr>
        <w:bidi w:val="0"/>
        <w:rPr>
          <w:rFonts w:hint="eastAsia"/>
        </w:rPr>
      </w:pPr>
      <w:r>
        <w:rPr>
          <w:rFonts w:hint="eastAsia"/>
        </w:rPr>
        <w:t>中选人数量</w:t>
      </w:r>
      <w:r>
        <w:rPr>
          <w:rFonts w:hint="eastAsia"/>
          <w:lang w:eastAsia="zh-CN"/>
        </w:rPr>
        <w:t>：</w:t>
      </w:r>
      <w:r>
        <w:rPr>
          <w:rFonts w:hint="eastAsia"/>
        </w:rPr>
        <w:t>5名</w:t>
      </w:r>
    </w:p>
    <w:p>
      <w:pPr>
        <w:pStyle w:val="3"/>
        <w:bidi w:val="0"/>
        <w:rPr>
          <w:rFonts w:hint="eastAsia"/>
        </w:rPr>
      </w:pPr>
      <w:bookmarkStart w:id="10" w:name="_Toc288224935"/>
      <w:bookmarkStart w:id="11" w:name="_Toc297817088"/>
      <w:bookmarkStart w:id="12" w:name="_Toc55379219"/>
      <w:bookmarkStart w:id="13" w:name="_Toc89675128"/>
      <w:bookmarkStart w:id="14" w:name="_Toc469574664"/>
      <w:r>
        <w:rPr>
          <w:rFonts w:hint="eastAsia"/>
        </w:rPr>
        <w:t>二、参选人资格要求</w:t>
      </w:r>
      <w:bookmarkEnd w:id="10"/>
      <w:bookmarkEnd w:id="11"/>
      <w:bookmarkEnd w:id="12"/>
      <w:bookmarkEnd w:id="13"/>
      <w:bookmarkEnd w:id="14"/>
    </w:p>
    <w:p>
      <w:pPr>
        <w:pStyle w:val="4"/>
        <w:bidi w:val="0"/>
        <w:rPr>
          <w:rFonts w:hint="eastAsia"/>
        </w:rPr>
      </w:pPr>
      <w:bookmarkStart w:id="15" w:name="_Hlk55488870"/>
      <w:r>
        <w:rPr>
          <w:rFonts w:hint="eastAsia"/>
        </w:rPr>
        <w:t>（一）基本资格条件</w:t>
      </w:r>
    </w:p>
    <w:p>
      <w:pPr>
        <w:bidi w:val="0"/>
        <w:rPr>
          <w:rFonts w:hint="eastAsia"/>
        </w:rPr>
      </w:pPr>
      <w:r>
        <w:rPr>
          <w:rFonts w:hint="eastAsia"/>
        </w:rPr>
        <w:t>1、具有独立法人资格，注册地和经营地在渝{提供参选人有效营业执照、直属的分支机构（直属的分支机构参与参选必须具有总公司的授权委托书）或事业单位法人证书（副本）或个体工商户营业执照或有效的自然人身份证明；参选人法定代表人身份证明和法定代表人授权代表委托书}；</w:t>
      </w:r>
    </w:p>
    <w:p>
      <w:pPr>
        <w:bidi w:val="0"/>
        <w:rPr>
          <w:rFonts w:hint="eastAsia"/>
        </w:rPr>
      </w:pPr>
      <w:r>
        <w:rPr>
          <w:rFonts w:hint="eastAsia"/>
        </w:rPr>
        <w:t>2、未被“信用中国”网站列入失信被执行人和重大税收违法案件当事人名单（提供“信用中国”http://www.creditchina.gov.cn 网站查询结果。查询方式：进入信用中国网站，右上角查询框中输入企业名字查询，在查询结果中找到对应企业，下载信用信息报告；提示：下载的报告为PDF格式，名称为“法人和非法人组织公共信用信息报告”，右上角有二维码校验码；查询生成时间：应当为本入围文件发出之日至投标截止日之间任意一天；递交方式：将信用信息报告装订入入围文件中）；</w:t>
      </w:r>
    </w:p>
    <w:p>
      <w:pPr>
        <w:bidi w:val="0"/>
        <w:rPr>
          <w:rFonts w:hint="eastAsia"/>
        </w:rPr>
      </w:pPr>
      <w:r>
        <w:rPr>
          <w:rFonts w:hint="eastAsia"/>
        </w:rPr>
        <w:t>3、在执业过程中未出现过不良行为或记录（提供行业协会出具的查询时间范围为2020年至今的“诚信证明”原件，“诚信证明”出具日期应当为本入围文件发出之日至投标截止日之间任意一天，“常用资质类”评估机构须分别提供房产类、土地类、资产类评估行业协会出具的“诚信证明”）；</w:t>
      </w:r>
    </w:p>
    <w:p>
      <w:pPr>
        <w:bidi w:val="0"/>
        <w:rPr>
          <w:rFonts w:hint="eastAsia"/>
        </w:rPr>
      </w:pPr>
      <w:r>
        <w:rPr>
          <w:rFonts w:hint="eastAsia"/>
        </w:rPr>
        <w:t>4、在行业协会2020年至今对估价报告质量检查评价结果中无“不合格”情况（分行业协会提供2020年、2021年、2022年、2023年对评估报告质量检查结果材料，“常用资质类”评估机构须分别提供房产类、土地类、资产类评估行业协会对评估报告质量的检查结果，若无评估报告质量检查结果的，须提供具体情况说明原件或行业协会证明材料原件）；</w:t>
      </w:r>
    </w:p>
    <w:p>
      <w:pPr>
        <w:bidi w:val="0"/>
        <w:rPr>
          <w:rFonts w:hint="eastAsia"/>
        </w:rPr>
      </w:pPr>
      <w:r>
        <w:rPr>
          <w:rFonts w:hint="eastAsia"/>
        </w:rPr>
        <w:t>5、具有依法缴纳税收和社会保障金的良好记录，提供近半年社会保险缴纳证明材料（社保局加盖公章）；</w:t>
      </w:r>
    </w:p>
    <w:p>
      <w:pPr>
        <w:bidi w:val="0"/>
        <w:rPr>
          <w:rFonts w:hint="eastAsia"/>
        </w:rPr>
      </w:pPr>
      <w:r>
        <w:rPr>
          <w:rFonts w:hint="eastAsia"/>
        </w:rPr>
        <w:t>6、具有良好的商业信誉和健全的财务会计制度、具有履行合同所必需的设备和专业技术能力、三年内在经营活动中没有重大违法记录（提供财务报表复印件和书面声明）；</w:t>
      </w:r>
    </w:p>
    <w:p>
      <w:pPr>
        <w:bidi w:val="0"/>
        <w:rPr>
          <w:rFonts w:hint="eastAsia"/>
        </w:rPr>
      </w:pPr>
      <w:r>
        <w:rPr>
          <w:rFonts w:hint="eastAsia"/>
        </w:rPr>
        <w:t>7、入围评估机构需就以下内容向我行进行承诺，并提供承诺函（格式自理），承诺内容需包含以下方面：</w:t>
      </w:r>
    </w:p>
    <w:p>
      <w:pPr>
        <w:bidi w:val="0"/>
        <w:rPr>
          <w:rFonts w:hint="eastAsia"/>
        </w:rPr>
      </w:pPr>
      <w:r>
        <w:rPr>
          <w:rFonts w:hint="eastAsia"/>
        </w:rPr>
        <w:t>（1）不属于我行关联方，与我行不存在关联交易关系；</w:t>
      </w:r>
    </w:p>
    <w:p>
      <w:pPr>
        <w:bidi w:val="0"/>
        <w:rPr>
          <w:rFonts w:hint="eastAsia"/>
        </w:rPr>
      </w:pPr>
      <w:r>
        <w:rPr>
          <w:rFonts w:hint="eastAsia"/>
        </w:rPr>
        <w:t>（2）认同我行对评估报告的要求及标准；对评估对象进行实地查勘，出具的评估报告附有评估人员与评估对象合照；</w:t>
      </w:r>
    </w:p>
    <w:p>
      <w:pPr>
        <w:bidi w:val="0"/>
        <w:rPr>
          <w:rFonts w:hint="eastAsia"/>
        </w:rPr>
      </w:pPr>
      <w:r>
        <w:rPr>
          <w:rFonts w:hint="eastAsia"/>
        </w:rPr>
        <w:t>（3）认同并能满足我行对评估任务的时效要求，具体为：对授信业务资产评估的响应时间为接收评估任务后1个工作日内，到现场进行查勘的时间为接收评估任务后的3个工作日内，现场查勘后，原则上应于接到我行出具预评估报告通知后2个工作日内出具预评估报告，接到我行出具正式评估报告通知后3个工作日内出具正式评估报告；</w:t>
      </w:r>
    </w:p>
    <w:p>
      <w:pPr>
        <w:bidi w:val="0"/>
        <w:rPr>
          <w:rFonts w:hint="eastAsia"/>
        </w:rPr>
      </w:pPr>
      <w:r>
        <w:rPr>
          <w:rFonts w:hint="eastAsia"/>
        </w:rPr>
        <w:t>（4）认同我行评估费付费标准；由我行支付评估费的，评估机构须承诺不得高于我行评估费相关付费标准收取评估费（详见附件1）；</w:t>
      </w:r>
    </w:p>
    <w:p>
      <w:pPr>
        <w:bidi w:val="0"/>
        <w:rPr>
          <w:rFonts w:hint="eastAsia"/>
        </w:rPr>
      </w:pPr>
      <w:r>
        <w:rPr>
          <w:rFonts w:hint="eastAsia"/>
        </w:rPr>
        <w:t>（5）同意对合作期间评估机构已经收费的评估项目，向我行提供压力测试、贷后检查和价值复估等服务；</w:t>
      </w:r>
    </w:p>
    <w:p>
      <w:pPr>
        <w:bidi w:val="0"/>
        <w:rPr>
          <w:rFonts w:hint="eastAsia"/>
        </w:rPr>
      </w:pPr>
      <w:r>
        <w:rPr>
          <w:rFonts w:hint="eastAsia"/>
        </w:rPr>
        <w:t>（6）出具的评估报告符合法律、法规的规定，能够合理、客观、真实反映评估物的价值；出具的评估报告能够得到抵质押物登记机构的认可；</w:t>
      </w:r>
    </w:p>
    <w:p>
      <w:pPr>
        <w:bidi w:val="0"/>
        <w:rPr>
          <w:rFonts w:hint="eastAsia"/>
        </w:rPr>
      </w:pPr>
      <w:r>
        <w:rPr>
          <w:rFonts w:hint="eastAsia"/>
        </w:rPr>
        <w:t>（7）在执业过程中未出现过重大评估事故，未给委托人造成损失；</w:t>
      </w:r>
    </w:p>
    <w:p>
      <w:pPr>
        <w:bidi w:val="0"/>
        <w:rPr>
          <w:rFonts w:hint="eastAsia"/>
        </w:rPr>
      </w:pPr>
      <w:r>
        <w:rPr>
          <w:rFonts w:hint="eastAsia"/>
        </w:rPr>
        <w:t>（8）未被纳入特定反洗钱监控名单（中国政府发布的或者要求执行的恐怖活动组织及恐怖活动人员名单，联合国安理会决议中所列的恐怖活动组织及恐怖活动人员名单，中国人民银行要求关注的其他涉嫌恐怖活动的组织和人员名单）范围。</w:t>
      </w:r>
    </w:p>
    <w:p>
      <w:pPr>
        <w:pStyle w:val="4"/>
        <w:bidi w:val="0"/>
        <w:rPr>
          <w:rFonts w:hint="eastAsia"/>
        </w:rPr>
      </w:pPr>
      <w:r>
        <w:rPr>
          <w:rFonts w:hint="eastAsia"/>
        </w:rPr>
        <w:t>（二）特定资格条件</w:t>
      </w:r>
    </w:p>
    <w:p>
      <w:pPr>
        <w:bidi w:val="0"/>
        <w:rPr>
          <w:rFonts w:hint="eastAsia"/>
        </w:rPr>
      </w:pPr>
      <w:r>
        <w:rPr>
          <w:rFonts w:hint="eastAsia"/>
        </w:rPr>
        <w:t>1、同时具有房产、土地使用权、资产评估资质，其中房地产估价机构备案等级不低于二级（提供“房地产估价机构备案证书”、“土地估价机构备案函”、“资产评估机构备案资料”）；</w:t>
      </w:r>
    </w:p>
    <w:p>
      <w:pPr>
        <w:bidi w:val="0"/>
        <w:rPr>
          <w:rFonts w:hint="eastAsia"/>
        </w:rPr>
      </w:pPr>
      <w:r>
        <w:rPr>
          <w:rFonts w:hint="eastAsia"/>
        </w:rPr>
        <w:t>2、具有与开展评估业务相适应的固定工作场所（提供在渝办公场地明细表（见附表1：评估机构在渝办公场地明细表）、房产证明或租赁证明等资料）；</w:t>
      </w:r>
    </w:p>
    <w:p>
      <w:pPr>
        <w:bidi w:val="0"/>
        <w:rPr>
          <w:rFonts w:hint="eastAsia"/>
        </w:rPr>
      </w:pPr>
      <w:r>
        <w:rPr>
          <w:rFonts w:hint="eastAsia"/>
        </w:rPr>
        <w:t>3、正在服务有效期的银行业金融机构不少于5家，银行业金融机构需为省级分行或总行层级（需为本项目同类案例，非单个评估服务项目，提供银行业金融机构合作情况表（见附表2：评估机构银行业金融机构合作情况表）及对应的能证明“正在服务有效期”的合同复印件等证明资料）；</w:t>
      </w:r>
    </w:p>
    <w:p>
      <w:pPr>
        <w:bidi w:val="0"/>
        <w:rPr>
          <w:rFonts w:hint="eastAsia"/>
        </w:rPr>
      </w:pPr>
      <w:r>
        <w:rPr>
          <w:rFonts w:hint="eastAsia"/>
        </w:rPr>
        <w:t>4、拟为本行服务的团队人员不低于10名在职评估师或估价师（一人多证算一人），且须覆盖注册房地产估价师、土地估价师、资产评估师三类（提供服务团队介绍，以表格形式（见附表3：评估机构评估服务团队具体情况表）列明的服务团队人员姓名、执业证书、执业年限、为银行业金融机构服务工作经验介绍、办公地点、团队人员平均执业年限，服务团队人员资质证书，近三个月投标评估机构为其缴纳社会保险的证明）；</w:t>
      </w:r>
    </w:p>
    <w:p>
      <w:pPr>
        <w:bidi w:val="0"/>
        <w:rPr>
          <w:rFonts w:hint="eastAsia"/>
        </w:rPr>
      </w:pPr>
      <w:r>
        <w:rPr>
          <w:rFonts w:hint="eastAsia"/>
        </w:rPr>
        <w:t>注：（1）评估机构提交的合同复印件等资料需保留评估机构名称、服务对象、服务时间及期限、服务内容、签章等基本证明内容，其他要素可覆盖；如涉及商业秘密、敏感信息等不能予以公开的，评估机构可将不能公开的内容予以涂抹或脱敏处理。</w:t>
      </w:r>
    </w:p>
    <w:p>
      <w:pPr>
        <w:bidi w:val="0"/>
        <w:rPr>
          <w:rFonts w:hint="eastAsia"/>
        </w:rPr>
      </w:pPr>
      <w:r>
        <w:rPr>
          <w:rFonts w:hint="eastAsia"/>
        </w:rPr>
        <w:t>（2）以上证明文件若比选人存疑，参选人需提供原件备查，参选文件中须附相关证明文件复印件并逐页加盖公章，经我行发现违反前述条件或提供虚假材料，我行可立即终止其入围资格，并追究其法律责任。</w:t>
      </w:r>
    </w:p>
    <w:bookmarkEnd w:id="15"/>
    <w:p>
      <w:pPr>
        <w:pStyle w:val="3"/>
        <w:bidi w:val="0"/>
        <w:rPr>
          <w:rFonts w:hint="eastAsia"/>
        </w:rPr>
      </w:pPr>
      <w:bookmarkStart w:id="16" w:name="_Toc55379220"/>
      <w:bookmarkStart w:id="17" w:name="_Toc469574667"/>
      <w:bookmarkStart w:id="18" w:name="_Toc297817090"/>
      <w:bookmarkStart w:id="19" w:name="_Toc89675130"/>
      <w:r>
        <w:rPr>
          <w:rFonts w:hint="eastAsia"/>
        </w:rPr>
        <w:t>三、比选文件的获取</w:t>
      </w:r>
      <w:bookmarkEnd w:id="16"/>
    </w:p>
    <w:p>
      <w:pPr>
        <w:bidi w:val="0"/>
        <w:rPr>
          <w:rFonts w:hint="eastAsia"/>
        </w:rPr>
      </w:pPr>
      <w:r>
        <w:rPr>
          <w:rFonts w:hint="eastAsia"/>
        </w:rPr>
        <w:t>1、获取时间：从2023年</w:t>
      </w:r>
      <w:r>
        <w:rPr>
          <w:rFonts w:hint="eastAsia"/>
          <w:lang w:val="en-US" w:eastAsia="zh-CN"/>
        </w:rPr>
        <w:t>11</w:t>
      </w:r>
      <w:r>
        <w:rPr>
          <w:rFonts w:hint="eastAsia"/>
        </w:rPr>
        <w:t>月</w:t>
      </w:r>
      <w:r>
        <w:rPr>
          <w:rFonts w:hint="eastAsia"/>
          <w:lang w:val="en-US" w:eastAsia="zh-CN"/>
        </w:rPr>
        <w:t>22</w:t>
      </w:r>
      <w:r>
        <w:rPr>
          <w:rFonts w:hint="eastAsia"/>
        </w:rPr>
        <w:t>日</w:t>
      </w:r>
      <w:r>
        <w:rPr>
          <w:rFonts w:hint="eastAsia"/>
          <w:lang w:val="en-US" w:eastAsia="zh-CN"/>
        </w:rPr>
        <w:t>15</w:t>
      </w:r>
      <w:r>
        <w:rPr>
          <w:rFonts w:hint="eastAsia"/>
        </w:rPr>
        <w:t>时</w:t>
      </w:r>
      <w:r>
        <w:rPr>
          <w:rFonts w:hint="eastAsia"/>
          <w:lang w:val="en-US" w:eastAsia="zh-CN"/>
        </w:rPr>
        <w:t>00</w:t>
      </w:r>
      <w:r>
        <w:rPr>
          <w:rFonts w:hint="eastAsia"/>
        </w:rPr>
        <w:t>分到2023年</w:t>
      </w:r>
      <w:r>
        <w:rPr>
          <w:rFonts w:hint="eastAsia"/>
          <w:lang w:val="en-US" w:eastAsia="zh-CN"/>
        </w:rPr>
        <w:t>12</w:t>
      </w:r>
      <w:r>
        <w:rPr>
          <w:rFonts w:hint="eastAsia"/>
        </w:rPr>
        <w:t>月</w:t>
      </w:r>
      <w:r>
        <w:rPr>
          <w:rFonts w:hint="eastAsia"/>
          <w:lang w:val="en-US" w:eastAsia="zh-CN"/>
        </w:rPr>
        <w:t>13</w:t>
      </w:r>
      <w:r>
        <w:rPr>
          <w:rFonts w:hint="eastAsia"/>
        </w:rPr>
        <w:t>日</w:t>
      </w:r>
      <w:r>
        <w:rPr>
          <w:rFonts w:hint="eastAsia"/>
          <w:lang w:val="en-US" w:eastAsia="zh-CN"/>
        </w:rPr>
        <w:t>11</w:t>
      </w:r>
      <w:r>
        <w:rPr>
          <w:rFonts w:hint="eastAsia"/>
        </w:rPr>
        <w:t>时</w:t>
      </w:r>
      <w:r>
        <w:rPr>
          <w:rFonts w:hint="eastAsia"/>
          <w:lang w:val="en-US" w:eastAsia="zh-CN"/>
        </w:rPr>
        <w:t>00</w:t>
      </w:r>
      <w:r>
        <w:rPr>
          <w:rFonts w:hint="eastAsia"/>
        </w:rPr>
        <w:t>分（北京时间）。</w:t>
      </w:r>
    </w:p>
    <w:p>
      <w:pPr>
        <w:bidi w:val="0"/>
        <w:rPr>
          <w:rFonts w:hint="eastAsia"/>
        </w:rPr>
      </w:pPr>
      <w:r>
        <w:rPr>
          <w:rFonts w:hint="eastAsia"/>
        </w:rPr>
        <w:t>2、获取方式：在重庆市公共资源交易网（www.cqggzy.com）下载比选文件。</w:t>
      </w:r>
    </w:p>
    <w:p>
      <w:pPr>
        <w:pStyle w:val="3"/>
        <w:bidi w:val="0"/>
        <w:rPr>
          <w:rFonts w:hint="eastAsia"/>
        </w:rPr>
      </w:pPr>
      <w:bookmarkStart w:id="20" w:name="_Toc55379221"/>
      <w:r>
        <w:rPr>
          <w:rFonts w:hint="eastAsia"/>
        </w:rPr>
        <w:t>四、比选保证金的递交</w:t>
      </w:r>
      <w:bookmarkEnd w:id="17"/>
      <w:bookmarkEnd w:id="18"/>
      <w:bookmarkEnd w:id="19"/>
      <w:bookmarkEnd w:id="20"/>
    </w:p>
    <w:p>
      <w:pPr>
        <w:bidi w:val="0"/>
        <w:rPr>
          <w:rFonts w:hint="eastAsia"/>
        </w:rPr>
      </w:pPr>
      <w:bookmarkStart w:id="21" w:name="_Toc297817091"/>
      <w:r>
        <w:rPr>
          <w:rFonts w:hint="eastAsia"/>
        </w:rPr>
        <w:t>1、参选保证金的金额：3600元整（大写：叁仟陆佰元整）；</w:t>
      </w:r>
    </w:p>
    <w:p>
      <w:pPr>
        <w:bidi w:val="0"/>
        <w:rPr>
          <w:rFonts w:hint="eastAsia"/>
        </w:rPr>
      </w:pPr>
      <w:r>
        <w:rPr>
          <w:rFonts w:hint="eastAsia"/>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pPr>
        <w:bidi w:val="0"/>
        <w:rPr>
          <w:rFonts w:hint="eastAsia"/>
          <w:b/>
          <w:bCs/>
        </w:rPr>
      </w:pPr>
      <w:r>
        <w:rPr>
          <w:rFonts w:hint="eastAsia"/>
          <w:b/>
          <w:bCs/>
        </w:rPr>
        <w:t>参选人必须在付款凭证备注栏中注明是“重庆三峡银行股份有限公司2024-2026年度房地产评估机构入围项目”。项目名称可简写成：年度房地产评估项目。</w:t>
      </w:r>
    </w:p>
    <w:p>
      <w:pPr>
        <w:bidi w:val="0"/>
        <w:rPr>
          <w:rFonts w:hint="eastAsia"/>
        </w:rPr>
      </w:pPr>
      <w:r>
        <w:rPr>
          <w:rFonts w:hint="eastAsia"/>
        </w:rPr>
        <w:t>3、参选保证金递交的截止时间为2023年</w:t>
      </w:r>
      <w:r>
        <w:rPr>
          <w:rFonts w:hint="eastAsia"/>
          <w:lang w:val="en-US" w:eastAsia="zh-CN"/>
        </w:rPr>
        <w:t>12</w:t>
      </w:r>
      <w:r>
        <w:rPr>
          <w:rFonts w:hint="eastAsia"/>
        </w:rPr>
        <w:t>月</w:t>
      </w:r>
      <w:r>
        <w:rPr>
          <w:rFonts w:hint="eastAsia"/>
          <w:lang w:val="en-US" w:eastAsia="zh-CN"/>
        </w:rPr>
        <w:t>13</w:t>
      </w:r>
      <w:r>
        <w:rPr>
          <w:rFonts w:hint="eastAsia"/>
        </w:rPr>
        <w:t>日</w:t>
      </w:r>
      <w:r>
        <w:rPr>
          <w:rFonts w:hint="eastAsia"/>
          <w:lang w:val="en-US" w:eastAsia="zh-CN"/>
        </w:rPr>
        <w:t>11</w:t>
      </w:r>
      <w:r>
        <w:rPr>
          <w:rFonts w:hint="eastAsia"/>
        </w:rPr>
        <w:t>时</w:t>
      </w:r>
      <w:r>
        <w:rPr>
          <w:rFonts w:hint="eastAsia"/>
          <w:lang w:val="en-US" w:eastAsia="zh-CN"/>
        </w:rPr>
        <w:t>00</w:t>
      </w:r>
      <w:r>
        <w:rPr>
          <w:rFonts w:hint="eastAsia"/>
        </w:rPr>
        <w:t>分（北京时间）。</w:t>
      </w:r>
    </w:p>
    <w:p>
      <w:pPr>
        <w:bidi w:val="0"/>
        <w:rPr>
          <w:rFonts w:hint="eastAsia"/>
        </w:rPr>
      </w:pPr>
      <w:r>
        <w:rPr>
          <w:rFonts w:hint="eastAsia"/>
        </w:rPr>
        <w:t>4、参选保证金专用账户如下：</w:t>
      </w:r>
    </w:p>
    <w:p>
      <w:pPr>
        <w:bidi w:val="0"/>
        <w:rPr>
          <w:rFonts w:hint="eastAsia"/>
        </w:rPr>
      </w:pPr>
      <w:r>
        <w:rPr>
          <w:rFonts w:hint="eastAsia"/>
        </w:rPr>
        <w:t>详见重庆市公共资源交易网（www.cqggzy.com）对应本项目比选公告信息栏中的保证金信息。</w:t>
      </w:r>
    </w:p>
    <w:p>
      <w:pPr>
        <w:bidi w:val="0"/>
        <w:rPr>
          <w:rFonts w:hint="eastAsia"/>
        </w:rPr>
      </w:pPr>
      <w:r>
        <w:rPr>
          <w:rFonts w:hint="eastAsia"/>
        </w:rPr>
        <w:t>参选保证金以重庆市公共资源交易中心比选现场展示的保证金交纳情况为准。</w:t>
      </w:r>
    </w:p>
    <w:p>
      <w:pPr>
        <w:pStyle w:val="3"/>
        <w:bidi w:val="0"/>
        <w:rPr>
          <w:rFonts w:hint="eastAsia"/>
        </w:rPr>
      </w:pPr>
      <w:bookmarkStart w:id="22" w:name="_Toc469574668"/>
      <w:bookmarkStart w:id="23" w:name="_Toc55379222"/>
      <w:bookmarkStart w:id="24" w:name="_Toc89675131"/>
      <w:r>
        <w:rPr>
          <w:rFonts w:hint="eastAsia"/>
        </w:rPr>
        <w:t>五、参选文件的递交</w:t>
      </w:r>
      <w:bookmarkEnd w:id="21"/>
      <w:bookmarkEnd w:id="22"/>
      <w:bookmarkEnd w:id="23"/>
      <w:bookmarkEnd w:id="24"/>
    </w:p>
    <w:p>
      <w:pPr>
        <w:bidi w:val="0"/>
        <w:rPr>
          <w:rFonts w:hint="eastAsia"/>
        </w:rPr>
      </w:pPr>
      <w:bookmarkStart w:id="25" w:name="_Toc89675132"/>
      <w:bookmarkStart w:id="26" w:name="_Toc55379223"/>
      <w:bookmarkStart w:id="27" w:name="_Toc469574669"/>
      <w:r>
        <w:rPr>
          <w:rFonts w:hint="eastAsia"/>
        </w:rPr>
        <w:t>1、参选文件现场递交的开始时间为2023年</w:t>
      </w:r>
      <w:r>
        <w:rPr>
          <w:rFonts w:hint="eastAsia"/>
          <w:lang w:val="en-US" w:eastAsia="zh-CN"/>
        </w:rPr>
        <w:t>12</w:t>
      </w:r>
      <w:r>
        <w:rPr>
          <w:rFonts w:hint="eastAsia"/>
        </w:rPr>
        <w:t>月</w:t>
      </w:r>
      <w:r>
        <w:rPr>
          <w:rFonts w:hint="eastAsia"/>
          <w:lang w:val="en-US" w:eastAsia="zh-CN"/>
        </w:rPr>
        <w:t>13</w:t>
      </w:r>
      <w:r>
        <w:rPr>
          <w:rFonts w:hint="eastAsia"/>
        </w:rPr>
        <w:t>日</w:t>
      </w:r>
      <w:r>
        <w:rPr>
          <w:rFonts w:hint="eastAsia"/>
          <w:lang w:val="en-US" w:eastAsia="zh-CN"/>
        </w:rPr>
        <w:t>10</w:t>
      </w:r>
      <w:r>
        <w:rPr>
          <w:rFonts w:hint="eastAsia"/>
        </w:rPr>
        <w:t>时</w:t>
      </w:r>
      <w:r>
        <w:rPr>
          <w:rFonts w:hint="eastAsia"/>
          <w:lang w:val="en-US" w:eastAsia="zh-CN"/>
        </w:rPr>
        <w:t>30</w:t>
      </w:r>
      <w:r>
        <w:rPr>
          <w:rFonts w:hint="eastAsia"/>
        </w:rPr>
        <w:t>分（北京时间）。递交截止时间为2023年</w:t>
      </w:r>
      <w:r>
        <w:rPr>
          <w:rFonts w:hint="eastAsia"/>
          <w:lang w:val="en-US" w:eastAsia="zh-CN"/>
        </w:rPr>
        <w:t>12</w:t>
      </w:r>
      <w:r>
        <w:rPr>
          <w:rFonts w:hint="eastAsia"/>
        </w:rPr>
        <w:t>月</w:t>
      </w:r>
      <w:r>
        <w:rPr>
          <w:rFonts w:hint="eastAsia"/>
          <w:lang w:val="en-US" w:eastAsia="zh-CN"/>
        </w:rPr>
        <w:t>13</w:t>
      </w:r>
      <w:r>
        <w:rPr>
          <w:rFonts w:hint="eastAsia"/>
        </w:rPr>
        <w:t>日</w:t>
      </w:r>
      <w:r>
        <w:rPr>
          <w:rFonts w:hint="eastAsia"/>
          <w:lang w:val="en-US" w:eastAsia="zh-CN"/>
        </w:rPr>
        <w:t>11</w:t>
      </w:r>
      <w:r>
        <w:rPr>
          <w:rFonts w:hint="eastAsia"/>
        </w:rPr>
        <w:t>时</w:t>
      </w:r>
      <w:r>
        <w:rPr>
          <w:rFonts w:hint="eastAsia"/>
          <w:lang w:val="en-US" w:eastAsia="zh-CN"/>
        </w:rPr>
        <w:t>00</w:t>
      </w:r>
      <w:r>
        <w:rPr>
          <w:rFonts w:hint="eastAsia"/>
        </w:rPr>
        <w:t>分（北京时间）。</w:t>
      </w:r>
    </w:p>
    <w:p>
      <w:pPr>
        <w:bidi w:val="0"/>
        <w:rPr>
          <w:rFonts w:hint="eastAsia"/>
        </w:rPr>
      </w:pPr>
      <w:r>
        <w:rPr>
          <w:rFonts w:hint="eastAsia"/>
        </w:rPr>
        <w:t>2、递交地点为重庆市公共资源交易中心开标区（具体请登陆重庆市公共资源交易网（www.cqggzy.com）查询或递交文件当日见交易中心大厅电子显示屏）。</w:t>
      </w:r>
    </w:p>
    <w:p>
      <w:pPr>
        <w:bidi w:val="0"/>
        <w:rPr>
          <w:rFonts w:hint="eastAsia"/>
        </w:rPr>
      </w:pPr>
      <w:r>
        <w:rPr>
          <w:rFonts w:hint="eastAsia"/>
        </w:rPr>
        <w:t>3、逾期送达的参选文件，不予接收。</w:t>
      </w:r>
    </w:p>
    <w:p>
      <w:pPr>
        <w:pStyle w:val="3"/>
        <w:bidi w:val="0"/>
        <w:rPr>
          <w:rFonts w:hint="eastAsia"/>
        </w:rPr>
      </w:pPr>
      <w:r>
        <w:rPr>
          <w:rFonts w:hint="eastAsia"/>
        </w:rPr>
        <w:t>六、发布公告的媒介</w:t>
      </w:r>
      <w:bookmarkEnd w:id="25"/>
      <w:bookmarkEnd w:id="26"/>
      <w:bookmarkEnd w:id="27"/>
    </w:p>
    <w:p>
      <w:pPr>
        <w:bidi w:val="0"/>
        <w:rPr>
          <w:rFonts w:hint="eastAsia"/>
        </w:rPr>
      </w:pPr>
      <w:bookmarkStart w:id="28" w:name="_Toc250565211"/>
      <w:bookmarkStart w:id="29" w:name="_Toc469574670"/>
      <w:r>
        <w:rPr>
          <w:rFonts w:hint="eastAsia"/>
        </w:rPr>
        <w:t>本次比选公告同时在《重庆市公共资源交易网（www.cqggzy.com）》《重庆三峡银行官网（https://www.ccqtgb.com）》和《中国招标投标公共服务平台（http://www.cebpubservice.com）》上发布。</w:t>
      </w:r>
    </w:p>
    <w:p>
      <w:pPr>
        <w:pStyle w:val="3"/>
        <w:bidi w:val="0"/>
        <w:rPr>
          <w:rFonts w:hint="eastAsia"/>
        </w:rPr>
      </w:pPr>
      <w:bookmarkStart w:id="30" w:name="_Toc89675133"/>
      <w:bookmarkStart w:id="31" w:name="_Toc55379224"/>
      <w:r>
        <w:rPr>
          <w:rFonts w:hint="eastAsia"/>
        </w:rPr>
        <w:t>七、联系方式</w:t>
      </w:r>
      <w:bookmarkEnd w:id="28"/>
      <w:bookmarkEnd w:id="29"/>
      <w:bookmarkEnd w:id="30"/>
      <w:bookmarkEnd w:id="31"/>
    </w:p>
    <w:p>
      <w:pPr>
        <w:bidi w:val="0"/>
        <w:rPr>
          <w:rFonts w:hint="eastAsia"/>
        </w:rPr>
      </w:pPr>
      <w:r>
        <w:rPr>
          <w:rFonts w:hint="eastAsia"/>
        </w:rPr>
        <w:t>比选人：重庆三峡银行股份有限公司</w:t>
      </w:r>
    </w:p>
    <w:p>
      <w:pPr>
        <w:bidi w:val="0"/>
        <w:rPr>
          <w:rFonts w:hint="eastAsia"/>
        </w:rPr>
      </w:pPr>
      <w:r>
        <w:rPr>
          <w:rFonts w:hint="eastAsia"/>
        </w:rPr>
        <w:t>地址：重庆市渝北区嘉州路88号附1号新光天地4号写字楼21楼</w:t>
      </w:r>
    </w:p>
    <w:p>
      <w:pPr>
        <w:bidi w:val="0"/>
        <w:rPr>
          <w:rFonts w:hint="eastAsia"/>
        </w:rPr>
      </w:pPr>
      <w:r>
        <w:rPr>
          <w:rFonts w:hint="eastAsia"/>
        </w:rPr>
        <w:t>联系人：敬希 张晶晶</w:t>
      </w:r>
    </w:p>
    <w:p>
      <w:pPr>
        <w:bidi w:val="0"/>
        <w:rPr>
          <w:rFonts w:hint="eastAsia"/>
        </w:rPr>
      </w:pPr>
      <w:r>
        <w:rPr>
          <w:rFonts w:hint="eastAsia"/>
        </w:rPr>
        <w:t>采购咨询电话：023-88890395</w:t>
      </w:r>
    </w:p>
    <w:p>
      <w:pPr>
        <w:bidi w:val="0"/>
        <w:rPr>
          <w:rFonts w:hint="eastAsia"/>
        </w:rPr>
      </w:pPr>
      <w:r>
        <w:rPr>
          <w:rFonts w:hint="eastAsia"/>
        </w:rPr>
        <w:t>业务咨询电话：023-88890371</w:t>
      </w:r>
    </w:p>
    <w:p>
      <w:pPr>
        <w:bidi w:val="0"/>
        <w:rPr>
          <w:rFonts w:hint="eastAsia"/>
        </w:rPr>
      </w:pPr>
      <w:r>
        <w:rPr>
          <w:rFonts w:hint="eastAsia"/>
        </w:rPr>
        <w:t>平台服务机构：重庆联合产权交易所集团股份有限公司</w:t>
      </w:r>
    </w:p>
    <w:p>
      <w:pPr>
        <w:bidi w:val="0"/>
        <w:rPr>
          <w:rFonts w:hint="eastAsia"/>
        </w:rPr>
      </w:pPr>
      <w:r>
        <w:rPr>
          <w:rFonts w:hint="eastAsia"/>
        </w:rPr>
        <w:t>平台服务联系人：罗老师</w:t>
      </w:r>
    </w:p>
    <w:p>
      <w:pPr>
        <w:bidi w:val="0"/>
        <w:rPr>
          <w:rFonts w:hint="eastAsia"/>
        </w:rPr>
      </w:pPr>
      <w:r>
        <w:rPr>
          <w:rFonts w:hint="eastAsia"/>
        </w:rPr>
        <w:t>平台服务电话：023-63626034</w:t>
      </w:r>
    </w:p>
    <w:p>
      <w:pPr>
        <w:bidi w:val="0"/>
        <w:rPr>
          <w:rFonts w:hint="eastAsia"/>
        </w:rPr>
      </w:pPr>
      <w:r>
        <w:rPr>
          <w:rFonts w:hint="eastAsia"/>
        </w:rPr>
        <w:br w:type="page"/>
      </w:r>
    </w:p>
    <w:p>
      <w:pPr>
        <w:pStyle w:val="2"/>
        <w:bidi w:val="0"/>
        <w:rPr>
          <w:rFonts w:hint="eastAsia"/>
        </w:rPr>
      </w:pPr>
      <w:bookmarkStart w:id="32" w:name="_Toc55566255"/>
      <w:bookmarkStart w:id="33" w:name="_Toc22460"/>
      <w:bookmarkStart w:id="34" w:name="_Toc12711"/>
      <w:bookmarkStart w:id="35" w:name="_Toc13724"/>
      <w:bookmarkStart w:id="36" w:name="_Toc2893"/>
      <w:r>
        <w:rPr>
          <w:rFonts w:hint="eastAsia"/>
        </w:rPr>
        <w:t>第二章 项目介绍</w:t>
      </w:r>
      <w:bookmarkEnd w:id="32"/>
      <w:bookmarkEnd w:id="33"/>
      <w:bookmarkEnd w:id="34"/>
      <w:bookmarkEnd w:id="35"/>
      <w:bookmarkEnd w:id="36"/>
    </w:p>
    <w:p>
      <w:pPr>
        <w:pStyle w:val="3"/>
        <w:bidi w:val="0"/>
        <w:rPr>
          <w:rFonts w:hint="eastAsia"/>
        </w:rPr>
      </w:pPr>
      <w:bookmarkStart w:id="37" w:name="_Toc55566256"/>
      <w:r>
        <w:rPr>
          <w:rFonts w:hint="eastAsia"/>
        </w:rPr>
        <w:t>一、项目服务期限</w:t>
      </w:r>
    </w:p>
    <w:p>
      <w:pPr>
        <w:bidi w:val="0"/>
        <w:rPr>
          <w:rFonts w:hint="eastAsia"/>
        </w:rPr>
      </w:pPr>
      <w:r>
        <w:rPr>
          <w:rFonts w:hint="eastAsia"/>
        </w:rPr>
        <w:t>服务期限3年。最终以实际项目合同为准。</w:t>
      </w:r>
    </w:p>
    <w:p>
      <w:pPr>
        <w:pStyle w:val="3"/>
        <w:bidi w:val="0"/>
        <w:rPr>
          <w:rFonts w:hint="eastAsia"/>
        </w:rPr>
      </w:pPr>
      <w:r>
        <w:rPr>
          <w:rFonts w:hint="eastAsia"/>
        </w:rPr>
        <w:t>二、项目具体要求</w:t>
      </w:r>
    </w:p>
    <w:p>
      <w:pPr>
        <w:bidi w:val="0"/>
        <w:rPr>
          <w:rFonts w:hint="eastAsia"/>
        </w:rPr>
      </w:pPr>
      <w:r>
        <w:rPr>
          <w:rFonts w:hint="eastAsia"/>
        </w:rPr>
        <w:t>（一）采购人列出项目主要内容及项目需求，参选人根据自身实力进行报送方案参选，采购人以文件规定的方式进行综合评审，项目收费标准均为含税价，本项目不保证低价中标。</w:t>
      </w:r>
    </w:p>
    <w:p>
      <w:pPr>
        <w:bidi w:val="0"/>
        <w:rPr>
          <w:rFonts w:hint="eastAsia"/>
        </w:rPr>
      </w:pPr>
      <w:r>
        <w:rPr>
          <w:rFonts w:hint="eastAsia"/>
        </w:rPr>
        <w:t>（二）服务范围及内容</w:t>
      </w:r>
    </w:p>
    <w:p>
      <w:pPr>
        <w:bidi w:val="0"/>
        <w:rPr>
          <w:rFonts w:hint="eastAsia"/>
        </w:rPr>
      </w:pPr>
      <w:r>
        <w:rPr>
          <w:rFonts w:hint="eastAsia"/>
        </w:rPr>
        <w:t>根据我行评估机构管理、押品管理及业务要求等相关制度规定，为全行提供授信业务抵（质）押物（包括房产、土地使用权、有形资产及其他资产）、不良债权和抵债资产、我行购置营业网点及我行闲置房产等价值评估服务。</w:t>
      </w:r>
    </w:p>
    <w:p>
      <w:pPr>
        <w:pStyle w:val="3"/>
        <w:bidi w:val="0"/>
        <w:rPr>
          <w:rFonts w:hint="eastAsia"/>
        </w:rPr>
      </w:pPr>
      <w:r>
        <w:rPr>
          <w:rFonts w:hint="eastAsia"/>
        </w:rPr>
        <w:t>三、对拟投入服务的人员配置、经验等方面的要求</w:t>
      </w:r>
    </w:p>
    <w:p>
      <w:pPr>
        <w:bidi w:val="0"/>
        <w:rPr>
          <w:rFonts w:hint="eastAsia"/>
        </w:rPr>
      </w:pPr>
      <w:r>
        <w:rPr>
          <w:rFonts w:hint="eastAsia"/>
        </w:rPr>
        <w:t>拟为本行服务的团队人员不低于10名在职评估师或估价师（一人多证算一人），且须覆盖注册房地产估价师、土地估价师、资产评估师三类（提供服务团队介绍，以表格形式列明的服务团队人员姓名、执业证书、执业年限、为银行业金融机构服务工作经验介绍、办公地点、团队人员平均执业年限，服务团队人员资质证书，近三个月投标评估机构为其缴纳社会保险的证明）。</w:t>
      </w:r>
    </w:p>
    <w:p>
      <w:pPr>
        <w:pStyle w:val="3"/>
        <w:bidi w:val="0"/>
        <w:rPr>
          <w:rFonts w:hint="eastAsia"/>
        </w:rPr>
      </w:pPr>
      <w:r>
        <w:rPr>
          <w:rFonts w:hint="eastAsia"/>
        </w:rPr>
        <w:t>四、服务成果要求</w:t>
      </w:r>
    </w:p>
    <w:p>
      <w:pPr>
        <w:bidi w:val="0"/>
        <w:rPr>
          <w:rFonts w:hint="eastAsia"/>
        </w:rPr>
      </w:pPr>
      <w:r>
        <w:rPr>
          <w:rFonts w:hint="eastAsia"/>
        </w:rPr>
        <w:t>评估机构入围后，发生具体评估服务需求时，按照我行《估值管理办法》等相关制度使用入围评估机构。服务要求以实际签订合同约定和具体评估事务委托协议的约定执行。</w:t>
      </w:r>
    </w:p>
    <w:p>
      <w:pPr>
        <w:pStyle w:val="3"/>
        <w:bidi w:val="0"/>
        <w:rPr>
          <w:rFonts w:hint="eastAsia"/>
        </w:rPr>
      </w:pPr>
      <w:r>
        <w:rPr>
          <w:rFonts w:hint="eastAsia"/>
        </w:rPr>
        <w:t>五、其他要求</w:t>
      </w:r>
    </w:p>
    <w:p>
      <w:pPr>
        <w:bidi w:val="0"/>
        <w:rPr>
          <w:rFonts w:hint="eastAsia"/>
        </w:rPr>
        <w:sectPr>
          <w:pgSz w:w="11906" w:h="16838"/>
          <w:pgMar w:top="1440" w:right="1146" w:bottom="1440" w:left="1800" w:header="851" w:footer="992" w:gutter="0"/>
          <w:cols w:space="720" w:num="1"/>
          <w:docGrid w:type="lines" w:linePitch="312" w:charSpace="0"/>
        </w:sectPr>
      </w:pPr>
      <w:r>
        <w:rPr>
          <w:rFonts w:hint="eastAsia"/>
        </w:rPr>
        <w:t>评估机构可同时申报本项目和“重庆三峡银行不动产线上评估服务项目”相关入围要求、评价标准分别制定，分别独立评审入围。</w:t>
      </w:r>
    </w:p>
    <w:bookmarkEnd w:id="37"/>
    <w:p>
      <w:pPr>
        <w:pStyle w:val="2"/>
        <w:bidi w:val="0"/>
        <w:rPr>
          <w:rFonts w:hint="eastAsia"/>
        </w:rPr>
      </w:pPr>
      <w:bookmarkStart w:id="38" w:name="_Toc55566257"/>
      <w:bookmarkStart w:id="39" w:name="_Toc11340"/>
      <w:bookmarkStart w:id="40" w:name="_Toc7389"/>
      <w:bookmarkStart w:id="41" w:name="_Toc15521"/>
      <w:bookmarkStart w:id="42" w:name="_Toc19441"/>
      <w:r>
        <w:rPr>
          <w:rFonts w:hint="eastAsia"/>
        </w:rPr>
        <w:t>第三章 商务与技术条款</w:t>
      </w:r>
      <w:bookmarkEnd w:id="38"/>
      <w:bookmarkEnd w:id="39"/>
      <w:bookmarkEnd w:id="40"/>
      <w:bookmarkEnd w:id="41"/>
      <w:bookmarkEnd w:id="42"/>
    </w:p>
    <w:p>
      <w:pPr>
        <w:pStyle w:val="3"/>
        <w:bidi w:val="0"/>
        <w:rPr>
          <w:rFonts w:hint="eastAsia"/>
        </w:rPr>
      </w:pPr>
      <w:bookmarkStart w:id="43" w:name="_Toc89675144"/>
      <w:bookmarkStart w:id="44" w:name="_Toc15059418"/>
      <w:bookmarkStart w:id="45" w:name="_Toc89675145"/>
      <w:bookmarkStart w:id="46" w:name="_Toc15059419"/>
      <w:bookmarkStart w:id="47" w:name="_Toc387826347"/>
      <w:bookmarkStart w:id="48" w:name="_Toc1125"/>
      <w:bookmarkStart w:id="49" w:name="_Toc440628915"/>
      <w:bookmarkStart w:id="50" w:name="_Toc432254881"/>
      <w:r>
        <w:rPr>
          <w:rFonts w:hint="eastAsia"/>
        </w:rPr>
        <w:t>一、交付时间、地点</w:t>
      </w:r>
      <w:bookmarkEnd w:id="43"/>
      <w:bookmarkEnd w:id="44"/>
    </w:p>
    <w:p>
      <w:pPr>
        <w:pStyle w:val="4"/>
        <w:bidi w:val="0"/>
        <w:rPr>
          <w:rFonts w:hint="eastAsia"/>
        </w:rPr>
      </w:pPr>
      <w:r>
        <w:rPr>
          <w:rFonts w:hint="eastAsia"/>
        </w:rPr>
        <w:t>（一）交付时间：</w:t>
      </w:r>
    </w:p>
    <w:p>
      <w:pPr>
        <w:bidi w:val="0"/>
        <w:rPr>
          <w:rFonts w:hint="eastAsia"/>
        </w:rPr>
      </w:pPr>
      <w:r>
        <w:rPr>
          <w:rFonts w:hint="eastAsia"/>
        </w:rPr>
        <w:t>以项目合同为准。</w:t>
      </w:r>
    </w:p>
    <w:p>
      <w:pPr>
        <w:pStyle w:val="4"/>
        <w:bidi w:val="0"/>
        <w:rPr>
          <w:rFonts w:hint="eastAsia"/>
        </w:rPr>
      </w:pPr>
      <w:r>
        <w:rPr>
          <w:rFonts w:hint="eastAsia"/>
        </w:rPr>
        <w:t>（二）实施及交付地点：</w:t>
      </w:r>
    </w:p>
    <w:p>
      <w:pPr>
        <w:bidi w:val="0"/>
        <w:rPr>
          <w:rFonts w:hint="eastAsia"/>
        </w:rPr>
      </w:pPr>
      <w:r>
        <w:rPr>
          <w:rFonts w:hint="eastAsia"/>
        </w:rPr>
        <w:t>比选人指定地点。</w:t>
      </w:r>
    </w:p>
    <w:bookmarkEnd w:id="45"/>
    <w:bookmarkEnd w:id="46"/>
    <w:p>
      <w:pPr>
        <w:pStyle w:val="3"/>
        <w:bidi w:val="0"/>
        <w:rPr>
          <w:rFonts w:hint="eastAsia"/>
        </w:rPr>
      </w:pPr>
      <w:bookmarkStart w:id="51" w:name="_Toc89675148"/>
      <w:bookmarkStart w:id="52" w:name="_Toc15059422"/>
      <w:r>
        <w:rPr>
          <w:rFonts w:hint="eastAsia"/>
        </w:rPr>
        <w:t>二、比选范围</w:t>
      </w:r>
    </w:p>
    <w:p>
      <w:pPr>
        <w:bidi w:val="0"/>
        <w:rPr>
          <w:rFonts w:hint="eastAsia"/>
        </w:rPr>
      </w:pPr>
      <w:bookmarkStart w:id="53" w:name="_Toc89675146"/>
      <w:bookmarkStart w:id="54" w:name="_Toc15059420"/>
      <w:r>
        <w:rPr>
          <w:rFonts w:hint="eastAsia"/>
        </w:rPr>
        <w:t>评估机构执业资质、服务区域情况、银行业金融机构合作情况、评估机构服务团队人数、团队经验、具体服务方案、其他专业服务优势。</w:t>
      </w:r>
    </w:p>
    <w:p>
      <w:pPr>
        <w:pStyle w:val="3"/>
        <w:bidi w:val="0"/>
        <w:rPr>
          <w:rFonts w:hint="eastAsia"/>
        </w:rPr>
      </w:pPr>
      <w:r>
        <w:rPr>
          <w:rFonts w:hint="eastAsia"/>
        </w:rPr>
        <w:t>三、商务与技术要求</w:t>
      </w:r>
    </w:p>
    <w:p>
      <w:pPr>
        <w:pStyle w:val="4"/>
        <w:bidi w:val="0"/>
        <w:rPr>
          <w:rFonts w:hint="eastAsia"/>
        </w:rPr>
      </w:pPr>
      <w:r>
        <w:rPr>
          <w:rFonts w:hint="eastAsia"/>
        </w:rPr>
        <w:t>（一）商务要求</w:t>
      </w:r>
    </w:p>
    <w:p>
      <w:pPr>
        <w:bidi w:val="0"/>
        <w:rPr>
          <w:rFonts w:hint="eastAsia"/>
        </w:rPr>
      </w:pPr>
      <w:r>
        <w:rPr>
          <w:rFonts w:hint="eastAsia"/>
        </w:rPr>
        <w:t>1.执业资质：具有独立法人资格，注册地和经营地在渝，同时具有房产、土地使用权、资产评估资质，其中房地产估价机构备案等级不低于二级；</w:t>
      </w:r>
    </w:p>
    <w:p>
      <w:pPr>
        <w:bidi w:val="0"/>
        <w:rPr>
          <w:rFonts w:hint="eastAsia"/>
        </w:rPr>
      </w:pPr>
      <w:r>
        <w:rPr>
          <w:rFonts w:hint="eastAsia"/>
        </w:rPr>
        <w:t>2.服务区域情况：评估机构服务重庆范围内，包括但不限于“重庆市中心城区及周边”区域、“万州及周边”区域、“渝东南”区域、“渝东北”区域等；</w:t>
      </w:r>
    </w:p>
    <w:p>
      <w:pPr>
        <w:bidi w:val="0"/>
        <w:rPr>
          <w:rFonts w:hint="eastAsia"/>
        </w:rPr>
      </w:pPr>
      <w:r>
        <w:rPr>
          <w:rFonts w:hint="eastAsia"/>
        </w:rPr>
        <w:t>3.银行业金融机构合作情况：正在服务有效期的省级分行或总行层级银行业金融机构数量不少于5家。同一家银行不同层级机构不重复计算。</w:t>
      </w:r>
    </w:p>
    <w:p>
      <w:pPr>
        <w:pStyle w:val="4"/>
        <w:bidi w:val="0"/>
        <w:rPr>
          <w:rFonts w:hint="eastAsia"/>
        </w:rPr>
      </w:pPr>
      <w:r>
        <w:rPr>
          <w:rFonts w:hint="eastAsia"/>
        </w:rPr>
        <w:t>（二）技术要求</w:t>
      </w:r>
    </w:p>
    <w:p>
      <w:pPr>
        <w:bidi w:val="0"/>
        <w:rPr>
          <w:rFonts w:hint="eastAsia"/>
        </w:rPr>
      </w:pPr>
      <w:r>
        <w:rPr>
          <w:rFonts w:hint="eastAsia"/>
        </w:rPr>
        <w:t>1.评估服务团队人数：拟为本行服务的团队人员不低于10名在职评估师或估价师；</w:t>
      </w:r>
    </w:p>
    <w:p>
      <w:pPr>
        <w:bidi w:val="0"/>
        <w:rPr>
          <w:rFonts w:hint="eastAsia"/>
        </w:rPr>
      </w:pPr>
      <w:r>
        <w:rPr>
          <w:rFonts w:hint="eastAsia"/>
        </w:rPr>
        <w:t>2.评估服务团队经验：拟为本行服务的团队人员平均执业年限越长越好；</w:t>
      </w:r>
    </w:p>
    <w:p>
      <w:pPr>
        <w:bidi w:val="0"/>
        <w:rPr>
          <w:rFonts w:hint="eastAsia"/>
        </w:rPr>
      </w:pPr>
      <w:r>
        <w:rPr>
          <w:rFonts w:hint="eastAsia"/>
        </w:rPr>
        <w:t>3.具体服务方案：评估机构需提供针对我行的服务方案，方案应阐述为我行提供评估服务过程中，如何保障评估服务效率、评估服务质量等。要求评估机构服务方案的全面性、合理化，符合我行实际的针对性、可操作性等；</w:t>
      </w:r>
    </w:p>
    <w:p>
      <w:pPr>
        <w:bidi w:val="0"/>
        <w:rPr>
          <w:rFonts w:hint="eastAsia"/>
        </w:rPr>
      </w:pPr>
      <w:r>
        <w:rPr>
          <w:rFonts w:hint="eastAsia"/>
        </w:rPr>
        <w:t>4.其他专业服务优势：根据评估机构提供的能为我行开展或提供的无偿增值服务或其他承诺的具体内容，需考虑是否符合我行实际的针对性和可操作性。</w:t>
      </w:r>
    </w:p>
    <w:p>
      <w:pPr>
        <w:pStyle w:val="3"/>
        <w:bidi w:val="0"/>
        <w:rPr>
          <w:rFonts w:hint="eastAsia"/>
        </w:rPr>
      </w:pPr>
      <w:r>
        <w:rPr>
          <w:rFonts w:hint="eastAsia"/>
        </w:rPr>
        <w:t>四、</w:t>
      </w:r>
      <w:bookmarkEnd w:id="53"/>
      <w:bookmarkEnd w:id="54"/>
      <w:r>
        <w:rPr>
          <w:rFonts w:hint="eastAsia"/>
        </w:rPr>
        <w:t>付款要求</w:t>
      </w:r>
    </w:p>
    <w:p>
      <w:pPr>
        <w:bidi w:val="0"/>
        <w:rPr>
          <w:rFonts w:hint="eastAsia"/>
        </w:rPr>
      </w:pPr>
      <w:r>
        <w:rPr>
          <w:rFonts w:hint="eastAsia"/>
        </w:rPr>
        <w:t>（一）评估机构向我行提供评估服务，由本行支付评估费的，支付方式和支付金额按我行具体文件规定和要求执行（详见附件1：付费标准），若存在未明确的支付方式和支付金额，根据实际情况另行约定；</w:t>
      </w:r>
    </w:p>
    <w:p>
      <w:pPr>
        <w:bidi w:val="0"/>
        <w:rPr>
          <w:rFonts w:hint="eastAsia"/>
        </w:rPr>
      </w:pPr>
      <w:r>
        <w:rPr>
          <w:rFonts w:hint="eastAsia"/>
        </w:rPr>
        <w:t>（二）每次付款，评估机构应按税法规定税率向我行出具相应金额合法合规的增值税专用发票；由于卖方纳税人身份、纳税方式及国家税制改革原因带来的税种及税率的变化，合同单价不含税价款保持不变。</w:t>
      </w:r>
    </w:p>
    <w:bookmarkEnd w:id="47"/>
    <w:bookmarkEnd w:id="48"/>
    <w:bookmarkEnd w:id="49"/>
    <w:bookmarkEnd w:id="50"/>
    <w:bookmarkEnd w:id="51"/>
    <w:bookmarkEnd w:id="52"/>
    <w:p>
      <w:pPr>
        <w:pStyle w:val="3"/>
        <w:bidi w:val="0"/>
        <w:rPr>
          <w:rFonts w:hint="eastAsia"/>
        </w:rPr>
      </w:pPr>
      <w:bookmarkStart w:id="55" w:name="_Toc89675150"/>
      <w:bookmarkStart w:id="56" w:name="_Toc15059424"/>
      <w:r>
        <w:rPr>
          <w:rFonts w:hint="eastAsia"/>
        </w:rPr>
        <w:t>五、保密条款</w:t>
      </w:r>
      <w:bookmarkEnd w:id="55"/>
      <w:bookmarkEnd w:id="56"/>
    </w:p>
    <w:p>
      <w:pPr>
        <w:pStyle w:val="4"/>
        <w:bidi w:val="0"/>
        <w:rPr>
          <w:rFonts w:hint="eastAsia"/>
        </w:rPr>
      </w:pPr>
      <w:r>
        <w:rPr>
          <w:rFonts w:hint="eastAsia"/>
        </w:rPr>
        <w:t>（一）保密范围</w:t>
      </w:r>
    </w:p>
    <w:p>
      <w:pPr>
        <w:bidi w:val="0"/>
        <w:rPr>
          <w:rFonts w:hint="eastAsia"/>
        </w:rPr>
      </w:pPr>
      <w:r>
        <w:rPr>
          <w:rFonts w:hint="eastAsia"/>
        </w:rPr>
        <w:t>中选人在实施过程中接触到的比选人知识产权、经营信息等。</w:t>
      </w:r>
    </w:p>
    <w:p>
      <w:pPr>
        <w:pStyle w:val="4"/>
        <w:bidi w:val="0"/>
        <w:rPr>
          <w:rFonts w:hint="eastAsia"/>
        </w:rPr>
      </w:pPr>
      <w:r>
        <w:rPr>
          <w:rFonts w:hint="eastAsia"/>
        </w:rPr>
        <w:t>（二）保密责任</w:t>
      </w:r>
    </w:p>
    <w:p>
      <w:pPr>
        <w:bidi w:val="0"/>
        <w:rPr>
          <w:rFonts w:hint="eastAsia"/>
        </w:rPr>
      </w:pPr>
      <w:r>
        <w:rPr>
          <w:rFonts w:hint="eastAsia"/>
        </w:rPr>
        <w:t>双方互为保密资料的提供方和接受方，负有保密义务，承担保密责任。除经过双方书面同意，任何一方不得将有关内容提供给合同以外的第三人。</w:t>
      </w:r>
    </w:p>
    <w:p>
      <w:pPr>
        <w:pStyle w:val="3"/>
        <w:bidi w:val="0"/>
        <w:rPr>
          <w:rFonts w:hint="eastAsia"/>
        </w:rPr>
      </w:pPr>
      <w:bookmarkStart w:id="57" w:name="_Toc15059427"/>
      <w:bookmarkStart w:id="58" w:name="_Toc89675153"/>
      <w:r>
        <w:rPr>
          <w:rFonts w:hint="eastAsia"/>
        </w:rPr>
        <w:t>六、其他</w:t>
      </w:r>
      <w:bookmarkEnd w:id="57"/>
      <w:bookmarkEnd w:id="58"/>
    </w:p>
    <w:p>
      <w:pPr>
        <w:bidi w:val="0"/>
        <w:rPr>
          <w:rFonts w:hint="eastAsia"/>
        </w:rPr>
      </w:pPr>
      <w:r>
        <w:rPr>
          <w:rFonts w:hint="eastAsia"/>
        </w:rPr>
        <w:t>参选人必须在参选文件中对以上条款和服务承诺明确列出，承诺内容必须达到本篇及比选文件其他条款的要求。</w:t>
      </w:r>
    </w:p>
    <w:p>
      <w:pPr>
        <w:bidi w:val="0"/>
        <w:rPr>
          <w:rFonts w:hint="eastAsia"/>
        </w:rPr>
      </w:pPr>
      <w:r>
        <w:rPr>
          <w:rFonts w:hint="eastAsia"/>
        </w:rPr>
        <w:t>其他未尽事宜由供需双方在合同中详细约定。如果比选文件和合同条款不一致，以合同约定为准。</w:t>
      </w:r>
      <w:bookmarkStart w:id="59" w:name="_Toc15059428"/>
      <w:bookmarkStart w:id="60" w:name="_Toc55566258"/>
    </w:p>
    <w:p>
      <w:pPr>
        <w:bidi w:val="0"/>
        <w:rPr>
          <w:rFonts w:hint="eastAsia"/>
        </w:rPr>
        <w:sectPr>
          <w:headerReference r:id="rId5" w:type="default"/>
          <w:footerReference r:id="rId6" w:type="default"/>
          <w:pgSz w:w="11906" w:h="16838"/>
          <w:pgMar w:top="1440" w:right="1145" w:bottom="1440" w:left="1800" w:header="851" w:footer="992" w:gutter="0"/>
          <w:pgNumType w:chapStyle="1"/>
          <w:cols w:space="720" w:num="1"/>
          <w:docGrid w:type="lines" w:linePitch="312" w:charSpace="0"/>
        </w:sectPr>
      </w:pPr>
    </w:p>
    <w:p>
      <w:pPr>
        <w:pStyle w:val="2"/>
        <w:bidi w:val="0"/>
        <w:rPr>
          <w:rFonts w:hint="eastAsia"/>
        </w:rPr>
      </w:pPr>
      <w:bookmarkStart w:id="61" w:name="_Toc1105"/>
      <w:bookmarkStart w:id="62" w:name="_Toc16840"/>
      <w:bookmarkStart w:id="63" w:name="_Toc9607"/>
      <w:bookmarkStart w:id="64" w:name="_Toc18560"/>
      <w:r>
        <w:rPr>
          <w:rFonts w:hint="eastAsia"/>
        </w:rPr>
        <w:t>第四章 评审方法、评审标准和参选无效条款</w:t>
      </w:r>
      <w:bookmarkEnd w:id="59"/>
      <w:bookmarkEnd w:id="60"/>
      <w:bookmarkEnd w:id="61"/>
      <w:bookmarkEnd w:id="62"/>
      <w:bookmarkEnd w:id="63"/>
      <w:bookmarkEnd w:id="64"/>
      <w:bookmarkStart w:id="65" w:name="_Toc440628922"/>
      <w:bookmarkStart w:id="66" w:name="_Toc275199616"/>
      <w:bookmarkStart w:id="67" w:name="_Toc32178"/>
    </w:p>
    <w:p>
      <w:pPr>
        <w:pStyle w:val="3"/>
        <w:bidi w:val="0"/>
        <w:rPr>
          <w:rFonts w:hint="eastAsia"/>
        </w:rPr>
      </w:pPr>
      <w:bookmarkStart w:id="68" w:name="_Toc89675155"/>
      <w:bookmarkStart w:id="69" w:name="_Toc15059429"/>
      <w:r>
        <w:rPr>
          <w:rFonts w:hint="eastAsia"/>
        </w:rPr>
        <w:t>一、评审方法</w:t>
      </w:r>
      <w:bookmarkEnd w:id="65"/>
      <w:bookmarkEnd w:id="66"/>
      <w:bookmarkEnd w:id="67"/>
      <w:bookmarkEnd w:id="68"/>
      <w:bookmarkEnd w:id="69"/>
    </w:p>
    <w:p>
      <w:pPr>
        <w:pStyle w:val="4"/>
        <w:bidi w:val="0"/>
        <w:rPr>
          <w:rFonts w:hint="eastAsia"/>
        </w:rPr>
      </w:pPr>
      <w:r>
        <w:rPr>
          <w:rFonts w:hint="eastAsia"/>
        </w:rPr>
        <w:t>（一）评审方法定义</w:t>
      </w:r>
    </w:p>
    <w:p>
      <w:pPr>
        <w:bidi w:val="0"/>
        <w:rPr>
          <w:rFonts w:hint="eastAsia"/>
        </w:rPr>
      </w:pPr>
      <w:r>
        <w:rPr>
          <w:rFonts w:hint="eastAsia"/>
        </w:rPr>
        <w:t>本项目采用综合评分法进行评审。综合评分法是指在最大限度地满足比选文件实质性要求前提下，按照比选文件中规定的各项评分因素进行综合评审后，以评审总得分最高的前5名参选人作为中选人。参选人总得分为商务、技术等评定因素分别按照相应权重值计算分项得分后相加，满分为100分。若参与比选供应商不足三家，经评审委员会判定，响应单位参选人具有相对行业竞争力的，可继续进行评审。</w:t>
      </w:r>
    </w:p>
    <w:p>
      <w:pPr>
        <w:pStyle w:val="4"/>
        <w:bidi w:val="0"/>
        <w:rPr>
          <w:rFonts w:hint="eastAsia"/>
        </w:rPr>
      </w:pPr>
      <w:r>
        <w:rPr>
          <w:rFonts w:hint="eastAsia"/>
        </w:rPr>
        <w:t>（二）评审程序</w:t>
      </w:r>
    </w:p>
    <w:p>
      <w:pPr>
        <w:bidi w:val="0"/>
        <w:rPr>
          <w:rFonts w:hint="eastAsia"/>
        </w:rPr>
      </w:pPr>
      <w:r>
        <w:rPr>
          <w:rFonts w:hint="eastAsia"/>
        </w:rPr>
        <w:t>评审工作由比选人依法组建的评审委员会进行，负责具体评审事务。按以下程序独立履行评审职责：</w:t>
      </w:r>
    </w:p>
    <w:p>
      <w:pPr>
        <w:bidi w:val="0"/>
        <w:rPr>
          <w:rFonts w:hint="eastAsia"/>
        </w:rPr>
      </w:pPr>
      <w:r>
        <w:rPr>
          <w:rFonts w:hint="eastAsia"/>
        </w:rPr>
        <w:t>1、资格性检查。依据法律法规和比选文件的规定，对参选文件中的资格证明、参选保证金等进行审查，以确定参选人是否具备参选资格。资格性检查资料表如下：</w:t>
      </w:r>
    </w:p>
    <w:tbl>
      <w:tblPr>
        <w:tblStyle w:val="1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16"/>
        <w:gridCol w:w="4239"/>
        <w:gridCol w:w="4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序号</w:t>
            </w:r>
          </w:p>
        </w:tc>
        <w:tc>
          <w:tcPr>
            <w:tcW w:w="4955" w:type="dxa"/>
            <w:gridSpan w:val="2"/>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检查因素</w:t>
            </w:r>
          </w:p>
        </w:tc>
        <w:tc>
          <w:tcPr>
            <w:tcW w:w="4083"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1</w:t>
            </w:r>
          </w:p>
        </w:tc>
        <w:tc>
          <w:tcPr>
            <w:tcW w:w="716"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基本资格条件</w:t>
            </w: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（1）具有独立法人资格，注册地和经营地在渝</w:t>
            </w:r>
          </w:p>
        </w:tc>
        <w:tc>
          <w:tcPr>
            <w:tcW w:w="4083"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参选人有效营业执照（副本）、直属的分支机构（直属的分支机构参与参选必须具有总公司的授权委托书）或事业单位法人证书（副本）或个体工商户营业执照或有效的自然人身份证明；</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2</w:t>
            </w: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未被“信用中国”网站列入失信被执行人和重大税收违法案件当事人名单</w:t>
            </w:r>
          </w:p>
        </w:tc>
        <w:tc>
          <w:tcPr>
            <w:tcW w:w="4083"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提供“信用中国”http://www.creditchina.gov.cn 网站查询结果，查询生成时间：应当为本入围文件发出之日至投标截止日之间任意一天。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3</w:t>
            </w: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在执业过程中未出现过不良行为或记录</w:t>
            </w:r>
          </w:p>
        </w:tc>
        <w:tc>
          <w:tcPr>
            <w:tcW w:w="4083"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行业协会出具的查询时间范围为2020年至今的“诚信证明”原件，“诚信证明”出具日期应当为本入围文件发出之日至投标截止日之间任意一天，“常用资质类”评估机构须分别提供房产类、土地类、资产类评估行业协会出具的“诚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4</w:t>
            </w: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在行业协会2020年至今对估价报告质量检查评价结果中无“不合格”情况</w:t>
            </w:r>
          </w:p>
        </w:tc>
        <w:tc>
          <w:tcPr>
            <w:tcW w:w="4083"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分行业协会提供2020年、2021年、2022年、2023年对评估报告质量检查结果材料，若无评估报告质量检查结果的，须提供具体情况说明原件或行业协会证明材料原件。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5</w:t>
            </w:r>
            <w:r>
              <w:rPr>
                <w:rFonts w:hint="eastAsia" w:ascii="宋体" w:hAnsi="宋体" w:eastAsia="宋体" w:cs="宋体"/>
                <w:snapToGrid w:val="0"/>
                <w:color w:val="000000" w:themeColor="text1"/>
                <w:kern w:val="0"/>
                <w:sz w:val="24"/>
                <w:szCs w:val="24"/>
                <w:lang w:val="zh-CN"/>
                <w14:textFill>
                  <w14:solidFill>
                    <w14:schemeClr w14:val="tx1"/>
                  </w14:solidFill>
                </w14:textFill>
              </w:rPr>
              <w:t>）有依法缴纳税收和社会保障金的良好记录</w:t>
            </w:r>
          </w:p>
        </w:tc>
        <w:tc>
          <w:tcPr>
            <w:tcW w:w="4083"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近半年社会保险缴纳证明材料（社保局加盖公章）。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6</w:t>
            </w: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具有良好的商业信誉和健全的财务会计制度、</w:t>
            </w:r>
            <w:r>
              <w:rPr>
                <w:rFonts w:hint="eastAsia" w:ascii="宋体" w:hAnsi="宋体" w:eastAsia="宋体" w:cs="宋体"/>
                <w:snapToGrid w:val="0"/>
                <w:color w:val="000000" w:themeColor="text1"/>
                <w:kern w:val="0"/>
                <w:sz w:val="24"/>
                <w:szCs w:val="24"/>
                <w:lang w:val="zh-CN"/>
                <w14:textFill>
                  <w14:solidFill>
                    <w14:schemeClr w14:val="tx1"/>
                  </w14:solidFill>
                </w14:textFill>
              </w:rPr>
              <w:t>具有履行合同所必需的设备和专业技术能力、三年内在经营活动中没有重大违法记录</w:t>
            </w:r>
          </w:p>
        </w:tc>
        <w:tc>
          <w:tcPr>
            <w:tcW w:w="4083"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提供财务报表复印件和书面声明。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7</w:t>
            </w: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不存在关联交易关系，认同我行对评估报告的要求及标准，认同并能满足我行对评估任务的时效要求，认同我行评估费付费标准等方面的承诺函</w:t>
            </w:r>
          </w:p>
        </w:tc>
        <w:tc>
          <w:tcPr>
            <w:tcW w:w="4083"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2</w:t>
            </w:r>
          </w:p>
        </w:tc>
        <w:tc>
          <w:tcPr>
            <w:tcW w:w="716"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特定资格条件</w:t>
            </w:r>
          </w:p>
        </w:tc>
        <w:tc>
          <w:tcPr>
            <w:tcW w:w="423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（1）同时具有房产、土地使用权、资产评估资质，其中房地产估价机构备案等级不低于二级</w:t>
            </w:r>
          </w:p>
        </w:tc>
        <w:tc>
          <w:tcPr>
            <w:tcW w:w="4083"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提供“房地产估价机构备案证书”、“土地估价机构备案函”、“资产评估机构备案资料”。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（2）具有与开展评估业务相适应的固定工作场所</w:t>
            </w:r>
          </w:p>
        </w:tc>
        <w:tc>
          <w:tcPr>
            <w:tcW w:w="4083"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提供在渝办公场地明细表，房产证明或租赁证明等资料。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（3正在服务有效期的银行业金融机构不少于5家</w:t>
            </w:r>
          </w:p>
        </w:tc>
        <w:tc>
          <w:tcPr>
            <w:tcW w:w="4083"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提供银行业金融机构合作情况表，及对应的能证明“正在服务有效期”的合同复印件等证明资料。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（4）拟为本行服务的团队人员情况</w:t>
            </w:r>
          </w:p>
        </w:tc>
        <w:tc>
          <w:tcPr>
            <w:tcW w:w="4083"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服务团队介绍，以表格形式列明的服务团队人员姓名、执业证书、执业年限、为银行业金融机构服务工作经验介绍、办公地点、团队人员平均执业年限，服务团队人员资质证书，近三个月投标评估机构为其缴纳社会保险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682"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3</w:t>
            </w:r>
          </w:p>
        </w:tc>
        <w:tc>
          <w:tcPr>
            <w:tcW w:w="4955" w:type="dxa"/>
            <w:gridSpan w:val="2"/>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参选保证金</w:t>
            </w:r>
          </w:p>
        </w:tc>
        <w:tc>
          <w:tcPr>
            <w:tcW w:w="4083"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足额缴纳参选保证金</w:t>
            </w:r>
          </w:p>
        </w:tc>
      </w:tr>
    </w:tbl>
    <w:p>
      <w:pPr>
        <w:keepNext w:val="0"/>
        <w:keepLines w:val="0"/>
        <w:pageBreakBefore w:val="0"/>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2、符合性检查。依据比选文件的规定，从参选人参选文件的有效性、完整性和对比选文件的响应程度进行审查，以确定是否对比选文件的实质性要求作出响应。符合性检查资料表如下：</w:t>
      </w:r>
    </w:p>
    <w:tbl>
      <w:tblPr>
        <w:tblStyle w:val="19"/>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62"/>
        <w:gridCol w:w="1986"/>
        <w:gridCol w:w="5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序号</w:t>
            </w:r>
          </w:p>
        </w:tc>
        <w:tc>
          <w:tcPr>
            <w:tcW w:w="3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评审因素</w:t>
            </w:r>
          </w:p>
        </w:tc>
        <w:tc>
          <w:tcPr>
            <w:tcW w:w="54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有效性审查</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文件签署</w:t>
            </w:r>
          </w:p>
        </w:tc>
        <w:tc>
          <w:tcPr>
            <w:tcW w:w="54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法定代表人身份证明及授权委托书</w:t>
            </w:r>
          </w:p>
        </w:tc>
        <w:tc>
          <w:tcPr>
            <w:tcW w:w="54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方案唯一</w:t>
            </w:r>
          </w:p>
        </w:tc>
        <w:tc>
          <w:tcPr>
            <w:tcW w:w="54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只能有一个方案</w:t>
            </w: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15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完整性审查</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文件份数</w:t>
            </w:r>
          </w:p>
        </w:tc>
        <w:tc>
          <w:tcPr>
            <w:tcW w:w="54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文件内容</w:t>
            </w:r>
          </w:p>
        </w:tc>
        <w:tc>
          <w:tcPr>
            <w:tcW w:w="54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15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响应程度审查</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文件内容</w:t>
            </w:r>
          </w:p>
        </w:tc>
        <w:tc>
          <w:tcPr>
            <w:tcW w:w="541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对比选文件规定的比选内容作出响应。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5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有效期</w:t>
            </w:r>
          </w:p>
        </w:tc>
        <w:tc>
          <w:tcPr>
            <w:tcW w:w="54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满足比选文件规定。</w:t>
            </w:r>
          </w:p>
        </w:tc>
      </w:tr>
    </w:tbl>
    <w:p>
      <w:pPr>
        <w:bidi w:val="0"/>
        <w:rPr>
          <w:rFonts w:hint="eastAsia"/>
        </w:rPr>
      </w:pPr>
      <w:r>
        <w:rPr>
          <w:rFonts w:hint="eastAsia"/>
        </w:rPr>
        <w:t>3、澄清有关问题。对参选文件中含义不明确、同类问题表述不一致或者有明显文字和计算错误的内容，评审委员会可以书面形式（应当由评审委员会成员签字）要求参选人作出必要澄清、说明或者纠正。参选人的澄清、说明或者补正应当采用书面形式，由其授权的代表签字，并不得超出参选文件的范围或者改变参选文件的实质性内容。</w:t>
      </w:r>
    </w:p>
    <w:p>
      <w:pPr>
        <w:bidi w:val="0"/>
        <w:rPr>
          <w:rFonts w:hint="eastAsia"/>
        </w:rPr>
      </w:pPr>
      <w:r>
        <w:rPr>
          <w:rFonts w:hint="eastAsia"/>
        </w:rPr>
        <w:t>4、比较与评价。按比选文件中规定的评审方法和标准，对资格性检查和符合性检查合格的参选文件进行商务和技术评估，综合比较与评价。评审委员会应当独立对每个有效参选人的参选文件进行评价、打分，对同一参选人同一评分项的打分偏离较大的，应对参选人的参选文件进行再次核对，确属打分有误的，应及时进行修正。复核后，汇总每个参选人每项评分因素的得分。</w:t>
      </w:r>
    </w:p>
    <w:p>
      <w:pPr>
        <w:bidi w:val="0"/>
        <w:rPr>
          <w:rFonts w:hint="eastAsia"/>
        </w:rPr>
      </w:pPr>
      <w:r>
        <w:rPr>
          <w:rFonts w:hint="eastAsia"/>
        </w:rPr>
        <w:t>5、推荐中选人名单。按评审后得分由高到低顺序排列推荐中选人。综合得分排名第一的参选人为第一中选人，以此类推排名。排名得分相同的按比选文件评分标准</w:t>
      </w:r>
      <w:bookmarkStart w:id="70" w:name="_Toc443294656"/>
      <w:bookmarkStart w:id="71" w:name="_Toc424733476"/>
      <w:r>
        <w:rPr>
          <w:rFonts w:hint="eastAsia"/>
        </w:rPr>
        <w:t>中评估机构服务方案得分由高到低顺序排列。</w:t>
      </w:r>
      <w:bookmarkStart w:id="72" w:name="_Toc89675156"/>
      <w:bookmarkStart w:id="73" w:name="_Toc14892"/>
      <w:bookmarkStart w:id="74" w:name="_Toc275199617"/>
      <w:bookmarkStart w:id="75" w:name="_Toc440628923"/>
    </w:p>
    <w:p>
      <w:pPr>
        <w:pStyle w:val="3"/>
        <w:bidi w:val="0"/>
        <w:rPr>
          <w:rFonts w:hint="eastAsia"/>
        </w:rPr>
      </w:pPr>
      <w:bookmarkStart w:id="76" w:name="_Toc15059430"/>
      <w:r>
        <w:rPr>
          <w:rFonts w:hint="eastAsia"/>
        </w:rPr>
        <w:t>二、评审标准</w:t>
      </w:r>
      <w:bookmarkEnd w:id="72"/>
      <w:bookmarkEnd w:id="73"/>
      <w:bookmarkEnd w:id="74"/>
      <w:bookmarkEnd w:id="75"/>
      <w:bookmarkEnd w:id="76"/>
    </w:p>
    <w:p>
      <w:pPr>
        <w:bidi w:val="0"/>
        <w:rPr>
          <w:rFonts w:hint="eastAsia"/>
        </w:rPr>
      </w:pPr>
      <w:r>
        <w:rPr>
          <w:rFonts w:hint="eastAsia"/>
        </w:rPr>
        <w:t>评审标准总分为100分，分为评估机构执业情况评分和评估机构服务方案评分，采取客观与主观相结合方式评分。</w:t>
      </w:r>
    </w:p>
    <w:tbl>
      <w:tblPr>
        <w:tblStyle w:val="19"/>
        <w:tblW w:w="5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87"/>
        <w:gridCol w:w="1420"/>
        <w:gridCol w:w="718"/>
        <w:gridCol w:w="3172"/>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序号</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分类</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入围指标（评分因素）</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所占分值</w:t>
            </w:r>
          </w:p>
        </w:tc>
        <w:tc>
          <w:tcPr>
            <w:tcW w:w="16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评分标准</w:t>
            </w:r>
          </w:p>
        </w:tc>
        <w:tc>
          <w:tcPr>
            <w:tcW w:w="1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商务部分</w:t>
            </w:r>
          </w:p>
        </w:tc>
        <w:tc>
          <w:tcPr>
            <w:tcW w:w="3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评估</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机构</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执业</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情况（45%）</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1.执业资质</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10</w:t>
            </w:r>
          </w:p>
        </w:tc>
        <w:tc>
          <w:tcPr>
            <w:tcW w:w="16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1.房地产估价机构备案等级为一级的，得4分；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2.入围2023年度土地估价机构信用评价（A级资信）结果名单A级资信的，得4分，准A级资信的，得2分；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3.取得从事证券服务业务资产评估机构备案的，得2分；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4.上述得分点可累计计算，最多得10分。</w:t>
            </w:r>
          </w:p>
        </w:tc>
        <w:tc>
          <w:tcPr>
            <w:tcW w:w="1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1.提供“房地产估价机构备案证书”；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2.提供“2023年度土地估价机构信用评价（A级资信）结果名单文件或信用评价证书”；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3.提供“从事证券服务业务资产评估机构备案名单”。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2.服务区域情况</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15</w:t>
            </w:r>
          </w:p>
        </w:tc>
        <w:tc>
          <w:tcPr>
            <w:tcW w:w="16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1.评估机构在“重庆市中心城区及周边”区域（渝中区、大渡口区、江北区、沙坪坝区、九龙坡区、南岸区、北碚区、渝北区、巴南区、两江新区、高新区、潼南区、合川区、铜梁区、大足区、璧山区、荣昌区、涪陵区、永川区、江津区、綦江区、南川区、武隆区、长寿区、丰都县、垫江县）已有固定工作场所的，得8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2.在“万州及周边”区域（万州、开州、云阳、梁平、忠县、石柱）已有固定工作场所的，得3分；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3.在“渝东南”区域（酉阳、秀山、黔江、彭水）已有固定工作场所的，得3分；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4.在“渝东北”区域（巫溪、城口、奉节、巫山）已有固定工作场所的，得4分；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5.上述得分点可累计计算，最多得15分。同一个区域内多个工作场所不重复计分。</w:t>
            </w:r>
          </w:p>
        </w:tc>
        <w:tc>
          <w:tcPr>
            <w:tcW w:w="1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1.若在重庆地区具有分支机构，需提供分支机构营业执照；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2.提供投标评估机构租赁或购买固定工作场所的合同或产权证等证明材料；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3.若以个人名义租赁或购买固定工作场所的，提供相应的合同或产权证等证明材料，及证明其个人和评估机构关系的证明材料。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2" w:hRule="atLeast"/>
          <w:jc w:val="center"/>
        </w:trPr>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0"/>
                <w14:textFill>
                  <w14:solidFill>
                    <w14:schemeClr w14:val="tx1"/>
                  </w14:solidFill>
                </w14:textFill>
              </w:rPr>
            </w:pP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0"/>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3.银行业金融机构合作情况</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20</w:t>
            </w:r>
          </w:p>
        </w:tc>
        <w:tc>
          <w:tcPr>
            <w:tcW w:w="16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评估服务合作情况：正在服务有效期的省级分行或总行层级银行业金融机构数量不少于5家，在此基础上，每增加1家得2分，可累计计算，最多得20分。同一家银行不同层级机构不重复计分。</w:t>
            </w:r>
          </w:p>
        </w:tc>
        <w:tc>
          <w:tcPr>
            <w:tcW w:w="1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评估服务合作情况提供银行业金融机构合作情况表（见附表2：评估机构银行业金融机构合作情况表）及对应的能证明“正在服务有效期”的合同复印件等证明材料。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技术部分</w:t>
            </w:r>
          </w:p>
        </w:tc>
        <w:tc>
          <w:tcPr>
            <w:tcW w:w="3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评估机构服务方案（55%）</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1.评估服务团队人数</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10</w:t>
            </w:r>
          </w:p>
        </w:tc>
        <w:tc>
          <w:tcPr>
            <w:tcW w:w="16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拟为本行服务的团队人员不低于10名在职评估师或估价师，在此基础上,每多1人得1分，最多得10分。</w:t>
            </w:r>
          </w:p>
        </w:tc>
        <w:tc>
          <w:tcPr>
            <w:tcW w:w="14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提供服务团队介绍，以表格形式列明（见附表3：评估机构评估服务团队具体情况表）的服务团队人员姓名、执业证书、执业年限、为银行业金融机构服务工作经验介绍、办公地点、团队人员平均执业年限，服务团队人员资质证书，近三个月投标评估机构为其缴纳社会保险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2.评估服务团队经验</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10</w:t>
            </w:r>
          </w:p>
        </w:tc>
        <w:tc>
          <w:tcPr>
            <w:tcW w:w="16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拟为本行服务团队内在职评估师或估价师平均执业年限3年（含）以内的，得2分，每增加1年加2分，最多得10分。</w:t>
            </w:r>
          </w:p>
        </w:tc>
        <w:tc>
          <w:tcPr>
            <w:tcW w:w="14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3.具体服务方案</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30</w:t>
            </w:r>
          </w:p>
        </w:tc>
        <w:tc>
          <w:tcPr>
            <w:tcW w:w="16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1.评估机构需提供针对我行的服务方案，方案应阐述为我行提供评估服务过程中，如何保障评估服务效率、评估服务质量。根据评估机构服务方案的全面性、合理化、符合我行实际的针对性、可操作性等综合评审打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2.根据评估机构服务方案进行横向对比，优秀的得分25-30分，良好的得分15-25分，一般的得分0-15分。</w:t>
            </w:r>
          </w:p>
        </w:tc>
        <w:tc>
          <w:tcPr>
            <w:tcW w:w="1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提供针对我行的具体服务方案内容（包括但不限于评估类型、范围、方式、评估人员资质、评估业务流程图、评估程序、项目总体安排、工作效率和纪律、质量控制制度、风险控制制度、内部管理制度、评估收费、评估后评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4.其他专业服务优势</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5</w:t>
            </w:r>
          </w:p>
        </w:tc>
        <w:tc>
          <w:tcPr>
            <w:tcW w:w="16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根据评估机构提供的能为我行开展或提供的无偿增值服务或其他承诺的具体内容，以及符合我行实际的针对性和可操作性进行打分，优秀的得4-5分，良好的得2-4分，一般的得0-2分。</w:t>
            </w:r>
          </w:p>
        </w:tc>
        <w:tc>
          <w:tcPr>
            <w:tcW w:w="1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提供无偿增值服务或其他承诺的具体内容。</w:t>
            </w:r>
          </w:p>
        </w:tc>
      </w:tr>
      <w:bookmarkEnd w:id="70"/>
      <w:bookmarkEnd w:id="71"/>
    </w:tbl>
    <w:p>
      <w:pPr>
        <w:bidi w:val="0"/>
        <w:rPr>
          <w:rFonts w:hint="eastAsia"/>
        </w:rPr>
      </w:pPr>
      <w:bookmarkStart w:id="77" w:name="_Toc11439"/>
      <w:bookmarkStart w:id="78" w:name="_Toc89675157"/>
      <w:bookmarkStart w:id="79" w:name="_Toc15059431"/>
      <w:bookmarkStart w:id="80" w:name="_Toc440628924"/>
      <w:bookmarkStart w:id="81" w:name="_Toc275199618"/>
    </w:p>
    <w:p>
      <w:pPr>
        <w:pStyle w:val="3"/>
        <w:bidi w:val="0"/>
        <w:rPr>
          <w:rFonts w:hint="eastAsia"/>
        </w:rPr>
      </w:pPr>
      <w:r>
        <w:rPr>
          <w:rFonts w:hint="eastAsia"/>
        </w:rPr>
        <w:t>三、无效参选条款</w:t>
      </w:r>
      <w:bookmarkEnd w:id="77"/>
      <w:bookmarkEnd w:id="78"/>
      <w:bookmarkEnd w:id="79"/>
      <w:bookmarkEnd w:id="80"/>
      <w:bookmarkEnd w:id="81"/>
    </w:p>
    <w:p>
      <w:pPr>
        <w:bidi w:val="0"/>
        <w:rPr>
          <w:rFonts w:hint="eastAsia"/>
        </w:rPr>
      </w:pPr>
      <w:r>
        <w:rPr>
          <w:rFonts w:hint="eastAsia"/>
        </w:rPr>
        <w:t>参选人或其参选文件出现下列情况之一者，应为无效参选：</w:t>
      </w:r>
    </w:p>
    <w:p>
      <w:pPr>
        <w:bidi w:val="0"/>
        <w:rPr>
          <w:rFonts w:hint="eastAsia"/>
        </w:rPr>
      </w:pPr>
      <w:r>
        <w:rPr>
          <w:rFonts w:hint="eastAsia"/>
        </w:rPr>
        <w:t>（一）参选人未按比选文件规定提交足额参选保证金的。</w:t>
      </w:r>
    </w:p>
    <w:p>
      <w:pPr>
        <w:bidi w:val="0"/>
        <w:rPr>
          <w:rFonts w:hint="eastAsia"/>
        </w:rPr>
      </w:pPr>
      <w:r>
        <w:rPr>
          <w:rFonts w:hint="eastAsia"/>
        </w:rPr>
        <w:t>（二）参选人未通过资格性检查，参选文件未通过符合性检查或参选文件经证实存在弄虚作假的。</w:t>
      </w:r>
    </w:p>
    <w:p>
      <w:pPr>
        <w:bidi w:val="0"/>
        <w:rPr>
          <w:rFonts w:hint="eastAsia"/>
        </w:rPr>
      </w:pPr>
      <w:r>
        <w:rPr>
          <w:rFonts w:hint="eastAsia"/>
        </w:rPr>
        <w:t>（三）参选人超出其营业执照或事业单位法人证书上经营范围（业务范围）参选的。</w:t>
      </w:r>
    </w:p>
    <w:p>
      <w:pPr>
        <w:bidi w:val="0"/>
        <w:rPr>
          <w:rFonts w:hint="eastAsia"/>
        </w:rPr>
      </w:pPr>
      <w:r>
        <w:rPr>
          <w:rFonts w:hint="eastAsia"/>
        </w:rPr>
        <w:t>（四）单位负责人为同一人或者存在直接控股、管理关系的不同参选人，不得参加同一合同项下的采购活动，上述参选人的参选均无效。</w:t>
      </w:r>
    </w:p>
    <w:p>
      <w:pPr>
        <w:bidi w:val="0"/>
        <w:rPr>
          <w:rFonts w:hint="eastAsia"/>
        </w:rPr>
      </w:pPr>
      <w:r>
        <w:rPr>
          <w:rFonts w:hint="eastAsia"/>
        </w:rPr>
        <w:t>（五）参选文件不满足比选文件第七章参选文件格式中所规定签字、盖章的。</w:t>
      </w:r>
    </w:p>
    <w:p>
      <w:pPr>
        <w:bidi w:val="0"/>
        <w:rPr>
          <w:rFonts w:hint="eastAsia"/>
        </w:rPr>
      </w:pPr>
      <w:r>
        <w:rPr>
          <w:rFonts w:hint="eastAsia"/>
        </w:rPr>
        <w:t>（六）参选文件出现多个参选方案的。</w:t>
      </w:r>
    </w:p>
    <w:p>
      <w:pPr>
        <w:bidi w:val="0"/>
        <w:rPr>
          <w:rFonts w:hint="eastAsia"/>
        </w:rPr>
      </w:pPr>
      <w:r>
        <w:rPr>
          <w:rFonts w:hint="eastAsia"/>
        </w:rPr>
        <w:t>（七）参选未出具承诺认可我行评估付费标准的。</w:t>
      </w:r>
    </w:p>
    <w:p>
      <w:pPr>
        <w:bidi w:val="0"/>
        <w:rPr>
          <w:rFonts w:hint="eastAsia"/>
        </w:rPr>
      </w:pPr>
      <w:r>
        <w:rPr>
          <w:rFonts w:hint="eastAsia"/>
        </w:rPr>
        <w:t>（八）参选文件含有违反国家法律、法规的内容，或附有比选人不能接受的条件的。</w:t>
      </w:r>
    </w:p>
    <w:p>
      <w:pPr>
        <w:bidi w:val="0"/>
        <w:rPr>
          <w:rFonts w:hint="eastAsia"/>
        </w:rPr>
      </w:pPr>
      <w:r>
        <w:rPr>
          <w:rFonts w:hint="eastAsia"/>
        </w:rPr>
        <w:t>（九）出现影响比选公正的违法、违规行为的。</w:t>
      </w:r>
    </w:p>
    <w:p>
      <w:pPr>
        <w:bidi w:val="0"/>
        <w:rPr>
          <w:rFonts w:hint="eastAsia"/>
        </w:rPr>
      </w:pPr>
      <w:r>
        <w:rPr>
          <w:rFonts w:hint="eastAsia"/>
        </w:rPr>
        <w:t>（十）与比选人、评审专家、其他参选人恶意串通。</w:t>
      </w:r>
    </w:p>
    <w:p>
      <w:pPr>
        <w:bidi w:val="0"/>
        <w:rPr>
          <w:rFonts w:hint="eastAsia"/>
        </w:rPr>
      </w:pPr>
      <w:r>
        <w:rPr>
          <w:rFonts w:hint="eastAsia"/>
        </w:rPr>
        <w:t>（十一）参选法人发生合并、分立、破产等重大变化后，不再具备比选要求的资格条件的。</w:t>
      </w:r>
    </w:p>
    <w:p>
      <w:pPr>
        <w:bidi w:val="0"/>
        <w:rPr>
          <w:rFonts w:hint="eastAsia"/>
        </w:rPr>
      </w:pPr>
      <w:r>
        <w:rPr>
          <w:rFonts w:hint="eastAsia"/>
        </w:rPr>
        <w:t>（十二）提供虚假材料谋取中选资格的。</w:t>
      </w:r>
    </w:p>
    <w:p>
      <w:pPr>
        <w:bidi w:val="0"/>
        <w:rPr>
          <w:rFonts w:hint="eastAsia"/>
        </w:rPr>
      </w:pPr>
      <w:r>
        <w:rPr>
          <w:rFonts w:hint="eastAsia"/>
        </w:rPr>
        <w:t>（十三）参选文件含有比选人不能接受的附加条件的。</w:t>
      </w:r>
    </w:p>
    <w:p>
      <w:pPr>
        <w:pStyle w:val="3"/>
        <w:bidi w:val="0"/>
        <w:rPr>
          <w:rFonts w:hint="eastAsia"/>
        </w:rPr>
      </w:pPr>
      <w:r>
        <w:rPr>
          <w:rFonts w:hint="eastAsia"/>
        </w:rPr>
        <w:t>四、对评审委员会成员的纪律要求</w:t>
      </w:r>
    </w:p>
    <w:p>
      <w:pPr>
        <w:bidi w:val="0"/>
        <w:rPr>
          <w:rFonts w:hint="eastAsia"/>
        </w:rPr>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3"/>
        <w:bidi w:val="0"/>
        <w:rPr>
          <w:rFonts w:hint="eastAsia"/>
        </w:rPr>
      </w:pPr>
      <w:r>
        <w:rPr>
          <w:rFonts w:hint="eastAsia"/>
        </w:rPr>
        <w:t>五、对与评审活动有关的工作人员的纪律要求</w:t>
      </w:r>
    </w:p>
    <w:p>
      <w:pPr>
        <w:bidi w:val="0"/>
        <w:rPr>
          <w:rFonts w:hint="eastAsia"/>
        </w:rPr>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标程序正常进行。</w:t>
      </w:r>
    </w:p>
    <w:p>
      <w:pPr>
        <w:bidi w:val="0"/>
        <w:rPr>
          <w:rFonts w:hint="eastAsia"/>
        </w:rPr>
        <w:sectPr>
          <w:pgSz w:w="11906" w:h="16838"/>
          <w:pgMar w:top="1440" w:right="1145" w:bottom="1440" w:left="1800" w:header="851" w:footer="992" w:gutter="0"/>
          <w:pgNumType w:chapStyle="1"/>
          <w:cols w:space="720" w:num="1"/>
          <w:docGrid w:type="lines" w:linePitch="312" w:charSpace="0"/>
        </w:sectPr>
      </w:pPr>
      <w:bookmarkStart w:id="82" w:name="_Toc55566259"/>
      <w:bookmarkStart w:id="83" w:name="_Toc303066033"/>
      <w:bookmarkStart w:id="84" w:name="_Toc89675159"/>
    </w:p>
    <w:p>
      <w:pPr>
        <w:pStyle w:val="2"/>
        <w:bidi w:val="0"/>
        <w:rPr>
          <w:rFonts w:hint="eastAsia"/>
        </w:rPr>
      </w:pPr>
      <w:bookmarkStart w:id="85" w:name="_Toc571"/>
      <w:bookmarkStart w:id="86" w:name="_Toc27886"/>
      <w:bookmarkStart w:id="87" w:name="_Toc3344"/>
      <w:bookmarkStart w:id="88" w:name="_Toc17148"/>
      <w:bookmarkStart w:id="117" w:name="_GoBack"/>
      <w:bookmarkEnd w:id="117"/>
      <w:r>
        <w:rPr>
          <w:rFonts w:hint="eastAsia"/>
        </w:rPr>
        <w:t>第五章 合同模板</w:t>
      </w:r>
      <w:bookmarkEnd w:id="85"/>
      <w:bookmarkEnd w:id="86"/>
      <w:bookmarkEnd w:id="87"/>
      <w:r>
        <w:rPr>
          <w:rFonts w:hint="eastAsia"/>
        </w:rPr>
        <w:t>（部分）</w:t>
      </w:r>
      <w:bookmarkEnd w:id="88"/>
    </w:p>
    <w:p>
      <w:pPr>
        <w:bidi w:val="0"/>
        <w:rPr>
          <w:rFonts w:hint="eastAsia" w:ascii="Cambria Math" w:hAnsi="Cambria Math" w:eastAsia="宋体"/>
          <w:snapToGrid/>
          <w:kern w:val="2"/>
          <w:sz w:val="24"/>
          <w:szCs w:val="20"/>
        </w:rPr>
      </w:pPr>
      <w:r>
        <w:rPr>
          <w:rFonts w:hint="default" w:ascii="Cambria Math" w:hAnsi="Cambria Math" w:eastAsia="宋体"/>
          <w:b w:val="0"/>
          <w:snapToGrid/>
          <w:kern w:val="2"/>
          <w:sz w:val="24"/>
          <w:szCs w:val="20"/>
        </w:rPr>
        <w:t>以下合同内容为部分条款，</w:t>
      </w:r>
      <w:r>
        <w:rPr>
          <w:rFonts w:hint="eastAsia"/>
        </w:rPr>
        <w:t>若比选文件与最终合同条款不一致，以</w:t>
      </w:r>
      <w:r>
        <w:rPr>
          <w:rFonts w:hint="eastAsia"/>
          <w:lang w:val="en-US" w:eastAsia="zh-CN"/>
        </w:rPr>
        <w:t>最终</w:t>
      </w:r>
      <w:r>
        <w:rPr>
          <w:rFonts w:hint="eastAsia"/>
        </w:rPr>
        <w:t>合同条款为准。</w:t>
      </w:r>
    </w:p>
    <w:p>
      <w:pPr>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b/>
          <w:color w:val="000000"/>
          <w:szCs w:val="28"/>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重庆三峡银行股份有限公司评估业务合作协议书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left"/>
        <w:textAlignment w:val="auto"/>
        <w:rPr>
          <w:rFonts w:hint="eastAsia" w:ascii="宋体" w:hAnsi="宋体" w:eastAsia="宋体" w:cs="宋体"/>
          <w:sz w:val="24"/>
          <w:szCs w:val="28"/>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bookmarkStart w:id="89" w:name="_Toc116"/>
      <w:bookmarkStart w:id="90" w:name="_Toc24486"/>
      <w:bookmarkStart w:id="91" w:name="_Toc2970"/>
      <w:bookmarkStart w:id="92" w:name="_Toc5751"/>
      <w:r>
        <w:rPr>
          <w:rFonts w:hint="eastAsia" w:ascii="宋体" w:hAnsi="宋体" w:eastAsia="宋体" w:cs="宋体"/>
          <w:sz w:val="24"/>
          <w:szCs w:val="24"/>
        </w:rPr>
        <w:t>甲方：重庆三峡银行股份有限公司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联系人：</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联系邮箱：</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联系人：</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联系邮箱：</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为提高评估质量，防范评估失准而带来的授信风险，促进双方业务共同健康发展，根据国家有关法律法规，经甲乙双方充分协商，就评估及咨询业务合作事宜达成协议如下：</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一、甲方同意乙方为其借款申请人所提供的以下资产提供评估及咨询服务：。</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（1）房产；（2）土地使用权；（3）有形资产；（4）无形资产；（5）探矿权和采矿权；（6）债权；（7）其他。</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（一）具体服务的内容包括：</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1、为甲方及甲方辖属的经营机构或甲方的授信申请人提供上述各类资产的评估服务，并出具评估报告。</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2、向甲方及甲方辖属的经营机构提供除正式评估报告以外的后续免费服务项目，包括但不限于以下方面：</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（1）乙方应公布服务热线，为甲方及甲方辖属的经营机构免费提供价格咨询、信息咨询、评估知识培训等；</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（2）当押品价值快速或大幅下降时，乙方应根据甲方要求配合甲方及甲方辖属的经营机构对抵押类贷款项目进行重新估值;</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（3）甲方及甲方辖属的经营机构风险预警中需重估的后续估值服务；</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（4）配合甲方及甲方辖属的经营机构对乙方所评估资产的内容进行贷后检查和价值复估;</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（5）甲方及甲方辖属的经营机构进行房地产压力测试时，乙方应配合甲方及甲方辖属的经营机构对所有以房地产为抵押的贷款项目开展估值工作；</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（6）上述对抵质押物的重新估值，至少需采用预评估报告的形式告知甲方及甲方辖属的经营机构评估结果。</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3、严格按照甲方及甲方辖属的经营机构要求及时准确报送各项业务报表、报告等。若乙方出现以下情况，应主动及时向甲方进行书面报送，否则甲方可对乙方采取必要的风险管理措施：</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（1）名称、办公地址、注册资本、合伙人或股东、法定代表人、资质等级、内部评估流程等发生变化；</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（2）注册估价师人数不满足资质要求；</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（3）乙方或其合伙人、股东涉及诉讼且可能对执业质量、乙方未来发展造成不利影响；</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（4）受到其主管部门或行业协会罚款、通报批评或其他处罚的；</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（5）被他人举报或被媒体等单位披露负面信息；</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（6）可能影响甲方评估业务连续性的其他事项；</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（7）甲方认为需要给予特别关注的其他情形。</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（二）评估机构分发时效</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1、及时处理甲方发送的评估任务，并在甲方规定时间内完成评估任务；</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2、接到甲方及甲方辖属的经营机构出具评估报告通知后，在规定时间内完成评估报告；</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乙方应在接到甲方分发评估任务后再进行现场查勘。乙方对授信业务资产评估的响应时间为接收评估任务后的1个工作日内，到现场进行查勘的时间为接收评估任务后的3个工作日内，现场查勘应不超过【】个工作日，现场查勘后，原则上应于接到甲方及甲方辖属经营机构出具预评估报告通知后2个工作日内出具预评估报告，接到甲方及甲方辖属经营机构出具正式评估报告通知后3个工作日内出具正式评估报告。</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乙方向甲方提供评估服务，由甲方支付评估费的，支付方式和支付金额以甲方具体文件规定为准。乙方向甲方客户提供评估服务，应以低于市场价的优惠价格向甲方客户收费，且不得通过任何形式以甲方名义向甲方客户收取费用。</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（四）乙方出具的评估报告需符合法律、法规及国家关于房地产、土地、资产评估估价规范或准则等相关规定，能够合理、客观、真实反映评估物的价值；出具的评估报告能够得到抵质押物登记机构的认可。</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（五）乙方应根据甲方要求，参照甲方提供的预评估报告模板内容出具预评估报告。</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乙方出具的债权价值分析报告应符合国家法律及国家关于债权价值分析的规范、准则或指导意见等相关规定。对于按照甲方相关要求，采用逐笔债权价值评估法对不良债权实施首次价值评估，并出具初步的债权价值分析报告的，乙方应参照甲方提供的债权价值分析报告模板内容出具债权价值分析报告。</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（七）涉及授信业务资产评估的正式评估报告，内容应覆盖预评估报告要素，并符合以下要求：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1、正式评估报告内容基本要求：</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（1）须包含估价的依据、原则、方法、相关数据来源与确定、相关参数选取与运用、主要计算过程、估价目的等必要信息。</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（2）评估程序实施过程中现场调查、资料收集与分析、评定估算等主要内容。</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（3）全面、详细地界定估价对象的范围和在估价时点的法定用途、实际用途以及区位、实物、权益状况、当前状况（如：房产为空置、自住、出租等情况）。</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（4）披露假设和限制条件，已抵押及其担保的债权情况，并说明其对评估结果可能产生的影响。</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（5）需包含估价对象的变现能力分析和风险提示。</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（6）附有评估对象内外部照片、评估人员与评估对象合照、位置示意图等。</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（7）估价结果须包含估价总值及估价单价、抵押价值、抵押净值及快速变现值。</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当估价对象仅适用于一种估价方法进行估价时，可只选用一种估价方法进行估价，当估价对象适用两种或两种以上估价方法进行估价时，宜同时选用所有适用的估价方法进行估价，不得随意取舍；当必须取舍时，应在评估报告中说明并陈述理由。</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（9）正式评估报告中，乙方除盖章外，针对房地产评估、土地评估及资产评估，至少两名注册评估师和法定代表人或合伙人均需签字，房地产评估报告中法定代表人或合伙人也可盖章。</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2、正式评估报告中还应当就以下内容给甲方提示：</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（1）估价对象状况和房地产市场状况因时间变化对房地产抵押价值可能产生的影响。</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（2）对于土地使用权证和房产证不为同一产权证书的情况，要严格避免两种产权证书的用途不一致。</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（3）在抵押期间可能产生的房地产信贷风险关注点。</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（4）合理使用估价价值。</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（5）押品价值或风险状况与预评估报告存在较大变化。</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3、如有以下可能对评估结论产生影响的特别事项，需重点提示甲方予以关注：</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（1）权属等主要资料不完整或者存在瑕疵的情形。</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（2）未决事项、法律纠纷等不确定因素。</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（3）重要的利用专家工作情况。</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（4）重大期后事项。</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（5）在不违背资产评估准则基本要求的情况下，采用的不同于资产评估准则规定的程序和方法。</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（八）对于不良资产的债权价值分析报告，应符合以下要求：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1、按照甲方不良资产管理相关要求开展债权价值分析工作；</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2、对于能够形成甲方偿债来源的资产出具的正式资产评估报告，应遵循甲方对评估报告的相关要求及本行不良资产管理要求；</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在法律尽调和资产评估基础上，进一步核实债务责任相关方的偿债可能性，按照金融不良债权的抵质押资产（权利）、法律尽调明确能构成其他偿债来源的资产、剩余一般债权的顺序进行价值确认，并综合考虑预测回收现金流、回收期限、折现率等因素后确定债权价值，并出具债权价值分析报告。</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乙方同意在所具备评估相应的资格和资质范围内为甲方或甲方授信申请人提供上述内容的服务，在办理评估业务时，遵循客观、公正、规范和科学的原则，按国家关于房地产、土地、资产评估估价规范或准则等相关规定和要求出具科学准确、合理详实的评估报告，对评估对象进行实地勘查。</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甲方有权对乙方实行服务质量和报告质量差异化管理，并根据日常管理情况及年度考评结果对乙方采取必要的风险管理措施，包括但不限于约谈、提示、警示、暂停业务、终止合作等。被甲方采取暂停业务期满后，乙方需提交满足甲方管理要求的资料，包括不限于恢复业务申请及整改资料等，经甲方组织对乙方整改情况进行审议后，判断是否恢复其业务。具体管理要求及考评标准以甲方要求为准。</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四、因乙方评估偏差，给甲方及甲方辖属的经营机构造成经济损失的，乙方应当依法承担全部损失的赔偿责任，且在发生此类情况时，甲方有权单方面终止本合作协议，不再向乙方支付任何费用。</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甲方尊重乙方所提供评估服务工作的独立性。乙方有权拒绝甲方及其辖属经营机构人员对乙方资产价值评估的干预要求，亦应当拒绝借款申请人或其他利害关系人对资产价值评估的干预要求。否则对于因此导致评估失误的，乙方应当承担赔偿责任，且乙方不得以此理由主张对其所应承担法律责任之减轻或免除。</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甲方根据乙方在册的评估人员实际情况，有权指定乙方特定的评估人员提供评估、咨询、培训服务，对非指定人员提供的评估报告，甲方可拒绝接受，并要求乙方重新无偿、限期出具评估报告，由此给甲方及甲方辖属经营机构造成损失的，乙方应予赔偿。在本合同履行期间内，前述情形出现【】次的，甲方有权解除本合同，不再支付任何费用，乙方应赔偿给甲方及甲方辖属经营机构造成的损失。</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甲方对乙方出具的评估结论不准确、报告内容不详实的评估报告或不符合甲方要求的报告类型，可以拒绝接受，并要求乙方重新无偿、限期出具评估报告，由此给甲方及甲方辖属经营机构造成损失的，乙方应予赔偿。在本合同履行期间内，前述情形出现【】次的，甲方有权解除本合同，不再支付任何费用，乙方应赔偿给甲方及甲方辖属经营机构造成的损失。</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八、合作期间内，乙方应免费为甲方提供价格咨询、各类信息咨询、评估知识培训。且甲方在其进行贷款的内部管理检查及市场调研活动时要求乙方支援的，乙方应当及时派遣专业人员提供无偿协助。</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九、甲方认为乙方有下列行为之一的，可暂停乙方业务。</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（一）未履行与甲方签订的合作协议条款。</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（二）一年内两次无合理理由拒绝受理甲方评估业务的。</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（三）注册估价师人数不满足资质要求；</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（四）受到乙方主管部门或行业协会罚款、通报批评或其他处罚的。</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（五）乙方涉及诉讼且可能影响我行评估业务连续性。</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（六）被他人举报或被媒体等单位披露负面信息。</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（七）甲方认为需要暂停业务的其他情形。</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十、甲方认为乙方有下列行为之一的，可单方提前终止评估业务合作协议。</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（一）评估时隐瞒抵（质）押物存在的重大影响事项，评估价值出现严重偏离，造成甲方贷款出现损失的；</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（二）提供虚假信息、资料，出具虚假评估报告、证明文件及其他文件的；</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（三）隐瞒评估机构自身有关情况，提供虚假的企业营业执照、资质证书等有关资料的；</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（四）违反独立、客观、公正原则，采用欺诈、贿赂、回扣、串通等不正当竞争手段承揽业务，损害甲方或客户利益的；</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（五）不能胜任委托事务或对委托事项不负责任，给甲方造成损失的。</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（六）索取合同约定以外的酬金或其他财务，或者利用执业便利谋取其他不正当利益的；</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（七）发生违反法律、法规、规章及行业规范的行为影响甲方评估业务连续性的；</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（八）执业资格/许可被取消或到期后未通过有权机构审查的；</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（九）其他有损甲方权益或给甲方造成损失的情况的。</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乙方存在上述行为之一，给甲方造成损失的，甲方有权要求乙方予以赔偿。</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未经甲方同意，不得使用甲方合法所有的知识产权，包括但不限于商标等，由此为甲方造成的损失由乙方承担。乙方为甲方提供的服务、向甲方提交的评估报告不得侵犯任何方知识产权及其他合法权益，因乙方提供的产品或服务导致甲方受到有关侵犯其专利权、商标权或著作权等知识产权的指控，由乙方负责与第三方交涉并承担一切法律责任与因此产生的所有费用。甲方因此而遭受损失的由乙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乙方应对因履行合同而接触到的甲方的相关信息（包括但不限于客户信息等）进行保密，至该信息成为公开信息前，应按本协议之约定承担保密义务。若违反本约定，乙方应当按照2万元/笔向甲方支付违约金。如果此违约行为造成的甲方实际损失大于该违约金的，则乙方还应向甲方赔偿违约金与甲方损失之间的差额。</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十三、乙方须按照甲方要求报送评估收费的相关内容，乙方不得通过任何形式以甲方名义向甲方客户收取费用。</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十四、乙方应恪守职业操守，严禁在评估工作中以各种不正当竞争方式承揽评估业务。若有违规，经查实后，甲方除有权终止本协议及其后续入围资格，还有权将有关情况报送其主管部门。</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十五、乙方应亲自履行本合同项下受托，未经甲方同意，不得部分或全部将本合同项下受托事项转让第三方执行。</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十六、因乙方原因，在履行本合同项下各项义务而发生的安全保障责任，人身伤亡事故及造成的经济损失应由乙方承担赔偿责任。</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十七、因乙方违规或不当执业，造成甲方经济损失的，甲方可根据实际情况依法追究其责任。</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十八、因乙方原因造成甲方经济损失的，甲方有权要求乙方承担甲方全部损失的赔偿责任，赔偿损失的范围包括甲方为实现债权产生的全部合理费用（包括但不限于诉讼费、律师费、差旅费及其他费用等）。</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十九、甲方要提前解除本协议，应提前15日通知乙方；但因为乙方的过错造成甲方损失的，甲方有权随时终止本协议。乙方因自身原因无法继续提供服务，应提前15日书面通知甲方后解除本协议。</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二十、本协议自双方加盖公章之日起生效，协议有效期为三年，从生效之日起计算。</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二十一、本协议未尽事宜，双方友好协商解决。经协商未能解决的，甲乙双方中的任何一方均可向甲方所在地人民法院提起诉讼。</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十二、本合同双方如发生联系地址或者其他联系方式变更，应向对方发出通知，否则按本合同首部载明的地址发出的通知、要求或信息视为送达。双方亦同意本合同首部载明的通讯地址作为各方在诉讼或仲裁及执行中人民法院/仲裁机构送达诉讼文书的地址。</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二十三、本协议一式贰份，甲乙双方各执壹份，具有同等法律效力。</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甲方（盖章）：重庆三峡银行股份有限公司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乙方（盖章）：</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b/>
          <w:bCs/>
          <w:color w:val="000000"/>
          <w:sz w:val="24"/>
          <w:szCs w:val="24"/>
        </w:rPr>
        <w:sectPr>
          <w:headerReference r:id="rId7" w:type="default"/>
          <w:footerReference r:id="rId8" w:type="default"/>
          <w:pgSz w:w="11906" w:h="16838"/>
          <w:pgMar w:top="1440" w:right="1800" w:bottom="1440" w:left="1800" w:header="851" w:footer="992" w:gutter="0"/>
          <w:pgNumType w:chapStyle="1"/>
          <w:cols w:space="720" w:num="1"/>
          <w:docGrid w:type="lines" w:linePitch="380" w:charSpace="0"/>
        </w:sectPr>
      </w:pPr>
      <w:r>
        <w:rPr>
          <w:rFonts w:hint="eastAsia" w:ascii="宋体" w:hAnsi="宋体" w:eastAsia="宋体" w:cs="宋体"/>
          <w:sz w:val="24"/>
          <w:szCs w:val="24"/>
        </w:rPr>
        <w:t>签署日期：</w:t>
      </w:r>
    </w:p>
    <w:p>
      <w:pPr>
        <w:pStyle w:val="2"/>
        <w:bidi w:val="0"/>
        <w:rPr>
          <w:rFonts w:hint="eastAsia"/>
        </w:rPr>
      </w:pPr>
      <w:r>
        <w:rPr>
          <w:rFonts w:hint="eastAsia"/>
        </w:rPr>
        <w:t>第六章 参选人须知</w:t>
      </w:r>
      <w:bookmarkEnd w:id="82"/>
      <w:bookmarkEnd w:id="83"/>
      <w:bookmarkEnd w:id="84"/>
      <w:bookmarkEnd w:id="89"/>
      <w:bookmarkEnd w:id="90"/>
      <w:bookmarkEnd w:id="91"/>
      <w:bookmarkEnd w:id="92"/>
    </w:p>
    <w:p>
      <w:pPr>
        <w:pStyle w:val="3"/>
        <w:bidi w:val="0"/>
        <w:rPr>
          <w:rFonts w:hint="eastAsia"/>
        </w:rPr>
      </w:pPr>
      <w:bookmarkStart w:id="93" w:name="_Toc89675160"/>
      <w:r>
        <w:rPr>
          <w:rFonts w:hint="eastAsia"/>
        </w:rPr>
        <w:t>一、参选费用</w:t>
      </w:r>
      <w:bookmarkEnd w:id="93"/>
    </w:p>
    <w:p>
      <w:pPr>
        <w:bidi w:val="0"/>
        <w:rPr>
          <w:rFonts w:hint="eastAsia"/>
        </w:rPr>
      </w:pPr>
      <w:r>
        <w:rPr>
          <w:rFonts w:hint="eastAsia"/>
        </w:rPr>
        <w:t>1、参选人参与本比选项目时，一切与参选有关的费用均由参选人自理。</w:t>
      </w:r>
    </w:p>
    <w:p>
      <w:pPr>
        <w:bidi w:val="0"/>
        <w:rPr>
          <w:rFonts w:hint="eastAsia"/>
        </w:rPr>
      </w:pPr>
      <w:r>
        <w:rPr>
          <w:rFonts w:hint="eastAsia"/>
        </w:rPr>
        <w:t>2、本项目平台服务费为 8000 元，中选人均摊平台服务费，由中选人向重庆联合产权交易所集团股份有限公司支付。中选人应在领取中选通知书时一次性缴纳，请各参选人综合考虑进报价。</w:t>
      </w:r>
      <w:bookmarkStart w:id="94" w:name="_Toc89675161"/>
    </w:p>
    <w:p>
      <w:pPr>
        <w:pStyle w:val="3"/>
        <w:bidi w:val="0"/>
        <w:rPr>
          <w:rFonts w:hint="eastAsia"/>
        </w:rPr>
      </w:pPr>
      <w:r>
        <w:rPr>
          <w:rFonts w:hint="eastAsia"/>
        </w:rPr>
        <w:t>二、参选人</w:t>
      </w:r>
      <w:bookmarkEnd w:id="94"/>
    </w:p>
    <w:p>
      <w:pPr>
        <w:bidi w:val="0"/>
        <w:rPr>
          <w:rFonts w:hint="eastAsia"/>
        </w:rPr>
      </w:pPr>
      <w:r>
        <w:rPr>
          <w:rFonts w:hint="eastAsia"/>
        </w:rPr>
        <w:t>1、合格参选人条件</w:t>
      </w:r>
    </w:p>
    <w:p>
      <w:pPr>
        <w:bidi w:val="0"/>
        <w:rPr>
          <w:rFonts w:hint="eastAsia"/>
        </w:rPr>
      </w:pPr>
      <w:r>
        <w:rPr>
          <w:rFonts w:hint="eastAsia"/>
        </w:rPr>
        <w:t>合格参选人应完全符合比选文件第一章中规定的参选人资格条件，并对比选文件作出实质性响应。</w:t>
      </w:r>
    </w:p>
    <w:p>
      <w:pPr>
        <w:bidi w:val="0"/>
        <w:rPr>
          <w:rFonts w:hint="eastAsia"/>
        </w:rPr>
      </w:pPr>
      <w:r>
        <w:rPr>
          <w:rFonts w:hint="eastAsia"/>
        </w:rPr>
        <w:t>2、参选人的风险</w:t>
      </w:r>
    </w:p>
    <w:p>
      <w:pPr>
        <w:bidi w:val="0"/>
        <w:rPr>
          <w:rFonts w:hint="eastAsia"/>
        </w:rPr>
      </w:pPr>
      <w:r>
        <w:rPr>
          <w:rFonts w:hint="eastAsia"/>
        </w:rPr>
        <w:t>参选人没有按照比选文件要求提供全部资料，或者参选人没有对比选文件在各方面作出实质性响应，可能导致参选被拒绝或评定为无效参选。</w:t>
      </w:r>
    </w:p>
    <w:p>
      <w:pPr>
        <w:pStyle w:val="3"/>
        <w:bidi w:val="0"/>
        <w:rPr>
          <w:rFonts w:hint="eastAsia"/>
        </w:rPr>
      </w:pPr>
      <w:bookmarkStart w:id="95" w:name="_Toc89675162"/>
      <w:r>
        <w:rPr>
          <w:rFonts w:hint="eastAsia"/>
        </w:rPr>
        <w:t>三、比选文件</w:t>
      </w:r>
      <w:bookmarkEnd w:id="95"/>
    </w:p>
    <w:p>
      <w:pPr>
        <w:bidi w:val="0"/>
        <w:rPr>
          <w:rFonts w:hint="eastAsia"/>
        </w:rPr>
      </w:pPr>
      <w:r>
        <w:rPr>
          <w:rFonts w:hint="eastAsia"/>
        </w:rPr>
        <w:t>比选文件是参选人编制参选文件的依据，是评审委员会评判依据和标准。比选文件也是比选人与中选人签订合同的基础。</w:t>
      </w:r>
    </w:p>
    <w:p>
      <w:pPr>
        <w:bidi w:val="0"/>
        <w:rPr>
          <w:rFonts w:hint="eastAsia"/>
        </w:rPr>
      </w:pPr>
      <w:r>
        <w:rPr>
          <w:rFonts w:hint="eastAsia"/>
        </w:rPr>
        <w:t>本行对比选文件所作的一切有效的书面通知、修改及补充，都是比选文件不可分割的部分。</w:t>
      </w:r>
    </w:p>
    <w:p>
      <w:pPr>
        <w:pStyle w:val="3"/>
        <w:bidi w:val="0"/>
        <w:rPr>
          <w:rFonts w:hint="eastAsia"/>
        </w:rPr>
      </w:pPr>
      <w:bookmarkStart w:id="96" w:name="_Toc89675163"/>
      <w:r>
        <w:rPr>
          <w:rFonts w:hint="eastAsia"/>
        </w:rPr>
        <w:t>四、参选</w:t>
      </w:r>
      <w:bookmarkEnd w:id="96"/>
    </w:p>
    <w:p>
      <w:pPr>
        <w:bidi w:val="0"/>
        <w:rPr>
          <w:rFonts w:hint="eastAsia"/>
        </w:rPr>
      </w:pPr>
      <w:r>
        <w:rPr>
          <w:rFonts w:hint="eastAsia"/>
        </w:rPr>
        <w:t>参选人应当按照比选文件的要求编制参选文件，并对比选文件提出的要求和条件作出实质性响应。</w:t>
      </w:r>
    </w:p>
    <w:p>
      <w:pPr>
        <w:pStyle w:val="4"/>
        <w:bidi w:val="0"/>
        <w:rPr>
          <w:rFonts w:hint="eastAsia"/>
        </w:rPr>
      </w:pPr>
      <w:r>
        <w:rPr>
          <w:rFonts w:hint="eastAsia"/>
        </w:rPr>
        <w:t>（一）参选文件组成</w:t>
      </w:r>
    </w:p>
    <w:p>
      <w:pPr>
        <w:bidi w:val="0"/>
        <w:rPr>
          <w:rFonts w:hint="eastAsia"/>
        </w:rPr>
      </w:pPr>
      <w:r>
        <w:rPr>
          <w:rFonts w:hint="eastAsia"/>
        </w:rPr>
        <w:t>参选文件参选人所作的一切有效补充、修改和承诺等文件组成，参选人应按照第七章“参选文件格式”规定的目录顺序组织编写和装订，否则有可能影响参选人的参选文件响应程度得分。</w:t>
      </w:r>
    </w:p>
    <w:p>
      <w:pPr>
        <w:pStyle w:val="4"/>
        <w:bidi w:val="0"/>
        <w:rPr>
          <w:rFonts w:hint="eastAsia"/>
        </w:rPr>
      </w:pPr>
      <w:r>
        <w:rPr>
          <w:rFonts w:hint="eastAsia"/>
        </w:rPr>
        <w:t>（二）联合参选</w:t>
      </w:r>
    </w:p>
    <w:p>
      <w:pPr>
        <w:bidi w:val="0"/>
        <w:rPr>
          <w:rFonts w:hint="eastAsia"/>
        </w:rPr>
      </w:pPr>
      <w:r>
        <w:rPr>
          <w:rFonts w:hint="eastAsia"/>
        </w:rPr>
        <w:t>本比选项目不接受联合参选。</w:t>
      </w:r>
    </w:p>
    <w:p>
      <w:pPr>
        <w:pStyle w:val="4"/>
        <w:bidi w:val="0"/>
        <w:rPr>
          <w:rFonts w:hint="eastAsia"/>
        </w:rPr>
      </w:pPr>
      <w:r>
        <w:rPr>
          <w:rFonts w:hint="eastAsia"/>
        </w:rPr>
        <w:t>（三）参选有效期</w:t>
      </w:r>
    </w:p>
    <w:p>
      <w:pPr>
        <w:bidi w:val="0"/>
        <w:rPr>
          <w:rFonts w:hint="eastAsia"/>
        </w:rPr>
      </w:pPr>
      <w:r>
        <w:rPr>
          <w:rFonts w:hint="eastAsia"/>
        </w:rPr>
        <w:t>参选有效期为参选截止日期后90天内。</w:t>
      </w:r>
    </w:p>
    <w:p>
      <w:pPr>
        <w:pStyle w:val="4"/>
        <w:bidi w:val="0"/>
        <w:rPr>
          <w:rFonts w:hint="eastAsia"/>
        </w:rPr>
      </w:pPr>
      <w:r>
        <w:rPr>
          <w:rFonts w:hint="eastAsia"/>
        </w:rPr>
        <w:t>（四）参选保证金</w:t>
      </w:r>
    </w:p>
    <w:p>
      <w:pPr>
        <w:bidi w:val="0"/>
        <w:rPr>
          <w:rFonts w:hint="eastAsia"/>
        </w:rPr>
      </w:pPr>
      <w:r>
        <w:rPr>
          <w:rFonts w:hint="eastAsia"/>
        </w:rPr>
        <w:t>1、参选人应在参选截止时间前，按比选文件第一章规定向比选人缴纳参选保证金。</w:t>
      </w:r>
    </w:p>
    <w:p>
      <w:pPr>
        <w:bidi w:val="0"/>
        <w:rPr>
          <w:rFonts w:hint="eastAsia"/>
        </w:rPr>
      </w:pPr>
      <w:r>
        <w:rPr>
          <w:rFonts w:hint="eastAsia"/>
        </w:rPr>
        <w:t>2、参选保证金为参选的有效约束条件。</w:t>
      </w:r>
    </w:p>
    <w:p>
      <w:pPr>
        <w:bidi w:val="0"/>
        <w:rPr>
          <w:rFonts w:hint="eastAsia"/>
        </w:rPr>
      </w:pPr>
      <w:r>
        <w:rPr>
          <w:rFonts w:hint="eastAsia"/>
        </w:rPr>
        <w:t>3、参选保证金的有效期限在参选有效期过后30天内继续有效。</w:t>
      </w:r>
    </w:p>
    <w:p>
      <w:pPr>
        <w:bidi w:val="0"/>
        <w:rPr>
          <w:rFonts w:hint="eastAsia"/>
        </w:rPr>
      </w:pPr>
      <w:r>
        <w:rPr>
          <w:rFonts w:hint="eastAsia"/>
        </w:rPr>
        <w:t>4、参选保证金币种应与参选报价币种相同。</w:t>
      </w:r>
    </w:p>
    <w:p>
      <w:pPr>
        <w:bidi w:val="0"/>
        <w:rPr>
          <w:rFonts w:hint="eastAsia"/>
        </w:rPr>
      </w:pPr>
      <w:r>
        <w:rPr>
          <w:rFonts w:hint="eastAsia"/>
        </w:rPr>
        <w:t>5、参选保证金的退还：</w:t>
      </w:r>
    </w:p>
    <w:p>
      <w:pPr>
        <w:bidi w:val="0"/>
        <w:rPr>
          <w:rFonts w:hint="eastAsia"/>
        </w:rPr>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bidi w:val="0"/>
        <w:rPr>
          <w:rFonts w:hint="eastAsia"/>
        </w:rPr>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bidi w:val="0"/>
        <w:rPr>
          <w:rFonts w:hint="eastAsia"/>
        </w:rPr>
      </w:pPr>
      <w:r>
        <w:rPr>
          <w:rFonts w:hint="eastAsia"/>
        </w:rPr>
        <w:t>参选保证金专用账户由重庆市公共资源交易中心制定，关于保证金相关情况的问题请咨询重庆市公共资源交易中心，联系电话023-63621694。</w:t>
      </w:r>
    </w:p>
    <w:p>
      <w:pPr>
        <w:bidi w:val="0"/>
        <w:rPr>
          <w:rFonts w:hint="eastAsia"/>
        </w:rPr>
      </w:pPr>
      <w:r>
        <w:rPr>
          <w:rFonts w:hint="eastAsia"/>
        </w:rPr>
        <w:t>6、参选人有下列情形之一的，参选保证金将不予退还：</w:t>
      </w:r>
    </w:p>
    <w:p>
      <w:pPr>
        <w:bidi w:val="0"/>
        <w:rPr>
          <w:rFonts w:hint="eastAsia"/>
        </w:rPr>
      </w:pPr>
      <w:r>
        <w:rPr>
          <w:rFonts w:hint="eastAsia"/>
        </w:rPr>
        <w:t>（1）参选人在参选有效期内撤回参选文件的；</w:t>
      </w:r>
    </w:p>
    <w:p>
      <w:pPr>
        <w:bidi w:val="0"/>
        <w:rPr>
          <w:rFonts w:hint="eastAsia"/>
        </w:rPr>
      </w:pPr>
      <w:r>
        <w:rPr>
          <w:rFonts w:hint="eastAsia"/>
        </w:rPr>
        <w:t>（2）参选人在参选过程中弄虚作假，提供虚假材料的；</w:t>
      </w:r>
    </w:p>
    <w:p>
      <w:pPr>
        <w:bidi w:val="0"/>
        <w:rPr>
          <w:rFonts w:hint="eastAsia"/>
        </w:rPr>
      </w:pPr>
      <w:r>
        <w:rPr>
          <w:rFonts w:hint="eastAsia"/>
        </w:rPr>
        <w:t>（3）中选人无正当理由不与比选人签订合同的；</w:t>
      </w:r>
    </w:p>
    <w:p>
      <w:pPr>
        <w:bidi w:val="0"/>
        <w:rPr>
          <w:rFonts w:hint="eastAsia"/>
        </w:rPr>
      </w:pPr>
      <w:r>
        <w:rPr>
          <w:rFonts w:hint="eastAsia"/>
        </w:rPr>
        <w:t>（4）中选人将中选项目转让给他人或者在参选文件中未说明且未经比选单位同意，将中选项目分包给他人的；</w:t>
      </w:r>
    </w:p>
    <w:p>
      <w:pPr>
        <w:bidi w:val="0"/>
        <w:rPr>
          <w:rFonts w:hint="eastAsia"/>
        </w:rPr>
      </w:pPr>
      <w:r>
        <w:rPr>
          <w:rFonts w:hint="eastAsia"/>
        </w:rPr>
        <w:t>（5）中选人拒绝履行合同义务的；</w:t>
      </w:r>
    </w:p>
    <w:p>
      <w:pPr>
        <w:bidi w:val="0"/>
        <w:rPr>
          <w:rFonts w:hint="eastAsia"/>
        </w:rPr>
      </w:pPr>
      <w:r>
        <w:rPr>
          <w:rFonts w:hint="eastAsia"/>
        </w:rPr>
        <w:t>（6）其他严重扰乱比选程序的；</w:t>
      </w:r>
    </w:p>
    <w:p>
      <w:pPr>
        <w:pStyle w:val="4"/>
        <w:bidi w:val="0"/>
        <w:rPr>
          <w:rFonts w:hint="eastAsia"/>
        </w:rPr>
      </w:pPr>
      <w:r>
        <w:rPr>
          <w:rFonts w:hint="eastAsia"/>
        </w:rPr>
        <w:t>（五）参选文件的份数和签署</w:t>
      </w:r>
    </w:p>
    <w:p>
      <w:pPr>
        <w:bidi w:val="0"/>
        <w:rPr>
          <w:rFonts w:hint="eastAsia"/>
        </w:rPr>
      </w:pPr>
      <w:r>
        <w:rPr>
          <w:rFonts w:hint="eastAsia"/>
        </w:rPr>
        <w:t>1、参选文件一式三份，其中正本一份，副本一份，电子文件一份（光盘或U盘）。副本可为正本的复印件，必须与正本一致，如出现不一致情况以正本为准，电子文件装入信封中，表面须加盖鲜章（公章）。</w:t>
      </w:r>
    </w:p>
    <w:p>
      <w:pPr>
        <w:bidi w:val="0"/>
        <w:rPr>
          <w:rFonts w:hint="eastAsia"/>
        </w:rPr>
      </w:pPr>
      <w:r>
        <w:rPr>
          <w:rFonts w:hint="eastAsia"/>
        </w:rPr>
        <w:t>2、参选文件正本中，每一页均应由参选人加盖公章，其中规定格式的文件应当按要求签名和加盖参选人公章。</w:t>
      </w:r>
    </w:p>
    <w:p>
      <w:pPr>
        <w:bidi w:val="0"/>
        <w:rPr>
          <w:rFonts w:hint="eastAsia"/>
        </w:rPr>
      </w:pPr>
      <w:r>
        <w:rPr>
          <w:rFonts w:hint="eastAsia"/>
        </w:rPr>
        <w:t>3、若参选人对参选文件的错处作必要修改，则应在修改处加盖参选人公章或由法人或法人授权代表签字确认。</w:t>
      </w:r>
    </w:p>
    <w:p>
      <w:pPr>
        <w:bidi w:val="0"/>
        <w:rPr>
          <w:rFonts w:hint="eastAsia"/>
        </w:rPr>
      </w:pPr>
      <w:r>
        <w:rPr>
          <w:rFonts w:hint="eastAsia"/>
        </w:rPr>
        <w:t>4、电报、电话、传真形式的参选文件概不接受。</w:t>
      </w:r>
    </w:p>
    <w:p>
      <w:pPr>
        <w:pStyle w:val="4"/>
        <w:bidi w:val="0"/>
        <w:rPr>
          <w:rFonts w:hint="eastAsia"/>
        </w:rPr>
      </w:pPr>
      <w:r>
        <w:rPr>
          <w:rFonts w:hint="eastAsia"/>
        </w:rPr>
        <w:t>（六）参选文件的递交</w:t>
      </w:r>
    </w:p>
    <w:p>
      <w:pPr>
        <w:bidi w:val="0"/>
        <w:rPr>
          <w:rFonts w:hint="eastAsia"/>
        </w:rPr>
      </w:pPr>
      <w:r>
        <w:rPr>
          <w:rFonts w:hint="eastAsia"/>
        </w:rPr>
        <w:t>1、参选文件的密封与标记</w:t>
      </w:r>
    </w:p>
    <w:p>
      <w:pPr>
        <w:bidi w:val="0"/>
        <w:rPr>
          <w:rFonts w:hint="eastAsia"/>
        </w:rPr>
      </w:pPr>
      <w:r>
        <w:rPr>
          <w:rFonts w:hint="eastAsia"/>
        </w:rPr>
        <w:t>参选文件的正本、副本均应用信封分别密封。信封上注明项目名称、参选人名称地址、“正本”、“副本”字样及“不准提前启封”字样。信封的封口须加盖参选人公章或授权代表签字。</w:t>
      </w:r>
    </w:p>
    <w:p>
      <w:pPr>
        <w:bidi w:val="0"/>
        <w:rPr>
          <w:rFonts w:hint="eastAsia"/>
        </w:rPr>
      </w:pPr>
      <w:r>
        <w:rPr>
          <w:rFonts w:hint="eastAsia"/>
        </w:rPr>
        <w:t>如果未按上述规定进行密封和标记，则其参选将作为无效参选处理。</w:t>
      </w:r>
    </w:p>
    <w:p>
      <w:pPr>
        <w:pStyle w:val="3"/>
        <w:bidi w:val="0"/>
        <w:rPr>
          <w:rFonts w:hint="eastAsia"/>
        </w:rPr>
      </w:pPr>
      <w:bookmarkStart w:id="97" w:name="_Toc89675164"/>
      <w:r>
        <w:rPr>
          <w:rFonts w:hint="eastAsia"/>
        </w:rPr>
        <w:t>五、比选程序</w:t>
      </w:r>
    </w:p>
    <w:p>
      <w:pPr>
        <w:bidi w:val="0"/>
        <w:rPr>
          <w:rFonts w:hint="eastAsia"/>
        </w:rPr>
      </w:pPr>
      <w:r>
        <w:rPr>
          <w:rFonts w:hint="eastAsia"/>
        </w:rPr>
        <w:t>主持人按下列程序进行比选：</w:t>
      </w:r>
    </w:p>
    <w:p>
      <w:pPr>
        <w:bidi w:val="0"/>
        <w:rPr>
          <w:rFonts w:hint="eastAsia"/>
        </w:rPr>
      </w:pPr>
      <w:r>
        <w:rPr>
          <w:rFonts w:hint="eastAsia"/>
        </w:rPr>
        <w:t>1. 宣布比选纪律；</w:t>
      </w:r>
    </w:p>
    <w:p>
      <w:pPr>
        <w:bidi w:val="0"/>
        <w:rPr>
          <w:rFonts w:hint="eastAsia"/>
        </w:rPr>
      </w:pPr>
      <w:r>
        <w:rPr>
          <w:rFonts w:hint="eastAsia"/>
        </w:rPr>
        <w:t>2. 宣布比选人、唱标人、记录人、监标人等有关人员姓名；</w:t>
      </w:r>
    </w:p>
    <w:p>
      <w:pPr>
        <w:bidi w:val="0"/>
        <w:rPr>
          <w:rFonts w:hint="eastAsia"/>
        </w:rPr>
      </w:pPr>
      <w:r>
        <w:rPr>
          <w:rFonts w:hint="eastAsia"/>
        </w:rPr>
        <w:t>3. 公布在比选截止时间前递交参选文件的参选人名称，并点名确认参选人是否派人到场；</w:t>
      </w:r>
    </w:p>
    <w:p>
      <w:pPr>
        <w:bidi w:val="0"/>
        <w:rPr>
          <w:rFonts w:hint="eastAsia"/>
        </w:rPr>
      </w:pPr>
      <w:r>
        <w:rPr>
          <w:rFonts w:hint="eastAsia"/>
        </w:rPr>
        <w:t>4. 展示参选保证金，参选保证金缴款不全或有误的，则记录在案交由评审委员会评审；</w:t>
      </w:r>
    </w:p>
    <w:p>
      <w:pPr>
        <w:bidi w:val="0"/>
        <w:rPr>
          <w:rFonts w:hint="eastAsia"/>
        </w:rPr>
      </w:pPr>
      <w:r>
        <w:rPr>
          <w:rFonts w:hint="eastAsia"/>
        </w:rPr>
        <w:t>5. 封装情况检查：参选人或者其推选的代表检查各参选文件的封装情况并确认；</w:t>
      </w:r>
    </w:p>
    <w:p>
      <w:pPr>
        <w:bidi w:val="0"/>
        <w:rPr>
          <w:rFonts w:hint="eastAsia"/>
        </w:rPr>
      </w:pPr>
      <w:r>
        <w:rPr>
          <w:rFonts w:hint="eastAsia"/>
        </w:rPr>
        <w:t>6. 设有竞争性比选最高限价的，公布竞争性比选最高限价；</w:t>
      </w:r>
    </w:p>
    <w:p>
      <w:pPr>
        <w:bidi w:val="0"/>
        <w:rPr>
          <w:rFonts w:hint="eastAsia"/>
        </w:rPr>
      </w:pPr>
      <w:r>
        <w:rPr>
          <w:rFonts w:hint="eastAsia"/>
        </w:rPr>
        <w:t>7. 开启参选文件；</w:t>
      </w:r>
    </w:p>
    <w:p>
      <w:pPr>
        <w:bidi w:val="0"/>
        <w:rPr>
          <w:rFonts w:hint="eastAsia"/>
        </w:rPr>
      </w:pPr>
      <w:r>
        <w:rPr>
          <w:rFonts w:hint="eastAsia"/>
        </w:rPr>
        <w:t>8. 参选人代表、参选人代表、监标人、记录人等有关人员在比选记录上签字确认；</w:t>
      </w:r>
    </w:p>
    <w:p>
      <w:pPr>
        <w:bidi w:val="0"/>
        <w:rPr>
          <w:rFonts w:hint="eastAsia"/>
        </w:rPr>
      </w:pPr>
      <w:r>
        <w:rPr>
          <w:rFonts w:hint="eastAsia"/>
        </w:rPr>
        <w:t>9. 比选结束。</w:t>
      </w:r>
      <w:bookmarkEnd w:id="97"/>
      <w:bookmarkStart w:id="98" w:name="_Toc89675165"/>
    </w:p>
    <w:p>
      <w:pPr>
        <w:pStyle w:val="3"/>
        <w:bidi w:val="0"/>
        <w:rPr>
          <w:rFonts w:hint="eastAsia"/>
        </w:rPr>
      </w:pPr>
      <w:r>
        <w:rPr>
          <w:rFonts w:hint="eastAsia"/>
        </w:rPr>
        <w:t>六、评审</w:t>
      </w:r>
      <w:bookmarkEnd w:id="98"/>
    </w:p>
    <w:p>
      <w:pPr>
        <w:bidi w:val="0"/>
        <w:rPr>
          <w:rFonts w:hint="eastAsia"/>
        </w:rPr>
      </w:pPr>
      <w:r>
        <w:rPr>
          <w:rFonts w:hint="eastAsia"/>
        </w:rPr>
        <w:t>见第四章内容。</w:t>
      </w:r>
    </w:p>
    <w:p>
      <w:pPr>
        <w:pStyle w:val="3"/>
        <w:bidi w:val="0"/>
        <w:rPr>
          <w:rFonts w:hint="eastAsia"/>
        </w:rPr>
      </w:pPr>
      <w:bookmarkStart w:id="99" w:name="_Toc89675166"/>
      <w:r>
        <w:rPr>
          <w:rFonts w:hint="eastAsia"/>
        </w:rPr>
        <w:t>七、定选</w:t>
      </w:r>
      <w:bookmarkEnd w:id="99"/>
    </w:p>
    <w:p>
      <w:pPr>
        <w:bidi w:val="0"/>
        <w:rPr>
          <w:rFonts w:hint="eastAsia"/>
        </w:rPr>
      </w:pPr>
      <w:r>
        <w:rPr>
          <w:rFonts w:hint="eastAsia"/>
        </w:rPr>
        <w:t>1、定选原则</w:t>
      </w:r>
    </w:p>
    <w:p>
      <w:pPr>
        <w:bidi w:val="0"/>
        <w:rPr>
          <w:rFonts w:hint="eastAsia"/>
        </w:rPr>
      </w:pPr>
      <w:r>
        <w:rPr>
          <w:rFonts w:hint="eastAsia"/>
        </w:rPr>
        <w:t>比选人和评审委员会按照评审报告中推荐的中选候选人排名顺序确定中选人，如中选人因不可抗力或者自身原因不能履行合同的，比选人和评审委员会可以确定依次其后的候选人为中选人，以此类推。</w:t>
      </w:r>
    </w:p>
    <w:p>
      <w:pPr>
        <w:bidi w:val="0"/>
        <w:rPr>
          <w:rFonts w:hint="eastAsia"/>
        </w:rPr>
      </w:pPr>
      <w:r>
        <w:rPr>
          <w:rFonts w:hint="eastAsia"/>
        </w:rPr>
        <w:t>2、不承诺最低价格中选。</w:t>
      </w:r>
    </w:p>
    <w:p>
      <w:pPr>
        <w:bidi w:val="0"/>
        <w:rPr>
          <w:rFonts w:hint="eastAsia"/>
        </w:rPr>
      </w:pPr>
      <w:r>
        <w:rPr>
          <w:rFonts w:hint="eastAsia"/>
        </w:rPr>
        <w:t>3、若中选人参选材料出现造假、不实等与实际查询结果不符或无故弃选的情况，比选人有权选择重新比选或顺延下一中选候选人，由此带来的损失比选人有权通过没收参选保证金等方式进行追溯。</w:t>
      </w:r>
    </w:p>
    <w:p>
      <w:pPr>
        <w:pStyle w:val="3"/>
        <w:bidi w:val="0"/>
        <w:rPr>
          <w:rFonts w:hint="eastAsia"/>
        </w:rPr>
      </w:pPr>
      <w:bookmarkStart w:id="100" w:name="_Toc12245"/>
      <w:bookmarkStart w:id="101" w:name="_Toc89675168"/>
      <w:r>
        <w:rPr>
          <w:rFonts w:hint="eastAsia"/>
        </w:rPr>
        <w:t>八、签订合同</w:t>
      </w:r>
      <w:bookmarkEnd w:id="100"/>
      <w:bookmarkEnd w:id="101"/>
    </w:p>
    <w:p>
      <w:pPr>
        <w:bidi w:val="0"/>
        <w:rPr>
          <w:rFonts w:hint="eastAsia"/>
        </w:rPr>
      </w:pPr>
      <w:r>
        <w:rPr>
          <w:rFonts w:hint="eastAsia"/>
        </w:rPr>
        <w:t>1.比选人指定的使用单位将在自中选通知发出之日起，依据比选文件和中选人参选文件的约定，按照比选人内部流程与中选人签订书面合同。所签订的合同不得对比选文件和中选人参选文件作实质性修改。</w:t>
      </w:r>
    </w:p>
    <w:p>
      <w:pPr>
        <w:bidi w:val="0"/>
        <w:rPr>
          <w:rFonts w:hint="eastAsia"/>
        </w:rPr>
      </w:pPr>
      <w:r>
        <w:rPr>
          <w:rFonts w:hint="eastAsia"/>
        </w:rPr>
        <w:t>2.比选文件、中选人的参选文件及澄清文件等，均为签订合同的依据。</w:t>
      </w:r>
    </w:p>
    <w:p>
      <w:pPr>
        <w:bidi w:val="0"/>
        <w:rPr>
          <w:rFonts w:hint="eastAsia"/>
        </w:rPr>
      </w:pPr>
      <w:r>
        <w:rPr>
          <w:rFonts w:hint="eastAsia"/>
        </w:rPr>
        <w:t>3.合同生效条款由供需双方约定，法律、行政法规规定应当办理批准、登记等手续后生效的合同，依照其规定。</w:t>
      </w:r>
    </w:p>
    <w:p>
      <w:pPr>
        <w:bidi w:val="0"/>
        <w:rPr>
          <w:rFonts w:hint="eastAsia"/>
        </w:rPr>
      </w:pPr>
      <w:r>
        <w:rPr>
          <w:rFonts w:hint="eastAsia"/>
        </w:rPr>
        <w:t>4.签订合同后，若中选人无法按要求履约，比选人可以废除中选人资格，并可选择按照中选候选人顺位与第二候选人签订合同。</w:t>
      </w:r>
    </w:p>
    <w:p>
      <w:pPr>
        <w:pStyle w:val="3"/>
        <w:bidi w:val="0"/>
        <w:rPr>
          <w:rFonts w:hint="eastAsia"/>
        </w:rPr>
      </w:pPr>
      <w:r>
        <w:rPr>
          <w:rFonts w:hint="eastAsia"/>
        </w:rPr>
        <w:t>九、纪律与要求</w:t>
      </w:r>
    </w:p>
    <w:p>
      <w:pPr>
        <w:bidi w:val="0"/>
        <w:rPr>
          <w:rFonts w:hint="eastAsia"/>
        </w:rPr>
      </w:pPr>
      <w:r>
        <w:rPr>
          <w:rFonts w:hint="eastAsia"/>
        </w:rPr>
        <w:t>参选人不得相互串通参选或者与比选人串通参选，不得向比选人行贿谋取中选，不得以他人名义参选或者以其他方式弄虚作假骗取中选；参选人不得以任何方式干扰、影响评标工作。</w:t>
      </w:r>
    </w:p>
    <w:p>
      <w:pPr>
        <w:bidi w:val="0"/>
        <w:rPr>
          <w:rFonts w:hint="eastAsia"/>
        </w:rPr>
      </w:pPr>
      <w:r>
        <w:rPr>
          <w:rFonts w:hint="eastAsia"/>
        </w:rPr>
        <w:t>1、有下列情形之一的，属于参选人相互串通参选：</w:t>
      </w:r>
    </w:p>
    <w:p>
      <w:pPr>
        <w:bidi w:val="0"/>
        <w:rPr>
          <w:rFonts w:hint="eastAsia"/>
        </w:rPr>
      </w:pPr>
      <w:r>
        <w:rPr>
          <w:rFonts w:hint="eastAsia"/>
        </w:rPr>
        <w:t>（1）参选人之间协商参选方案等参选文件的实质性内容；</w:t>
      </w:r>
    </w:p>
    <w:p>
      <w:pPr>
        <w:bidi w:val="0"/>
        <w:rPr>
          <w:rFonts w:hint="eastAsia"/>
        </w:rPr>
      </w:pPr>
      <w:r>
        <w:rPr>
          <w:rFonts w:hint="eastAsia"/>
        </w:rPr>
        <w:t>（2）参选人之间约定中选人；</w:t>
      </w:r>
    </w:p>
    <w:p>
      <w:pPr>
        <w:bidi w:val="0"/>
        <w:rPr>
          <w:rFonts w:hint="eastAsia"/>
        </w:rPr>
      </w:pPr>
      <w:r>
        <w:rPr>
          <w:rFonts w:hint="eastAsia"/>
        </w:rPr>
        <w:t>（3）参选人之间约定部分参选人放弃参选或者中选；</w:t>
      </w:r>
    </w:p>
    <w:p>
      <w:pPr>
        <w:bidi w:val="0"/>
        <w:rPr>
          <w:rFonts w:hint="eastAsia"/>
        </w:rPr>
      </w:pPr>
      <w:r>
        <w:rPr>
          <w:rFonts w:hint="eastAsia"/>
        </w:rPr>
        <w:t>（4）属于同一集团、协会、商会等组织成员的参选人按照该组织要求协同参选；</w:t>
      </w:r>
    </w:p>
    <w:p>
      <w:pPr>
        <w:bidi w:val="0"/>
        <w:rPr>
          <w:rFonts w:hint="eastAsia"/>
        </w:rPr>
      </w:pPr>
      <w:r>
        <w:rPr>
          <w:rFonts w:hint="eastAsia"/>
        </w:rPr>
        <w:t>（5）参选人之间为谋取中选或者排斥特定参选人而采取的其他联合行动。</w:t>
      </w:r>
    </w:p>
    <w:p>
      <w:pPr>
        <w:bidi w:val="0"/>
        <w:rPr>
          <w:rFonts w:hint="eastAsia"/>
        </w:rPr>
      </w:pPr>
      <w:r>
        <w:rPr>
          <w:rFonts w:hint="eastAsia"/>
        </w:rPr>
        <w:t>2、有下列情形之一的，视为参选人相互串通参选：</w:t>
      </w:r>
    </w:p>
    <w:p>
      <w:pPr>
        <w:bidi w:val="0"/>
        <w:rPr>
          <w:rFonts w:hint="eastAsia"/>
        </w:rPr>
      </w:pPr>
      <w:r>
        <w:rPr>
          <w:rFonts w:hint="eastAsia"/>
        </w:rPr>
        <w:t>（1）不同参选人的参选文件由同一单位或者个人编制；</w:t>
      </w:r>
    </w:p>
    <w:p>
      <w:pPr>
        <w:bidi w:val="0"/>
        <w:rPr>
          <w:rFonts w:hint="eastAsia"/>
        </w:rPr>
      </w:pPr>
      <w:r>
        <w:rPr>
          <w:rFonts w:hint="eastAsia"/>
        </w:rPr>
        <w:t>（2）不同参选人委托同一单位或者个人办理参选事宜；</w:t>
      </w:r>
    </w:p>
    <w:p>
      <w:pPr>
        <w:bidi w:val="0"/>
        <w:rPr>
          <w:rFonts w:hint="eastAsia"/>
        </w:rPr>
      </w:pPr>
      <w:r>
        <w:rPr>
          <w:rFonts w:hint="eastAsia"/>
        </w:rPr>
        <w:t>（3）不同参选人的参选文件载明的项目管理成员为同一人；</w:t>
      </w:r>
    </w:p>
    <w:p>
      <w:pPr>
        <w:bidi w:val="0"/>
        <w:rPr>
          <w:rFonts w:hint="eastAsia"/>
        </w:rPr>
      </w:pPr>
      <w:r>
        <w:rPr>
          <w:rFonts w:hint="eastAsia"/>
        </w:rPr>
        <w:t>（4）不同参选人的参选文件相互混装；</w:t>
      </w:r>
    </w:p>
    <w:p>
      <w:pPr>
        <w:bidi w:val="0"/>
        <w:rPr>
          <w:rFonts w:hint="eastAsia"/>
        </w:rPr>
      </w:pPr>
      <w:r>
        <w:rPr>
          <w:rFonts w:hint="eastAsia"/>
        </w:rPr>
        <w:t>（5）不同参选人的参选保证金从同一单位或者个人的账户转出。</w:t>
      </w:r>
    </w:p>
    <w:p>
      <w:pPr>
        <w:bidi w:val="0"/>
        <w:rPr>
          <w:rFonts w:hint="eastAsia"/>
        </w:rPr>
      </w:pPr>
      <w:r>
        <w:rPr>
          <w:rFonts w:hint="eastAsia"/>
        </w:rPr>
        <w:t>3、使用通过受让或者租借等方式获取的资格、资质证书参选的，属于以他人名义参选。</w:t>
      </w:r>
    </w:p>
    <w:p>
      <w:pPr>
        <w:bidi w:val="0"/>
        <w:rPr>
          <w:rFonts w:hint="eastAsia"/>
        </w:rPr>
      </w:pPr>
      <w:r>
        <w:rPr>
          <w:rFonts w:hint="eastAsia"/>
        </w:rPr>
        <w:t>4、参选人有下列情形之一的，属于其他方式弄虚作假的行为：</w:t>
      </w:r>
    </w:p>
    <w:p>
      <w:pPr>
        <w:bidi w:val="0"/>
        <w:rPr>
          <w:rFonts w:hint="eastAsia"/>
        </w:rPr>
      </w:pPr>
      <w:r>
        <w:rPr>
          <w:rFonts w:hint="eastAsia"/>
        </w:rPr>
        <w:t>（一）使用伪造、变造的许可证件；</w:t>
      </w:r>
    </w:p>
    <w:p>
      <w:pPr>
        <w:bidi w:val="0"/>
        <w:rPr>
          <w:rFonts w:hint="eastAsia"/>
        </w:rPr>
      </w:pPr>
      <w:r>
        <w:rPr>
          <w:rFonts w:hint="eastAsia"/>
        </w:rPr>
        <w:t>（二）提供虚假的财务状况或者虚假业绩；</w:t>
      </w:r>
    </w:p>
    <w:p>
      <w:pPr>
        <w:bidi w:val="0"/>
        <w:rPr>
          <w:rFonts w:hint="eastAsia"/>
        </w:rPr>
      </w:pPr>
      <w:r>
        <w:rPr>
          <w:rFonts w:hint="eastAsia"/>
        </w:rPr>
        <w:t>（三）提供虚假的项目负责人或者主要技术人员简历、劳动关系证明；</w:t>
      </w:r>
    </w:p>
    <w:p>
      <w:pPr>
        <w:bidi w:val="0"/>
        <w:rPr>
          <w:rFonts w:hint="eastAsia"/>
        </w:rPr>
      </w:pPr>
      <w:r>
        <w:rPr>
          <w:rFonts w:hint="eastAsia"/>
        </w:rPr>
        <w:t>（四）提供虚假的信用状况；</w:t>
      </w:r>
    </w:p>
    <w:p>
      <w:pPr>
        <w:bidi w:val="0"/>
        <w:rPr>
          <w:rFonts w:hint="eastAsia"/>
        </w:rPr>
      </w:pPr>
      <w:r>
        <w:rPr>
          <w:rFonts w:hint="eastAsia"/>
        </w:rPr>
        <w:t>（五）其它弄虚作假的行为。</w:t>
      </w:r>
    </w:p>
    <w:p>
      <w:pPr>
        <w:bidi w:val="0"/>
        <w:rPr>
          <w:rFonts w:hint="eastAsia"/>
        </w:rPr>
      </w:pPr>
      <w:r>
        <w:rPr>
          <w:rFonts w:hint="eastAsia"/>
        </w:rPr>
        <w:t>5、签订合同前后，若中选单位提供的产品测试不合格或与参选文件中的产品不一致，比选人可废除中选人资格。</w:t>
      </w:r>
    </w:p>
    <w:p>
      <w:pPr>
        <w:bidi w:val="0"/>
        <w:rPr>
          <w:rFonts w:hint="eastAsia"/>
        </w:rPr>
      </w:pPr>
      <w:r>
        <w:rPr>
          <w:rFonts w:hint="eastAsia"/>
        </w:rPr>
        <w:t>针对以上情况，比选人有权没收参选人的参选保证金，并保留进一步追究由此带来损失的权利。</w:t>
      </w:r>
    </w:p>
    <w:p>
      <w:pPr>
        <w:pStyle w:val="3"/>
        <w:bidi w:val="0"/>
        <w:rPr>
          <w:rFonts w:hint="eastAsia"/>
        </w:rPr>
      </w:pPr>
      <w:bookmarkStart w:id="102" w:name="_Toc89675169"/>
      <w:r>
        <w:rPr>
          <w:rFonts w:hint="eastAsia"/>
        </w:rPr>
        <w:t>十、提问、质疑、投诉</w:t>
      </w:r>
    </w:p>
    <w:p>
      <w:pPr>
        <w:bidi w:val="0"/>
        <w:rPr>
          <w:rFonts w:hint="eastAsia"/>
        </w:rPr>
      </w:pPr>
      <w:r>
        <w:rPr>
          <w:rFonts w:hint="eastAsia"/>
        </w:rPr>
        <w:t>1.参选人在下载比选文件后，应仔细检查比选文件的所有内容，如有残缺或文字表述不清，以及存在错、碰、漏、缺、概念模糊和有可能出现歧义或理解上的偏差的内容等应在2023年</w:t>
      </w:r>
      <w:r>
        <w:rPr>
          <w:rFonts w:hint="eastAsia"/>
          <w:lang w:val="en-US" w:eastAsia="zh-CN"/>
        </w:rPr>
        <w:t>11</w:t>
      </w:r>
      <w:r>
        <w:rPr>
          <w:rFonts w:hint="eastAsia"/>
        </w:rPr>
        <w:t>月</w:t>
      </w:r>
      <w:r>
        <w:rPr>
          <w:rFonts w:hint="eastAsia"/>
          <w:lang w:val="en-US" w:eastAsia="zh-CN"/>
        </w:rPr>
        <w:t>25</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分（北京时间）前自行在重庆市公共资源交易网（http://www.cqggzy.com/）比选公告的“我要提问”栏目匿名提出。参选人未提出，则视为参选人已全面确认比选文件内容。</w:t>
      </w:r>
    </w:p>
    <w:p>
      <w:pPr>
        <w:bidi w:val="0"/>
        <w:rPr>
          <w:rFonts w:hint="eastAsia"/>
        </w:rPr>
      </w:pPr>
      <w:r>
        <w:rPr>
          <w:rFonts w:hint="eastAsia"/>
        </w:rPr>
        <w:t>比选人在认为有必要对参选人所提问题进行答复或对比选文件进行补充时，将于</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28</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补遗内容可能影响参选文件编制的，须在比选截止时间3日前发布，发布时间至比选截止时间不足3日的，须相应延后比选截止时间。</w:t>
      </w:r>
    </w:p>
    <w:p>
      <w:pPr>
        <w:bidi w:val="0"/>
        <w:rPr>
          <w:rFonts w:hint="eastAsia"/>
        </w:rPr>
      </w:pPr>
      <w:r>
        <w:rPr>
          <w:rFonts w:hint="eastAsia"/>
        </w:rPr>
        <w:t>2.参选人对比选文件和答疑补遗有质疑的，应当在比选截止时间3日前，以书面形式通知比选人。比选人应当自收到质疑之日起3日内做出答复，并将答复内容以补遗的形式发布。补遗内容可能影响参选文件编制的，须在比选截止时间3日前发布，发布时间至比选截止时间不足3日的，须相应延后比选截止时间。</w:t>
      </w:r>
    </w:p>
    <w:p>
      <w:pPr>
        <w:bidi w:val="0"/>
        <w:rPr>
          <w:rFonts w:hint="eastAsia"/>
        </w:rPr>
      </w:pPr>
      <w:r>
        <w:rPr>
          <w:rFonts w:hint="eastAsia"/>
        </w:rPr>
        <w:t>3.参选人对公示的中选结果有质疑，参选人需在公示期内以书面形式向比选人提出质疑。本行在公示截止日期前负责书面答复。</w:t>
      </w:r>
    </w:p>
    <w:p>
      <w:pPr>
        <w:bidi w:val="0"/>
        <w:rPr>
          <w:rFonts w:hint="eastAsia"/>
        </w:rPr>
      </w:pPr>
      <w:r>
        <w:rPr>
          <w:rFonts w:hint="eastAsia"/>
        </w:rPr>
        <w:t>4.参选人对比选人的答复不满意或者有质疑，可向本行纪检监察部投诉。采购质疑邮箱：307364172@qq.com</w:t>
      </w:r>
    </w:p>
    <w:p>
      <w:pPr>
        <w:bidi w:val="0"/>
        <w:rPr>
          <w:rFonts w:hint="eastAsia"/>
        </w:rPr>
      </w:pPr>
      <w:r>
        <w:rPr>
          <w:rFonts w:hint="eastAsia"/>
        </w:rPr>
        <w:t>采购投诉邮箱：</w:t>
      </w:r>
      <w:bookmarkStart w:id="103" w:name="_Hlk74215856"/>
      <w:r>
        <w:rPr>
          <w:rFonts w:hint="eastAsia"/>
        </w:rPr>
        <w:t>sxyhjjz@ccqtgb.com</w:t>
      </w:r>
      <w:bookmarkEnd w:id="103"/>
    </w:p>
    <w:p>
      <w:pPr>
        <w:pStyle w:val="3"/>
        <w:bidi w:val="0"/>
        <w:rPr>
          <w:rFonts w:hint="eastAsia"/>
        </w:rPr>
      </w:pPr>
      <w:r>
        <w:rPr>
          <w:rFonts w:hint="eastAsia"/>
        </w:rPr>
        <w:t>十一、终止比选</w:t>
      </w:r>
      <w:bookmarkEnd w:id="102"/>
    </w:p>
    <w:p>
      <w:pPr>
        <w:bidi w:val="0"/>
        <w:rPr>
          <w:rFonts w:hint="eastAsia"/>
        </w:rPr>
      </w:pPr>
      <w:r>
        <w:rPr>
          <w:rFonts w:hint="eastAsia"/>
        </w:rPr>
        <w:t>1、因情况发生变化或其他原因造成该项目取消的，本次比选自动终止，双方互不承担责任，比选人无息退还参选保证金。</w:t>
      </w:r>
    </w:p>
    <w:p>
      <w:pPr>
        <w:bidi w:val="0"/>
        <w:rPr>
          <w:rFonts w:hint="eastAsia"/>
        </w:rPr>
      </w:pPr>
      <w:r>
        <w:rPr>
          <w:rFonts w:hint="eastAsia"/>
        </w:rPr>
        <w:t>2、签订合同之前，比选人发现中选候选人经营、财务状况发生较大变化或存在违法行为，比选人认为可能影响其履约能力的，比选人可废除中选人或中选候选人资格。</w:t>
      </w:r>
      <w:bookmarkStart w:id="104" w:name="_Toc303066034"/>
      <w:bookmarkStart w:id="105" w:name="_Toc89675170"/>
      <w:bookmarkStart w:id="106" w:name="_Toc55566260"/>
    </w:p>
    <w:p>
      <w:pPr>
        <w:keepNext w:val="0"/>
        <w:keepLines w:val="0"/>
        <w:pageBreakBefore w:val="0"/>
        <w:tabs>
          <w:tab w:val="left" w:pos="3360"/>
        </w:tabs>
        <w:kinsoku/>
        <w:wordWrap/>
        <w:overflowPunct/>
        <w:bidi w:val="0"/>
        <w:spacing w:line="600" w:lineRule="exact"/>
        <w:ind w:left="0" w:leftChars="0" w:right="0" w:rightChars="0" w:firstLine="560"/>
        <w:textAlignment w:val="auto"/>
        <w:rPr>
          <w:rFonts w:hint="eastAsia" w:ascii="宋体" w:hAnsi="宋体" w:eastAsia="宋体" w:cs="宋体"/>
          <w:color w:val="000000" w:themeColor="text1"/>
          <w14:textFill>
            <w14:solidFill>
              <w14:schemeClr w14:val="tx1"/>
            </w14:solidFill>
          </w14:textFill>
        </w:rPr>
      </w:pPr>
    </w:p>
    <w:p>
      <w:pPr>
        <w:keepNext w:val="0"/>
        <w:keepLines w:val="0"/>
        <w:pageBreakBefore w:val="0"/>
        <w:kinsoku/>
        <w:wordWrap/>
        <w:overflowPunct/>
        <w:bidi w:val="0"/>
        <w:spacing w:line="600" w:lineRule="exact"/>
        <w:ind w:left="0" w:leftChars="0" w:right="0" w:rightChars="0" w:firstLine="880"/>
        <w:jc w:val="left"/>
        <w:textAlignment w:val="auto"/>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br w:type="page"/>
      </w:r>
    </w:p>
    <w:p>
      <w:pPr>
        <w:pStyle w:val="2"/>
        <w:bidi w:val="0"/>
        <w:rPr>
          <w:rFonts w:hint="eastAsia"/>
        </w:rPr>
      </w:pPr>
      <w:bookmarkStart w:id="107" w:name="_Toc1581"/>
      <w:bookmarkStart w:id="108" w:name="_Toc14542"/>
      <w:bookmarkStart w:id="109" w:name="_Toc7435"/>
      <w:bookmarkStart w:id="110" w:name="_Toc16287"/>
      <w:r>
        <w:rPr>
          <w:rFonts w:hint="eastAsia"/>
        </w:rPr>
        <w:t>第七章参选文件</w:t>
      </w:r>
      <w:bookmarkEnd w:id="104"/>
      <w:bookmarkEnd w:id="105"/>
      <w:bookmarkStart w:id="111" w:name="_Toc303066035"/>
      <w:r>
        <w:rPr>
          <w:rFonts w:hint="eastAsia"/>
        </w:rPr>
        <w:t>格式</w:t>
      </w:r>
      <w:bookmarkEnd w:id="106"/>
      <w:bookmarkEnd w:id="107"/>
      <w:bookmarkEnd w:id="108"/>
      <w:bookmarkEnd w:id="109"/>
      <w:bookmarkEnd w:id="110"/>
    </w:p>
    <w:bookmarkEnd w:id="111"/>
    <w:p>
      <w:pPr>
        <w:keepNext w:val="0"/>
        <w:keepLines w:val="0"/>
        <w:pageBreakBefore w:val="0"/>
        <w:tabs>
          <w:tab w:val="left" w:pos="6516"/>
        </w:tabs>
        <w:kinsoku/>
        <w:wordWrap/>
        <w:overflowPunct/>
        <w:autoSpaceDE w:val="0"/>
        <w:autoSpaceDN w:val="0"/>
        <w:bidi w:val="0"/>
        <w:adjustRightInd w:val="0"/>
        <w:snapToGrid w:val="0"/>
        <w:spacing w:line="600" w:lineRule="exact"/>
        <w:ind w:left="0" w:leftChars="0" w:right="0" w:rightChars="0" w:firstLine="482" w:firstLineChars="200"/>
        <w:textAlignment w:val="auto"/>
        <w:rPr>
          <w:rFonts w:hint="eastAsia" w:ascii="宋体" w:hAnsi="宋体" w:eastAsia="宋体" w:cs="宋体"/>
          <w:b/>
          <w:color w:val="000000" w:themeColor="text1"/>
          <w:kern w:val="0"/>
          <w:u w:val="single"/>
          <w14:textFill>
            <w14:solidFill>
              <w14:schemeClr w14:val="tx1"/>
            </w14:solidFill>
          </w14:textFill>
        </w:rPr>
      </w:pPr>
    </w:p>
    <w:p>
      <w:pPr>
        <w:keepNext w:val="0"/>
        <w:keepLines w:val="0"/>
        <w:pageBreakBefore w:val="0"/>
        <w:widowControl w:val="0"/>
        <w:tabs>
          <w:tab w:val="left" w:pos="6516"/>
        </w:tabs>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kern w:val="0"/>
          <w:sz w:val="40"/>
          <w14:textFill>
            <w14:solidFill>
              <w14:schemeClr w14:val="tx1"/>
            </w14:solidFill>
          </w14:textFill>
        </w:rPr>
      </w:pPr>
      <w:r>
        <w:rPr>
          <w:rFonts w:hint="eastAsia" w:ascii="宋体" w:hAnsi="宋体" w:eastAsia="宋体" w:cs="宋体"/>
          <w:b/>
          <w:color w:val="000000" w:themeColor="text1"/>
          <w:kern w:val="0"/>
          <w:sz w:val="40"/>
          <w14:textFill>
            <w14:solidFill>
              <w14:schemeClr w14:val="tx1"/>
            </w14:solidFill>
          </w14:textFill>
        </w:rPr>
        <w:t>重庆三峡银行股份有限公司2024-2026年度房地产评估机构入围项目</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kern w:val="0"/>
          <w:sz w:val="44"/>
          <w14:textFill>
            <w14:solidFill>
              <w14:schemeClr w14:val="tx1"/>
            </w14:solidFill>
          </w14:textFill>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kern w:val="0"/>
          <w:sz w:val="44"/>
          <w14:textFill>
            <w14:solidFill>
              <w14:schemeClr w14:val="tx1"/>
            </w14:solidFill>
          </w14:textFill>
        </w:rPr>
      </w:pPr>
    </w:p>
    <w:p>
      <w:pPr>
        <w:pStyle w:val="9"/>
        <w:rPr>
          <w:rFonts w:hint="eastAsia" w:ascii="宋体" w:hAnsi="宋体" w:eastAsia="宋体" w:cs="宋体"/>
          <w:color w:val="000000" w:themeColor="text1"/>
          <w:kern w:val="0"/>
          <w:sz w:val="44"/>
          <w14:textFill>
            <w14:solidFill>
              <w14:schemeClr w14:val="tx1"/>
            </w14:solidFill>
          </w14:textFill>
        </w:rPr>
      </w:pPr>
    </w:p>
    <w:p>
      <w:pPr>
        <w:rPr>
          <w:rFonts w:hint="eastAsia"/>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kern w:val="0"/>
          <w:sz w:val="44"/>
          <w14:textFill>
            <w14:solidFill>
              <w14:schemeClr w14:val="tx1"/>
            </w14:solidFill>
          </w14:textFill>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kern w:val="0"/>
          <w:sz w:val="84"/>
          <w14:textFill>
            <w14:solidFill>
              <w14:schemeClr w14:val="tx1"/>
            </w14:solidFill>
          </w14:textFill>
        </w:rPr>
      </w:pPr>
      <w:r>
        <w:rPr>
          <w:rFonts w:hint="eastAsia" w:ascii="宋体" w:hAnsi="宋体" w:eastAsia="宋体" w:cs="宋体"/>
          <w:b/>
          <w:color w:val="000000" w:themeColor="text1"/>
          <w:kern w:val="0"/>
          <w:sz w:val="84"/>
          <w14:textFill>
            <w14:solidFill>
              <w14:schemeClr w14:val="tx1"/>
            </w14:solidFill>
          </w14:textFill>
        </w:rPr>
        <w:t>参选文件</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kern w:val="0"/>
          <w:sz w:val="16"/>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kern w:val="0"/>
          <w:sz w:val="20"/>
          <w14:textFill>
            <w14:solidFill>
              <w14:schemeClr w14:val="tx1"/>
            </w14:solidFill>
          </w14:textFill>
        </w:rPr>
      </w:pPr>
    </w:p>
    <w:p>
      <w:pPr>
        <w:pStyle w:val="9"/>
        <w:rPr>
          <w:rFonts w:hint="eastAsia"/>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kern w:val="0"/>
          <w:sz w:val="20"/>
          <w14:textFill>
            <w14:solidFill>
              <w14:schemeClr w14:val="tx1"/>
            </w14:solidFill>
          </w14:textFill>
        </w:rPr>
      </w:pPr>
    </w:p>
    <w:p>
      <w:pPr>
        <w:ind w:left="0" w:leftChars="0" w:right="0" w:rightChars="0" w:firstLine="0" w:firstLineChars="0"/>
        <w:jc w:val="center"/>
        <w:rPr>
          <w:rFonts w:hint="eastAsia"/>
          <w:b/>
          <w:bCs/>
        </w:rPr>
      </w:pPr>
      <w:r>
        <w:rPr>
          <w:rFonts w:hint="eastAsia"/>
          <w:b/>
          <w:bCs/>
        </w:rPr>
        <w:t>参选人：　　　　　　（盖单位公章）</w:t>
      </w:r>
    </w:p>
    <w:p>
      <w:pPr>
        <w:ind w:left="0" w:leftChars="0" w:right="0" w:rightChars="0" w:firstLine="0" w:firstLineChars="0"/>
        <w:jc w:val="center"/>
        <w:rPr>
          <w:rFonts w:hint="eastAsia"/>
          <w:b/>
          <w:bCs/>
        </w:rPr>
      </w:pPr>
      <w:r>
        <w:rPr>
          <w:rFonts w:hint="eastAsia"/>
          <w:b/>
          <w:bCs/>
        </w:rPr>
        <w:t>法定代表人或其委托代理人：　　　（签字）</w:t>
      </w:r>
    </w:p>
    <w:p>
      <w:pPr>
        <w:pStyle w:val="9"/>
        <w:rPr>
          <w:rFonts w:hint="eastAsia"/>
          <w:b/>
          <w:bCs/>
        </w:rPr>
      </w:pPr>
    </w:p>
    <w:p>
      <w:pPr>
        <w:ind w:left="0" w:leftChars="0" w:right="0" w:rightChars="0" w:firstLine="0" w:firstLineChars="0"/>
        <w:jc w:val="right"/>
        <w:rPr>
          <w:rFonts w:hint="eastAsia"/>
          <w:b/>
          <w:bCs/>
        </w:rPr>
      </w:pPr>
      <w:r>
        <w:rPr>
          <w:rFonts w:hint="eastAsia"/>
          <w:b/>
          <w:bCs/>
        </w:rPr>
        <w:t>年</w:t>
      </w:r>
      <w:r>
        <w:rPr>
          <w:rFonts w:hint="eastAsia"/>
          <w:b/>
          <w:bCs/>
          <w:lang w:val="en-US" w:eastAsia="zh-CN"/>
        </w:rPr>
        <w:t xml:space="preserve">    </w:t>
      </w:r>
      <w:r>
        <w:rPr>
          <w:rFonts w:hint="eastAsia"/>
          <w:b/>
          <w:bCs/>
        </w:rPr>
        <w:t>月</w:t>
      </w:r>
      <w:r>
        <w:rPr>
          <w:rFonts w:hint="eastAsia"/>
          <w:b/>
          <w:bCs/>
          <w:lang w:val="en-US" w:eastAsia="zh-CN"/>
        </w:rPr>
        <w:t xml:space="preserve">    </w:t>
      </w:r>
      <w:r>
        <w:rPr>
          <w:rFonts w:hint="eastAsia"/>
          <w:b/>
          <w:bCs/>
        </w:rPr>
        <w:t>日</w:t>
      </w:r>
    </w:p>
    <w:p>
      <w:pPr>
        <w:keepNext w:val="0"/>
        <w:keepLines w:val="0"/>
        <w:pageBreakBefore w:val="0"/>
        <w:tabs>
          <w:tab w:val="left" w:pos="3280"/>
          <w:tab w:val="left" w:pos="4680"/>
          <w:tab w:val="left" w:pos="6080"/>
        </w:tabs>
        <w:kinsoku/>
        <w:wordWrap/>
        <w:overflowPunct/>
        <w:autoSpaceDE w:val="0"/>
        <w:autoSpaceDN w:val="0"/>
        <w:bidi w:val="0"/>
        <w:adjustRightInd w:val="0"/>
        <w:snapToGrid w:val="0"/>
        <w:spacing w:line="600" w:lineRule="exact"/>
        <w:ind w:left="0" w:leftChars="0" w:right="0" w:rightChars="0" w:firstLine="482" w:firstLineChars="200"/>
        <w:textAlignment w:val="auto"/>
        <w:rPr>
          <w:rFonts w:hint="eastAsia" w:ascii="宋体" w:hAnsi="宋体" w:eastAsia="宋体" w:cs="宋体"/>
          <w:b/>
          <w:color w:val="000000" w:themeColor="text1"/>
          <w:kern w:val="0"/>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Cs w:val="28"/>
          <w14:textFill>
            <w14:solidFill>
              <w14:schemeClr w14:val="tx1"/>
            </w14:solidFill>
          </w14:textFill>
        </w:rPr>
      </w:pPr>
    </w:p>
    <w:p>
      <w:pPr>
        <w:pStyle w:val="9"/>
        <w:rPr>
          <w:rFonts w:hint="eastAsia"/>
        </w:rPr>
        <w:sectPr>
          <w:pgSz w:w="11906" w:h="16838"/>
          <w:pgMar w:top="1440" w:right="1800" w:bottom="1440" w:left="1800" w:header="851" w:footer="992" w:gutter="0"/>
          <w:pgNumType w:chapStyle="1"/>
          <w:cols w:space="720" w:num="1"/>
          <w:docGrid w:type="lines" w:linePitch="312" w:charSpace="0"/>
        </w:sectPr>
      </w:pPr>
    </w:p>
    <w:p>
      <w:pPr>
        <w:keepNext w:val="0"/>
        <w:keepLines w:val="0"/>
        <w:pageBreakBefore w:val="0"/>
        <w:tabs>
          <w:tab w:val="left" w:pos="6300"/>
        </w:tabs>
        <w:kinsoku/>
        <w:wordWrap/>
        <w:overflowPunct/>
        <w:bidi w:val="0"/>
        <w:snapToGrid w:val="0"/>
        <w:spacing w:line="600" w:lineRule="exact"/>
        <w:ind w:left="0" w:leftChars="0" w:right="0" w:rightChars="0" w:firstLine="0" w:firstLineChars="0"/>
        <w:jc w:val="center"/>
        <w:textAlignment w:val="auto"/>
        <w:rPr>
          <w:rFonts w:hint="eastAsia" w:ascii="宋体" w:hAnsi="宋体" w:eastAsia="宋体" w:cs="宋体"/>
          <w:b/>
          <w:snapToGrid w:val="0"/>
          <w:color w:val="000000" w:themeColor="text1"/>
          <w:kern w:val="0"/>
          <w:sz w:val="36"/>
          <w:szCs w:val="28"/>
          <w14:textFill>
            <w14:solidFill>
              <w14:schemeClr w14:val="tx1"/>
            </w14:solidFill>
          </w14:textFill>
        </w:rPr>
      </w:pPr>
      <w:r>
        <w:rPr>
          <w:rFonts w:hint="eastAsia" w:ascii="宋体" w:hAnsi="宋体" w:eastAsia="宋体" w:cs="宋体"/>
          <w:b/>
          <w:snapToGrid w:val="0"/>
          <w:color w:val="000000" w:themeColor="text1"/>
          <w:kern w:val="0"/>
          <w:sz w:val="36"/>
          <w:szCs w:val="28"/>
          <w14:textFill>
            <w14:solidFill>
              <w14:schemeClr w14:val="tx1"/>
            </w14:solidFill>
          </w14:textFill>
        </w:rPr>
        <w:t>目录</w:t>
      </w:r>
    </w:p>
    <w:p>
      <w:pPr>
        <w:keepNext w:val="0"/>
        <w:keepLines w:val="0"/>
        <w:pageBreakBefore w:val="0"/>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参选函</w:t>
      </w: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参选人基本情况介绍，资质证明等</w:t>
      </w: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法定代表人身份证明及授权委托书</w:t>
      </w: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“信用中国”网站查询结果</w:t>
      </w: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行业协会出具的“诚信证明”</w:t>
      </w: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行业协会2020年至今对估价报告质量检查评价结果</w:t>
      </w: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近半年社会保险缴纳证明材料</w:t>
      </w: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财务报表和书面声明</w:t>
      </w: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反商业贿赂承诺书</w:t>
      </w: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入围基本资格条件承诺书</w:t>
      </w: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参选人业绩证明文件复印件</w:t>
      </w: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评估方案及优秀服务案例</w:t>
      </w: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lang w:eastAsia="zh-CN"/>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参选保证金</w:t>
      </w:r>
    </w:p>
    <w:p>
      <w:pPr>
        <w:keepNext w:val="0"/>
        <w:keepLines w:val="0"/>
        <w:pageBreakBefore w:val="0"/>
        <w:numPr>
          <w:ilvl w:val="0"/>
          <w:numId w:val="1"/>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lang w:eastAsia="zh-CN"/>
          <w14:textFill>
            <w14:solidFill>
              <w14:schemeClr w14:val="tx1"/>
            </w14:solidFill>
          </w14:textFill>
        </w:rPr>
      </w:pPr>
      <w:r>
        <w:rPr>
          <w:rFonts w:hint="eastAsia" w:ascii="宋体" w:hAnsi="宋体" w:cs="宋体"/>
          <w:snapToGrid w:val="0"/>
          <w:color w:val="000000" w:themeColor="text1"/>
          <w:kern w:val="0"/>
          <w:sz w:val="24"/>
          <w:szCs w:val="24"/>
          <w:lang w:val="en-US" w:eastAsia="zh-CN"/>
          <w14:textFill>
            <w14:solidFill>
              <w14:schemeClr w14:val="tx1"/>
            </w14:solidFill>
          </w14:textFill>
        </w:rPr>
        <w:t>其他（如有）</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Cs w:val="28"/>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Cs w:val="28"/>
          <w14:textFill>
            <w14:solidFill>
              <w14:schemeClr w14:val="tx1"/>
            </w14:solidFill>
          </w14:textFill>
        </w:rPr>
      </w:pPr>
    </w:p>
    <w:p>
      <w:pPr>
        <w:keepNext w:val="0"/>
        <w:keepLines w:val="0"/>
        <w:pageBreakBefore w:val="0"/>
        <w:numPr>
          <w:ilvl w:val="0"/>
          <w:numId w:val="2"/>
        </w:numPr>
        <w:kinsoku/>
        <w:wordWrap/>
        <w:overflowPunct/>
        <w:bidi w:val="0"/>
        <w:spacing w:line="600" w:lineRule="exact"/>
        <w:ind w:left="0" w:leftChars="0" w:right="0" w:rightChars="0" w:firstLine="480" w:firstLineChars="200"/>
        <w:textAlignment w:val="auto"/>
        <w:outlineLvl w:val="1"/>
        <w:rPr>
          <w:rFonts w:hint="eastAsia" w:ascii="宋体" w:hAnsi="宋体" w:eastAsia="宋体" w:cs="宋体"/>
          <w:color w:val="000000" w:themeColor="text1"/>
          <w:kern w:val="0"/>
          <w:szCs w:val="28"/>
          <w14:textFill>
            <w14:solidFill>
              <w14:schemeClr w14:val="tx1"/>
            </w14:solidFill>
          </w14:textFill>
        </w:rPr>
      </w:pPr>
      <w:r>
        <w:rPr>
          <w:rFonts w:hint="eastAsia" w:ascii="宋体" w:hAnsi="宋体" w:eastAsia="宋体" w:cs="宋体"/>
          <w:color w:val="000000" w:themeColor="text1"/>
          <w:kern w:val="0"/>
          <w:szCs w:val="28"/>
          <w14:textFill>
            <w14:solidFill>
              <w14:schemeClr w14:val="tx1"/>
            </w14:solidFill>
          </w14:textFill>
        </w:rPr>
        <w:br w:type="page"/>
      </w:r>
      <w:r>
        <w:rPr>
          <w:rFonts w:hint="eastAsia" w:ascii="宋体" w:hAnsi="宋体" w:eastAsia="宋体" w:cs="宋体"/>
          <w:b/>
          <w:snapToGrid w:val="0"/>
          <w:color w:val="000000" w:themeColor="text1"/>
          <w:kern w:val="0"/>
          <w:sz w:val="24"/>
          <w:szCs w:val="24"/>
          <w14:textFill>
            <w14:solidFill>
              <w14:schemeClr w14:val="tx1"/>
            </w14:solidFill>
          </w14:textFill>
        </w:rPr>
        <w:t>参选函</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u w:val="single"/>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u w:val="single"/>
          <w14:textFill>
            <w14:solidFill>
              <w14:schemeClr w14:val="tx1"/>
            </w14:solidFill>
          </w14:textFill>
        </w:rPr>
        <w:t>重庆三峡银行股份有限公司</w:t>
      </w:r>
      <w:r>
        <w:rPr>
          <w:rFonts w:hint="eastAsia" w:ascii="宋体" w:hAnsi="宋体" w:eastAsia="宋体" w:cs="宋体"/>
          <w:snapToGrid w:val="0"/>
          <w:color w:val="000000" w:themeColor="text1"/>
          <w:kern w:val="0"/>
          <w:sz w:val="24"/>
          <w:szCs w:val="24"/>
          <w14:textFill>
            <w14:solidFill>
              <w14:schemeClr w14:val="tx1"/>
            </w14:solidFill>
          </w14:textFill>
        </w:rPr>
        <w:t>：</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我方收到</w:t>
      </w:r>
      <w:r>
        <w:rPr>
          <w:rFonts w:hint="eastAsia" w:ascii="宋体" w:hAnsi="宋体" w:eastAsia="宋体" w:cs="宋体"/>
          <w:snapToGrid w:val="0"/>
          <w:color w:val="000000" w:themeColor="text1"/>
          <w:kern w:val="0"/>
          <w:sz w:val="24"/>
          <w:szCs w:val="24"/>
          <w:u w:val="single"/>
          <w14:textFill>
            <w14:solidFill>
              <w14:schemeClr w14:val="tx1"/>
            </w14:solidFill>
          </w14:textFill>
        </w:rPr>
        <w:t>___________________</w:t>
      </w:r>
      <w:r>
        <w:rPr>
          <w:rFonts w:hint="eastAsia" w:ascii="宋体" w:hAnsi="宋体" w:eastAsia="宋体" w:cs="宋体"/>
          <w:snapToGrid w:val="0"/>
          <w:color w:val="000000" w:themeColor="text1"/>
          <w:kern w:val="0"/>
          <w:sz w:val="24"/>
          <w:szCs w:val="24"/>
          <w14:textFill>
            <w14:solidFill>
              <w14:schemeClr w14:val="tx1"/>
            </w14:solidFill>
          </w14:textFill>
        </w:rPr>
        <w:t>比选文件，经详细研究，决定参加该比选项目的参选。</w:t>
      </w:r>
    </w:p>
    <w:p>
      <w:pPr>
        <w:keepNext w:val="0"/>
        <w:keepLines w:val="0"/>
        <w:pageBreakBefore w:val="0"/>
        <w:tabs>
          <w:tab w:val="left" w:pos="6300"/>
        </w:tabs>
        <w:kinsoku/>
        <w:wordWrap/>
        <w:overflowPunct/>
        <w:autoSpaceDE w:val="0"/>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1、愿意按照比选文件中的一切要求承担和完成本项目。</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2、我方现提交的参选文件为：正本一份，副本一份，</w:t>
      </w:r>
      <w:r>
        <w:rPr>
          <w:rFonts w:hint="eastAsia" w:ascii="宋体" w:hAnsi="宋体" w:eastAsia="宋体" w:cs="宋体"/>
          <w:snapToGrid w:val="0"/>
          <w:color w:val="000000"/>
          <w:kern w:val="0"/>
          <w:sz w:val="24"/>
          <w:szCs w:val="24"/>
        </w:rPr>
        <w:t>电子文件一份（光盘或U盘）</w:t>
      </w:r>
      <w:r>
        <w:rPr>
          <w:rFonts w:hint="eastAsia" w:ascii="宋体" w:hAnsi="宋体" w:eastAsia="宋体" w:cs="宋体"/>
          <w:snapToGrid w:val="0"/>
          <w:color w:val="000000" w:themeColor="text1"/>
          <w:kern w:val="0"/>
          <w:sz w:val="24"/>
          <w:szCs w:val="24"/>
          <w14:textFill>
            <w14:solidFill>
              <w14:schemeClr w14:val="tx1"/>
            </w14:solidFill>
          </w14:textFill>
        </w:rPr>
        <w:t>。</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3、如果我方参选文件被接受，我方将履行比选文件中规定的各项要求，按相关法律法规和合同约定条款承担我方的责任。</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4、我方愿意提供比选文件中要求的所有资料，并对其真实性负责。</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5、我方理解最低价格不是中选的唯一条件。</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6、参选有效期为参选截止日期后90天内。</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参选人（公章）：</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地址：</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电话：传真：</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网址：</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jc w:val="righ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年</w:t>
      </w:r>
      <w:r>
        <w:rPr>
          <w:rFonts w:hint="eastAsia" w:ascii="宋体" w:hAns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月</w:t>
      </w:r>
      <w:r>
        <w:rPr>
          <w:rFonts w:hint="eastAsia" w:ascii="宋体" w:hAns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日</w:t>
      </w:r>
    </w:p>
    <w:p>
      <w:pPr>
        <w:keepNext w:val="0"/>
        <w:keepLines w:val="0"/>
        <w:pageBreakBefore w:val="0"/>
        <w:numPr>
          <w:ilvl w:val="0"/>
          <w:numId w:val="2"/>
        </w:numPr>
        <w:kinsoku/>
        <w:wordWrap/>
        <w:overflowPunct/>
        <w:bidi w:val="0"/>
        <w:spacing w:line="600" w:lineRule="exact"/>
        <w:ind w:left="0" w:leftChars="0" w:right="0" w:rightChars="0" w:firstLine="480" w:firstLineChars="200"/>
        <w:textAlignment w:val="auto"/>
        <w:outlineLvl w:val="1"/>
        <w:rPr>
          <w:rFonts w:hint="eastAsia" w:ascii="宋体" w:hAnsi="宋体" w:eastAsia="宋体" w:cs="宋体"/>
          <w:color w:val="000000" w:themeColor="text1"/>
          <w:kern w:val="0"/>
          <w:szCs w:val="28"/>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br w:type="page"/>
      </w:r>
      <w:r>
        <w:rPr>
          <w:rFonts w:hint="eastAsia" w:ascii="宋体" w:hAnsi="宋体" w:eastAsia="宋体" w:cs="宋体"/>
          <w:b/>
          <w:bCs/>
          <w:color w:val="000000" w:themeColor="text1"/>
          <w:szCs w:val="28"/>
          <w14:textFill>
            <w14:solidFill>
              <w14:schemeClr w14:val="tx1"/>
            </w14:solidFill>
          </w14:textFill>
        </w:rPr>
        <w:t>参选人基本情况介绍，资质证明等</w:t>
      </w:r>
    </w:p>
    <w:tbl>
      <w:tblPr>
        <w:tblStyle w:val="19"/>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470"/>
        <w:gridCol w:w="1047"/>
        <w:gridCol w:w="340"/>
        <w:gridCol w:w="1294"/>
        <w:gridCol w:w="11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参选人名称</w:t>
            </w:r>
          </w:p>
        </w:tc>
        <w:tc>
          <w:tcPr>
            <w:tcW w:w="7443" w:type="dxa"/>
            <w:gridSpan w:val="7"/>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3934" w:type="dxa"/>
            <w:gridSpan w:val="4"/>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2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2215" w:type="dxa"/>
            <w:gridSpan w:val="2"/>
            <w:vMerge w:val="restart"/>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经营地址</w:t>
            </w:r>
          </w:p>
        </w:tc>
        <w:tc>
          <w:tcPr>
            <w:tcW w:w="3934" w:type="dxa"/>
            <w:gridSpan w:val="4"/>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2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2215" w:type="dxa"/>
            <w:gridSpan w:val="2"/>
            <w:vMerge w:val="continue"/>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2857" w:type="dxa"/>
            <w:gridSpan w:val="3"/>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2215" w:type="dxa"/>
            <w:gridSpan w:val="2"/>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c>
          <w:tcPr>
            <w:tcW w:w="2857" w:type="dxa"/>
            <w:gridSpan w:val="3"/>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网址</w:t>
            </w:r>
          </w:p>
        </w:tc>
        <w:tc>
          <w:tcPr>
            <w:tcW w:w="2215" w:type="dxa"/>
            <w:gridSpan w:val="2"/>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组织结构</w:t>
            </w:r>
          </w:p>
        </w:tc>
        <w:tc>
          <w:tcPr>
            <w:tcW w:w="744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1470"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3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技术职称</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1087"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技术负责人</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1470"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3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技术职称</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1087"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p>
        </w:tc>
        <w:tc>
          <w:tcPr>
            <w:tcW w:w="2547" w:type="dxa"/>
            <w:gridSpan w:val="2"/>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896" w:type="dxa"/>
            <w:gridSpan w:val="5"/>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企业资质等级</w:t>
            </w:r>
          </w:p>
        </w:tc>
        <w:tc>
          <w:tcPr>
            <w:tcW w:w="2547" w:type="dxa"/>
            <w:gridSpan w:val="2"/>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0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其中</w:t>
            </w:r>
          </w:p>
        </w:tc>
        <w:tc>
          <w:tcPr>
            <w:tcW w:w="16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项目经理</w:t>
            </w:r>
          </w:p>
        </w:tc>
        <w:tc>
          <w:tcPr>
            <w:tcW w:w="2215" w:type="dxa"/>
            <w:gridSpan w:val="2"/>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2547" w:type="dxa"/>
            <w:gridSpan w:val="2"/>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047"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6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高级职称人员</w:t>
            </w:r>
          </w:p>
        </w:tc>
        <w:tc>
          <w:tcPr>
            <w:tcW w:w="2215" w:type="dxa"/>
            <w:gridSpan w:val="2"/>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547" w:type="dxa"/>
            <w:gridSpan w:val="2"/>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047"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6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中级职称人员</w:t>
            </w:r>
          </w:p>
        </w:tc>
        <w:tc>
          <w:tcPr>
            <w:tcW w:w="2215" w:type="dxa"/>
            <w:gridSpan w:val="2"/>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547" w:type="dxa"/>
            <w:gridSpan w:val="2"/>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047"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6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初级职称人员</w:t>
            </w:r>
          </w:p>
        </w:tc>
        <w:tc>
          <w:tcPr>
            <w:tcW w:w="2215" w:type="dxa"/>
            <w:gridSpan w:val="2"/>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账号</w:t>
            </w:r>
          </w:p>
        </w:tc>
        <w:tc>
          <w:tcPr>
            <w:tcW w:w="2547" w:type="dxa"/>
            <w:gridSpan w:val="2"/>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047"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6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技工</w:t>
            </w:r>
          </w:p>
        </w:tc>
        <w:tc>
          <w:tcPr>
            <w:tcW w:w="2215" w:type="dxa"/>
            <w:gridSpan w:val="2"/>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7443" w:type="dxa"/>
            <w:gridSpan w:val="7"/>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c>
          <w:tcPr>
            <w:tcW w:w="7443" w:type="dxa"/>
            <w:gridSpan w:val="7"/>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r>
    </w:tbl>
    <w:p>
      <w:pPr>
        <w:keepNext w:val="0"/>
        <w:keepLines w:val="0"/>
        <w:pageBreakBefore w:val="0"/>
        <w:widowControl/>
        <w:kinsoku/>
        <w:wordWrap/>
        <w:overflowPunct/>
        <w:bidi w:val="0"/>
        <w:spacing w:line="600" w:lineRule="exact"/>
        <w:ind w:left="0" w:leftChars="0" w:right="0" w:rightChars="0" w:firstLine="400" w:firstLineChars="200"/>
        <w:textAlignment w:val="auto"/>
        <w:rPr>
          <w:rFonts w:hint="eastAsia" w:ascii="宋体" w:hAnsi="宋体" w:eastAsia="宋体" w:cs="宋体"/>
          <w:b/>
          <w:snapToGrid w:val="0"/>
          <w:color w:val="000000" w:themeColor="text1"/>
          <w:kern w:val="0"/>
          <w:szCs w:val="28"/>
          <w14:textFill>
            <w14:solidFill>
              <w14:schemeClr w14:val="tx1"/>
            </w14:solidFill>
          </w14:textFill>
        </w:rPr>
      </w:pPr>
      <w:r>
        <w:rPr>
          <w:rFonts w:hint="eastAsia" w:ascii="宋体" w:hAnsi="宋体" w:eastAsia="宋体" w:cs="宋体"/>
          <w:color w:val="000000" w:themeColor="text1"/>
          <w:sz w:val="20"/>
          <w:szCs w:val="21"/>
          <w14:textFill>
            <w14:solidFill>
              <w14:schemeClr w14:val="tx1"/>
            </w14:solidFill>
          </w14:textFill>
        </w:rPr>
        <w:t>注：附营业执照（副本）、资质证明复印件等。加盖鲜章。</w:t>
      </w:r>
    </w:p>
    <w:p>
      <w:pPr>
        <w:keepNext w:val="0"/>
        <w:keepLines w:val="0"/>
        <w:pageBreakBefore w:val="0"/>
        <w:numPr>
          <w:ilvl w:val="0"/>
          <w:numId w:val="2"/>
        </w:numPr>
        <w:kinsoku/>
        <w:wordWrap/>
        <w:overflowPunct/>
        <w:bidi w:val="0"/>
        <w:spacing w:line="600" w:lineRule="exact"/>
        <w:ind w:left="0" w:leftChars="0" w:right="0" w:rightChars="0" w:firstLine="480" w:firstLineChars="200"/>
        <w:textAlignment w:val="auto"/>
        <w:outlineLvl w:val="1"/>
        <w:rPr>
          <w:rFonts w:hint="eastAsia" w:ascii="宋体" w:hAnsi="宋体" w:eastAsia="宋体" w:cs="宋体"/>
          <w:color w:val="000000" w:themeColor="text1"/>
          <w:kern w:val="0"/>
          <w:szCs w:val="28"/>
          <w14:textFill>
            <w14:solidFill>
              <w14:schemeClr w14:val="tx1"/>
            </w14:solidFill>
          </w14:textFill>
        </w:rPr>
      </w:pPr>
      <w:r>
        <w:rPr>
          <w:rFonts w:hint="eastAsia" w:ascii="宋体" w:hAnsi="宋体" w:eastAsia="宋体" w:cs="宋体"/>
          <w:color w:val="000000" w:themeColor="text1"/>
          <w:kern w:val="0"/>
          <w:szCs w:val="28"/>
          <w14:textFill>
            <w14:solidFill>
              <w14:schemeClr w14:val="tx1"/>
            </w14:solidFill>
          </w14:textFill>
        </w:rPr>
        <w:br w:type="page"/>
      </w:r>
      <w:bookmarkStart w:id="112" w:name="_Toc378234584"/>
      <w:bookmarkStart w:id="113" w:name="_Toc478054435"/>
      <w:bookmarkStart w:id="114" w:name="_Toc472780356"/>
      <w:bookmarkStart w:id="115" w:name="_Toc378234770"/>
      <w:bookmarkStart w:id="116" w:name="_Toc478053903"/>
      <w:r>
        <w:rPr>
          <w:rFonts w:hint="eastAsia" w:ascii="宋体" w:hAnsi="宋体" w:eastAsia="宋体" w:cs="宋体"/>
          <w:b/>
          <w:bCs/>
          <w:color w:val="000000" w:themeColor="text1"/>
          <w:szCs w:val="28"/>
          <w14:textFill>
            <w14:solidFill>
              <w14:schemeClr w14:val="tx1"/>
            </w14:solidFill>
          </w14:textFill>
        </w:rPr>
        <w:t>法定代表人身份证明及授权委托书</w:t>
      </w:r>
      <w:bookmarkEnd w:id="112"/>
      <w:bookmarkEnd w:id="113"/>
      <w:bookmarkEnd w:id="114"/>
      <w:bookmarkEnd w:id="115"/>
      <w:bookmarkEnd w:id="116"/>
    </w:p>
    <w:p>
      <w:pPr>
        <w:pStyle w:val="4"/>
        <w:bidi w:val="0"/>
        <w:ind w:left="0" w:leftChars="0" w:right="0" w:rightChars="0" w:firstLine="0" w:firstLineChars="0"/>
        <w:jc w:val="center"/>
        <w:rPr>
          <w:rFonts w:hint="eastAsia"/>
          <w:b/>
          <w:bCs w:val="0"/>
        </w:rPr>
      </w:pPr>
      <w:r>
        <w:rPr>
          <w:rFonts w:hint="eastAsia"/>
          <w:b/>
          <w:bCs w:val="0"/>
        </w:rPr>
        <w:t>法定代表人身份证明书</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项目名称：</w:t>
      </w:r>
      <w:r>
        <w:rPr>
          <w:rFonts w:hint="eastAsia" w:ascii="宋体" w:hAnsi="宋体" w:eastAsia="宋体" w:cs="宋体"/>
          <w:snapToGrid w:val="0"/>
          <w:color w:val="000000" w:themeColor="text1"/>
          <w:kern w:val="0"/>
          <w:sz w:val="24"/>
          <w:u w:val="single"/>
          <w14:textFill>
            <w14:solidFill>
              <w14:schemeClr w14:val="tx1"/>
            </w14:solidFill>
          </w14:textFill>
        </w:rPr>
        <w:t>____________________</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致：</w:t>
      </w:r>
      <w:r>
        <w:rPr>
          <w:rFonts w:hint="eastAsia" w:ascii="宋体" w:hAnsi="宋体" w:eastAsia="宋体" w:cs="宋体"/>
          <w:snapToGrid w:val="0"/>
          <w:color w:val="000000" w:themeColor="text1"/>
          <w:kern w:val="0"/>
          <w:sz w:val="24"/>
          <w:u w:val="single"/>
          <w14:textFill>
            <w14:solidFill>
              <w14:schemeClr w14:val="tx1"/>
            </w14:solidFill>
          </w14:textFill>
        </w:rPr>
        <w:t>重庆三峡银行股份有限公司</w:t>
      </w:r>
      <w:r>
        <w:rPr>
          <w:rFonts w:hint="eastAsia" w:ascii="宋体" w:hAnsi="宋体" w:eastAsia="宋体" w:cs="宋体"/>
          <w:snapToGrid w:val="0"/>
          <w:color w:val="000000" w:themeColor="text1"/>
          <w:kern w:val="0"/>
          <w:sz w:val="24"/>
          <w14:textFill>
            <w14:solidFill>
              <w14:schemeClr w14:val="tx1"/>
            </w14:solidFill>
          </w14:textFill>
        </w:rPr>
        <w:t>：</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（法定代表人姓名）在（</w:t>
      </w: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snapToGrid w:val="0"/>
          <w:color w:val="000000" w:themeColor="text1"/>
          <w:kern w:val="0"/>
          <w:sz w:val="24"/>
          <w14:textFill>
            <w14:solidFill>
              <w14:schemeClr w14:val="tx1"/>
            </w14:solidFill>
          </w14:textFill>
        </w:rPr>
        <w:t>人名称）任（职务名称）职务，是（</w:t>
      </w: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snapToGrid w:val="0"/>
          <w:color w:val="000000" w:themeColor="text1"/>
          <w:kern w:val="0"/>
          <w:sz w:val="24"/>
          <w14:textFill>
            <w14:solidFill>
              <w14:schemeClr w14:val="tx1"/>
            </w14:solidFill>
          </w14:textFill>
        </w:rPr>
        <w:t>人名称）的法定代表人。</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特此证明。</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jc w:val="right"/>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snapToGrid w:val="0"/>
          <w:color w:val="000000" w:themeColor="text1"/>
          <w:kern w:val="0"/>
          <w:sz w:val="24"/>
          <w14:textFill>
            <w14:solidFill>
              <w14:schemeClr w14:val="tx1"/>
            </w14:solidFill>
          </w14:textFill>
        </w:rPr>
        <w:t>人公章）</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1440" w:firstLineChars="600"/>
        <w:jc w:val="right"/>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年</w:t>
      </w:r>
      <w:r>
        <w:rPr>
          <w:rFonts w:hint="eastAsia" w:ascii="宋体" w:hAnsi="宋体" w:cs="宋体"/>
          <w:snapToGrid w:val="0"/>
          <w:color w:val="000000" w:themeColor="text1"/>
          <w:kern w:val="0"/>
          <w:sz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14:textFill>
            <w14:solidFill>
              <w14:schemeClr w14:val="tx1"/>
            </w14:solidFill>
          </w14:textFill>
        </w:rPr>
        <w:t>月</w:t>
      </w:r>
      <w:r>
        <w:rPr>
          <w:rFonts w:hint="eastAsia" w:ascii="宋体" w:hAnsi="宋体" w:cs="宋体"/>
          <w:snapToGrid w:val="0"/>
          <w:color w:val="000000" w:themeColor="text1"/>
          <w:kern w:val="0"/>
          <w:sz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14:textFill>
            <w14:solidFill>
              <w14:schemeClr w14:val="tx1"/>
            </w14:solidFill>
          </w14:textFill>
        </w:rPr>
        <w:t>日</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（附：法定代表人身份证正反面复印件）</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kinsoku/>
        <w:wordWrap/>
        <w:overflowPunct/>
        <w:bidi w:val="0"/>
        <w:spacing w:line="600" w:lineRule="exact"/>
        <w:ind w:left="0" w:leftChars="0" w:right="0" w:rightChars="0" w:firstLine="480" w:firstLineChars="200"/>
        <w:jc w:val="center"/>
        <w:textAlignment w:val="auto"/>
        <w:outlineLvl w:val="2"/>
        <w:rPr>
          <w:rStyle w:val="30"/>
          <w:rFonts w:hint="eastAsia"/>
          <w:b/>
          <w:bCs/>
        </w:rPr>
      </w:pPr>
      <w:r>
        <w:rPr>
          <w:rFonts w:hint="eastAsia" w:ascii="宋体" w:hAnsi="宋体" w:eastAsia="宋体" w:cs="宋体"/>
          <w:snapToGrid w:val="0"/>
          <w:color w:val="000000" w:themeColor="text1"/>
          <w:kern w:val="0"/>
          <w14:textFill>
            <w14:solidFill>
              <w14:schemeClr w14:val="tx1"/>
            </w14:solidFill>
          </w14:textFill>
        </w:rPr>
        <w:br w:type="column"/>
      </w:r>
      <w:r>
        <w:rPr>
          <w:rStyle w:val="30"/>
          <w:rFonts w:hint="eastAsia"/>
          <w:b/>
          <w:bCs/>
        </w:rPr>
        <w:t>法定代表人授权委托书</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szCs w:val="28"/>
          <w14:textFill>
            <w14:solidFill>
              <w14:schemeClr w14:val="tx1"/>
            </w14:solidFill>
          </w14:textFill>
        </w:rPr>
        <w:t>项目名称</w:t>
      </w:r>
      <w:r>
        <w:rPr>
          <w:rFonts w:hint="eastAsia" w:ascii="宋体" w:hAnsi="宋体" w:eastAsia="宋体" w:cs="宋体"/>
          <w:snapToGrid w:val="0"/>
          <w:color w:val="000000" w:themeColor="text1"/>
          <w:kern w:val="0"/>
          <w:sz w:val="24"/>
          <w14:textFill>
            <w14:solidFill>
              <w14:schemeClr w14:val="tx1"/>
            </w14:solidFill>
          </w14:textFill>
        </w:rPr>
        <w:t>：</w:t>
      </w:r>
      <w:r>
        <w:rPr>
          <w:rFonts w:hint="eastAsia" w:ascii="宋体" w:hAnsi="宋体" w:eastAsia="宋体" w:cs="宋体"/>
          <w:snapToGrid w:val="0"/>
          <w:color w:val="000000" w:themeColor="text1"/>
          <w:kern w:val="0"/>
          <w:sz w:val="24"/>
          <w:szCs w:val="24"/>
          <w:u w:val="single"/>
          <w14:textFill>
            <w14:solidFill>
              <w14:schemeClr w14:val="tx1"/>
            </w14:solidFill>
          </w14:textFill>
        </w:rPr>
        <w:t>___________________</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致：</w:t>
      </w:r>
      <w:r>
        <w:rPr>
          <w:rFonts w:hint="eastAsia" w:ascii="宋体" w:hAnsi="宋体" w:eastAsia="宋体" w:cs="宋体"/>
          <w:snapToGrid w:val="0"/>
          <w:color w:val="000000" w:themeColor="text1"/>
          <w:kern w:val="0"/>
          <w:sz w:val="24"/>
          <w:u w:val="single"/>
          <w14:textFill>
            <w14:solidFill>
              <w14:schemeClr w14:val="tx1"/>
            </w14:solidFill>
          </w14:textFill>
        </w:rPr>
        <w:t>重庆三峡银行股份有限公司</w:t>
      </w:r>
      <w:r>
        <w:rPr>
          <w:rFonts w:hint="eastAsia" w:ascii="宋体" w:hAnsi="宋体" w:eastAsia="宋体" w:cs="宋体"/>
          <w:snapToGrid w:val="0"/>
          <w:color w:val="000000" w:themeColor="text1"/>
          <w:kern w:val="0"/>
          <w:sz w:val="24"/>
          <w14:textFill>
            <w14:solidFill>
              <w14:schemeClr w14:val="tx1"/>
            </w14:solidFill>
          </w14:textFill>
        </w:rPr>
        <w:t>：</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snapToGrid w:val="0"/>
          <w:color w:val="000000" w:themeColor="text1"/>
          <w:kern w:val="0"/>
          <w:sz w:val="24"/>
          <w14:textFill>
            <w14:solidFill>
              <w14:schemeClr w14:val="tx1"/>
            </w14:solidFill>
          </w14:textFill>
        </w:rPr>
        <w:t>人法定代表人名称）是（</w:t>
      </w: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snapToGrid w:val="0"/>
          <w:color w:val="000000" w:themeColor="text1"/>
          <w:kern w:val="0"/>
          <w:sz w:val="24"/>
          <w14:textFill>
            <w14:solidFill>
              <w14:schemeClr w14:val="tx1"/>
            </w14:solidFill>
          </w14:textFill>
        </w:rPr>
        <w:t>人名称）的法定代表人，特授权（被授权人姓名及身份证代码）代表我单位全权办理上述项目的</w:t>
      </w: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snapToGrid w:val="0"/>
          <w:color w:val="000000" w:themeColor="text1"/>
          <w:kern w:val="0"/>
          <w:sz w:val="24"/>
          <w14:textFill>
            <w14:solidFill>
              <w14:schemeClr w14:val="tx1"/>
            </w14:solidFill>
          </w14:textFill>
        </w:rPr>
        <w:t>、谈判、签约等具体工作，并签署全部有关文件、协议及合同。</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我单位对被授权人的签字负全部责任。</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在撤消授权的书面通知以前，本授权书一直有效。被授权人在授权书有效期内签署的所有文件不因授权的撤消而失效。</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被授权人：</w:t>
      </w:r>
      <w:r>
        <w:rPr>
          <w:rFonts w:hint="eastAsia" w:ascii="宋体" w:hAnsi="宋体" w:cs="宋体"/>
          <w:snapToGrid w:val="0"/>
          <w:color w:val="000000" w:themeColor="text1"/>
          <w:kern w:val="0"/>
          <w:sz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snapToGrid w:val="0"/>
          <w:color w:val="000000" w:themeColor="text1"/>
          <w:kern w:val="0"/>
          <w:sz w:val="24"/>
          <w14:textFill>
            <w14:solidFill>
              <w14:schemeClr w14:val="tx1"/>
            </w14:solidFill>
          </w14:textFill>
        </w:rPr>
        <w:t>人法定代表人：</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8"/>
          <w14:textFill>
            <w14:solidFill>
              <w14:schemeClr w14:val="tx1"/>
            </w14:solidFill>
          </w14:textFill>
        </w:rPr>
      </w:pPr>
      <w:r>
        <w:rPr>
          <w:rFonts w:hint="eastAsia" w:ascii="宋体" w:hAnsi="宋体" w:eastAsia="宋体" w:cs="宋体"/>
          <w:snapToGrid w:val="0"/>
          <w:color w:val="000000" w:themeColor="text1"/>
          <w:kern w:val="0"/>
          <w:sz w:val="24"/>
          <w:szCs w:val="28"/>
          <w14:textFill>
            <w14:solidFill>
              <w14:schemeClr w14:val="tx1"/>
            </w14:solidFill>
          </w14:textFill>
        </w:rPr>
        <w:t>（签字或盖章）</w:t>
      </w:r>
      <w:r>
        <w:rPr>
          <w:rFonts w:hint="eastAsia" w:ascii="宋体" w:hAnsi="宋体" w:cs="宋体"/>
          <w:snapToGrid w:val="0"/>
          <w:color w:val="000000" w:themeColor="text1"/>
          <w:kern w:val="0"/>
          <w:sz w:val="24"/>
          <w:szCs w:val="28"/>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8"/>
          <w14:textFill>
            <w14:solidFill>
              <w14:schemeClr w14:val="tx1"/>
            </w14:solidFill>
          </w14:textFill>
        </w:rPr>
        <w:t>（签字或盖章）</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8"/>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（附：被授权人身份证正反面复印件）</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jc w:val="right"/>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snapToGrid w:val="0"/>
          <w:color w:val="000000" w:themeColor="text1"/>
          <w:kern w:val="0"/>
          <w:sz w:val="24"/>
          <w14:textFill>
            <w14:solidFill>
              <w14:schemeClr w14:val="tx1"/>
            </w14:solidFill>
          </w14:textFill>
        </w:rPr>
        <w:t>人公章）</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jc w:val="right"/>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年</w:t>
      </w:r>
      <w:r>
        <w:rPr>
          <w:rFonts w:hint="eastAsia" w:ascii="宋体" w:hAnsi="宋体" w:cs="宋体"/>
          <w:snapToGrid w:val="0"/>
          <w:color w:val="000000" w:themeColor="text1"/>
          <w:kern w:val="0"/>
          <w:sz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14:textFill>
            <w14:solidFill>
              <w14:schemeClr w14:val="tx1"/>
            </w14:solidFill>
          </w14:textFill>
        </w:rPr>
        <w:t>月</w:t>
      </w:r>
      <w:r>
        <w:rPr>
          <w:rFonts w:hint="eastAsia" w:ascii="宋体" w:hAnsi="宋体" w:cs="宋体"/>
          <w:snapToGrid w:val="0"/>
          <w:color w:val="000000" w:themeColor="text1"/>
          <w:kern w:val="0"/>
          <w:sz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14:textFill>
            <w14:solidFill>
              <w14:schemeClr w14:val="tx1"/>
            </w14:solidFill>
          </w14:textFill>
        </w:rPr>
        <w:t>日</w:t>
      </w:r>
    </w:p>
    <w:p>
      <w:pPr>
        <w:keepNext w:val="0"/>
        <w:keepLines w:val="0"/>
        <w:pageBreakBefore w:val="0"/>
        <w:kinsoku/>
        <w:wordWrap/>
        <w:overflowPunct/>
        <w:bidi w:val="0"/>
        <w:spacing w:line="600" w:lineRule="exact"/>
        <w:ind w:left="0" w:leftChars="0" w:right="0" w:rightChars="0" w:firstLine="482"/>
        <w:jc w:val="left"/>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p>
    <w:p>
      <w:pPr>
        <w:keepNext w:val="0"/>
        <w:keepLines w:val="0"/>
        <w:pageBreakBefore w:val="0"/>
        <w:numPr>
          <w:ilvl w:val="0"/>
          <w:numId w:val="3"/>
        </w:numPr>
        <w:kinsoku/>
        <w:wordWrap/>
        <w:overflowPunct/>
        <w:bidi w:val="0"/>
        <w:snapToGrid w:val="0"/>
        <w:spacing w:line="600" w:lineRule="exact"/>
        <w:ind w:left="0" w:leftChars="0" w:right="0" w:rightChars="0" w:firstLine="482" w:firstLineChars="200"/>
        <w:textAlignment w:val="auto"/>
        <w:outlineLvl w:val="1"/>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“法人及法定代表人没有被人民法院列为失信被执行人名单”，提供“信用中国”http://www.creditchina.gov.cn 网站查询结果。</w:t>
      </w:r>
    </w:p>
    <w:p>
      <w:pPr>
        <w:keepNext w:val="0"/>
        <w:keepLines w:val="0"/>
        <w:pageBreakBefore w:val="0"/>
        <w:numPr>
          <w:ilvl w:val="255"/>
          <w:numId w:val="0"/>
        </w:numPr>
        <w:kinsoku/>
        <w:wordWrap/>
        <w:overflowPunct/>
        <w:bidi w:val="0"/>
        <w:snapToGrid w:val="0"/>
        <w:spacing w:line="600" w:lineRule="exact"/>
        <w:ind w:left="0" w:leftChars="0" w:right="0" w:rightChars="0"/>
        <w:textAlignment w:val="auto"/>
        <w:outlineLvl w:val="1"/>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br w:type="page"/>
      </w:r>
      <w:r>
        <w:rPr>
          <w:rFonts w:hint="eastAsia" w:ascii="宋体" w:hAnsi="宋体" w:eastAsia="宋体" w:cs="宋体"/>
          <w:b/>
          <w:bCs/>
          <w:color w:val="000000" w:themeColor="text1"/>
          <w:kern w:val="0"/>
          <w14:textFill>
            <w14:solidFill>
              <w14:schemeClr w14:val="tx1"/>
            </w14:solidFill>
          </w14:textFill>
        </w:rPr>
        <w:t>五、</w:t>
      </w:r>
      <w:r>
        <w:rPr>
          <w:rFonts w:hint="eastAsia" w:ascii="宋体" w:hAnsi="宋体" w:eastAsia="宋体" w:cs="宋体"/>
          <w:b/>
          <w:bCs/>
          <w:snapToGrid w:val="0"/>
          <w:color w:val="000000" w:themeColor="text1"/>
          <w:kern w:val="0"/>
          <w:sz w:val="24"/>
          <w:szCs w:val="24"/>
          <w14:textFill>
            <w14:solidFill>
              <w14:schemeClr w14:val="tx1"/>
            </w14:solidFill>
          </w14:textFill>
        </w:rPr>
        <w:t>行业协会出具的“诚信证明”</w:t>
      </w:r>
    </w:p>
    <w:p>
      <w:pPr>
        <w:keepNext w:val="0"/>
        <w:keepLines w:val="0"/>
        <w:pageBreakBefore w:val="0"/>
        <w:numPr>
          <w:ilvl w:val="255"/>
          <w:numId w:val="0"/>
        </w:numPr>
        <w:kinsoku/>
        <w:wordWrap/>
        <w:overflowPunct/>
        <w:bidi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br w:type="page"/>
      </w:r>
    </w:p>
    <w:p>
      <w:pPr>
        <w:keepNext w:val="0"/>
        <w:keepLines w:val="0"/>
        <w:pageBreakBefore w:val="0"/>
        <w:numPr>
          <w:ilvl w:val="255"/>
          <w:numId w:val="0"/>
        </w:numPr>
        <w:kinsoku/>
        <w:wordWrap/>
        <w:overflowPunct/>
        <w:bidi w:val="0"/>
        <w:snapToGrid w:val="0"/>
        <w:spacing w:line="600" w:lineRule="exact"/>
        <w:ind w:left="0" w:leftChars="0" w:right="0" w:rightChars="0" w:firstLine="482" w:firstLineChars="200"/>
        <w:textAlignment w:val="auto"/>
        <w:outlineLvl w:val="1"/>
        <w:rPr>
          <w:rFonts w:hint="eastAsia" w:ascii="宋体" w:hAnsi="宋体" w:eastAsia="宋体" w:cs="宋体"/>
          <w:b/>
          <w:bCs/>
          <w:snapToGrid w:val="0"/>
          <w:color w:val="000000" w:themeColor="text1"/>
          <w:kern w:val="0"/>
          <w:sz w:val="24"/>
          <w:szCs w:val="24"/>
          <w14:textFill>
            <w14:solidFill>
              <w14:schemeClr w14:val="tx1"/>
            </w14:solidFill>
          </w14:textFill>
        </w:rPr>
      </w:pPr>
      <w:r>
        <w:rPr>
          <w:rFonts w:hint="eastAsia" w:ascii="宋体" w:hAnsi="宋体" w:eastAsia="宋体" w:cs="宋体"/>
          <w:b/>
          <w:bCs/>
          <w:snapToGrid w:val="0"/>
          <w:color w:val="000000" w:themeColor="text1"/>
          <w:kern w:val="0"/>
          <w:sz w:val="24"/>
          <w:szCs w:val="24"/>
          <w14:textFill>
            <w14:solidFill>
              <w14:schemeClr w14:val="tx1"/>
            </w14:solidFill>
          </w14:textFill>
        </w:rPr>
        <w:t>六、行业协会2020年至今对估价报告质量检查评价结果</w:t>
      </w:r>
    </w:p>
    <w:p>
      <w:pPr>
        <w:keepNext w:val="0"/>
        <w:keepLines w:val="0"/>
        <w:pageBreakBefore w:val="0"/>
        <w:numPr>
          <w:ilvl w:val="255"/>
          <w:numId w:val="0"/>
        </w:numPr>
        <w:kinsoku/>
        <w:wordWrap/>
        <w:overflowPunct/>
        <w:bidi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br w:type="page"/>
      </w:r>
    </w:p>
    <w:p>
      <w:pPr>
        <w:keepNext w:val="0"/>
        <w:keepLines w:val="0"/>
        <w:pageBreakBefore w:val="0"/>
        <w:numPr>
          <w:ilvl w:val="255"/>
          <w:numId w:val="0"/>
        </w:numPr>
        <w:kinsoku/>
        <w:wordWrap/>
        <w:overflowPunct/>
        <w:bidi w:val="0"/>
        <w:snapToGrid w:val="0"/>
        <w:spacing w:line="600" w:lineRule="exact"/>
        <w:ind w:left="0" w:leftChars="0" w:right="0" w:rightChars="0" w:firstLine="482" w:firstLineChars="200"/>
        <w:textAlignment w:val="auto"/>
        <w:outlineLvl w:val="1"/>
        <w:rPr>
          <w:rFonts w:hint="eastAsia" w:ascii="宋体" w:hAnsi="宋体" w:eastAsia="宋体" w:cs="宋体"/>
          <w:b/>
          <w:bCs/>
          <w:snapToGrid w:val="0"/>
          <w:color w:val="000000" w:themeColor="text1"/>
          <w:kern w:val="0"/>
          <w:sz w:val="24"/>
          <w:szCs w:val="24"/>
          <w14:textFill>
            <w14:solidFill>
              <w14:schemeClr w14:val="tx1"/>
            </w14:solidFill>
          </w14:textFill>
        </w:rPr>
      </w:pPr>
      <w:r>
        <w:rPr>
          <w:rFonts w:hint="eastAsia" w:ascii="宋体" w:hAnsi="宋体" w:eastAsia="宋体" w:cs="宋体"/>
          <w:b/>
          <w:bCs/>
          <w:snapToGrid w:val="0"/>
          <w:color w:val="000000" w:themeColor="text1"/>
          <w:kern w:val="0"/>
          <w:sz w:val="24"/>
          <w:szCs w:val="24"/>
          <w14:textFill>
            <w14:solidFill>
              <w14:schemeClr w14:val="tx1"/>
            </w14:solidFill>
          </w14:textFill>
        </w:rPr>
        <w:t>七、半年社会保险缴纳证明材料</w:t>
      </w:r>
    </w:p>
    <w:p>
      <w:pPr>
        <w:keepNext w:val="0"/>
        <w:keepLines w:val="0"/>
        <w:pageBreakBefore w:val="0"/>
        <w:numPr>
          <w:ilvl w:val="255"/>
          <w:numId w:val="0"/>
        </w:numPr>
        <w:kinsoku/>
        <w:wordWrap/>
        <w:overflowPunct/>
        <w:bidi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br w:type="page"/>
      </w:r>
    </w:p>
    <w:p>
      <w:pPr>
        <w:keepNext w:val="0"/>
        <w:keepLines w:val="0"/>
        <w:pageBreakBefore w:val="0"/>
        <w:numPr>
          <w:ilvl w:val="255"/>
          <w:numId w:val="0"/>
        </w:numPr>
        <w:kinsoku/>
        <w:wordWrap/>
        <w:overflowPunct/>
        <w:bidi w:val="0"/>
        <w:snapToGrid w:val="0"/>
        <w:spacing w:line="600" w:lineRule="exact"/>
        <w:ind w:left="0" w:leftChars="0" w:right="0" w:rightChars="0" w:firstLine="482" w:firstLineChars="200"/>
        <w:textAlignment w:val="auto"/>
        <w:outlineLvl w:val="1"/>
        <w:rPr>
          <w:rFonts w:hint="eastAsia" w:ascii="宋体" w:hAnsi="宋体" w:eastAsia="宋体" w:cs="宋体"/>
          <w:b/>
          <w:bCs/>
          <w:snapToGrid w:val="0"/>
          <w:color w:val="000000" w:themeColor="text1"/>
          <w:kern w:val="0"/>
          <w:sz w:val="24"/>
          <w:szCs w:val="24"/>
          <w14:textFill>
            <w14:solidFill>
              <w14:schemeClr w14:val="tx1"/>
            </w14:solidFill>
          </w14:textFill>
        </w:rPr>
      </w:pPr>
      <w:r>
        <w:rPr>
          <w:rFonts w:hint="eastAsia" w:ascii="宋体" w:hAnsi="宋体" w:eastAsia="宋体" w:cs="宋体"/>
          <w:b/>
          <w:bCs/>
          <w:snapToGrid w:val="0"/>
          <w:color w:val="000000" w:themeColor="text1"/>
          <w:kern w:val="0"/>
          <w:sz w:val="24"/>
          <w:szCs w:val="24"/>
          <w14:textFill>
            <w14:solidFill>
              <w14:schemeClr w14:val="tx1"/>
            </w14:solidFill>
          </w14:textFill>
        </w:rPr>
        <w:t>八、财务报表和书面声明（格式自理）</w:t>
      </w:r>
    </w:p>
    <w:p>
      <w:pPr>
        <w:keepNext w:val="0"/>
        <w:keepLines w:val="0"/>
        <w:pageBreakBefore w:val="0"/>
        <w:numPr>
          <w:ilvl w:val="255"/>
          <w:numId w:val="0"/>
        </w:numPr>
        <w:kinsoku/>
        <w:wordWrap/>
        <w:overflowPunct/>
        <w:bidi w:val="0"/>
        <w:snapToGrid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numPr>
          <w:ilvl w:val="255"/>
          <w:numId w:val="0"/>
        </w:numPr>
        <w:kinsoku/>
        <w:wordWrap/>
        <w:overflowPunct/>
        <w:bidi w:val="0"/>
        <w:snapToGrid w:val="0"/>
        <w:spacing w:line="600" w:lineRule="exact"/>
        <w:ind w:left="0" w:leftChars="0" w:right="0" w:rightChars="0" w:firstLine="720" w:firstLineChars="3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numPr>
          <w:ilvl w:val="255"/>
          <w:numId w:val="0"/>
        </w:numPr>
        <w:kinsoku/>
        <w:wordWrap/>
        <w:overflowPunct/>
        <w:bidi w:val="0"/>
        <w:snapToGrid w:val="0"/>
        <w:spacing w:line="600" w:lineRule="exact"/>
        <w:ind w:left="0" w:leftChars="0" w:right="0" w:rightChars="0" w:firstLine="48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numPr>
          <w:ilvl w:val="255"/>
          <w:numId w:val="0"/>
        </w:numPr>
        <w:kinsoku/>
        <w:wordWrap/>
        <w:overflowPunct/>
        <w:bidi w:val="0"/>
        <w:spacing w:line="600" w:lineRule="exact"/>
        <w:ind w:left="0" w:leftChars="0" w:right="0" w:rightChars="0"/>
        <w:jc w:val="center"/>
        <w:textAlignment w:val="auto"/>
        <w:rPr>
          <w:rFonts w:hint="eastAsia" w:ascii="宋体" w:hAnsi="宋体" w:eastAsia="宋体" w:cs="宋体"/>
          <w:b/>
          <w:bCs/>
          <w:color w:val="000000" w:themeColor="text1"/>
          <w:szCs w:val="28"/>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t>书面声明</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snapToGrid w:val="0"/>
          <w:color w:val="000000" w:themeColor="text1"/>
          <w:kern w:val="0"/>
          <w:sz w:val="24"/>
          <w:szCs w:val="24"/>
          <w:u w:val="single"/>
          <w14:textFill>
            <w14:solidFill>
              <w14:schemeClr w14:val="tx1"/>
            </w14:solidFill>
          </w14:textFill>
        </w:rPr>
        <w:t>__________________</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w:t>
      </w:r>
      <w:r>
        <w:rPr>
          <w:rFonts w:hint="eastAsia" w:ascii="宋体" w:hAnsi="宋体" w:eastAsia="宋体" w:cs="宋体"/>
          <w:snapToGrid w:val="0"/>
          <w:color w:val="000000" w:themeColor="text1"/>
          <w:kern w:val="0"/>
          <w:sz w:val="24"/>
          <w:u w:val="single"/>
          <w14:textFill>
            <w14:solidFill>
              <w14:schemeClr w14:val="tx1"/>
            </w14:solidFill>
          </w14:textFill>
        </w:rPr>
        <w:t>重庆三峡银行股份有限公司</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sz w:val="24"/>
          <w14:textFill>
            <w14:solidFill>
              <w14:schemeClr w14:val="tx1"/>
            </w14:solidFill>
          </w14:textFill>
        </w:rPr>
        <w:t>人名称）郑重声明，我公司（格式自理）。我方对以上声明负全部法律责任。</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特此声明。</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jc w:val="righ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sz w:val="24"/>
          <w14:textFill>
            <w14:solidFill>
              <w14:schemeClr w14:val="tx1"/>
            </w14:solidFill>
          </w14:textFill>
        </w:rPr>
        <w:t>人公章）</w:t>
      </w: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jc w:val="righ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pPr>
        <w:keepNext w:val="0"/>
        <w:keepLines w:val="0"/>
        <w:pageBreakBefore w:val="0"/>
        <w:kinsoku/>
        <w:wordWrap/>
        <w:overflowPunct/>
        <w:bidi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kinsoku/>
        <w:wordWrap/>
        <w:overflowPunct/>
        <w:bidi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kinsoku/>
        <w:wordWrap/>
        <w:overflowPunct/>
        <w:bidi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sectPr>
          <w:pgSz w:w="11906" w:h="16838"/>
          <w:pgMar w:top="1440" w:right="1800" w:bottom="1440" w:left="1800" w:header="851" w:footer="992" w:gutter="0"/>
          <w:pgNumType w:chapStyle="1"/>
          <w:cols w:space="720" w:num="1"/>
          <w:docGrid w:type="lines" w:linePitch="312" w:charSpace="0"/>
        </w:sectPr>
      </w:pPr>
    </w:p>
    <w:p>
      <w:pPr>
        <w:keepNext w:val="0"/>
        <w:keepLines w:val="0"/>
        <w:pageBreakBefore w:val="0"/>
        <w:kinsoku/>
        <w:wordWrap/>
        <w:overflowPunct/>
        <w:bidi w:val="0"/>
        <w:spacing w:line="600" w:lineRule="exact"/>
        <w:ind w:left="0" w:leftChars="0" w:right="0" w:rightChars="0"/>
        <w:jc w:val="center"/>
        <w:textAlignment w:val="auto"/>
        <w:outlineLvl w:val="1"/>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九</w:t>
      </w:r>
      <w:r>
        <w:rPr>
          <w:rFonts w:hint="eastAsia" w:ascii="宋体" w:hAnsi="宋体" w:eastAsia="宋体" w:cs="宋体"/>
          <w:b/>
          <w:bCs/>
          <w:color w:val="000000" w:themeColor="text1"/>
          <w:szCs w:val="28"/>
          <w14:textFill>
            <w14:solidFill>
              <w14:schemeClr w14:val="tx1"/>
            </w14:solidFill>
          </w14:textFill>
        </w:rPr>
        <w:t>、反商业贿赂承诺书</w:t>
      </w:r>
    </w:p>
    <w:p>
      <w:pPr>
        <w:keepNext w:val="0"/>
        <w:keepLines w:val="0"/>
        <w:pageBreakBefore w:val="0"/>
        <w:kinsoku/>
        <w:wordWrap/>
        <w:overflowPunct/>
        <w:bidi w:val="0"/>
        <w:spacing w:line="600" w:lineRule="exact"/>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项目名称：</w:t>
      </w:r>
    </w:p>
    <w:p>
      <w:pPr>
        <w:keepNext w:val="0"/>
        <w:keepLines w:val="0"/>
        <w:pageBreakBefore w:val="0"/>
        <w:kinsoku/>
        <w:wordWrap/>
        <w:overflowPunct/>
        <w:bidi w:val="0"/>
        <w:spacing w:line="600" w:lineRule="exact"/>
        <w:ind w:left="0" w:leftChars="0"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日期：</w:t>
      </w:r>
    </w:p>
    <w:p>
      <w:pPr>
        <w:keepNext w:val="0"/>
        <w:keepLines w:val="0"/>
        <w:pageBreakBefore w:val="0"/>
        <w:kinsoku/>
        <w:wordWrap/>
        <w:overflowPunct/>
        <w:bidi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致：（采购人）</w:t>
      </w:r>
    </w:p>
    <w:p>
      <w:pPr>
        <w:keepNext w:val="0"/>
        <w:keepLines w:val="0"/>
        <w:pageBreakBefore w:val="0"/>
        <w:kinsoku/>
        <w:wordWrap/>
        <w:overflowPunct/>
        <w:bidi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我代表（参选人名称），在此作如下承诺：</w:t>
      </w:r>
    </w:p>
    <w:p>
      <w:pPr>
        <w:keepNext w:val="0"/>
        <w:keepLines w:val="0"/>
        <w:pageBreakBefore w:val="0"/>
        <w:kinsoku/>
        <w:wordWrap/>
        <w:overflowPunct/>
        <w:bidi w:val="0"/>
        <w:spacing w:line="600" w:lineRule="exact"/>
        <w:ind w:left="0" w:leftChars="0" w:right="0" w:rightChars="0" w:firstLine="600" w:firstLineChars="25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一、不赠送礼金礼品、有价证券、购物券。</w:t>
      </w:r>
    </w:p>
    <w:p>
      <w:pPr>
        <w:keepNext w:val="0"/>
        <w:keepLines w:val="0"/>
        <w:pageBreakBefore w:val="0"/>
        <w:kinsoku/>
        <w:wordWrap/>
        <w:overflowPunct/>
        <w:bidi w:val="0"/>
        <w:spacing w:line="600" w:lineRule="exact"/>
        <w:ind w:left="0" w:leftChars="0" w:right="0" w:rightChars="0" w:firstLine="600" w:firstLineChars="25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二、不支付回扣、佣金、咨询费、劳务费、赞助费、宣传费。</w:t>
      </w:r>
    </w:p>
    <w:p>
      <w:pPr>
        <w:keepNext w:val="0"/>
        <w:keepLines w:val="0"/>
        <w:pageBreakBefore w:val="0"/>
        <w:kinsoku/>
        <w:wordWrap/>
        <w:overflowPunct/>
        <w:bidi w:val="0"/>
        <w:spacing w:line="600" w:lineRule="exact"/>
        <w:ind w:left="0" w:leftChars="0" w:right="0" w:rightChars="0" w:firstLine="600" w:firstLineChars="25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三、不支付旅游费用、不报销各种消费凭证、不邀请参加高消费娱乐活动。</w:t>
      </w:r>
    </w:p>
    <w:p>
      <w:pPr>
        <w:keepNext w:val="0"/>
        <w:keepLines w:val="0"/>
        <w:pageBreakBefore w:val="0"/>
        <w:kinsoku/>
        <w:wordWrap/>
        <w:overflowPunct/>
        <w:bidi w:val="0"/>
        <w:spacing w:line="600" w:lineRule="exact"/>
        <w:ind w:left="0" w:leftChars="0" w:right="0" w:rightChars="0" w:firstLine="600" w:firstLineChars="25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四、不宴请或以工作餐名义宴请。</w:t>
      </w:r>
    </w:p>
    <w:p>
      <w:pPr>
        <w:keepNext w:val="0"/>
        <w:keepLines w:val="0"/>
        <w:pageBreakBefore w:val="0"/>
        <w:kinsoku/>
        <w:wordWrap/>
        <w:overflowPunct/>
        <w:bidi w:val="0"/>
        <w:spacing w:line="600" w:lineRule="exact"/>
        <w:ind w:left="0" w:leftChars="0" w:right="0" w:rightChars="0" w:firstLine="600" w:firstLineChars="25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五、不以低于成本价出售该公司产品或代理商品。</w:t>
      </w:r>
    </w:p>
    <w:p>
      <w:pPr>
        <w:keepNext w:val="0"/>
        <w:keepLines w:val="0"/>
        <w:pageBreakBefore w:val="0"/>
        <w:kinsoku/>
        <w:wordWrap/>
        <w:overflowPunct/>
        <w:bidi w:val="0"/>
        <w:spacing w:line="600" w:lineRule="exact"/>
        <w:ind w:left="0" w:leftChars="0" w:right="0" w:rightChars="0" w:firstLine="600" w:firstLineChars="25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六、不提供交通车辆服务和油料。</w:t>
      </w:r>
    </w:p>
    <w:p>
      <w:pPr>
        <w:keepNext w:val="0"/>
        <w:keepLines w:val="0"/>
        <w:pageBreakBefore w:val="0"/>
        <w:kinsoku/>
        <w:wordWrap/>
        <w:overflowPunct/>
        <w:bidi w:val="0"/>
        <w:spacing w:line="600" w:lineRule="exact"/>
        <w:ind w:left="0" w:leftChars="0" w:right="0" w:rightChars="0" w:firstLine="600" w:firstLineChars="25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对此，我方将严格按承诺书中的各项要求执行，如有违反，将自愿接受限制一至三年服务资格的处罚。</w:t>
      </w:r>
    </w:p>
    <w:p>
      <w:pPr>
        <w:keepNext w:val="0"/>
        <w:keepLines w:val="0"/>
        <w:pageBreakBefore w:val="0"/>
        <w:kinsoku/>
        <w:wordWrap/>
        <w:overflowPunct/>
        <w:bidi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kinsoku/>
        <w:wordWrap/>
        <w:overflowPunct/>
        <w:bidi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负责人或其委托代理人（签章）：</w:t>
      </w:r>
    </w:p>
    <w:p>
      <w:pPr>
        <w:keepNext w:val="0"/>
        <w:keepLines w:val="0"/>
        <w:pageBreakBefore w:val="0"/>
        <w:kinsoku/>
        <w:wordWrap/>
        <w:overflowPunct/>
        <w:bidi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参选人公章：</w:t>
      </w:r>
    </w:p>
    <w:p>
      <w:pPr>
        <w:keepNext w:val="0"/>
        <w:keepLines w:val="0"/>
        <w:pageBreakBefore w:val="0"/>
        <w:kinsoku/>
        <w:wordWrap/>
        <w:overflowPunct/>
        <w:bidi w:val="0"/>
        <w:spacing w:line="600" w:lineRule="exact"/>
        <w:ind w:left="0" w:leftChars="0" w:right="0" w:rightChars="0" w:firstLine="480" w:firstLineChars="200"/>
        <w:jc w:val="righ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日期：</w:t>
      </w:r>
      <w:r>
        <w:rPr>
          <w:rFonts w:hint="eastAsia" w:ascii="宋体" w:hAns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年</w:t>
      </w:r>
      <w:r>
        <w:rPr>
          <w:rFonts w:hint="eastAsia" w:ascii="宋体" w:hAns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月</w:t>
      </w:r>
      <w:r>
        <w:rPr>
          <w:rFonts w:hint="eastAsia" w:ascii="宋体" w:hAns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1"/>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br w:type="page"/>
      </w:r>
      <w:r>
        <w:rPr>
          <w:rFonts w:hint="eastAsia" w:ascii="宋体" w:hAnsi="宋体" w:eastAsia="宋体" w:cs="宋体"/>
          <w:b/>
          <w:bCs/>
          <w:color w:val="000000" w:themeColor="text1"/>
          <w:kern w:val="0"/>
          <w14:textFill>
            <w14:solidFill>
              <w14:schemeClr w14:val="tx1"/>
            </w14:solidFill>
          </w14:textFill>
        </w:rPr>
        <w:t>十、</w:t>
      </w:r>
      <w:r>
        <w:rPr>
          <w:rFonts w:hint="eastAsia" w:ascii="宋体" w:hAnsi="宋体" w:eastAsia="宋体" w:cs="宋体"/>
          <w:b/>
          <w:bCs/>
          <w:color w:val="000000" w:themeColor="text1"/>
          <w:szCs w:val="28"/>
          <w14:textFill>
            <w14:solidFill>
              <w14:schemeClr w14:val="tx1"/>
            </w14:solidFill>
          </w14:textFill>
        </w:rPr>
        <w:t>入</w:t>
      </w:r>
      <w:r>
        <w:rPr>
          <w:rFonts w:hint="eastAsia" w:ascii="宋体" w:hAnsi="宋体" w:eastAsia="宋体" w:cs="宋体"/>
          <w:b/>
          <w:color w:val="000000" w:themeColor="text1"/>
          <w:szCs w:val="28"/>
          <w14:textFill>
            <w14:solidFill>
              <w14:schemeClr w14:val="tx1"/>
            </w14:solidFill>
          </w14:textFill>
        </w:rPr>
        <w:t>围基本资格条件承诺书</w:t>
      </w:r>
    </w:p>
    <w:p>
      <w:pPr>
        <w:keepNext w:val="0"/>
        <w:keepLines w:val="0"/>
        <w:pageBreakBefore w:val="0"/>
        <w:kinsoku/>
        <w:wordWrap/>
        <w:overflowPunct/>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入围基本资格条件承诺书</w:t>
      </w:r>
    </w:p>
    <w:p>
      <w:pPr>
        <w:keepNext w:val="0"/>
        <w:keepLines w:val="0"/>
        <w:pageBreakBefore w:val="0"/>
        <w:kinsoku/>
        <w:wordWrap/>
        <w:overflowPunct/>
        <w:bidi w:val="0"/>
        <w:adjustRightInd w:val="0"/>
        <w:snapToGrid w:val="0"/>
        <w:spacing w:line="600" w:lineRule="exact"/>
        <w:ind w:left="0" w:leftChars="0" w:right="0" w:rightChars="0" w:firstLine="0" w:firstLineChars="0"/>
        <w:textAlignment w:val="auto"/>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snapToGrid w:val="0"/>
          <w:color w:val="000000" w:themeColor="text1"/>
          <w:kern w:val="0"/>
          <w:position w:val="-2"/>
          <w:sz w:val="24"/>
          <w:szCs w:val="24"/>
          <w14:textFill>
            <w14:solidFill>
              <w14:schemeClr w14:val="tx1"/>
            </w14:solidFill>
          </w14:textFill>
        </w:rPr>
        <w:t>重庆三峡银行股份有限公司：</w:t>
      </w:r>
    </w:p>
    <w:p>
      <w:pPr>
        <w:keepNext w:val="0"/>
        <w:keepLines w:val="0"/>
        <w:pageBreakBefore w:val="0"/>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snapToGrid w:val="0"/>
          <w:color w:val="000000" w:themeColor="text1"/>
          <w:kern w:val="0"/>
          <w:position w:val="-2"/>
          <w:sz w:val="24"/>
          <w:szCs w:val="24"/>
          <w14:textFill>
            <w14:solidFill>
              <w14:schemeClr w14:val="tx1"/>
            </w14:solidFill>
          </w14:textFill>
        </w:rPr>
        <w:t>我单位作为申请人郑重承诺如下：</w:t>
      </w:r>
    </w:p>
    <w:p>
      <w:pPr>
        <w:keepNext w:val="0"/>
        <w:keepLines w:val="0"/>
        <w:pageBreakBefore w:val="0"/>
        <w:numPr>
          <w:ilvl w:val="0"/>
          <w:numId w:val="4"/>
        </w:numPr>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snapToGrid w:val="0"/>
          <w:color w:val="000000" w:themeColor="text1"/>
          <w:kern w:val="0"/>
          <w:position w:val="-2"/>
          <w:sz w:val="24"/>
          <w:szCs w:val="24"/>
          <w14:textFill>
            <w14:solidFill>
              <w14:schemeClr w14:val="tx1"/>
            </w14:solidFill>
          </w14:textFill>
        </w:rPr>
        <w:t>依法设立并取得执业许可证的供应商……</w:t>
      </w:r>
    </w:p>
    <w:p>
      <w:pPr>
        <w:keepNext w:val="0"/>
        <w:keepLines w:val="0"/>
        <w:pageBreakBefore w:val="0"/>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snapToGrid w:val="0"/>
          <w:color w:val="000000" w:themeColor="text1"/>
          <w:kern w:val="0"/>
          <w:position w:val="-2"/>
          <w:sz w:val="24"/>
          <w:szCs w:val="24"/>
          <w14:textFill>
            <w14:solidFill>
              <w14:schemeClr w14:val="tx1"/>
            </w14:solidFill>
          </w14:textFill>
        </w:rPr>
        <w:t>2、……</w:t>
      </w:r>
    </w:p>
    <w:p>
      <w:pPr>
        <w:keepNext w:val="0"/>
        <w:keepLines w:val="0"/>
        <w:pageBreakBefore w:val="0"/>
        <w:kinsoku/>
        <w:wordWrap/>
        <w:overflowPunct/>
        <w:bidi w:val="0"/>
        <w:adjustRightInd w:val="0"/>
        <w:snapToGrid w:val="0"/>
        <w:spacing w:line="600" w:lineRule="exact"/>
        <w:ind w:left="0" w:leftChars="0" w:right="0" w:rightChars="0"/>
        <w:textAlignment w:val="auto"/>
        <w:rPr>
          <w:rFonts w:hint="eastAsia" w:ascii="宋体" w:hAnsi="宋体" w:eastAsia="宋体" w:cs="宋体"/>
          <w:snapToGrid w:val="0"/>
          <w:color w:val="000000" w:themeColor="text1"/>
          <w:kern w:val="0"/>
          <w:position w:val="-2"/>
          <w:sz w:val="24"/>
          <w:szCs w:val="24"/>
          <w14:textFill>
            <w14:solidFill>
              <w14:schemeClr w14:val="tx1"/>
            </w14:solidFill>
          </w14:textFill>
        </w:rPr>
      </w:pPr>
    </w:p>
    <w:p>
      <w:pPr>
        <w:keepNext w:val="0"/>
        <w:keepLines w:val="0"/>
        <w:pageBreakBefore w:val="0"/>
        <w:kinsoku/>
        <w:wordWrap/>
        <w:overflowPunct/>
        <w:bidi w:val="0"/>
        <w:adjustRightInd w:val="0"/>
        <w:snapToGrid w:val="0"/>
        <w:spacing w:line="600" w:lineRule="exact"/>
        <w:ind w:left="0" w:leftChars="0" w:right="0" w:rightChars="0"/>
        <w:textAlignment w:val="auto"/>
        <w:rPr>
          <w:rFonts w:hint="eastAsia" w:ascii="宋体" w:hAnsi="宋体" w:eastAsia="宋体" w:cs="宋体"/>
          <w:snapToGrid w:val="0"/>
          <w:color w:val="000000" w:themeColor="text1"/>
          <w:kern w:val="0"/>
          <w:position w:val="-2"/>
          <w:sz w:val="24"/>
          <w:szCs w:val="24"/>
          <w14:textFill>
            <w14:solidFill>
              <w14:schemeClr w14:val="tx1"/>
            </w14:solidFill>
          </w14:textFill>
        </w:rPr>
      </w:pPr>
    </w:p>
    <w:p>
      <w:pPr>
        <w:keepNext w:val="0"/>
        <w:keepLines w:val="0"/>
        <w:pageBreakBefore w:val="0"/>
        <w:kinsoku/>
        <w:wordWrap/>
        <w:overflowPunct/>
        <w:bidi w:val="0"/>
        <w:adjustRightInd w:val="0"/>
        <w:snapToGrid w:val="0"/>
        <w:spacing w:line="600" w:lineRule="exact"/>
        <w:ind w:left="0" w:leftChars="0" w:right="0" w:rightChars="0"/>
        <w:textAlignment w:val="auto"/>
        <w:rPr>
          <w:rFonts w:hint="eastAsia" w:ascii="宋体" w:hAnsi="宋体" w:eastAsia="宋体" w:cs="宋体"/>
          <w:snapToGrid w:val="0"/>
          <w:color w:val="000000" w:themeColor="text1"/>
          <w:kern w:val="0"/>
          <w:position w:val="-2"/>
          <w:sz w:val="24"/>
          <w:szCs w:val="24"/>
          <w14:textFill>
            <w14:solidFill>
              <w14:schemeClr w14:val="tx1"/>
            </w14:solidFill>
          </w14:textFill>
        </w:rPr>
      </w:pPr>
    </w:p>
    <w:p>
      <w:pPr>
        <w:keepNext w:val="0"/>
        <w:keepLines w:val="0"/>
        <w:pageBreakBefore w:val="0"/>
        <w:kinsoku/>
        <w:wordWrap/>
        <w:overflowPunct/>
        <w:bidi w:val="0"/>
        <w:adjustRightInd w:val="0"/>
        <w:snapToGrid w:val="0"/>
        <w:spacing w:line="600" w:lineRule="exact"/>
        <w:ind w:left="0" w:leftChars="0" w:right="0" w:rightChars="0"/>
        <w:textAlignment w:val="auto"/>
        <w:rPr>
          <w:rFonts w:hint="eastAsia" w:ascii="宋体" w:hAnsi="宋体" w:eastAsia="宋体" w:cs="宋体"/>
          <w:snapToGrid w:val="0"/>
          <w:color w:val="000000" w:themeColor="text1"/>
          <w:kern w:val="0"/>
          <w:position w:val="-2"/>
          <w:sz w:val="24"/>
          <w:szCs w:val="24"/>
          <w14:textFill>
            <w14:solidFill>
              <w14:schemeClr w14:val="tx1"/>
            </w14:solidFill>
          </w14:textFill>
        </w:rPr>
      </w:pPr>
    </w:p>
    <w:p>
      <w:pPr>
        <w:keepNext w:val="0"/>
        <w:keepLines w:val="0"/>
        <w:pageBreakBefore w:val="0"/>
        <w:kinsoku/>
        <w:wordWrap/>
        <w:overflowPunct/>
        <w:bidi w:val="0"/>
        <w:adjustRightInd w:val="0"/>
        <w:snapToGrid w:val="0"/>
        <w:spacing w:line="600" w:lineRule="exact"/>
        <w:ind w:left="0" w:leftChars="0" w:right="0" w:rightChars="0"/>
        <w:textAlignment w:val="auto"/>
        <w:rPr>
          <w:rFonts w:hint="eastAsia" w:ascii="宋体" w:hAnsi="宋体" w:eastAsia="宋体" w:cs="宋体"/>
          <w:snapToGrid w:val="0"/>
          <w:color w:val="000000" w:themeColor="text1"/>
          <w:kern w:val="0"/>
          <w:position w:val="-2"/>
          <w:sz w:val="24"/>
          <w:szCs w:val="24"/>
          <w14:textFill>
            <w14:solidFill>
              <w14:schemeClr w14:val="tx1"/>
            </w14:solidFill>
          </w14:textFill>
        </w:rPr>
      </w:pPr>
    </w:p>
    <w:p>
      <w:pPr>
        <w:keepNext w:val="0"/>
        <w:keepLines w:val="0"/>
        <w:pageBreakBefore w:val="0"/>
        <w:kinsoku/>
        <w:wordWrap/>
        <w:overflowPunct/>
        <w:bidi w:val="0"/>
        <w:adjustRightInd w:val="0"/>
        <w:snapToGrid w:val="0"/>
        <w:spacing w:line="600" w:lineRule="exact"/>
        <w:ind w:left="0" w:leftChars="0" w:right="0" w:rightChars="0"/>
        <w:textAlignment w:val="auto"/>
        <w:rPr>
          <w:rFonts w:hint="eastAsia" w:ascii="宋体" w:hAnsi="宋体" w:eastAsia="宋体" w:cs="宋体"/>
          <w:snapToGrid w:val="0"/>
          <w:color w:val="000000" w:themeColor="text1"/>
          <w:kern w:val="0"/>
          <w:position w:val="-2"/>
          <w:sz w:val="24"/>
          <w:szCs w:val="24"/>
          <w14:textFill>
            <w14:solidFill>
              <w14:schemeClr w14:val="tx1"/>
            </w14:solidFill>
          </w14:textFill>
        </w:rPr>
      </w:pPr>
    </w:p>
    <w:p>
      <w:pPr>
        <w:keepNext w:val="0"/>
        <w:keepLines w:val="0"/>
        <w:pageBreakBefore w:val="0"/>
        <w:kinsoku/>
        <w:wordWrap/>
        <w:overflowPunct/>
        <w:bidi w:val="0"/>
        <w:snapToGrid w:val="0"/>
        <w:spacing w:line="600" w:lineRule="exact"/>
        <w:ind w:left="0" w:leftChars="0" w:right="0" w:rightChars="0"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snapToGrid w:val="0"/>
          <w:color w:val="000000" w:themeColor="text1"/>
          <w:kern w:val="0"/>
          <w:position w:val="-2"/>
          <w:sz w:val="24"/>
          <w:szCs w:val="24"/>
          <w14:textFill>
            <w14:solidFill>
              <w14:schemeClr w14:val="tx1"/>
            </w14:solidFill>
          </w14:textFill>
        </w:rPr>
        <w:t>(承诺内容根据本文件第一章比选公告二、参选人资格要求中关于评估机构入围的基本资格条件的全部内容进行承诺，格式自拟</w:t>
      </w:r>
      <w:r>
        <w:rPr>
          <w:rFonts w:hint="eastAsia" w:ascii="宋体" w:hAnsi="宋体" w:eastAsia="宋体" w:cs="宋体"/>
          <w:b/>
          <w:color w:val="000000" w:themeColor="text1"/>
          <w:kern w:val="0"/>
          <w:position w:val="-2"/>
          <w:sz w:val="24"/>
          <w:szCs w:val="24"/>
          <w14:textFill>
            <w14:solidFill>
              <w14:schemeClr w14:val="tx1"/>
            </w14:solidFill>
          </w14:textFill>
        </w:rPr>
        <w:t>)</w:t>
      </w:r>
    </w:p>
    <w:p>
      <w:pPr>
        <w:keepNext w:val="0"/>
        <w:keepLines w:val="0"/>
        <w:pageBreakBefore w:val="0"/>
        <w:kinsoku/>
        <w:wordWrap/>
        <w:overflowPunct/>
        <w:bidi w:val="0"/>
        <w:adjustRightInd w:val="0"/>
        <w:snapToGrid w:val="0"/>
        <w:spacing w:line="600" w:lineRule="exact"/>
        <w:ind w:left="0" w:leftChars="0" w:right="0" w:rightChars="0"/>
        <w:textAlignment w:val="auto"/>
        <w:rPr>
          <w:rFonts w:hint="eastAsia" w:ascii="宋体" w:hAnsi="宋体" w:eastAsia="宋体" w:cs="宋体"/>
          <w:snapToGrid w:val="0"/>
          <w:color w:val="000000" w:themeColor="text1"/>
          <w:kern w:val="0"/>
          <w:position w:val="-2"/>
          <w:sz w:val="24"/>
          <w:szCs w:val="24"/>
          <w14:textFill>
            <w14:solidFill>
              <w14:schemeClr w14:val="tx1"/>
            </w14:solidFill>
          </w14:textFill>
        </w:rPr>
      </w:pPr>
    </w:p>
    <w:p>
      <w:pPr>
        <w:keepNext w:val="0"/>
        <w:keepLines w:val="0"/>
        <w:pageBreakBefore w:val="0"/>
        <w:kinsoku/>
        <w:wordWrap/>
        <w:overflowPunct/>
        <w:bidi w:val="0"/>
        <w:adjustRightInd w:val="0"/>
        <w:snapToGrid w:val="0"/>
        <w:spacing w:line="600" w:lineRule="exact"/>
        <w:ind w:left="0" w:leftChars="0" w:right="0" w:rightChars="0"/>
        <w:textAlignment w:val="auto"/>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snapToGrid w:val="0"/>
          <w:color w:val="000000" w:themeColor="text1"/>
          <w:kern w:val="0"/>
          <w:position w:val="-2"/>
          <w:sz w:val="24"/>
          <w:szCs w:val="24"/>
          <w14:textFill>
            <w14:solidFill>
              <w14:schemeClr w14:val="tx1"/>
            </w14:solidFill>
          </w14:textFill>
        </w:rPr>
        <w:t>申请人：（盖章）</w:t>
      </w:r>
    </w:p>
    <w:p>
      <w:pPr>
        <w:keepNext w:val="0"/>
        <w:keepLines w:val="0"/>
        <w:pageBreakBefore w:val="0"/>
        <w:kinsoku/>
        <w:wordWrap/>
        <w:overflowPunct/>
        <w:bidi w:val="0"/>
        <w:adjustRightInd w:val="0"/>
        <w:snapToGrid w:val="0"/>
        <w:spacing w:line="600" w:lineRule="exact"/>
        <w:ind w:left="0" w:leftChars="0" w:right="0" w:rightChars="0"/>
        <w:textAlignment w:val="auto"/>
        <w:rPr>
          <w:rFonts w:hint="eastAsia" w:ascii="宋体" w:hAnsi="宋体" w:eastAsia="宋体" w:cs="宋体"/>
          <w:snapToGrid w:val="0"/>
          <w:color w:val="000000" w:themeColor="text1"/>
          <w:kern w:val="0"/>
          <w:position w:val="-2"/>
          <w:sz w:val="24"/>
          <w:szCs w:val="24"/>
          <w14:textFill>
            <w14:solidFill>
              <w14:schemeClr w14:val="tx1"/>
            </w14:solidFill>
          </w14:textFill>
        </w:rPr>
      </w:pPr>
    </w:p>
    <w:p>
      <w:pPr>
        <w:keepNext w:val="0"/>
        <w:keepLines w:val="0"/>
        <w:pageBreakBefore w:val="0"/>
        <w:kinsoku/>
        <w:wordWrap/>
        <w:overflowPunct/>
        <w:bidi w:val="0"/>
        <w:adjustRightInd w:val="0"/>
        <w:snapToGrid w:val="0"/>
        <w:spacing w:line="600" w:lineRule="exact"/>
        <w:ind w:left="0" w:leftChars="0"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kern w:val="0"/>
          <w:position w:val="-2"/>
          <w:sz w:val="24"/>
          <w:szCs w:val="24"/>
          <w14:textFill>
            <w14:solidFill>
              <w14:schemeClr w14:val="tx1"/>
            </w14:solidFill>
          </w14:textFill>
        </w:rPr>
        <w:t>法定代表人</w:t>
      </w:r>
      <w:r>
        <w:rPr>
          <w:rFonts w:hint="eastAsia" w:ascii="宋体" w:hAnsi="宋体" w:eastAsia="宋体" w:cs="宋体"/>
          <w:color w:val="000000" w:themeColor="text1"/>
          <w:kern w:val="0"/>
          <w:position w:val="-2"/>
          <w:sz w:val="24"/>
          <w:szCs w:val="24"/>
          <w14:textFill>
            <w14:solidFill>
              <w14:schemeClr w14:val="tx1"/>
            </w14:solidFill>
          </w14:textFill>
        </w:rPr>
        <w:t>/</w:t>
      </w:r>
      <w:r>
        <w:rPr>
          <w:rFonts w:hint="eastAsia" w:ascii="宋体" w:hAnsi="宋体" w:eastAsia="宋体" w:cs="宋体"/>
          <w:snapToGrid w:val="0"/>
          <w:color w:val="000000" w:themeColor="text1"/>
          <w:kern w:val="0"/>
          <w:position w:val="-2"/>
          <w:sz w:val="24"/>
          <w:szCs w:val="24"/>
          <w14:textFill>
            <w14:solidFill>
              <w14:schemeClr w14:val="tx1"/>
            </w14:solidFill>
          </w14:textFill>
        </w:rPr>
        <w:t>被授权人签字</w:t>
      </w:r>
      <w:r>
        <w:rPr>
          <w:rFonts w:hint="eastAsia" w:ascii="宋体" w:hAnsi="宋体" w:eastAsia="宋体" w:cs="宋体"/>
          <w:color w:val="000000" w:themeColor="text1"/>
          <w:kern w:val="0"/>
          <w:position w:val="-2"/>
          <w:sz w:val="24"/>
          <w:szCs w:val="24"/>
          <w14:textFill>
            <w14:solidFill>
              <w14:schemeClr w14:val="tx1"/>
            </w14:solidFill>
          </w14:textFill>
        </w:rPr>
        <w:t xml:space="preserve"> :</w:t>
      </w:r>
    </w:p>
    <w:p>
      <w:pPr>
        <w:keepNext w:val="0"/>
        <w:keepLines w:val="0"/>
        <w:pageBreakBefore w:val="0"/>
        <w:tabs>
          <w:tab w:val="left" w:pos="1440"/>
        </w:tabs>
        <w:kinsoku/>
        <w:wordWrap/>
        <w:overflowPunct/>
        <w:bidi w:val="0"/>
        <w:spacing w:line="600" w:lineRule="exact"/>
        <w:ind w:left="0" w:leftChars="0" w:right="0" w:rightChars="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bidi w:val="0"/>
        <w:adjustRightInd w:val="0"/>
        <w:snapToGrid w:val="0"/>
        <w:spacing w:line="600" w:lineRule="exact"/>
        <w:ind w:right="0" w:rightChars="0" w:firstLine="1200" w:firstLineChars="500"/>
        <w:textAlignment w:val="auto"/>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snapToGrid w:val="0"/>
          <w:color w:val="000000" w:themeColor="text1"/>
          <w:kern w:val="0"/>
          <w:position w:val="-2"/>
          <w:sz w:val="24"/>
          <w:szCs w:val="24"/>
          <w14:textFill>
            <w14:solidFill>
              <w14:schemeClr w14:val="tx1"/>
            </w14:solidFill>
          </w14:textFill>
        </w:rPr>
        <w:t>年</w:t>
      </w:r>
      <w:r>
        <w:rPr>
          <w:rFonts w:hint="eastAsia" w:ascii="宋体" w:hAnsi="宋体" w:eastAsia="宋体" w:cs="宋体"/>
          <w:snapToGrid w:val="0"/>
          <w:color w:val="000000" w:themeColor="text1"/>
          <w:kern w:val="0"/>
          <w:position w:val="-2"/>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position w:val="-2"/>
          <w:sz w:val="24"/>
          <w:szCs w:val="24"/>
          <w14:textFill>
            <w14:solidFill>
              <w14:schemeClr w14:val="tx1"/>
            </w14:solidFill>
          </w14:textFill>
        </w:rPr>
        <w:t>月</w:t>
      </w:r>
      <w:r>
        <w:rPr>
          <w:rFonts w:hint="eastAsia" w:ascii="宋体" w:hAnsi="宋体" w:eastAsia="宋体" w:cs="宋体"/>
          <w:snapToGrid w:val="0"/>
          <w:color w:val="000000" w:themeColor="text1"/>
          <w:kern w:val="0"/>
          <w:position w:val="-2"/>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position w:val="-2"/>
          <w:sz w:val="24"/>
          <w:szCs w:val="24"/>
          <w14:textFill>
            <w14:solidFill>
              <w14:schemeClr w14:val="tx1"/>
            </w14:solidFill>
          </w14:textFill>
        </w:rPr>
        <w:t>日</w:t>
      </w:r>
    </w:p>
    <w:p>
      <w:pPr>
        <w:keepNext w:val="0"/>
        <w:keepLines w:val="0"/>
        <w:pageBreakBefore w:val="0"/>
        <w:kinsoku/>
        <w:wordWrap/>
        <w:overflowPunct/>
        <w:bidi w:val="0"/>
        <w:spacing w:line="600" w:lineRule="exact"/>
        <w:ind w:left="0" w:leftChars="0" w:right="0" w:rightChars="0"/>
        <w:jc w:val="center"/>
        <w:textAlignment w:val="auto"/>
        <w:rPr>
          <w:rFonts w:hint="eastAsia" w:ascii="宋体" w:hAnsi="宋体" w:eastAsia="宋体" w:cs="宋体"/>
          <w:color w:val="000000" w:themeColor="text1"/>
          <w:szCs w:val="28"/>
          <w14:textFill>
            <w14:solidFill>
              <w14:schemeClr w14:val="tx1"/>
            </w14:solidFill>
          </w14:textFill>
        </w:rPr>
      </w:pPr>
    </w:p>
    <w:p>
      <w:pPr>
        <w:pStyle w:val="9"/>
        <w:rPr>
          <w:rFonts w:hint="eastAsia"/>
        </w:rPr>
        <w:sectPr>
          <w:pgSz w:w="11906" w:h="16838"/>
          <w:pgMar w:top="1440" w:right="1800" w:bottom="1440" w:left="1800" w:header="851" w:footer="992" w:gutter="0"/>
          <w:cols w:space="720" w:num="1"/>
          <w:docGrid w:type="lines" w:linePitch="312" w:charSpace="0"/>
        </w:sectPr>
      </w:pPr>
    </w:p>
    <w:p>
      <w:pPr>
        <w:pStyle w:val="3"/>
        <w:keepNext w:val="0"/>
        <w:keepLines w:val="0"/>
        <w:pageBreakBefore w:val="0"/>
        <w:kinsoku/>
        <w:wordWrap/>
        <w:overflowPunct/>
        <w:bidi w:val="0"/>
        <w:spacing w:line="600" w:lineRule="exact"/>
        <w:ind w:left="0" w:leftChars="0" w:right="0" w:rightChars="0" w:firstLine="0" w:firstLineChars="0"/>
        <w:jc w:val="center"/>
        <w:textAlignment w:val="auto"/>
        <w:rPr>
          <w:rFonts w:hint="eastAsia" w:ascii="宋体" w:hAnsi="宋体" w:eastAsia="宋体" w:cs="宋体"/>
          <w:b w:val="0"/>
          <w:color w:val="000000" w:themeColor="text1"/>
          <w:kern w:val="0"/>
          <w:sz w:val="32"/>
          <w14:textFill>
            <w14:solidFill>
              <w14:schemeClr w14:val="tx1"/>
            </w14:solidFill>
          </w14:textFill>
        </w:rPr>
      </w:pPr>
      <w:r>
        <w:rPr>
          <w:rFonts w:hint="eastAsia" w:ascii="宋体" w:hAnsi="宋体" w:eastAsia="宋体" w:cs="宋体"/>
          <w:bCs w:val="0"/>
          <w:snapToGrid/>
          <w:color w:val="000000" w:themeColor="text1"/>
          <w:sz w:val="28"/>
          <w:szCs w:val="28"/>
          <w14:textFill>
            <w14:solidFill>
              <w14:schemeClr w14:val="tx1"/>
            </w14:solidFill>
          </w14:textFill>
        </w:rPr>
        <w:t>十一、参选人业绩证明文件复印件</w:t>
      </w:r>
    </w:p>
    <w:p>
      <w:pPr>
        <w:keepNext w:val="0"/>
        <w:keepLines w:val="0"/>
        <w:pageBreakBefore w:val="0"/>
        <w:tabs>
          <w:tab w:val="left" w:pos="6300"/>
        </w:tabs>
        <w:kinsoku/>
        <w:wordWrap/>
        <w:overflowPunct/>
        <w:bidi w:val="0"/>
        <w:snapToGrid w:val="0"/>
        <w:spacing w:line="600" w:lineRule="exact"/>
        <w:ind w:left="0" w:leftChars="0" w:right="0" w:rightChars="0"/>
        <w:jc w:val="center"/>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（资质、中选通知书、合同等）</w:t>
      </w:r>
    </w:p>
    <w:p>
      <w:pPr>
        <w:keepNext w:val="0"/>
        <w:keepLines w:val="0"/>
        <w:pageBreakBefore w:val="0"/>
        <w:kinsoku/>
        <w:wordWrap/>
        <w:overflowPunct/>
        <w:bidi w:val="0"/>
        <w:adjustRightInd w:val="0"/>
        <w:snapToGrid w:val="0"/>
        <w:spacing w:line="600" w:lineRule="exact"/>
        <w:ind w:left="0" w:leftChars="0" w:right="0" w:rightChars="0"/>
        <w:textAlignment w:val="auto"/>
        <w:rPr>
          <w:rFonts w:hint="eastAsia" w:ascii="宋体" w:hAnsi="宋体" w:eastAsia="宋体" w:cs="宋体"/>
          <w:b/>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br w:type="page"/>
      </w:r>
    </w:p>
    <w:p>
      <w:pPr>
        <w:keepNext w:val="0"/>
        <w:keepLines w:val="0"/>
        <w:pageBreakBefore w:val="0"/>
        <w:widowControl/>
        <w:kinsoku/>
        <w:wordWrap/>
        <w:overflowPunct/>
        <w:bidi w:val="0"/>
        <w:spacing w:line="600" w:lineRule="exact"/>
        <w:ind w:left="0" w:leftChars="0" w:right="0" w:rightChars="0"/>
        <w:jc w:val="center"/>
        <w:textAlignment w:val="auto"/>
        <w:outlineLvl w:val="1"/>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十二、申请人的评估服务方案或证明材料等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附表1：评估机构在渝办公场地明细表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object>
          <v:shape id="_x0000_i1025" o:spt="75" type="#_x0000_t75" style="height:46.8pt;width:75.6pt;" o:ole="t" filled="f" o:preferrelative="t" stroked="f" coordsize="21600,21600">
            <v:path/>
            <v:fill on="f" focussize="0,0"/>
            <v:stroke on="f" joinstyle="miter"/>
            <v:imagedata r:id="rId11" o:title=""/>
            <o:lock v:ext="edit" aspectratio="t"/>
            <w10:wrap type="none"/>
            <w10:anchorlock/>
          </v:shape>
          <o:OLEObject Type="Embed" ProgID="Excel.Sheet.12" ShapeID="_x0000_i1025" DrawAspect="Icon" ObjectID="_1468075725" r:id="rId10">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附表2：评估机构银行业金融机构合作情况表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object>
          <v:shape id="_x0000_i1026" o:spt="75" type="#_x0000_t75" style="height:46.8pt;width:75.6pt;" o:ole="t" filled="f" o:preferrelative="t" stroked="f" coordsize="21600,21600">
            <v:path/>
            <v:fill on="f" focussize="0,0"/>
            <v:stroke on="f" joinstyle="miter"/>
            <v:imagedata r:id="rId13" o:title=""/>
            <o:lock v:ext="edit" aspectratio="t"/>
            <w10:wrap type="none"/>
            <w10:anchorlock/>
          </v:shape>
          <o:OLEObject Type="Embed" ProgID="Excel.Sheet.12" ShapeID="_x0000_i1026" DrawAspect="Icon" ObjectID="_1468075726" r:id="rId12">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附表3：评估机构评估服务团队具体情况表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object>
          <v:shape id="_x0000_i1027" o:spt="75" type="#_x0000_t75" style="height:46.8pt;width:75.6pt;" o:ole="t" filled="f" o:preferrelative="t" stroked="f" coordsize="21600,21600">
            <v:path/>
            <v:fill on="f" focussize="0,0"/>
            <v:stroke on="f" joinstyle="miter"/>
            <v:imagedata r:id="rId15" o:title=""/>
            <o:lock v:ext="edit" aspectratio="t"/>
            <w10:wrap type="none"/>
            <w10:anchorlock/>
          </v:shape>
          <o:OLEObject Type="Embed" ProgID="Excel.Sheet.12" ShapeID="_x0000_i1027" DrawAspect="Icon" ObjectID="_1468075727" r:id="rId14">
            <o:LockedField>false</o:LockedField>
          </o:OLEObject>
        </w:object>
      </w:r>
    </w:p>
    <w:p>
      <w:pPr>
        <w:keepNext w:val="0"/>
        <w:keepLines w:val="0"/>
        <w:pageBreakBefore w:val="0"/>
        <w:kinsoku/>
        <w:wordWrap/>
        <w:overflowPunct/>
        <w:bidi w:val="0"/>
        <w:spacing w:line="600" w:lineRule="exact"/>
        <w:ind w:left="0" w:leftChars="0" w:right="0" w:rightChars="0" w:firstLine="480" w:firstLineChars="200"/>
        <w:textAlignment w:val="auto"/>
        <w:rPr>
          <w:rFonts w:hint="eastAsia" w:ascii="宋体" w:hAnsi="宋体" w:eastAsia="宋体" w:cs="宋体"/>
          <w:color w:val="000000" w:themeColor="text1"/>
          <w:szCs w:val="28"/>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pStyle w:val="3"/>
        <w:keepNext w:val="0"/>
        <w:keepLines w:val="0"/>
        <w:pageBreakBefore w:val="0"/>
        <w:kinsoku/>
        <w:wordWrap/>
        <w:overflowPunct/>
        <w:bidi w:val="0"/>
        <w:spacing w:line="600" w:lineRule="exact"/>
        <w:ind w:left="0" w:leftChars="0" w:right="0" w:rightChars="0" w:firstLine="0" w:firstLineChars="0"/>
        <w:jc w:val="center"/>
        <w:textAlignment w:val="auto"/>
        <w:rPr>
          <w:rFonts w:hint="eastAsia" w:ascii="宋体" w:hAnsi="宋体" w:eastAsia="宋体" w:cs="宋体"/>
          <w:bCs w:val="0"/>
          <w:snapToGrid/>
          <w:color w:val="000000" w:themeColor="text1"/>
          <w:sz w:val="28"/>
          <w:szCs w:val="28"/>
          <w14:textFill>
            <w14:solidFill>
              <w14:schemeClr w14:val="tx1"/>
            </w14:solidFill>
          </w14:textFill>
        </w:rPr>
      </w:pPr>
      <w:r>
        <w:rPr>
          <w:rFonts w:hint="eastAsia" w:ascii="宋体" w:hAnsi="宋体" w:eastAsia="宋体" w:cs="宋体"/>
          <w:bCs w:val="0"/>
          <w:snapToGrid/>
          <w:color w:val="000000" w:themeColor="text1"/>
          <w:sz w:val="28"/>
          <w:szCs w:val="28"/>
          <w14:textFill>
            <w14:solidFill>
              <w14:schemeClr w14:val="tx1"/>
            </w14:solidFill>
          </w14:textFill>
        </w:rPr>
        <w:t>十三、参选保证金</w:t>
      </w:r>
    </w:p>
    <w:p>
      <w:pPr>
        <w:keepNext w:val="0"/>
        <w:keepLines w:val="0"/>
        <w:pageBreakBefore w:val="0"/>
        <w:kinsoku/>
        <w:wordWrap/>
        <w:overflowPunct/>
        <w:bidi w:val="0"/>
        <w:spacing w:line="600" w:lineRule="exact"/>
        <w:ind w:left="0" w:leftChars="0" w:right="0" w:rightChars="0" w:firstLine="480" w:firstLineChars="200"/>
        <w:textAlignment w:val="auto"/>
        <w:rPr>
          <w:rFonts w:hint="eastAsia" w:ascii="宋体" w:hAnsi="宋体" w:eastAsia="宋体" w:cs="宋体"/>
          <w:color w:val="000000" w:themeColor="text1"/>
          <w:szCs w:val="28"/>
          <w14:textFill>
            <w14:solidFill>
              <w14:schemeClr w14:val="tx1"/>
            </w14:solidFill>
          </w14:textFill>
        </w:rPr>
      </w:pPr>
    </w:p>
    <w:p>
      <w:pPr>
        <w:keepNext w:val="0"/>
        <w:keepLines w:val="0"/>
        <w:pageBreakBefore w:val="0"/>
        <w:kinsoku/>
        <w:wordWrap/>
        <w:overflowPunct/>
        <w:bidi w:val="0"/>
        <w:spacing w:line="600" w:lineRule="exact"/>
        <w:ind w:left="0" w:leftChars="0" w:right="0" w:rightChars="0" w:firstLine="480" w:firstLineChars="200"/>
        <w:textAlignment w:val="auto"/>
        <w:rPr>
          <w:rFonts w:hint="eastAsia" w:ascii="宋体" w:hAnsi="宋体" w:eastAsia="宋体" w:cs="宋体"/>
          <w:color w:val="000000" w:themeColor="text1"/>
          <w:szCs w:val="28"/>
          <w14:textFill>
            <w14:solidFill>
              <w14:schemeClr w14:val="tx1"/>
            </w14:solidFill>
          </w14:textFill>
        </w:rPr>
      </w:pPr>
    </w:p>
    <w:p>
      <w:pPr>
        <w:keepNext w:val="0"/>
        <w:keepLines w:val="0"/>
        <w:pageBreakBefore w:val="0"/>
        <w:kinsoku/>
        <w:wordWrap/>
        <w:overflowPunct/>
        <w:bidi w:val="0"/>
        <w:spacing w:line="600" w:lineRule="exact"/>
        <w:ind w:left="0" w:leftChars="0" w:right="0" w:rightChars="0" w:firstLine="480" w:firstLineChars="200"/>
        <w:textAlignment w:val="auto"/>
        <w:rPr>
          <w:rFonts w:hint="eastAsia" w:ascii="宋体" w:hAnsi="宋体" w:eastAsia="宋体" w:cs="宋体"/>
          <w:color w:val="000000" w:themeColor="text1"/>
          <w:szCs w:val="28"/>
          <w14:textFill>
            <w14:solidFill>
              <w14:schemeClr w14:val="tx1"/>
            </w14:solidFill>
          </w14:textFill>
        </w:rPr>
      </w:pPr>
    </w:p>
    <w:p>
      <w:pPr>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szCs w:val="28"/>
          <w14:textFill>
            <w14:solidFill>
              <w14:schemeClr w14:val="tx1"/>
            </w14:solidFill>
          </w14:textFill>
        </w:rPr>
      </w:pPr>
    </w:p>
    <w:p>
      <w:pPr>
        <w:pStyle w:val="13"/>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szCs w:val="28"/>
          <w14:textFill>
            <w14:solidFill>
              <w14:schemeClr w14:val="tx1"/>
            </w14:solidFill>
          </w14:textFill>
        </w:rPr>
      </w:pPr>
    </w:p>
    <w:p>
      <w:pPr>
        <w:pStyle w:val="13"/>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szCs w:val="28"/>
          <w14:textFill>
            <w14:solidFill>
              <w14:schemeClr w14:val="tx1"/>
            </w14:solidFill>
          </w14:textFill>
        </w:rPr>
      </w:pPr>
    </w:p>
    <w:p>
      <w:pPr>
        <w:pStyle w:val="13"/>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szCs w:val="28"/>
          <w14:textFill>
            <w14:solidFill>
              <w14:schemeClr w14:val="tx1"/>
            </w14:solidFill>
          </w14:textFill>
        </w:rPr>
      </w:pPr>
    </w:p>
    <w:p>
      <w:pPr>
        <w:pStyle w:val="13"/>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szCs w:val="28"/>
          <w14:textFill>
            <w14:solidFill>
              <w14:schemeClr w14:val="tx1"/>
            </w14:solidFill>
          </w14:textFill>
        </w:rPr>
      </w:pPr>
    </w:p>
    <w:p>
      <w:pPr>
        <w:pStyle w:val="13"/>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szCs w:val="28"/>
          <w14:textFill>
            <w14:solidFill>
              <w14:schemeClr w14:val="tx1"/>
            </w14:solidFill>
          </w14:textFill>
        </w:rPr>
      </w:pPr>
    </w:p>
    <w:p>
      <w:pPr>
        <w:pStyle w:val="13"/>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szCs w:val="28"/>
          <w14:textFill>
            <w14:solidFill>
              <w14:schemeClr w14:val="tx1"/>
            </w14:solidFill>
          </w14:textFill>
        </w:rPr>
      </w:pPr>
    </w:p>
    <w:p>
      <w:pPr>
        <w:pStyle w:val="13"/>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color w:val="000000" w:themeColor="text1"/>
          <w14:textFill>
            <w14:solidFill>
              <w14:schemeClr w14:val="tx1"/>
            </w14:solidFill>
          </w14:textFill>
        </w:rPr>
      </w:pPr>
    </w:p>
    <w:p>
      <w:pPr>
        <w:keepNext w:val="0"/>
        <w:keepLines w:val="0"/>
        <w:pageBreakBefore w:val="0"/>
        <w:kinsoku/>
        <w:wordWrap/>
        <w:overflowPunct/>
        <w:autoSpaceDE w:val="0"/>
        <w:autoSpaceDN w:val="0"/>
        <w:bidi w:val="0"/>
        <w:adjustRightInd w:val="0"/>
        <w:snapToGrid w:val="0"/>
        <w:spacing w:line="600" w:lineRule="exact"/>
        <w:ind w:left="0" w:leftChars="0" w:right="0" w:rightChars="0"/>
        <w:jc w:val="left"/>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a:effectLst/>
                      </wps:spPr>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FANztUAAAAIAQAADwAAAAAA&#10;AAABACAAAAAiAAAAZHJzL2Rvd25yZXYueG1sUEsBAhQAFAAAAAgAh07iQB+PUEPdAQAApwMAAA4A&#10;AAAAAAAAAQAgAAAAJAEAAGRycy9lMm9Eb2MueG1sUEsFBgAAAAAGAAYAWQEAAHMFAAAAAA==&#10;">
                <v:fill on="f" focussize="0,0"/>
                <v:stroke weight="0.25pt" color="#000000" joinstyle="miter"/>
                <v:imagedata o:title=""/>
                <o:lock v:ext="edit" aspectratio="f"/>
              </v:line>
            </w:pict>
          </mc:Fallback>
        </mc:AlternateContent>
      </w:r>
    </w:p>
    <w:p>
      <w:pPr>
        <w:keepNext w:val="0"/>
        <w:keepLines w:val="0"/>
        <w:pageBreakBefore w:val="0"/>
        <w:tabs>
          <w:tab w:val="left" w:pos="6300"/>
        </w:tabs>
        <w:kinsoku/>
        <w:wordWrap/>
        <w:overflowPunct/>
        <w:bidi w:val="0"/>
        <w:snapToGrid w:val="0"/>
        <w:spacing w:line="600" w:lineRule="exact"/>
        <w:ind w:left="0" w:leftChars="0" w:right="0" w:rightChars="0" w:firstLine="570"/>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注：附</w:t>
      </w: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snapToGrid w:val="0"/>
          <w:color w:val="000000" w:themeColor="text1"/>
          <w:kern w:val="0"/>
          <w:sz w:val="24"/>
          <w14:textFill>
            <w14:solidFill>
              <w14:schemeClr w14:val="tx1"/>
            </w14:solidFill>
          </w14:textFill>
        </w:rPr>
        <w:t>保证金交款凭据复印件</w:t>
      </w:r>
    </w:p>
    <w:p>
      <w:pPr>
        <w:keepNext w:val="0"/>
        <w:keepLines w:val="0"/>
        <w:pageBreakBefore w:val="0"/>
        <w:numPr>
          <w:ilvl w:val="255"/>
          <w:numId w:val="0"/>
        </w:numPr>
        <w:kinsoku/>
        <w:wordWrap/>
        <w:overflowPunct/>
        <w:bidi w:val="0"/>
        <w:spacing w:line="600" w:lineRule="exact"/>
        <w:ind w:left="0" w:leftChars="0" w:right="0" w:rightChars="0" w:firstLine="56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附件1：付费标准</w:t>
      </w:r>
    </w:p>
    <w:p>
      <w:pPr>
        <w:keepNext w:val="0"/>
        <w:keepLines w:val="0"/>
        <w:pageBreakBefore w:val="0"/>
        <w:kinsoku/>
        <w:wordWrap/>
        <w:overflowPunct/>
        <w:bidi w:val="0"/>
        <w:adjustRightInd w:val="0"/>
        <w:snapToGrid w:val="0"/>
        <w:spacing w:line="600" w:lineRule="exact"/>
        <w:ind w:left="0" w:leftChars="0" w:right="0" w:rightChars="0" w:firstLine="880" w:firstLineChars="200"/>
        <w:jc w:val="center"/>
        <w:textAlignment w:val="auto"/>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t>重庆三峡银行评估费付费标准</w:t>
      </w:r>
    </w:p>
    <w:p>
      <w:pPr>
        <w:pStyle w:val="6"/>
        <w:keepNext w:val="0"/>
        <w:keepLines w:val="0"/>
        <w:pageBreakBefore w:val="0"/>
        <w:widowControl/>
        <w:numPr>
          <w:ilvl w:val="0"/>
          <w:numId w:val="5"/>
        </w:numPr>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房产类押品（含在建工程）</w:t>
      </w:r>
    </w:p>
    <w:p>
      <w:pPr>
        <w:keepNext w:val="0"/>
        <w:keepLines w:val="0"/>
        <w:pageBreakBefore w:val="0"/>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一）每单房产类评估总金额在500万元以上的，按标准收费累进费率进行价格计算。例如：房产类评估总金额为1300万元，计算公式为：[10*5‰+（50-10）*4‰+（100-50）*3‰+（300-100）*2‰+（500-300）*1.5‰+（1000-500）*1‰+（1300-1000）*0.9‰]*10000*20%=3660元。</w:t>
      </w:r>
    </w:p>
    <w:p>
      <w:pPr>
        <w:keepNext w:val="0"/>
        <w:keepLines w:val="0"/>
        <w:pageBreakBefore w:val="0"/>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（二）对于每单房产类评估金额在500万（含）以内的，按标准收费累进费率计算出折后价，对比按套数方式计价，采取孰低原则进行付费。其中：当按套数计费时，根据地区不同，收费金额不同。</w:t>
      </w:r>
    </w:p>
    <w:tbl>
      <w:tblPr>
        <w:tblStyle w:val="19"/>
        <w:tblW w:w="0" w:type="auto"/>
        <w:tblInd w:w="96" w:type="dxa"/>
        <w:tblLayout w:type="autofit"/>
        <w:tblCellMar>
          <w:top w:w="0" w:type="dxa"/>
          <w:left w:w="108" w:type="dxa"/>
          <w:bottom w:w="0" w:type="dxa"/>
          <w:right w:w="108" w:type="dxa"/>
        </w:tblCellMar>
      </w:tblPr>
      <w:tblGrid>
        <w:gridCol w:w="6799"/>
        <w:gridCol w:w="1627"/>
      </w:tblGrid>
      <w:tr>
        <w:trPr>
          <w:trHeight w:val="468" w:hRule="atLeast"/>
        </w:trPr>
        <w:tc>
          <w:tcPr>
            <w:tcW w:w="7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抵押物所在区域</w:t>
            </w:r>
          </w:p>
        </w:tc>
        <w:tc>
          <w:tcPr>
            <w:tcW w:w="172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评估费用</w:t>
            </w:r>
          </w:p>
        </w:tc>
      </w:tr>
      <w:tr>
        <w:tblPrEx>
          <w:tblCellMar>
            <w:top w:w="0" w:type="dxa"/>
            <w:left w:w="108" w:type="dxa"/>
            <w:bottom w:w="0" w:type="dxa"/>
            <w:right w:w="108" w:type="dxa"/>
          </w:tblCellMar>
        </w:tblPrEx>
        <w:trPr>
          <w:trHeight w:val="918" w:hRule="atLeast"/>
        </w:trPr>
        <w:tc>
          <w:tcPr>
            <w:tcW w:w="724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一类地区</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渝中、南岸、巴南、江北、渝北、九龙坡、沙坪坝、大渡口、北碚</w:t>
            </w:r>
          </w:p>
        </w:tc>
        <w:tc>
          <w:tcPr>
            <w:tcW w:w="172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400</w:t>
            </w:r>
            <w:r>
              <w:rPr>
                <w:rFonts w:hint="eastAsia" w:ascii="宋体" w:hAnsi="宋体" w:eastAsia="宋体" w:cs="宋体"/>
                <w:bCs/>
                <w:color w:val="000000" w:themeColor="text1"/>
                <w:kern w:val="0"/>
                <w:sz w:val="24"/>
                <w:szCs w:val="24"/>
                <w14:textFill>
                  <w14:solidFill>
                    <w14:schemeClr w14:val="tx1"/>
                  </w14:solidFill>
                </w14:textFill>
              </w:rPr>
              <w:t>元/套</w:t>
            </w:r>
          </w:p>
        </w:tc>
      </w:tr>
      <w:tr>
        <w:tblPrEx>
          <w:tblCellMar>
            <w:top w:w="0" w:type="dxa"/>
            <w:left w:w="108" w:type="dxa"/>
            <w:bottom w:w="0" w:type="dxa"/>
            <w:right w:w="108" w:type="dxa"/>
          </w:tblCellMar>
        </w:tblPrEx>
        <w:trPr>
          <w:trHeight w:val="864" w:hRule="atLeast"/>
        </w:trPr>
        <w:tc>
          <w:tcPr>
            <w:tcW w:w="724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二类地区</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潼南、铜梁、合川、大足、璧山、荣昌、永川、江津、綦江、万盛、南川、涪陵、长寿</w:t>
            </w:r>
          </w:p>
        </w:tc>
        <w:tc>
          <w:tcPr>
            <w:tcW w:w="172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600</w:t>
            </w:r>
            <w:r>
              <w:rPr>
                <w:rFonts w:hint="eastAsia" w:ascii="宋体" w:hAnsi="宋体" w:eastAsia="宋体" w:cs="宋体"/>
                <w:bCs/>
                <w:color w:val="000000" w:themeColor="text1"/>
                <w:kern w:val="0"/>
                <w:sz w:val="24"/>
                <w:szCs w:val="24"/>
                <w14:textFill>
                  <w14:solidFill>
                    <w14:schemeClr w14:val="tx1"/>
                  </w14:solidFill>
                </w14:textFill>
              </w:rPr>
              <w:t>元/套</w:t>
            </w:r>
          </w:p>
        </w:tc>
      </w:tr>
      <w:tr>
        <w:tblPrEx>
          <w:tblCellMar>
            <w:top w:w="0" w:type="dxa"/>
            <w:left w:w="108" w:type="dxa"/>
            <w:bottom w:w="0" w:type="dxa"/>
            <w:right w:w="108" w:type="dxa"/>
          </w:tblCellMar>
        </w:tblPrEx>
        <w:trPr>
          <w:trHeight w:val="1152" w:hRule="atLeast"/>
        </w:trPr>
        <w:tc>
          <w:tcPr>
            <w:tcW w:w="724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三类地区</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垫江、丰都、武隆、梁平、忠县、石柱、彭水、黔江、酉阳、秀山、开州、万州、云阳、城口、奉节、巫溪、巫山</w:t>
            </w:r>
          </w:p>
        </w:tc>
        <w:tc>
          <w:tcPr>
            <w:tcW w:w="172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800</w:t>
            </w:r>
            <w:r>
              <w:rPr>
                <w:rFonts w:hint="eastAsia" w:ascii="宋体" w:hAnsi="宋体" w:eastAsia="宋体" w:cs="宋体"/>
                <w:bCs/>
                <w:color w:val="000000" w:themeColor="text1"/>
                <w:kern w:val="0"/>
                <w:sz w:val="24"/>
                <w:szCs w:val="24"/>
                <w14:textFill>
                  <w14:solidFill>
                    <w14:schemeClr w14:val="tx1"/>
                  </w14:solidFill>
                </w14:textFill>
              </w:rPr>
              <w:t>元/套</w:t>
            </w:r>
          </w:p>
        </w:tc>
      </w:tr>
    </w:tbl>
    <w:tbl>
      <w:tblPr>
        <w:tblStyle w:val="19"/>
        <w:tblpPr w:leftFromText="180" w:rightFromText="180" w:vertAnchor="text" w:horzAnchor="page" w:tblpX="1869" w:tblpY="575"/>
        <w:tblOverlap w:val="never"/>
        <w:tblW w:w="4997" w:type="pct"/>
        <w:tblInd w:w="0" w:type="dxa"/>
        <w:tblLayout w:type="autofit"/>
        <w:tblCellMar>
          <w:top w:w="0" w:type="dxa"/>
          <w:left w:w="108" w:type="dxa"/>
          <w:bottom w:w="0" w:type="dxa"/>
          <w:right w:w="108" w:type="dxa"/>
        </w:tblCellMar>
      </w:tblPr>
      <w:tblGrid>
        <w:gridCol w:w="808"/>
        <w:gridCol w:w="2766"/>
        <w:gridCol w:w="1144"/>
        <w:gridCol w:w="893"/>
        <w:gridCol w:w="1342"/>
        <w:gridCol w:w="1564"/>
      </w:tblGrid>
      <w:tr>
        <w:tblPrEx>
          <w:tblCellMar>
            <w:top w:w="0" w:type="dxa"/>
            <w:left w:w="108" w:type="dxa"/>
            <w:bottom w:w="0" w:type="dxa"/>
            <w:right w:w="108" w:type="dxa"/>
          </w:tblCellMar>
        </w:tblPrEx>
        <w:trPr>
          <w:trHeight w:val="576" w:hRule="atLeast"/>
        </w:trPr>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bCs/>
                <w:color w:val="000000" w:themeColor="text1"/>
                <w:kern w:val="0"/>
                <w:sz w:val="18"/>
                <w:szCs w:val="21"/>
                <w14:textFill>
                  <w14:solidFill>
                    <w14:schemeClr w14:val="tx1"/>
                  </w14:solidFill>
                </w14:textFill>
              </w:rPr>
            </w:pPr>
            <w:r>
              <w:rPr>
                <w:rFonts w:hint="eastAsia" w:ascii="宋体" w:hAnsi="宋体" w:eastAsia="宋体" w:cs="宋体"/>
                <w:b/>
                <w:bCs/>
                <w:color w:val="000000" w:themeColor="text1"/>
                <w:kern w:val="0"/>
                <w:sz w:val="18"/>
                <w:szCs w:val="21"/>
                <w14:textFill>
                  <w14:solidFill>
                    <w14:schemeClr w14:val="tx1"/>
                  </w14:solidFill>
                </w14:textFill>
              </w:rPr>
              <w:t>档次</w:t>
            </w:r>
          </w:p>
        </w:tc>
        <w:tc>
          <w:tcPr>
            <w:tcW w:w="162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bCs/>
                <w:color w:val="000000" w:themeColor="text1"/>
                <w:kern w:val="0"/>
                <w:sz w:val="18"/>
                <w:szCs w:val="21"/>
                <w14:textFill>
                  <w14:solidFill>
                    <w14:schemeClr w14:val="tx1"/>
                  </w14:solidFill>
                </w14:textFill>
              </w:rPr>
            </w:pPr>
            <w:r>
              <w:rPr>
                <w:rFonts w:hint="eastAsia" w:ascii="宋体" w:hAnsi="宋体" w:eastAsia="宋体" w:cs="宋体"/>
                <w:b/>
                <w:bCs/>
                <w:color w:val="000000" w:themeColor="text1"/>
                <w:kern w:val="0"/>
                <w:sz w:val="18"/>
                <w:szCs w:val="21"/>
                <w14:textFill>
                  <w14:solidFill>
                    <w14:schemeClr w14:val="tx1"/>
                  </w14:solidFill>
                </w14:textFill>
              </w:rPr>
              <w:t>房</w:t>
            </w:r>
            <w:r>
              <w:rPr>
                <w:rFonts w:hint="eastAsia" w:ascii="宋体" w:hAnsi="宋体" w:eastAsia="宋体" w:cs="宋体"/>
                <w:b/>
                <w:color w:val="000000" w:themeColor="text1"/>
                <w:sz w:val="18"/>
                <w:szCs w:val="21"/>
                <w14:textFill>
                  <w14:solidFill>
                    <w14:schemeClr w14:val="tx1"/>
                  </w14:solidFill>
                </w14:textFill>
              </w:rPr>
              <w:t>产类价格</w:t>
            </w:r>
            <w:r>
              <w:rPr>
                <w:rFonts w:hint="eastAsia" w:ascii="宋体" w:hAnsi="宋体" w:eastAsia="宋体" w:cs="宋体"/>
                <w:b/>
                <w:bCs/>
                <w:color w:val="000000" w:themeColor="text1"/>
                <w:kern w:val="0"/>
                <w:sz w:val="18"/>
                <w:szCs w:val="21"/>
                <w14:textFill>
                  <w14:solidFill>
                    <w14:schemeClr w14:val="tx1"/>
                  </w14:solidFill>
                </w14:textFill>
              </w:rPr>
              <w:t>计费额度（万元）</w:t>
            </w:r>
          </w:p>
        </w:tc>
        <w:tc>
          <w:tcPr>
            <w:tcW w:w="674"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bCs/>
                <w:color w:val="000000" w:themeColor="text1"/>
                <w:kern w:val="0"/>
                <w:sz w:val="18"/>
                <w:szCs w:val="21"/>
                <w14:textFill>
                  <w14:solidFill>
                    <w14:schemeClr w14:val="tx1"/>
                  </w14:solidFill>
                </w14:textFill>
              </w:rPr>
            </w:pPr>
            <w:r>
              <w:rPr>
                <w:rFonts w:hint="eastAsia" w:ascii="宋体" w:hAnsi="宋体" w:eastAsia="宋体" w:cs="宋体"/>
                <w:b/>
                <w:bCs/>
                <w:color w:val="000000" w:themeColor="text1"/>
                <w:kern w:val="0"/>
                <w:sz w:val="18"/>
                <w:szCs w:val="21"/>
                <w14:textFill>
                  <w14:solidFill>
                    <w14:schemeClr w14:val="tx1"/>
                  </w14:solidFill>
                </w14:textFill>
              </w:rPr>
              <w:t>标准收费累进费率</w:t>
            </w:r>
          </w:p>
        </w:tc>
        <w:tc>
          <w:tcPr>
            <w:tcW w:w="52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bCs/>
                <w:color w:val="000000" w:themeColor="text1"/>
                <w:kern w:val="0"/>
                <w:sz w:val="18"/>
                <w:szCs w:val="21"/>
                <w14:textFill>
                  <w14:solidFill>
                    <w14:schemeClr w14:val="tx1"/>
                  </w14:solidFill>
                </w14:textFill>
              </w:rPr>
            </w:pPr>
            <w:r>
              <w:rPr>
                <w:rFonts w:hint="eastAsia" w:ascii="宋体" w:hAnsi="宋体" w:eastAsia="宋体" w:cs="宋体"/>
                <w:b/>
                <w:bCs/>
                <w:color w:val="000000" w:themeColor="text1"/>
                <w:kern w:val="0"/>
                <w:sz w:val="18"/>
                <w:szCs w:val="21"/>
                <w14:textFill>
                  <w14:solidFill>
                    <w14:schemeClr w14:val="tx1"/>
                  </w14:solidFill>
                </w14:textFill>
              </w:rPr>
              <w:t>折扣率</w:t>
            </w:r>
          </w:p>
        </w:tc>
        <w:tc>
          <w:tcPr>
            <w:tcW w:w="77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bCs/>
                <w:color w:val="000000" w:themeColor="text1"/>
                <w:kern w:val="0"/>
                <w:sz w:val="18"/>
                <w:szCs w:val="21"/>
                <w14:textFill>
                  <w14:solidFill>
                    <w14:schemeClr w14:val="tx1"/>
                  </w14:solidFill>
                </w14:textFill>
              </w:rPr>
            </w:pPr>
            <w:r>
              <w:rPr>
                <w:rFonts w:hint="eastAsia" w:ascii="宋体" w:hAnsi="宋体" w:eastAsia="宋体" w:cs="宋体"/>
                <w:b/>
                <w:bCs/>
                <w:color w:val="000000" w:themeColor="text1"/>
                <w:kern w:val="0"/>
                <w:sz w:val="18"/>
                <w:szCs w:val="21"/>
                <w14:textFill>
                  <w14:solidFill>
                    <w14:schemeClr w14:val="tx1"/>
                  </w14:solidFill>
                </w14:textFill>
              </w:rPr>
              <w:t>套数计费</w:t>
            </w:r>
          </w:p>
        </w:tc>
        <w:tc>
          <w:tcPr>
            <w:tcW w:w="92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bCs/>
                <w:color w:val="000000" w:themeColor="text1"/>
                <w:kern w:val="0"/>
                <w:sz w:val="18"/>
                <w:szCs w:val="21"/>
                <w14:textFill>
                  <w14:solidFill>
                    <w14:schemeClr w14:val="tx1"/>
                  </w14:solidFill>
                </w14:textFill>
              </w:rPr>
            </w:pPr>
            <w:r>
              <w:rPr>
                <w:rFonts w:hint="eastAsia" w:ascii="宋体" w:hAnsi="宋体" w:eastAsia="宋体" w:cs="宋体"/>
                <w:b/>
                <w:bCs/>
                <w:color w:val="000000" w:themeColor="text1"/>
                <w:kern w:val="0"/>
                <w:sz w:val="18"/>
                <w:szCs w:val="21"/>
                <w14:textFill>
                  <w14:solidFill>
                    <w14:schemeClr w14:val="tx1"/>
                  </w14:solidFill>
                </w14:textFill>
              </w:rPr>
              <w:t>按累计费率打折后计费</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5</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400-800元/套</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10以上---50以下（含）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4</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400-800元/套</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100-420元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3</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50以上---100以下（含）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3</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400-800元/套</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420-720元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4</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100以上---300以下（含）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400-800元/套</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720-1520元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5</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300以上---500以下（含）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1.5</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400-800元/套</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1520-2120元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6</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500以上---1000以下（含）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2120-3120元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7</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1000以上---2000以下（含）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0.9</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3120-4920元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8</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2000以上---3000以下（含）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0.8</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4920-6520元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9</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3000以上---4000以下（含）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0.7</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6520-7920元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4000以上---5000以下（含）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0.6</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7920-9120元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11</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5000以上---6000以下（含）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0.5</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9120-10120元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12</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6000以上---7000以下（含）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0.4</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10120-10920元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13</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7000以上---8000以下（含）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0.3</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10920-11520元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14</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8000以上---9000以下（含）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0.2</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11520-11920元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15</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9000以上---10000以下（含）</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0.15</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11920-12220元</w:t>
            </w:r>
          </w:p>
        </w:tc>
      </w:tr>
      <w:tr>
        <w:tblPrEx>
          <w:tblCellMar>
            <w:top w:w="0" w:type="dxa"/>
            <w:left w:w="108" w:type="dxa"/>
            <w:bottom w:w="0" w:type="dxa"/>
            <w:right w:w="108" w:type="dxa"/>
          </w:tblCellMar>
        </w:tblPrEx>
        <w:trPr>
          <w:trHeight w:val="288" w:hRule="atLeast"/>
        </w:trPr>
        <w:tc>
          <w:tcPr>
            <w:tcW w:w="477"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16</w:t>
            </w:r>
          </w:p>
        </w:tc>
        <w:tc>
          <w:tcPr>
            <w:tcW w:w="162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10000以上</w:t>
            </w:r>
          </w:p>
        </w:tc>
        <w:tc>
          <w:tcPr>
            <w:tcW w:w="674"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0.1</w:t>
            </w:r>
            <w:r>
              <w:rPr>
                <w:rFonts w:hint="eastAsia" w:ascii="宋体" w:hAnsi="宋体" w:eastAsia="宋体" w:cs="宋体"/>
                <w:bCs/>
                <w:color w:val="000000" w:themeColor="text1"/>
                <w:kern w:val="0"/>
                <w:sz w:val="18"/>
                <w:szCs w:val="21"/>
                <w14:textFill>
                  <w14:solidFill>
                    <w14:schemeClr w14:val="tx1"/>
                  </w14:solidFill>
                </w14:textFill>
              </w:rPr>
              <w:t>‰</w:t>
            </w:r>
          </w:p>
        </w:tc>
        <w:tc>
          <w:tcPr>
            <w:tcW w:w="527" w:type="pct"/>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20%</w:t>
            </w:r>
          </w:p>
        </w:tc>
        <w:tc>
          <w:tcPr>
            <w:tcW w:w="773"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w:t>
            </w:r>
          </w:p>
        </w:tc>
        <w:tc>
          <w:tcPr>
            <w:tcW w:w="920"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2万元封顶</w:t>
            </w:r>
          </w:p>
        </w:tc>
      </w:tr>
    </w:tbl>
    <w:p>
      <w:pPr>
        <w:keepNext w:val="0"/>
        <w:keepLines w:val="0"/>
        <w:pageBreakBefore w:val="0"/>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（三）综上，对于以房产为抵押的，按照下表定价付费：</w:t>
      </w:r>
    </w:p>
    <w:p>
      <w:pPr>
        <w:pStyle w:val="6"/>
        <w:keepNext w:val="0"/>
        <w:keepLines w:val="0"/>
        <w:pageBreakBefore w:val="0"/>
        <w:widowControl/>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Cs w:val="32"/>
          <w14:textFill>
            <w14:solidFill>
              <w14:schemeClr w14:val="tx1"/>
            </w14:solidFill>
          </w14:textFill>
        </w:rPr>
      </w:pPr>
    </w:p>
    <w:p>
      <w:pPr>
        <w:pStyle w:val="6"/>
        <w:keepNext w:val="0"/>
        <w:keepLines w:val="0"/>
        <w:pageBreakBefore w:val="0"/>
        <w:widowControl/>
        <w:numPr>
          <w:ilvl w:val="0"/>
          <w:numId w:val="5"/>
        </w:numPr>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资产类押品</w:t>
      </w:r>
    </w:p>
    <w:p>
      <w:pPr>
        <w:keepNext w:val="0"/>
        <w:keepLines w:val="0"/>
        <w:pageBreakBefore w:val="0"/>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资产类包括：综合资产类（含机器设备、交通工具、股权等）、无形资产类、“三权”类等。</w:t>
      </w:r>
    </w:p>
    <w:p>
      <w:pPr>
        <w:keepNext w:val="0"/>
        <w:keepLines w:val="0"/>
        <w:pageBreakBefore w:val="0"/>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每单资产类押品金额在100万元（含）以内的，按每单500元计价。每单资产类押品评估总金额在100万元以上的，按标准收费累进费率及折扣率进行计算。具体见下表：</w:t>
      </w:r>
    </w:p>
    <w:tbl>
      <w:tblPr>
        <w:tblStyle w:val="19"/>
        <w:tblW w:w="8648" w:type="dxa"/>
        <w:tblInd w:w="-34" w:type="dxa"/>
        <w:tblLayout w:type="fixed"/>
        <w:tblCellMar>
          <w:top w:w="0" w:type="dxa"/>
          <w:left w:w="108" w:type="dxa"/>
          <w:bottom w:w="0" w:type="dxa"/>
          <w:right w:w="108" w:type="dxa"/>
        </w:tblCellMar>
      </w:tblPr>
      <w:tblGrid>
        <w:gridCol w:w="638"/>
        <w:gridCol w:w="3048"/>
        <w:gridCol w:w="1985"/>
        <w:gridCol w:w="1070"/>
        <w:gridCol w:w="1907"/>
      </w:tblGrid>
      <w:tr>
        <w:tblPrEx>
          <w:tblCellMar>
            <w:top w:w="0" w:type="dxa"/>
            <w:left w:w="108" w:type="dxa"/>
            <w:bottom w:w="0" w:type="dxa"/>
            <w:right w:w="108" w:type="dxa"/>
          </w:tblCellMar>
        </w:tblPrEx>
        <w:trPr>
          <w:trHeight w:val="576" w:hRule="atLeast"/>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档次</w:t>
            </w:r>
          </w:p>
        </w:tc>
        <w:tc>
          <w:tcPr>
            <w:tcW w:w="304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综合资产类计费额度（万元）</w:t>
            </w:r>
          </w:p>
        </w:tc>
        <w:tc>
          <w:tcPr>
            <w:tcW w:w="19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标准收费累进费率</w:t>
            </w:r>
          </w:p>
        </w:tc>
        <w:tc>
          <w:tcPr>
            <w:tcW w:w="10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折扣率</w:t>
            </w:r>
          </w:p>
        </w:tc>
        <w:tc>
          <w:tcPr>
            <w:tcW w:w="190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计费金额</w:t>
            </w:r>
          </w:p>
        </w:tc>
      </w:tr>
      <w:tr>
        <w:tblPrEx>
          <w:tblCellMar>
            <w:top w:w="0" w:type="dxa"/>
            <w:left w:w="108" w:type="dxa"/>
            <w:bottom w:w="0" w:type="dxa"/>
            <w:right w:w="108" w:type="dxa"/>
          </w:tblCellMar>
        </w:tblPrEx>
        <w:trPr>
          <w:trHeight w:val="288" w:hRule="atLeast"/>
        </w:trPr>
        <w:tc>
          <w:tcPr>
            <w:tcW w:w="638"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04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100以下（含）</w:t>
            </w:r>
          </w:p>
        </w:tc>
        <w:tc>
          <w:tcPr>
            <w:tcW w:w="19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w:t>
            </w:r>
          </w:p>
        </w:tc>
        <w:tc>
          <w:tcPr>
            <w:tcW w:w="107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500元/单</w:t>
            </w:r>
          </w:p>
        </w:tc>
        <w:tc>
          <w:tcPr>
            <w:tcW w:w="1907"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500元/单</w:t>
            </w:r>
          </w:p>
        </w:tc>
      </w:tr>
      <w:tr>
        <w:tblPrEx>
          <w:tblCellMar>
            <w:top w:w="0" w:type="dxa"/>
            <w:left w:w="108" w:type="dxa"/>
            <w:bottom w:w="0" w:type="dxa"/>
            <w:right w:w="108" w:type="dxa"/>
          </w:tblCellMar>
        </w:tblPrEx>
        <w:trPr>
          <w:trHeight w:val="288" w:hRule="atLeast"/>
        </w:trPr>
        <w:tc>
          <w:tcPr>
            <w:tcW w:w="638"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04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100以上---1000以下(含)</w:t>
            </w:r>
          </w:p>
        </w:tc>
        <w:tc>
          <w:tcPr>
            <w:tcW w:w="19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4.5‰</w:t>
            </w:r>
          </w:p>
        </w:tc>
        <w:tc>
          <w:tcPr>
            <w:tcW w:w="107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w:t>
            </w:r>
          </w:p>
        </w:tc>
        <w:tc>
          <w:tcPr>
            <w:tcW w:w="1907"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1500-7575元</w:t>
            </w:r>
          </w:p>
        </w:tc>
      </w:tr>
      <w:tr>
        <w:tblPrEx>
          <w:tblCellMar>
            <w:top w:w="0" w:type="dxa"/>
            <w:left w:w="108" w:type="dxa"/>
            <w:bottom w:w="0" w:type="dxa"/>
            <w:right w:w="108" w:type="dxa"/>
          </w:tblCellMar>
        </w:tblPrEx>
        <w:trPr>
          <w:trHeight w:val="288" w:hRule="atLeast"/>
        </w:trPr>
        <w:tc>
          <w:tcPr>
            <w:tcW w:w="638"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304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1000以上---5000以下(含)</w:t>
            </w:r>
          </w:p>
        </w:tc>
        <w:tc>
          <w:tcPr>
            <w:tcW w:w="19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w:t>
            </w:r>
            <w:r>
              <w:rPr>
                <w:rFonts w:hint="eastAsia" w:ascii="宋体" w:hAnsi="宋体" w:eastAsia="宋体" w:cs="宋体"/>
                <w:bCs/>
                <w:color w:val="000000" w:themeColor="text1"/>
                <w:kern w:val="0"/>
                <w:sz w:val="24"/>
                <w:szCs w:val="24"/>
                <w14:textFill>
                  <w14:solidFill>
                    <w14:schemeClr w14:val="tx1"/>
                  </w14:solidFill>
                </w14:textFill>
              </w:rPr>
              <w:t>‰</w:t>
            </w:r>
          </w:p>
        </w:tc>
        <w:tc>
          <w:tcPr>
            <w:tcW w:w="107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w:t>
            </w:r>
          </w:p>
        </w:tc>
        <w:tc>
          <w:tcPr>
            <w:tcW w:w="1907"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7575-14775元</w:t>
            </w:r>
          </w:p>
        </w:tc>
      </w:tr>
      <w:tr>
        <w:tblPrEx>
          <w:tblCellMar>
            <w:top w:w="0" w:type="dxa"/>
            <w:left w:w="108" w:type="dxa"/>
            <w:bottom w:w="0" w:type="dxa"/>
            <w:right w:w="108" w:type="dxa"/>
          </w:tblCellMar>
        </w:tblPrEx>
        <w:trPr>
          <w:trHeight w:val="288" w:hRule="atLeast"/>
        </w:trPr>
        <w:tc>
          <w:tcPr>
            <w:tcW w:w="638"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304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5000以上---10000以下(含)</w:t>
            </w:r>
          </w:p>
        </w:tc>
        <w:tc>
          <w:tcPr>
            <w:tcW w:w="19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0.75</w:t>
            </w:r>
            <w:r>
              <w:rPr>
                <w:rFonts w:hint="eastAsia" w:ascii="宋体" w:hAnsi="宋体" w:eastAsia="宋体" w:cs="宋体"/>
                <w:bCs/>
                <w:color w:val="000000" w:themeColor="text1"/>
                <w:kern w:val="0"/>
                <w:sz w:val="24"/>
                <w:szCs w:val="24"/>
                <w14:textFill>
                  <w14:solidFill>
                    <w14:schemeClr w14:val="tx1"/>
                  </w14:solidFill>
                </w14:textFill>
              </w:rPr>
              <w:t>‰</w:t>
            </w:r>
          </w:p>
        </w:tc>
        <w:tc>
          <w:tcPr>
            <w:tcW w:w="107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w:t>
            </w:r>
          </w:p>
        </w:tc>
        <w:tc>
          <w:tcPr>
            <w:tcW w:w="1907"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14775-20400元</w:t>
            </w:r>
          </w:p>
        </w:tc>
      </w:tr>
      <w:tr>
        <w:tblPrEx>
          <w:tblCellMar>
            <w:top w:w="0" w:type="dxa"/>
            <w:left w:w="108" w:type="dxa"/>
            <w:bottom w:w="0" w:type="dxa"/>
            <w:right w:w="108" w:type="dxa"/>
          </w:tblCellMar>
        </w:tblPrEx>
        <w:trPr>
          <w:trHeight w:val="288" w:hRule="atLeast"/>
        </w:trPr>
        <w:tc>
          <w:tcPr>
            <w:tcW w:w="638"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c>
          <w:tcPr>
            <w:tcW w:w="304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10000以上---100000以下(含)</w:t>
            </w:r>
          </w:p>
        </w:tc>
        <w:tc>
          <w:tcPr>
            <w:tcW w:w="19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0.15</w:t>
            </w:r>
            <w:r>
              <w:rPr>
                <w:rFonts w:hint="eastAsia" w:ascii="宋体" w:hAnsi="宋体" w:eastAsia="宋体" w:cs="宋体"/>
                <w:bCs/>
                <w:color w:val="000000" w:themeColor="text1"/>
                <w:kern w:val="0"/>
                <w:sz w:val="24"/>
                <w:szCs w:val="24"/>
                <w14:textFill>
                  <w14:solidFill>
                    <w14:schemeClr w14:val="tx1"/>
                  </w14:solidFill>
                </w14:textFill>
              </w:rPr>
              <w:t>‰</w:t>
            </w:r>
          </w:p>
        </w:tc>
        <w:tc>
          <w:tcPr>
            <w:tcW w:w="107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w:t>
            </w:r>
          </w:p>
        </w:tc>
        <w:tc>
          <w:tcPr>
            <w:tcW w:w="1907"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20400-40650元</w:t>
            </w:r>
          </w:p>
        </w:tc>
      </w:tr>
      <w:tr>
        <w:tblPrEx>
          <w:tblCellMar>
            <w:top w:w="0" w:type="dxa"/>
            <w:left w:w="108" w:type="dxa"/>
            <w:bottom w:w="0" w:type="dxa"/>
            <w:right w:w="108" w:type="dxa"/>
          </w:tblCellMar>
        </w:tblPrEx>
        <w:trPr>
          <w:trHeight w:val="288" w:hRule="atLeast"/>
        </w:trPr>
        <w:tc>
          <w:tcPr>
            <w:tcW w:w="638"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304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100000以上</w:t>
            </w:r>
          </w:p>
        </w:tc>
        <w:tc>
          <w:tcPr>
            <w:tcW w:w="19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0.1</w:t>
            </w:r>
            <w:r>
              <w:rPr>
                <w:rFonts w:hint="eastAsia" w:ascii="宋体" w:hAnsi="宋体" w:eastAsia="宋体" w:cs="宋体"/>
                <w:bCs/>
                <w:color w:val="000000" w:themeColor="text1"/>
                <w:kern w:val="0"/>
                <w:sz w:val="24"/>
                <w:szCs w:val="24"/>
                <w14:textFill>
                  <w14:solidFill>
                    <w14:schemeClr w14:val="tx1"/>
                  </w14:solidFill>
                </w14:textFill>
              </w:rPr>
              <w:t>‰</w:t>
            </w:r>
          </w:p>
        </w:tc>
        <w:tc>
          <w:tcPr>
            <w:tcW w:w="107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w:t>
            </w:r>
          </w:p>
        </w:tc>
        <w:tc>
          <w:tcPr>
            <w:tcW w:w="1907"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4.5万封顶</w:t>
            </w:r>
          </w:p>
        </w:tc>
      </w:tr>
    </w:tbl>
    <w:p>
      <w:pPr>
        <w:keepNext w:val="0"/>
        <w:keepLines w:val="0"/>
        <w:pageBreakBefore w:val="0"/>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p>
    <w:p>
      <w:pPr>
        <w:pStyle w:val="6"/>
        <w:keepNext w:val="0"/>
        <w:keepLines w:val="0"/>
        <w:pageBreakBefore w:val="0"/>
        <w:widowControl/>
        <w:numPr>
          <w:ilvl w:val="0"/>
          <w:numId w:val="5"/>
        </w:numPr>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土地类押品</w:t>
      </w:r>
    </w:p>
    <w:p>
      <w:pPr>
        <w:keepNext w:val="0"/>
        <w:keepLines w:val="0"/>
        <w:pageBreakBefore w:val="0"/>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每单土地类押品按标准收费费率及累进折扣率进行计算。具体费率及折扣率详见下表。例如：以一笔1.6亿元的土地为例，计费金额=【1000*3‰*10.5%+（5000-1000）*3‰*7%+（10000-5000）*3‰*2.8%+6000 *3‰*0.7%】*10000=17010元。</w:t>
      </w:r>
    </w:p>
    <w:tbl>
      <w:tblPr>
        <w:tblStyle w:val="19"/>
        <w:tblW w:w="4997" w:type="pct"/>
        <w:tblInd w:w="0" w:type="dxa"/>
        <w:tblLayout w:type="autofit"/>
        <w:tblCellMar>
          <w:top w:w="0" w:type="dxa"/>
          <w:left w:w="108" w:type="dxa"/>
          <w:bottom w:w="0" w:type="dxa"/>
          <w:right w:w="108" w:type="dxa"/>
        </w:tblCellMar>
      </w:tblPr>
      <w:tblGrid>
        <w:gridCol w:w="669"/>
        <w:gridCol w:w="2841"/>
        <w:gridCol w:w="1803"/>
        <w:gridCol w:w="1297"/>
        <w:gridCol w:w="1907"/>
      </w:tblGrid>
      <w:tr>
        <w:tblPrEx>
          <w:tblCellMar>
            <w:top w:w="0" w:type="dxa"/>
            <w:left w:w="108" w:type="dxa"/>
            <w:bottom w:w="0" w:type="dxa"/>
            <w:right w:w="108" w:type="dxa"/>
          </w:tblCellMar>
        </w:tblPrEx>
        <w:trPr>
          <w:trHeight w:val="288" w:hRule="atLeast"/>
        </w:trPr>
        <w:tc>
          <w:tcPr>
            <w:tcW w:w="39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color w:val="000000" w:themeColor="text1"/>
                <w:kern w:val="0"/>
                <w:sz w:val="18"/>
                <w:szCs w:val="21"/>
                <w14:textFill>
                  <w14:solidFill>
                    <w14:schemeClr w14:val="tx1"/>
                  </w14:solidFill>
                </w14:textFill>
              </w:rPr>
            </w:pPr>
            <w:r>
              <w:rPr>
                <w:rFonts w:hint="eastAsia" w:ascii="宋体" w:hAnsi="宋体" w:eastAsia="宋体" w:cs="宋体"/>
                <w:b/>
                <w:color w:val="000000" w:themeColor="text1"/>
                <w:kern w:val="0"/>
                <w:sz w:val="18"/>
                <w:szCs w:val="21"/>
                <w14:textFill>
                  <w14:solidFill>
                    <w14:schemeClr w14:val="tx1"/>
                  </w14:solidFill>
                </w14:textFill>
              </w:rPr>
              <w:t>档次</w:t>
            </w:r>
          </w:p>
        </w:tc>
        <w:tc>
          <w:tcPr>
            <w:tcW w:w="1667"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color w:val="000000" w:themeColor="text1"/>
                <w:kern w:val="0"/>
                <w:sz w:val="18"/>
                <w:szCs w:val="21"/>
                <w14:textFill>
                  <w14:solidFill>
                    <w14:schemeClr w14:val="tx1"/>
                  </w14:solidFill>
                </w14:textFill>
              </w:rPr>
            </w:pPr>
            <w:r>
              <w:rPr>
                <w:rFonts w:hint="eastAsia" w:ascii="宋体" w:hAnsi="宋体" w:eastAsia="宋体" w:cs="宋体"/>
                <w:b/>
                <w:color w:val="000000" w:themeColor="text1"/>
                <w:kern w:val="0"/>
                <w:sz w:val="18"/>
                <w:szCs w:val="21"/>
                <w14:textFill>
                  <w14:solidFill>
                    <w14:schemeClr w14:val="tx1"/>
                  </w14:solidFill>
                </w14:textFill>
              </w:rPr>
              <w:t>土地类计费额度（万元）</w:t>
            </w:r>
          </w:p>
        </w:tc>
        <w:tc>
          <w:tcPr>
            <w:tcW w:w="1058"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color w:val="000000" w:themeColor="text1"/>
                <w:kern w:val="0"/>
                <w:sz w:val="18"/>
                <w:szCs w:val="21"/>
                <w14:textFill>
                  <w14:solidFill>
                    <w14:schemeClr w14:val="tx1"/>
                  </w14:solidFill>
                </w14:textFill>
              </w:rPr>
            </w:pPr>
            <w:r>
              <w:rPr>
                <w:rFonts w:hint="eastAsia" w:ascii="宋体" w:hAnsi="宋体" w:eastAsia="宋体" w:cs="宋体"/>
                <w:b/>
                <w:color w:val="000000" w:themeColor="text1"/>
                <w:kern w:val="0"/>
                <w:sz w:val="18"/>
                <w:szCs w:val="21"/>
                <w14:textFill>
                  <w14:solidFill>
                    <w14:schemeClr w14:val="tx1"/>
                  </w14:solidFill>
                </w14:textFill>
              </w:rPr>
              <w:t>标准收费费率</w:t>
            </w:r>
          </w:p>
        </w:tc>
        <w:tc>
          <w:tcPr>
            <w:tcW w:w="761"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color w:val="000000" w:themeColor="text1"/>
                <w:kern w:val="0"/>
                <w:sz w:val="18"/>
                <w:szCs w:val="21"/>
                <w14:textFill>
                  <w14:solidFill>
                    <w14:schemeClr w14:val="tx1"/>
                  </w14:solidFill>
                </w14:textFill>
              </w:rPr>
            </w:pPr>
            <w:r>
              <w:rPr>
                <w:rFonts w:hint="eastAsia" w:ascii="宋体" w:hAnsi="宋体" w:eastAsia="宋体" w:cs="宋体"/>
                <w:b/>
                <w:color w:val="000000" w:themeColor="text1"/>
                <w:kern w:val="0"/>
                <w:sz w:val="18"/>
                <w:szCs w:val="21"/>
                <w14:textFill>
                  <w14:solidFill>
                    <w14:schemeClr w14:val="tx1"/>
                  </w14:solidFill>
                </w14:textFill>
              </w:rPr>
              <w:t>累进折扣率</w:t>
            </w:r>
          </w:p>
        </w:tc>
        <w:tc>
          <w:tcPr>
            <w:tcW w:w="1119" w:type="pct"/>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b/>
                <w:color w:val="000000" w:themeColor="text1"/>
                <w:kern w:val="0"/>
                <w:sz w:val="18"/>
                <w:szCs w:val="21"/>
                <w14:textFill>
                  <w14:solidFill>
                    <w14:schemeClr w14:val="tx1"/>
                  </w14:solidFill>
                </w14:textFill>
              </w:rPr>
            </w:pPr>
            <w:r>
              <w:rPr>
                <w:rFonts w:hint="eastAsia" w:ascii="宋体" w:hAnsi="宋体" w:eastAsia="宋体" w:cs="宋体"/>
                <w:b/>
                <w:color w:val="000000" w:themeColor="text1"/>
                <w:kern w:val="0"/>
                <w:sz w:val="18"/>
                <w:szCs w:val="21"/>
                <w14:textFill>
                  <w14:solidFill>
                    <w14:schemeClr w14:val="tx1"/>
                  </w14:solidFill>
                </w14:textFill>
              </w:rPr>
              <w:t>计费金额</w:t>
            </w:r>
          </w:p>
        </w:tc>
      </w:tr>
      <w:tr>
        <w:tblPrEx>
          <w:tblCellMar>
            <w:top w:w="0" w:type="dxa"/>
            <w:left w:w="108" w:type="dxa"/>
            <w:bottom w:w="0" w:type="dxa"/>
            <w:right w:w="108" w:type="dxa"/>
          </w:tblCellMar>
        </w:tblPrEx>
        <w:trPr>
          <w:trHeight w:val="288" w:hRule="atLeast"/>
        </w:trPr>
        <w:tc>
          <w:tcPr>
            <w:tcW w:w="393"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w:t>
            </w:r>
          </w:p>
        </w:tc>
        <w:tc>
          <w:tcPr>
            <w:tcW w:w="1667"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1000以下（含）</w:t>
            </w:r>
          </w:p>
        </w:tc>
        <w:tc>
          <w:tcPr>
            <w:tcW w:w="1058"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3‰</w:t>
            </w:r>
          </w:p>
        </w:tc>
        <w:tc>
          <w:tcPr>
            <w:tcW w:w="761"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10.5%</w:t>
            </w:r>
          </w:p>
        </w:tc>
        <w:tc>
          <w:tcPr>
            <w:tcW w:w="1119"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3150元</w:t>
            </w:r>
          </w:p>
        </w:tc>
      </w:tr>
      <w:tr>
        <w:tblPrEx>
          <w:tblCellMar>
            <w:top w:w="0" w:type="dxa"/>
            <w:left w:w="108" w:type="dxa"/>
            <w:bottom w:w="0" w:type="dxa"/>
            <w:right w:w="108" w:type="dxa"/>
          </w:tblCellMar>
        </w:tblPrEx>
        <w:trPr>
          <w:trHeight w:val="288" w:hRule="atLeast"/>
        </w:trPr>
        <w:tc>
          <w:tcPr>
            <w:tcW w:w="393"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w:t>
            </w:r>
          </w:p>
        </w:tc>
        <w:tc>
          <w:tcPr>
            <w:tcW w:w="1667"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1000---5000（含）</w:t>
            </w:r>
          </w:p>
        </w:tc>
        <w:tc>
          <w:tcPr>
            <w:tcW w:w="1058"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3‰</w:t>
            </w:r>
          </w:p>
        </w:tc>
        <w:tc>
          <w:tcPr>
            <w:tcW w:w="761"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7%</w:t>
            </w:r>
          </w:p>
        </w:tc>
        <w:tc>
          <w:tcPr>
            <w:tcW w:w="1119"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3150-11550</w:t>
            </w:r>
          </w:p>
        </w:tc>
      </w:tr>
      <w:tr>
        <w:tblPrEx>
          <w:tblCellMar>
            <w:top w:w="0" w:type="dxa"/>
            <w:left w:w="108" w:type="dxa"/>
            <w:bottom w:w="0" w:type="dxa"/>
            <w:right w:w="108" w:type="dxa"/>
          </w:tblCellMar>
        </w:tblPrEx>
        <w:trPr>
          <w:trHeight w:val="288" w:hRule="atLeast"/>
        </w:trPr>
        <w:tc>
          <w:tcPr>
            <w:tcW w:w="393"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3</w:t>
            </w:r>
          </w:p>
        </w:tc>
        <w:tc>
          <w:tcPr>
            <w:tcW w:w="1667"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5000 ---10000（含）</w:t>
            </w:r>
          </w:p>
        </w:tc>
        <w:tc>
          <w:tcPr>
            <w:tcW w:w="1058"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3‰</w:t>
            </w:r>
          </w:p>
        </w:tc>
        <w:tc>
          <w:tcPr>
            <w:tcW w:w="761"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2.8%</w:t>
            </w:r>
          </w:p>
        </w:tc>
        <w:tc>
          <w:tcPr>
            <w:tcW w:w="1119"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11550-15750</w:t>
            </w:r>
          </w:p>
        </w:tc>
      </w:tr>
      <w:tr>
        <w:tblPrEx>
          <w:tblCellMar>
            <w:top w:w="0" w:type="dxa"/>
            <w:left w:w="108" w:type="dxa"/>
            <w:bottom w:w="0" w:type="dxa"/>
            <w:right w:w="108" w:type="dxa"/>
          </w:tblCellMar>
        </w:tblPrEx>
        <w:trPr>
          <w:trHeight w:val="288" w:hRule="atLeast"/>
        </w:trPr>
        <w:tc>
          <w:tcPr>
            <w:tcW w:w="393"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4</w:t>
            </w:r>
          </w:p>
        </w:tc>
        <w:tc>
          <w:tcPr>
            <w:tcW w:w="1667"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10000以上</w:t>
            </w:r>
          </w:p>
        </w:tc>
        <w:tc>
          <w:tcPr>
            <w:tcW w:w="1058"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3‰</w:t>
            </w:r>
          </w:p>
        </w:tc>
        <w:tc>
          <w:tcPr>
            <w:tcW w:w="761"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0.7%</w:t>
            </w:r>
          </w:p>
        </w:tc>
        <w:tc>
          <w:tcPr>
            <w:tcW w:w="1119"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宋体" w:cs="宋体"/>
                <w:color w:val="000000" w:themeColor="text1"/>
                <w:kern w:val="0"/>
                <w:sz w:val="18"/>
                <w:szCs w:val="21"/>
                <w14:textFill>
                  <w14:solidFill>
                    <w14:schemeClr w14:val="tx1"/>
                  </w14:solidFill>
                </w14:textFill>
              </w:rPr>
            </w:pPr>
            <w:r>
              <w:rPr>
                <w:rFonts w:hint="eastAsia" w:ascii="宋体" w:hAnsi="宋体" w:eastAsia="宋体" w:cs="宋体"/>
                <w:color w:val="000000" w:themeColor="text1"/>
                <w:kern w:val="0"/>
                <w:sz w:val="18"/>
                <w:szCs w:val="21"/>
                <w14:textFill>
                  <w14:solidFill>
                    <w14:schemeClr w14:val="tx1"/>
                  </w14:solidFill>
                </w14:textFill>
              </w:rPr>
              <w:t>3万封顶</w:t>
            </w:r>
          </w:p>
        </w:tc>
      </w:tr>
    </w:tbl>
    <w:p>
      <w:pPr>
        <w:keepNext w:val="0"/>
        <w:keepLines w:val="0"/>
        <w:pageBreakBefore w:val="0"/>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p>
    <w:p>
      <w:pPr>
        <w:pStyle w:val="6"/>
        <w:keepNext w:val="0"/>
        <w:keepLines w:val="0"/>
        <w:pageBreakBefore w:val="0"/>
        <w:widowControl/>
        <w:numPr>
          <w:ilvl w:val="0"/>
          <w:numId w:val="5"/>
        </w:numPr>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补充说明</w:t>
      </w:r>
    </w:p>
    <w:p>
      <w:pPr>
        <w:keepNext w:val="0"/>
        <w:keepLines w:val="0"/>
        <w:pageBreakBefore w:val="0"/>
        <w:kinsoku/>
        <w:wordWrap/>
        <w:overflowPunct/>
        <w:bidi w:val="0"/>
        <w:adjustRightInd w:val="0"/>
        <w:snapToGrid w:val="0"/>
        <w:spacing w:line="600" w:lineRule="exact"/>
        <w:ind w:left="0" w:leftChars="0" w:right="0" w:rightChars="0"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评估标的以“每单”为计价基础。“每单”是指每一笔贷款或合同需要评估的所有抵押物的总和，不以评估报告数量作为区分。若同时存在多种类型的抵押物的，则需分开进行计算，例如一笔合同同时存在房产类、土地类和综合资产类押品，在计算时需分开按不同类型的费率、折扣率算出应付金额后，再进行计费金额加总，得出最终的付款金额。</w:t>
      </w:r>
    </w:p>
    <w:p>
      <w:pPr>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pStyle w:val="3"/>
        <w:keepNext w:val="0"/>
        <w:keepLines w:val="0"/>
        <w:pageBreakBefore w:val="0"/>
        <w:numPr>
          <w:ilvl w:val="0"/>
          <w:numId w:val="0"/>
        </w:numPr>
        <w:kinsoku/>
        <w:wordWrap/>
        <w:overflowPunct/>
        <w:bidi w:val="0"/>
        <w:spacing w:line="600" w:lineRule="exact"/>
        <w:ind w:left="0" w:leftChars="0" w:right="0" w:rightChars="0" w:firstLine="0" w:firstLineChars="0"/>
        <w:jc w:val="center"/>
        <w:textAlignment w:val="auto"/>
        <w:rPr>
          <w:rFonts w:hint="eastAsia" w:ascii="宋体" w:hAnsi="宋体" w:eastAsia="宋体" w:cs="宋体"/>
          <w:bCs w:val="0"/>
          <w:snapToGrid/>
          <w:sz w:val="28"/>
          <w:szCs w:val="28"/>
        </w:rPr>
      </w:pPr>
      <w:r>
        <w:rPr>
          <w:rFonts w:hint="eastAsia" w:ascii="宋体" w:hAnsi="宋体" w:eastAsia="宋体" w:cs="宋体"/>
          <w:bCs w:val="0"/>
          <w:snapToGrid/>
          <w:sz w:val="28"/>
          <w:szCs w:val="28"/>
          <w:lang w:val="en-US" w:eastAsia="zh-CN"/>
        </w:rPr>
        <w:t>十四、</w:t>
      </w:r>
      <w:r>
        <w:rPr>
          <w:rFonts w:hint="eastAsia" w:ascii="宋体" w:hAnsi="宋体" w:eastAsia="宋体" w:cs="宋体"/>
          <w:bCs w:val="0"/>
          <w:snapToGrid/>
          <w:sz w:val="28"/>
          <w:szCs w:val="28"/>
        </w:rPr>
        <w:t>其他（如有）</w:t>
      </w:r>
    </w:p>
    <w:p>
      <w:pPr>
        <w:keepNext w:val="0"/>
        <w:keepLines w:val="0"/>
        <w:pageBreakBefore w:val="0"/>
        <w:kinsoku/>
        <w:wordWrap/>
        <w:overflowPunct/>
        <w:bidi w:val="0"/>
        <w:spacing w:line="600" w:lineRule="exact"/>
        <w:ind w:left="0" w:leftChars="0" w:right="0" w:rightChars="0"/>
        <w:jc w:val="center"/>
        <w:textAlignment w:val="auto"/>
        <w:rPr>
          <w:rFonts w:hint="eastAsia" w:ascii="宋体" w:hAnsi="宋体" w:eastAsia="宋体" w:cs="宋体"/>
          <w:sz w:val="24"/>
          <w:szCs w:val="18"/>
        </w:rPr>
      </w:pPr>
      <w:r>
        <w:rPr>
          <w:rFonts w:hint="eastAsia" w:ascii="宋体" w:hAnsi="宋体" w:eastAsia="宋体" w:cs="宋体"/>
          <w:sz w:val="24"/>
          <w:szCs w:val="18"/>
        </w:rPr>
        <w:t>参选人认为参与此次比选应递交的其他资料</w:t>
      </w:r>
    </w:p>
    <w:p>
      <w:pPr>
        <w:keepNext w:val="0"/>
        <w:keepLines w:val="0"/>
        <w:pageBreakBefore w:val="0"/>
        <w:kinsoku/>
        <w:wordWrap/>
        <w:overflowPunct/>
        <w:bidi w:val="0"/>
        <w:spacing w:line="600" w:lineRule="exact"/>
        <w:ind w:left="0" w:leftChars="0" w:right="0" w:right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rPr>
    </w:pPr>
    <w:r>
      <w:fldChar w:fldCharType="begin"/>
    </w:r>
    <w:r>
      <w:instrText xml:space="preserve">PAGE  \* Arabic  \* MERGEFORMAT</w:instrText>
    </w:r>
    <w:r>
      <w:fldChar w:fldCharType="separate"/>
    </w:r>
    <w:r>
      <w:rPr>
        <w:lang w:val="zh-CN"/>
      </w:rPr>
      <w:t>23</w:t>
    </w:r>
    <w:r>
      <w:rPr>
        <w:lang w:val="zh-CN"/>
      </w:rPr>
      <w:fldChar w:fldCharType="end"/>
    </w:r>
  </w:p>
  <w:p>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rPr>
    </w:pPr>
    <w:r>
      <w:fldChar w:fldCharType="begin"/>
    </w:r>
    <w:r>
      <w:instrText xml:space="preserve">PAGE  \* Arabic  \* MERGEFORMAT</w:instrText>
    </w:r>
    <w:r>
      <w:fldChar w:fldCharType="separate"/>
    </w:r>
    <w:r>
      <w:rPr>
        <w:lang w:val="zh-CN"/>
      </w:rPr>
      <w:t>1</w:t>
    </w:r>
    <w:r>
      <w:rPr>
        <w:lang w:val="zh-CN"/>
      </w:rPr>
      <w:fldChar w:fldCharType="end"/>
    </w:r>
  </w:p>
  <w:p>
    <w:pPr>
      <w:pStyle w:val="1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3ABE0"/>
    <w:multiLevelType w:val="multilevel"/>
    <w:tmpl w:val="AEF3ABE0"/>
    <w:lvl w:ilvl="0" w:tentative="0">
      <w:start w:val="1"/>
      <w:numFmt w:val="chineseCountingThousand"/>
      <w:lvlText w:val="%1、"/>
      <w:lvlJc w:val="left"/>
      <w:pPr>
        <w:tabs>
          <w:tab w:val="left" w:pos="900"/>
        </w:tabs>
        <w:ind w:left="480" w:firstLine="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3AAC18E"/>
    <w:multiLevelType w:val="multilevel"/>
    <w:tmpl w:val="03AAC18E"/>
    <w:lvl w:ilvl="0" w:tentative="0">
      <w:start w:val="1"/>
      <w:numFmt w:val="japaneseCounting"/>
      <w:lvlText w:val="%1、"/>
      <w:lvlJc w:val="left"/>
      <w:pPr>
        <w:ind w:left="1280" w:hanging="7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A5974C8"/>
    <w:multiLevelType w:val="multilevel"/>
    <w:tmpl w:val="2A5974C8"/>
    <w:lvl w:ilvl="0" w:tentative="0">
      <w:start w:val="1"/>
      <w:numFmt w:val="decimal"/>
      <w:suff w:val="space"/>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703DB9"/>
    <w:multiLevelType w:val="multilevel"/>
    <w:tmpl w:val="4F703DB9"/>
    <w:lvl w:ilvl="0" w:tentative="0">
      <w:start w:val="1"/>
      <w:numFmt w:val="chineseCountingThousand"/>
      <w:lvlText w:val="%1、"/>
      <w:lvlJc w:val="left"/>
      <w:pPr>
        <w:ind w:left="420" w:hanging="420"/>
      </w:pPr>
      <w:rPr>
        <w:b/>
        <w:bCs w:val="0"/>
        <w:sz w:val="28"/>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0193B7"/>
    <w:multiLevelType w:val="singleLevel"/>
    <w:tmpl w:val="750193B7"/>
    <w:lvl w:ilvl="0" w:tentative="0">
      <w:start w:val="4"/>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4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C25A7B"/>
    <w:rsid w:val="00013B09"/>
    <w:rsid w:val="00075072"/>
    <w:rsid w:val="001F1FE6"/>
    <w:rsid w:val="002D5168"/>
    <w:rsid w:val="00455C2A"/>
    <w:rsid w:val="004B2167"/>
    <w:rsid w:val="004E395A"/>
    <w:rsid w:val="0050210C"/>
    <w:rsid w:val="0050416A"/>
    <w:rsid w:val="00670126"/>
    <w:rsid w:val="006F5180"/>
    <w:rsid w:val="008F2A4B"/>
    <w:rsid w:val="00AB0E04"/>
    <w:rsid w:val="00B94412"/>
    <w:rsid w:val="00C25A7B"/>
    <w:rsid w:val="00FC7177"/>
    <w:rsid w:val="01A96AF8"/>
    <w:rsid w:val="03622777"/>
    <w:rsid w:val="03C74E49"/>
    <w:rsid w:val="05731EC5"/>
    <w:rsid w:val="0A3604C6"/>
    <w:rsid w:val="0A414BC3"/>
    <w:rsid w:val="0A5F3A4C"/>
    <w:rsid w:val="0A9369BD"/>
    <w:rsid w:val="0AB84A3C"/>
    <w:rsid w:val="0DE93E04"/>
    <w:rsid w:val="11A015BB"/>
    <w:rsid w:val="124208D5"/>
    <w:rsid w:val="13D066E7"/>
    <w:rsid w:val="14BF2298"/>
    <w:rsid w:val="15D92E44"/>
    <w:rsid w:val="183C76FE"/>
    <w:rsid w:val="1981715C"/>
    <w:rsid w:val="1A134637"/>
    <w:rsid w:val="1A8A477D"/>
    <w:rsid w:val="1D5F0955"/>
    <w:rsid w:val="1E824187"/>
    <w:rsid w:val="1EBE589F"/>
    <w:rsid w:val="1EEA2954"/>
    <w:rsid w:val="21BB4DA4"/>
    <w:rsid w:val="23E1324A"/>
    <w:rsid w:val="24320465"/>
    <w:rsid w:val="24780B02"/>
    <w:rsid w:val="249057DB"/>
    <w:rsid w:val="24B92CA7"/>
    <w:rsid w:val="25830BE4"/>
    <w:rsid w:val="25A02F33"/>
    <w:rsid w:val="26861CB4"/>
    <w:rsid w:val="27C855A6"/>
    <w:rsid w:val="27E6486B"/>
    <w:rsid w:val="292D224C"/>
    <w:rsid w:val="2AC776EE"/>
    <w:rsid w:val="2BB569F3"/>
    <w:rsid w:val="2C4B0347"/>
    <w:rsid w:val="2C627BBD"/>
    <w:rsid w:val="2C89194D"/>
    <w:rsid w:val="2E4A2BEF"/>
    <w:rsid w:val="2F542FC0"/>
    <w:rsid w:val="30224D9D"/>
    <w:rsid w:val="308250AE"/>
    <w:rsid w:val="334F7FE5"/>
    <w:rsid w:val="338E6C7F"/>
    <w:rsid w:val="33A00A95"/>
    <w:rsid w:val="349B1368"/>
    <w:rsid w:val="34CA7860"/>
    <w:rsid w:val="35776156"/>
    <w:rsid w:val="35B50AEF"/>
    <w:rsid w:val="37476045"/>
    <w:rsid w:val="389B2A43"/>
    <w:rsid w:val="39F2758E"/>
    <w:rsid w:val="3B3C653D"/>
    <w:rsid w:val="3D804B18"/>
    <w:rsid w:val="3DC77A54"/>
    <w:rsid w:val="3FC1331B"/>
    <w:rsid w:val="4132506C"/>
    <w:rsid w:val="422A5E1B"/>
    <w:rsid w:val="42EE0872"/>
    <w:rsid w:val="447E67DD"/>
    <w:rsid w:val="44AE570F"/>
    <w:rsid w:val="4518038D"/>
    <w:rsid w:val="462369C4"/>
    <w:rsid w:val="462762EA"/>
    <w:rsid w:val="47645658"/>
    <w:rsid w:val="47CF2D01"/>
    <w:rsid w:val="48FB264C"/>
    <w:rsid w:val="4E081647"/>
    <w:rsid w:val="4F0973FC"/>
    <w:rsid w:val="51AF6713"/>
    <w:rsid w:val="520C4C2F"/>
    <w:rsid w:val="545D401C"/>
    <w:rsid w:val="548929A3"/>
    <w:rsid w:val="549863FE"/>
    <w:rsid w:val="57457171"/>
    <w:rsid w:val="58302275"/>
    <w:rsid w:val="58844C80"/>
    <w:rsid w:val="5885611E"/>
    <w:rsid w:val="59B24294"/>
    <w:rsid w:val="5BF117E5"/>
    <w:rsid w:val="5E691D71"/>
    <w:rsid w:val="5EC81A5B"/>
    <w:rsid w:val="5ED02CEA"/>
    <w:rsid w:val="5EDE54A1"/>
    <w:rsid w:val="5F135BD3"/>
    <w:rsid w:val="61F65F87"/>
    <w:rsid w:val="636D302D"/>
    <w:rsid w:val="683047A1"/>
    <w:rsid w:val="687763E7"/>
    <w:rsid w:val="6AB46016"/>
    <w:rsid w:val="6CAD6824"/>
    <w:rsid w:val="6DAC1727"/>
    <w:rsid w:val="71526589"/>
    <w:rsid w:val="7316181C"/>
    <w:rsid w:val="732C5183"/>
    <w:rsid w:val="759C7DBB"/>
    <w:rsid w:val="763C5012"/>
    <w:rsid w:val="776045CE"/>
    <w:rsid w:val="78AE1181"/>
    <w:rsid w:val="7A712C6F"/>
    <w:rsid w:val="7ACE3578"/>
    <w:rsid w:val="7B80100F"/>
    <w:rsid w:val="7DC75C25"/>
    <w:rsid w:val="7F963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596" w:firstLineChars="200"/>
      <w:jc w:val="both"/>
    </w:pPr>
    <w:rPr>
      <w:rFonts w:ascii="Cambria Math" w:hAnsi="Cambria Math" w:eastAsia="宋体" w:cs="Cambria Math"/>
      <w:kern w:val="2"/>
      <w:sz w:val="24"/>
      <w:lang w:val="en-US" w:eastAsia="zh-CN" w:bidi="ar-SA"/>
    </w:rPr>
  </w:style>
  <w:style w:type="paragraph" w:styleId="2">
    <w:name w:val="heading 1"/>
    <w:basedOn w:val="1"/>
    <w:next w:val="1"/>
    <w:link w:val="32"/>
    <w:qFormat/>
    <w:uiPriority w:val="0"/>
    <w:pPr>
      <w:tabs>
        <w:tab w:val="left" w:pos="3360"/>
      </w:tabs>
      <w:snapToGrid w:val="0"/>
      <w:spacing w:before="120" w:line="600" w:lineRule="exact"/>
      <w:ind w:right="0" w:rightChars="0" w:firstLine="0" w:firstLineChars="0"/>
      <w:jc w:val="center"/>
      <w:outlineLvl w:val="0"/>
    </w:pPr>
    <w:rPr>
      <w:rFonts w:ascii="宋体" w:hAnsi="宋体" w:cs="等线 Light"/>
      <w:b/>
      <w:snapToGrid w:val="0"/>
      <w:kern w:val="0"/>
      <w:sz w:val="44"/>
      <w:szCs w:val="44"/>
    </w:rPr>
  </w:style>
  <w:style w:type="paragraph" w:styleId="3">
    <w:name w:val="heading 2"/>
    <w:basedOn w:val="1"/>
    <w:next w:val="1"/>
    <w:qFormat/>
    <w:uiPriority w:val="0"/>
    <w:pPr>
      <w:spacing w:line="600" w:lineRule="exact"/>
      <w:ind w:firstLine="200" w:firstLineChars="200"/>
      <w:outlineLvl w:val="1"/>
    </w:pPr>
    <w:rPr>
      <w:rFonts w:ascii="宋体" w:hAnsi="宋体" w:eastAsia="宋体" w:cs="Arial"/>
      <w:b/>
      <w:bCs/>
      <w:snapToGrid w:val="0"/>
      <w:sz w:val="24"/>
      <w:szCs w:val="24"/>
    </w:rPr>
  </w:style>
  <w:style w:type="paragraph" w:styleId="4">
    <w:name w:val="heading 3"/>
    <w:basedOn w:val="1"/>
    <w:next w:val="1"/>
    <w:link w:val="30"/>
    <w:qFormat/>
    <w:uiPriority w:val="0"/>
    <w:pPr>
      <w:keepNext w:val="0"/>
      <w:keepLines w:val="0"/>
      <w:spacing w:line="600" w:lineRule="exact"/>
      <w:outlineLvl w:val="2"/>
    </w:pPr>
    <w:rPr>
      <w:bCs/>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next w:val="6"/>
    <w:qFormat/>
    <w:uiPriority w:val="0"/>
    <w:pPr>
      <w:widowControl w:val="0"/>
      <w:ind w:firstLine="420"/>
      <w:jc w:val="both"/>
    </w:pPr>
    <w:rPr>
      <w:rFonts w:ascii="Cambria Math" w:hAnsi="Cambria Math" w:eastAsia="等线 Light" w:cs="Cambria Math"/>
      <w:kern w:val="2"/>
      <w:sz w:val="21"/>
      <w:lang w:val="en-US" w:eastAsia="zh-CN" w:bidi="ar-SA"/>
    </w:rPr>
  </w:style>
  <w:style w:type="paragraph" w:styleId="6">
    <w:name w:val="Normal (Web)"/>
    <w:basedOn w:val="1"/>
    <w:qFormat/>
    <w:uiPriority w:val="0"/>
    <w:rPr>
      <w:rFonts w:ascii="Times New Roman" w:hAnsi="Times New Roman" w:cs="Times New Roman"/>
      <w:sz w:val="24"/>
      <w:szCs w:val="24"/>
    </w:rPr>
  </w:style>
  <w:style w:type="paragraph" w:styleId="7">
    <w:name w:val="Document Map"/>
    <w:basedOn w:val="1"/>
    <w:qFormat/>
    <w:uiPriority w:val="0"/>
    <w:rPr>
      <w:rFonts w:ascii="微软雅黑" w:hAnsi="微软雅黑"/>
      <w:sz w:val="18"/>
      <w:szCs w:val="18"/>
    </w:rPr>
  </w:style>
  <w:style w:type="paragraph" w:styleId="8">
    <w:name w:val="annotation text"/>
    <w:basedOn w:val="1"/>
    <w:qFormat/>
    <w:uiPriority w:val="0"/>
    <w:pPr>
      <w:jc w:val="left"/>
    </w:pPr>
  </w:style>
  <w:style w:type="paragraph" w:styleId="9">
    <w:name w:val="Body Text"/>
    <w:basedOn w:val="1"/>
    <w:next w:val="1"/>
    <w:qFormat/>
    <w:uiPriority w:val="0"/>
    <w:rPr>
      <w:sz w:val="24"/>
    </w:rPr>
  </w:style>
  <w:style w:type="paragraph" w:styleId="10">
    <w:name w:val="toc 3"/>
    <w:basedOn w:val="1"/>
    <w:next w:val="1"/>
    <w:qFormat/>
    <w:uiPriority w:val="0"/>
    <w:pPr>
      <w:ind w:left="840"/>
    </w:pPr>
  </w:style>
  <w:style w:type="paragraph" w:styleId="11">
    <w:name w:val="Date"/>
    <w:basedOn w:val="1"/>
    <w:next w:val="1"/>
    <w:qFormat/>
    <w:uiPriority w:val="0"/>
    <w:rPr>
      <w:rFonts w:ascii="Times New Roman" w:hAnsi="Times New Roman" w:cs="Times New Roman"/>
    </w:rPr>
  </w:style>
  <w:style w:type="paragraph" w:styleId="12">
    <w:name w:val="Balloon Text"/>
    <w:basedOn w:val="1"/>
    <w:next w:val="10"/>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left" w:pos="1260"/>
        <w:tab w:val="left" w:pos="1685"/>
        <w:tab w:val="right" w:leader="dot" w:pos="8400"/>
      </w:tabs>
      <w:spacing w:line="480" w:lineRule="auto"/>
      <w:ind w:firstLine="100" w:firstLineChars="100"/>
    </w:pPr>
    <w:rPr>
      <w:szCs w:val="44"/>
    </w:rPr>
  </w:style>
  <w:style w:type="paragraph" w:styleId="16">
    <w:name w:val="toc 2"/>
    <w:basedOn w:val="1"/>
    <w:next w:val="1"/>
    <w:qFormat/>
    <w:uiPriority w:val="0"/>
    <w:pPr>
      <w:ind w:left="200" w:leftChars="200"/>
    </w:pPr>
  </w:style>
  <w:style w:type="paragraph" w:styleId="17">
    <w:name w:val="annotation subject"/>
    <w:basedOn w:val="8"/>
    <w:next w:val="8"/>
    <w:qFormat/>
    <w:uiPriority w:val="0"/>
    <w:rPr>
      <w:b/>
      <w:bCs/>
    </w:rPr>
  </w:style>
  <w:style w:type="paragraph" w:styleId="18">
    <w:name w:val="Body Text First Indent"/>
    <w:basedOn w:val="9"/>
    <w:next w:val="12"/>
    <w:qFormat/>
    <w:uiPriority w:val="0"/>
    <w:pPr>
      <w:spacing w:after="120"/>
      <w:ind w:firstLine="100" w:firstLineChars="100"/>
    </w:pPr>
    <w:rPr>
      <w:rFonts w:ascii="仿宋_GB2312" w:hAnsi="仿宋_GB2312"/>
      <w:sz w:val="21"/>
    </w:rPr>
  </w:style>
  <w:style w:type="character" w:styleId="21">
    <w:name w:val="FollowedHyperlink"/>
    <w:basedOn w:val="20"/>
    <w:qFormat/>
    <w:uiPriority w:val="0"/>
    <w:rPr>
      <w:color w:val="333333"/>
      <w:u w:val="none"/>
    </w:rPr>
  </w:style>
  <w:style w:type="character" w:styleId="22">
    <w:name w:val="Hyperlink"/>
    <w:basedOn w:val="20"/>
    <w:qFormat/>
    <w:uiPriority w:val="0"/>
    <w:rPr>
      <w:color w:val="0563C1"/>
      <w:u w:val="single"/>
    </w:rPr>
  </w:style>
  <w:style w:type="character" w:styleId="23">
    <w:name w:val="annotation reference"/>
    <w:basedOn w:val="20"/>
    <w:qFormat/>
    <w:uiPriority w:val="0"/>
    <w:rPr>
      <w:sz w:val="21"/>
      <w:szCs w:val="21"/>
    </w:rPr>
  </w:style>
  <w:style w:type="paragraph" w:customStyle="1" w:styleId="24">
    <w:name w:val="样式 正文缩进 + 小四 左侧:  2 字符"/>
    <w:next w:val="12"/>
    <w:qFormat/>
    <w:uiPriority w:val="0"/>
    <w:pPr>
      <w:widowControl w:val="0"/>
      <w:adjustRightInd w:val="0"/>
      <w:spacing w:before="60" w:after="60"/>
      <w:ind w:left="420" w:firstLine="225" w:firstLineChars="225"/>
      <w:jc w:val="both"/>
    </w:pPr>
    <w:rPr>
      <w:rFonts w:ascii="Cambria Math" w:hAnsi="Cambria Math" w:eastAsia="等线 Light" w:cs="Cambria Math"/>
      <w:kern w:val="2"/>
      <w:lang w:val="en-US" w:eastAsia="zh-CN" w:bidi="ar-SA"/>
    </w:rPr>
  </w:style>
  <w:style w:type="paragraph" w:customStyle="1" w:styleId="25">
    <w:name w:val="列表段落1"/>
    <w:next w:val="12"/>
    <w:qFormat/>
    <w:uiPriority w:val="0"/>
    <w:pPr>
      <w:widowControl w:val="0"/>
      <w:ind w:firstLine="200" w:firstLineChars="200"/>
      <w:jc w:val="both"/>
    </w:pPr>
    <w:rPr>
      <w:rFonts w:ascii="Cambria Math" w:hAnsi="Cambria Math" w:eastAsia="等线 Light" w:cs="Cambria Math"/>
      <w:kern w:val="2"/>
      <w:sz w:val="28"/>
      <w:lang w:val="en-US" w:eastAsia="zh-CN" w:bidi="ar-SA"/>
    </w:rPr>
  </w:style>
  <w:style w:type="paragraph" w:styleId="26">
    <w:name w:val="List Paragraph"/>
    <w:basedOn w:val="1"/>
    <w:qFormat/>
    <w:uiPriority w:val="0"/>
    <w:pPr>
      <w:ind w:firstLine="200" w:firstLineChars="200"/>
    </w:pPr>
  </w:style>
  <w:style w:type="paragraph" w:customStyle="1" w:styleId="27">
    <w:name w:val="TOC 标题1"/>
    <w:basedOn w:val="2"/>
    <w:next w:val="1"/>
    <w:qFormat/>
    <w:uiPriority w:val="0"/>
    <w:pPr>
      <w:keepNext/>
      <w:keepLines/>
      <w:widowControl/>
      <w:tabs>
        <w:tab w:val="clear" w:pos="3360"/>
      </w:tabs>
      <w:snapToGrid/>
      <w:spacing w:before="240" w:line="259" w:lineRule="auto"/>
      <w:ind w:right="0" w:rightChars="0"/>
      <w:jc w:val="left"/>
      <w:outlineLvl w:val="9"/>
    </w:pPr>
    <w:rPr>
      <w:rFonts w:ascii="Calibri" w:hAnsi="Calibri" w:cs="Arial"/>
      <w:b w:val="0"/>
      <w:snapToGrid/>
      <w:color w:val="2F5496"/>
      <w:sz w:val="32"/>
      <w:szCs w:val="32"/>
    </w:rPr>
  </w:style>
  <w:style w:type="character" w:customStyle="1" w:styleId="28">
    <w:name w:val="font_text_1"/>
    <w:basedOn w:val="20"/>
    <w:qFormat/>
    <w:uiPriority w:val="0"/>
  </w:style>
  <w:style w:type="character" w:customStyle="1" w:styleId="29">
    <w:name w:val="标题 3 字符"/>
    <w:basedOn w:val="20"/>
    <w:qFormat/>
    <w:uiPriority w:val="0"/>
    <w:rPr>
      <w:b/>
      <w:bCs/>
      <w:kern w:val="2"/>
      <w:sz w:val="32"/>
      <w:szCs w:val="32"/>
    </w:rPr>
  </w:style>
  <w:style w:type="character" w:customStyle="1" w:styleId="30">
    <w:name w:val="标题 3 Char"/>
    <w:basedOn w:val="20"/>
    <w:link w:val="4"/>
    <w:qFormat/>
    <w:uiPriority w:val="0"/>
    <w:rPr>
      <w:rFonts w:hint="eastAsia" w:ascii="仿宋_GB2312" w:eastAsia="宋体" w:cs="仿宋_GB2312"/>
      <w:kern w:val="2"/>
      <w:sz w:val="24"/>
      <w:szCs w:val="28"/>
    </w:rPr>
  </w:style>
  <w:style w:type="character" w:customStyle="1" w:styleId="31">
    <w:name w:val="列出段落 Char"/>
    <w:basedOn w:val="20"/>
    <w:qFormat/>
    <w:uiPriority w:val="0"/>
    <w:rPr>
      <w:kern w:val="2"/>
      <w:sz w:val="21"/>
      <w:szCs w:val="24"/>
    </w:rPr>
  </w:style>
  <w:style w:type="character" w:customStyle="1" w:styleId="32">
    <w:name w:val="标题 1 Char"/>
    <w:link w:val="2"/>
    <w:qFormat/>
    <w:uiPriority w:val="0"/>
    <w:rPr>
      <w:rFonts w:ascii="宋体" w:hAnsi="宋体" w:cs="等线 Light"/>
      <w:b/>
      <w:snapToGrid w:val="0"/>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emf"/><Relationship Id="rId14" Type="http://schemas.openxmlformats.org/officeDocument/2006/relationships/package" Target="embeddings/Workbook3.xlsx"/><Relationship Id="rId13" Type="http://schemas.openxmlformats.org/officeDocument/2006/relationships/image" Target="media/image2.emf"/><Relationship Id="rId12" Type="http://schemas.openxmlformats.org/officeDocument/2006/relationships/package" Target="embeddings/Workbook2.xlsx"/><Relationship Id="rId11" Type="http://schemas.openxmlformats.org/officeDocument/2006/relationships/image" Target="media/image1.emf"/><Relationship Id="rId10" Type="http://schemas.openxmlformats.org/officeDocument/2006/relationships/package" Target="embeddings/Workbook1.xlsx"/><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3501</Words>
  <Characters>19962</Characters>
  <Lines>166</Lines>
  <Paragraphs>46</Paragraphs>
  <TotalTime>4</TotalTime>
  <ScaleCrop>false</ScaleCrop>
  <LinksUpToDate>false</LinksUpToDate>
  <CharactersWithSpaces>23417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2020-08-04T02:17:00Z</dcterms:created>
  <dc:creator>Rachel Chen</dc:creator>
  <cp:lastModifiedBy>罗</cp:lastModifiedBy>
  <cp:lastPrinted>2023-11-01T09:55:00Z</cp:lastPrinted>
  <dcterms:modified xsi:type="dcterms:W3CDTF">2023-11-22T06:33:17Z</dcterms:modified>
  <cp:revision>687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15FF1CD9284642C9BD3AC8AB928DF65C_13</vt:lpwstr>
  </property>
</Properties>
</file>