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line="360" w:lineRule="auto"/>
        <w:ind w:firstLine="0" w:firstLineChars="0"/>
        <w:jc w:val="center"/>
        <w:rPr>
          <w:rFonts w:hint="eastAsia" w:ascii="宋体" w:cs="Cambria"/>
          <w:b/>
          <w:snapToGrid w:val="0"/>
          <w:color w:val="000000"/>
          <w:kern w:val="0"/>
          <w:sz w:val="48"/>
          <w:szCs w:val="84"/>
          <w:highlight w:val="none"/>
        </w:rPr>
      </w:pPr>
      <w:r>
        <w:rPr>
          <w:rFonts w:hint="eastAsia" w:ascii="宋体" w:cs="Cambria"/>
          <w:b/>
          <w:snapToGrid w:val="0"/>
          <w:color w:val="000000"/>
          <w:kern w:val="0"/>
          <w:sz w:val="48"/>
          <w:szCs w:val="84"/>
          <w:highlight w:val="none"/>
        </w:rPr>
        <w:t>重庆三峡银行</w:t>
      </w:r>
    </w:p>
    <w:p>
      <w:pPr>
        <w:autoSpaceDE/>
        <w:autoSpaceDN/>
        <w:spacing w:line="360" w:lineRule="auto"/>
        <w:ind w:firstLine="0" w:firstLineChars="0"/>
        <w:jc w:val="center"/>
        <w:rPr>
          <w:rFonts w:hint="eastAsia" w:ascii="宋体" w:cs="Cambria"/>
          <w:b/>
          <w:snapToGrid w:val="0"/>
          <w:color w:val="000000"/>
          <w:kern w:val="0"/>
          <w:sz w:val="48"/>
          <w:szCs w:val="84"/>
          <w:highlight w:val="none"/>
        </w:rPr>
      </w:pPr>
      <w:r>
        <w:rPr>
          <w:rFonts w:ascii="宋体" w:cs="Cambria"/>
          <w:b/>
          <w:snapToGrid w:val="0"/>
          <w:color w:val="000000"/>
          <w:kern w:val="0"/>
          <w:sz w:val="48"/>
          <w:szCs w:val="84"/>
          <w:highlight w:val="none"/>
        </w:rPr>
        <w:t>全行</w:t>
      </w:r>
      <w:r>
        <w:rPr>
          <w:rFonts w:hint="eastAsia" w:ascii="宋体" w:cs="Cambria"/>
          <w:b/>
          <w:snapToGrid w:val="0"/>
          <w:color w:val="000000"/>
          <w:kern w:val="0"/>
          <w:sz w:val="48"/>
          <w:szCs w:val="84"/>
          <w:highlight w:val="none"/>
        </w:rPr>
        <w:t>互联网WiFi</w:t>
      </w:r>
      <w:r>
        <w:rPr>
          <w:rFonts w:ascii="宋体" w:cs="Cambria"/>
          <w:b/>
          <w:snapToGrid w:val="0"/>
          <w:color w:val="000000"/>
          <w:kern w:val="0"/>
          <w:sz w:val="48"/>
          <w:szCs w:val="84"/>
          <w:highlight w:val="none"/>
        </w:rPr>
        <w:t>接入模式</w:t>
      </w:r>
      <w:r>
        <w:rPr>
          <w:rFonts w:hint="eastAsia" w:ascii="宋体" w:cs="Cambria"/>
          <w:b/>
          <w:snapToGrid w:val="0"/>
          <w:color w:val="000000"/>
          <w:kern w:val="0"/>
          <w:sz w:val="48"/>
          <w:szCs w:val="84"/>
          <w:highlight w:val="none"/>
        </w:rPr>
        <w:t>优化项目</w:t>
      </w:r>
    </w:p>
    <w:p>
      <w:pPr>
        <w:autoSpaceDE/>
        <w:autoSpaceDN/>
        <w:spacing w:line="360" w:lineRule="auto"/>
        <w:ind w:firstLine="0" w:firstLineChars="0"/>
        <w:jc w:val="left"/>
        <w:rPr>
          <w:rFonts w:hint="eastAsia" w:ascii="宋体" w:cs="Cambria"/>
          <w:snapToGrid w:val="0"/>
          <w:color w:val="000000"/>
          <w:kern w:val="0"/>
          <w:sz w:val="18"/>
          <w:highlight w:val="none"/>
        </w:rPr>
      </w:pPr>
    </w:p>
    <w:p>
      <w:pPr>
        <w:autoSpaceDE/>
        <w:autoSpaceDN/>
        <w:spacing w:line="360" w:lineRule="auto"/>
        <w:ind w:firstLine="0" w:firstLineChars="0"/>
        <w:jc w:val="left"/>
        <w:rPr>
          <w:rFonts w:hint="eastAsia" w:ascii="宋体" w:cs="Cambria"/>
          <w:snapToGrid w:val="0"/>
          <w:color w:val="000000"/>
          <w:kern w:val="0"/>
          <w:sz w:val="20"/>
          <w:highlight w:val="none"/>
        </w:rPr>
      </w:pPr>
    </w:p>
    <w:p>
      <w:pPr>
        <w:autoSpaceDE/>
        <w:autoSpaceDN/>
        <w:spacing w:line="360" w:lineRule="auto"/>
        <w:ind w:firstLine="0" w:firstLineChars="0"/>
        <w:jc w:val="left"/>
        <w:rPr>
          <w:rFonts w:hint="eastAsia" w:ascii="宋体" w:cs="Cambria"/>
          <w:snapToGrid w:val="0"/>
          <w:color w:val="000000"/>
          <w:kern w:val="0"/>
          <w:sz w:val="20"/>
          <w:highlight w:val="none"/>
        </w:rPr>
      </w:pPr>
    </w:p>
    <w:p>
      <w:pPr>
        <w:autoSpaceDE/>
        <w:autoSpaceDN/>
        <w:spacing w:line="360" w:lineRule="auto"/>
        <w:ind w:firstLine="0" w:firstLineChars="0"/>
        <w:jc w:val="left"/>
        <w:rPr>
          <w:rFonts w:hint="eastAsia" w:ascii="宋体" w:cs="Cambria"/>
          <w:snapToGrid w:val="0"/>
          <w:color w:val="000000"/>
          <w:kern w:val="0"/>
          <w:sz w:val="20"/>
          <w:highlight w:val="none"/>
        </w:rPr>
      </w:pPr>
    </w:p>
    <w:p>
      <w:pPr>
        <w:autoSpaceDE/>
        <w:autoSpaceDN/>
        <w:spacing w:line="360" w:lineRule="auto"/>
        <w:ind w:firstLine="0" w:firstLineChars="0"/>
        <w:jc w:val="left"/>
        <w:rPr>
          <w:rFonts w:hint="eastAsia" w:ascii="宋体" w:cs="Cambria"/>
          <w:snapToGrid w:val="0"/>
          <w:color w:val="000000"/>
          <w:kern w:val="0"/>
          <w:sz w:val="20"/>
          <w:highlight w:val="none"/>
        </w:rPr>
      </w:pPr>
    </w:p>
    <w:p>
      <w:pPr>
        <w:autoSpaceDE/>
        <w:autoSpaceDN/>
        <w:spacing w:line="360" w:lineRule="auto"/>
        <w:ind w:firstLine="0" w:firstLineChars="0"/>
        <w:jc w:val="left"/>
        <w:rPr>
          <w:rFonts w:hint="eastAsia" w:ascii="宋体" w:cs="Cambria"/>
          <w:snapToGrid w:val="0"/>
          <w:color w:val="000000"/>
          <w:kern w:val="0"/>
          <w:sz w:val="20"/>
          <w:highlight w:val="none"/>
        </w:rPr>
      </w:pPr>
    </w:p>
    <w:p>
      <w:pPr>
        <w:autoSpaceDE/>
        <w:autoSpaceDN/>
        <w:spacing w:line="360" w:lineRule="auto"/>
        <w:ind w:firstLine="0" w:firstLineChars="0"/>
        <w:jc w:val="center"/>
        <w:rPr>
          <w:rFonts w:hint="eastAsia" w:ascii="宋体" w:cs="Cambria"/>
          <w:b/>
          <w:snapToGrid w:val="0"/>
          <w:color w:val="000000"/>
          <w:kern w:val="0"/>
          <w:sz w:val="84"/>
          <w:szCs w:val="84"/>
          <w:highlight w:val="none"/>
        </w:rPr>
      </w:pPr>
      <w:r>
        <w:rPr>
          <w:rFonts w:hint="eastAsia" w:ascii="宋体" w:cs="Cambria"/>
          <w:b/>
          <w:snapToGrid w:val="0"/>
          <w:color w:val="000000"/>
          <w:kern w:val="0"/>
          <w:sz w:val="84"/>
          <w:szCs w:val="84"/>
          <w:highlight w:val="none"/>
        </w:rPr>
        <w:t>比选文件</w:t>
      </w: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autoSpaceDN/>
        <w:spacing w:line="360" w:lineRule="auto"/>
        <w:ind w:firstLine="0" w:firstLineChars="0"/>
        <w:jc w:val="center"/>
        <w:rPr>
          <w:rFonts w:hint="eastAsia" w:ascii="宋体" w:cs="Cambria"/>
          <w:b/>
          <w:snapToGrid w:val="0"/>
          <w:color w:val="000000"/>
          <w:kern w:val="0"/>
          <w:szCs w:val="28"/>
          <w:highlight w:val="none"/>
        </w:rPr>
      </w:pPr>
    </w:p>
    <w:p>
      <w:pPr>
        <w:autoSpaceDE w:val="0"/>
        <w:autoSpaceDN w:val="0"/>
        <w:ind w:firstLine="0" w:firstLineChars="0"/>
        <w:jc w:val="center"/>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比选人：重庆三峡银行股份有限公司</w:t>
      </w:r>
    </w:p>
    <w:p>
      <w:pPr>
        <w:autoSpaceDE/>
        <w:autoSpaceDN/>
        <w:spacing w:line="360" w:lineRule="auto"/>
        <w:ind w:firstLine="0" w:firstLineChars="0"/>
        <w:jc w:val="center"/>
        <w:rPr>
          <w:rFonts w:hint="eastAsia" w:ascii="宋体" w:cs="Cambria"/>
          <w:b/>
          <w:snapToGrid w:val="0"/>
          <w:color w:val="000000"/>
          <w:kern w:val="0"/>
          <w:sz w:val="32"/>
          <w:szCs w:val="28"/>
          <w:highlight w:val="none"/>
        </w:rPr>
      </w:pPr>
      <w:r>
        <w:rPr>
          <w:rFonts w:hint="eastAsia" w:ascii="宋体" w:cs="Cambria"/>
          <w:b/>
          <w:snapToGrid w:val="0"/>
          <w:color w:val="000000"/>
          <w:kern w:val="0"/>
          <w:sz w:val="32"/>
          <w:szCs w:val="28"/>
          <w:highlight w:val="none"/>
        </w:rPr>
        <w:t>20</w:t>
      </w:r>
      <w:r>
        <w:rPr>
          <w:rFonts w:ascii="宋体" w:cs="Cambria"/>
          <w:b/>
          <w:snapToGrid w:val="0"/>
          <w:color w:val="000000"/>
          <w:kern w:val="0"/>
          <w:sz w:val="32"/>
          <w:szCs w:val="28"/>
          <w:highlight w:val="none"/>
        </w:rPr>
        <w:t>2</w:t>
      </w:r>
      <w:r>
        <w:rPr>
          <w:rFonts w:hint="eastAsia" w:ascii="宋体" w:cs="Cambria"/>
          <w:b/>
          <w:snapToGrid w:val="0"/>
          <w:color w:val="000000"/>
          <w:kern w:val="0"/>
          <w:sz w:val="32"/>
          <w:szCs w:val="28"/>
          <w:highlight w:val="none"/>
          <w:lang w:val="en-US" w:eastAsia="zh-CN"/>
        </w:rPr>
        <w:t>4</w:t>
      </w:r>
      <w:r>
        <w:rPr>
          <w:rFonts w:hint="eastAsia" w:ascii="宋体" w:cs="Cambria"/>
          <w:b/>
          <w:snapToGrid w:val="0"/>
          <w:color w:val="000000"/>
          <w:kern w:val="0"/>
          <w:sz w:val="32"/>
          <w:szCs w:val="28"/>
          <w:highlight w:val="none"/>
        </w:rPr>
        <w:t>年</w:t>
      </w:r>
      <w:r>
        <w:rPr>
          <w:rFonts w:ascii="宋体" w:cs="Cambria"/>
          <w:b/>
          <w:snapToGrid w:val="0"/>
          <w:color w:val="000000"/>
          <w:kern w:val="0"/>
          <w:sz w:val="32"/>
          <w:szCs w:val="28"/>
          <w:highlight w:val="none"/>
        </w:rPr>
        <w:t>1</w:t>
      </w:r>
      <w:r>
        <w:rPr>
          <w:rFonts w:hint="eastAsia" w:ascii="宋体" w:cs="Cambria"/>
          <w:b/>
          <w:snapToGrid w:val="0"/>
          <w:color w:val="000000"/>
          <w:kern w:val="0"/>
          <w:sz w:val="32"/>
          <w:szCs w:val="28"/>
          <w:highlight w:val="none"/>
        </w:rPr>
        <w:t>月</w:t>
      </w:r>
    </w:p>
    <w:p>
      <w:pPr>
        <w:snapToGrid w:val="0"/>
        <w:jc w:val="center"/>
        <w:rPr>
          <w:rFonts w:hint="eastAsia" w:ascii="宋体"/>
          <w:b/>
          <w:snapToGrid w:val="0"/>
          <w:color w:val="000000"/>
          <w:kern w:val="0"/>
          <w:sz w:val="44"/>
          <w:szCs w:val="44"/>
          <w:highlight w:val="none"/>
        </w:rPr>
      </w:pPr>
      <w:r>
        <w:rPr>
          <w:rFonts w:ascii="宋体"/>
          <w:snapToGrid w:val="0"/>
          <w:color w:val="000000"/>
          <w:kern w:val="0"/>
          <w:sz w:val="24"/>
          <w:szCs w:val="24"/>
          <w:highlight w:val="none"/>
        </w:rPr>
        <w:br w:type="page"/>
      </w:r>
      <w:r>
        <w:rPr>
          <w:rFonts w:hint="eastAsia" w:ascii="宋体"/>
          <w:b/>
          <w:snapToGrid w:val="0"/>
          <w:color w:val="000000"/>
          <w:kern w:val="0"/>
          <w:sz w:val="44"/>
          <w:szCs w:val="44"/>
          <w:highlight w:val="none"/>
        </w:rPr>
        <w:t>目录</w:t>
      </w:r>
    </w:p>
    <w:p>
      <w:pPr>
        <w:pStyle w:val="16"/>
        <w:tabs>
          <w:tab w:val="right" w:leader="dot" w:pos="8306"/>
          <w:tab w:val="clear" w:pos="1260"/>
          <w:tab w:val="clear" w:pos="1685"/>
          <w:tab w:val="clear" w:pos="8400"/>
        </w:tabs>
        <w:rPr>
          <w:highlight w:val="none"/>
        </w:rPr>
      </w:pPr>
      <w:r>
        <w:rPr>
          <w:rFonts w:hint="eastAsia" w:ascii="宋体"/>
          <w:snapToGrid w:val="0"/>
          <w:color w:val="000000"/>
          <w:kern w:val="0"/>
          <w:sz w:val="24"/>
          <w:szCs w:val="24"/>
          <w:highlight w:val="none"/>
        </w:rPr>
        <w:fldChar w:fldCharType="begin"/>
      </w:r>
      <w:r>
        <w:rPr>
          <w:rFonts w:hint="eastAsia" w:ascii="宋体"/>
          <w:snapToGrid w:val="0"/>
          <w:color w:val="000000"/>
          <w:kern w:val="0"/>
          <w:sz w:val="24"/>
          <w:szCs w:val="24"/>
          <w:highlight w:val="none"/>
        </w:rPr>
        <w:instrText xml:space="preserve">TOC \o "1-1" \h \z \u</w:instrText>
      </w:r>
      <w:r>
        <w:rPr>
          <w:rFonts w:ascii="宋体"/>
          <w:snapToGrid w:val="0"/>
          <w:color w:val="000000"/>
          <w:kern w:val="0"/>
          <w:sz w:val="24"/>
          <w:szCs w:val="24"/>
          <w:highlight w:val="none"/>
        </w:rPr>
        <w:instrText xml:space="preserve"> </w:instrText>
      </w:r>
      <w:r>
        <w:rPr>
          <w:rFonts w:ascii="宋体"/>
          <w:snapToGrid w:val="0"/>
          <w:color w:val="000000"/>
          <w:kern w:val="0"/>
          <w:sz w:val="24"/>
          <w:szCs w:val="24"/>
          <w:highlight w:val="none"/>
        </w:rPr>
        <w:fldChar w:fldCharType="separate"/>
      </w: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_Toc2617 </w:instrText>
      </w:r>
      <w:r>
        <w:rPr>
          <w:rFonts w:ascii="宋体"/>
          <w:snapToGrid w:val="0"/>
          <w:kern w:val="0"/>
          <w:szCs w:val="24"/>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_Toc2617 \h </w:instrText>
      </w:r>
      <w:r>
        <w:rPr>
          <w:highlight w:val="none"/>
        </w:rPr>
        <w:fldChar w:fldCharType="separate"/>
      </w:r>
      <w:r>
        <w:rPr>
          <w:highlight w:val="none"/>
        </w:rPr>
        <w:t>3</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_Toc15470 </w:instrText>
      </w:r>
      <w:r>
        <w:rPr>
          <w:rFonts w:ascii="宋体"/>
          <w:snapToGrid w:val="0"/>
          <w:kern w:val="0"/>
          <w:szCs w:val="24"/>
          <w:highlight w:val="none"/>
        </w:rPr>
        <w:fldChar w:fldCharType="separate"/>
      </w:r>
      <w:r>
        <w:rPr>
          <w:rFonts w:hint="eastAsia"/>
          <w:highlight w:val="none"/>
        </w:rPr>
        <w:t>第二章 项目介绍</w:t>
      </w:r>
      <w:r>
        <w:rPr>
          <w:highlight w:val="none"/>
        </w:rPr>
        <w:tab/>
      </w:r>
      <w:r>
        <w:rPr>
          <w:highlight w:val="none"/>
        </w:rPr>
        <w:fldChar w:fldCharType="begin"/>
      </w:r>
      <w:r>
        <w:rPr>
          <w:highlight w:val="none"/>
        </w:rPr>
        <w:instrText xml:space="preserve"> PAGEREF _Toc15470 \h </w:instrText>
      </w:r>
      <w:r>
        <w:rPr>
          <w:highlight w:val="none"/>
        </w:rPr>
        <w:fldChar w:fldCharType="separate"/>
      </w:r>
      <w:r>
        <w:rPr>
          <w:highlight w:val="none"/>
        </w:rPr>
        <w:t>6</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_Toc21716 </w:instrText>
      </w:r>
      <w:r>
        <w:rPr>
          <w:rFonts w:ascii="宋体"/>
          <w:snapToGrid w:val="0"/>
          <w:kern w:val="0"/>
          <w:szCs w:val="24"/>
          <w:highlight w:val="none"/>
        </w:rPr>
        <w:fldChar w:fldCharType="separate"/>
      </w:r>
      <w:r>
        <w:rPr>
          <w:rFonts w:hint="eastAsia"/>
          <w:highlight w:val="none"/>
        </w:rPr>
        <w:t>第三章 技术条款</w:t>
      </w:r>
      <w:r>
        <w:rPr>
          <w:highlight w:val="none"/>
        </w:rPr>
        <w:tab/>
      </w:r>
      <w:r>
        <w:rPr>
          <w:highlight w:val="none"/>
        </w:rPr>
        <w:fldChar w:fldCharType="begin"/>
      </w:r>
      <w:r>
        <w:rPr>
          <w:highlight w:val="none"/>
        </w:rPr>
        <w:instrText xml:space="preserve"> PAGEREF _Toc21716 \h </w:instrText>
      </w:r>
      <w:r>
        <w:rPr>
          <w:highlight w:val="none"/>
        </w:rPr>
        <w:fldChar w:fldCharType="separate"/>
      </w:r>
      <w:r>
        <w:rPr>
          <w:highlight w:val="none"/>
        </w:rPr>
        <w:t>7</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_Toc30526 </w:instrText>
      </w:r>
      <w:r>
        <w:rPr>
          <w:rFonts w:ascii="宋体"/>
          <w:snapToGrid w:val="0"/>
          <w:kern w:val="0"/>
          <w:szCs w:val="24"/>
          <w:highlight w:val="none"/>
        </w:rPr>
        <w:fldChar w:fldCharType="separate"/>
      </w:r>
      <w:r>
        <w:rPr>
          <w:rFonts w:hint="eastAsia"/>
          <w:highlight w:val="none"/>
        </w:rPr>
        <w:t>第四章 商务条款</w:t>
      </w:r>
      <w:r>
        <w:rPr>
          <w:highlight w:val="none"/>
        </w:rPr>
        <w:tab/>
      </w:r>
      <w:r>
        <w:rPr>
          <w:highlight w:val="none"/>
        </w:rPr>
        <w:fldChar w:fldCharType="begin"/>
      </w:r>
      <w:r>
        <w:rPr>
          <w:highlight w:val="none"/>
        </w:rPr>
        <w:instrText xml:space="preserve"> PAGEREF _Toc30526 \h </w:instrText>
      </w:r>
      <w:r>
        <w:rPr>
          <w:highlight w:val="none"/>
        </w:rPr>
        <w:fldChar w:fldCharType="separate"/>
      </w:r>
      <w:r>
        <w:rPr>
          <w:highlight w:val="none"/>
        </w:rPr>
        <w:t>12</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_Toc8987 </w:instrText>
      </w:r>
      <w:r>
        <w:rPr>
          <w:rFonts w:ascii="宋体"/>
          <w:snapToGrid w:val="0"/>
          <w:kern w:val="0"/>
          <w:szCs w:val="24"/>
          <w:highlight w:val="none"/>
        </w:rPr>
        <w:fldChar w:fldCharType="separate"/>
      </w:r>
      <w:r>
        <w:rPr>
          <w:rFonts w:hint="eastAsia"/>
          <w:highlight w:val="none"/>
        </w:rPr>
        <w:t xml:space="preserve">第五章 </w:t>
      </w:r>
      <w:r>
        <w:rPr>
          <w:highlight w:val="none"/>
        </w:rPr>
        <w:t>合同模板</w:t>
      </w:r>
      <w:r>
        <w:rPr>
          <w:highlight w:val="none"/>
        </w:rPr>
        <w:tab/>
      </w:r>
      <w:r>
        <w:rPr>
          <w:highlight w:val="none"/>
        </w:rPr>
        <w:fldChar w:fldCharType="begin"/>
      </w:r>
      <w:r>
        <w:rPr>
          <w:highlight w:val="none"/>
        </w:rPr>
        <w:instrText xml:space="preserve"> PAGEREF _Toc8987 \h </w:instrText>
      </w:r>
      <w:r>
        <w:rPr>
          <w:highlight w:val="none"/>
        </w:rPr>
        <w:fldChar w:fldCharType="separate"/>
      </w:r>
      <w:r>
        <w:rPr>
          <w:highlight w:val="none"/>
        </w:rPr>
        <w:t>14</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_Toc9318 </w:instrText>
      </w:r>
      <w:r>
        <w:rPr>
          <w:rFonts w:ascii="宋体"/>
          <w:snapToGrid w:val="0"/>
          <w:kern w:val="0"/>
          <w:szCs w:val="24"/>
          <w:highlight w:val="none"/>
        </w:rPr>
        <w:fldChar w:fldCharType="separate"/>
      </w:r>
      <w:r>
        <w:rPr>
          <w:rFonts w:hint="eastAsia"/>
          <w:highlight w:val="none"/>
        </w:rPr>
        <w:t>第</w:t>
      </w:r>
      <w:r>
        <w:rPr>
          <w:highlight w:val="none"/>
        </w:rPr>
        <w:t>六</w:t>
      </w:r>
      <w:r>
        <w:rPr>
          <w:rFonts w:hint="eastAsia"/>
          <w:highlight w:val="none"/>
        </w:rPr>
        <w:t xml:space="preserve">章 </w:t>
      </w:r>
      <w:r>
        <w:rPr>
          <w:rFonts w:hint="eastAsia"/>
          <w:highlight w:val="none"/>
          <w:lang w:eastAsia="zh-CN"/>
        </w:rPr>
        <w:t>评审</w:t>
      </w:r>
      <w:r>
        <w:rPr>
          <w:rFonts w:hint="eastAsia"/>
          <w:highlight w:val="none"/>
        </w:rPr>
        <w:t>方法、</w:t>
      </w:r>
      <w:r>
        <w:rPr>
          <w:rFonts w:hint="eastAsia"/>
          <w:highlight w:val="none"/>
          <w:lang w:eastAsia="zh-CN"/>
        </w:rPr>
        <w:t>评审</w:t>
      </w:r>
      <w:r>
        <w:rPr>
          <w:rFonts w:hint="eastAsia"/>
          <w:highlight w:val="none"/>
        </w:rPr>
        <w:t>标准和无效</w:t>
      </w:r>
      <w:r>
        <w:rPr>
          <w:rFonts w:hint="eastAsia"/>
          <w:highlight w:val="none"/>
          <w:lang w:val="en-US" w:eastAsia="zh-CN"/>
        </w:rPr>
        <w:t>参选</w:t>
      </w:r>
      <w:r>
        <w:rPr>
          <w:rFonts w:hint="eastAsia"/>
          <w:highlight w:val="none"/>
        </w:rPr>
        <w:t>条款</w:t>
      </w:r>
      <w:r>
        <w:rPr>
          <w:highlight w:val="none"/>
        </w:rPr>
        <w:tab/>
      </w:r>
      <w:r>
        <w:rPr>
          <w:highlight w:val="none"/>
        </w:rPr>
        <w:fldChar w:fldCharType="begin"/>
      </w:r>
      <w:r>
        <w:rPr>
          <w:highlight w:val="none"/>
        </w:rPr>
        <w:instrText xml:space="preserve"> PAGEREF _Toc9318 \h </w:instrText>
      </w:r>
      <w:r>
        <w:rPr>
          <w:highlight w:val="none"/>
        </w:rPr>
        <w:fldChar w:fldCharType="separate"/>
      </w:r>
      <w:r>
        <w:rPr>
          <w:highlight w:val="none"/>
        </w:rPr>
        <w:t>33</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_Toc5966 </w:instrText>
      </w:r>
      <w:r>
        <w:rPr>
          <w:rFonts w:ascii="宋体"/>
          <w:snapToGrid w:val="0"/>
          <w:kern w:val="0"/>
          <w:szCs w:val="24"/>
          <w:highlight w:val="none"/>
        </w:rPr>
        <w:fldChar w:fldCharType="separate"/>
      </w:r>
      <w:r>
        <w:rPr>
          <w:rFonts w:hint="eastAsia"/>
          <w:highlight w:val="none"/>
        </w:rPr>
        <w:t>第</w:t>
      </w:r>
      <w:r>
        <w:rPr>
          <w:highlight w:val="none"/>
        </w:rPr>
        <w:t>七</w:t>
      </w:r>
      <w:r>
        <w:rPr>
          <w:rFonts w:hint="eastAsia"/>
          <w:highlight w:val="none"/>
        </w:rPr>
        <w:t>章 参选人须知</w:t>
      </w:r>
      <w:r>
        <w:rPr>
          <w:highlight w:val="none"/>
        </w:rPr>
        <w:tab/>
      </w:r>
      <w:r>
        <w:rPr>
          <w:highlight w:val="none"/>
        </w:rPr>
        <w:fldChar w:fldCharType="begin"/>
      </w:r>
      <w:r>
        <w:rPr>
          <w:highlight w:val="none"/>
        </w:rPr>
        <w:instrText xml:space="preserve"> PAGEREF _Toc5966 \h </w:instrText>
      </w:r>
      <w:r>
        <w:rPr>
          <w:highlight w:val="none"/>
        </w:rPr>
        <w:fldChar w:fldCharType="separate"/>
      </w:r>
      <w:r>
        <w:rPr>
          <w:highlight w:val="none"/>
        </w:rPr>
        <w:t>39</w:t>
      </w:r>
      <w:r>
        <w:rPr>
          <w:highlight w:val="none"/>
        </w:rPr>
        <w:fldChar w:fldCharType="end"/>
      </w:r>
      <w:r>
        <w:rPr>
          <w:rFonts w:ascii="宋体"/>
          <w:snapToGrid w:val="0"/>
          <w:color w:val="000000"/>
          <w:kern w:val="0"/>
          <w:szCs w:val="24"/>
          <w:highlight w:val="none"/>
        </w:rPr>
        <w:fldChar w:fldCharType="end"/>
      </w:r>
    </w:p>
    <w:p>
      <w:pPr>
        <w:pStyle w:val="16"/>
        <w:tabs>
          <w:tab w:val="right" w:leader="dot" w:pos="8306"/>
          <w:tab w:val="clear" w:pos="1260"/>
          <w:tab w:val="clear" w:pos="1685"/>
          <w:tab w:val="clear" w:pos="8400"/>
        </w:tabs>
        <w:rPr>
          <w:highlight w:val="none"/>
        </w:rPr>
      </w:pPr>
      <w:r>
        <w:rPr>
          <w:rFonts w:ascii="宋体"/>
          <w:snapToGrid w:val="0"/>
          <w:color w:val="000000"/>
          <w:kern w:val="0"/>
          <w:szCs w:val="24"/>
          <w:highlight w:val="none"/>
        </w:rPr>
        <w:fldChar w:fldCharType="begin"/>
      </w:r>
      <w:r>
        <w:rPr>
          <w:rFonts w:ascii="宋体"/>
          <w:snapToGrid w:val="0"/>
          <w:kern w:val="0"/>
          <w:szCs w:val="24"/>
          <w:highlight w:val="none"/>
        </w:rPr>
        <w:instrText xml:space="preserve"> HYPERLINK \l _Toc2542 </w:instrText>
      </w:r>
      <w:r>
        <w:rPr>
          <w:rFonts w:ascii="宋体"/>
          <w:snapToGrid w:val="0"/>
          <w:kern w:val="0"/>
          <w:szCs w:val="24"/>
          <w:highlight w:val="none"/>
        </w:rPr>
        <w:fldChar w:fldCharType="separate"/>
      </w:r>
      <w:r>
        <w:rPr>
          <w:rFonts w:hint="eastAsia"/>
          <w:highlight w:val="none"/>
        </w:rPr>
        <w:t>第</w:t>
      </w:r>
      <w:r>
        <w:rPr>
          <w:highlight w:val="none"/>
        </w:rPr>
        <w:t>八</w:t>
      </w:r>
      <w:r>
        <w:rPr>
          <w:rFonts w:hint="eastAsia"/>
          <w:highlight w:val="none"/>
        </w:rPr>
        <w:t>章 参选文件格式</w:t>
      </w:r>
      <w:r>
        <w:rPr>
          <w:highlight w:val="none"/>
        </w:rPr>
        <w:tab/>
      </w:r>
      <w:r>
        <w:rPr>
          <w:highlight w:val="none"/>
        </w:rPr>
        <w:fldChar w:fldCharType="begin"/>
      </w:r>
      <w:r>
        <w:rPr>
          <w:highlight w:val="none"/>
        </w:rPr>
        <w:instrText xml:space="preserve"> PAGEREF _Toc2542 \h </w:instrText>
      </w:r>
      <w:r>
        <w:rPr>
          <w:highlight w:val="none"/>
        </w:rPr>
        <w:fldChar w:fldCharType="separate"/>
      </w:r>
      <w:r>
        <w:rPr>
          <w:highlight w:val="none"/>
        </w:rPr>
        <w:t>47</w:t>
      </w:r>
      <w:r>
        <w:rPr>
          <w:highlight w:val="none"/>
        </w:rPr>
        <w:fldChar w:fldCharType="end"/>
      </w:r>
      <w:r>
        <w:rPr>
          <w:rFonts w:ascii="宋体"/>
          <w:snapToGrid w:val="0"/>
          <w:color w:val="000000"/>
          <w:kern w:val="0"/>
          <w:szCs w:val="24"/>
          <w:highlight w:val="none"/>
        </w:rPr>
        <w:fldChar w:fldCharType="end"/>
      </w:r>
    </w:p>
    <w:p>
      <w:pPr>
        <w:pStyle w:val="16"/>
        <w:tabs>
          <w:tab w:val="clear" w:pos="1260"/>
          <w:tab w:val="clear" w:pos="1685"/>
          <w:tab w:val="clear" w:pos="8400"/>
        </w:tabs>
        <w:rPr>
          <w:highlight w:val="none"/>
        </w:rPr>
      </w:pPr>
      <w:r>
        <w:rPr>
          <w:rFonts w:ascii="宋体"/>
          <w:snapToGrid w:val="0"/>
          <w:color w:val="000000"/>
          <w:kern w:val="0"/>
          <w:sz w:val="24"/>
          <w:szCs w:val="24"/>
          <w:highlight w:val="none"/>
        </w:rPr>
        <w:fldChar w:fldCharType="end"/>
      </w:r>
    </w:p>
    <w:p>
      <w:pPr>
        <w:widowControl/>
        <w:ind w:left="0" w:leftChars="0" w:right="0" w:rightChars="0" w:firstLine="0" w:firstLineChars="0"/>
        <w:jc w:val="center"/>
        <w:rPr>
          <w:rStyle w:val="27"/>
          <w:rFonts w:hint="eastAsia"/>
          <w:highlight w:val="none"/>
        </w:rPr>
      </w:pPr>
      <w:r>
        <w:rPr>
          <w:rFonts w:ascii="宋体"/>
          <w:snapToGrid w:val="0"/>
          <w:color w:val="000000"/>
          <w:kern w:val="0"/>
          <w:sz w:val="24"/>
          <w:szCs w:val="24"/>
          <w:highlight w:val="none"/>
        </w:rPr>
        <w:br w:type="page"/>
      </w:r>
      <w:bookmarkStart w:id="0" w:name="_Toc440628903"/>
      <w:bookmarkStart w:id="1" w:name="_Toc32977420"/>
      <w:bookmarkStart w:id="2" w:name="_Toc469574661"/>
      <w:bookmarkStart w:id="3" w:name="_Toc6745"/>
      <w:bookmarkStart w:id="4" w:name="_Toc2617"/>
      <w:r>
        <w:rPr>
          <w:rStyle w:val="27"/>
          <w:rFonts w:hint="eastAsia"/>
          <w:highlight w:val="none"/>
        </w:rPr>
        <w:t>第一章</w:t>
      </w:r>
      <w:bookmarkEnd w:id="0"/>
      <w:r>
        <w:rPr>
          <w:rStyle w:val="27"/>
          <w:rFonts w:hint="eastAsia"/>
          <w:highlight w:val="none"/>
        </w:rPr>
        <w:t xml:space="preserve"> 比选公告</w:t>
      </w:r>
      <w:bookmarkEnd w:id="1"/>
      <w:bookmarkEnd w:id="2"/>
      <w:bookmarkEnd w:id="3"/>
    </w:p>
    <w:bookmarkEnd w:id="4"/>
    <w:p>
      <w:pPr>
        <w:rPr>
          <w:rFonts w:hint="eastAsia"/>
          <w:highlight w:val="none"/>
        </w:rPr>
      </w:pPr>
      <w:r>
        <w:rPr>
          <w:rFonts w:hint="eastAsia"/>
          <w:highlight w:val="none"/>
        </w:rPr>
        <w:t>为进一步加强本行互联网上网行为的安全管控，将通过租用运营商服务的方式对本行互联网WiFi接入模式进行优化。现对重庆三峡银行互联网WiFi优化项目进行公开比选，特邀请有</w:t>
      </w:r>
      <w:bookmarkStart w:id="5" w:name="_Hlk59455120"/>
      <w:r>
        <w:rPr>
          <w:rFonts w:hint="eastAsia"/>
          <w:highlight w:val="none"/>
        </w:rPr>
        <w:t>意向</w:t>
      </w:r>
      <w:bookmarkEnd w:id="5"/>
      <w:r>
        <w:rPr>
          <w:rFonts w:hint="eastAsia"/>
          <w:highlight w:val="none"/>
        </w:rPr>
        <w:t>的潜在参选人进行参选。</w:t>
      </w:r>
    </w:p>
    <w:p>
      <w:pPr>
        <w:pStyle w:val="4"/>
        <w:rPr>
          <w:rFonts w:hint="eastAsia"/>
          <w:highlight w:val="none"/>
        </w:rPr>
      </w:pPr>
      <w:bookmarkStart w:id="6" w:name="_Toc55379218"/>
      <w:bookmarkStart w:id="7" w:name="_Toc89675127"/>
      <w:r>
        <w:rPr>
          <w:rFonts w:hint="eastAsia"/>
          <w:highlight w:val="none"/>
        </w:rPr>
        <w:t>一、比选项目内容</w:t>
      </w:r>
      <w:bookmarkEnd w:id="6"/>
      <w:bookmarkEnd w:id="7"/>
    </w:p>
    <w:tbl>
      <w:tblPr>
        <w:tblStyle w:val="19"/>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056"/>
        <w:gridCol w:w="1387"/>
        <w:gridCol w:w="9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b/>
                <w:snapToGrid w:val="0"/>
                <w:color w:val="000000"/>
                <w:kern w:val="0"/>
                <w:sz w:val="21"/>
                <w:szCs w:val="21"/>
                <w:highlight w:val="none"/>
              </w:rPr>
            </w:pPr>
            <w:bookmarkStart w:id="8" w:name="_Toc478044645"/>
            <w:bookmarkStart w:id="9" w:name="_Toc478053862"/>
            <w:r>
              <w:rPr>
                <w:rFonts w:hint="eastAsia" w:ascii="宋体" w:cs="Cambria"/>
                <w:b/>
                <w:snapToGrid w:val="0"/>
                <w:color w:val="000000"/>
                <w:kern w:val="0"/>
                <w:sz w:val="21"/>
                <w:szCs w:val="21"/>
                <w:highlight w:val="none"/>
              </w:rPr>
              <w:t>序号</w:t>
            </w:r>
            <w:bookmarkEnd w:id="8"/>
            <w:bookmarkEnd w:id="9"/>
          </w:p>
        </w:tc>
        <w:tc>
          <w:tcPr>
            <w:tcW w:w="20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b/>
                <w:snapToGrid w:val="0"/>
                <w:color w:val="000000"/>
                <w:kern w:val="0"/>
                <w:sz w:val="21"/>
                <w:szCs w:val="21"/>
                <w:highlight w:val="none"/>
              </w:rPr>
            </w:pPr>
            <w:bookmarkStart w:id="10" w:name="_Toc478044646"/>
            <w:bookmarkStart w:id="11" w:name="_Toc478053863"/>
            <w:r>
              <w:rPr>
                <w:rFonts w:hint="eastAsia" w:ascii="宋体" w:cs="Cambria"/>
                <w:b/>
                <w:snapToGrid w:val="0"/>
                <w:color w:val="000000"/>
                <w:kern w:val="0"/>
                <w:sz w:val="21"/>
                <w:szCs w:val="21"/>
                <w:highlight w:val="none"/>
              </w:rPr>
              <w:t>项目名称</w:t>
            </w:r>
            <w:bookmarkEnd w:id="10"/>
            <w:bookmarkEnd w:id="11"/>
          </w:p>
        </w:tc>
        <w:tc>
          <w:tcPr>
            <w:tcW w:w="13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b/>
                <w:snapToGrid w:val="0"/>
                <w:color w:val="000000"/>
                <w:kern w:val="0"/>
                <w:sz w:val="21"/>
                <w:szCs w:val="21"/>
                <w:highlight w:val="none"/>
              </w:rPr>
            </w:pPr>
            <w:bookmarkStart w:id="12" w:name="_Toc478044647"/>
            <w:bookmarkStart w:id="13" w:name="_Toc478053864"/>
            <w:r>
              <w:rPr>
                <w:rFonts w:hint="eastAsia" w:ascii="宋体" w:cs="Cambria"/>
                <w:b/>
                <w:snapToGrid w:val="0"/>
                <w:color w:val="000000"/>
                <w:kern w:val="0"/>
                <w:sz w:val="21"/>
                <w:szCs w:val="21"/>
                <w:highlight w:val="none"/>
              </w:rPr>
              <w:t>最高限价</w:t>
            </w:r>
            <w:bookmarkEnd w:id="12"/>
            <w:bookmarkEnd w:id="13"/>
          </w:p>
        </w:tc>
        <w:tc>
          <w:tcPr>
            <w:tcW w:w="9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b/>
                <w:snapToGrid w:val="0"/>
                <w:color w:val="000000"/>
                <w:kern w:val="0"/>
                <w:sz w:val="21"/>
                <w:szCs w:val="21"/>
                <w:highlight w:val="none"/>
              </w:rPr>
            </w:pPr>
            <w:bookmarkStart w:id="14" w:name="_Toc478044649"/>
            <w:bookmarkStart w:id="15" w:name="_Toc478053866"/>
            <w:r>
              <w:rPr>
                <w:rFonts w:hint="eastAsia" w:ascii="宋体" w:cs="Cambria"/>
                <w:b/>
                <w:snapToGrid w:val="0"/>
                <w:color w:val="000000"/>
                <w:kern w:val="0"/>
                <w:sz w:val="21"/>
                <w:szCs w:val="21"/>
                <w:highlight w:val="none"/>
              </w:rPr>
              <w:t>中选人数量</w:t>
            </w:r>
            <w:bookmarkEnd w:id="14"/>
            <w:bookmarkEnd w:id="15"/>
          </w:p>
        </w:tc>
        <w:tc>
          <w:tcPr>
            <w:tcW w:w="36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b/>
                <w:snapToGrid w:val="0"/>
                <w:color w:val="000000"/>
                <w:kern w:val="0"/>
                <w:sz w:val="21"/>
                <w:szCs w:val="21"/>
                <w:highlight w:val="none"/>
              </w:rPr>
            </w:pPr>
            <w:r>
              <w:rPr>
                <w:rFonts w:hint="eastAsia" w:ascii="宋体" w:cs="Cambria"/>
                <w:b/>
                <w:snapToGrid w:val="0"/>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snapToGrid w:val="0"/>
                <w:color w:val="000000"/>
                <w:kern w:val="0"/>
                <w:sz w:val="21"/>
                <w:szCs w:val="21"/>
                <w:highlight w:val="none"/>
              </w:rPr>
            </w:pPr>
            <w:bookmarkStart w:id="16" w:name="_Toc478053868"/>
            <w:bookmarkStart w:id="17" w:name="_Toc478044651"/>
            <w:r>
              <w:rPr>
                <w:rFonts w:hint="eastAsia" w:ascii="宋体" w:cs="Cambria"/>
                <w:snapToGrid w:val="0"/>
                <w:color w:val="000000"/>
                <w:kern w:val="0"/>
                <w:sz w:val="21"/>
                <w:szCs w:val="21"/>
                <w:highlight w:val="none"/>
              </w:rPr>
              <w:t>1</w:t>
            </w:r>
            <w:bookmarkEnd w:id="16"/>
            <w:bookmarkEnd w:id="17"/>
          </w:p>
        </w:tc>
        <w:tc>
          <w:tcPr>
            <w:tcW w:w="20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snapToGrid w:val="0"/>
                <w:color w:val="000000"/>
                <w:kern w:val="0"/>
                <w:sz w:val="21"/>
                <w:szCs w:val="21"/>
                <w:highlight w:val="none"/>
              </w:rPr>
            </w:pPr>
            <w:r>
              <w:rPr>
                <w:rFonts w:hint="eastAsia" w:ascii="宋体" w:eastAsia="宋体" w:cs="Cambria"/>
                <w:bCs/>
                <w:snapToGrid w:val="0"/>
                <w:color w:val="000000"/>
                <w:kern w:val="0"/>
                <w:sz w:val="21"/>
                <w:szCs w:val="21"/>
                <w:highlight w:val="none"/>
              </w:rPr>
              <w:t>重庆三峡银行</w:t>
            </w:r>
            <w:r>
              <w:rPr>
                <w:rFonts w:ascii="宋体" w:cs="Cambria"/>
                <w:snapToGrid w:val="0"/>
                <w:color w:val="000000"/>
                <w:kern w:val="0"/>
                <w:sz w:val="21"/>
                <w:szCs w:val="21"/>
                <w:highlight w:val="none"/>
              </w:rPr>
              <w:t>全行互联网WiFi接入模式优化</w:t>
            </w:r>
            <w:r>
              <w:rPr>
                <w:rFonts w:hint="eastAsia" w:ascii="宋体" w:cs="Cambria"/>
                <w:snapToGrid w:val="0"/>
                <w:color w:val="000000"/>
                <w:kern w:val="0"/>
                <w:sz w:val="21"/>
                <w:szCs w:val="21"/>
                <w:highlight w:val="none"/>
              </w:rPr>
              <w:t>项目</w:t>
            </w:r>
          </w:p>
        </w:tc>
        <w:tc>
          <w:tcPr>
            <w:tcW w:w="13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snapToGrid w:val="0"/>
                <w:color w:val="000000"/>
                <w:kern w:val="0"/>
                <w:sz w:val="21"/>
                <w:szCs w:val="21"/>
                <w:highlight w:val="none"/>
              </w:rPr>
            </w:pPr>
            <w:r>
              <w:rPr>
                <w:rFonts w:ascii="宋体" w:cs="Cambria"/>
                <w:snapToGrid w:val="0"/>
                <w:color w:val="000000"/>
                <w:kern w:val="0"/>
                <w:sz w:val="21"/>
                <w:szCs w:val="21"/>
                <w:highlight w:val="none"/>
              </w:rPr>
              <w:t>393</w:t>
            </w:r>
            <w:r>
              <w:rPr>
                <w:rFonts w:hint="eastAsia" w:ascii="宋体" w:cs="Cambria"/>
                <w:snapToGrid w:val="0"/>
                <w:color w:val="000000"/>
                <w:kern w:val="0"/>
                <w:sz w:val="21"/>
                <w:szCs w:val="21"/>
                <w:highlight w:val="none"/>
              </w:rPr>
              <w:t>万元</w:t>
            </w:r>
            <w:r>
              <w:rPr>
                <w:rFonts w:ascii="宋体" w:cs="Cambria"/>
                <w:snapToGrid w:val="0"/>
                <w:color w:val="000000"/>
                <w:kern w:val="0"/>
                <w:sz w:val="21"/>
                <w:szCs w:val="21"/>
                <w:highlight w:val="none"/>
              </w:rPr>
              <w:t>/年</w:t>
            </w:r>
          </w:p>
        </w:tc>
        <w:tc>
          <w:tcPr>
            <w:tcW w:w="9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cs="Cambria"/>
                <w:snapToGrid w:val="0"/>
                <w:color w:val="000000"/>
                <w:kern w:val="0"/>
                <w:sz w:val="21"/>
                <w:szCs w:val="21"/>
                <w:highlight w:val="none"/>
              </w:rPr>
            </w:pPr>
            <w:r>
              <w:rPr>
                <w:rFonts w:hint="eastAsia" w:ascii="宋体" w:cs="Cambria"/>
                <w:snapToGrid w:val="0"/>
                <w:color w:val="000000"/>
                <w:kern w:val="0"/>
                <w:sz w:val="21"/>
                <w:szCs w:val="21"/>
                <w:highlight w:val="none"/>
              </w:rPr>
              <w:t>1</w:t>
            </w:r>
          </w:p>
        </w:tc>
        <w:tc>
          <w:tcPr>
            <w:tcW w:w="36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cs="Cambria"/>
                <w:snapToGrid w:val="0"/>
                <w:color w:val="000000"/>
                <w:kern w:val="0"/>
                <w:sz w:val="21"/>
                <w:szCs w:val="21"/>
                <w:highlight w:val="none"/>
              </w:rPr>
            </w:pPr>
            <w:r>
              <w:rPr>
                <w:rFonts w:hint="eastAsia" w:ascii="宋体" w:cs="Cambria"/>
                <w:snapToGrid w:val="0"/>
                <w:color w:val="000000"/>
                <w:kern w:val="0"/>
                <w:sz w:val="21"/>
                <w:szCs w:val="21"/>
                <w:highlight w:val="none"/>
              </w:rPr>
              <w:t>含税价</w:t>
            </w:r>
            <w:r>
              <w:rPr>
                <w:rFonts w:ascii="宋体" w:cs="Cambria"/>
                <w:snapToGrid w:val="0"/>
                <w:color w:val="000000"/>
                <w:kern w:val="0"/>
                <w:sz w:val="21"/>
                <w:szCs w:val="21"/>
                <w:highlight w:val="none"/>
              </w:rPr>
              <w:t>（根据线路及无线AP的单价，按照95个接入点、1条6G专线、3条500M宽带、93条200M宽带、493个AP的规模计算），本项目服务有效期为自合同签订并通过验收之日起3年。</w:t>
            </w:r>
          </w:p>
        </w:tc>
      </w:tr>
    </w:tbl>
    <w:p>
      <w:pPr>
        <w:pStyle w:val="4"/>
        <w:rPr>
          <w:rFonts w:hint="eastAsia"/>
          <w:highlight w:val="none"/>
        </w:rPr>
      </w:pPr>
      <w:bookmarkStart w:id="18" w:name="_Toc469574664"/>
      <w:bookmarkStart w:id="19" w:name="_Toc297817088"/>
      <w:bookmarkStart w:id="20" w:name="_Toc55379219"/>
      <w:bookmarkStart w:id="21" w:name="_Toc288224935"/>
      <w:bookmarkStart w:id="22" w:name="_Toc89675128"/>
      <w:r>
        <w:rPr>
          <w:rFonts w:hint="eastAsia"/>
          <w:highlight w:val="none"/>
        </w:rPr>
        <w:t>二、参选人资格要求</w:t>
      </w:r>
      <w:bookmarkEnd w:id="18"/>
      <w:bookmarkEnd w:id="19"/>
      <w:bookmarkEnd w:id="20"/>
      <w:bookmarkEnd w:id="21"/>
      <w:bookmarkEnd w:id="22"/>
    </w:p>
    <w:p>
      <w:pPr>
        <w:pStyle w:val="5"/>
        <w:rPr>
          <w:rFonts w:hint="eastAsia"/>
          <w:highlight w:val="none"/>
        </w:rPr>
      </w:pPr>
      <w:bookmarkStart w:id="23" w:name="_Hlk55488870"/>
      <w:r>
        <w:rPr>
          <w:rFonts w:hint="eastAsia"/>
          <w:highlight w:val="none"/>
        </w:rPr>
        <w:t>（一）基本资格条件</w:t>
      </w:r>
    </w:p>
    <w:p>
      <w:pPr>
        <w:rPr>
          <w:rFonts w:hint="eastAsia"/>
          <w:highlight w:val="none"/>
        </w:rPr>
      </w:pPr>
      <w:r>
        <w:rPr>
          <w:rFonts w:hint="eastAsia"/>
          <w:highlight w:val="none"/>
        </w:rPr>
        <w:t>1、具有独立承担民事责任的能力；</w:t>
      </w:r>
    </w:p>
    <w:p>
      <w:pPr>
        <w:rPr>
          <w:rFonts w:hint="eastAsia"/>
          <w:highlight w:val="none"/>
        </w:rPr>
      </w:pPr>
      <w:r>
        <w:rPr>
          <w:rFonts w:hint="eastAsia"/>
          <w:highlight w:val="none"/>
        </w:rPr>
        <w:t>2、具有良好的商业信誉和健全的财务会计制度；</w:t>
      </w:r>
    </w:p>
    <w:p>
      <w:pPr>
        <w:rPr>
          <w:rFonts w:hint="eastAsia"/>
          <w:highlight w:val="none"/>
        </w:rPr>
      </w:pPr>
      <w:r>
        <w:rPr>
          <w:rFonts w:hint="eastAsia"/>
          <w:highlight w:val="none"/>
        </w:rPr>
        <w:t>3、具有履行合同所必需的设备和专业技术能力；</w:t>
      </w:r>
    </w:p>
    <w:p>
      <w:pPr>
        <w:rPr>
          <w:rFonts w:hint="eastAsia"/>
          <w:highlight w:val="none"/>
        </w:rPr>
      </w:pPr>
      <w:r>
        <w:rPr>
          <w:rFonts w:hint="eastAsia"/>
          <w:highlight w:val="none"/>
        </w:rPr>
        <w:t>4、有依法缴纳税收和社会保障金的良好记录；</w:t>
      </w:r>
    </w:p>
    <w:p>
      <w:pPr>
        <w:rPr>
          <w:rFonts w:hint="eastAsia"/>
          <w:highlight w:val="none"/>
        </w:rPr>
      </w:pPr>
      <w:r>
        <w:rPr>
          <w:rFonts w:hint="eastAsia"/>
          <w:highlight w:val="none"/>
        </w:rPr>
        <w:t>5、三年内在经营活动中没有重大违法记录；</w:t>
      </w:r>
    </w:p>
    <w:p>
      <w:pPr>
        <w:rPr>
          <w:rFonts w:hint="eastAsia"/>
          <w:highlight w:val="none"/>
        </w:rPr>
      </w:pPr>
      <w:r>
        <w:rPr>
          <w:rFonts w:hint="eastAsia"/>
          <w:highlight w:val="none"/>
        </w:rPr>
        <w:t>6、法人及法定代表人没有被人民法院列为失信被执行人名单；</w:t>
      </w:r>
    </w:p>
    <w:p>
      <w:pPr>
        <w:rPr>
          <w:rFonts w:hint="eastAsia"/>
          <w:highlight w:val="none"/>
        </w:rPr>
      </w:pPr>
      <w:r>
        <w:rPr>
          <w:rFonts w:hint="eastAsia"/>
          <w:highlight w:val="none"/>
        </w:rPr>
        <w:t>7、法律、行政法规规定的其他条件。</w:t>
      </w:r>
    </w:p>
    <w:p>
      <w:pPr>
        <w:pStyle w:val="5"/>
        <w:rPr>
          <w:rFonts w:hint="eastAsia"/>
          <w:highlight w:val="none"/>
        </w:rPr>
      </w:pPr>
      <w:r>
        <w:rPr>
          <w:rFonts w:hint="eastAsia"/>
          <w:highlight w:val="none"/>
        </w:rPr>
        <w:t>（二）特定资格条件</w:t>
      </w:r>
    </w:p>
    <w:p>
      <w:pPr>
        <w:rPr>
          <w:rFonts w:hint="eastAsia"/>
          <w:highlight w:val="none"/>
        </w:rPr>
      </w:pPr>
      <w:r>
        <w:rPr>
          <w:rFonts w:hint="eastAsia"/>
          <w:highlight w:val="none"/>
        </w:rPr>
        <w:t>1、</w:t>
      </w:r>
      <w:r>
        <w:rPr>
          <w:highlight w:val="none"/>
        </w:rPr>
        <w:t>参选人需为国内主流</w:t>
      </w:r>
      <w:r>
        <w:rPr>
          <w:rFonts w:hint="eastAsia"/>
          <w:highlight w:val="none"/>
        </w:rPr>
        <w:t>电信</w:t>
      </w:r>
      <w:r>
        <w:rPr>
          <w:highlight w:val="none"/>
        </w:rPr>
        <w:t>运营商，提供</w:t>
      </w:r>
      <w:r>
        <w:rPr>
          <w:rFonts w:hint="eastAsia"/>
          <w:highlight w:val="none"/>
        </w:rPr>
        <w:t>基础电信业务</w:t>
      </w:r>
      <w:r>
        <w:rPr>
          <w:highlight w:val="none"/>
        </w:rPr>
        <w:t>经营</w:t>
      </w:r>
      <w:r>
        <w:rPr>
          <w:rFonts w:hint="eastAsia"/>
          <w:highlight w:val="none"/>
        </w:rPr>
        <w:t>许可证</w:t>
      </w:r>
      <w:r>
        <w:rPr>
          <w:highlight w:val="none"/>
        </w:rPr>
        <w:t>及增值电信业务经营许可证</w:t>
      </w:r>
      <w:r>
        <w:rPr>
          <w:rFonts w:hint="eastAsia"/>
          <w:highlight w:val="none"/>
        </w:rPr>
        <w:t>复印件并加盖公章。</w:t>
      </w:r>
    </w:p>
    <w:p>
      <w:pPr>
        <w:rPr>
          <w:rFonts w:hint="eastAsia"/>
          <w:highlight w:val="none"/>
        </w:rPr>
      </w:pPr>
      <w:r>
        <w:rPr>
          <w:highlight w:val="none"/>
        </w:rPr>
        <w:t>2、自</w:t>
      </w:r>
      <w:r>
        <w:rPr>
          <w:rFonts w:hint="eastAsia"/>
          <w:highlight w:val="none"/>
        </w:rPr>
        <w:t>20</w:t>
      </w:r>
      <w:r>
        <w:rPr>
          <w:highlight w:val="none"/>
        </w:rPr>
        <w:t>20</w:t>
      </w:r>
      <w:r>
        <w:rPr>
          <w:rFonts w:hint="eastAsia"/>
          <w:highlight w:val="none"/>
        </w:rPr>
        <w:t>年</w:t>
      </w:r>
      <w:r>
        <w:rPr>
          <w:highlight w:val="none"/>
        </w:rPr>
        <w:t>1</w:t>
      </w:r>
      <w:r>
        <w:rPr>
          <w:rFonts w:hint="eastAsia"/>
          <w:highlight w:val="none"/>
        </w:rPr>
        <w:t>月1日</w:t>
      </w:r>
      <w:r>
        <w:rPr>
          <w:highlight w:val="none"/>
        </w:rPr>
        <w:t>起</w:t>
      </w:r>
      <w:r>
        <w:rPr>
          <w:rFonts w:hint="eastAsia"/>
          <w:highlight w:val="none"/>
        </w:rPr>
        <w:t>至</w:t>
      </w:r>
      <w:r>
        <w:rPr>
          <w:highlight w:val="none"/>
        </w:rPr>
        <w:t>参选截止之日止，</w:t>
      </w:r>
      <w:r>
        <w:rPr>
          <w:rFonts w:hint="eastAsia"/>
          <w:highlight w:val="none"/>
        </w:rPr>
        <w:t>具有</w:t>
      </w:r>
      <w:r>
        <w:rPr>
          <w:highlight w:val="none"/>
        </w:rPr>
        <w:t>重庆本地金融行业</w:t>
      </w:r>
      <w:r>
        <w:rPr>
          <w:rFonts w:hint="eastAsia"/>
          <w:highlight w:val="none"/>
        </w:rPr>
        <w:t>相关实施案例(由参选人</w:t>
      </w:r>
      <w:r>
        <w:rPr>
          <w:rFonts w:hint="eastAsia"/>
          <w:highlight w:val="none"/>
          <w:lang w:eastAsia="zh-CN"/>
        </w:rPr>
        <w:t>主体</w:t>
      </w:r>
      <w:r>
        <w:rPr>
          <w:rFonts w:hint="eastAsia"/>
          <w:highlight w:val="none"/>
        </w:rPr>
        <w:t>所签订的合同，需提供合同复印件和项目简介)</w:t>
      </w:r>
      <w:r>
        <w:rPr>
          <w:highlight w:val="none"/>
        </w:rPr>
        <w:t>至少1</w:t>
      </w:r>
      <w:r>
        <w:rPr>
          <w:rFonts w:hint="eastAsia"/>
          <w:highlight w:val="none"/>
        </w:rPr>
        <w:t>家。</w:t>
      </w:r>
      <w:r>
        <w:rPr>
          <w:highlight w:val="none"/>
        </w:rPr>
        <w:t>若无案例则</w:t>
      </w:r>
      <w:r>
        <w:rPr>
          <w:rFonts w:hint="eastAsia"/>
          <w:highlight w:val="none"/>
        </w:rPr>
        <w:t>取消参选资质；</w:t>
      </w:r>
      <w:r>
        <w:rPr>
          <w:highlight w:val="none"/>
        </w:rPr>
        <w:t>（</w:t>
      </w:r>
      <w:r>
        <w:rPr>
          <w:rFonts w:hint="eastAsia"/>
          <w:highlight w:val="none"/>
        </w:rPr>
        <w:t>注: 案例要求以下信息不可隐藏，包含：甲乙双方名称、双方印章、项目/产品的名称、合同/中标通知书签订时间等。</w:t>
      </w:r>
    </w:p>
    <w:p>
      <w:pPr>
        <w:rPr>
          <w:rFonts w:hint="eastAsia"/>
          <w:highlight w:val="none"/>
        </w:rPr>
      </w:pPr>
      <w:r>
        <w:rPr>
          <w:rFonts w:hint="eastAsia"/>
          <w:highlight w:val="none"/>
        </w:rPr>
        <w:t>注:以上证明文件若比选人存疑，参选人需提供原件备查，参选文件中须附相关证明文件复印件并逐页加盖公章。</w:t>
      </w:r>
    </w:p>
    <w:bookmarkEnd w:id="23"/>
    <w:p>
      <w:pPr>
        <w:pStyle w:val="4"/>
        <w:rPr>
          <w:rFonts w:hint="eastAsia"/>
          <w:highlight w:val="none"/>
        </w:rPr>
      </w:pPr>
      <w:bookmarkStart w:id="24" w:name="_Toc55379220"/>
      <w:bookmarkStart w:id="25" w:name="_Toc469574667"/>
      <w:bookmarkStart w:id="26" w:name="_Toc297817090"/>
      <w:bookmarkStart w:id="27" w:name="_Toc89675130"/>
      <w:r>
        <w:rPr>
          <w:rFonts w:hint="eastAsia"/>
          <w:highlight w:val="none"/>
        </w:rPr>
        <w:t>三、比选文件的获取</w:t>
      </w:r>
      <w:bookmarkEnd w:id="24"/>
    </w:p>
    <w:p>
      <w:pPr>
        <w:bidi w:val="0"/>
        <w:rPr>
          <w:rFonts w:hint="eastAsia"/>
          <w:highlight w:val="none"/>
        </w:rPr>
      </w:pPr>
      <w:bookmarkStart w:id="28" w:name="_Toc55379221"/>
      <w:r>
        <w:rPr>
          <w:rFonts w:hint="eastAsia"/>
          <w:highlight w:val="none"/>
        </w:rPr>
        <w:t>获取时间和方式：</w:t>
      </w:r>
    </w:p>
    <w:p>
      <w:pPr>
        <w:rPr>
          <w:rFonts w:hint="eastAsia"/>
          <w:highlight w:val="none"/>
        </w:rPr>
      </w:pPr>
      <w:r>
        <w:rPr>
          <w:rFonts w:hint="eastAsia"/>
          <w:highlight w:val="none"/>
        </w:rPr>
        <w:t>从</w:t>
      </w:r>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10</w:t>
      </w:r>
      <w:r>
        <w:rPr>
          <w:rFonts w:hint="eastAsia"/>
          <w:highlight w:val="none"/>
        </w:rPr>
        <w:t>日到</w:t>
      </w:r>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分（北京时间），在重庆市公共资源交易网（www.cqggzy.com）下载比选文件。</w:t>
      </w:r>
    </w:p>
    <w:p>
      <w:pPr>
        <w:pStyle w:val="4"/>
        <w:rPr>
          <w:rFonts w:hint="eastAsia"/>
          <w:highlight w:val="none"/>
        </w:rPr>
      </w:pPr>
      <w:r>
        <w:rPr>
          <w:rFonts w:hint="eastAsia"/>
          <w:highlight w:val="none"/>
        </w:rPr>
        <w:t>四、比选保证金的递交</w:t>
      </w:r>
      <w:bookmarkEnd w:id="25"/>
      <w:bookmarkEnd w:id="26"/>
      <w:bookmarkEnd w:id="27"/>
      <w:bookmarkEnd w:id="28"/>
    </w:p>
    <w:p>
      <w:pPr>
        <w:rPr>
          <w:rFonts w:hint="eastAsia"/>
          <w:highlight w:val="none"/>
        </w:rPr>
      </w:pPr>
      <w:r>
        <w:rPr>
          <w:rFonts w:hint="eastAsia"/>
          <w:highlight w:val="none"/>
        </w:rPr>
        <w:t>1、参选保证金的金额：</w:t>
      </w:r>
      <w:r>
        <w:rPr>
          <w:highlight w:val="none"/>
        </w:rPr>
        <w:t>78,600</w:t>
      </w:r>
      <w:r>
        <w:rPr>
          <w:rFonts w:hint="eastAsia"/>
          <w:highlight w:val="none"/>
        </w:rPr>
        <w:t>元整（大写：</w:t>
      </w:r>
      <w:r>
        <w:rPr>
          <w:highlight w:val="none"/>
        </w:rPr>
        <w:t>柒万捌仟陆佰</w:t>
      </w:r>
      <w:r>
        <w:rPr>
          <w:rFonts w:hint="eastAsia"/>
          <w:highlight w:val="none"/>
        </w:rPr>
        <w:t>元整）。</w:t>
      </w:r>
    </w:p>
    <w:p>
      <w:pPr>
        <w:rPr>
          <w:rFonts w:hint="eastAsia"/>
          <w:highlight w:val="none"/>
        </w:rPr>
      </w:pPr>
      <w:r>
        <w:rPr>
          <w:rFonts w:hint="eastAsia"/>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rPr>
          <w:rFonts w:hint="eastAsia"/>
          <w:b/>
          <w:bCs/>
          <w:highlight w:val="none"/>
        </w:rPr>
      </w:pPr>
      <w:r>
        <w:rPr>
          <w:rFonts w:hint="eastAsia"/>
          <w:b/>
          <w:bCs/>
          <w:highlight w:val="none"/>
        </w:rPr>
        <w:t>参选人必须在付款凭证备注栏中注明参选项目简称，如：全行WiFi项目。</w:t>
      </w:r>
    </w:p>
    <w:p>
      <w:pPr>
        <w:rPr>
          <w:rFonts w:hint="eastAsia"/>
          <w:highlight w:val="none"/>
        </w:rPr>
      </w:pPr>
      <w:r>
        <w:rPr>
          <w:rFonts w:hint="eastAsia"/>
          <w:highlight w:val="none"/>
        </w:rPr>
        <w:t>3、参选保证金递交的截止时间为</w:t>
      </w:r>
      <w:bookmarkStart w:id="29" w:name="_Toc297817091"/>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w:t>
      </w:r>
    </w:p>
    <w:p>
      <w:pPr>
        <w:rPr>
          <w:rFonts w:hint="eastAsia"/>
          <w:highlight w:val="none"/>
        </w:rPr>
      </w:pPr>
      <w:r>
        <w:rPr>
          <w:highlight w:val="none"/>
        </w:rPr>
        <w:t>4</w:t>
      </w:r>
      <w:r>
        <w:rPr>
          <w:rFonts w:hint="eastAsia"/>
          <w:highlight w:val="none"/>
        </w:rPr>
        <w:t>、参选保证金专用账户如下：</w:t>
      </w:r>
    </w:p>
    <w:p>
      <w:pPr>
        <w:rPr>
          <w:rFonts w:hint="eastAsia"/>
          <w:highlight w:val="none"/>
          <w:lang w:val="en-US" w:eastAsia="zh-CN"/>
        </w:rPr>
      </w:pPr>
      <w:bookmarkStart w:id="30" w:name="_Toc469574668"/>
      <w:bookmarkStart w:id="31" w:name="_Toc89675131"/>
      <w:bookmarkStart w:id="32" w:name="_Toc55379222"/>
      <w:r>
        <w:rPr>
          <w:rFonts w:hint="eastAsia"/>
          <w:highlight w:val="none"/>
          <w:lang w:val="en-US" w:eastAsia="zh-CN"/>
        </w:rPr>
        <w:t>详见重庆市公共资源交易网（www.cqggzy.com）对应本项目比选公告信息栏中的保证金信息。</w:t>
      </w:r>
    </w:p>
    <w:p>
      <w:pPr>
        <w:rPr>
          <w:rFonts w:hint="eastAsia"/>
          <w:highlight w:val="none"/>
          <w:lang w:val="en-US" w:eastAsia="zh-CN"/>
        </w:rPr>
      </w:pPr>
      <w:r>
        <w:rPr>
          <w:rFonts w:hint="eastAsia"/>
          <w:highlight w:val="none"/>
          <w:lang w:val="en-US" w:eastAsia="zh-CN"/>
        </w:rPr>
        <w:t>参选保证金以重庆市公共资源交易中心比选现场展示的保证金交纳情况为准。</w:t>
      </w:r>
    </w:p>
    <w:p>
      <w:pPr>
        <w:pStyle w:val="4"/>
        <w:rPr>
          <w:rFonts w:hint="eastAsia"/>
          <w:highlight w:val="none"/>
        </w:rPr>
      </w:pPr>
      <w:r>
        <w:rPr>
          <w:rFonts w:hint="eastAsia"/>
          <w:highlight w:val="none"/>
        </w:rPr>
        <w:t>五、参选文件的递交</w:t>
      </w:r>
      <w:bookmarkEnd w:id="29"/>
      <w:bookmarkEnd w:id="30"/>
      <w:bookmarkEnd w:id="31"/>
      <w:bookmarkEnd w:id="32"/>
    </w:p>
    <w:p>
      <w:pPr>
        <w:rPr>
          <w:rFonts w:hint="eastAsia"/>
          <w:highlight w:val="none"/>
          <w:lang w:val="en-US" w:eastAsia="zh-CN"/>
        </w:rPr>
      </w:pPr>
      <w:bookmarkStart w:id="33" w:name="_Toc89675132"/>
      <w:bookmarkStart w:id="34" w:name="_Toc469574669"/>
      <w:bookmarkStart w:id="35" w:name="_Toc55379223"/>
      <w:r>
        <w:rPr>
          <w:rFonts w:hint="eastAsia"/>
          <w:highlight w:val="none"/>
          <w:lang w:val="en-US" w:eastAsia="zh-CN"/>
        </w:rPr>
        <w:t>1、参选文件现场递交的开始时间为2024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30</w:t>
      </w:r>
      <w:bookmarkStart w:id="126" w:name="_GoBack"/>
      <w:bookmarkEnd w:id="126"/>
      <w:r>
        <w:rPr>
          <w:rFonts w:hint="eastAsia"/>
          <w:highlight w:val="none"/>
        </w:rPr>
        <w:t>分</w:t>
      </w:r>
      <w:r>
        <w:rPr>
          <w:rFonts w:hint="eastAsia"/>
          <w:highlight w:val="none"/>
          <w:lang w:val="en-US" w:eastAsia="zh-CN"/>
        </w:rPr>
        <w:t>(北京时间)。递交截止时间为2024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w:t>
      </w:r>
      <w:r>
        <w:rPr>
          <w:rFonts w:hint="eastAsia"/>
          <w:highlight w:val="none"/>
          <w:lang w:val="en-US" w:eastAsia="zh-CN"/>
        </w:rPr>
        <w:t>（北京时间）。</w:t>
      </w:r>
    </w:p>
    <w:p>
      <w:pPr>
        <w:rPr>
          <w:rFonts w:hint="eastAsia"/>
          <w:highlight w:val="none"/>
          <w:lang w:val="en-US" w:eastAsia="zh-CN"/>
        </w:rPr>
      </w:pPr>
      <w:r>
        <w:rPr>
          <w:rFonts w:hint="eastAsia"/>
          <w:highlight w:val="none"/>
          <w:lang w:val="en-US" w:eastAsia="zh-CN"/>
        </w:rPr>
        <w:t>2、递交地点为重庆市公共资源交易中心开标区（具体请登陆重庆市公共资源交易网（www.cqggzy.com）查询或递交文件当日见交易中心大厅电子显示屏）。</w:t>
      </w:r>
    </w:p>
    <w:p>
      <w:pPr>
        <w:rPr>
          <w:rFonts w:hint="eastAsia"/>
          <w:highlight w:val="none"/>
          <w:lang w:val="en-US" w:eastAsia="zh-CN"/>
        </w:rPr>
      </w:pPr>
      <w:r>
        <w:rPr>
          <w:rFonts w:hint="eastAsia"/>
          <w:highlight w:val="none"/>
          <w:lang w:val="en-US" w:eastAsia="zh-CN"/>
        </w:rPr>
        <w:t>3、逾期送达的参选文件，不予接收。</w:t>
      </w:r>
    </w:p>
    <w:p>
      <w:pPr>
        <w:pStyle w:val="4"/>
        <w:rPr>
          <w:rFonts w:hint="eastAsia"/>
          <w:highlight w:val="none"/>
        </w:rPr>
      </w:pPr>
      <w:r>
        <w:rPr>
          <w:rFonts w:hint="eastAsia"/>
          <w:highlight w:val="none"/>
        </w:rPr>
        <w:t>六、发布公告的媒介</w:t>
      </w:r>
      <w:bookmarkEnd w:id="33"/>
      <w:bookmarkEnd w:id="34"/>
      <w:bookmarkEnd w:id="35"/>
    </w:p>
    <w:p>
      <w:pPr>
        <w:bidi w:val="0"/>
        <w:rPr>
          <w:rFonts w:hint="eastAsia"/>
          <w:highlight w:val="none"/>
          <w:lang w:val="en-US" w:eastAsia="zh-CN"/>
        </w:rPr>
      </w:pPr>
      <w:bookmarkStart w:id="36" w:name="_Toc250565211"/>
      <w:bookmarkStart w:id="37" w:name="_Toc469574670"/>
      <w:r>
        <w:rPr>
          <w:rFonts w:hint="eastAsia"/>
          <w:highlight w:val="none"/>
          <w:lang w:val="en-US" w:eastAsia="zh-CN"/>
        </w:rPr>
        <w:t>本次比选公告同时在《重庆市公共资源交易网（www.cqggzy.com）》《重庆三峡银行官网（https://www.ccqtgb.com）》和《中国招标投标公共服务平台（http://www.cebpubservice.com）》上发布。</w:t>
      </w:r>
    </w:p>
    <w:p>
      <w:pPr>
        <w:pStyle w:val="4"/>
        <w:bidi w:val="0"/>
        <w:rPr>
          <w:rFonts w:hint="eastAsia"/>
          <w:highlight w:val="none"/>
        </w:rPr>
      </w:pPr>
      <w:bookmarkStart w:id="38" w:name="_Toc89675133"/>
      <w:bookmarkStart w:id="39" w:name="_Toc55379224"/>
      <w:r>
        <w:rPr>
          <w:rFonts w:hint="eastAsia"/>
          <w:highlight w:val="none"/>
        </w:rPr>
        <w:t>七、联系方式</w:t>
      </w:r>
      <w:bookmarkEnd w:id="36"/>
      <w:bookmarkEnd w:id="37"/>
      <w:bookmarkEnd w:id="38"/>
      <w:bookmarkEnd w:id="39"/>
    </w:p>
    <w:p>
      <w:pPr>
        <w:bidi w:val="0"/>
        <w:rPr>
          <w:rFonts w:hint="eastAsia"/>
          <w:highlight w:val="none"/>
        </w:rPr>
      </w:pPr>
      <w:r>
        <w:rPr>
          <w:rFonts w:hint="eastAsia"/>
          <w:highlight w:val="none"/>
        </w:rPr>
        <w:t>比选人：重庆三峡银行股份有限公司</w:t>
      </w:r>
    </w:p>
    <w:p>
      <w:pPr>
        <w:bidi w:val="0"/>
        <w:rPr>
          <w:rFonts w:hint="eastAsia"/>
          <w:highlight w:val="none"/>
        </w:rPr>
      </w:pPr>
      <w:r>
        <w:rPr>
          <w:rFonts w:hint="eastAsia"/>
          <w:highlight w:val="none"/>
        </w:rPr>
        <w:t>地址：重庆市渝北区嘉州路88号中渝国际都会4号写字楼21层</w:t>
      </w:r>
    </w:p>
    <w:p>
      <w:pPr>
        <w:bidi w:val="0"/>
        <w:rPr>
          <w:rFonts w:hint="eastAsia"/>
          <w:highlight w:val="none"/>
        </w:rPr>
      </w:pPr>
      <w:r>
        <w:rPr>
          <w:rFonts w:hint="eastAsia"/>
          <w:highlight w:val="none"/>
        </w:rPr>
        <w:t>联系人：敬希</w:t>
      </w:r>
    </w:p>
    <w:p>
      <w:pPr>
        <w:bidi w:val="0"/>
        <w:rPr>
          <w:rFonts w:hint="eastAsia"/>
          <w:highlight w:val="none"/>
        </w:rPr>
      </w:pPr>
      <w:r>
        <w:rPr>
          <w:rFonts w:hint="eastAsia"/>
          <w:highlight w:val="none"/>
        </w:rPr>
        <w:t>采购咨询电话：023-88890</w:t>
      </w:r>
      <w:r>
        <w:rPr>
          <w:highlight w:val="none"/>
        </w:rPr>
        <w:t>395</w:t>
      </w:r>
    </w:p>
    <w:p>
      <w:pPr>
        <w:bidi w:val="0"/>
        <w:rPr>
          <w:rFonts w:hint="eastAsia"/>
          <w:highlight w:val="none"/>
        </w:rPr>
      </w:pPr>
      <w:r>
        <w:rPr>
          <w:rFonts w:hint="eastAsia"/>
          <w:highlight w:val="none"/>
        </w:rPr>
        <w:t>业务咨询电话：</w:t>
      </w:r>
      <w:r>
        <w:rPr>
          <w:highlight w:val="none"/>
        </w:rPr>
        <w:t>13594342987</w:t>
      </w:r>
    </w:p>
    <w:p>
      <w:pPr>
        <w:bidi w:val="0"/>
        <w:rPr>
          <w:rFonts w:hint="eastAsia"/>
          <w:highlight w:val="none"/>
        </w:rPr>
      </w:pPr>
      <w:r>
        <w:rPr>
          <w:rFonts w:hint="eastAsia"/>
          <w:highlight w:val="none"/>
        </w:rPr>
        <w:t>邮箱：</w:t>
      </w:r>
      <w:r>
        <w:rPr>
          <w:highlight w:val="none"/>
        </w:rPr>
        <w:t>sx.jcb@ccqtgb.com</w:t>
      </w:r>
    </w:p>
    <w:p>
      <w:pPr>
        <w:bidi w:val="0"/>
        <w:rPr>
          <w:highlight w:val="none"/>
        </w:rPr>
      </w:pPr>
    </w:p>
    <w:p>
      <w:pPr>
        <w:bidi w:val="0"/>
        <w:rPr>
          <w:rFonts w:hint="eastAsia"/>
          <w:highlight w:val="none"/>
        </w:rPr>
      </w:pPr>
      <w:r>
        <w:rPr>
          <w:rFonts w:hint="eastAsia"/>
          <w:highlight w:val="none"/>
        </w:rPr>
        <w:t>平台服务机构：重庆联合产权交易所集团股份有限公司</w:t>
      </w:r>
    </w:p>
    <w:p>
      <w:pPr>
        <w:bidi w:val="0"/>
        <w:rPr>
          <w:rFonts w:hint="eastAsia"/>
          <w:highlight w:val="none"/>
        </w:rPr>
      </w:pPr>
      <w:r>
        <w:rPr>
          <w:rFonts w:hint="eastAsia"/>
          <w:highlight w:val="none"/>
        </w:rPr>
        <w:t>平台服务联系人：</w:t>
      </w:r>
      <w:r>
        <w:rPr>
          <w:rFonts w:hint="eastAsia"/>
          <w:highlight w:val="none"/>
          <w:lang w:val="en-US" w:eastAsia="zh-CN"/>
        </w:rPr>
        <w:t>杜老师</w:t>
      </w:r>
      <w:r>
        <w:rPr>
          <w:rFonts w:hint="eastAsia"/>
          <w:highlight w:val="none"/>
        </w:rPr>
        <w:t xml:space="preserve">                                        </w:t>
      </w:r>
    </w:p>
    <w:p>
      <w:pPr>
        <w:bidi w:val="0"/>
        <w:rPr>
          <w:rFonts w:hint="eastAsia"/>
          <w:highlight w:val="none"/>
        </w:rPr>
      </w:pPr>
      <w:r>
        <w:rPr>
          <w:rFonts w:hint="eastAsia"/>
          <w:highlight w:val="none"/>
        </w:rPr>
        <w:t>平台服务电话：023-63621694</w:t>
      </w:r>
    </w:p>
    <w:p>
      <w:pPr>
        <w:bidi w:val="0"/>
        <w:jc w:val="right"/>
        <w:rPr>
          <w:rFonts w:hint="eastAsia"/>
          <w:highlight w:val="none"/>
        </w:rPr>
      </w:pPr>
    </w:p>
    <w:p>
      <w:pPr>
        <w:bidi w:val="0"/>
        <w:jc w:val="right"/>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10</w:t>
      </w:r>
      <w:r>
        <w:rPr>
          <w:rFonts w:hint="eastAsia"/>
          <w:highlight w:val="none"/>
        </w:rPr>
        <w:t>日</w:t>
      </w:r>
    </w:p>
    <w:p>
      <w:pPr>
        <w:keepNext w:val="0"/>
        <w:keepLines w:val="0"/>
        <w:pageBreakBefore w:val="0"/>
        <w:widowControl w:val="0"/>
        <w:kinsoku/>
        <w:wordWrap/>
        <w:overflowPunct/>
        <w:topLinePunct/>
        <w:autoSpaceDE/>
        <w:autoSpaceDN/>
        <w:bidi w:val="0"/>
        <w:adjustRightInd/>
        <w:snapToGrid w:val="0"/>
        <w:spacing w:line="600" w:lineRule="exact"/>
        <w:ind w:left="0" w:leftChars="0" w:right="0" w:rightChars="0" w:firstLine="0" w:firstLineChars="0"/>
        <w:jc w:val="center"/>
        <w:textAlignment w:val="auto"/>
        <w:outlineLvl w:val="0"/>
        <w:rPr>
          <w:rStyle w:val="27"/>
          <w:rFonts w:hint="eastAsia"/>
          <w:highlight w:val="none"/>
        </w:rPr>
      </w:pPr>
      <w:r>
        <w:rPr>
          <w:rFonts w:hint="eastAsia" w:ascii="宋体" w:eastAsia="宋体" w:cs="Cambria"/>
          <w:snapToGrid w:val="0"/>
          <w:color w:val="000000"/>
          <w:kern w:val="0"/>
          <w:sz w:val="24"/>
          <w:szCs w:val="24"/>
          <w:highlight w:val="none"/>
        </w:rPr>
        <w:br w:type="page"/>
      </w:r>
      <w:bookmarkStart w:id="40" w:name="_Toc15470"/>
      <w:bookmarkStart w:id="41" w:name="_Toc32977421"/>
      <w:r>
        <w:rPr>
          <w:rStyle w:val="27"/>
          <w:rFonts w:hint="eastAsia"/>
          <w:highlight w:val="none"/>
        </w:rPr>
        <w:t>第二章 项目介绍</w:t>
      </w:r>
      <w:bookmarkEnd w:id="40"/>
      <w:bookmarkEnd w:id="41"/>
    </w:p>
    <w:p>
      <w:pPr>
        <w:pStyle w:val="4"/>
        <w:bidi w:val="0"/>
        <w:rPr>
          <w:rFonts w:hint="eastAsia"/>
          <w:highlight w:val="none"/>
        </w:rPr>
      </w:pPr>
      <w:bookmarkStart w:id="42" w:name="_Toc89675135"/>
      <w:r>
        <w:rPr>
          <w:rFonts w:hint="eastAsia"/>
          <w:highlight w:val="none"/>
        </w:rPr>
        <w:t>一</w:t>
      </w:r>
      <w:r>
        <w:rPr>
          <w:highlight w:val="none"/>
        </w:rPr>
        <w:t>、</w:t>
      </w:r>
      <w:r>
        <w:rPr>
          <w:rFonts w:hint="eastAsia"/>
          <w:highlight w:val="none"/>
        </w:rPr>
        <w:t>项目背景</w:t>
      </w:r>
      <w:r>
        <w:rPr>
          <w:rFonts w:hint="eastAsia"/>
          <w:highlight w:val="none"/>
        </w:rPr>
        <w:tab/>
      </w:r>
      <w:bookmarkEnd w:id="42"/>
    </w:p>
    <w:p>
      <w:pPr>
        <w:bidi w:val="0"/>
        <w:rPr>
          <w:rFonts w:hint="eastAsia"/>
          <w:highlight w:val="none"/>
        </w:rPr>
      </w:pPr>
      <w:bookmarkStart w:id="43" w:name="_Toc89675136"/>
      <w:r>
        <w:rPr>
          <w:highlight w:val="none"/>
        </w:rPr>
        <w:t>为</w:t>
      </w:r>
      <w:r>
        <w:rPr>
          <w:rFonts w:hint="eastAsia"/>
          <w:highlight w:val="none"/>
        </w:rPr>
        <w:t>强化</w:t>
      </w:r>
      <w:r>
        <w:rPr>
          <w:highlight w:val="none"/>
        </w:rPr>
        <w:t>本行</w:t>
      </w:r>
      <w:r>
        <w:rPr>
          <w:rFonts w:hint="eastAsia"/>
          <w:highlight w:val="none"/>
        </w:rPr>
        <w:t>互联网</w:t>
      </w:r>
      <w:r>
        <w:rPr>
          <w:highlight w:val="none"/>
        </w:rPr>
        <w:t>接入的管理</w:t>
      </w:r>
      <w:r>
        <w:rPr>
          <w:rFonts w:hint="eastAsia"/>
          <w:highlight w:val="none"/>
        </w:rPr>
        <w:t>，拟对全行</w:t>
      </w:r>
      <w:r>
        <w:rPr>
          <w:highlight w:val="none"/>
        </w:rPr>
        <w:t>互联网</w:t>
      </w:r>
      <w:r>
        <w:rPr>
          <w:rFonts w:hint="eastAsia"/>
          <w:highlight w:val="none"/>
        </w:rPr>
        <w:t>WiFi接入模式进行优化。通过统一全行</w:t>
      </w:r>
      <w:r>
        <w:rPr>
          <w:highlight w:val="none"/>
        </w:rPr>
        <w:t>互联网</w:t>
      </w:r>
      <w:r>
        <w:rPr>
          <w:rFonts w:hint="eastAsia"/>
          <w:highlight w:val="none"/>
        </w:rPr>
        <w:t>WiFi出口的模式，进一步加强全行互联网上网行为的安全管控</w:t>
      </w:r>
      <w:r>
        <w:rPr>
          <w:highlight w:val="none"/>
        </w:rPr>
        <w:t>。</w:t>
      </w:r>
    </w:p>
    <w:p>
      <w:pPr>
        <w:pStyle w:val="4"/>
        <w:bidi w:val="0"/>
        <w:rPr>
          <w:rFonts w:hint="eastAsia"/>
          <w:highlight w:val="none"/>
        </w:rPr>
      </w:pPr>
      <w:r>
        <w:rPr>
          <w:rFonts w:hint="eastAsia"/>
          <w:highlight w:val="none"/>
        </w:rPr>
        <w:t>二、项目目标</w:t>
      </w:r>
      <w:bookmarkEnd w:id="43"/>
    </w:p>
    <w:p>
      <w:pPr>
        <w:bidi w:val="0"/>
        <w:rPr>
          <w:rFonts w:hint="eastAsia"/>
          <w:highlight w:val="none"/>
        </w:rPr>
      </w:pPr>
      <w:r>
        <w:rPr>
          <w:highlight w:val="none"/>
        </w:rPr>
        <w:t>通过运营商为本行全行提供互联网接入服务，完成总行及各分支机构的互联网WiFi全覆盖。各接入点汇聚至总行后由总行统一出联网出口，在合规的同时满足全行员工和客户访问互联网的需求。</w:t>
      </w:r>
    </w:p>
    <w:p>
      <w:pPr>
        <w:pStyle w:val="4"/>
        <w:bidi w:val="0"/>
        <w:rPr>
          <w:rFonts w:hint="eastAsia"/>
          <w:highlight w:val="none"/>
        </w:rPr>
      </w:pPr>
      <w:r>
        <w:rPr>
          <w:rFonts w:hint="eastAsia"/>
          <w:highlight w:val="none"/>
        </w:rPr>
        <w:t>三、项目要求</w:t>
      </w:r>
    </w:p>
    <w:p>
      <w:pPr>
        <w:pStyle w:val="5"/>
        <w:bidi w:val="0"/>
        <w:rPr>
          <w:rFonts w:hint="eastAsia"/>
          <w:highlight w:val="none"/>
        </w:rPr>
      </w:pPr>
      <w:r>
        <w:rPr>
          <w:rFonts w:hint="eastAsia"/>
          <w:highlight w:val="none"/>
        </w:rPr>
        <w:t>（一）项目要求</w:t>
      </w:r>
    </w:p>
    <w:p>
      <w:pPr>
        <w:bidi w:val="0"/>
        <w:rPr>
          <w:rFonts w:hint="eastAsia"/>
          <w:highlight w:val="none"/>
        </w:rPr>
      </w:pPr>
      <w:r>
        <w:rPr>
          <w:rFonts w:hint="eastAsia"/>
          <w:highlight w:val="none"/>
        </w:rPr>
        <w:t>1.此次采购</w:t>
      </w:r>
      <w:r>
        <w:rPr>
          <w:highlight w:val="none"/>
        </w:rPr>
        <w:t>服务所涉及</w:t>
      </w:r>
      <w:r>
        <w:rPr>
          <w:rFonts w:hint="eastAsia"/>
          <w:highlight w:val="none"/>
        </w:rPr>
        <w:t>设备应具有相应的后续扩容性,满足市场主流产品的兼容性；</w:t>
      </w:r>
    </w:p>
    <w:p>
      <w:pPr>
        <w:bidi w:val="0"/>
        <w:rPr>
          <w:rFonts w:hint="eastAsia"/>
          <w:highlight w:val="none"/>
        </w:rPr>
      </w:pPr>
      <w:r>
        <w:rPr>
          <w:rFonts w:hint="eastAsia"/>
          <w:highlight w:val="none"/>
        </w:rPr>
        <w:t>2.保证所采购</w:t>
      </w:r>
      <w:r>
        <w:rPr>
          <w:highlight w:val="none"/>
        </w:rPr>
        <w:t>服务所涉及</w:t>
      </w:r>
      <w:r>
        <w:rPr>
          <w:rFonts w:hint="eastAsia"/>
          <w:highlight w:val="none"/>
        </w:rPr>
        <w:t>设备均为原厂正规渠道行货，供货商需获得原厂授权证明文件。</w:t>
      </w:r>
    </w:p>
    <w:p>
      <w:pPr>
        <w:pStyle w:val="5"/>
        <w:bidi w:val="0"/>
        <w:rPr>
          <w:rFonts w:hint="eastAsia"/>
          <w:highlight w:val="none"/>
        </w:rPr>
      </w:pPr>
      <w:r>
        <w:rPr>
          <w:rFonts w:hint="eastAsia"/>
          <w:highlight w:val="none"/>
        </w:rPr>
        <w:t>（二）下列技术要求是对比选设备的关键性描述，</w:t>
      </w:r>
      <w:r>
        <w:rPr>
          <w:rFonts w:hint="eastAsia"/>
          <w:highlight w:val="none"/>
          <w:lang w:eastAsia="zh-CN"/>
        </w:rPr>
        <w:t>参选</w:t>
      </w:r>
      <w:r>
        <w:rPr>
          <w:rFonts w:hint="eastAsia"/>
          <w:highlight w:val="none"/>
        </w:rPr>
        <w:t>人必须严格遵守：</w:t>
      </w:r>
    </w:p>
    <w:p>
      <w:pPr>
        <w:bidi w:val="0"/>
        <w:rPr>
          <w:rFonts w:hint="eastAsia"/>
          <w:highlight w:val="none"/>
        </w:rPr>
      </w:pPr>
      <w:r>
        <w:rPr>
          <w:rFonts w:hint="eastAsia"/>
          <w:highlight w:val="none"/>
        </w:rPr>
        <w:t>1.先进性：技术选择考虑先进性，即采用业界先进的、主流技术来进行设计。</w:t>
      </w:r>
    </w:p>
    <w:p>
      <w:pPr>
        <w:bidi w:val="0"/>
        <w:rPr>
          <w:rFonts w:hint="eastAsia"/>
          <w:highlight w:val="none"/>
        </w:rPr>
      </w:pPr>
      <w:r>
        <w:rPr>
          <w:rFonts w:hint="eastAsia"/>
          <w:highlight w:val="none"/>
        </w:rPr>
        <w:t>2.成熟性：采用成熟的技术及成熟产品和经过工程实践检验的先进技术。</w:t>
      </w:r>
    </w:p>
    <w:p>
      <w:pPr>
        <w:bidi w:val="0"/>
        <w:rPr>
          <w:rFonts w:hint="eastAsia"/>
          <w:highlight w:val="none"/>
        </w:rPr>
      </w:pPr>
      <w:r>
        <w:rPr>
          <w:rFonts w:hint="eastAsia"/>
          <w:highlight w:val="none"/>
        </w:rPr>
        <w:t>3.开放性：系统采用开放的技术标准，保证将来交互平台的延展使用。</w:t>
      </w:r>
    </w:p>
    <w:p>
      <w:pPr>
        <w:bidi w:val="0"/>
        <w:rPr>
          <w:rFonts w:hint="eastAsia"/>
          <w:highlight w:val="none"/>
        </w:rPr>
      </w:pPr>
      <w:r>
        <w:rPr>
          <w:rFonts w:hint="eastAsia"/>
          <w:highlight w:val="none"/>
        </w:rPr>
        <w:t>4.标准化：系统采用标准化的设计和标准化的主流产品。</w:t>
      </w:r>
    </w:p>
    <w:p>
      <w:pPr>
        <w:bidi w:val="0"/>
        <w:rPr>
          <w:rFonts w:hint="eastAsia"/>
          <w:highlight w:val="none"/>
        </w:rPr>
      </w:pPr>
      <w:r>
        <w:rPr>
          <w:rFonts w:hint="eastAsia"/>
          <w:highlight w:val="none"/>
        </w:rPr>
        <w:t>5.可扩展性：本次</w:t>
      </w:r>
      <w:r>
        <w:rPr>
          <w:highlight w:val="none"/>
        </w:rPr>
        <w:t>服务</w:t>
      </w:r>
      <w:r>
        <w:rPr>
          <w:rFonts w:hint="eastAsia"/>
          <w:highlight w:val="none"/>
        </w:rPr>
        <w:t>采购</w:t>
      </w:r>
      <w:r>
        <w:rPr>
          <w:highlight w:val="none"/>
        </w:rPr>
        <w:t>涉及的软硬件</w:t>
      </w:r>
      <w:r>
        <w:rPr>
          <w:rFonts w:hint="eastAsia"/>
          <w:highlight w:val="none"/>
        </w:rPr>
        <w:t>充分考虑未来3</w:t>
      </w:r>
      <w:r>
        <w:rPr>
          <w:highlight w:val="none"/>
        </w:rPr>
        <w:t>至5</w:t>
      </w:r>
      <w:r>
        <w:rPr>
          <w:rFonts w:hint="eastAsia"/>
          <w:highlight w:val="none"/>
        </w:rPr>
        <w:t>年的发展，为将来的扩展留有余地。</w:t>
      </w:r>
    </w:p>
    <w:p>
      <w:pPr>
        <w:bidi w:val="0"/>
        <w:rPr>
          <w:rFonts w:hint="eastAsia"/>
          <w:highlight w:val="none"/>
        </w:rPr>
      </w:pPr>
      <w:r>
        <w:rPr>
          <w:rFonts w:hint="eastAsia"/>
          <w:highlight w:val="none"/>
        </w:rPr>
        <w:t>6.安全性及可靠性：包括系统自身安全和信息传递的安全。</w:t>
      </w:r>
    </w:p>
    <w:p>
      <w:pPr>
        <w:pStyle w:val="3"/>
        <w:keepNext w:val="0"/>
        <w:keepLines w:val="0"/>
        <w:pageBreakBefore w:val="0"/>
        <w:widowControl w:val="0"/>
        <w:kinsoku/>
        <w:wordWrap/>
        <w:overflowPunct/>
        <w:topLinePunct w:val="0"/>
        <w:autoSpaceDE/>
        <w:autoSpaceDN/>
        <w:bidi w:val="0"/>
        <w:adjustRightInd/>
        <w:snapToGrid w:val="0"/>
        <w:spacing w:before="0"/>
        <w:ind w:left="0" w:leftChars="0" w:right="0" w:rightChars="0" w:firstLine="0" w:firstLineChars="0"/>
        <w:jc w:val="center"/>
        <w:textAlignment w:val="auto"/>
        <w:outlineLvl w:val="0"/>
        <w:rPr>
          <w:rStyle w:val="27"/>
          <w:rFonts w:hint="eastAsia"/>
          <w:b/>
          <w:highlight w:val="none"/>
        </w:rPr>
      </w:pPr>
      <w:bookmarkStart w:id="44" w:name="_Toc32977422"/>
      <w:r>
        <w:rPr>
          <w:rFonts w:hint="eastAsia"/>
          <w:color w:val="000000"/>
          <w:highlight w:val="none"/>
        </w:rPr>
        <w:br w:type="page"/>
      </w:r>
      <w:bookmarkStart w:id="45" w:name="_Toc21716"/>
      <w:r>
        <w:rPr>
          <w:rStyle w:val="27"/>
          <w:rFonts w:hint="eastAsia"/>
          <w:b/>
          <w:highlight w:val="none"/>
        </w:rPr>
        <w:t>第三章 技术条款</w:t>
      </w:r>
      <w:bookmarkEnd w:id="44"/>
      <w:bookmarkEnd w:id="45"/>
    </w:p>
    <w:p>
      <w:pPr>
        <w:pStyle w:val="4"/>
        <w:bidi w:val="0"/>
        <w:rPr>
          <w:rFonts w:hint="eastAsia"/>
          <w:highlight w:val="none"/>
        </w:rPr>
      </w:pPr>
      <w:bookmarkStart w:id="46" w:name="_Toc89675138"/>
      <w:r>
        <w:rPr>
          <w:rFonts w:hint="eastAsia"/>
          <w:highlight w:val="none"/>
        </w:rPr>
        <w:t>一、</w:t>
      </w:r>
      <w:bookmarkEnd w:id="46"/>
      <w:r>
        <w:rPr>
          <w:rFonts w:hint="eastAsia"/>
          <w:highlight w:val="none"/>
        </w:rPr>
        <w:t>总体要求</w:t>
      </w:r>
    </w:p>
    <w:p>
      <w:pPr>
        <w:bidi w:val="0"/>
        <w:rPr>
          <w:rFonts w:hint="eastAsia"/>
          <w:highlight w:val="none"/>
        </w:rPr>
      </w:pPr>
      <w:r>
        <w:rPr>
          <w:rFonts w:hint="eastAsia"/>
          <w:highlight w:val="none"/>
        </w:rPr>
        <w:t>1．参选人应对本比选文件及其它相关比选材料加以综合理解，如本章第二条技术要求中参照的标准与参选人所执行的标准发生矛盾时，参选人应以要求更严、性能更高、功能更全者为准。</w:t>
      </w:r>
    </w:p>
    <w:p>
      <w:pPr>
        <w:bidi w:val="0"/>
        <w:rPr>
          <w:rFonts w:hint="eastAsia"/>
          <w:highlight w:val="none"/>
        </w:rPr>
      </w:pPr>
      <w:r>
        <w:rPr>
          <w:rFonts w:hint="eastAsia"/>
          <w:highlight w:val="none"/>
        </w:rPr>
        <w:t>2．合同或本比选文件中未作规定者，或是比选人没有明确给出的信息，参选人应按中国法律法规、标准规范和相关行业规则等执行。</w:t>
      </w:r>
    </w:p>
    <w:p>
      <w:pPr>
        <w:bidi w:val="0"/>
        <w:rPr>
          <w:rFonts w:hint="eastAsia"/>
          <w:highlight w:val="none"/>
        </w:rPr>
      </w:pPr>
      <w:r>
        <w:rPr>
          <w:rFonts w:hint="eastAsia"/>
          <w:highlight w:val="none"/>
        </w:rPr>
        <w:t>3．参选人提供的一切资料均应以中文为准，如果因为语言误差造成的损失由参选人负责。</w:t>
      </w:r>
    </w:p>
    <w:p>
      <w:pPr>
        <w:bidi w:val="0"/>
        <w:rPr>
          <w:rFonts w:hint="eastAsia"/>
          <w:highlight w:val="none"/>
        </w:rPr>
      </w:pPr>
      <w:r>
        <w:rPr>
          <w:rFonts w:hint="eastAsia"/>
          <w:highlight w:val="none"/>
        </w:rPr>
        <w:t>4．参选人不得将本项目比选内容以任何方式进行转包，本项目不接受联合体参选。</w:t>
      </w:r>
    </w:p>
    <w:p>
      <w:pPr>
        <w:bidi w:val="0"/>
        <w:rPr>
          <w:rFonts w:hint="eastAsia"/>
          <w:highlight w:val="none"/>
        </w:rPr>
      </w:pPr>
      <w:r>
        <w:rPr>
          <w:rFonts w:hint="eastAsia"/>
          <w:highlight w:val="none"/>
        </w:rPr>
        <w:t>5．参选人单位负责人为同一人或存在控股、管理关系的不同单位，不得参选同一比选项目。</w:t>
      </w:r>
    </w:p>
    <w:p>
      <w:pPr>
        <w:pStyle w:val="4"/>
        <w:bidi w:val="0"/>
        <w:rPr>
          <w:rFonts w:hint="eastAsia"/>
          <w:highlight w:val="none"/>
        </w:rPr>
      </w:pPr>
      <w:r>
        <w:rPr>
          <w:rFonts w:hint="eastAsia"/>
          <w:highlight w:val="none"/>
        </w:rPr>
        <w:t>二</w:t>
      </w:r>
      <w:r>
        <w:rPr>
          <w:highlight w:val="none"/>
        </w:rPr>
        <w:t>、技术</w:t>
      </w:r>
      <w:r>
        <w:rPr>
          <w:rFonts w:hint="eastAsia"/>
          <w:highlight w:val="none"/>
        </w:rPr>
        <w:t>要求</w:t>
      </w:r>
    </w:p>
    <w:p>
      <w:pPr>
        <w:bidi w:val="0"/>
        <w:rPr>
          <w:rFonts w:hint="eastAsia"/>
          <w:highlight w:val="none"/>
        </w:rPr>
      </w:pPr>
      <w:r>
        <w:rPr>
          <w:rFonts w:hint="eastAsia"/>
          <w:highlight w:val="none"/>
        </w:rPr>
        <w:t>在本次比选中，参选人须保证所提供的</w:t>
      </w:r>
      <w:r>
        <w:rPr>
          <w:highlight w:val="none"/>
        </w:rPr>
        <w:t>服务</w:t>
      </w:r>
      <w:r>
        <w:rPr>
          <w:rFonts w:hint="eastAsia"/>
          <w:highlight w:val="none"/>
        </w:rPr>
        <w:t>至少能达到下列指标</w:t>
      </w:r>
      <w:r>
        <w:rPr>
          <w:rFonts w:hint="eastAsia"/>
          <w:highlight w:val="none"/>
          <w:lang w:eastAsia="zh-CN"/>
        </w:rPr>
        <w:t>中带“</w:t>
      </w:r>
      <w:bookmarkStart w:id="47" w:name="OLE_LINK5"/>
      <w:r>
        <w:rPr>
          <w:highlight w:val="none"/>
        </w:rPr>
        <w:t>★</w:t>
      </w:r>
      <w:bookmarkEnd w:id="47"/>
      <w:r>
        <w:rPr>
          <w:rFonts w:hint="eastAsia"/>
          <w:highlight w:val="none"/>
          <w:lang w:eastAsia="zh-CN"/>
        </w:rPr>
        <w:t>”项参数相关</w:t>
      </w:r>
      <w:r>
        <w:rPr>
          <w:rFonts w:hint="eastAsia"/>
          <w:highlight w:val="none"/>
        </w:rPr>
        <w:t>要求，并在不影响应用运行及改变系统架构前提下，能平滑过渡升级满足未来</w:t>
      </w:r>
      <w:r>
        <w:rPr>
          <w:highlight w:val="none"/>
        </w:rPr>
        <w:t>3至</w:t>
      </w:r>
      <w:r>
        <w:rPr>
          <w:rFonts w:hint="eastAsia"/>
          <w:highlight w:val="none"/>
        </w:rPr>
        <w:t>5年的需求，并需</w:t>
      </w:r>
      <w:r>
        <w:rPr>
          <w:highlight w:val="none"/>
        </w:rPr>
        <w:t>在服务期限内提供本项目涉及软硬件的</w:t>
      </w:r>
      <w:r>
        <w:rPr>
          <w:rFonts w:hint="eastAsia"/>
          <w:highlight w:val="none"/>
        </w:rPr>
        <w:t>原厂维保服务及7*24*4原厂响应服务。</w:t>
      </w:r>
    </w:p>
    <w:tbl>
      <w:tblPr>
        <w:tblStyle w:val="19"/>
        <w:tblW w:w="8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4"/>
        <w:gridCol w:w="7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354"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8" w:name="OLE_LINK8"/>
            <w:r>
              <w:rPr>
                <w:rFonts w:hint="eastAsia" w:ascii="宋体" w:hAnsi="宋体" w:eastAsia="宋体" w:cs="宋体"/>
                <w:b/>
                <w:color w:val="000000" w:themeColor="text1"/>
                <w:sz w:val="21"/>
                <w:szCs w:val="21"/>
                <w:highlight w:val="none"/>
                <w14:textFill>
                  <w14:solidFill>
                    <w14:schemeClr w14:val="tx1"/>
                  </w14:solidFill>
                </w14:textFill>
              </w:rPr>
              <w:t>指标项</w:t>
            </w:r>
          </w:p>
        </w:tc>
        <w:tc>
          <w:tcPr>
            <w:tcW w:w="7431"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restart"/>
            <w:tcBorders>
              <w:top w:val="nil"/>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网络接入需求</w:t>
            </w:r>
          </w:p>
        </w:tc>
        <w:tc>
          <w:tcPr>
            <w:tcW w:w="7431" w:type="dxa"/>
            <w:tcBorders>
              <w:top w:val="nil"/>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★信号覆盖总行及分支机构办公区与网点大厅，采用WiFi6标准协议。分支机构VPN接入总行后通过总行互联网专线统一出口。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★合理部署AP及其信号覆盖，AP可自动调整其功率及频谱，在单台AP出现故障的情况下，可由其他AP补偿信号覆盖，确保无线网络可正常运行、用户终端接入和使用不受影响。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互联网会话的一致性和连续性，用户在物理位置移动过程中（含同楼层、跨楼层的移动），视频会议、互联网登录状态不掉线，用户使用WiFi过程流畅。跨支行网点移动能够实现漫游功能，互联网登录状态不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★中心机房的统一出口采用上下行对称的6G互联网专线，并分配</w:t>
            </w:r>
            <w:r>
              <w:rPr>
                <w:rFonts w:hint="eastAsia" w:ascii="宋体" w:hAnsi="宋体" w:eastAsia="宋体" w:cs="宋体"/>
                <w:color w:val="000000" w:themeColor="text1"/>
                <w:sz w:val="21"/>
                <w:szCs w:val="21"/>
                <w:highlight w:val="none"/>
                <w:lang w:eastAsia="zh-CN"/>
                <w14:textFill>
                  <w14:solidFill>
                    <w14:schemeClr w14:val="tx1"/>
                  </w14:solidFill>
                </w14:textFill>
              </w:rPr>
              <w:t>充足的</w:t>
            </w:r>
            <w:r>
              <w:rPr>
                <w:rFonts w:hint="eastAsia" w:ascii="宋体" w:hAnsi="宋体" w:eastAsia="宋体" w:cs="宋体"/>
                <w:color w:val="000000" w:themeColor="text1"/>
                <w:sz w:val="21"/>
                <w:szCs w:val="21"/>
                <w:highlight w:val="none"/>
                <w14:textFill>
                  <w14:solidFill>
                    <w14:schemeClr w14:val="tx1"/>
                  </w14:solidFill>
                </w14:textFill>
              </w:rPr>
              <w:t>固定公网IP</w:t>
            </w:r>
            <w:r>
              <w:rPr>
                <w:rFonts w:hint="eastAsia" w:ascii="宋体" w:hAnsi="宋体" w:eastAsia="宋体" w:cs="宋体"/>
                <w:color w:val="000000" w:themeColor="text1"/>
                <w:sz w:val="21"/>
                <w:szCs w:val="21"/>
                <w:highlight w:val="none"/>
                <w:lang w:eastAsia="zh-CN"/>
                <w14:textFill>
                  <w14:solidFill>
                    <w14:schemeClr w14:val="tx1"/>
                  </w14:solidFill>
                </w14:textFill>
              </w:rPr>
              <w:t>（满足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8000个终端并发同时上网的需求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，该专线具备双路由保护。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9" w:name="OLE_LINK1"/>
            <w:r>
              <w:rPr>
                <w:rFonts w:hint="eastAsia" w:ascii="宋体" w:hAnsi="宋体" w:eastAsia="宋体" w:cs="宋体"/>
                <w:color w:val="000000" w:themeColor="text1"/>
                <w:sz w:val="21"/>
                <w:szCs w:val="21"/>
                <w:highlight w:val="none"/>
                <w14:textFill>
                  <w14:solidFill>
                    <w14:schemeClr w14:val="tx1"/>
                  </w14:solidFill>
                </w14:textFill>
              </w:rPr>
              <w:t>★</w:t>
            </w:r>
            <w:bookmarkEnd w:id="49"/>
            <w:r>
              <w:rPr>
                <w:rFonts w:hint="eastAsia" w:ascii="宋体" w:hAnsi="宋体" w:eastAsia="宋体" w:cs="宋体"/>
                <w:color w:val="000000" w:themeColor="text1"/>
                <w:sz w:val="21"/>
                <w:szCs w:val="21"/>
                <w:highlight w:val="none"/>
                <w14:textFill>
                  <w14:solidFill>
                    <w14:schemeClr w14:val="tx1"/>
                  </w14:solidFill>
                </w14:textFill>
              </w:rPr>
              <w:t>分支机构联网出口根据实际需求采用200M（下行200M，上行不低于30M）、500M（下行500M，上行不低于50M）两种规格的互联网宽带。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网络基础设施（</w:t>
            </w:r>
            <w:r>
              <w:rPr>
                <w:rFonts w:hint="eastAsia" w:ascii="宋体" w:hAnsi="宋体" w:eastAsia="宋体" w:cs="宋体"/>
                <w:color w:val="000000" w:themeColor="text1"/>
                <w:sz w:val="21"/>
                <w:szCs w:val="21"/>
                <w:highlight w:val="none"/>
                <w:lang w:val="en-US"/>
                <w14:textFill>
                  <w14:solidFill>
                    <w14:schemeClr w14:val="tx1"/>
                  </w14:solidFill>
                </w14:textFill>
              </w:rPr>
              <w:t>至少包括</w:t>
            </w:r>
            <w:r>
              <w:rPr>
                <w:rFonts w:hint="eastAsia" w:ascii="宋体" w:hAnsi="宋体" w:eastAsia="宋体" w:cs="宋体"/>
                <w:color w:val="000000" w:themeColor="text1"/>
                <w:sz w:val="21"/>
                <w:szCs w:val="21"/>
                <w:highlight w:val="none"/>
                <w14:textFill>
                  <w14:solidFill>
                    <w14:schemeClr w14:val="tx1"/>
                  </w14:solidFill>
                </w14:textFill>
              </w:rPr>
              <w:t>核心路由器、核心交换机，</w:t>
            </w:r>
            <w:r>
              <w:rPr>
                <w:rFonts w:hint="eastAsia" w:ascii="宋体" w:hAnsi="宋体" w:eastAsia="宋体" w:cs="宋体"/>
                <w:color w:val="000000" w:themeColor="text1"/>
                <w:sz w:val="21"/>
                <w:szCs w:val="21"/>
                <w:highlight w:val="none"/>
                <w:lang w:val="en-US"/>
                <w14:textFill>
                  <w14:solidFill>
                    <w14:schemeClr w14:val="tx1"/>
                  </w14:solidFill>
                </w14:textFill>
              </w:rPr>
              <w:t>核心防火墙等</w:t>
            </w:r>
            <w:r>
              <w:rPr>
                <w:rFonts w:hint="eastAsia" w:ascii="宋体" w:hAnsi="宋体" w:eastAsia="宋体" w:cs="宋体"/>
                <w:color w:val="000000" w:themeColor="text1"/>
                <w:sz w:val="21"/>
                <w:szCs w:val="21"/>
                <w:highlight w:val="none"/>
                <w14:textFill>
                  <w14:solidFill>
                    <w14:schemeClr w14:val="tx1"/>
                  </w14:solidFill>
                </w14:textFill>
              </w:rPr>
              <w:t>）成熟可靠，采用国产化芯片制造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提供国家权威机构出具的检测报告复印件加盖制造商公章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取得公安部销售许可证/工信部入网许可证不低于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年，以首次</w:t>
            </w:r>
            <w:r>
              <w:rPr>
                <w:rFonts w:hint="eastAsia" w:ascii="宋体" w:hAnsi="宋体" w:eastAsia="宋体" w:cs="宋体"/>
                <w:color w:val="000000" w:themeColor="text1"/>
                <w:sz w:val="21"/>
                <w:szCs w:val="21"/>
                <w:highlight w:val="none"/>
                <w:lang w:val="en-US"/>
                <w14:textFill>
                  <w14:solidFill>
                    <w14:schemeClr w14:val="tx1"/>
                  </w14:solidFill>
                </w14:textFill>
              </w:rPr>
              <w:t>获取许可</w:t>
            </w:r>
            <w:r>
              <w:rPr>
                <w:rFonts w:hint="eastAsia" w:ascii="宋体" w:hAnsi="宋体" w:eastAsia="宋体" w:cs="宋体"/>
                <w:color w:val="000000" w:themeColor="text1"/>
                <w:sz w:val="21"/>
                <w:szCs w:val="21"/>
                <w:highlight w:val="none"/>
                <w14:textFill>
                  <w14:solidFill>
                    <w14:schemeClr w14:val="tx1"/>
                  </w14:solidFill>
                </w14:textFill>
              </w:rPr>
              <w:t>时间为准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val="en-US"/>
                <w14:textFill>
                  <w14:solidFill>
                    <w14:schemeClr w14:val="tx1"/>
                  </w14:solidFill>
                </w14:textFill>
              </w:rPr>
              <w:t>公安部销售许可证/工信部入网许可证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0" w:name="OLE_LINK2"/>
            <w:r>
              <w:rPr>
                <w:rFonts w:hint="eastAsia" w:ascii="宋体" w:hAnsi="宋体" w:eastAsia="宋体" w:cs="宋体"/>
                <w:color w:val="000000" w:themeColor="text1"/>
                <w:sz w:val="21"/>
                <w:szCs w:val="21"/>
                <w:highlight w:val="none"/>
                <w14:textFill>
                  <w14:solidFill>
                    <w14:schemeClr w14:val="tx1"/>
                  </w14:solidFill>
                </w14:textFill>
              </w:rPr>
              <w:t>★</w:t>
            </w:r>
            <w:bookmarkEnd w:id="50"/>
            <w:r>
              <w:rPr>
                <w:rFonts w:hint="eastAsia" w:ascii="宋体" w:hAnsi="宋体" w:eastAsia="宋体" w:cs="宋体"/>
                <w:color w:val="000000" w:themeColor="text1"/>
                <w:sz w:val="21"/>
                <w:szCs w:val="21"/>
                <w:highlight w:val="none"/>
                <w14:textFill>
                  <w14:solidFill>
                    <w14:schemeClr w14:val="tx1"/>
                  </w14:solidFill>
                </w14:textFill>
              </w:rPr>
              <w:t>本项目涉及的所有网络设备均支持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IPv4、</w:t>
            </w:r>
            <w:r>
              <w:rPr>
                <w:rFonts w:hint="eastAsia" w:ascii="宋体" w:hAnsi="宋体" w:eastAsia="宋体" w:cs="宋体"/>
                <w:color w:val="000000" w:themeColor="text1"/>
                <w:sz w:val="21"/>
                <w:szCs w:val="21"/>
                <w:highlight w:val="none"/>
                <w14:textFill>
                  <w14:solidFill>
                    <w14:schemeClr w14:val="tx1"/>
                  </w14:solidFill>
                </w14:textFill>
              </w:rPr>
              <w:t>IPv6</w:t>
            </w:r>
            <w:r>
              <w:rPr>
                <w:rFonts w:hint="eastAsia" w:ascii="宋体" w:hAnsi="宋体" w:eastAsia="宋体" w:cs="宋体"/>
                <w:color w:val="000000" w:themeColor="text1"/>
                <w:sz w:val="21"/>
                <w:szCs w:val="21"/>
                <w:highlight w:val="none"/>
                <w:lang w:eastAsia="zh-CN"/>
                <w14:textFill>
                  <w14:solidFill>
                    <w14:schemeClr w14:val="tx1"/>
                  </w14:solidFill>
                </w14:textFill>
              </w:rPr>
              <w:t>双栈协议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总行新牌坊办公楼及西永办公楼能够双栈接入，并</w:t>
            </w:r>
            <w:r>
              <w:rPr>
                <w:rFonts w:hint="eastAsia" w:ascii="宋体" w:hAnsi="宋体" w:eastAsia="宋体" w:cs="宋体"/>
                <w:color w:val="000000" w:themeColor="text1"/>
                <w:sz w:val="21"/>
                <w:szCs w:val="21"/>
                <w:highlight w:val="none"/>
                <w14:textFill>
                  <w14:solidFill>
                    <w14:schemeClr w14:val="tx1"/>
                  </w14:solidFill>
                </w14:textFill>
              </w:rPr>
              <w:t>满足后续不增加任何费用成本的情况下完成</w:t>
            </w:r>
            <w:r>
              <w:rPr>
                <w:rFonts w:hint="eastAsia" w:ascii="宋体" w:hAnsi="宋体" w:eastAsia="宋体" w:cs="宋体"/>
                <w:color w:val="000000" w:themeColor="text1"/>
                <w:sz w:val="21"/>
                <w:szCs w:val="21"/>
                <w:highlight w:val="none"/>
                <w:lang w:eastAsia="zh-CN"/>
                <w14:textFill>
                  <w14:solidFill>
                    <w14:schemeClr w14:val="tx1"/>
                  </w14:solidFill>
                </w14:textFill>
              </w:rPr>
              <w:t>全行所有接入点由</w:t>
            </w:r>
            <w:r>
              <w:rPr>
                <w:rFonts w:hint="eastAsia" w:ascii="宋体" w:hAnsi="宋体" w:eastAsia="宋体" w:cs="宋体"/>
                <w:color w:val="000000" w:themeColor="text1"/>
                <w:sz w:val="21"/>
                <w:szCs w:val="21"/>
                <w:highlight w:val="none"/>
                <w14:textFill>
                  <w14:solidFill>
                    <w14:schemeClr w14:val="tx1"/>
                  </w14:solidFill>
                </w14:textFill>
              </w:rPr>
              <w:t>IPv4环境至IPv6环境的切换。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★内部用户及外来访客访问互联网时，局域网内通讯须进行有效隔离,不可互访。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1" w:name="OLE_LINK3"/>
            <w:r>
              <w:rPr>
                <w:rFonts w:hint="eastAsia" w:ascii="宋体" w:hAnsi="宋体" w:eastAsia="宋体" w:cs="宋体"/>
                <w:color w:val="000000" w:themeColor="text1"/>
                <w:sz w:val="21"/>
                <w:szCs w:val="21"/>
                <w:highlight w:val="none"/>
                <w14:textFill>
                  <w14:solidFill>
                    <w14:schemeClr w14:val="tx1"/>
                  </w14:solidFill>
                </w14:textFill>
              </w:rPr>
              <w:t>★</w:t>
            </w:r>
            <w:bookmarkEnd w:id="51"/>
            <w:r>
              <w:rPr>
                <w:rFonts w:hint="eastAsia" w:ascii="宋体" w:hAnsi="宋体" w:eastAsia="宋体" w:cs="宋体"/>
                <w:color w:val="000000" w:themeColor="text1"/>
                <w:sz w:val="21"/>
                <w:szCs w:val="21"/>
                <w:highlight w:val="none"/>
                <w14:textFill>
                  <w14:solidFill>
                    <w14:schemeClr w14:val="tx1"/>
                  </w14:solidFill>
                </w14:textFill>
              </w:rPr>
              <w:t>能够实现基于二维码的网络终端接入，能够实现访客接入WiFi网络时的认证与管控，能够实现针对不同支行的访客推送定制化的广告信息功能。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2" w:name="OLE_LINK4"/>
            <w:r>
              <w:rPr>
                <w:rFonts w:hint="eastAsia" w:ascii="宋体" w:hAnsi="宋体" w:eastAsia="宋体" w:cs="宋体"/>
                <w:color w:val="000000" w:themeColor="text1"/>
                <w:sz w:val="21"/>
                <w:szCs w:val="21"/>
                <w:highlight w:val="none"/>
                <w14:textFill>
                  <w14:solidFill>
                    <w14:schemeClr w14:val="tx1"/>
                  </w14:solidFill>
                </w14:textFill>
              </w:rPr>
              <w:t>★</w:t>
            </w:r>
            <w:bookmarkEnd w:id="52"/>
            <w:r>
              <w:rPr>
                <w:rFonts w:hint="eastAsia" w:ascii="宋体" w:hAnsi="宋体" w:eastAsia="宋体" w:cs="宋体"/>
                <w:color w:val="000000" w:themeColor="text1"/>
                <w:sz w:val="21"/>
                <w:szCs w:val="21"/>
                <w:highlight w:val="none"/>
                <w14:textFill>
                  <w14:solidFill>
                    <w14:schemeClr w14:val="tx1"/>
                  </w14:solidFill>
                </w14:textFill>
              </w:rPr>
              <w:t>结合总行及分支机构环境结构给出AP部署最佳位置并出具方案，AP位置应考虑防盗、防掉落、防非法接入和美观等，具备较好的隐蔽性，同时提供网关设备至AP设备的物理网线铺设服务，铺设网线必须为六类非屏蔽双绞线，中心机房使用低损耗预端接光缆系统，在铺设完成后进行相应的隐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★单个AP支持3000</w:t>
            </w:r>
            <w:r>
              <w:rPr>
                <w:rFonts w:hint="eastAsia" w:ascii="宋体" w:hAnsi="宋体" w:eastAsia="宋体" w:cs="宋体"/>
                <w:color w:val="000000" w:themeColor="text1"/>
                <w:sz w:val="21"/>
                <w:szCs w:val="21"/>
                <w:highlight w:val="none"/>
                <w:lang w:val="en-US"/>
                <w14:textFill>
                  <w14:solidFill>
                    <w14:schemeClr w14:val="tx1"/>
                  </w14:solidFill>
                </w14:textFill>
              </w:rPr>
              <w:t>Mbps的接入速率</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，并支</w:t>
            </w:r>
            <w:r>
              <w:rPr>
                <w:rFonts w:hint="eastAsia" w:ascii="宋体" w:hAnsi="宋体" w:eastAsia="宋体" w:cs="宋体"/>
                <w:color w:val="000000" w:themeColor="text1"/>
                <w:sz w:val="21"/>
                <w:szCs w:val="21"/>
                <w:highlight w:val="none"/>
                <w14:textFill>
                  <w14:solidFill>
                    <w14:schemeClr w14:val="tx1"/>
                  </w14:solidFill>
                </w14:textFill>
              </w:rPr>
              <w:t>持不少于60个终端的接入；支持5G频段优先接入，支持终端机流量的负载均衡接入。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★在会议室、办公室等人员场所，并进行必要的网络信号覆盖优化。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354" w:type="dxa"/>
            <w:vMerge w:val="continue"/>
            <w:tcBorders>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★各支行单台POE设备LAN口数不少于16个，总行新牌坊办公楼、西永办公楼、万州分行办公楼单台POE设备LAN口数不少于24个。满足除无线AP接入外部分专用终端有线接入的需求。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1354" w:type="dxa"/>
            <w:vMerge w:val="restart"/>
            <w:tcBorders>
              <w:top w:val="single" w:color="auto" w:sz="4" w:space="0"/>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运维管理需求</w:t>
            </w: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涉及的网络设备以及相关软件须进行限源登录访问控制。同时网络设备以及相关软件的登录账户应采用用户名密码+动态令牌或短信验证码的双因子认证方式；具备登录账号防暴力破解手段，可设置账号登录尝试次数，一旦密码错误次数到达限制，直接锁定该登录账号；可设置密码复杂度策略，比如密码长度、复杂度、密码修改周期等策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周期性提供相关报表，内容包括但不限于针对主要网络设备的巡检报告、AP信号热图分布显示、无线资源使用情况（如通道利用率、相关AP利用率）、针对接入终端的使用时长、使用物理位置、使用数据量的统计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★能够实现AP、控制器、上网行为审计和互联网线路的高可用组网。</w:t>
            </w: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核心交换机、汇聚路由器、核心防火墙、无线控制器、上网行为管理等关键设备需具备双设备冗余。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3" w:name="OLE_LINK6"/>
            <w:r>
              <w:rPr>
                <w:rFonts w:hint="eastAsia" w:ascii="宋体" w:hAnsi="宋体" w:eastAsia="宋体" w:cs="宋体"/>
                <w:color w:val="000000" w:themeColor="text1"/>
                <w:sz w:val="21"/>
                <w:szCs w:val="21"/>
                <w:highlight w:val="none"/>
                <w14:textFill>
                  <w14:solidFill>
                    <w14:schemeClr w14:val="tx1"/>
                  </w14:solidFill>
                </w14:textFill>
              </w:rPr>
              <w:t>★</w:t>
            </w:r>
            <w:bookmarkEnd w:id="53"/>
            <w:r>
              <w:rPr>
                <w:rFonts w:hint="eastAsia" w:ascii="宋体" w:hAnsi="宋体" w:eastAsia="宋体" w:cs="宋体"/>
                <w:color w:val="000000" w:themeColor="text1"/>
                <w:sz w:val="21"/>
                <w:szCs w:val="21"/>
                <w:highlight w:val="none"/>
                <w14:textFill>
                  <w14:solidFill>
                    <w14:schemeClr w14:val="tx1"/>
                  </w14:solidFill>
                </w14:textFill>
              </w:rPr>
              <w:t>实现接入用户的角色管理（如专用设备、普通员工、访客等），根据接入账号和角色实现不同的网络接入和管控策略，能够根据不同的接入用户限制上网时长。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支持所有设备（包括网络设备、无线设备、安全设备）统一运维管理，包括拓扑管理、配置管理、性能管理、版本管理、告警管理等。支持批量对设备软件包进行更新，支持批量对设备配置进行备份和恢复。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★提供远程登录查看AP状态、线路质量、中断时长统计等多种报表的功能。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54" w:type="dxa"/>
            <w:vMerge w:val="continue"/>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对口故障报修联系人以及联系方式，同时组织固定技术团队为本行提供包括但不限于运维支持服务、日常运维管理和软硬件故障处置，协助相关部门开展网络行为溯源工作等。并提供1名总行驻场维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restart"/>
            <w:tcBorders>
              <w:top w:val="single" w:color="auto" w:sz="4" w:space="0"/>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安全防护要求</w:t>
            </w: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★对互联网用户访问涉黄、涉恐、涉毒、赌博以及反动网站的相关言论进行识别、拦截和记录，并对违规用户进行封禁。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★无线网络须接入上网行为审计，提供安全审计功能，满足实名认证上网、舆论有据溯源，审计内容至少存储6个月以上并发送至网监平台。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★可以设定不同管理账号及密码，达到分权设定与管理功能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★支持单一AP同时实现多个网络（如访客互联网、员工办公互联网）的部署，并实现这些网络的相互隔离和独立运行，支持行内用户SSID隐藏。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★支持同一AP、同一SSID、同一网段下的接入终端相互隔离。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★能够阻止或压制非法无线信号的传播，有效防止用户接入伪AP的无线信号。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★支持AP信号功率调整。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★WiFi信号支持WPA2/WPA3加密技术。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★支持基于SMTP\POP3\IMAP等邮件协议的审计功能，能够实现互联网邮件标题、正文、附件名等关键字过滤。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★内部员工登录方式支持用户名+密码和预设白名单电话+短信验证码，支持特殊专用终端通过绑定IP、MAC地址的方式进行接入。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支持安全事件分析，包括整网入侵防御事件、整网防病毒事件、整网攻击防御事件数量和趋势信息，能按不同时间段（当天、最近一周、最近一月、自定义）和不同区域设备进行统计和导出操作。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支持用户分析，包括每个用户的在线时长、流量、异常上网、终端类别分析，支持按不同时间段（当天、最近一周、最近一月、自定义）和不同区域设备进行统计和导出。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上网行为分析，包括视频应用分类、视频活跃用户TOP10、视频热门机构TOP10、视频应用访问趋势、购物应用分类、购物活跃用户TOP10、购物热门机构TOP10、购物应用访问趋势、网站访问分类、网站访问TOP10、网站活跃用户TOP10、网站访问趋势、域名访问 TOP10、域名访问趋势、域名访问用户 TOP10，支持按不同时间段（当天、最近一周、最近一月、自定义）和不同区域设备进行统计和导出。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组织机构、基于时间（日、周、月、季度、指定时间）输出，报告支持威胁概览、入侵防御分析、防病毒分析、攻击防御分析、威胁情报分析、挖矿与虚拟货币分析、异常域名分析、失陷主机分析、购物应用分析、视频应用分析、热门网站分析、域名分析、设备流量分析、应用流量分析、用户分析、共享用户上网分析、用户移动终端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3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支持将威胁事件通知至管理员，可选择短信或邮件的方式。</w:t>
            </w:r>
          </w:p>
        </w:tc>
      </w:tr>
      <w:bookmarkEnd w:id="48"/>
    </w:tbl>
    <w:p>
      <w:pPr>
        <w:spacing w:line="360" w:lineRule="auto"/>
        <w:rPr>
          <w:rFonts w:hint="eastAsia" w:ascii="宋体"/>
          <w:snapToGrid w:val="0"/>
          <w:color w:val="000000"/>
          <w:sz w:val="24"/>
          <w:szCs w:val="24"/>
          <w:highlight w:val="none"/>
        </w:rPr>
      </w:pPr>
    </w:p>
    <w:p>
      <w:pPr>
        <w:pStyle w:val="4"/>
        <w:bidi w:val="0"/>
        <w:rPr>
          <w:rFonts w:hint="eastAsia"/>
          <w:highlight w:val="none"/>
        </w:rPr>
      </w:pPr>
      <w:r>
        <w:rPr>
          <w:rFonts w:hint="eastAsia"/>
          <w:highlight w:val="none"/>
        </w:rPr>
        <w:t>三、其他技术要求</w:t>
      </w:r>
    </w:p>
    <w:p>
      <w:pPr>
        <w:bidi w:val="0"/>
        <w:rPr>
          <w:rFonts w:hint="eastAsia"/>
          <w:highlight w:val="none"/>
        </w:rPr>
      </w:pPr>
      <w:r>
        <w:rPr>
          <w:rFonts w:hint="eastAsia"/>
          <w:highlight w:val="none"/>
        </w:rPr>
        <w:t>能够完成本行</w:t>
      </w:r>
      <w:r>
        <w:rPr>
          <w:highlight w:val="none"/>
        </w:rPr>
        <w:t>总行及</w:t>
      </w:r>
      <w:r>
        <w:rPr>
          <w:rFonts w:hint="eastAsia"/>
          <w:highlight w:val="none"/>
        </w:rPr>
        <w:t>所有分支机构</w:t>
      </w:r>
      <w:r>
        <w:rPr>
          <w:highlight w:val="none"/>
        </w:rPr>
        <w:t>接入点</w:t>
      </w:r>
      <w:r>
        <w:rPr>
          <w:rFonts w:hint="eastAsia"/>
          <w:highlight w:val="none"/>
        </w:rPr>
        <w:t>的光缆引入（利旧或新建）。</w:t>
      </w:r>
      <w:r>
        <w:rPr>
          <w:highlight w:val="none"/>
        </w:rPr>
        <w:t>若</w:t>
      </w:r>
      <w:r>
        <w:rPr>
          <w:rFonts w:hint="eastAsia"/>
          <w:highlight w:val="none"/>
        </w:rPr>
        <w:t>第一候选人在中选公示发出后</w:t>
      </w:r>
      <w:r>
        <w:rPr>
          <w:highlight w:val="none"/>
        </w:rPr>
        <w:t>20</w:t>
      </w:r>
      <w:r>
        <w:rPr>
          <w:rFonts w:hint="eastAsia"/>
          <w:highlight w:val="none"/>
        </w:rPr>
        <w:t>个工作日内</w:t>
      </w:r>
      <w:r>
        <w:rPr>
          <w:highlight w:val="none"/>
        </w:rPr>
        <w:t>未能完成所有分支机构光缆的引入</w:t>
      </w:r>
      <w:r>
        <w:rPr>
          <w:rFonts w:hint="eastAsia"/>
          <w:highlight w:val="none"/>
        </w:rPr>
        <w:t>，却在响应文件中响应无偏离或正偏离的，视为虚假应标。</w:t>
      </w:r>
    </w:p>
    <w:p>
      <w:pPr>
        <w:bidi w:val="0"/>
        <w:rPr>
          <w:rFonts w:hint="default"/>
          <w:highlight w:val="none"/>
          <w:lang w:val="en-US" w:eastAsia="zh-CN"/>
        </w:rPr>
      </w:pPr>
      <w:r>
        <w:rPr>
          <w:rFonts w:hint="eastAsia"/>
          <w:highlight w:val="none"/>
        </w:rPr>
        <w:t>在中选公示</w:t>
      </w:r>
      <w:r>
        <w:rPr>
          <w:rFonts w:hint="eastAsia"/>
          <w:highlight w:val="none"/>
          <w:lang w:val="en-US" w:eastAsia="zh-CN"/>
        </w:rPr>
        <w:t>发出后20个工作日内，第一候选人应配合比选人完成相关技术指标项参数的验证性测试，若测试结果未通过</w:t>
      </w:r>
      <w:r>
        <w:rPr>
          <w:rFonts w:hint="eastAsia"/>
          <w:highlight w:val="none"/>
        </w:rPr>
        <w:t>却在响应文件中响应无偏离或正偏离的，</w:t>
      </w:r>
      <w:r>
        <w:rPr>
          <w:rFonts w:hint="eastAsia"/>
          <w:highlight w:val="none"/>
          <w:lang w:val="en-US" w:eastAsia="zh-CN"/>
        </w:rPr>
        <w:t>视为虚假应标。</w:t>
      </w:r>
    </w:p>
    <w:p>
      <w:pPr>
        <w:bidi w:val="0"/>
        <w:rPr>
          <w:rFonts w:hint="eastAsia"/>
          <w:highlight w:val="none"/>
        </w:rPr>
      </w:pPr>
      <w:r>
        <w:rPr>
          <w:rFonts w:hint="eastAsia"/>
          <w:highlight w:val="none"/>
          <w:lang w:val="en-US" w:eastAsia="zh-CN"/>
        </w:rPr>
        <w:t>若第一候选人出现以上任意一种情况，则比选人</w:t>
      </w:r>
      <w:r>
        <w:rPr>
          <w:rFonts w:hint="eastAsia"/>
          <w:highlight w:val="none"/>
        </w:rPr>
        <w:t>有权拒绝与之签订合同，第一候选人须承担相应法律责任和因此行为给</w:t>
      </w:r>
      <w:r>
        <w:rPr>
          <w:rFonts w:hint="eastAsia"/>
          <w:highlight w:val="none"/>
          <w:lang w:val="en-US" w:eastAsia="zh-CN"/>
        </w:rPr>
        <w:t>比选人</w:t>
      </w:r>
      <w:r>
        <w:rPr>
          <w:rFonts w:hint="eastAsia"/>
          <w:highlight w:val="none"/>
        </w:rPr>
        <w:t>造成的经济损失。</w:t>
      </w:r>
    </w:p>
    <w:p>
      <w:pPr>
        <w:pStyle w:val="4"/>
        <w:bidi w:val="0"/>
        <w:rPr>
          <w:rFonts w:hint="eastAsia"/>
          <w:highlight w:val="none"/>
        </w:rPr>
      </w:pPr>
      <w:r>
        <w:rPr>
          <w:rFonts w:hint="eastAsia"/>
          <w:highlight w:val="none"/>
        </w:rPr>
        <w:t>四、验收要求</w:t>
      </w:r>
    </w:p>
    <w:p>
      <w:pPr>
        <w:bidi w:val="0"/>
        <w:rPr>
          <w:rFonts w:hint="eastAsia"/>
          <w:highlight w:val="none"/>
        </w:rPr>
      </w:pPr>
      <w:r>
        <w:rPr>
          <w:rFonts w:hint="eastAsia"/>
          <w:highlight w:val="none"/>
        </w:rPr>
        <w:t>1．</w:t>
      </w:r>
      <w:r>
        <w:rPr>
          <w:highlight w:val="none"/>
        </w:rPr>
        <w:t>开通交付</w:t>
      </w:r>
    </w:p>
    <w:p>
      <w:pPr>
        <w:bidi w:val="0"/>
        <w:rPr>
          <w:rFonts w:hint="eastAsia"/>
          <w:highlight w:val="none"/>
        </w:rPr>
      </w:pPr>
      <w:r>
        <w:rPr>
          <w:highlight w:val="none"/>
        </w:rPr>
        <w:t>完成单个接入点的线路开通、设备安装及网络联调后</w:t>
      </w:r>
      <w:r>
        <w:rPr>
          <w:rFonts w:hint="eastAsia"/>
          <w:highlight w:val="none"/>
        </w:rPr>
        <w:t>，确认</w:t>
      </w:r>
      <w:r>
        <w:rPr>
          <w:highlight w:val="none"/>
        </w:rPr>
        <w:t>开通交付</w:t>
      </w:r>
      <w:r>
        <w:rPr>
          <w:rFonts w:hint="eastAsia"/>
          <w:highlight w:val="none"/>
        </w:rPr>
        <w:t>。</w:t>
      </w:r>
    </w:p>
    <w:p>
      <w:pPr>
        <w:bidi w:val="0"/>
        <w:rPr>
          <w:rFonts w:hint="eastAsia"/>
          <w:highlight w:val="none"/>
        </w:rPr>
      </w:pPr>
      <w:r>
        <w:rPr>
          <w:rFonts w:hint="eastAsia"/>
          <w:highlight w:val="none"/>
        </w:rPr>
        <w:t>2.</w:t>
      </w:r>
      <w:r>
        <w:rPr>
          <w:highlight w:val="none"/>
        </w:rPr>
        <w:t xml:space="preserve"> </w:t>
      </w:r>
      <w:r>
        <w:rPr>
          <w:rFonts w:hint="eastAsia"/>
          <w:highlight w:val="none"/>
        </w:rPr>
        <w:t>验收</w:t>
      </w:r>
    </w:p>
    <w:p>
      <w:pPr>
        <w:bidi w:val="0"/>
        <w:rPr>
          <w:rFonts w:hint="eastAsia"/>
          <w:highlight w:val="none"/>
        </w:rPr>
      </w:pPr>
      <w:r>
        <w:rPr>
          <w:highlight w:val="none"/>
        </w:rPr>
        <w:t>完成所有接入点（不含在建未开业的支行）的开通交付</w:t>
      </w:r>
      <w:r>
        <w:rPr>
          <w:rFonts w:hint="eastAsia"/>
          <w:highlight w:val="none"/>
        </w:rPr>
        <w:t>，经比选人同意后确认验收。</w:t>
      </w:r>
    </w:p>
    <w:p>
      <w:pPr>
        <w:bidi w:val="0"/>
        <w:rPr>
          <w:rFonts w:hint="eastAsia"/>
          <w:highlight w:val="none"/>
        </w:rPr>
      </w:pPr>
      <w:r>
        <w:rPr>
          <w:rFonts w:hint="eastAsia"/>
          <w:highlight w:val="none"/>
        </w:rPr>
        <w:t>3．验收地点</w:t>
      </w:r>
    </w:p>
    <w:p>
      <w:pPr>
        <w:bidi w:val="0"/>
        <w:rPr>
          <w:rFonts w:hint="eastAsia"/>
          <w:highlight w:val="none"/>
        </w:rPr>
      </w:pPr>
      <w:r>
        <w:rPr>
          <w:rFonts w:hint="eastAsia"/>
          <w:highlight w:val="none"/>
        </w:rPr>
        <w:t>本项目验收地点为项目现场。</w:t>
      </w:r>
    </w:p>
    <w:p>
      <w:pPr>
        <w:bidi w:val="0"/>
        <w:rPr>
          <w:rFonts w:hint="eastAsia"/>
          <w:highlight w:val="none"/>
        </w:rPr>
      </w:pPr>
      <w:r>
        <w:rPr>
          <w:rFonts w:hint="eastAsia"/>
          <w:highlight w:val="none"/>
        </w:rPr>
        <w:t>4．验收材料</w:t>
      </w:r>
    </w:p>
    <w:p>
      <w:pPr>
        <w:bidi w:val="0"/>
        <w:rPr>
          <w:rFonts w:hint="eastAsia"/>
          <w:highlight w:val="none"/>
        </w:rPr>
      </w:pPr>
      <w:r>
        <w:rPr>
          <w:rFonts w:hint="eastAsia"/>
          <w:highlight w:val="none"/>
        </w:rPr>
        <w:t>4.1验收表的内容应至少包括：合同名称、验收目的、验收时间、中选人员、验收项目及验收情况。其中验收情况应实事求是，并附有完整的项目资料。</w:t>
      </w:r>
    </w:p>
    <w:p>
      <w:pPr>
        <w:bidi w:val="0"/>
        <w:rPr>
          <w:rFonts w:hint="eastAsia"/>
          <w:highlight w:val="none"/>
        </w:rPr>
      </w:pPr>
      <w:r>
        <w:rPr>
          <w:rFonts w:hint="eastAsia"/>
          <w:highlight w:val="none"/>
        </w:rPr>
        <w:t>4.2验收表将作为</w:t>
      </w:r>
      <w:r>
        <w:rPr>
          <w:rFonts w:hint="eastAsia"/>
          <w:highlight w:val="none"/>
          <w:lang w:val="en-US" w:eastAsia="zh-CN"/>
        </w:rPr>
        <w:t>比选人</w:t>
      </w:r>
      <w:r>
        <w:rPr>
          <w:rFonts w:hint="eastAsia"/>
          <w:highlight w:val="none"/>
        </w:rPr>
        <w:t>支付有关产品款项的依据之一。</w:t>
      </w:r>
    </w:p>
    <w:p>
      <w:pPr>
        <w:pStyle w:val="4"/>
        <w:bidi w:val="0"/>
        <w:rPr>
          <w:rFonts w:hint="eastAsia"/>
          <w:highlight w:val="none"/>
        </w:rPr>
      </w:pPr>
      <w:r>
        <w:rPr>
          <w:rFonts w:hint="eastAsia"/>
          <w:highlight w:val="none"/>
          <w:lang w:val="en-US" w:eastAsia="zh-CN"/>
        </w:rPr>
        <w:t>五</w:t>
      </w:r>
      <w:r>
        <w:rPr>
          <w:rFonts w:hint="eastAsia"/>
          <w:highlight w:val="none"/>
        </w:rPr>
        <w:t>、服务要求</w:t>
      </w:r>
    </w:p>
    <w:p>
      <w:pPr>
        <w:bidi w:val="0"/>
        <w:rPr>
          <w:rFonts w:hint="eastAsia"/>
          <w:highlight w:val="none"/>
        </w:rPr>
      </w:pPr>
      <w:r>
        <w:rPr>
          <w:rFonts w:hint="eastAsia"/>
          <w:highlight w:val="none"/>
        </w:rPr>
        <w:t>1．为满足“高可用、高可靠、易运维”的目标原则，要求中选人提供高质量的无缝服务。</w:t>
      </w:r>
    </w:p>
    <w:p>
      <w:pPr>
        <w:bidi w:val="0"/>
        <w:rPr>
          <w:rFonts w:hint="eastAsia"/>
          <w:highlight w:val="none"/>
        </w:rPr>
      </w:pPr>
      <w:r>
        <w:rPr>
          <w:rFonts w:hint="eastAsia"/>
          <w:highlight w:val="none"/>
        </w:rPr>
        <w:t>2．中选人应配合完成以下工作内容，包括但不限于</w:t>
      </w:r>
      <w:r>
        <w:rPr>
          <w:highlight w:val="none"/>
        </w:rPr>
        <w:t>软</w:t>
      </w:r>
      <w:r>
        <w:rPr>
          <w:rFonts w:hint="eastAsia"/>
          <w:highlight w:val="none"/>
        </w:rPr>
        <w:t>硬件系统测试、部署、调试</w:t>
      </w:r>
      <w:r>
        <w:rPr>
          <w:highlight w:val="none"/>
        </w:rPr>
        <w:t>、维护</w:t>
      </w:r>
      <w:r>
        <w:rPr>
          <w:rFonts w:hint="eastAsia"/>
          <w:highlight w:val="none"/>
        </w:rPr>
        <w:t>等。</w:t>
      </w:r>
    </w:p>
    <w:p>
      <w:pPr>
        <w:pStyle w:val="3"/>
        <w:keepNext w:val="0"/>
        <w:keepLines w:val="0"/>
        <w:pageBreakBefore w:val="0"/>
        <w:widowControl w:val="0"/>
        <w:kinsoku/>
        <w:wordWrap/>
        <w:overflowPunct/>
        <w:autoSpaceDE/>
        <w:autoSpaceDN/>
        <w:bidi w:val="0"/>
        <w:adjustRightInd/>
        <w:snapToGrid w:val="0"/>
        <w:spacing w:before="0"/>
        <w:ind w:left="0" w:leftChars="0" w:right="0" w:rightChars="0" w:firstLine="0" w:firstLineChars="0"/>
        <w:jc w:val="center"/>
        <w:textAlignment w:val="auto"/>
        <w:outlineLvl w:val="0"/>
        <w:rPr>
          <w:rFonts w:hint="eastAsia"/>
          <w:color w:val="000000"/>
          <w:highlight w:val="none"/>
        </w:rPr>
      </w:pPr>
      <w:bookmarkStart w:id="54" w:name="_Toc32977423"/>
      <w:r>
        <w:rPr>
          <w:rFonts w:hint="eastAsia"/>
          <w:color w:val="000000"/>
          <w:highlight w:val="none"/>
        </w:rPr>
        <w:br w:type="page"/>
      </w:r>
      <w:bookmarkStart w:id="55" w:name="_Toc30526"/>
      <w:r>
        <w:rPr>
          <w:rFonts w:hint="eastAsia"/>
          <w:color w:val="000000"/>
          <w:highlight w:val="none"/>
        </w:rPr>
        <w:t>第四章 商务条款</w:t>
      </w:r>
      <w:bookmarkEnd w:id="54"/>
      <w:bookmarkEnd w:id="55"/>
    </w:p>
    <w:p>
      <w:pPr>
        <w:pStyle w:val="4"/>
        <w:bidi w:val="0"/>
        <w:rPr>
          <w:rFonts w:hint="eastAsia"/>
          <w:highlight w:val="none"/>
        </w:rPr>
      </w:pPr>
      <w:bookmarkStart w:id="56" w:name="_Toc89675144"/>
      <w:bookmarkStart w:id="57" w:name="_Toc15059418"/>
      <w:r>
        <w:rPr>
          <w:rFonts w:hint="eastAsia"/>
          <w:highlight w:val="none"/>
        </w:rPr>
        <w:t>一、交付周期、地点</w:t>
      </w:r>
      <w:bookmarkEnd w:id="56"/>
      <w:bookmarkEnd w:id="57"/>
    </w:p>
    <w:p>
      <w:pPr>
        <w:pStyle w:val="5"/>
        <w:bidi w:val="0"/>
        <w:rPr>
          <w:rFonts w:hint="eastAsia"/>
          <w:highlight w:val="none"/>
        </w:rPr>
      </w:pPr>
      <w:r>
        <w:rPr>
          <w:rFonts w:hint="eastAsia"/>
          <w:highlight w:val="none"/>
        </w:rPr>
        <w:t>（一）交付时间：</w:t>
      </w:r>
      <w:r>
        <w:rPr>
          <w:highlight w:val="none"/>
        </w:rPr>
        <w:t>自合同签订后20个工作日内完成总行开通及交付，并于合同签订后40个工作日内完成各分支机构的开通及交付。</w:t>
      </w:r>
    </w:p>
    <w:p>
      <w:pPr>
        <w:pStyle w:val="5"/>
        <w:bidi w:val="0"/>
        <w:rPr>
          <w:rFonts w:hint="eastAsia"/>
          <w:highlight w:val="none"/>
        </w:rPr>
      </w:pPr>
      <w:r>
        <w:rPr>
          <w:rFonts w:hint="eastAsia"/>
          <w:highlight w:val="none"/>
        </w:rPr>
        <w:t>（二）实施及交付地点：重庆市。</w:t>
      </w:r>
    </w:p>
    <w:p>
      <w:pPr>
        <w:pStyle w:val="4"/>
        <w:bidi w:val="0"/>
        <w:rPr>
          <w:rFonts w:hint="eastAsia"/>
          <w:highlight w:val="none"/>
        </w:rPr>
      </w:pPr>
      <w:bookmarkStart w:id="58" w:name="_Toc89675146"/>
      <w:bookmarkStart w:id="59" w:name="_Toc15059420"/>
      <w:bookmarkStart w:id="60" w:name="_Toc387826347"/>
      <w:bookmarkStart w:id="61" w:name="_Toc1125"/>
      <w:bookmarkStart w:id="62" w:name="_Toc432254881"/>
      <w:bookmarkStart w:id="63" w:name="_Toc440628915"/>
      <w:r>
        <w:rPr>
          <w:rFonts w:hint="eastAsia"/>
          <w:highlight w:val="none"/>
        </w:rPr>
        <w:t>二、售后服务和支持</w:t>
      </w:r>
      <w:bookmarkEnd w:id="58"/>
      <w:bookmarkEnd w:id="59"/>
    </w:p>
    <w:p>
      <w:pPr>
        <w:bidi w:val="0"/>
        <w:rPr>
          <w:rFonts w:hint="eastAsia"/>
          <w:highlight w:val="none"/>
        </w:rPr>
      </w:pPr>
      <w:r>
        <w:rPr>
          <w:rFonts w:hint="eastAsia"/>
          <w:highlight w:val="none"/>
        </w:rPr>
        <w:t>1.遵守《中华人民共和国产品质量法》和《消费者权益保护法》的相关规定，</w:t>
      </w:r>
      <w:r>
        <w:rPr>
          <w:highlight w:val="none"/>
        </w:rPr>
        <w:t>参选人</w:t>
      </w:r>
      <w:r>
        <w:rPr>
          <w:rFonts w:hint="eastAsia"/>
          <w:highlight w:val="none"/>
        </w:rPr>
        <w:t>应提供服务标准可高于以上规定，但不得降低。</w:t>
      </w:r>
    </w:p>
    <w:p>
      <w:pPr>
        <w:bidi w:val="0"/>
        <w:rPr>
          <w:rFonts w:hint="eastAsia"/>
          <w:highlight w:val="none"/>
        </w:rPr>
      </w:pPr>
      <w:r>
        <w:rPr>
          <w:highlight w:val="none"/>
        </w:rPr>
        <w:t>2.参选人所提供的服务应连续可靠，在接到故障通知后应及时维护处理，故障处理时限为4小时。</w:t>
      </w:r>
    </w:p>
    <w:p>
      <w:pPr>
        <w:pStyle w:val="4"/>
        <w:bidi w:val="0"/>
        <w:rPr>
          <w:rFonts w:hint="eastAsia"/>
          <w:highlight w:val="none"/>
        </w:rPr>
      </w:pPr>
      <w:bookmarkStart w:id="64" w:name="_Toc15059422"/>
      <w:bookmarkStart w:id="65" w:name="_Toc89675148"/>
      <w:r>
        <w:rPr>
          <w:rFonts w:hint="eastAsia"/>
          <w:highlight w:val="none"/>
        </w:rPr>
        <w:t>三、付款方式</w:t>
      </w:r>
      <w:bookmarkEnd w:id="64"/>
      <w:bookmarkEnd w:id="65"/>
    </w:p>
    <w:p>
      <w:pPr>
        <w:bidi w:val="0"/>
        <w:rPr>
          <w:rFonts w:hint="eastAsia"/>
          <w:highlight w:val="none"/>
        </w:rPr>
      </w:pPr>
      <w:bookmarkStart w:id="66" w:name="_Toc89675149"/>
      <w:r>
        <w:rPr>
          <w:highlight w:val="none"/>
        </w:rPr>
        <w:t>本项目采取按月支付：</w:t>
      </w:r>
    </w:p>
    <w:p>
      <w:pPr>
        <w:bidi w:val="0"/>
        <w:rPr>
          <w:rFonts w:hint="eastAsia"/>
          <w:highlight w:val="none"/>
        </w:rPr>
      </w:pPr>
      <w:r>
        <w:rPr>
          <w:highlight w:val="none"/>
        </w:rPr>
        <w:t>合同签订完成（根据线路单价、AP单价签订框架合同），</w:t>
      </w:r>
      <w:r>
        <w:rPr>
          <w:rFonts w:hint="eastAsia"/>
          <w:highlight w:val="none"/>
        </w:rPr>
        <w:t>以接入点为单位完成</w:t>
      </w:r>
      <w:r>
        <w:rPr>
          <w:highlight w:val="none"/>
        </w:rPr>
        <w:t>WiFi覆盖开通交付并通过验收后开始计费，每月根据实际安装的线路及AP数量进行结算。</w:t>
      </w:r>
    </w:p>
    <w:bookmarkEnd w:id="66"/>
    <w:p>
      <w:pPr>
        <w:pStyle w:val="4"/>
        <w:bidi w:val="0"/>
        <w:rPr>
          <w:rFonts w:hint="eastAsia"/>
          <w:highlight w:val="none"/>
        </w:rPr>
      </w:pPr>
      <w:bookmarkStart w:id="67" w:name="_Toc15059424"/>
      <w:bookmarkStart w:id="68" w:name="_Toc89675150"/>
      <w:r>
        <w:rPr>
          <w:rFonts w:hint="eastAsia"/>
          <w:highlight w:val="none"/>
        </w:rPr>
        <w:t>四</w:t>
      </w:r>
      <w:r>
        <w:rPr>
          <w:highlight w:val="none"/>
        </w:rPr>
        <w:t>、</w:t>
      </w:r>
      <w:r>
        <w:rPr>
          <w:rFonts w:hint="eastAsia"/>
          <w:highlight w:val="none"/>
        </w:rPr>
        <w:t>保密条款</w:t>
      </w:r>
      <w:bookmarkEnd w:id="60"/>
      <w:bookmarkEnd w:id="61"/>
      <w:bookmarkEnd w:id="62"/>
      <w:bookmarkEnd w:id="63"/>
      <w:bookmarkEnd w:id="67"/>
      <w:bookmarkEnd w:id="68"/>
    </w:p>
    <w:p>
      <w:pPr>
        <w:pStyle w:val="5"/>
        <w:bidi w:val="0"/>
        <w:rPr>
          <w:rFonts w:hint="eastAsia"/>
          <w:highlight w:val="none"/>
        </w:rPr>
      </w:pPr>
      <w:r>
        <w:rPr>
          <w:rFonts w:hint="eastAsia"/>
          <w:highlight w:val="none"/>
        </w:rPr>
        <w:t>（一）保密范围</w:t>
      </w:r>
    </w:p>
    <w:p>
      <w:pPr>
        <w:bidi w:val="0"/>
        <w:rPr>
          <w:rFonts w:hint="eastAsia"/>
          <w:highlight w:val="none"/>
        </w:rPr>
      </w:pPr>
      <w:r>
        <w:rPr>
          <w:rFonts w:hint="eastAsia"/>
          <w:highlight w:val="none"/>
        </w:rPr>
        <w:t>中选人在实施过程中接触到的比选人知识产权、经营信息等。</w:t>
      </w:r>
    </w:p>
    <w:p>
      <w:pPr>
        <w:pStyle w:val="5"/>
        <w:bidi w:val="0"/>
        <w:rPr>
          <w:rFonts w:hint="eastAsia"/>
          <w:highlight w:val="none"/>
        </w:rPr>
      </w:pPr>
      <w:r>
        <w:rPr>
          <w:rFonts w:hint="eastAsia"/>
          <w:highlight w:val="none"/>
        </w:rPr>
        <w:t>（二）保密责任</w:t>
      </w:r>
    </w:p>
    <w:p>
      <w:pPr>
        <w:bidi w:val="0"/>
        <w:rPr>
          <w:rFonts w:hint="eastAsia"/>
          <w:highlight w:val="none"/>
        </w:rPr>
      </w:pPr>
      <w:r>
        <w:rPr>
          <w:rFonts w:hint="eastAsia"/>
          <w:highlight w:val="none"/>
        </w:rPr>
        <w:t>双方互为保密资料的提供方和接受方，负有保密义务，承担保密责任。除经过双方书面同意，任何一方不得将有关内容提供给合同以外的第三人。</w:t>
      </w:r>
    </w:p>
    <w:p>
      <w:pPr>
        <w:pStyle w:val="4"/>
        <w:bidi w:val="0"/>
        <w:rPr>
          <w:rFonts w:hint="eastAsia"/>
          <w:highlight w:val="none"/>
        </w:rPr>
      </w:pPr>
      <w:bookmarkStart w:id="69" w:name="_Toc15059425"/>
      <w:bookmarkStart w:id="70" w:name="_Toc89675151"/>
      <w:r>
        <w:rPr>
          <w:rFonts w:hint="eastAsia"/>
          <w:highlight w:val="none"/>
        </w:rPr>
        <w:t>五、报价要求</w:t>
      </w:r>
      <w:bookmarkEnd w:id="69"/>
      <w:bookmarkEnd w:id="70"/>
    </w:p>
    <w:p>
      <w:pPr>
        <w:bidi w:val="0"/>
        <w:rPr>
          <w:rFonts w:hint="eastAsia"/>
          <w:highlight w:val="none"/>
        </w:rPr>
      </w:pPr>
      <w:r>
        <w:rPr>
          <w:rFonts w:hint="eastAsia"/>
          <w:highlight w:val="none"/>
        </w:rPr>
        <w:t>1、参选人应严格按照《参选文件格式》的“报价一览表”和“分项报价明细表”的格式认真填写。</w:t>
      </w:r>
    </w:p>
    <w:p>
      <w:pPr>
        <w:bidi w:val="0"/>
        <w:rPr>
          <w:rFonts w:hint="eastAsia"/>
          <w:highlight w:val="none"/>
        </w:rPr>
      </w:pPr>
      <w:r>
        <w:rPr>
          <w:rFonts w:hint="eastAsia"/>
          <w:highlight w:val="none"/>
        </w:rPr>
        <w:t>2、“分项报价明细表”里需详细写明各类</w:t>
      </w:r>
      <w:r>
        <w:rPr>
          <w:highlight w:val="none"/>
        </w:rPr>
        <w:t>线路、无线AP</w:t>
      </w:r>
      <w:r>
        <w:rPr>
          <w:rFonts w:hint="eastAsia"/>
          <w:highlight w:val="none"/>
        </w:rPr>
        <w:t>价格。</w:t>
      </w:r>
    </w:p>
    <w:p>
      <w:pPr>
        <w:bidi w:val="0"/>
        <w:rPr>
          <w:rFonts w:hint="eastAsia"/>
          <w:highlight w:val="none"/>
        </w:rPr>
      </w:pPr>
      <w:r>
        <w:rPr>
          <w:rFonts w:hint="eastAsia"/>
          <w:highlight w:val="none"/>
        </w:rPr>
        <w:t>3、报价单上应列明增值税专用发票的税率。</w:t>
      </w:r>
    </w:p>
    <w:p>
      <w:pPr>
        <w:pStyle w:val="4"/>
        <w:bidi w:val="0"/>
        <w:rPr>
          <w:rFonts w:hint="eastAsia"/>
          <w:highlight w:val="none"/>
        </w:rPr>
      </w:pPr>
      <w:bookmarkStart w:id="71" w:name="_Toc89675152"/>
      <w:bookmarkStart w:id="72" w:name="_Toc15059426"/>
      <w:r>
        <w:rPr>
          <w:rFonts w:hint="eastAsia"/>
          <w:highlight w:val="none"/>
        </w:rPr>
        <w:t>六</w:t>
      </w:r>
      <w:r>
        <w:rPr>
          <w:highlight w:val="none"/>
        </w:rPr>
        <w:t>、</w:t>
      </w:r>
      <w:r>
        <w:rPr>
          <w:rFonts w:hint="eastAsia"/>
          <w:highlight w:val="none"/>
        </w:rPr>
        <w:t>知识产权</w:t>
      </w:r>
      <w:bookmarkEnd w:id="71"/>
      <w:bookmarkEnd w:id="72"/>
    </w:p>
    <w:p>
      <w:pPr>
        <w:bidi w:val="0"/>
        <w:rPr>
          <w:rFonts w:hint="eastAsia"/>
          <w:highlight w:val="none"/>
        </w:rPr>
      </w:pPr>
      <w:r>
        <w:rPr>
          <w:rFonts w:hint="eastAsia"/>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bidi w:val="0"/>
        <w:rPr>
          <w:rFonts w:hint="eastAsia"/>
          <w:highlight w:val="none"/>
        </w:rPr>
      </w:pPr>
      <w:bookmarkStart w:id="73" w:name="_Toc15059427"/>
      <w:bookmarkStart w:id="74" w:name="_Toc89675153"/>
      <w:r>
        <w:rPr>
          <w:rFonts w:hint="eastAsia"/>
          <w:highlight w:val="none"/>
        </w:rPr>
        <w:t>七、其他</w:t>
      </w:r>
      <w:bookmarkEnd w:id="73"/>
      <w:bookmarkEnd w:id="74"/>
    </w:p>
    <w:p>
      <w:pPr>
        <w:bidi w:val="0"/>
        <w:rPr>
          <w:rFonts w:hint="eastAsia"/>
          <w:highlight w:val="none"/>
        </w:rPr>
      </w:pPr>
      <w:r>
        <w:rPr>
          <w:rFonts w:hint="eastAsia"/>
          <w:highlight w:val="none"/>
        </w:rPr>
        <w:t>1、参选人必须在参选文件中对以上条款和服务承诺明确列出，承诺内容必须达到本篇及比选文件其他条款的要求。</w:t>
      </w:r>
    </w:p>
    <w:p>
      <w:pPr>
        <w:bidi w:val="0"/>
        <w:rPr>
          <w:rFonts w:hint="eastAsia"/>
          <w:highlight w:val="none"/>
        </w:rPr>
      </w:pPr>
      <w:r>
        <w:rPr>
          <w:rFonts w:hint="eastAsia"/>
          <w:highlight w:val="none"/>
        </w:rPr>
        <w:t>2、其他未尽事宜由供需双方在合同中详细约定。如果比选文件和合同条款不一致，以合同约定为准。</w:t>
      </w:r>
    </w:p>
    <w:p>
      <w:pPr>
        <w:pStyle w:val="3"/>
        <w:keepNext w:val="0"/>
        <w:keepLines w:val="0"/>
        <w:pageBreakBefore w:val="0"/>
        <w:widowControl w:val="0"/>
        <w:kinsoku/>
        <w:wordWrap/>
        <w:overflowPunct/>
        <w:autoSpaceDE/>
        <w:autoSpaceDN/>
        <w:bidi w:val="0"/>
        <w:adjustRightInd/>
        <w:snapToGrid w:val="0"/>
        <w:spacing w:before="0"/>
        <w:ind w:left="0" w:leftChars="0" w:right="0" w:rightChars="0" w:firstLine="0" w:firstLineChars="0"/>
        <w:jc w:val="center"/>
        <w:textAlignment w:val="auto"/>
        <w:outlineLvl w:val="0"/>
        <w:rPr>
          <w:rFonts w:hint="eastAsia"/>
          <w:color w:val="000000"/>
          <w:highlight w:val="none"/>
        </w:rPr>
      </w:pPr>
      <w:bookmarkStart w:id="75" w:name="_Toc32977424"/>
      <w:r>
        <w:rPr>
          <w:rFonts w:hint="eastAsia"/>
          <w:color w:val="000000"/>
          <w:highlight w:val="none"/>
        </w:rPr>
        <w:br w:type="page"/>
      </w:r>
      <w:bookmarkStart w:id="76" w:name="_Toc8987"/>
      <w:r>
        <w:rPr>
          <w:rFonts w:hint="eastAsia"/>
          <w:color w:val="000000"/>
          <w:highlight w:val="none"/>
        </w:rPr>
        <w:t xml:space="preserve">第五章 </w:t>
      </w:r>
      <w:r>
        <w:rPr>
          <w:color w:val="000000"/>
          <w:highlight w:val="none"/>
        </w:rPr>
        <w:t>合同模板</w:t>
      </w:r>
      <w:bookmarkEnd w:id="75"/>
      <w:bookmarkEnd w:id="76"/>
    </w:p>
    <w:p>
      <w:pPr>
        <w:spacing w:line="360" w:lineRule="auto"/>
        <w:ind w:firstLine="480" w:firstLineChars="200"/>
        <w:rPr>
          <w:rFonts w:ascii="宋体" w:cs="宋体"/>
          <w:snapToGrid w:val="0"/>
          <w:color w:val="000000"/>
          <w:kern w:val="0"/>
          <w:sz w:val="24"/>
          <w:szCs w:val="24"/>
          <w:highlight w:val="none"/>
        </w:rPr>
      </w:pPr>
      <w:r>
        <w:rPr>
          <w:rFonts w:ascii="宋体" w:cs="宋体"/>
          <w:snapToGrid w:val="0"/>
          <w:color w:val="000000"/>
          <w:kern w:val="0"/>
          <w:sz w:val="24"/>
          <w:szCs w:val="24"/>
          <w:highlight w:val="none"/>
        </w:rPr>
        <w:t>（本章节合同条款及格式仅供参考，若比选文件与最终签订合同约定不一致，以最终签订合同的约定为准）</w:t>
      </w:r>
    </w:p>
    <w:p>
      <w:pPr>
        <w:spacing w:line="360" w:lineRule="exact"/>
        <w:ind w:firstLine="7080" w:firstLineChars="2950"/>
        <w:rPr>
          <w:rFonts w:ascii="仿宋_GB2312" w:eastAsia="仿宋_GB2312"/>
          <w:sz w:val="24"/>
          <w:highlight w:val="none"/>
        </w:rPr>
      </w:pPr>
      <w:r>
        <w:rPr>
          <w:rFonts w:hint="eastAsia" w:ascii="仿宋_GB2312" w:eastAsia="仿宋_GB2312"/>
          <w:sz w:val="24"/>
          <w:highlight w:val="none"/>
        </w:rPr>
        <w:t>编号：</w:t>
      </w:r>
    </w:p>
    <w:p>
      <w:pPr>
        <w:spacing w:line="360" w:lineRule="exact"/>
        <w:jc w:val="center"/>
        <w:rPr>
          <w:rFonts w:ascii="仿宋" w:eastAsia="仿宋"/>
          <w:b/>
          <w:sz w:val="28"/>
          <w:szCs w:val="28"/>
          <w:highlight w:val="none"/>
        </w:rPr>
      </w:pPr>
    </w:p>
    <w:p>
      <w:pPr>
        <w:pStyle w:val="11"/>
        <w:spacing w:line="360" w:lineRule="auto"/>
        <w:jc w:val="center"/>
        <w:rPr>
          <w:rFonts w:hint="eastAsia"/>
          <w:b/>
          <w:bCs/>
          <w:kern w:val="2"/>
          <w:sz w:val="40"/>
          <w:szCs w:val="40"/>
          <w:highlight w:val="none"/>
          <w:shd w:val="clear" w:color="auto" w:fill="auto"/>
        </w:rPr>
      </w:pPr>
      <w:r>
        <w:rPr>
          <w:rFonts w:hint="eastAsia"/>
          <w:b/>
          <w:bCs/>
          <w:kern w:val="2"/>
          <w:sz w:val="40"/>
          <w:szCs w:val="40"/>
          <w:highlight w:val="none"/>
          <w:shd w:val="clear" w:color="auto" w:fill="auto"/>
        </w:rPr>
        <w:t>重庆三峡银</w:t>
      </w:r>
    </w:p>
    <w:p>
      <w:pPr>
        <w:pStyle w:val="11"/>
        <w:spacing w:line="360" w:lineRule="auto"/>
        <w:jc w:val="center"/>
        <w:rPr>
          <w:rFonts w:hint="eastAsia"/>
          <w:b/>
          <w:bCs/>
          <w:kern w:val="2"/>
          <w:sz w:val="40"/>
          <w:szCs w:val="40"/>
          <w:highlight w:val="none"/>
          <w:shd w:val="clear" w:color="auto" w:fill="auto"/>
        </w:rPr>
      </w:pPr>
      <w:r>
        <w:rPr>
          <w:rFonts w:hint="eastAsia"/>
          <w:b/>
          <w:bCs/>
          <w:kern w:val="2"/>
          <w:sz w:val="40"/>
          <w:szCs w:val="40"/>
          <w:highlight w:val="none"/>
          <w:shd w:val="clear" w:color="auto" w:fill="auto"/>
        </w:rPr>
        <w:t>全行互联网WiFi接入模式优化项目服务合同</w:t>
      </w:r>
    </w:p>
    <w:p>
      <w:pPr>
        <w:spacing w:line="360" w:lineRule="exact"/>
        <w:jc w:val="center"/>
        <w:rPr>
          <w:rFonts w:ascii="仿宋" w:eastAsia="仿宋"/>
          <w:b/>
          <w:sz w:val="28"/>
          <w:szCs w:val="28"/>
          <w:highlight w:val="none"/>
        </w:rPr>
      </w:pPr>
    </w:p>
    <w:p>
      <w:pPr>
        <w:spacing w:line="360" w:lineRule="exact"/>
        <w:rPr>
          <w:rFonts w:hint="eastAsia" w:ascii="宋体" w:hAnsi="宋体" w:cs="宋体"/>
          <w:sz w:val="24"/>
          <w:highlight w:val="none"/>
        </w:rPr>
      </w:pPr>
      <w:r>
        <w:rPr>
          <w:rFonts w:hint="eastAsia" w:ascii="宋体" w:hAnsi="宋体" w:cs="宋体"/>
          <w:sz w:val="24"/>
          <w:highlight w:val="none"/>
        </w:rPr>
        <w:t>合同签订地：[重庆]</w:t>
      </w:r>
    </w:p>
    <w:p>
      <w:pPr>
        <w:spacing w:line="360" w:lineRule="exact"/>
        <w:rPr>
          <w:rFonts w:hint="eastAsia" w:ascii="宋体" w:hAnsi="宋体" w:cs="宋体"/>
          <w:sz w:val="24"/>
          <w:highlight w:val="none"/>
        </w:rPr>
      </w:pPr>
    </w:p>
    <w:p>
      <w:pPr>
        <w:spacing w:line="360" w:lineRule="exact"/>
        <w:rPr>
          <w:rFonts w:hint="eastAsia" w:ascii="宋体" w:hAnsi="宋体" w:cs="宋体"/>
          <w:sz w:val="24"/>
          <w:highlight w:val="none"/>
        </w:rPr>
      </w:pPr>
      <w:r>
        <w:rPr>
          <w:rFonts w:hint="eastAsia" w:ascii="宋体" w:hAnsi="宋体" w:cs="宋体"/>
          <w:sz w:val="24"/>
          <w:highlight w:val="none"/>
        </w:rPr>
        <w:t xml:space="preserve">甲方：[重庆三峡银行股份有限公司]  </w:t>
      </w:r>
    </w:p>
    <w:p>
      <w:pPr>
        <w:spacing w:line="360" w:lineRule="exact"/>
        <w:rPr>
          <w:rFonts w:hint="eastAsia" w:ascii="宋体" w:hAnsi="宋体" w:cs="宋体"/>
          <w:sz w:val="24"/>
          <w:highlight w:val="none"/>
        </w:rPr>
      </w:pPr>
      <w:r>
        <w:rPr>
          <w:rFonts w:hint="eastAsia" w:ascii="宋体" w:hAnsi="宋体" w:cs="宋体"/>
          <w:sz w:val="24"/>
          <w:highlight w:val="none"/>
        </w:rPr>
        <w:t xml:space="preserve">地址：[重庆市渝北区嘉州路88号中渝国际都会4号写字楼]     </w:t>
      </w:r>
    </w:p>
    <w:p>
      <w:pPr>
        <w:spacing w:line="360" w:lineRule="exact"/>
        <w:rPr>
          <w:rFonts w:hint="eastAsia" w:ascii="宋体" w:hAnsi="宋体" w:cs="宋体"/>
          <w:sz w:val="24"/>
          <w:highlight w:val="none"/>
        </w:rPr>
      </w:pPr>
      <w:r>
        <w:rPr>
          <w:rFonts w:hint="eastAsia" w:ascii="宋体" w:hAnsi="宋体" w:cs="宋体"/>
          <w:sz w:val="24"/>
          <w:highlight w:val="none"/>
        </w:rPr>
        <w:t>法定代表人/负责人：[ 刘江桥 ]</w:t>
      </w:r>
    </w:p>
    <w:p>
      <w:pPr>
        <w:spacing w:line="360" w:lineRule="exact"/>
        <w:rPr>
          <w:rFonts w:hint="eastAsia" w:ascii="宋体" w:hAnsi="宋体" w:cs="宋体"/>
          <w:sz w:val="24"/>
          <w:highlight w:val="none"/>
        </w:rPr>
      </w:pPr>
    </w:p>
    <w:p>
      <w:pPr>
        <w:spacing w:line="360" w:lineRule="exact"/>
        <w:rPr>
          <w:rFonts w:hint="eastAsia" w:ascii="宋体" w:hAnsi="宋体" w:cs="宋体"/>
          <w:sz w:val="24"/>
          <w:highlight w:val="none"/>
        </w:rPr>
      </w:pPr>
      <w:r>
        <w:rPr>
          <w:rFonts w:hint="eastAsia" w:ascii="宋体" w:hAnsi="宋体" w:cs="宋体"/>
          <w:sz w:val="24"/>
          <w:highlight w:val="none"/>
        </w:rPr>
        <w:t>乙方：[ ]</w:t>
      </w:r>
    </w:p>
    <w:p>
      <w:pPr>
        <w:spacing w:line="360" w:lineRule="exact"/>
        <w:rPr>
          <w:rFonts w:hint="eastAsia" w:ascii="宋体" w:hAnsi="宋体" w:cs="宋体"/>
          <w:sz w:val="24"/>
          <w:highlight w:val="none"/>
        </w:rPr>
      </w:pPr>
      <w:r>
        <w:rPr>
          <w:rFonts w:hint="eastAsia" w:ascii="宋体" w:hAnsi="宋体" w:cs="宋体"/>
          <w:sz w:val="24"/>
          <w:highlight w:val="none"/>
        </w:rPr>
        <w:t xml:space="preserve">地址：[ ]             </w:t>
      </w:r>
    </w:p>
    <w:p>
      <w:pPr>
        <w:spacing w:line="360" w:lineRule="exact"/>
        <w:rPr>
          <w:rFonts w:hint="eastAsia" w:ascii="宋体" w:hAnsi="宋体" w:cs="宋体"/>
          <w:sz w:val="24"/>
          <w:highlight w:val="none"/>
        </w:rPr>
      </w:pPr>
      <w:r>
        <w:rPr>
          <w:rFonts w:hint="eastAsia" w:ascii="宋体" w:hAnsi="宋体" w:cs="宋体"/>
          <w:sz w:val="24"/>
          <w:highlight w:val="none"/>
        </w:rPr>
        <w:t>法定代表人/负责人：[ ]</w:t>
      </w:r>
    </w:p>
    <w:p>
      <w:pPr>
        <w:spacing w:line="360" w:lineRule="exact"/>
        <w:rPr>
          <w:rFonts w:hint="eastAsia" w:ascii="宋体" w:hAnsi="宋体" w:cs="宋体"/>
          <w:sz w:val="24"/>
          <w:highlight w:val="none"/>
        </w:rPr>
      </w:pPr>
    </w:p>
    <w:p>
      <w:pPr>
        <w:spacing w:line="360" w:lineRule="exact"/>
        <w:ind w:firstLine="482" w:firstLineChars="200"/>
        <w:rPr>
          <w:rFonts w:hint="eastAsia" w:ascii="宋体" w:hAnsi="宋体" w:cs="宋体"/>
          <w:b/>
          <w:sz w:val="24"/>
          <w:highlight w:val="none"/>
        </w:rPr>
      </w:pPr>
      <w:r>
        <w:rPr>
          <w:rFonts w:hint="eastAsia" w:ascii="宋体" w:hAnsi="宋体" w:cs="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1.甲方由于业务发展需要，通过租用乙方互联网WiFi服务的方式对全行互联网WiFi接入模式进行优化。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2.乙方同意按照本合同约定的条款和条件向甲方全行提供互联网WiFi服务。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甲乙双方本着平等互利，互相信赖，有偿使用，共同发展的原则，根据相关法律法规，经友好协商达成本合同，并共同遵守。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第一条定义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1.1“互联网专线”：指采用光纤直连/传输电路/PON/LAN等方式接入，由乙方提供一定数量的固定公网IP地址、通过静态路由协议与乙方城域网互联的、上下行速率对称的互联网接入服务。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1.2“一站式服务”：在一点完成相关的电信业务服务，如：业务咨询，受理，收费以及故障受理、技术支持等。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1.3“接入方式”：指甲方终端设备接入到乙方IP城域网中使用的技术类型，包括：LAN、PON、光纤直连、传输电路（SDH或MSTP）、无线WiFi等。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1.4“公网IP地址”：指乙方为甲方提供的，甲方可以自行分配使用的固定公网IP地址。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1.5“速率”：指乙方城域网IP接入端口到甲方终端设备（下行速率）或甲方终端设备到乙方城域网IP接入端口（上行速率）在单位时间内传输的比特数，乙方承诺下行或上行实际速率不低于本合同约定速率的90%。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1.6“网络割接”：因工程施工、网络建设等原因，对现有的传输干线及相关系统进行必要的修改、调整、搬迁和改造等活动。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1.7“一次性费用”：在接入过程中需要的相关费用，如：手续费，测试费等。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1.8“月使用费”：按月收取的业务服务费及网络使用费。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1.9“工作日”：除周六、周日及法定节假日以外的日历日。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1.10“日”：日历日，包括工作日、法定节假日和休息日。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第二条服务内容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2.1甲方使用乙方服务用于全行互联网WiFi上网，服务在合同签订后，乙方wifi按照甲方需求完成开通交付并通过甲方验收之日起生效。服务期限为36个月。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napToGrid w:val="0"/>
          <w:sz w:val="24"/>
          <w:highlight w:val="none"/>
        </w:rPr>
      </w:pPr>
      <w:r>
        <w:rPr>
          <w:rFonts w:hint="eastAsia" w:ascii="宋体" w:hAnsi="宋体" w:cs="宋体"/>
          <w:sz w:val="24"/>
          <w:highlight w:val="none"/>
        </w:rPr>
        <w:t>2.2 乙方按照甲方需求为甲方提供全行互联网wifi上网服务，并提供服务期内的的维护及安全管理等相关配套服务，具体需求见附件一：《三峡银行全行互联网WiFi接入模式优化项目建设需求》。服务期内，按照以下计费标准，每</w:t>
      </w:r>
      <w:r>
        <w:rPr>
          <w:rFonts w:hint="eastAsia" w:ascii="宋体" w:hAnsi="宋体" w:cs="宋体"/>
          <w:snapToGrid w:val="0"/>
          <w:sz w:val="24"/>
          <w:highlight w:val="none"/>
        </w:rPr>
        <w:t>月根据实际安装的线路及AP数量结算月使用费。若后续使用过程中甲方需新增线路及无线AP则仍参照以下计费标准进行结算。</w:t>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79" w:type="pct"/>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widowControl/>
              <w:jc w:val="center"/>
              <w:textAlignment w:val="center"/>
              <w:rPr>
                <w:rFonts w:hint="eastAsia" w:ascii="宋体" w:hAnsi="宋体" w:cs="宋体"/>
                <w:bCs/>
                <w:sz w:val="21"/>
                <w:szCs w:val="21"/>
                <w:highlight w:val="none"/>
              </w:rPr>
            </w:pPr>
            <w:r>
              <w:rPr>
                <w:rFonts w:hint="eastAsia" w:ascii="宋体" w:hAnsi="宋体" w:cs="宋体"/>
                <w:bCs/>
                <w:sz w:val="21"/>
                <w:szCs w:val="21"/>
                <w:highlight w:val="none"/>
              </w:rPr>
              <w:t>分项1（线路）</w:t>
            </w:r>
          </w:p>
        </w:tc>
        <w:tc>
          <w:tcPr>
            <w:tcW w:w="2720" w:type="pct"/>
            <w:tcBorders>
              <w:top w:val="single" w:color="000000" w:sz="4" w:space="0"/>
              <w:left w:val="single" w:color="000000" w:sz="4" w:space="0"/>
              <w:bottom w:val="single" w:color="000000" w:sz="4" w:space="0"/>
              <w:right w:val="single" w:color="auto" w:sz="4" w:space="0"/>
              <w:tl2br w:val="nil"/>
              <w:tr2bl w:val="nil"/>
            </w:tcBorders>
            <w:shd w:val="clear" w:color="auto" w:fill="D9D9D9"/>
            <w:noWrap/>
            <w:vAlign w:val="center"/>
          </w:tcPr>
          <w:p>
            <w:pPr>
              <w:widowControl/>
              <w:jc w:val="center"/>
              <w:textAlignment w:val="center"/>
              <w:rPr>
                <w:rFonts w:hint="eastAsia" w:ascii="宋体" w:hAnsi="宋体" w:cs="宋体"/>
                <w:bCs/>
                <w:sz w:val="21"/>
                <w:szCs w:val="21"/>
                <w:highlight w:val="none"/>
              </w:rPr>
            </w:pPr>
            <w:r>
              <w:rPr>
                <w:rFonts w:hint="eastAsia" w:ascii="宋体" w:hAnsi="宋体" w:cs="宋体"/>
                <w:bCs/>
                <w:sz w:val="21"/>
                <w:szCs w:val="21"/>
                <w:highlight w:val="none"/>
              </w:rPr>
              <w:t>单价（元/月/条）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27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sz w:val="21"/>
                <w:szCs w:val="21"/>
                <w:highlight w:val="none"/>
              </w:rPr>
              <w:t>6G互联网专线</w:t>
            </w:r>
          </w:p>
        </w:tc>
        <w:tc>
          <w:tcPr>
            <w:tcW w:w="2720" w:type="pct"/>
            <w:tcBorders>
              <w:top w:val="single" w:color="000000" w:sz="4" w:space="0"/>
              <w:left w:val="single" w:color="000000" w:sz="4" w:space="0"/>
              <w:bottom w:val="single" w:color="000000" w:sz="4" w:space="0"/>
              <w:right w:val="single" w:color="auto"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27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sz w:val="21"/>
                <w:szCs w:val="21"/>
                <w:highlight w:val="none"/>
              </w:rPr>
              <w:t>200M互联网宽带</w:t>
            </w:r>
          </w:p>
        </w:tc>
        <w:tc>
          <w:tcPr>
            <w:tcW w:w="2720" w:type="pct"/>
            <w:tcBorders>
              <w:top w:val="single" w:color="000000" w:sz="4" w:space="0"/>
              <w:left w:val="single" w:color="000000" w:sz="4" w:space="0"/>
              <w:bottom w:val="single" w:color="000000" w:sz="4" w:space="0"/>
              <w:right w:val="single" w:color="auto"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27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sz w:val="21"/>
                <w:szCs w:val="21"/>
                <w:highlight w:val="none"/>
              </w:rPr>
              <w:t>500M互联网宽带</w:t>
            </w:r>
          </w:p>
        </w:tc>
        <w:tc>
          <w:tcPr>
            <w:tcW w:w="2720" w:type="pct"/>
            <w:tcBorders>
              <w:top w:val="single" w:color="000000" w:sz="4" w:space="0"/>
              <w:left w:val="single" w:color="000000" w:sz="4" w:space="0"/>
              <w:bottom w:val="single" w:color="000000" w:sz="4" w:space="0"/>
              <w:right w:val="single" w:color="auto" w:sz="4" w:space="0"/>
              <w:tl2br w:val="nil"/>
              <w:tr2bl w:val="nil"/>
            </w:tcBorders>
            <w:noWrap/>
            <w:vAlign w:val="center"/>
          </w:tcPr>
          <w:p>
            <w:pPr>
              <w:widowControl/>
              <w:jc w:val="center"/>
              <w:textAlignment w:val="center"/>
              <w:rPr>
                <w:rFonts w:hint="eastAsia" w:ascii="宋体" w:hAnsi="宋体" w:cs="宋体"/>
                <w:color w:val="000000"/>
                <w:sz w:val="21"/>
                <w:szCs w:val="21"/>
                <w:highlight w:val="none"/>
              </w:rPr>
            </w:pPr>
          </w:p>
        </w:tc>
      </w:tr>
    </w:tbl>
    <w:p>
      <w:pPr>
        <w:spacing w:line="320" w:lineRule="exact"/>
        <w:ind w:firstLine="480" w:firstLineChars="200"/>
        <w:rPr>
          <w:rFonts w:hint="eastAsia" w:ascii="宋体" w:hAnsi="宋体" w:cs="宋体"/>
          <w:sz w:val="24"/>
          <w:highlight w:val="none"/>
        </w:rPr>
      </w:pP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5"/>
        <w:gridCol w:w="4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338" w:type="pct"/>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widowControl/>
              <w:jc w:val="center"/>
              <w:textAlignment w:val="center"/>
              <w:rPr>
                <w:rFonts w:hint="eastAsia" w:ascii="宋体" w:hAnsi="宋体" w:cs="宋体"/>
                <w:bCs/>
                <w:sz w:val="21"/>
                <w:szCs w:val="21"/>
                <w:highlight w:val="none"/>
              </w:rPr>
            </w:pPr>
            <w:r>
              <w:rPr>
                <w:rFonts w:hint="eastAsia" w:ascii="宋体" w:hAnsi="宋体" w:cs="宋体"/>
                <w:bCs/>
                <w:sz w:val="21"/>
                <w:szCs w:val="21"/>
                <w:highlight w:val="none"/>
              </w:rPr>
              <w:t>分项2（设备）</w:t>
            </w:r>
          </w:p>
        </w:tc>
        <w:tc>
          <w:tcPr>
            <w:tcW w:w="2661" w:type="pct"/>
            <w:tcBorders>
              <w:top w:val="single" w:color="000000" w:sz="4" w:space="0"/>
              <w:left w:val="single" w:color="000000" w:sz="4" w:space="0"/>
              <w:bottom w:val="single" w:color="000000" w:sz="4" w:space="0"/>
              <w:right w:val="single" w:color="auto" w:sz="4" w:space="0"/>
              <w:tl2br w:val="nil"/>
              <w:tr2bl w:val="nil"/>
            </w:tcBorders>
            <w:shd w:val="clear" w:color="auto" w:fill="D9D9D9"/>
            <w:noWrap/>
            <w:vAlign w:val="center"/>
          </w:tcPr>
          <w:p>
            <w:pPr>
              <w:widowControl/>
              <w:jc w:val="center"/>
              <w:textAlignment w:val="center"/>
              <w:rPr>
                <w:rFonts w:hint="eastAsia" w:ascii="宋体" w:hAnsi="宋体" w:cs="宋体"/>
                <w:bCs/>
                <w:sz w:val="21"/>
                <w:szCs w:val="21"/>
                <w:highlight w:val="none"/>
              </w:rPr>
            </w:pPr>
            <w:r>
              <w:rPr>
                <w:rFonts w:hint="eastAsia" w:ascii="宋体" w:hAnsi="宋体" w:cs="宋体"/>
                <w:bCs/>
                <w:sz w:val="21"/>
                <w:szCs w:val="21"/>
                <w:highlight w:val="none"/>
              </w:rPr>
              <w:t>单价（元/月/个）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sz w:val="21"/>
                <w:szCs w:val="21"/>
                <w:highlight w:val="none"/>
              </w:rPr>
            </w:pPr>
            <w:r>
              <w:rPr>
                <w:rFonts w:hint="eastAsia" w:ascii="宋体" w:hAnsi="宋体" w:cs="宋体"/>
                <w:sz w:val="21"/>
                <w:szCs w:val="21"/>
                <w:highlight w:val="none"/>
              </w:rPr>
              <w:t>无线AP</w:t>
            </w:r>
          </w:p>
        </w:tc>
        <w:tc>
          <w:tcPr>
            <w:tcW w:w="2661" w:type="pct"/>
            <w:tcBorders>
              <w:top w:val="single" w:color="000000" w:sz="4" w:space="0"/>
              <w:left w:val="single" w:color="000000" w:sz="4" w:space="0"/>
              <w:bottom w:val="single" w:color="000000" w:sz="4" w:space="0"/>
              <w:right w:val="single" w:color="auto" w:sz="4" w:space="0"/>
              <w:tl2br w:val="nil"/>
              <w:tr2bl w:val="nil"/>
            </w:tcBorders>
            <w:noWrap/>
            <w:vAlign w:val="center"/>
          </w:tcPr>
          <w:p>
            <w:pPr>
              <w:widowControl/>
              <w:textAlignment w:val="center"/>
              <w:rPr>
                <w:rFonts w:hint="eastAsia" w:ascii="宋体" w:hAnsi="宋体" w:cs="宋体"/>
                <w:sz w:val="21"/>
                <w:szCs w:val="21"/>
                <w:highlight w:val="none"/>
              </w:rPr>
            </w:pPr>
          </w:p>
        </w:tc>
      </w:tr>
    </w:tbl>
    <w:p>
      <w:pPr>
        <w:spacing w:line="320" w:lineRule="exact"/>
        <w:ind w:firstLine="480" w:firstLineChars="200"/>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第三条双方权利和义务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3.1甲方权利和义务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3.1.1作为乙方的集团客户，享受乙方为集团客户提供的一站式服务。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3.1.2在接入和使用业务过程中出现的技术性问题，均可就近向乙方或乙方当地下属机构申告。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3.1.3应按照国家法律法规的规定及本合同的约定合理使用业务，在使用业务过程中不得从事损害乙方及他人合法权益的活动。未经乙方书面同意，甲方不得将本业务有偿转租给第三方使用，也不得用于本合同约定用途以外的其他用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3.1.4应保证自用设备连接到其有关通信设备全部符合国家主管部门规定的质量标准和技术要求，并取得进网许可证。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3.1.5依照国家主管部门有关资费标准以及双方达成的合同条款，按时足额向乙方缴纳本合同约定的各项费用。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3.1.6应以书面形式（业务需求单）向乙方提供互联网WiFi开通的速率、数量、技术要求、准确的终端接入地点、用途、要求开通时间、服务期、联系人、联系电话等信息。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3.1.7应派专人负责做好业务开通的各项准备工作，包括但不限于：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（1）业务开通前期的组织、协调工作。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（2）无偿提供机房，并做好接入设备及安装场地的准备。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（3）积极协调相关机构、人员、物业等业务各方配合乙方的业务开通调测工作。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（4）根据接入服务的需要，调配和预留各接入场所内配线室至安装地点的通信线路。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（5）提供220V稳定电源，供乙方设备使用，并承担设备的用电费用。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3.1.8使用乙方提供的互联网WiFi服务，应遵守国家相关的法律、法规和政策规定，如甲方自用设备在使用本服务时存在违反国家法律或相关规定的行为，甲方承担由此产生的全部责任。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3.1.9积极配合乙方对使用互联网WiFi所涉及线路与设备的日常维护、检测等工作。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3.1.10不得利用乙方提供的互联网接入业务经营甲方不具备资质的其他电信业务。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3.1.11甲方从事非经营性互联网信息服务的，须严格遵循《非经营性互联网备案管理办法》之规定，不能接入未备案网站；甲方应对备案网站用户信息进行动态维护和更新，并定期向乙方报送网站信息和变更信息；乙方提供的互联网接入业务默认关闭提供互联网信息服务的常用端口（80端口、8080端口、443端口）。甲方承诺并确认：甲方所提交的所有备案信息真实有效，当提供的备案信息发生变化时应及时向乙方提交更新信息，如因未及时更新而导致备案信息不准确的，乙方有权依法采取断开网络接入等关停处置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3.2乙方权利和义务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3.2.1视甲方为全国集团客户，提供综合性服务，并为甲方提供业务咨询、组网建议等服务。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3.2.2负责进行本业务的连接、调通、测试、维护。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3.2.3在资源具备，根据双方协商的开通时间开通使用业务。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3.2.4由于乙方端口、设备资源暂未具备等原因而未及时开通本业务的，乙方有责任协调相关部门确保在本合同约定期限内开通本业务。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3.2.5负责处理在接入和使用业务过程中出现的技术故障，乙方和乙方当地下属机构有义务接受甲方申告并负责处理。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3.2.6对所投资的线路和设备拥有所有权。服务期内，甲方对乙方提供的线路和设备有保管责任。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3.2.7乙方有义务向甲方提供最新的网络技术信息和解决方案，提供系统运行、维护管理及安全检测等多方面的支持，提供电信级的网络运行质量保证。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3.2.8乙方所提供无线WIFI业务，应满足公安部33号令、82号令的相关要求。后台部署有市公安局入围厂商的上网行为审计设备，提供安全审计功能，满足实名认证上网，舆论有据溯源，审计内容至少存储6个月以上，并能将实时审计数据传输至网监后台。乙方应承担互联网WIFI网络安全责任，依法落实公共无线网络安全管理技术措施，全权负责各网点WIFI的建设和后期运维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3.2.9因乙方未依法落实公共无线网络安全管理技术措施，导致甲方或任何第三方遭受经济损失等侵害的，由乙方承担经济赔偿及法律责任。</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3.2.10乙方须遵守法律法规及银行业金融机构内部管理制度、贯彻执行相关监管政策。</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3.2.11乙方需为甲方提供持续的项目风险识别和控制措施，并按甲方要求提供公司财务分析报告、项目进度报告以及重大事项报告等。</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3.2.12乙方应该适时开展风险管理评估和第三方审计工作，应该接受甲方的审核、评估以及外包检查，并配合接受来自监管机构的各项检查，配合对监管意见做出相应的管理、服务、基础设施、软硬件等整改。</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3.2.13乙方应针对服务内容为甲方制定业务连续性计划和应急计划并维护好相关资源，在服务质量不能满足合同要求时，甲方具有优先获取服务资源的权利。</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3.2.14乙方保证遵守甲方《重庆三峡银行员工回避管理办法》中招录回避、任职回避、公务回避的相关要求。若发现乙方人员与甲方内部人员存在亲属关系，乙方应主动报告，并采取相应回避措施。</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3.2.15乙方保证其人员无不良记录，服务商与其建立合法的雇佣关系，依法履行用工管理职责。</w:t>
      </w:r>
    </w:p>
    <w:p>
      <w:pPr>
        <w:pStyle w:val="11"/>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3.2.16乙方在项目实施过程中应做到文明施工，AP位置应考虑防盗、防掉落、防非法接入和美观等，具备较好的隐蔽性，同时提供网关设备至AP设备的物理网线铺设服务，铺设网线必须为六类非屏蔽双绞线，中心机房使用低损耗预端接光缆系统，在铺设完成后进行相应的隐蔽工程。若乙方施工过程中操作不规范导致甲方装修及设施设备损坏，应照价赔偿。若乙方施工工艺不达标，甲方有权不予验收。</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第四条 业务的开通交付及验收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4.1业务开通交付是指</w:t>
      </w:r>
      <w:r>
        <w:rPr>
          <w:rFonts w:hint="eastAsia" w:ascii="宋体" w:hAnsi="宋体" w:cs="宋体"/>
          <w:snapToGrid w:val="0"/>
          <w:sz w:val="24"/>
          <w:highlight w:val="none"/>
        </w:rPr>
        <w:t>完成单个接入点的线路开通、设备安装及网络联调</w:t>
      </w:r>
      <w:r>
        <w:rPr>
          <w:rFonts w:hint="eastAsia" w:ascii="宋体" w:hAnsi="宋体" w:cs="宋体"/>
          <w:sz w:val="24"/>
          <w:highlight w:val="none"/>
        </w:rPr>
        <w:t>。乙方不负责甲方客户端设备的调测，但需配合甲方。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4.2 乙方应在</w:t>
      </w:r>
      <w:r>
        <w:rPr>
          <w:rFonts w:hint="eastAsia" w:ascii="宋体" w:hAnsi="宋体" w:cs="宋体"/>
          <w:snapToGrid w:val="0"/>
          <w:sz w:val="24"/>
          <w:highlight w:val="none"/>
        </w:rPr>
        <w:t>合同签订后20个工作日内完成甲方总行的开通交付，并于合同签订后40个工作日内完成甲方所有分支机构的开通及交付</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4.3乙方在</w:t>
      </w:r>
      <w:r>
        <w:rPr>
          <w:rFonts w:hint="eastAsia" w:ascii="宋体" w:hAnsi="宋体" w:cs="宋体"/>
          <w:snapToGrid w:val="0"/>
          <w:sz w:val="24"/>
          <w:highlight w:val="none"/>
        </w:rPr>
        <w:t>完成所有接入点（不含在建未开业的支行）的开通交付后向甲方提交验收报告，</w:t>
      </w:r>
      <w:r>
        <w:rPr>
          <w:rFonts w:hint="eastAsia" w:ascii="宋体" w:hAnsi="宋体" w:cs="宋体"/>
          <w:sz w:val="24"/>
          <w:highlight w:val="none"/>
        </w:rPr>
        <w:t>甲方应当在收到</w:t>
      </w:r>
      <w:r>
        <w:rPr>
          <w:rFonts w:hint="eastAsia" w:ascii="宋体" w:hAnsi="宋体" w:cs="宋体"/>
          <w:sz w:val="24"/>
          <w:highlight w:val="none"/>
          <w:lang w:val="en-US" w:eastAsia="zh-CN"/>
        </w:rPr>
        <w:t>乙方</w:t>
      </w:r>
      <w:r>
        <w:rPr>
          <w:rFonts w:hint="eastAsia" w:ascii="宋体" w:hAnsi="宋体" w:cs="宋体"/>
          <w:sz w:val="24"/>
          <w:highlight w:val="none"/>
        </w:rPr>
        <w:t>验收报告五个工作日内验收核实，本业务确已根据本合同约定和国家有关电信业务规定开通交付的，甲方应签字或盖章确认。本业务实际开通交付及验收日期，以乙方或乙方代表与开通地点的甲方代表签字或盖章确认的日期为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4.3.1若甲方在收到乙方验收报告后五个工作日内未签字或盖章确认、也未书面提出异议的，视为乙方已按照本合同约定和国家有关电信业务规定开通使用业务,验收报告提交后第五个工作日为使用业务的实际验收通过日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4.4乙方自所有接入点（</w:t>
      </w:r>
      <w:r>
        <w:rPr>
          <w:rFonts w:hint="eastAsia" w:ascii="宋体" w:hAnsi="宋体" w:cs="宋体"/>
          <w:snapToGrid w:val="0"/>
          <w:sz w:val="24"/>
          <w:highlight w:val="none"/>
        </w:rPr>
        <w:t>不含在建未开业的支行</w:t>
      </w:r>
      <w:r>
        <w:rPr>
          <w:rFonts w:hint="eastAsia" w:ascii="宋体" w:hAnsi="宋体" w:cs="宋体"/>
          <w:sz w:val="24"/>
          <w:highlight w:val="none"/>
        </w:rPr>
        <w:t>）通过验收之日起开始对使用业务计收月使用费。</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第五条终止业务服务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5.1甲方终止使用业务，应提前三十日以书面形式通知乙方。终止服务时间以甲方向乙方发出的终止服务通知载明的时间为准，但最短不少于乙方收到甲方终止服务通知后的三十日。如果甲方的终止服务通知中载明的时间少于三十日，则终止服务时间为乙方收到甲方终止服务通知的第三十一日。</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第六条 费用及支付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6.1甲方使用业务的相关费用包括月使用费。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（费用或资费标准见合同第二条约定，相关费用为含税价。）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6.2甲方使用业务产生的本合同费用，以 [银行转账](银行转账、银行托收或现金支付)向乙方支付。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甲乙双方银行账户信息和纳税人信息如下：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甲方：重庆三峡银行股份有限公司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开户行：[重庆三峡银行股份有限公司营业部]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银行地址：[重庆市渝北区嘉州路88号中渝国际都会4号写字楼]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户名：[</w:t>
      </w:r>
      <w:r>
        <w:rPr>
          <w:rFonts w:hint="eastAsia" w:ascii="宋体" w:hAnsi="宋体" w:cs="宋体"/>
          <w:kern w:val="0"/>
          <w:sz w:val="24"/>
          <w:highlight w:val="none"/>
        </w:rPr>
        <w:t>重庆三峡银行股份有限公司</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账号：[</w:t>
      </w:r>
      <w:r>
        <w:rPr>
          <w:rFonts w:hint="eastAsia" w:ascii="宋体" w:hAnsi="宋体" w:cs="宋体"/>
          <w:kern w:val="0"/>
          <w:sz w:val="24"/>
          <w:highlight w:val="none"/>
        </w:rPr>
        <w:t>0101014040000043</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统一社会信用代码：[</w:t>
      </w:r>
      <w:r>
        <w:rPr>
          <w:rFonts w:hint="eastAsia" w:ascii="宋体" w:hAnsi="宋体" w:cs="宋体"/>
          <w:kern w:val="0"/>
          <w:sz w:val="24"/>
          <w:highlight w:val="none"/>
        </w:rPr>
        <w:t>915001017116939742</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开户行：[]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户名：[]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账号：[]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统一社会信用代码：[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地址：[]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6.3 月使用费：</w:t>
      </w:r>
      <w:r>
        <w:rPr>
          <w:rFonts w:hint="eastAsia" w:ascii="宋体" w:hAnsi="宋体" w:cs="宋体"/>
          <w:kern w:val="0"/>
          <w:sz w:val="24"/>
          <w:highlight w:val="none"/>
        </w:rPr>
        <w:t>按月结算，甲方当月先行使用，次月收到</w:t>
      </w:r>
      <w:r>
        <w:rPr>
          <w:rFonts w:hint="eastAsia" w:ascii="宋体" w:hAnsi="宋体" w:cs="宋体"/>
          <w:sz w:val="24"/>
          <w:highlight w:val="none"/>
        </w:rPr>
        <w:t>乙方开具的合格增值税（税率为_%）专用发票20个工作日内，向乙方缴纳当月月使用费。本合同约定的价格为含税价格，在合同履行期间，不因国家税率的调整而调整。</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第七条通信和服务质量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7.1双方承诺严格遵守《中华人民共和国电信条例》等国家有关法律法规履行本合同，维护双方权益。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7.2乙方按国家主管部门颁布的电信服务标准和电路质量要求提供服务，保证使用的业务畅通。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7.3若本合同履行期间，国家颁布新的法律法规和服务标准，则自新的法律法规和服务标准生效之日起按照新的法律法规和服务标准执行。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7.4故障申告采取“就近申告、首问负责”的原则。甲方向乙方下属机构就近申告，乙方下属机构实行“首问负责制”，向甲方提供及时的服务，负责故障的处理。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7.5由于甲方自备设备故障或甲方操作不当造成的故障，甲方自行承担责任，并赔偿乙方由此遭受的损失。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7.6因乙方施工、网络割接等原因影响租用电路的正常使用的，乙方应当提前通知甲方并经甲方同意，同时乙方应尽快消除故障、恢复通信线路。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7.7因乙方原因引起的网络中断，连续中断4小时或当月累计中断6小时，减免该点位月使用费的50%；连续中断6小时或当月累计中断8小时，减免该点位月使用费的100%。如乙方因国防需要、政府指令、网络维护、网络调整、网络安全等因素在网络上对服务进行更改或变动，乙方应当提前通知甲方，甲方应予配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7.8双方同意建立协商制度，加强日常沟通，及时处理影响通信质量的问题。</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第八条保密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8.1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8.2如甲方对重要数据有特别保密要求的，需甲方自行将数据进行加密或脱密等处理后交予乙方，乙方对未经甲方加密/脱密等处理的重要数据不承担相关法律责任。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50"/>
        <w:textAlignment w:val="auto"/>
        <w:rPr>
          <w:rFonts w:hint="eastAsia" w:ascii="宋体" w:hAnsi="宋体" w:cs="宋体"/>
          <w:bCs/>
          <w:sz w:val="24"/>
          <w:highlight w:val="none"/>
        </w:rPr>
      </w:pPr>
      <w:r>
        <w:rPr>
          <w:rFonts w:hint="eastAsia" w:ascii="宋体" w:hAnsi="宋体" w:cs="宋体"/>
          <w:bCs/>
          <w:sz w:val="24"/>
          <w:highlight w:val="none"/>
        </w:rPr>
        <w:t>乙方不得以甲方名义开展活动，不得将甲方数据、信息以任何形式转移、挪用或谋取合同约定以外的利益。</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50"/>
        <w:textAlignment w:val="auto"/>
        <w:rPr>
          <w:rFonts w:hint="eastAsia" w:ascii="宋体" w:hAnsi="宋体" w:cs="宋体"/>
          <w:bCs/>
          <w:sz w:val="24"/>
          <w:highlight w:val="none"/>
        </w:rPr>
      </w:pPr>
      <w:r>
        <w:rPr>
          <w:rFonts w:hint="eastAsia" w:ascii="宋体" w:hAnsi="宋体" w:cs="宋体"/>
          <w:bCs/>
          <w:sz w:val="24"/>
          <w:highlight w:val="none"/>
        </w:rPr>
        <w:t>乙方知道违反本条规定将给甲方客户权利以及甲方造成难以弥补的损失，为此同意承担由此产生的经济上和法律上的责任和损失。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除非甲方特别声明，乙方对于保密信息的保密义务为无限期保密，直至甲方宣布解密或者保密信息实际上已经公开。</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50"/>
        <w:textAlignment w:val="auto"/>
        <w:rPr>
          <w:rFonts w:hint="eastAsia" w:ascii="宋体" w:hAnsi="宋体" w:cs="宋体"/>
          <w:bCs/>
          <w:sz w:val="24"/>
          <w:highlight w:val="none"/>
        </w:rPr>
      </w:pPr>
      <w:r>
        <w:rPr>
          <w:rFonts w:hint="eastAsia" w:ascii="宋体" w:hAnsi="宋体" w:cs="宋体"/>
          <w:bCs/>
          <w:sz w:val="24"/>
          <w:highlight w:val="none"/>
        </w:rPr>
        <w:t>本合同项下乙方人员行为视为乙方行为，乙方应承担全部责任及损失。当客户信息不安全或客户权利受到重大不利影响时，甲方有权随时终止合同。</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第九条违约责任</w:t>
      </w:r>
    </w:p>
    <w:p>
      <w:pPr>
        <w:keepNext w:val="0"/>
        <w:keepLines w:val="0"/>
        <w:pageBreakBefore w:val="0"/>
        <w:widowControl w:val="0"/>
        <w:kinsoku/>
        <w:wordWrap/>
        <w:overflowPunct/>
        <w:topLinePunct w:val="0"/>
        <w:autoSpaceDE/>
        <w:autoSpaceDN/>
        <w:bidi w:val="0"/>
        <w:spacing w:line="600" w:lineRule="exact"/>
        <w:ind w:left="0" w:firstLine="480" w:firstLineChars="200"/>
        <w:textAlignment w:val="auto"/>
        <w:rPr>
          <w:rFonts w:hint="eastAsia" w:ascii="宋体" w:hAnsi="宋体" w:cs="宋体"/>
          <w:sz w:val="24"/>
          <w:highlight w:val="none"/>
        </w:rPr>
      </w:pPr>
      <w:r>
        <w:rPr>
          <w:rFonts w:hint="eastAsia" w:ascii="宋体" w:hAnsi="宋体" w:cs="宋体"/>
          <w:sz w:val="24"/>
          <w:highlight w:val="none"/>
        </w:rPr>
        <w:t>9.1甲方使用本业务违反本合同约定的，包括但不限于在本合同签订时不具备开展业务所需的全部资质许可、未履行相关手续，或在服务期限内丧失全部或部分资质许可的，将通信服务以转让或其他任何方式提供给第三方的，将通信服务用于本合同约定用途以外的其他用途，以及实施了任何违反国家法律法规的行为，乙方有权立即终止本合同。</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9.2 在满足开通条件的情况下，如因乙方原因不能在本合同规定的开通时限内开通使用本业务，则每逾期一个工作日乙方应向甲方赔付所收取的</w:t>
      </w:r>
      <w:r>
        <w:rPr>
          <w:rFonts w:hint="eastAsia" w:ascii="宋体" w:hAnsi="宋体" w:cs="宋体"/>
          <w:kern w:val="0"/>
          <w:sz w:val="24"/>
          <w:highlight w:val="none"/>
        </w:rPr>
        <w:t>首月月使用费</w:t>
      </w:r>
      <w:r>
        <w:rPr>
          <w:rFonts w:hint="eastAsia" w:ascii="宋体" w:hAnsi="宋体" w:cs="宋体"/>
          <w:sz w:val="24"/>
          <w:highlight w:val="none"/>
        </w:rPr>
        <w:t>的百分之一作为违约金，并在首月月使用费中直接抵扣扣除，赔付金额最多不超过首月月使用费。如逾期[ 30 ]日仍不能开通，则甲方有权解除合同。</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9.3甲、乙双方网络设备更换或升级时，应提前十五日通知对方，以便作好相应配合，保证双方网络的正常运行，若因未提前告知造成对方损失的，应对对方进行赔偿。</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9.4乙方承诺其为甲方提供的产品及服务等，不得侵犯任何方知识产权及其他合法权益，因乙方提供的产品或服务导致甲方受到有关侵犯其专利权、商标权或著作权等知识产权的指控，由乙方负责与第三方交涉并承担一切法律责任与因此产生的所有费用。甲方因此而遭受损失的由乙方承担。</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9.5乙方未按合同规定履行服务项目，甲方有权解除或终止合同，并有权要求乙方承担因此给甲方造成的损失。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9.6因乙方服务质量问题使甲方遭受损失的，乙方应赔偿甲方的全部损失。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9.7任何一方有破产、解散、重整、停止营业或其它严重影响债信之情事发生时，他方可终止本合同，但终止时已发生之债权债务关系不受影响。</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9.8本合同项下乙方应支付的赔偿、违约金、损失等，甲方均有权从任意一笔应支付给乙方的费用中优先扣除，如有不足，乙方应另行筹措资金补足。</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第十条法律适用和争议解决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10.1本合同适用中华人民共和国法律。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10.2所有因本合同引起的或与本合同有关的任何争议将通过双方友好协商解决。如果双方不能通过友好协商解决争议，则任何一方均可采取下述第（1）种争议解决方式：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（1）将该争议提交[ 重庆 ]仲裁委员会，按照申请仲裁时该会的仲裁规则进行仲裁。仲裁在[重庆]进行。仲裁语言为中文。仲裁裁决是终局的，对双方均有约束力。仲裁费用由败诉方承担。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（2）向[/]有管辖权的人民法院起诉。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10.3仲裁或诉讼进行过程中，双方将继续履行本合同未涉仲裁或诉讼的其他部分。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第十一条不可抗力及免责</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sz w:val="24"/>
          <w:szCs w:val="24"/>
          <w:highlight w:val="none"/>
        </w:rPr>
      </w:pPr>
      <w:r>
        <w:rPr>
          <w:rFonts w:hint="eastAsia" w:hAnsi="宋体" w:cs="宋体"/>
          <w:sz w:val="24"/>
          <w:highlight w:val="none"/>
        </w:rPr>
        <w:t>11.1如由于战争、骚乱、恐怖主义、自然灾害、国家法律法规或规章变动、网络安全、网络无法覆盖、停电、通信线路被人为破坏，导致甲乙双方或一方不能履行或不能完全履行本合同项下有关义务时，受影响方不承担违约责任，但应尽快书面通知对方。发生不可抗力的一方应立即通知对方，并在十五天内提供不可抗力的详情及将有关证明文件送交对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11.2发生不可抗力事件时，甲乙双方应协商以寻找一个合理的解决方法，并尽一切努力减轻不可抗力产生的后果。</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kern w:val="2"/>
          <w:sz w:val="24"/>
          <w:szCs w:val="21"/>
          <w:highlight w:val="none"/>
        </w:rPr>
      </w:pPr>
      <w:r>
        <w:rPr>
          <w:rFonts w:hint="eastAsia" w:hAnsi="宋体" w:cs="宋体"/>
          <w:kern w:val="2"/>
          <w:sz w:val="24"/>
          <w:szCs w:val="21"/>
          <w:highlight w:val="none"/>
        </w:rPr>
        <w:t>11.3如不可抗力事件持续三十天时，甲乙双方应友好协商解决本合同是否继续履行或终止的问题。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11.4在影响消除后的合理时间内，一方或双方应当继续履行合同。如因此导致合同不能或者没有必要继续履行的，本合同可由一方解除。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11.5如政府管理部门提出要求的，乙方将暂停或终止提供相应服务，且不承担任何责任。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第十二条服务期限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12.1本合同确定的服务期为[36 ]个月，自本业务验收通过之日起计算。</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第十三条合同生效及其他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13.1本合同自甲乙双方盖章之日起生效。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13.2本合同一式[肆]份，甲方执[贰]份，乙方执[贰]份，具有同等法律效力。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13.3如果本合同的任何条款在任何时候变成不合法、无效或不可强制执行而不从根本上影响本合同的效力时，本合同的其他条款不受影响。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13.4除本合同另有约定外，未经甲乙双方书面确认，任何一方不得自行变更或修改本合同。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13.5本合同各条标题仅为提示之用，应以条文内容确定各方的权利义务。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13.6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13.7本合同的任何内容不应被视为或解释为双方之间具有合资、合伙、代理关系。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13.8本合同替代此前双方所有关于本合同事项的口头或书面的纪要、备忘录、合同和协议等法律文件。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13.9甲乙双方因履行本合同或与本合同有关的一切通知都必须按照本合同中的地址，以书面信函或者传真或者电子邮件方式进行。其中：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13.9.1除本合同另有约定外，有关下述任一事项的通知，均应当采用书面信函形式作出，否则，该通知无效，不产生本合同项下的任何通知效力：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（1）与本合同费用及支付事宜有关的通知；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（2）与本合同违约事宜有关的通知；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（3）与本合同终止、解除或变更事宜有关的通知；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（4）与本合同延续/续展有关的通知；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（5）[/]。</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13.9.2本合同约定的各种通知方式的送达标准如下：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（1）如采用书面信函形式，应当使用挂号信或者具有良好信誉的特快专递送达，接受方签收挂号信或特快专递的时间（以邮局或快递公司系统记录为准）为通知送达时间；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（2）如采用传真方式，传真到达接受方指定传真系统的时间为通知送达时间；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（3）如采用电子邮件方式，电子邮件到达接受方指定电子邮箱的时间为通知送达时间。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上述任何信息发生变更的，变更方应及时以书面形式通知另一方，未及时通知并影响本合同履行或造成损失的，应承担相应的责任。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13.10履行合同而发生的一切安全保障责任、人身伤亡事故及造成的经济损失由乙方承担赔偿责任。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13.11双方同意，附件为本合同不可分割的部分。若附件与合同正文有任何冲突，以合同正文为准。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13.12本项目</w:t>
      </w:r>
      <w:r>
        <w:rPr>
          <w:rFonts w:hint="eastAsia" w:ascii="宋体" w:hAnsi="宋体" w:cs="宋体"/>
          <w:sz w:val="24"/>
          <w:highlight w:val="none"/>
          <w:lang w:val="en-US" w:eastAsia="zh-CN"/>
        </w:rPr>
        <w:t>比选文件及参选</w:t>
      </w:r>
      <w:r>
        <w:rPr>
          <w:rFonts w:hint="eastAsia" w:ascii="宋体" w:hAnsi="宋体" w:cs="宋体"/>
          <w:sz w:val="24"/>
          <w:highlight w:val="none"/>
        </w:rPr>
        <w:t>文件为合同重要组成部分，本合同未涉及的按</w:t>
      </w:r>
      <w:r>
        <w:rPr>
          <w:rFonts w:hint="eastAsia" w:ascii="宋体" w:hAnsi="宋体" w:cs="宋体"/>
          <w:sz w:val="24"/>
          <w:highlight w:val="none"/>
          <w:lang w:val="en-US" w:eastAsia="zh-CN"/>
        </w:rPr>
        <w:t>比选文件及参选</w:t>
      </w:r>
      <w:r>
        <w:rPr>
          <w:rFonts w:hint="eastAsia" w:ascii="宋体" w:hAnsi="宋体" w:cs="宋体"/>
          <w:sz w:val="24"/>
          <w:highlight w:val="none"/>
        </w:rPr>
        <w:t>文件执行。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本合同附件为：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附件一：重庆三峡银行全行互联网WiFi接入模式优化项目建设需求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附件二：重庆三峡银行全行互联网WiFi接入模式优化项目验收报告</w:t>
      </w:r>
    </w:p>
    <w:p>
      <w:pPr>
        <w:spacing w:line="360" w:lineRule="exact"/>
        <w:ind w:firstLine="480" w:firstLineChars="200"/>
        <w:rPr>
          <w:rFonts w:hint="eastAsia" w:ascii="宋体" w:hAnsi="宋体" w:cs="宋体"/>
          <w:sz w:val="24"/>
          <w:highlight w:val="none"/>
        </w:rPr>
      </w:pPr>
    </w:p>
    <w:p>
      <w:pPr>
        <w:spacing w:line="360" w:lineRule="exact"/>
        <w:ind w:firstLine="480" w:firstLineChars="200"/>
        <w:rPr>
          <w:rFonts w:hint="eastAsia" w:ascii="宋体" w:hAnsi="宋体" w:cs="宋体"/>
          <w:sz w:val="24"/>
          <w:highlight w:val="none"/>
        </w:rPr>
      </w:pPr>
    </w:p>
    <w:p>
      <w:pPr>
        <w:spacing w:line="360" w:lineRule="exact"/>
        <w:rPr>
          <w:rFonts w:hint="eastAsia" w:ascii="宋体" w:hAnsi="宋体" w:cs="宋体"/>
          <w:sz w:val="24"/>
          <w:highlight w:val="none"/>
        </w:rPr>
      </w:pPr>
      <w:r>
        <w:rPr>
          <w:rFonts w:hint="eastAsia" w:ascii="宋体" w:hAnsi="宋体" w:cs="宋体"/>
          <w:color w:val="000000"/>
          <w:sz w:val="24"/>
          <w:highlight w:val="none"/>
        </w:rPr>
        <w:t>甲方：</w:t>
      </w:r>
      <w:r>
        <w:rPr>
          <w:rFonts w:hint="eastAsia" w:ascii="宋体" w:hAnsi="宋体" w:cs="宋体"/>
          <w:sz w:val="24"/>
          <w:highlight w:val="none"/>
        </w:rPr>
        <w:t>重庆三峡银行股份有限公司</w:t>
      </w:r>
    </w:p>
    <w:p>
      <w:pPr>
        <w:spacing w:line="360" w:lineRule="exact"/>
        <w:rPr>
          <w:rFonts w:hint="eastAsia" w:ascii="宋体" w:hAnsi="宋体" w:cs="宋体"/>
          <w:sz w:val="24"/>
          <w:highlight w:val="none"/>
        </w:rPr>
      </w:pPr>
      <w:r>
        <w:rPr>
          <w:rFonts w:hint="eastAsia" w:ascii="宋体" w:hAnsi="宋体" w:cs="宋体"/>
          <w:sz w:val="24"/>
          <w:highlight w:val="none"/>
        </w:rPr>
        <w:t>[  ]年[  ]月[  ]日</w:t>
      </w:r>
    </w:p>
    <w:p>
      <w:pPr>
        <w:spacing w:line="360" w:lineRule="exact"/>
        <w:rPr>
          <w:rFonts w:hint="eastAsia" w:ascii="宋体" w:hAnsi="宋体" w:cs="宋体"/>
          <w:sz w:val="24"/>
          <w:highlight w:val="none"/>
        </w:rPr>
      </w:pPr>
    </w:p>
    <w:p>
      <w:pPr>
        <w:spacing w:line="360" w:lineRule="exact"/>
        <w:rPr>
          <w:rFonts w:hint="eastAsia" w:ascii="宋体" w:hAnsi="宋体" w:cs="宋体"/>
          <w:sz w:val="24"/>
          <w:highlight w:val="none"/>
        </w:rPr>
      </w:pPr>
      <w:r>
        <w:rPr>
          <w:rFonts w:hint="eastAsia" w:ascii="宋体" w:hAnsi="宋体" w:cs="宋体"/>
          <w:sz w:val="24"/>
          <w:highlight w:val="none"/>
        </w:rPr>
        <w:t>乙方：</w:t>
      </w:r>
    </w:p>
    <w:p>
      <w:pPr>
        <w:spacing w:line="360" w:lineRule="exact"/>
        <w:rPr>
          <w:rFonts w:hint="eastAsia" w:ascii="宋体" w:hAnsi="宋体" w:cs="宋体"/>
          <w:sz w:val="24"/>
          <w:highlight w:val="none"/>
        </w:rPr>
      </w:pPr>
      <w:r>
        <w:rPr>
          <w:rFonts w:hint="eastAsia" w:ascii="宋体" w:hAnsi="宋体" w:cs="宋体"/>
          <w:sz w:val="24"/>
          <w:highlight w:val="none"/>
        </w:rPr>
        <w:t>[  ]年[  ]月[  ]日</w:t>
      </w:r>
    </w:p>
    <w:p>
      <w:pPr>
        <w:spacing w:line="360" w:lineRule="exact"/>
        <w:rPr>
          <w:rFonts w:hint="eastAsia" w:ascii="宋体" w:hAnsi="宋体" w:cs="宋体"/>
          <w:b/>
          <w:bCs/>
          <w:sz w:val="24"/>
          <w:highlight w:val="none"/>
        </w:rPr>
      </w:pPr>
      <w:r>
        <w:rPr>
          <w:rFonts w:hint="eastAsia" w:ascii="宋体" w:hAnsi="宋体" w:cs="宋体"/>
          <w:sz w:val="24"/>
          <w:szCs w:val="20"/>
          <w:highlight w:val="none"/>
        </w:rPr>
        <w:br w:type="page"/>
      </w:r>
      <w:r>
        <w:rPr>
          <w:rFonts w:hint="eastAsia" w:ascii="宋体" w:hAnsi="宋体" w:cs="宋体"/>
          <w:b/>
          <w:bCs/>
          <w:sz w:val="24"/>
          <w:highlight w:val="none"/>
        </w:rPr>
        <w:t>附件一：</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cs="宋体"/>
          <w:b/>
          <w:bCs/>
          <w:sz w:val="24"/>
          <w:highlight w:val="none"/>
        </w:rPr>
      </w:pPr>
      <w:r>
        <w:rPr>
          <w:rFonts w:hint="eastAsia" w:ascii="宋体" w:hAnsi="宋体" w:cs="宋体"/>
          <w:b/>
          <w:bCs/>
          <w:sz w:val="24"/>
          <w:highlight w:val="none"/>
        </w:rPr>
        <w:t>重庆三峡银行全行互联网WiFi接入模式优化项目建设需求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napToGrid w:val="0"/>
          <w:sz w:val="24"/>
          <w:highlight w:val="none"/>
        </w:rPr>
      </w:pPr>
      <w:bookmarkStart w:id="77" w:name="OLE_LINK9"/>
      <w:r>
        <w:rPr>
          <w:rFonts w:hint="eastAsia" w:ascii="宋体" w:hAnsi="宋体" w:cs="宋体"/>
          <w:snapToGrid w:val="0"/>
          <w:sz w:val="24"/>
          <w:highlight w:val="none"/>
        </w:rPr>
        <w:t>乙方须保证所提供的服务至少能达到下列相关指标要求，在不影响应用运行及改变系统架构前提下，能平滑过渡升级满足未来3至5年的需求，并需在服务期限内提供本项目涉及软硬件的原厂维保服务及7*24*4原厂响应服务。</w:t>
      </w:r>
    </w:p>
    <w:tbl>
      <w:tblPr>
        <w:tblStyle w:val="19"/>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4"/>
        <w:gridCol w:w="7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354"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指标项</w:t>
            </w:r>
          </w:p>
        </w:tc>
        <w:tc>
          <w:tcPr>
            <w:tcW w:w="7811"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restart"/>
            <w:tcBorders>
              <w:top w:val="nil"/>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网络接入需求</w:t>
            </w:r>
          </w:p>
        </w:tc>
        <w:tc>
          <w:tcPr>
            <w:tcW w:w="7811" w:type="dxa"/>
            <w:tcBorders>
              <w:top w:val="nil"/>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★信号覆盖总行及分支机构办公区与网点大厅，采用WiFi6标准协议。分支机构VPN接入总行后通过总行互联网专线统一出口。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★合理部署AP及其信号覆盖，AP可自动调整其功率及频谱，在单台AP出现故障的情况下，可由其他AP补偿信号覆盖，确保无线网络可正常运行、用户终端接入和使用不受影响。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互联网会话的一致性和连续性，用户在物理位置移动过程中（含同楼层、跨楼层的移动），视频会议、互联网登录状态不掉线，用户使用WiFi过程流畅。跨支行网点移动能够实现漫游功能，互联网登录状态不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★中心机房的统一出口采用上下行对称的6G互联网专线，并分配</w:t>
            </w:r>
            <w:r>
              <w:rPr>
                <w:rFonts w:hint="eastAsia" w:ascii="宋体" w:hAnsi="宋体" w:eastAsia="宋体" w:cs="宋体"/>
                <w:color w:val="000000" w:themeColor="text1"/>
                <w:sz w:val="21"/>
                <w:szCs w:val="21"/>
                <w:highlight w:val="none"/>
                <w:lang w:eastAsia="zh-CN"/>
                <w14:textFill>
                  <w14:solidFill>
                    <w14:schemeClr w14:val="tx1"/>
                  </w14:solidFill>
                </w14:textFill>
              </w:rPr>
              <w:t>充足的</w:t>
            </w:r>
            <w:r>
              <w:rPr>
                <w:rFonts w:hint="eastAsia" w:ascii="宋体" w:hAnsi="宋体" w:eastAsia="宋体" w:cs="宋体"/>
                <w:color w:val="000000" w:themeColor="text1"/>
                <w:sz w:val="21"/>
                <w:szCs w:val="21"/>
                <w:highlight w:val="none"/>
                <w14:textFill>
                  <w14:solidFill>
                    <w14:schemeClr w14:val="tx1"/>
                  </w14:solidFill>
                </w14:textFill>
              </w:rPr>
              <w:t>固定公网IP</w:t>
            </w:r>
            <w:r>
              <w:rPr>
                <w:rFonts w:hint="eastAsia" w:ascii="宋体" w:hAnsi="宋体" w:eastAsia="宋体" w:cs="宋体"/>
                <w:color w:val="000000" w:themeColor="text1"/>
                <w:sz w:val="21"/>
                <w:szCs w:val="21"/>
                <w:highlight w:val="none"/>
                <w:lang w:eastAsia="zh-CN"/>
                <w14:textFill>
                  <w14:solidFill>
                    <w14:schemeClr w14:val="tx1"/>
                  </w14:solidFill>
                </w14:textFill>
              </w:rPr>
              <w:t>（满足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8000个终端并发同时上网的需求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，该专线具备双路由保护。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★分支机构联网出口根据实际需求采用200M（下行200M，上行不低于30M）、500M（下行500M，上行不低于50M）两种规格的互联网宽带。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网络基础设施（</w:t>
            </w:r>
            <w:r>
              <w:rPr>
                <w:rFonts w:hint="eastAsia" w:ascii="宋体" w:hAnsi="宋体" w:eastAsia="宋体" w:cs="宋体"/>
                <w:color w:val="000000" w:themeColor="text1"/>
                <w:sz w:val="21"/>
                <w:szCs w:val="21"/>
                <w:highlight w:val="none"/>
                <w:lang w:val="en-US"/>
                <w14:textFill>
                  <w14:solidFill>
                    <w14:schemeClr w14:val="tx1"/>
                  </w14:solidFill>
                </w14:textFill>
              </w:rPr>
              <w:t>至少包括</w:t>
            </w:r>
            <w:r>
              <w:rPr>
                <w:rFonts w:hint="eastAsia" w:ascii="宋体" w:hAnsi="宋体" w:eastAsia="宋体" w:cs="宋体"/>
                <w:color w:val="000000" w:themeColor="text1"/>
                <w:sz w:val="21"/>
                <w:szCs w:val="21"/>
                <w:highlight w:val="none"/>
                <w14:textFill>
                  <w14:solidFill>
                    <w14:schemeClr w14:val="tx1"/>
                  </w14:solidFill>
                </w14:textFill>
              </w:rPr>
              <w:t>核心路由器、核心交换机，</w:t>
            </w:r>
            <w:r>
              <w:rPr>
                <w:rFonts w:hint="eastAsia" w:ascii="宋体" w:hAnsi="宋体" w:eastAsia="宋体" w:cs="宋体"/>
                <w:color w:val="000000" w:themeColor="text1"/>
                <w:sz w:val="21"/>
                <w:szCs w:val="21"/>
                <w:highlight w:val="none"/>
                <w:lang w:val="en-US"/>
                <w14:textFill>
                  <w14:solidFill>
                    <w14:schemeClr w14:val="tx1"/>
                  </w14:solidFill>
                </w14:textFill>
              </w:rPr>
              <w:t>核心防火墙等</w:t>
            </w:r>
            <w:r>
              <w:rPr>
                <w:rFonts w:hint="eastAsia" w:ascii="宋体" w:hAnsi="宋体" w:eastAsia="宋体" w:cs="宋体"/>
                <w:color w:val="000000" w:themeColor="text1"/>
                <w:sz w:val="21"/>
                <w:szCs w:val="21"/>
                <w:highlight w:val="none"/>
                <w14:textFill>
                  <w14:solidFill>
                    <w14:schemeClr w14:val="tx1"/>
                  </w14:solidFill>
                </w14:textFill>
              </w:rPr>
              <w:t>）成熟可靠，采用国产化芯片制造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提供国家权威机构出具的检测报告复印件加盖制造商公章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取得公安部销售许可证/工信部入网许可证不低于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年，以首次</w:t>
            </w:r>
            <w:r>
              <w:rPr>
                <w:rFonts w:hint="eastAsia" w:ascii="宋体" w:hAnsi="宋体" w:eastAsia="宋体" w:cs="宋体"/>
                <w:color w:val="000000" w:themeColor="text1"/>
                <w:sz w:val="21"/>
                <w:szCs w:val="21"/>
                <w:highlight w:val="none"/>
                <w:lang w:val="en-US"/>
                <w14:textFill>
                  <w14:solidFill>
                    <w14:schemeClr w14:val="tx1"/>
                  </w14:solidFill>
                </w14:textFill>
              </w:rPr>
              <w:t>获取许可</w:t>
            </w:r>
            <w:r>
              <w:rPr>
                <w:rFonts w:hint="eastAsia" w:ascii="宋体" w:hAnsi="宋体" w:eastAsia="宋体" w:cs="宋体"/>
                <w:color w:val="000000" w:themeColor="text1"/>
                <w:sz w:val="21"/>
                <w:szCs w:val="21"/>
                <w:highlight w:val="none"/>
                <w14:textFill>
                  <w14:solidFill>
                    <w14:schemeClr w14:val="tx1"/>
                  </w14:solidFill>
                </w14:textFill>
              </w:rPr>
              <w:t>时间为准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val="en-US"/>
                <w14:textFill>
                  <w14:solidFill>
                    <w14:schemeClr w14:val="tx1"/>
                  </w14:solidFill>
                </w14:textFill>
              </w:rPr>
              <w:t>公安部销售许可证/工信部入网许可证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★本项目涉及的所有网络设备均支持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IPv4、</w:t>
            </w:r>
            <w:r>
              <w:rPr>
                <w:rFonts w:hint="eastAsia" w:ascii="宋体" w:hAnsi="宋体" w:eastAsia="宋体" w:cs="宋体"/>
                <w:color w:val="000000" w:themeColor="text1"/>
                <w:sz w:val="21"/>
                <w:szCs w:val="21"/>
                <w:highlight w:val="none"/>
                <w14:textFill>
                  <w14:solidFill>
                    <w14:schemeClr w14:val="tx1"/>
                  </w14:solidFill>
                </w14:textFill>
              </w:rPr>
              <w:t>IPv6</w:t>
            </w:r>
            <w:r>
              <w:rPr>
                <w:rFonts w:hint="eastAsia" w:ascii="宋体" w:hAnsi="宋体" w:eastAsia="宋体" w:cs="宋体"/>
                <w:color w:val="000000" w:themeColor="text1"/>
                <w:sz w:val="21"/>
                <w:szCs w:val="21"/>
                <w:highlight w:val="none"/>
                <w:lang w:eastAsia="zh-CN"/>
                <w14:textFill>
                  <w14:solidFill>
                    <w14:schemeClr w14:val="tx1"/>
                  </w14:solidFill>
                </w14:textFill>
              </w:rPr>
              <w:t>双栈协议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总行新牌坊办公楼及西永办公楼能够双栈接入，并</w:t>
            </w:r>
            <w:r>
              <w:rPr>
                <w:rFonts w:hint="eastAsia" w:ascii="宋体" w:hAnsi="宋体" w:eastAsia="宋体" w:cs="宋体"/>
                <w:color w:val="000000" w:themeColor="text1"/>
                <w:sz w:val="21"/>
                <w:szCs w:val="21"/>
                <w:highlight w:val="none"/>
                <w14:textFill>
                  <w14:solidFill>
                    <w14:schemeClr w14:val="tx1"/>
                  </w14:solidFill>
                </w14:textFill>
              </w:rPr>
              <w:t>满足后续不增加任何费用成本的情况下完成</w:t>
            </w:r>
            <w:r>
              <w:rPr>
                <w:rFonts w:hint="eastAsia" w:ascii="宋体" w:hAnsi="宋体" w:eastAsia="宋体" w:cs="宋体"/>
                <w:color w:val="000000" w:themeColor="text1"/>
                <w:sz w:val="21"/>
                <w:szCs w:val="21"/>
                <w:highlight w:val="none"/>
                <w:lang w:eastAsia="zh-CN"/>
                <w14:textFill>
                  <w14:solidFill>
                    <w14:schemeClr w14:val="tx1"/>
                  </w14:solidFill>
                </w14:textFill>
              </w:rPr>
              <w:t>全行所有接入点由</w:t>
            </w:r>
            <w:r>
              <w:rPr>
                <w:rFonts w:hint="eastAsia" w:ascii="宋体" w:hAnsi="宋体" w:eastAsia="宋体" w:cs="宋体"/>
                <w:color w:val="000000" w:themeColor="text1"/>
                <w:sz w:val="21"/>
                <w:szCs w:val="21"/>
                <w:highlight w:val="none"/>
                <w14:textFill>
                  <w14:solidFill>
                    <w14:schemeClr w14:val="tx1"/>
                  </w14:solidFill>
                </w14:textFill>
              </w:rPr>
              <w:t>IPv4环境至IPv6环境的切换。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★内部用户及外来访客访问互联网时，局域网内通讯须进行有效隔离,不可互访。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★能够实现基于二维码的网络终端接入，能够实现访客接入WiFi网络时的认证与管控，能够实现针对不同支行的访客推送定制化的广告信息功能。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合总行及分支机构环境结构给出AP部署最佳位置并出具方案，AP位置应考虑防盗、防掉落、防非法接入和美观等，具备较好的隐蔽性，同时提供网关设备至AP设备的物理网线铺设服务，铺设网线必须为六类非屏蔽双绞线，中心机房使用低损耗预端接光缆系统，在铺设完成后进行相应的隐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★单个AP支持3000</w:t>
            </w:r>
            <w:r>
              <w:rPr>
                <w:rFonts w:hint="eastAsia" w:ascii="宋体" w:hAnsi="宋体" w:eastAsia="宋体" w:cs="宋体"/>
                <w:color w:val="000000" w:themeColor="text1"/>
                <w:sz w:val="21"/>
                <w:szCs w:val="21"/>
                <w:highlight w:val="none"/>
                <w:lang w:val="en-US"/>
                <w14:textFill>
                  <w14:solidFill>
                    <w14:schemeClr w14:val="tx1"/>
                  </w14:solidFill>
                </w14:textFill>
              </w:rPr>
              <w:t>Mbps的接入速率</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，并支</w:t>
            </w:r>
            <w:r>
              <w:rPr>
                <w:rFonts w:hint="eastAsia" w:ascii="宋体" w:hAnsi="宋体" w:eastAsia="宋体" w:cs="宋体"/>
                <w:color w:val="000000" w:themeColor="text1"/>
                <w:sz w:val="21"/>
                <w:szCs w:val="21"/>
                <w:highlight w:val="none"/>
                <w14:textFill>
                  <w14:solidFill>
                    <w14:schemeClr w14:val="tx1"/>
                  </w14:solidFill>
                </w14:textFill>
              </w:rPr>
              <w:t>持不少于60个终端的接入；支持5G频段优先接入，支持终端机流量的负载均衡接入。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★在会议室、办公室等人员场所，并进行必要的网络信号覆盖优化。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354" w:type="dxa"/>
            <w:vMerge w:val="continue"/>
            <w:tcBorders>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★各支行单台POE设备LAN口数不少于16个，总行新牌坊办公楼、西永办公楼、万州分行办公楼单台POE设备LAN口数不少于24个。满足除无线AP接入外部分专用终端有线接入的需求。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1354" w:type="dxa"/>
            <w:vMerge w:val="restart"/>
            <w:tcBorders>
              <w:top w:val="single" w:color="auto" w:sz="4" w:space="0"/>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运维管理需求</w:t>
            </w: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涉及的网络设备以及相关软件须进行限源登录访问控制。同时网络设备以及相关软件的登录账户应采用用户名密码+动态令牌或短信验证码的双因子认证方式；具备登录账号防暴力破解手段，可设置账号登录尝试次数，一旦密码错误次数到达限制，直接锁定该登录账号；可设置密码复杂度策略，比如密码长度、复杂度、密码修改周期等策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周期性提供相关报表，内容包括但不限于针对主要网络设备的巡检报告、AP信号热图分布显示、无线资源使用情况（如通道利用率、相关AP利用率）、针对接入终端的使用时长、使用物理位置、使用数据量的统计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★能够实现AP、控制器、上网行为审计和互联网线路的高可用组网。</w:t>
            </w: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核心交换机、汇聚路由器、核心防火墙、无线控制器、上网行为管理等关键设备需具备双设备冗余。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★实现接入用户的角色管理（如专用设备、普通员工、访客等），根据接入账号和角色实现不同的网络接入和管控策略，能够根据不同的接入用户限制上网时长。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支持所有设备（包括网络设备、无线设备、安全设备）统一运维管理，包括拓扑管理、配置管理、性能管理、版本管理、告警管理等。支持批量对设备软件包进行更新，支持批量对设备配置进行备份和恢复。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354" w:type="dxa"/>
            <w:vMerge w:val="continue"/>
            <w:tcBorders>
              <w:top w:val="nil"/>
              <w:left w:val="single" w:color="auto" w:sz="4" w:space="0"/>
              <w:bottom w:val="nil"/>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★提供远程登录查看AP状态、线路质量、中断时长统计等多种报表的功能。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54" w:type="dxa"/>
            <w:vMerge w:val="continue"/>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对口故障报修联系人以及联系方式，同时组织固定技术团队为本行提供包括但不限于运维支持服务、日常运维管理和软硬件故障处置，协助相关部门开展网络行为溯源工作等。并提供1名总行驻场维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restart"/>
            <w:tcBorders>
              <w:top w:val="single" w:color="auto" w:sz="4" w:space="0"/>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安全防护要求</w:t>
            </w: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★对互联网用户访问涉黄、涉恐、涉毒、赌博以及反动网站的相关言论进行识别、拦截和记录，并对违规用户进行封禁。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★无线网络须接入上网行为审计，提供安全审计功能，满足实名认证上网、舆论有据溯源，审计内容至少存储6个月以上并发送至网监平台。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★可以设定不同管理账号及密码，达到分权设定与管理功能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★支持单一AP同时实现多个网络（如访客互联网、员工办公互联网）的部署，并实现这些网络的相互隔离和独立运行，支持行内用户SSID隐藏。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★支持同一AP、同一SSID、同一网段下的接入终端相互隔离。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★能够阻止或压制非法无线信号的传播，有效防止用户接入伪AP的无线信号。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★支持AP信号功率调整。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★WiFi信号支持WPA2/WPA3加密技术。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★支持基于SMTP\POP3\IMAP等邮件协议的审计功能，能够实现互联网邮件标题、正文、附件名等关键字过滤。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★内部员工登录方式支持用户名+密码和预设白名单电话+短信验证码，支持特殊专用终端通过绑定IP、MAC地址的方式进行接入。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支持安全事件分析，包括整网入侵防御事件、整网防病毒事件、整网攻击防御事件数量和趋势信息，能按不同时间段（当天、最近一周、最近一月、自定义）和不同区域设备进行统计和导出操作。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支持用户分析，包括每个用户的在线时长、流量、异常上网、终端类别分析，支持按不同时间段（当天、最近一周、最近一月、自定义）和不同区域设备进行统计和导出。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上网行为分析，包括视频应用分类、视频活跃用户TOP10、视频热门机构TOP10、视频应用访问趋势、购物应用分类、购物活跃用户TOP10、购物热门机构TOP10、购物应用访问趋势、网站访问分类、网站访问TOP10、网站活跃用户TOP10、网站访问趋势、域名访问 TOP10、域名访问趋势、域名访问用户 TOP10，支持按不同时间段（当天、最近一周、最近一月、自定义）和不同区域设备进行统计和导出。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提供证明文件并加盖制造商公章）</w:t>
            </w:r>
          </w:p>
        </w:tc>
      </w:tr>
      <w:bookmarkEnd w:id="7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组织机构、基于时间（日、周、月、季度、指定时间）输出，报告支持威胁概览、入侵防御分析、防病毒分析、攻击防御分析、威胁情报分析、挖矿与虚拟货币分析、异常域名分析、失陷主机分析、购物应用分析、视频应用分析、热门网站分析、域名分析、设备流量分析、应用流量分析、用户分析、共享用户上网分析、用户移动终端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54" w:type="dxa"/>
            <w:vMerge w:val="continue"/>
            <w:tcBorders>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支持将威胁事件通知至管理员，可选择短信或邮件的方式。</w:t>
            </w:r>
          </w:p>
        </w:tc>
      </w:tr>
    </w:tbl>
    <w:p>
      <w:pPr>
        <w:spacing w:line="360" w:lineRule="auto"/>
        <w:ind w:firstLine="480" w:firstLineChars="200"/>
        <w:rPr>
          <w:rFonts w:hint="eastAsia" w:ascii="宋体" w:hAnsi="宋体" w:cs="宋体"/>
          <w:sz w:val="24"/>
          <w:highlight w:val="none"/>
        </w:rPr>
      </w:pPr>
    </w:p>
    <w:p>
      <w:pP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附件二：验收报告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4"/>
          <w:szCs w:val="44"/>
          <w:highlight w:val="none"/>
          <w:lang w:bidi="ar-SA"/>
        </w:rPr>
      </w:pPr>
      <w:r>
        <w:rPr>
          <w:rFonts w:hint="eastAsia" w:ascii="宋体" w:hAnsi="宋体" w:cs="宋体"/>
          <w:sz w:val="44"/>
          <w:szCs w:val="44"/>
          <w:highlight w:val="none"/>
          <w:lang w:bidi="ar-SA"/>
        </w:rPr>
        <w:t>重庆三峡银行</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4"/>
          <w:szCs w:val="44"/>
          <w:highlight w:val="none"/>
          <w:lang w:bidi="ar-SA"/>
        </w:rPr>
      </w:pPr>
      <w:r>
        <w:rPr>
          <w:rFonts w:hint="eastAsia" w:ascii="宋体" w:hAnsi="宋体" w:cs="宋体"/>
          <w:sz w:val="44"/>
          <w:szCs w:val="44"/>
          <w:highlight w:val="none"/>
          <w:lang w:bidi="ar-SA"/>
        </w:rPr>
        <w:t>全行互联网WiFi接入模式优化项目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4"/>
          <w:szCs w:val="44"/>
          <w:highlight w:val="none"/>
          <w:lang w:bidi="ar-SA"/>
        </w:rPr>
      </w:pPr>
      <w:r>
        <w:rPr>
          <w:rFonts w:hint="eastAsia" w:ascii="宋体" w:hAnsi="宋体" w:cs="宋体"/>
          <w:sz w:val="44"/>
          <w:szCs w:val="44"/>
          <w:highlight w:val="none"/>
          <w:lang w:bidi="ar-SA"/>
        </w:rPr>
        <w:t>验收报告</w:t>
      </w:r>
    </w:p>
    <w:p>
      <w:pPr>
        <w:ind w:firstLine="7920" w:firstLineChars="3300"/>
        <w:rPr>
          <w:rFonts w:hint="eastAsia" w:ascii="宋体" w:hAnsi="宋体" w:cs="宋体"/>
          <w:highlight w:val="none"/>
          <w:lang w:bidi="ar-SA"/>
        </w:rPr>
      </w:pPr>
      <w:r>
        <w:rPr>
          <w:rFonts w:hint="eastAsia" w:ascii="宋体" w:hAnsi="宋体" w:cs="宋体"/>
          <w:highlight w:val="none"/>
          <w:lang w:bidi="ar-SA"/>
        </w:rPr>
        <w:t xml:space="preserve">  年      月      日</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94"/>
        <w:gridCol w:w="1079"/>
        <w:gridCol w:w="1193"/>
        <w:gridCol w:w="438"/>
        <w:gridCol w:w="1338"/>
        <w:gridCol w:w="331"/>
        <w:gridCol w:w="1289"/>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000" w:type="pct"/>
            <w:gridSpan w:val="8"/>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机构名称：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8"/>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地    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2" w:type="pct"/>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机构联系人：</w:t>
            </w:r>
          </w:p>
        </w:tc>
        <w:tc>
          <w:tcPr>
            <w:tcW w:w="1333" w:type="pct"/>
            <w:gridSpan w:val="2"/>
            <w:tcBorders>
              <w:left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1236" w:type="pct"/>
            <w:gridSpan w:val="3"/>
            <w:tcBorders>
              <w:left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机构联系人电话：</w:t>
            </w:r>
          </w:p>
        </w:tc>
        <w:tc>
          <w:tcPr>
            <w:tcW w:w="1317" w:type="pct"/>
            <w:gridSpan w:val="2"/>
            <w:tcBorders>
              <w:lef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2" w:type="pct"/>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建设单位：</w:t>
            </w:r>
          </w:p>
        </w:tc>
        <w:tc>
          <w:tcPr>
            <w:tcW w:w="1333" w:type="pct"/>
            <w:gridSpan w:val="2"/>
            <w:tcBorders>
              <w:left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1236" w:type="pct"/>
            <w:gridSpan w:val="3"/>
            <w:tcBorders>
              <w:left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开通交付时间：</w:t>
            </w:r>
          </w:p>
        </w:tc>
        <w:tc>
          <w:tcPr>
            <w:tcW w:w="1317" w:type="pct"/>
            <w:gridSpan w:val="2"/>
            <w:tcBorders>
              <w:lef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2" w:type="pct"/>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建设单位联系人：</w:t>
            </w:r>
          </w:p>
        </w:tc>
        <w:tc>
          <w:tcPr>
            <w:tcW w:w="1333" w:type="pct"/>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1236" w:type="pct"/>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建设单位联系人电话：</w:t>
            </w:r>
          </w:p>
        </w:tc>
        <w:tc>
          <w:tcPr>
            <w:tcW w:w="1317" w:type="pct"/>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1112" w:type="pct"/>
            <w:vMerge w:val="restart"/>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安装设备明细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633" w:type="pct"/>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设备名称</w:t>
            </w:r>
          </w:p>
        </w:tc>
        <w:tc>
          <w:tcPr>
            <w:tcW w:w="957" w:type="pct"/>
            <w:gridSpan w:val="2"/>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设备厂家及型号</w:t>
            </w:r>
          </w:p>
        </w:tc>
        <w:tc>
          <w:tcPr>
            <w:tcW w:w="785" w:type="pct"/>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设备序列号</w:t>
            </w:r>
          </w:p>
        </w:tc>
        <w:tc>
          <w:tcPr>
            <w:tcW w:w="950" w:type="pct"/>
            <w:gridSpan w:val="2"/>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设备MAC地址</w:t>
            </w:r>
          </w:p>
        </w:tc>
        <w:tc>
          <w:tcPr>
            <w:tcW w:w="560" w:type="pct"/>
            <w:tcBorders>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设备数量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1112" w:type="pct"/>
            <w:vMerge w:val="continue"/>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1112" w:type="pct"/>
            <w:vMerge w:val="continue"/>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1112" w:type="pct"/>
            <w:vMerge w:val="continue"/>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112" w:type="pct"/>
            <w:vMerge w:val="continue"/>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112" w:type="pct"/>
            <w:vMerge w:val="continue"/>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12" w:type="pct"/>
            <w:vMerge w:val="restart"/>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专用终端互联网接入登记</w:t>
            </w:r>
          </w:p>
        </w:tc>
        <w:tc>
          <w:tcPr>
            <w:tcW w:w="633" w:type="pct"/>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终端名</w:t>
            </w:r>
          </w:p>
        </w:tc>
        <w:tc>
          <w:tcPr>
            <w:tcW w:w="957" w:type="pct"/>
            <w:gridSpan w:val="2"/>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责任人</w:t>
            </w:r>
          </w:p>
        </w:tc>
        <w:tc>
          <w:tcPr>
            <w:tcW w:w="785" w:type="pct"/>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终端序列号</w:t>
            </w:r>
          </w:p>
        </w:tc>
        <w:tc>
          <w:tcPr>
            <w:tcW w:w="950" w:type="pct"/>
            <w:gridSpan w:val="2"/>
            <w:tcBorders>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网卡MAC地址</w:t>
            </w:r>
          </w:p>
        </w:tc>
        <w:tc>
          <w:tcPr>
            <w:tcW w:w="560" w:type="pct"/>
            <w:tcBorders>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接入方式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1112" w:type="pct"/>
            <w:vMerge w:val="continue"/>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112" w:type="pct"/>
            <w:vMerge w:val="continue"/>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1112" w:type="pct"/>
            <w:vMerge w:val="continue"/>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7"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785" w:type="pc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950" w:type="pct"/>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c>
          <w:tcPr>
            <w:tcW w:w="560" w:type="pct"/>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112" w:type="pct"/>
            <w:tcBorders>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接入线路类型及带宽</w:t>
            </w:r>
          </w:p>
        </w:tc>
        <w:tc>
          <w:tcPr>
            <w:tcW w:w="3887" w:type="pct"/>
            <w:gridSpan w:val="7"/>
            <w:tcBorders>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112" w:type="pct"/>
            <w:tcBorders>
              <w:top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是否满足使用需求</w:t>
            </w:r>
          </w:p>
        </w:tc>
        <w:tc>
          <w:tcPr>
            <w:tcW w:w="3887" w:type="pct"/>
            <w:gridSpan w:val="7"/>
            <w:tcBorders>
              <w:top w:val="single" w:color="auto" w:sz="4" w:space="0"/>
              <w:left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0" w:hRule="atLeast"/>
        </w:trPr>
        <w:tc>
          <w:tcPr>
            <w:tcW w:w="5000" w:type="pct"/>
            <w:gridSpan w:val="8"/>
            <w:tcBorders>
              <w:top w:val="single" w:color="auto" w:sz="4" w:space="0"/>
              <w:bottom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trPr>
        <w:tc>
          <w:tcPr>
            <w:tcW w:w="5000" w:type="pct"/>
            <w:gridSpan w:val="8"/>
            <w:tcBorders>
              <w:top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bidi="ar-SA"/>
              </w:rPr>
            </w:pPr>
            <w:r>
              <w:rPr>
                <w:rFonts w:hint="eastAsia" w:ascii="宋体" w:hAnsi="宋体" w:eastAsia="宋体" w:cs="宋体"/>
                <w:sz w:val="21"/>
                <w:szCs w:val="21"/>
                <w:highlight w:val="none"/>
                <w:lang w:bidi="ar-SA"/>
              </w:rPr>
              <w:t>建设单位签字确认：</w:t>
            </w:r>
            <w:r>
              <w:rPr>
                <w:rFonts w:hint="eastAsia" w:ascii="宋体" w:hAnsi="宋体" w:eastAsia="宋体" w:cs="宋体"/>
                <w:sz w:val="21"/>
                <w:szCs w:val="21"/>
                <w:highlight w:val="none"/>
                <w:u w:val="single"/>
                <w:lang w:bidi="ar-SA"/>
              </w:rPr>
              <w:t xml:space="preserve">             </w:t>
            </w:r>
            <w:r>
              <w:rPr>
                <w:rFonts w:hint="eastAsia" w:ascii="宋体" w:hAnsi="宋体" w:eastAsia="宋体" w:cs="宋体"/>
                <w:sz w:val="21"/>
                <w:szCs w:val="21"/>
                <w:highlight w:val="none"/>
                <w:lang w:bidi="ar-SA"/>
              </w:rPr>
              <w:t>使用机构签字盖章确认：</w:t>
            </w:r>
            <w:r>
              <w:rPr>
                <w:rFonts w:hint="eastAsia" w:ascii="宋体" w:hAnsi="宋体" w:eastAsia="宋体" w:cs="宋体"/>
                <w:sz w:val="21"/>
                <w:szCs w:val="21"/>
                <w:highlight w:val="none"/>
                <w:u w:val="single"/>
                <w:lang w:bidi="ar-SA"/>
              </w:rPr>
              <w:t xml:space="preserve">                </w:t>
            </w:r>
            <w:r>
              <w:rPr>
                <w:rFonts w:hint="eastAsia" w:ascii="宋体" w:hAnsi="宋体" w:eastAsia="宋体" w:cs="宋体"/>
                <w:sz w:val="21"/>
                <w:szCs w:val="21"/>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highlight w:val="none"/>
                <w:u w:val="single"/>
                <w:lang w:bidi="ar-SA"/>
              </w:rPr>
            </w:pPr>
            <w:r>
              <w:rPr>
                <w:rFonts w:hint="eastAsia" w:ascii="宋体" w:hAnsi="宋体" w:eastAsia="宋体" w:cs="宋体"/>
                <w:sz w:val="21"/>
                <w:szCs w:val="21"/>
                <w:highlight w:val="none"/>
                <w:lang w:bidi="ar-SA"/>
              </w:rPr>
              <w:t>信息科技部签字确认：</w:t>
            </w:r>
            <w:r>
              <w:rPr>
                <w:rFonts w:hint="eastAsia" w:ascii="宋体" w:hAnsi="宋体" w:eastAsia="宋体" w:cs="宋体"/>
                <w:sz w:val="21"/>
                <w:szCs w:val="21"/>
                <w:highlight w:val="none"/>
                <w:u w:val="single"/>
                <w:lang w:bidi="ar-SA"/>
              </w:rPr>
              <w:t xml:space="preserve">                </w:t>
            </w:r>
            <w:r>
              <w:rPr>
                <w:rFonts w:hint="eastAsia" w:ascii="宋体" w:hAnsi="宋体" w:eastAsia="宋体" w:cs="宋体"/>
                <w:sz w:val="21"/>
                <w:szCs w:val="21"/>
                <w:highlight w:val="none"/>
                <w:lang w:bidi="ar-SA"/>
              </w:rPr>
              <w:t xml:space="preserve"> </w:t>
            </w:r>
          </w:p>
        </w:tc>
      </w:tr>
    </w:tbl>
    <w:p>
      <w:pPr>
        <w:rPr>
          <w:rFonts w:hint="eastAsia" w:ascii="仿宋" w:eastAsia="仿宋" w:cs="华文宋体"/>
          <w:b/>
          <w:bCs/>
          <w:sz w:val="24"/>
          <w:highlight w:val="none"/>
        </w:rPr>
      </w:pPr>
    </w:p>
    <w:p>
      <w:pPr>
        <w:spacing w:line="360" w:lineRule="auto"/>
        <w:ind w:firstLine="480" w:firstLineChars="200"/>
        <w:rPr>
          <w:rFonts w:hint="eastAsia" w:ascii="宋体" w:cs="宋体"/>
          <w:snapToGrid w:val="0"/>
          <w:color w:val="000000"/>
          <w:kern w:val="0"/>
          <w:sz w:val="24"/>
          <w:szCs w:val="24"/>
          <w:highlight w:val="none"/>
        </w:rPr>
      </w:pPr>
    </w:p>
    <w:p>
      <w:pPr>
        <w:pStyle w:val="3"/>
        <w:keepNext w:val="0"/>
        <w:keepLines w:val="0"/>
        <w:pageBreakBefore w:val="0"/>
        <w:widowControl w:val="0"/>
        <w:kinsoku/>
        <w:wordWrap/>
        <w:overflowPunct/>
        <w:autoSpaceDE/>
        <w:autoSpaceDN/>
        <w:bidi w:val="0"/>
        <w:adjustRightInd/>
        <w:snapToGrid w:val="0"/>
        <w:spacing w:before="0"/>
        <w:ind w:left="0" w:leftChars="0" w:right="0" w:rightChars="0" w:firstLine="0" w:firstLineChars="0"/>
        <w:jc w:val="center"/>
        <w:textAlignment w:val="auto"/>
        <w:outlineLvl w:val="0"/>
        <w:rPr>
          <w:rFonts w:hint="eastAsia"/>
          <w:color w:val="000000"/>
          <w:highlight w:val="none"/>
        </w:rPr>
      </w:pPr>
      <w:bookmarkStart w:id="78" w:name="_Toc15059428"/>
      <w:bookmarkStart w:id="79" w:name="_Toc32977425"/>
      <w:r>
        <w:rPr>
          <w:rFonts w:hint="eastAsia"/>
          <w:color w:val="000000"/>
          <w:highlight w:val="none"/>
        </w:rPr>
        <w:br w:type="page"/>
      </w:r>
      <w:bookmarkStart w:id="80" w:name="_Toc9318"/>
      <w:r>
        <w:rPr>
          <w:rFonts w:hint="eastAsia"/>
          <w:color w:val="000000"/>
          <w:highlight w:val="none"/>
        </w:rPr>
        <w:t>第</w:t>
      </w:r>
      <w:r>
        <w:rPr>
          <w:color w:val="000000"/>
          <w:highlight w:val="none"/>
        </w:rPr>
        <w:t>六</w:t>
      </w:r>
      <w:r>
        <w:rPr>
          <w:rFonts w:hint="eastAsia"/>
          <w:color w:val="000000"/>
          <w:highlight w:val="none"/>
        </w:rPr>
        <w:t xml:space="preserve">章 </w:t>
      </w:r>
      <w:r>
        <w:rPr>
          <w:rFonts w:hint="eastAsia"/>
          <w:color w:val="000000"/>
          <w:highlight w:val="none"/>
          <w:lang w:eastAsia="zh-CN"/>
        </w:rPr>
        <w:t>评审</w:t>
      </w:r>
      <w:r>
        <w:rPr>
          <w:rFonts w:hint="eastAsia"/>
          <w:color w:val="000000"/>
          <w:highlight w:val="none"/>
        </w:rPr>
        <w:t>方法、</w:t>
      </w:r>
      <w:r>
        <w:rPr>
          <w:rFonts w:hint="eastAsia"/>
          <w:color w:val="000000"/>
          <w:highlight w:val="none"/>
          <w:lang w:eastAsia="zh-CN"/>
        </w:rPr>
        <w:t>评审</w:t>
      </w:r>
      <w:r>
        <w:rPr>
          <w:rFonts w:hint="eastAsia"/>
          <w:color w:val="000000"/>
          <w:highlight w:val="none"/>
        </w:rPr>
        <w:t>标准和无效</w:t>
      </w:r>
      <w:r>
        <w:rPr>
          <w:rFonts w:hint="eastAsia"/>
          <w:color w:val="000000"/>
          <w:highlight w:val="none"/>
          <w:lang w:val="en-US" w:eastAsia="zh-CN"/>
        </w:rPr>
        <w:t>参选</w:t>
      </w:r>
      <w:r>
        <w:rPr>
          <w:rFonts w:hint="eastAsia"/>
          <w:color w:val="000000"/>
          <w:highlight w:val="none"/>
        </w:rPr>
        <w:t>条款</w:t>
      </w:r>
      <w:bookmarkEnd w:id="78"/>
      <w:bookmarkEnd w:id="79"/>
      <w:bookmarkEnd w:id="80"/>
      <w:bookmarkStart w:id="81" w:name="_Toc275199616"/>
      <w:bookmarkStart w:id="82" w:name="_Toc440628922"/>
      <w:bookmarkStart w:id="83" w:name="_Toc32178"/>
    </w:p>
    <w:p>
      <w:pPr>
        <w:pStyle w:val="4"/>
        <w:bidi w:val="0"/>
        <w:rPr>
          <w:rFonts w:hint="eastAsia"/>
          <w:highlight w:val="none"/>
        </w:rPr>
      </w:pPr>
      <w:bookmarkStart w:id="84" w:name="_Toc89675155"/>
      <w:bookmarkStart w:id="85" w:name="_Toc15059429"/>
      <w:r>
        <w:rPr>
          <w:rFonts w:hint="eastAsia"/>
          <w:highlight w:val="none"/>
        </w:rPr>
        <w:t>一、</w:t>
      </w:r>
      <w:r>
        <w:rPr>
          <w:rFonts w:hint="eastAsia"/>
          <w:highlight w:val="none"/>
          <w:lang w:eastAsia="zh-CN"/>
        </w:rPr>
        <w:t>评审</w:t>
      </w:r>
      <w:r>
        <w:rPr>
          <w:rFonts w:hint="eastAsia"/>
          <w:highlight w:val="none"/>
        </w:rPr>
        <w:t>方法</w:t>
      </w:r>
      <w:bookmarkEnd w:id="81"/>
      <w:bookmarkEnd w:id="82"/>
      <w:bookmarkEnd w:id="83"/>
      <w:bookmarkEnd w:id="84"/>
      <w:bookmarkEnd w:id="85"/>
    </w:p>
    <w:p>
      <w:pPr>
        <w:pStyle w:val="5"/>
        <w:bidi w:val="0"/>
        <w:rPr>
          <w:rFonts w:hint="eastAsia"/>
          <w:highlight w:val="none"/>
        </w:rPr>
      </w:pPr>
      <w:r>
        <w:rPr>
          <w:rFonts w:hint="eastAsia"/>
          <w:highlight w:val="none"/>
        </w:rPr>
        <w:t>（</w:t>
      </w:r>
      <w:r>
        <w:rPr>
          <w:highlight w:val="none"/>
        </w:rPr>
        <w:t>一</w:t>
      </w:r>
      <w:r>
        <w:rPr>
          <w:rFonts w:hint="eastAsia"/>
          <w:highlight w:val="none"/>
        </w:rPr>
        <w:t>）</w:t>
      </w:r>
      <w:r>
        <w:rPr>
          <w:rFonts w:hint="eastAsia"/>
          <w:highlight w:val="none"/>
          <w:lang w:eastAsia="zh-CN"/>
        </w:rPr>
        <w:t>评审</w:t>
      </w:r>
      <w:r>
        <w:rPr>
          <w:highlight w:val="none"/>
        </w:rPr>
        <w:t>方法定义</w:t>
      </w:r>
    </w:p>
    <w:p>
      <w:pPr>
        <w:bidi w:val="0"/>
        <w:rPr>
          <w:rFonts w:hint="eastAsia"/>
          <w:highlight w:val="none"/>
        </w:rPr>
      </w:pPr>
      <w:r>
        <w:rPr>
          <w:rFonts w:hint="eastAsia"/>
          <w:highlight w:val="none"/>
        </w:rPr>
        <w:t>本项目采用综合评分法进行</w:t>
      </w:r>
      <w:r>
        <w:rPr>
          <w:rFonts w:hint="eastAsia"/>
          <w:highlight w:val="none"/>
          <w:lang w:eastAsia="zh-CN"/>
        </w:rPr>
        <w:t>评审</w:t>
      </w:r>
      <w:r>
        <w:rPr>
          <w:rFonts w:hint="eastAsia"/>
          <w:highlight w:val="none"/>
        </w:rPr>
        <w:t>。参选人总得分为价格、商务、技术等评定因素分别按照相应权重值计算分项得分后相加，满分为100分。若参与比选供应商不足三家，经</w:t>
      </w:r>
      <w:r>
        <w:rPr>
          <w:rFonts w:hint="eastAsia"/>
          <w:highlight w:val="none"/>
          <w:lang w:eastAsia="zh-CN"/>
        </w:rPr>
        <w:t>评审委员会</w:t>
      </w:r>
      <w:r>
        <w:rPr>
          <w:rFonts w:hint="eastAsia"/>
          <w:highlight w:val="none"/>
        </w:rPr>
        <w:t>判定，响应单位参选人具有相对行业竞争力的</w:t>
      </w:r>
      <w:r>
        <w:rPr>
          <w:rFonts w:hint="eastAsia"/>
          <w:highlight w:val="none"/>
          <w:lang w:eastAsia="zh-CN"/>
        </w:rPr>
        <w:t>，</w:t>
      </w:r>
      <w:r>
        <w:rPr>
          <w:rFonts w:hint="eastAsia"/>
          <w:highlight w:val="none"/>
        </w:rPr>
        <w:t>可</w:t>
      </w:r>
      <w:r>
        <w:rPr>
          <w:rFonts w:hint="eastAsia"/>
          <w:highlight w:val="none"/>
          <w:lang w:val="en-US" w:eastAsia="zh-CN"/>
        </w:rPr>
        <w:t>继续进行评审</w:t>
      </w:r>
      <w:r>
        <w:rPr>
          <w:rFonts w:hint="eastAsia"/>
          <w:highlight w:val="none"/>
        </w:rPr>
        <w:t>。</w:t>
      </w:r>
    </w:p>
    <w:p>
      <w:pPr>
        <w:pStyle w:val="5"/>
        <w:bidi w:val="0"/>
        <w:rPr>
          <w:rFonts w:hint="eastAsia"/>
          <w:highlight w:val="none"/>
        </w:rPr>
      </w:pPr>
      <w:r>
        <w:rPr>
          <w:rFonts w:hint="eastAsia"/>
          <w:highlight w:val="none"/>
        </w:rPr>
        <w:t>（二）</w:t>
      </w:r>
      <w:r>
        <w:rPr>
          <w:rFonts w:hint="eastAsia"/>
          <w:highlight w:val="none"/>
          <w:lang w:eastAsia="zh-CN"/>
        </w:rPr>
        <w:t>评审</w:t>
      </w:r>
      <w:r>
        <w:rPr>
          <w:rFonts w:hint="eastAsia"/>
          <w:highlight w:val="none"/>
        </w:rPr>
        <w:t>程序</w:t>
      </w:r>
    </w:p>
    <w:p>
      <w:pPr>
        <w:bidi w:val="0"/>
        <w:rPr>
          <w:rFonts w:hint="eastAsia"/>
          <w:highlight w:val="none"/>
        </w:rPr>
      </w:pPr>
      <w:r>
        <w:rPr>
          <w:rFonts w:hint="eastAsia"/>
          <w:highlight w:val="none"/>
          <w:lang w:eastAsia="zh-CN"/>
        </w:rPr>
        <w:t>评审</w:t>
      </w:r>
      <w:r>
        <w:rPr>
          <w:rFonts w:hint="eastAsia"/>
          <w:highlight w:val="none"/>
        </w:rPr>
        <w:t>工作由比选人</w:t>
      </w:r>
      <w:r>
        <w:rPr>
          <w:rFonts w:hint="eastAsia"/>
          <w:highlight w:val="none"/>
          <w:lang w:val="en-US" w:eastAsia="zh-CN"/>
        </w:rPr>
        <w:t>依法组建的评审委员会</w:t>
      </w:r>
      <w:r>
        <w:rPr>
          <w:rFonts w:hint="eastAsia"/>
          <w:highlight w:val="none"/>
        </w:rPr>
        <w:t>，负责具体</w:t>
      </w:r>
      <w:r>
        <w:rPr>
          <w:rFonts w:hint="eastAsia"/>
          <w:highlight w:val="none"/>
          <w:lang w:eastAsia="zh-CN"/>
        </w:rPr>
        <w:t>评审</w:t>
      </w:r>
      <w:r>
        <w:rPr>
          <w:rFonts w:hint="eastAsia"/>
          <w:highlight w:val="none"/>
        </w:rPr>
        <w:t>事务。按以下程序独立履行</w:t>
      </w:r>
      <w:r>
        <w:rPr>
          <w:rFonts w:hint="eastAsia"/>
          <w:highlight w:val="none"/>
          <w:lang w:eastAsia="zh-CN"/>
        </w:rPr>
        <w:t>评审</w:t>
      </w:r>
      <w:r>
        <w:rPr>
          <w:rFonts w:hint="eastAsia"/>
          <w:highlight w:val="none"/>
        </w:rPr>
        <w:t>职责：</w:t>
      </w:r>
    </w:p>
    <w:p>
      <w:pPr>
        <w:bidi w:val="0"/>
        <w:rPr>
          <w:rFonts w:hint="eastAsia"/>
          <w:highlight w:val="none"/>
        </w:rPr>
      </w:pPr>
      <w:r>
        <w:rPr>
          <w:rFonts w:hint="eastAsia"/>
          <w:highlight w:val="none"/>
        </w:rPr>
        <w:t>1、资格性检查。依据法律法规和比选文件的规定，对参选文件中的资格证明、参选保证金等进行审查，以确定参选人是否具备参选资格。资格性检查资料表如下：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625"/>
        <w:gridCol w:w="3719"/>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snapToGrid w:val="0"/>
                <w:color w:val="000000"/>
                <w:kern w:val="0"/>
                <w:sz w:val="21"/>
                <w:szCs w:val="21"/>
                <w:highlight w:val="none"/>
              </w:rPr>
            </w:pPr>
            <w:r>
              <w:rPr>
                <w:rFonts w:hint="eastAsia" w:ascii="宋体" w:cs="宋体"/>
                <w:b/>
                <w:snapToGrid w:val="0"/>
                <w:color w:val="000000"/>
                <w:kern w:val="0"/>
                <w:sz w:val="21"/>
                <w:szCs w:val="21"/>
                <w:highlight w:val="none"/>
              </w:rPr>
              <w:t>序号</w:t>
            </w:r>
          </w:p>
        </w:tc>
        <w:tc>
          <w:tcPr>
            <w:tcW w:w="2549"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snapToGrid w:val="0"/>
                <w:color w:val="000000"/>
                <w:kern w:val="0"/>
                <w:sz w:val="21"/>
                <w:szCs w:val="21"/>
                <w:highlight w:val="none"/>
              </w:rPr>
            </w:pPr>
            <w:r>
              <w:rPr>
                <w:rFonts w:hint="eastAsia" w:ascii="宋体" w:cs="宋体"/>
                <w:b/>
                <w:snapToGrid w:val="0"/>
                <w:color w:val="000000"/>
                <w:kern w:val="0"/>
                <w:sz w:val="21"/>
                <w:szCs w:val="21"/>
                <w:highlight w:val="none"/>
              </w:rPr>
              <w:t>检查因素</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snapToGrid w:val="0"/>
                <w:color w:val="000000"/>
                <w:kern w:val="0"/>
                <w:sz w:val="21"/>
                <w:szCs w:val="21"/>
                <w:highlight w:val="none"/>
              </w:rPr>
            </w:pPr>
            <w:r>
              <w:rPr>
                <w:rFonts w:hint="eastAsia" w:ascii="宋体" w:cs="宋体"/>
                <w:b/>
                <w:snapToGrid w:val="0"/>
                <w:color w:val="000000"/>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1</w:t>
            </w:r>
          </w:p>
        </w:tc>
        <w:tc>
          <w:tcPr>
            <w:tcW w:w="367"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基本资格条 件</w:t>
            </w: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（1）具有独立承担民事责任的能力</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参选人有效营业执照（副本）、直属的分支机构（直属的分支机构参与参选必须具有总公司的授权委托书）或事业单位法人证书（副本）或个体工商户营业执照或有效的自然人身份证明；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lang w:val="zh-CN"/>
              </w:rPr>
              <w:t>（2）</w:t>
            </w:r>
            <w:r>
              <w:rPr>
                <w:rFonts w:hint="eastAsia" w:ascii="宋体" w:cs="宋体"/>
                <w:snapToGrid w:val="0"/>
                <w:color w:val="000000"/>
                <w:kern w:val="0"/>
                <w:sz w:val="21"/>
                <w:szCs w:val="21"/>
                <w:highlight w:val="none"/>
              </w:rPr>
              <w:t>具有良好的商业信誉和健全的财务会计制度</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（3）具有履行合同所必需的设备和专业技术能力</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（4）有依法缴纳税收和社会保障金的良好记录</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w:t>
            </w:r>
            <w:r>
              <w:rPr>
                <w:rFonts w:ascii="宋体" w:cs="宋体"/>
                <w:snapToGrid w:val="0"/>
                <w:color w:val="000000"/>
                <w:kern w:val="0"/>
                <w:sz w:val="21"/>
                <w:szCs w:val="21"/>
                <w:highlight w:val="none"/>
              </w:rPr>
              <w:t>5</w:t>
            </w:r>
            <w:r>
              <w:rPr>
                <w:rFonts w:hint="eastAsia" w:ascii="宋体" w:cs="宋体"/>
                <w:snapToGrid w:val="0"/>
                <w:color w:val="000000"/>
                <w:kern w:val="0"/>
                <w:sz w:val="21"/>
                <w:szCs w:val="21"/>
                <w:highlight w:val="none"/>
                <w:lang w:val="zh-CN"/>
              </w:rPr>
              <w:t>）三年内在经营活动中没有重大违法记录</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lang w:val="zh-CN"/>
              </w:rPr>
            </w:pPr>
            <w:r>
              <w:rPr>
                <w:rFonts w:hint="eastAsia" w:ascii="宋体" w:cs="宋体"/>
                <w:snapToGrid w:val="0"/>
                <w:color w:val="000000"/>
                <w:kern w:val="0"/>
                <w:sz w:val="21"/>
                <w:szCs w:val="21"/>
                <w:highlight w:val="none"/>
                <w:lang w:val="zh-CN"/>
              </w:rPr>
              <w:t>（</w:t>
            </w:r>
            <w:r>
              <w:rPr>
                <w:rFonts w:hint="eastAsia" w:ascii="宋体" w:cs="宋体"/>
                <w:snapToGrid w:val="0"/>
                <w:color w:val="000000"/>
                <w:kern w:val="0"/>
                <w:sz w:val="21"/>
                <w:szCs w:val="21"/>
                <w:highlight w:val="none"/>
              </w:rPr>
              <w:t>6</w:t>
            </w:r>
            <w:r>
              <w:rPr>
                <w:rFonts w:hint="eastAsia" w:ascii="宋体" w:cs="宋体"/>
                <w:snapToGrid w:val="0"/>
                <w:color w:val="000000"/>
                <w:kern w:val="0"/>
                <w:sz w:val="21"/>
                <w:szCs w:val="21"/>
                <w:highlight w:val="none"/>
                <w:lang w:val="zh-CN"/>
              </w:rPr>
              <w:t>）法人及法定代表人没有被人民法院列为失信被执行人名单</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2</w:t>
            </w:r>
          </w:p>
        </w:tc>
        <w:tc>
          <w:tcPr>
            <w:tcW w:w="367"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lang w:val="zh-CN"/>
              </w:rPr>
              <w:t>特定资格条件</w:t>
            </w: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（1）</w:t>
            </w:r>
            <w:r>
              <w:rPr>
                <w:rFonts w:hint="eastAsia" w:ascii="宋体" w:cs="宋体"/>
                <w:snapToGrid w:val="0"/>
                <w:color w:val="000000"/>
                <w:kern w:val="0"/>
                <w:sz w:val="21"/>
                <w:szCs w:val="21"/>
                <w:highlight w:val="none"/>
                <w:lang w:val="zh-CN"/>
              </w:rPr>
              <w:t>参选人需为国内主流电信运营商</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lang w:val="zh-CN"/>
              </w:rPr>
              <w:t>提供</w:t>
            </w:r>
            <w:r>
              <w:rPr>
                <w:rFonts w:hint="eastAsia" w:ascii="宋体" w:cs="宋体"/>
                <w:snapToGrid w:val="0"/>
                <w:color w:val="000000"/>
                <w:kern w:val="0"/>
                <w:sz w:val="21"/>
                <w:szCs w:val="21"/>
                <w:highlight w:val="none"/>
              </w:rPr>
              <w:t>基础电信业务</w:t>
            </w:r>
            <w:r>
              <w:rPr>
                <w:rFonts w:ascii="宋体" w:cs="宋体"/>
                <w:snapToGrid w:val="0"/>
                <w:color w:val="000000"/>
                <w:kern w:val="0"/>
                <w:sz w:val="21"/>
                <w:szCs w:val="21"/>
                <w:highlight w:val="none"/>
              </w:rPr>
              <w:t>经营</w:t>
            </w:r>
            <w:r>
              <w:rPr>
                <w:rFonts w:hint="eastAsia" w:ascii="宋体" w:cs="宋体"/>
                <w:snapToGrid w:val="0"/>
                <w:color w:val="000000"/>
                <w:kern w:val="0"/>
                <w:sz w:val="21"/>
                <w:szCs w:val="21"/>
                <w:highlight w:val="none"/>
              </w:rPr>
              <w:t>许可证</w:t>
            </w:r>
            <w:r>
              <w:rPr>
                <w:rFonts w:ascii="宋体" w:cs="宋体"/>
                <w:snapToGrid w:val="0"/>
                <w:color w:val="000000"/>
                <w:kern w:val="0"/>
                <w:sz w:val="21"/>
                <w:szCs w:val="21"/>
                <w:highlight w:val="none"/>
              </w:rPr>
              <w:t>及增值电信业务经营许可证</w:t>
            </w:r>
            <w:r>
              <w:rPr>
                <w:rFonts w:hint="eastAsia" w:ascii="宋体" w:cs="宋体"/>
                <w:snapToGrid w:val="0"/>
                <w:color w:val="000000"/>
                <w:kern w:val="0"/>
                <w:sz w:val="21"/>
                <w:szCs w:val="21"/>
                <w:highlight w:val="none"/>
              </w:rPr>
              <w:t>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21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（2）</w:t>
            </w:r>
            <w:r>
              <w:rPr>
                <w:rFonts w:hint="eastAsia" w:ascii="宋体" w:cs="宋体"/>
                <w:snapToGrid w:val="0"/>
                <w:color w:val="000000"/>
                <w:kern w:val="0"/>
                <w:sz w:val="21"/>
                <w:szCs w:val="21"/>
                <w:highlight w:val="none"/>
                <w:lang w:val="zh-CN"/>
              </w:rPr>
              <w:t>自2020年1月1日起至参选截止之日止</w:t>
            </w:r>
            <w:r>
              <w:rPr>
                <w:rFonts w:ascii="宋体" w:cs="宋体"/>
                <w:snapToGrid w:val="0"/>
                <w:color w:val="000000"/>
                <w:kern w:val="0"/>
                <w:sz w:val="21"/>
                <w:szCs w:val="21"/>
                <w:highlight w:val="none"/>
                <w:lang w:val="zh-CN"/>
              </w:rPr>
              <w:t>，</w:t>
            </w:r>
            <w:r>
              <w:rPr>
                <w:rFonts w:hint="eastAsia" w:ascii="宋体" w:cs="宋体"/>
                <w:snapToGrid w:val="0"/>
                <w:color w:val="000000"/>
                <w:kern w:val="0"/>
                <w:sz w:val="21"/>
                <w:szCs w:val="21"/>
                <w:highlight w:val="none"/>
                <w:lang w:val="zh-CN"/>
              </w:rPr>
              <w:t>具有重庆本地金融行业相关实施案例(</w:t>
            </w:r>
            <w:r>
              <w:rPr>
                <w:rFonts w:ascii="宋体" w:cs="宋体"/>
                <w:color w:val="000000"/>
                <w:kern w:val="0"/>
                <w:sz w:val="21"/>
                <w:szCs w:val="21"/>
                <w:highlight w:val="none"/>
              </w:rPr>
              <w:t>由参选人</w:t>
            </w:r>
            <w:r>
              <w:rPr>
                <w:rFonts w:hint="eastAsia" w:ascii="宋体" w:eastAsia="宋体" w:cs="Cambria"/>
                <w:color w:val="000000"/>
                <w:sz w:val="21"/>
                <w:szCs w:val="21"/>
                <w:highlight w:val="none"/>
                <w:lang w:eastAsia="zh-CN"/>
              </w:rPr>
              <w:t>主体</w:t>
            </w:r>
            <w:r>
              <w:rPr>
                <w:rFonts w:ascii="宋体" w:cs="宋体"/>
                <w:color w:val="000000"/>
                <w:kern w:val="0"/>
                <w:sz w:val="21"/>
                <w:szCs w:val="21"/>
                <w:highlight w:val="none"/>
              </w:rPr>
              <w:t>所签订的合同，</w:t>
            </w:r>
            <w:r>
              <w:rPr>
                <w:rFonts w:hint="eastAsia" w:ascii="宋体" w:cs="宋体"/>
                <w:snapToGrid w:val="0"/>
                <w:color w:val="000000"/>
                <w:kern w:val="0"/>
                <w:sz w:val="21"/>
                <w:szCs w:val="21"/>
                <w:highlight w:val="none"/>
                <w:lang w:val="zh-CN"/>
              </w:rPr>
              <w:t>需提供合同复印件和项目简介)不少于</w:t>
            </w:r>
            <w:r>
              <w:rPr>
                <w:rFonts w:ascii="宋体" w:cs="宋体"/>
                <w:snapToGrid w:val="0"/>
                <w:color w:val="000000"/>
                <w:kern w:val="0"/>
                <w:sz w:val="21"/>
                <w:szCs w:val="21"/>
                <w:highlight w:val="none"/>
                <w:lang w:val="zh-CN"/>
              </w:rPr>
              <w:t>1</w:t>
            </w:r>
            <w:r>
              <w:rPr>
                <w:rFonts w:hint="eastAsia" w:ascii="宋体" w:cs="宋体"/>
                <w:snapToGrid w:val="0"/>
                <w:color w:val="000000"/>
                <w:kern w:val="0"/>
                <w:sz w:val="21"/>
                <w:szCs w:val="21"/>
                <w:highlight w:val="none"/>
                <w:lang w:val="zh-CN"/>
              </w:rPr>
              <w:t>家</w:t>
            </w:r>
            <w:r>
              <w:rPr>
                <w:rFonts w:ascii="宋体" w:cs="宋体"/>
                <w:snapToGrid w:val="0"/>
                <w:color w:val="000000"/>
                <w:kern w:val="0"/>
                <w:sz w:val="21"/>
                <w:szCs w:val="21"/>
                <w:highlight w:val="none"/>
                <w:lang w:val="zh-CN"/>
              </w:rPr>
              <w:t>。</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lang w:val="zh-CN"/>
              </w:rPr>
              <w:t>提供案例证明，案例要求以下信息不可隐藏，包含：甲乙双方名称、双方印章、项目/产品的名称、合同/中标通知书签订时间等。以上证明文件若</w:t>
            </w:r>
            <w:r>
              <w:rPr>
                <w:rFonts w:hint="eastAsia" w:ascii="宋体" w:cs="宋体"/>
                <w:snapToGrid w:val="0"/>
                <w:color w:val="000000"/>
                <w:kern w:val="0"/>
                <w:sz w:val="21"/>
                <w:szCs w:val="21"/>
                <w:highlight w:val="none"/>
                <w:lang w:val="en-US" w:eastAsia="zh-CN"/>
              </w:rPr>
              <w:t>比选人</w:t>
            </w:r>
            <w:r>
              <w:rPr>
                <w:rFonts w:hint="eastAsia" w:ascii="宋体" w:cs="宋体"/>
                <w:snapToGrid w:val="0"/>
                <w:color w:val="000000"/>
                <w:kern w:val="0"/>
                <w:sz w:val="21"/>
                <w:szCs w:val="21"/>
                <w:highlight w:val="none"/>
                <w:lang w:val="zh-CN"/>
              </w:rPr>
              <w:t>存疑，参选人需提供原件备查,参选文件中须附相关证明文件复印件并逐页加盖公章。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3</w:t>
            </w:r>
          </w:p>
        </w:tc>
        <w:tc>
          <w:tcPr>
            <w:tcW w:w="2549"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参选保证金</w:t>
            </w:r>
          </w:p>
        </w:tc>
        <w:tc>
          <w:tcPr>
            <w:tcW w:w="21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snapToGrid w:val="0"/>
                <w:color w:val="000000"/>
                <w:kern w:val="0"/>
                <w:sz w:val="21"/>
                <w:szCs w:val="21"/>
                <w:highlight w:val="none"/>
              </w:rPr>
            </w:pPr>
            <w:r>
              <w:rPr>
                <w:rFonts w:hint="eastAsia" w:ascii="宋体" w:cs="宋体"/>
                <w:snapToGrid w:val="0"/>
                <w:color w:val="000000"/>
                <w:kern w:val="0"/>
                <w:sz w:val="21"/>
                <w:szCs w:val="21"/>
                <w:highlight w:val="none"/>
              </w:rPr>
              <w:t>足额缴纳参选保证金</w:t>
            </w:r>
          </w:p>
        </w:tc>
      </w:tr>
    </w:tbl>
    <w:p>
      <w:pPr>
        <w:bidi w:val="0"/>
        <w:rPr>
          <w:rFonts w:hint="eastAsia"/>
          <w:highlight w:val="none"/>
        </w:rPr>
      </w:pPr>
      <w:r>
        <w:rPr>
          <w:rFonts w:hint="eastAsia"/>
          <w:highlight w:val="none"/>
        </w:rPr>
        <w:t>2、符合性检查。依据比选文件的规定，从参选人参选文件的有效性、完整性和对比选文件的响应程度进行审查，以确定是否对比选文件的实质性要求作出响应。符合性检查资料表如下：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379"/>
        <w:gridCol w:w="1757"/>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color w:val="000000"/>
                <w:kern w:val="0"/>
                <w:sz w:val="21"/>
                <w:szCs w:val="21"/>
                <w:highlight w:val="none"/>
              </w:rPr>
            </w:pPr>
            <w:r>
              <w:rPr>
                <w:rFonts w:hint="eastAsia" w:ascii="宋体" w:cs="宋体"/>
                <w:b/>
                <w:color w:val="000000"/>
                <w:kern w:val="0"/>
                <w:sz w:val="21"/>
                <w:szCs w:val="21"/>
                <w:highlight w:val="none"/>
              </w:rPr>
              <w:t>序号</w:t>
            </w:r>
          </w:p>
        </w:tc>
        <w:tc>
          <w:tcPr>
            <w:tcW w:w="1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color w:val="000000"/>
                <w:kern w:val="0"/>
                <w:sz w:val="21"/>
                <w:szCs w:val="21"/>
                <w:highlight w:val="none"/>
              </w:rPr>
            </w:pPr>
            <w:r>
              <w:rPr>
                <w:rFonts w:hint="eastAsia" w:ascii="宋体" w:cs="宋体"/>
                <w:b/>
                <w:color w:val="000000"/>
                <w:kern w:val="0"/>
                <w:sz w:val="21"/>
                <w:szCs w:val="21"/>
                <w:highlight w:val="none"/>
                <w:lang w:eastAsia="zh-CN"/>
              </w:rPr>
              <w:t>评审</w:t>
            </w:r>
            <w:r>
              <w:rPr>
                <w:rFonts w:hint="eastAsia" w:ascii="宋体" w:cs="宋体"/>
                <w:b/>
                <w:color w:val="000000"/>
                <w:kern w:val="0"/>
                <w:sz w:val="21"/>
                <w:szCs w:val="21"/>
                <w:highlight w:val="none"/>
              </w:rPr>
              <w:t>因素</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b/>
                <w:color w:val="000000"/>
                <w:kern w:val="0"/>
                <w:sz w:val="21"/>
                <w:szCs w:val="21"/>
                <w:highlight w:val="none"/>
              </w:rPr>
            </w:pPr>
            <w:r>
              <w:rPr>
                <w:rFonts w:hint="eastAsia" w:ascii="宋体" w:cs="宋体"/>
                <w:b/>
                <w:color w:val="000000"/>
                <w:kern w:val="0"/>
                <w:sz w:val="21"/>
                <w:szCs w:val="21"/>
                <w:highlight w:val="none"/>
                <w:lang w:eastAsia="zh-CN"/>
              </w:rPr>
              <w:t>评审</w:t>
            </w:r>
            <w:r>
              <w:rPr>
                <w:rFonts w:hint="eastAsia" w:ascii="宋体" w:cs="宋体"/>
                <w:b/>
                <w:color w:val="000000"/>
                <w:kern w:val="0"/>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1</w:t>
            </w:r>
          </w:p>
        </w:tc>
        <w:tc>
          <w:tcPr>
            <w:tcW w:w="80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有效性审查</w:t>
            </w: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文件签署</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80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法定代表人身份证明及授权委托书</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80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方案唯一</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只能有一个方案</w:t>
            </w: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80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报价唯一</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2</w:t>
            </w:r>
          </w:p>
        </w:tc>
        <w:tc>
          <w:tcPr>
            <w:tcW w:w="80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完整性审查</w:t>
            </w: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文件份数</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80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文件内容</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3</w:t>
            </w:r>
          </w:p>
        </w:tc>
        <w:tc>
          <w:tcPr>
            <w:tcW w:w="80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响应程度审查</w:t>
            </w: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文件内容</w:t>
            </w:r>
          </w:p>
        </w:tc>
        <w:tc>
          <w:tcPr>
            <w:tcW w:w="2809"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000000"/>
                <w:kern w:val="0"/>
                <w:sz w:val="21"/>
                <w:szCs w:val="21"/>
                <w:highlight w:val="none"/>
              </w:rPr>
            </w:pPr>
            <w:r>
              <w:rPr>
                <w:rFonts w:hint="eastAsia" w:ascii="宋体" w:hAnsi="宋体" w:cs="宋体"/>
                <w:kern w:val="0"/>
                <w:sz w:val="21"/>
                <w:szCs w:val="21"/>
                <w:highlight w:val="none"/>
                <w:lang w:val="en-US" w:eastAsia="zh-CN"/>
              </w:rPr>
              <w:t>根据技术条款偏离表、商务条款偏离表内容与</w:t>
            </w:r>
            <w:r>
              <w:rPr>
                <w:rFonts w:hint="eastAsia" w:ascii="宋体" w:hAnsi="宋体" w:eastAsia="宋体" w:cs="宋体"/>
                <w:kern w:val="0"/>
                <w:sz w:val="21"/>
                <w:szCs w:val="21"/>
                <w:highlight w:val="none"/>
              </w:rPr>
              <w:t>比选文件</w:t>
            </w:r>
            <w:r>
              <w:rPr>
                <w:rFonts w:hint="eastAsia" w:ascii="宋体" w:hAnsi="宋体" w:cs="宋体"/>
                <w:kern w:val="0"/>
                <w:sz w:val="21"/>
                <w:szCs w:val="21"/>
                <w:highlight w:val="none"/>
                <w:lang w:val="en-US" w:eastAsia="zh-CN"/>
              </w:rPr>
              <w:t>第三章、</w:t>
            </w:r>
            <w:r>
              <w:rPr>
                <w:rFonts w:hint="eastAsia" w:ascii="宋体" w:hAnsi="宋体" w:eastAsia="宋体" w:cs="宋体"/>
                <w:kern w:val="0"/>
                <w:sz w:val="21"/>
                <w:szCs w:val="21"/>
                <w:highlight w:val="none"/>
              </w:rPr>
              <w:t>第</w:t>
            </w:r>
            <w:r>
              <w:rPr>
                <w:rFonts w:hint="eastAsia" w:ascii="宋体" w:hAnsi="宋体" w:cs="宋体"/>
                <w:kern w:val="0"/>
                <w:sz w:val="21"/>
                <w:szCs w:val="21"/>
                <w:highlight w:val="none"/>
                <w:lang w:val="en-US" w:eastAsia="zh-CN"/>
              </w:rPr>
              <w:t>四</w:t>
            </w:r>
            <w:r>
              <w:rPr>
                <w:rFonts w:hint="eastAsia" w:ascii="宋体" w:hAnsi="宋体" w:eastAsia="宋体" w:cs="宋体"/>
                <w:kern w:val="0"/>
                <w:sz w:val="21"/>
                <w:szCs w:val="21"/>
                <w:highlight w:val="none"/>
              </w:rPr>
              <w:t>章规定的比选内容</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确认参选人是否对</w:t>
            </w:r>
            <w:r>
              <w:rPr>
                <w:rFonts w:hint="eastAsia" w:ascii="宋体" w:hAnsi="宋体" w:eastAsia="宋体" w:cs="宋体"/>
                <w:kern w:val="0"/>
                <w:sz w:val="21"/>
                <w:szCs w:val="21"/>
                <w:highlight w:val="none"/>
              </w:rPr>
              <w:t>比选文件</w:t>
            </w:r>
            <w:r>
              <w:rPr>
                <w:rFonts w:hint="eastAsia" w:ascii="宋体" w:hAnsi="宋体" w:cs="宋体"/>
                <w:kern w:val="0"/>
                <w:sz w:val="21"/>
                <w:szCs w:val="21"/>
                <w:highlight w:val="none"/>
                <w:lang w:val="en-US" w:eastAsia="zh-CN"/>
              </w:rPr>
              <w:t>第三章、</w:t>
            </w:r>
            <w:r>
              <w:rPr>
                <w:rFonts w:hint="eastAsia" w:ascii="宋体" w:hAnsi="宋体" w:eastAsia="宋体" w:cs="宋体"/>
                <w:kern w:val="0"/>
                <w:sz w:val="21"/>
                <w:szCs w:val="21"/>
                <w:highlight w:val="none"/>
              </w:rPr>
              <w:t>第</w:t>
            </w:r>
            <w:r>
              <w:rPr>
                <w:rFonts w:hint="eastAsia" w:ascii="宋体" w:hAnsi="宋体" w:cs="宋体"/>
                <w:kern w:val="0"/>
                <w:sz w:val="21"/>
                <w:szCs w:val="21"/>
                <w:highlight w:val="none"/>
                <w:lang w:val="en-US" w:eastAsia="zh-CN"/>
              </w:rPr>
              <w:t>四</w:t>
            </w:r>
            <w:r>
              <w:rPr>
                <w:rFonts w:hint="eastAsia" w:ascii="宋体" w:hAnsi="宋体" w:eastAsia="宋体" w:cs="宋体"/>
                <w:kern w:val="0"/>
                <w:sz w:val="21"/>
                <w:szCs w:val="21"/>
                <w:highlight w:val="none"/>
              </w:rPr>
              <w:t>章规定的比选内容作出响应。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80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snapToGrid w:val="0"/>
                <w:color w:val="000000"/>
                <w:kern w:val="0"/>
                <w:sz w:val="21"/>
                <w:szCs w:val="21"/>
                <w:highlight w:val="none"/>
              </w:rPr>
              <w:t>参选</w:t>
            </w:r>
            <w:r>
              <w:rPr>
                <w:rFonts w:hint="eastAsia" w:ascii="宋体" w:cs="宋体"/>
                <w:color w:val="000000"/>
                <w:kern w:val="0"/>
                <w:sz w:val="21"/>
                <w:szCs w:val="21"/>
                <w:highlight w:val="none"/>
              </w:rPr>
              <w:t>有效期</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cs="宋体"/>
                <w:color w:val="000000"/>
                <w:kern w:val="0"/>
                <w:sz w:val="21"/>
                <w:szCs w:val="21"/>
                <w:highlight w:val="none"/>
              </w:rPr>
            </w:pPr>
            <w:r>
              <w:rPr>
                <w:rFonts w:hint="eastAsia" w:ascii="宋体" w:cs="宋体"/>
                <w:color w:val="000000"/>
                <w:kern w:val="0"/>
                <w:sz w:val="21"/>
                <w:szCs w:val="21"/>
                <w:highlight w:val="none"/>
              </w:rPr>
              <w:t>满足比选文件规定。</w:t>
            </w:r>
          </w:p>
        </w:tc>
      </w:tr>
    </w:tbl>
    <w:p>
      <w:pPr>
        <w:bidi w:val="0"/>
        <w:rPr>
          <w:rFonts w:hint="eastAsia"/>
          <w:highlight w:val="none"/>
        </w:rPr>
      </w:pPr>
      <w:r>
        <w:rPr>
          <w:rFonts w:hint="eastAsia"/>
          <w:highlight w:val="none"/>
        </w:rPr>
        <w:t>3、澄清有关问题。对参选文件中含义不明确、同类问题表述不一致或者有明显文字和计算错误的内容，</w:t>
      </w:r>
      <w:r>
        <w:rPr>
          <w:rFonts w:hint="eastAsia"/>
          <w:highlight w:val="none"/>
          <w:lang w:val="en-US" w:eastAsia="zh-CN"/>
        </w:rPr>
        <w:t>评审委员会</w:t>
      </w:r>
      <w:r>
        <w:rPr>
          <w:rFonts w:hint="eastAsia"/>
          <w:highlight w:val="none"/>
        </w:rPr>
        <w:t>可以书面形式（应当由</w:t>
      </w:r>
      <w:r>
        <w:rPr>
          <w:rFonts w:hint="eastAsia"/>
          <w:highlight w:val="none"/>
          <w:lang w:eastAsia="zh-CN"/>
        </w:rPr>
        <w:t>评审</w:t>
      </w:r>
      <w:r>
        <w:rPr>
          <w:rFonts w:hint="eastAsia"/>
          <w:highlight w:val="none"/>
        </w:rPr>
        <w:t>委员会成员签字）要求参选人作出必要澄清、说明或者纠正。参选人的澄清、说明或者补正应当采用书面形式，由其授权的代表签字，并不得超出参选文件的范围或者改变参选文件的实质性内容。</w:t>
      </w:r>
    </w:p>
    <w:p>
      <w:pPr>
        <w:bidi w:val="0"/>
        <w:rPr>
          <w:rFonts w:hint="eastAsia"/>
          <w:highlight w:val="none"/>
        </w:rPr>
      </w:pPr>
      <w:r>
        <w:rPr>
          <w:rFonts w:hint="eastAsia"/>
          <w:highlight w:val="none"/>
        </w:rPr>
        <w:t>4、比较与评价。按比选文件中规定的</w:t>
      </w:r>
      <w:r>
        <w:rPr>
          <w:rFonts w:hint="eastAsia"/>
          <w:highlight w:val="none"/>
          <w:lang w:eastAsia="zh-CN"/>
        </w:rPr>
        <w:t>评审</w:t>
      </w:r>
      <w:r>
        <w:rPr>
          <w:rFonts w:hint="eastAsia"/>
          <w:highlight w:val="none"/>
        </w:rPr>
        <w:t>方法和标准，对资格性检查和符合性检查合格的参选文件进行商务和技术评估，综合比较与评价。</w:t>
      </w:r>
    </w:p>
    <w:p>
      <w:pPr>
        <w:bidi w:val="0"/>
        <w:rPr>
          <w:rFonts w:hint="eastAsia"/>
          <w:highlight w:val="none"/>
        </w:rPr>
      </w:pPr>
      <w:r>
        <w:rPr>
          <w:rFonts w:hint="eastAsia"/>
          <w:highlight w:val="none"/>
          <w:lang w:eastAsia="zh-CN"/>
        </w:rPr>
        <w:t>评审委员会</w:t>
      </w:r>
      <w:r>
        <w:rPr>
          <w:rFonts w:hint="eastAsia"/>
          <w:highlight w:val="none"/>
          <w:lang w:val="en-US" w:eastAsia="zh-CN"/>
        </w:rPr>
        <w:t>成员</w:t>
      </w:r>
      <w:r>
        <w:rPr>
          <w:rFonts w:hint="eastAsia"/>
          <w:highlight w:val="none"/>
        </w:rPr>
        <w:t>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bidi w:val="0"/>
        <w:rPr>
          <w:rFonts w:hint="eastAsia"/>
          <w:highlight w:val="none"/>
        </w:rPr>
      </w:pPr>
      <w:r>
        <w:rPr>
          <w:rFonts w:hint="eastAsia"/>
          <w:highlight w:val="none"/>
        </w:rPr>
        <w:t>5、推荐中选候选人名单。按</w:t>
      </w:r>
      <w:r>
        <w:rPr>
          <w:rFonts w:hint="eastAsia"/>
          <w:highlight w:val="none"/>
          <w:lang w:eastAsia="zh-CN"/>
        </w:rPr>
        <w:t>评审</w:t>
      </w:r>
      <w:r>
        <w:rPr>
          <w:rFonts w:hint="eastAsia"/>
          <w:highlight w:val="none"/>
        </w:rPr>
        <w:t>后得分由高到低顺序排列推荐</w:t>
      </w:r>
      <w:r>
        <w:rPr>
          <w:rFonts w:hint="eastAsia"/>
          <w:highlight w:val="none"/>
          <w:lang w:val="en-US" w:eastAsia="zh-CN"/>
        </w:rPr>
        <w:t>三名</w:t>
      </w:r>
      <w:r>
        <w:rPr>
          <w:rFonts w:hint="eastAsia"/>
          <w:highlight w:val="none"/>
        </w:rPr>
        <w:t>中选候选人。综合得分排名第一的参选人为第一中选候选人，以此类推排名。排名得分相同的按比选文件评分标准</w:t>
      </w:r>
      <w:bookmarkStart w:id="86" w:name="_Toc424733476"/>
      <w:bookmarkStart w:id="87" w:name="_Toc443294656"/>
      <w:r>
        <w:rPr>
          <w:rFonts w:hint="eastAsia"/>
          <w:highlight w:val="none"/>
        </w:rPr>
        <w:t>中参选报价得分由高到低顺序排列。</w:t>
      </w:r>
      <w:bookmarkStart w:id="88" w:name="_Toc14892"/>
      <w:bookmarkStart w:id="89" w:name="_Toc275199617"/>
      <w:bookmarkStart w:id="90" w:name="_Toc440628923"/>
      <w:bookmarkStart w:id="91" w:name="_Toc89675156"/>
    </w:p>
    <w:p>
      <w:pPr>
        <w:pStyle w:val="4"/>
        <w:bidi w:val="0"/>
        <w:rPr>
          <w:rFonts w:hint="eastAsia"/>
          <w:highlight w:val="none"/>
        </w:rPr>
      </w:pPr>
      <w:bookmarkStart w:id="92" w:name="_Toc15059430"/>
      <w:r>
        <w:rPr>
          <w:rFonts w:hint="eastAsia"/>
          <w:highlight w:val="none"/>
        </w:rPr>
        <w:t>二、</w:t>
      </w:r>
      <w:r>
        <w:rPr>
          <w:rFonts w:hint="eastAsia"/>
          <w:highlight w:val="none"/>
          <w:lang w:eastAsia="zh-CN"/>
        </w:rPr>
        <w:t>评审</w:t>
      </w:r>
      <w:r>
        <w:rPr>
          <w:rFonts w:hint="eastAsia"/>
          <w:highlight w:val="none"/>
        </w:rPr>
        <w:t>标准</w:t>
      </w:r>
      <w:bookmarkEnd w:id="88"/>
      <w:bookmarkEnd w:id="89"/>
      <w:bookmarkEnd w:id="90"/>
      <w:bookmarkEnd w:id="91"/>
      <w:bookmarkEnd w:id="92"/>
    </w:p>
    <w:tbl>
      <w:tblPr>
        <w:tblStyle w:val="1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2"/>
        <w:gridCol w:w="1293"/>
        <w:gridCol w:w="1088"/>
        <w:gridCol w:w="1144"/>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bookmarkStart w:id="93" w:name="_Hlk23863469"/>
            <w:r>
              <w:rPr>
                <w:rFonts w:hint="eastAsia" w:ascii="宋体" w:hAnsi="宋体" w:eastAsia="宋体" w:cs="宋体"/>
                <w:b/>
                <w:color w:val="000000"/>
                <w:sz w:val="21"/>
                <w:szCs w:val="21"/>
                <w:highlight w:val="none"/>
              </w:rPr>
              <w:t>序号</w:t>
            </w:r>
          </w:p>
        </w:tc>
        <w:tc>
          <w:tcPr>
            <w:tcW w:w="1062"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分类</w:t>
            </w:r>
          </w:p>
        </w:tc>
        <w:tc>
          <w:tcPr>
            <w:tcW w:w="12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评分指标</w:t>
            </w:r>
          </w:p>
        </w:tc>
        <w:tc>
          <w:tcPr>
            <w:tcW w:w="1088"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分项指标</w:t>
            </w:r>
          </w:p>
        </w:tc>
        <w:tc>
          <w:tcPr>
            <w:tcW w:w="1144"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分项分值</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商务评分(</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0分)</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参选</w:t>
            </w:r>
            <w:r>
              <w:rPr>
                <w:rFonts w:hint="eastAsia" w:ascii="宋体" w:hAnsi="宋体" w:eastAsia="宋体" w:cs="宋体"/>
                <w:color w:val="000000"/>
                <w:sz w:val="21"/>
                <w:szCs w:val="21"/>
                <w:highlight w:val="none"/>
              </w:rPr>
              <w:t>总价</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0分）</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参选价格</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0</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1.以各有效报价之和的平均价格</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lang w:val="en-US" w:eastAsia="zh-CN"/>
              </w:rPr>
              <w:t>90%</w:t>
            </w:r>
            <w:r>
              <w:rPr>
                <w:rFonts w:hint="eastAsia" w:ascii="宋体" w:hAnsi="宋体" w:eastAsia="宋体" w:cs="宋体"/>
                <w:color w:val="000000"/>
                <w:sz w:val="21"/>
                <w:szCs w:val="21"/>
                <w:highlight w:val="none"/>
              </w:rPr>
              <w:t>作为</w:t>
            </w:r>
            <w:r>
              <w:rPr>
                <w:rFonts w:hint="eastAsia" w:ascii="宋体" w:hAnsi="宋体" w:eastAsia="宋体" w:cs="宋体"/>
                <w:color w:val="000000"/>
                <w:sz w:val="21"/>
                <w:szCs w:val="21"/>
                <w:highlight w:val="none"/>
                <w:lang w:eastAsia="zh-CN"/>
              </w:rPr>
              <w:t>评选</w:t>
            </w:r>
            <w:r>
              <w:rPr>
                <w:rFonts w:hint="eastAsia" w:ascii="宋体" w:hAnsi="宋体" w:eastAsia="宋体" w:cs="宋体"/>
                <w:color w:val="000000"/>
                <w:sz w:val="21"/>
                <w:szCs w:val="21"/>
                <w:highlight w:val="none"/>
              </w:rPr>
              <w:t>基准价，基准分为</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0分；</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2.计算各有效报价与基准价的偏离度。偏离度=（有效报价/基准价-1）*100%；</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3.报价向上每偏离基准价的1%扣</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分，向下每偏离基准价的1%扣</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参选人资质</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分）</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同类型实施案例</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val="en-US" w:eastAsia="zh-CN"/>
              </w:rPr>
              <w:t>0</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自2020年1月1日起至参选截止之日止，具有重庆本地金融业同类项目案例(由参选人</w:t>
            </w:r>
            <w:r>
              <w:rPr>
                <w:rFonts w:hint="eastAsia" w:ascii="宋体" w:hAnsi="宋体" w:eastAsia="宋体" w:cs="宋体"/>
                <w:color w:val="000000"/>
                <w:kern w:val="0"/>
                <w:sz w:val="21"/>
                <w:szCs w:val="21"/>
                <w:highlight w:val="none"/>
                <w:lang w:eastAsia="zh-CN"/>
              </w:rPr>
              <w:t>主体</w:t>
            </w:r>
            <w:r>
              <w:rPr>
                <w:rFonts w:hint="eastAsia" w:ascii="宋体" w:hAnsi="宋体" w:eastAsia="宋体" w:cs="宋体"/>
                <w:color w:val="000000"/>
                <w:kern w:val="0"/>
                <w:sz w:val="21"/>
                <w:szCs w:val="21"/>
                <w:highlight w:val="none"/>
              </w:rPr>
              <w:t>所签订的合同，需提供合同复印件和项目简介)。</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1.超过1个案例的（1个案例不得分），每多一个案例加2分，最</w:t>
            </w:r>
            <w:r>
              <w:rPr>
                <w:rFonts w:hint="eastAsia" w:ascii="宋体" w:hAnsi="宋体" w:eastAsia="宋体" w:cs="宋体"/>
                <w:color w:val="000000"/>
                <w:kern w:val="0"/>
                <w:sz w:val="21"/>
                <w:szCs w:val="21"/>
                <w:highlight w:val="none"/>
                <w:lang w:val="en-US" w:eastAsia="zh-CN"/>
              </w:rPr>
              <w:t>多</w:t>
            </w:r>
            <w:r>
              <w:rPr>
                <w:rFonts w:hint="eastAsia" w:ascii="宋体" w:hAnsi="宋体" w:eastAsia="宋体" w:cs="宋体"/>
                <w:color w:val="000000"/>
                <w:kern w:val="0"/>
                <w:sz w:val="21"/>
                <w:szCs w:val="21"/>
                <w:highlight w:val="none"/>
              </w:rPr>
              <w:t>加</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分；</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2.具备单个合同金额不少于393万项目案例的，每多一个案例加2分，最多加4分。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售后服务</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服务水平承诺</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10</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选人所提供的互联网WiFi出现故障时应在4小时内完成故障处理。若因参选人原因造成网络中断的，连续中断4小时或当月累计中断6小时，减免该点位月租费的50%；连续中断6小时或当月累计中断8小时，减免该点位月租费的100%。</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1.承诺做到以上服务水平得</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2.无法承诺以上服务水平得0分。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评分</w:t>
            </w:r>
            <w:bookmarkStart w:id="94" w:name="OLE_LINK7"/>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bookmarkEnd w:id="94"/>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技术指标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技术参数满足情况</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30</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对比选文件中技术要求中各指标项的参数要求进行逐一应答，完全满足要求的得</w:t>
            </w:r>
            <w:r>
              <w:rPr>
                <w:rFonts w:hint="eastAsia" w:ascii="宋体" w:hAnsi="宋体" w:eastAsia="宋体" w:cs="宋体"/>
                <w:color w:val="000000"/>
                <w:sz w:val="21"/>
                <w:szCs w:val="21"/>
                <w:highlight w:val="none"/>
                <w:lang w:val="en-US" w:eastAsia="zh-CN"/>
              </w:rPr>
              <w:t>30分；</w:t>
            </w:r>
          </w:p>
          <w:p>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带“</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”项为主要指标的关键性参数，必须完全满足，若不能完全满足带“</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”项参数的则视为无效参选；</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非带“</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”项参数要求无法满足的，每一项减</w:t>
            </w:r>
            <w:r>
              <w:rPr>
                <w:rFonts w:hint="eastAsia" w:ascii="宋体" w:hAnsi="宋体" w:eastAsia="宋体" w:cs="宋体"/>
                <w:color w:val="000000"/>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37"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381"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合计</w:t>
            </w:r>
          </w:p>
        </w:tc>
        <w:tc>
          <w:tcPr>
            <w:tcW w:w="1144"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100</w:t>
            </w:r>
          </w:p>
        </w:tc>
        <w:tc>
          <w:tcPr>
            <w:tcW w:w="3993"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1"/>
                <w:szCs w:val="21"/>
                <w:highlight w:val="none"/>
              </w:rPr>
            </w:pPr>
          </w:p>
        </w:tc>
      </w:tr>
      <w:bookmarkEnd w:id="86"/>
      <w:bookmarkEnd w:id="87"/>
      <w:bookmarkEnd w:id="93"/>
    </w:tbl>
    <w:p>
      <w:pPr>
        <w:pStyle w:val="4"/>
        <w:bidi w:val="0"/>
        <w:rPr>
          <w:rFonts w:hint="eastAsia"/>
          <w:highlight w:val="none"/>
        </w:rPr>
      </w:pPr>
      <w:bookmarkStart w:id="95" w:name="_Toc440628924"/>
      <w:bookmarkStart w:id="96" w:name="_Toc89675157"/>
      <w:bookmarkStart w:id="97" w:name="_Toc15059431"/>
      <w:bookmarkStart w:id="98" w:name="_Toc275199618"/>
      <w:bookmarkStart w:id="99" w:name="_Toc11439"/>
      <w:r>
        <w:rPr>
          <w:rFonts w:hint="eastAsia"/>
          <w:highlight w:val="none"/>
        </w:rPr>
        <w:t>三、无效</w:t>
      </w:r>
      <w:r>
        <w:rPr>
          <w:highlight w:val="none"/>
        </w:rPr>
        <w:t>参选</w:t>
      </w:r>
      <w:r>
        <w:rPr>
          <w:rFonts w:hint="eastAsia"/>
          <w:highlight w:val="none"/>
        </w:rPr>
        <w:t>条款</w:t>
      </w:r>
      <w:bookmarkEnd w:id="95"/>
      <w:bookmarkEnd w:id="96"/>
      <w:bookmarkEnd w:id="97"/>
      <w:bookmarkEnd w:id="98"/>
      <w:bookmarkEnd w:id="99"/>
    </w:p>
    <w:p>
      <w:pPr>
        <w:bidi w:val="0"/>
        <w:rPr>
          <w:rFonts w:hint="eastAsia"/>
          <w:highlight w:val="none"/>
        </w:rPr>
      </w:pPr>
      <w:r>
        <w:rPr>
          <w:rFonts w:hint="eastAsia"/>
          <w:highlight w:val="none"/>
        </w:rPr>
        <w:t>参选人或其参选文件出现下列情况之一者，应为无效参选：</w:t>
      </w:r>
    </w:p>
    <w:p>
      <w:pPr>
        <w:bidi w:val="0"/>
        <w:rPr>
          <w:highlight w:val="none"/>
        </w:rPr>
      </w:pPr>
      <w:r>
        <w:rPr>
          <w:highlight w:val="none"/>
        </w:rPr>
        <w:t>（一）参选人未按比选文件规定提交足额参选保证金的</w:t>
      </w:r>
      <w:r>
        <w:rPr>
          <w:rFonts w:hint="eastAsia"/>
          <w:highlight w:val="none"/>
        </w:rPr>
        <w:t>。</w:t>
      </w:r>
    </w:p>
    <w:p>
      <w:pPr>
        <w:bidi w:val="0"/>
        <w:rPr>
          <w:highlight w:val="none"/>
        </w:rPr>
      </w:pPr>
      <w:r>
        <w:rPr>
          <w:highlight w:val="none"/>
        </w:rPr>
        <w:t>（二）参选人未通过资格性检查，参选文件未通过符合性检查或参选文件经证实存在弄虚作假的</w:t>
      </w:r>
      <w:r>
        <w:rPr>
          <w:rFonts w:hint="eastAsia"/>
          <w:highlight w:val="none"/>
        </w:rPr>
        <w:t>。</w:t>
      </w:r>
    </w:p>
    <w:p>
      <w:pPr>
        <w:bidi w:val="0"/>
        <w:rPr>
          <w:rFonts w:hint="eastAsia"/>
          <w:highlight w:val="none"/>
        </w:rPr>
      </w:pPr>
      <w:r>
        <w:rPr>
          <w:rFonts w:hint="eastAsia"/>
          <w:highlight w:val="none"/>
        </w:rPr>
        <w:t>（三）参选人超出其营业执照或事业单位法人证书上经营范围（业务范围）参选的。</w:t>
      </w:r>
    </w:p>
    <w:p>
      <w:pPr>
        <w:bidi w:val="0"/>
        <w:rPr>
          <w:rFonts w:hint="eastAsia"/>
          <w:highlight w:val="none"/>
        </w:rPr>
      </w:pPr>
      <w:r>
        <w:rPr>
          <w:rFonts w:hint="eastAsia"/>
          <w:highlight w:val="none"/>
        </w:rPr>
        <w:t>（四）单位负责人为同一人或者存在直接控股、管理关系的不同参选人，不得参加同一合同项下的采购活动，上述参选人的参选均无效。</w:t>
      </w:r>
    </w:p>
    <w:p>
      <w:pPr>
        <w:bidi w:val="0"/>
        <w:rPr>
          <w:highlight w:val="none"/>
        </w:rPr>
      </w:pPr>
      <w:r>
        <w:rPr>
          <w:highlight w:val="none"/>
        </w:rPr>
        <w:t>（五）同一分包的软件，制造商参与参选，再委托代理商参与参选的</w:t>
      </w:r>
      <w:r>
        <w:rPr>
          <w:rFonts w:hint="eastAsia"/>
          <w:highlight w:val="none"/>
        </w:rPr>
        <w:t>。</w:t>
      </w:r>
    </w:p>
    <w:p>
      <w:pPr>
        <w:bidi w:val="0"/>
        <w:rPr>
          <w:highlight w:val="none"/>
        </w:rPr>
      </w:pPr>
      <w:r>
        <w:rPr>
          <w:highlight w:val="none"/>
        </w:rPr>
        <w:t>（六）参选文件不满足比选文件第</w:t>
      </w:r>
      <w:r>
        <w:rPr>
          <w:rFonts w:hint="eastAsia"/>
          <w:highlight w:val="none"/>
          <w:lang w:val="en-US" w:eastAsia="zh-CN"/>
        </w:rPr>
        <w:t>八</w:t>
      </w:r>
      <w:r>
        <w:rPr>
          <w:highlight w:val="none"/>
        </w:rPr>
        <w:t>章参选文件格式中所规定签字、盖章的</w:t>
      </w:r>
      <w:r>
        <w:rPr>
          <w:rFonts w:hint="eastAsia"/>
          <w:highlight w:val="none"/>
        </w:rPr>
        <w:t>。</w:t>
      </w:r>
    </w:p>
    <w:p>
      <w:pPr>
        <w:bidi w:val="0"/>
        <w:rPr>
          <w:highlight w:val="none"/>
        </w:rPr>
      </w:pPr>
      <w:r>
        <w:rPr>
          <w:highlight w:val="none"/>
        </w:rPr>
        <w:t>（七）参选文件出现多个参选方案或参选报价的</w:t>
      </w:r>
      <w:r>
        <w:rPr>
          <w:rFonts w:hint="eastAsia"/>
          <w:highlight w:val="none"/>
        </w:rPr>
        <w:t>。</w:t>
      </w:r>
    </w:p>
    <w:p>
      <w:pPr>
        <w:bidi w:val="0"/>
        <w:rPr>
          <w:highlight w:val="none"/>
        </w:rPr>
      </w:pPr>
      <w:r>
        <w:rPr>
          <w:highlight w:val="none"/>
        </w:rPr>
        <w:t>（八）参选报价超出最高限价的</w:t>
      </w:r>
      <w:r>
        <w:rPr>
          <w:rFonts w:hint="eastAsia"/>
          <w:highlight w:val="none"/>
        </w:rPr>
        <w:t>。</w:t>
      </w:r>
    </w:p>
    <w:p>
      <w:pPr>
        <w:bidi w:val="0"/>
        <w:rPr>
          <w:highlight w:val="none"/>
        </w:rPr>
      </w:pPr>
      <w:r>
        <w:rPr>
          <w:highlight w:val="none"/>
        </w:rPr>
        <w:t>（九）参选文件含有违反国家法律、法规的内容，或附有比选人不能接受的条件的。</w:t>
      </w:r>
    </w:p>
    <w:p>
      <w:pPr>
        <w:bidi w:val="0"/>
        <w:rPr>
          <w:rFonts w:hint="eastAsia"/>
          <w:highlight w:val="none"/>
        </w:rPr>
      </w:pPr>
      <w:r>
        <w:rPr>
          <w:rFonts w:hint="eastAsia"/>
          <w:highlight w:val="none"/>
        </w:rPr>
        <w:t>（十）出现影响比选公正的违法、违规行为的。</w:t>
      </w:r>
    </w:p>
    <w:p>
      <w:pPr>
        <w:bidi w:val="0"/>
        <w:rPr>
          <w:rFonts w:hint="eastAsia"/>
          <w:highlight w:val="none"/>
        </w:rPr>
      </w:pPr>
      <w:r>
        <w:rPr>
          <w:rFonts w:hint="eastAsia"/>
          <w:highlight w:val="none"/>
        </w:rPr>
        <w:t>（十一）与比选人、</w:t>
      </w:r>
      <w:r>
        <w:rPr>
          <w:rFonts w:hint="eastAsia"/>
          <w:highlight w:val="none"/>
          <w:lang w:eastAsia="zh-CN"/>
        </w:rPr>
        <w:t>评审</w:t>
      </w:r>
      <w:r>
        <w:rPr>
          <w:rFonts w:hint="eastAsia"/>
          <w:highlight w:val="none"/>
        </w:rPr>
        <w:t>专家、其他参选人恶意串通。</w:t>
      </w:r>
    </w:p>
    <w:p>
      <w:pPr>
        <w:bidi w:val="0"/>
        <w:rPr>
          <w:rFonts w:hint="eastAsia"/>
          <w:highlight w:val="none"/>
        </w:rPr>
      </w:pPr>
      <w:r>
        <w:rPr>
          <w:rFonts w:hint="eastAsia"/>
          <w:highlight w:val="none"/>
        </w:rPr>
        <w:t>（十二）参选法人发生合并、分立、破产等重大变化后，不再具备比选要求的资格条件的。</w:t>
      </w:r>
    </w:p>
    <w:p>
      <w:pPr>
        <w:bidi w:val="0"/>
        <w:rPr>
          <w:rFonts w:hint="eastAsia"/>
          <w:highlight w:val="none"/>
        </w:rPr>
      </w:pPr>
      <w:r>
        <w:rPr>
          <w:rFonts w:hint="eastAsia"/>
          <w:highlight w:val="none"/>
        </w:rPr>
        <w:t>（十三）提供虚假材料谋取中选资格的。</w:t>
      </w:r>
    </w:p>
    <w:p>
      <w:pPr>
        <w:bidi w:val="0"/>
        <w:rPr>
          <w:rFonts w:hint="eastAsia"/>
          <w:highlight w:val="none"/>
        </w:rPr>
      </w:pPr>
      <w:r>
        <w:rPr>
          <w:rFonts w:hint="eastAsia"/>
          <w:highlight w:val="none"/>
        </w:rPr>
        <w:t>（十四）参选文件含有比选人不能接受的附件条件的。</w:t>
      </w:r>
    </w:p>
    <w:p>
      <w:pPr>
        <w:pStyle w:val="4"/>
        <w:bidi w:val="0"/>
        <w:rPr>
          <w:rFonts w:hint="eastAsia"/>
          <w:highlight w:val="none"/>
        </w:rPr>
      </w:pPr>
      <w:r>
        <w:rPr>
          <w:rFonts w:hint="eastAsia"/>
          <w:highlight w:val="none"/>
          <w:lang w:val="en-US" w:eastAsia="zh-CN"/>
        </w:rPr>
        <w:t>四、</w:t>
      </w:r>
      <w:r>
        <w:rPr>
          <w:rFonts w:hint="eastAsia"/>
          <w:highlight w:val="none"/>
        </w:rPr>
        <w:t>对评</w:t>
      </w:r>
      <w:r>
        <w:rPr>
          <w:rFonts w:hint="eastAsia"/>
          <w:highlight w:val="none"/>
          <w:lang w:val="en-US" w:eastAsia="zh-CN"/>
        </w:rPr>
        <w:t>审</w:t>
      </w:r>
      <w:r>
        <w:rPr>
          <w:rFonts w:hint="eastAsia"/>
          <w:highlight w:val="none"/>
        </w:rPr>
        <w:t>委员会成员的纪律要求</w:t>
      </w:r>
    </w:p>
    <w:p>
      <w:pPr>
        <w:bidi w:val="0"/>
        <w:rPr>
          <w:rFonts w:hint="eastAsia"/>
          <w:highlight w:val="none"/>
        </w:rPr>
      </w:pPr>
      <w:r>
        <w:rPr>
          <w:rFonts w:hint="eastAsia"/>
          <w:highlight w:val="none"/>
          <w:lang w:eastAsia="zh-CN"/>
        </w:rPr>
        <w:t>评审委员会</w:t>
      </w:r>
      <w:r>
        <w:rPr>
          <w:rFonts w:hint="eastAsia"/>
          <w:highlight w:val="none"/>
        </w:rPr>
        <w:t>成员不得收受他人的财物或者其它好处，不得向他人透露对</w:t>
      </w:r>
      <w:r>
        <w:rPr>
          <w:rFonts w:hint="eastAsia"/>
          <w:highlight w:val="none"/>
          <w:lang w:eastAsia="zh-CN"/>
        </w:rPr>
        <w:t>参选文件</w:t>
      </w:r>
      <w:r>
        <w:rPr>
          <w:rFonts w:hint="eastAsia"/>
          <w:highlight w:val="none"/>
        </w:rPr>
        <w:t>的评审和比较、中</w:t>
      </w:r>
      <w:r>
        <w:rPr>
          <w:rFonts w:hint="eastAsia"/>
          <w:highlight w:val="none"/>
          <w:lang w:val="en-US" w:eastAsia="zh-CN"/>
        </w:rPr>
        <w:t>选</w:t>
      </w:r>
      <w:r>
        <w:rPr>
          <w:rFonts w:hint="eastAsia"/>
          <w:highlight w:val="none"/>
        </w:rPr>
        <w:t>候选人的推荐情况以及评</w:t>
      </w:r>
      <w:r>
        <w:rPr>
          <w:rFonts w:hint="eastAsia"/>
          <w:highlight w:val="none"/>
          <w:lang w:val="en-US" w:eastAsia="zh-CN"/>
        </w:rPr>
        <w:t>审</w:t>
      </w:r>
      <w:r>
        <w:rPr>
          <w:rFonts w:hint="eastAsia"/>
          <w:highlight w:val="none"/>
        </w:rPr>
        <w:t>有关的其他情况。在评</w:t>
      </w:r>
      <w:r>
        <w:rPr>
          <w:rFonts w:hint="eastAsia"/>
          <w:highlight w:val="none"/>
          <w:lang w:val="en-US" w:eastAsia="zh-CN"/>
        </w:rPr>
        <w:t>审</w:t>
      </w:r>
      <w:r>
        <w:rPr>
          <w:rFonts w:hint="eastAsia"/>
          <w:highlight w:val="none"/>
        </w:rPr>
        <w:t>活动中，</w:t>
      </w:r>
      <w:r>
        <w:rPr>
          <w:rFonts w:hint="eastAsia"/>
          <w:highlight w:val="none"/>
          <w:lang w:eastAsia="zh-CN"/>
        </w:rPr>
        <w:t>评审委员会</w:t>
      </w:r>
      <w:r>
        <w:rPr>
          <w:rFonts w:hint="eastAsia"/>
          <w:highlight w:val="none"/>
        </w:rPr>
        <w:t>成员不得擅离职守，影响评</w:t>
      </w:r>
      <w:r>
        <w:rPr>
          <w:rFonts w:hint="eastAsia"/>
          <w:highlight w:val="none"/>
          <w:lang w:val="en-US" w:eastAsia="zh-CN"/>
        </w:rPr>
        <w:t>审</w:t>
      </w:r>
      <w:r>
        <w:rPr>
          <w:rFonts w:hint="eastAsia"/>
          <w:highlight w:val="none"/>
        </w:rPr>
        <w:t>程序正常进行，不得使用本</w:t>
      </w:r>
      <w:r>
        <w:rPr>
          <w:rFonts w:hint="eastAsia"/>
          <w:highlight w:val="none"/>
          <w:lang w:val="en-US" w:eastAsia="zh-CN"/>
        </w:rPr>
        <w:t>比选</w:t>
      </w:r>
      <w:r>
        <w:rPr>
          <w:rFonts w:hint="eastAsia"/>
          <w:highlight w:val="none"/>
        </w:rPr>
        <w:t>文件没有规定的评审因素进行评</w:t>
      </w:r>
      <w:r>
        <w:rPr>
          <w:rFonts w:hint="eastAsia"/>
          <w:highlight w:val="none"/>
          <w:lang w:val="en-US" w:eastAsia="zh-CN"/>
        </w:rPr>
        <w:t>审</w:t>
      </w:r>
      <w:r>
        <w:rPr>
          <w:rFonts w:hint="eastAsia"/>
          <w:highlight w:val="none"/>
        </w:rPr>
        <w:t>。</w:t>
      </w:r>
    </w:p>
    <w:p>
      <w:pPr>
        <w:pStyle w:val="4"/>
        <w:bidi w:val="0"/>
        <w:rPr>
          <w:rFonts w:hint="eastAsia"/>
          <w:highlight w:val="none"/>
          <w:lang w:val="en-US" w:eastAsia="zh-CN"/>
        </w:rPr>
      </w:pPr>
      <w:r>
        <w:rPr>
          <w:rFonts w:hint="eastAsia"/>
          <w:highlight w:val="none"/>
          <w:lang w:val="en-US" w:eastAsia="zh-CN"/>
        </w:rPr>
        <w:t>五、对与评审活动有关的工作人员的纪律要求</w:t>
      </w:r>
    </w:p>
    <w:p>
      <w:pPr>
        <w:bidi w:val="0"/>
        <w:rPr>
          <w:rFonts w:hint="eastAsia"/>
          <w:highlight w:val="none"/>
          <w:lang w:eastAsia="zh-CN"/>
        </w:rPr>
      </w:pPr>
      <w:r>
        <w:rPr>
          <w:rFonts w:hint="eastAsia"/>
          <w:highlight w:val="none"/>
          <w:lang w:eastAsia="zh-CN"/>
        </w:rPr>
        <w:t>与评审活动有关的工作人员不得收受他人的财物或者其他好处，不得向他人透漏对参选文件的评审和比较、中</w:t>
      </w:r>
      <w:r>
        <w:rPr>
          <w:rFonts w:hint="eastAsia"/>
          <w:highlight w:val="none"/>
          <w:lang w:val="en-US" w:eastAsia="zh-CN"/>
        </w:rPr>
        <w:t>选</w:t>
      </w:r>
      <w:r>
        <w:rPr>
          <w:rFonts w:hint="eastAsia"/>
          <w:highlight w:val="none"/>
          <w:lang w:eastAsia="zh-CN"/>
        </w:rPr>
        <w:t>候选人的推荐情况以及与评</w:t>
      </w:r>
      <w:r>
        <w:rPr>
          <w:rFonts w:hint="eastAsia"/>
          <w:highlight w:val="none"/>
          <w:lang w:val="en-US" w:eastAsia="zh-CN"/>
        </w:rPr>
        <w:t>审</w:t>
      </w:r>
      <w:r>
        <w:rPr>
          <w:rFonts w:hint="eastAsia"/>
          <w:highlight w:val="none"/>
          <w:lang w:eastAsia="zh-CN"/>
        </w:rPr>
        <w:t>有关的其他情况。在评审活动中，与评审活动有关的工作人员不得擅离职守，影响评审程序正常进行。</w:t>
      </w:r>
    </w:p>
    <w:p>
      <w:pPr>
        <w:pStyle w:val="3"/>
        <w:keepNext w:val="0"/>
        <w:keepLines w:val="0"/>
        <w:pageBreakBefore w:val="0"/>
        <w:widowControl w:val="0"/>
        <w:kinsoku/>
        <w:wordWrap/>
        <w:overflowPunct/>
        <w:autoSpaceDE/>
        <w:autoSpaceDN/>
        <w:bidi w:val="0"/>
        <w:adjustRightInd/>
        <w:snapToGrid w:val="0"/>
        <w:spacing w:before="0"/>
        <w:ind w:left="0" w:leftChars="0" w:right="0" w:rightChars="0" w:firstLine="0" w:firstLineChars="0"/>
        <w:jc w:val="center"/>
        <w:textAlignment w:val="auto"/>
        <w:outlineLvl w:val="0"/>
        <w:rPr>
          <w:rFonts w:hint="eastAsia"/>
          <w:color w:val="000000"/>
          <w:highlight w:val="none"/>
        </w:rPr>
      </w:pPr>
      <w:bookmarkStart w:id="100" w:name="_Toc32977426"/>
      <w:bookmarkStart w:id="101" w:name="_Toc303066033"/>
      <w:bookmarkStart w:id="102" w:name="_Toc89675159"/>
      <w:r>
        <w:rPr>
          <w:rFonts w:hint="eastAsia"/>
          <w:color w:val="000000"/>
          <w:highlight w:val="none"/>
        </w:rPr>
        <w:br w:type="page"/>
      </w:r>
      <w:bookmarkStart w:id="103" w:name="_Toc5966"/>
      <w:r>
        <w:rPr>
          <w:rFonts w:hint="eastAsia"/>
          <w:color w:val="000000"/>
          <w:highlight w:val="none"/>
        </w:rPr>
        <w:t>第</w:t>
      </w:r>
      <w:r>
        <w:rPr>
          <w:color w:val="000000"/>
          <w:highlight w:val="none"/>
        </w:rPr>
        <w:t>七</w:t>
      </w:r>
      <w:r>
        <w:rPr>
          <w:rFonts w:hint="eastAsia"/>
          <w:color w:val="000000"/>
          <w:highlight w:val="none"/>
        </w:rPr>
        <w:t>章 参选人须知</w:t>
      </w:r>
      <w:bookmarkEnd w:id="100"/>
      <w:bookmarkEnd w:id="101"/>
      <w:bookmarkEnd w:id="102"/>
      <w:bookmarkEnd w:id="103"/>
    </w:p>
    <w:p>
      <w:pPr>
        <w:pStyle w:val="4"/>
        <w:bidi w:val="0"/>
        <w:rPr>
          <w:rFonts w:hint="eastAsia"/>
          <w:highlight w:val="none"/>
        </w:rPr>
      </w:pPr>
      <w:bookmarkStart w:id="104" w:name="_Toc89675160"/>
      <w:r>
        <w:rPr>
          <w:rFonts w:hint="eastAsia"/>
          <w:highlight w:val="none"/>
        </w:rPr>
        <w:t>一、</w:t>
      </w:r>
      <w:r>
        <w:rPr>
          <w:highlight w:val="none"/>
        </w:rPr>
        <w:t>参选</w:t>
      </w:r>
      <w:r>
        <w:rPr>
          <w:rFonts w:hint="eastAsia"/>
          <w:highlight w:val="none"/>
        </w:rPr>
        <w:t>费用</w:t>
      </w:r>
      <w:bookmarkEnd w:id="104"/>
    </w:p>
    <w:p>
      <w:pPr>
        <w:bidi w:val="0"/>
        <w:rPr>
          <w:rFonts w:hint="eastAsia"/>
          <w:highlight w:val="none"/>
        </w:rPr>
      </w:pPr>
      <w:r>
        <w:rPr>
          <w:rFonts w:hint="eastAsia"/>
          <w:highlight w:val="none"/>
        </w:rPr>
        <w:t>参选人参与本比选项目时，一切与参选有关的费用均由参选人自理。</w:t>
      </w:r>
    </w:p>
    <w:p>
      <w:pPr>
        <w:bidi w:val="0"/>
        <w:rPr>
          <w:rFonts w:hint="eastAsia"/>
          <w:highlight w:val="none"/>
          <w:lang w:eastAsia="zh-CN"/>
        </w:rPr>
      </w:pPr>
      <w:r>
        <w:rPr>
          <w:rFonts w:hint="eastAsia"/>
          <w:highlight w:val="none"/>
        </w:rPr>
        <w:t>本项目平台服务费为</w:t>
      </w:r>
      <w:r>
        <w:rPr>
          <w:rFonts w:hint="eastAsia"/>
          <w:highlight w:val="none"/>
          <w:lang w:val="en-US" w:eastAsia="zh-CN"/>
        </w:rPr>
        <w:t>中选总金额的5‰</w:t>
      </w:r>
      <w:r>
        <w:rPr>
          <w:rFonts w:hint="eastAsia"/>
          <w:highlight w:val="none"/>
        </w:rPr>
        <w:t>，由中选人向重庆联合产权交易所集团股份有限公司支付。中选人应在领取中选通知书时一次性缴纳</w:t>
      </w:r>
      <w:r>
        <w:rPr>
          <w:rFonts w:hint="eastAsia"/>
          <w:highlight w:val="none"/>
          <w:lang w:eastAsia="zh-CN"/>
        </w:rPr>
        <w:t>。</w:t>
      </w:r>
    </w:p>
    <w:p>
      <w:pPr>
        <w:pStyle w:val="4"/>
        <w:bidi w:val="0"/>
        <w:rPr>
          <w:rFonts w:hint="eastAsia"/>
          <w:highlight w:val="none"/>
        </w:rPr>
      </w:pPr>
      <w:bookmarkStart w:id="105" w:name="_Toc89675161"/>
      <w:r>
        <w:rPr>
          <w:rFonts w:hint="eastAsia"/>
          <w:highlight w:val="none"/>
        </w:rPr>
        <w:t>二、</w:t>
      </w:r>
      <w:r>
        <w:rPr>
          <w:highlight w:val="none"/>
        </w:rPr>
        <w:t>参选</w:t>
      </w:r>
      <w:r>
        <w:rPr>
          <w:rFonts w:hint="eastAsia"/>
          <w:highlight w:val="none"/>
        </w:rPr>
        <w:t>人</w:t>
      </w:r>
      <w:bookmarkEnd w:id="105"/>
    </w:p>
    <w:p>
      <w:pPr>
        <w:bidi w:val="0"/>
        <w:rPr>
          <w:rFonts w:hint="eastAsia"/>
          <w:highlight w:val="none"/>
        </w:rPr>
      </w:pPr>
      <w:r>
        <w:rPr>
          <w:rFonts w:hint="eastAsia"/>
          <w:highlight w:val="none"/>
        </w:rPr>
        <w:t>1、合格参选人条件</w:t>
      </w:r>
    </w:p>
    <w:p>
      <w:pPr>
        <w:bidi w:val="0"/>
        <w:rPr>
          <w:rFonts w:hint="eastAsia"/>
          <w:highlight w:val="none"/>
        </w:rPr>
      </w:pPr>
      <w:r>
        <w:rPr>
          <w:rFonts w:hint="eastAsia"/>
          <w:highlight w:val="none"/>
        </w:rPr>
        <w:t>合格参选人应完全符合比选文件第一章中规定的参选人资格条件，并对比选文件作出实质性响应。</w:t>
      </w:r>
    </w:p>
    <w:p>
      <w:pPr>
        <w:bidi w:val="0"/>
        <w:rPr>
          <w:rFonts w:hint="eastAsia"/>
          <w:highlight w:val="none"/>
        </w:rPr>
      </w:pPr>
      <w:r>
        <w:rPr>
          <w:rFonts w:hint="eastAsia"/>
          <w:highlight w:val="none"/>
        </w:rPr>
        <w:t>2、参选人的风险</w:t>
      </w:r>
    </w:p>
    <w:p>
      <w:pPr>
        <w:bidi w:val="0"/>
        <w:rPr>
          <w:rFonts w:hint="eastAsia"/>
          <w:highlight w:val="none"/>
        </w:rPr>
      </w:pPr>
      <w:r>
        <w:rPr>
          <w:rFonts w:hint="eastAsia"/>
          <w:highlight w:val="none"/>
        </w:rPr>
        <w:t>参选人没有按照比选文件要求提供全部资料，或者参选人没有对比选文件在各方面作出实质性响应，可能导致参选被拒绝或评定为无效参选。</w:t>
      </w:r>
    </w:p>
    <w:p>
      <w:pPr>
        <w:pStyle w:val="4"/>
        <w:bidi w:val="0"/>
        <w:rPr>
          <w:rFonts w:hint="eastAsia"/>
          <w:highlight w:val="none"/>
        </w:rPr>
      </w:pPr>
      <w:bookmarkStart w:id="106" w:name="_Toc89675162"/>
      <w:r>
        <w:rPr>
          <w:rFonts w:hint="eastAsia"/>
          <w:highlight w:val="none"/>
        </w:rPr>
        <w:t>三、比选文件</w:t>
      </w:r>
      <w:bookmarkEnd w:id="106"/>
    </w:p>
    <w:p>
      <w:pPr>
        <w:bidi w:val="0"/>
        <w:rPr>
          <w:rFonts w:hint="eastAsia"/>
          <w:highlight w:val="none"/>
        </w:rPr>
      </w:pPr>
      <w:r>
        <w:rPr>
          <w:rFonts w:hint="eastAsia"/>
          <w:highlight w:val="none"/>
        </w:rPr>
        <w:t>比选文件是参选人编制参选文件的依据，是</w:t>
      </w:r>
      <w:r>
        <w:rPr>
          <w:rFonts w:hint="eastAsia"/>
          <w:highlight w:val="none"/>
          <w:lang w:eastAsia="zh-CN"/>
        </w:rPr>
        <w:t>评审</w:t>
      </w:r>
      <w:r>
        <w:rPr>
          <w:rFonts w:hint="eastAsia"/>
          <w:highlight w:val="none"/>
        </w:rPr>
        <w:t>委员会评判依据和标准。比选文件也是比选人与中选人签订合同的基础。</w:t>
      </w:r>
    </w:p>
    <w:p>
      <w:pPr>
        <w:bidi w:val="0"/>
        <w:rPr>
          <w:rFonts w:hint="eastAsia"/>
          <w:highlight w:val="none"/>
        </w:rPr>
      </w:pPr>
      <w:r>
        <w:rPr>
          <w:rFonts w:hint="eastAsia"/>
          <w:highlight w:val="none"/>
        </w:rPr>
        <w:t>本行对比选文件所作的一切有效的书面通知、修改及补充，都是比选文件不可分割的部分。</w:t>
      </w:r>
    </w:p>
    <w:p>
      <w:pPr>
        <w:pStyle w:val="4"/>
        <w:bidi w:val="0"/>
        <w:rPr>
          <w:rFonts w:hint="eastAsia"/>
          <w:highlight w:val="none"/>
        </w:rPr>
      </w:pPr>
      <w:bookmarkStart w:id="107" w:name="_Toc89675163"/>
      <w:r>
        <w:rPr>
          <w:rFonts w:hint="eastAsia"/>
          <w:highlight w:val="none"/>
        </w:rPr>
        <w:t>四、</w:t>
      </w:r>
      <w:r>
        <w:rPr>
          <w:highlight w:val="none"/>
        </w:rPr>
        <w:t>参选</w:t>
      </w:r>
      <w:bookmarkEnd w:id="107"/>
    </w:p>
    <w:p>
      <w:pPr>
        <w:bidi w:val="0"/>
        <w:rPr>
          <w:rFonts w:hint="eastAsia"/>
          <w:highlight w:val="none"/>
        </w:rPr>
      </w:pPr>
      <w:r>
        <w:rPr>
          <w:rFonts w:hint="eastAsia"/>
          <w:highlight w:val="none"/>
        </w:rPr>
        <w:t>参选人应当按照比选文件的要求编制参选文件，并对比选文件提出的要求和条件作出实质性响应。</w:t>
      </w:r>
    </w:p>
    <w:p>
      <w:pPr>
        <w:pStyle w:val="5"/>
        <w:bidi w:val="0"/>
        <w:rPr>
          <w:rFonts w:hint="eastAsia"/>
          <w:highlight w:val="none"/>
        </w:rPr>
      </w:pPr>
      <w:r>
        <w:rPr>
          <w:rFonts w:hint="eastAsia"/>
          <w:highlight w:val="none"/>
        </w:rPr>
        <w:t>（一）参选文件组成</w:t>
      </w:r>
    </w:p>
    <w:p>
      <w:pPr>
        <w:bidi w:val="0"/>
        <w:rPr>
          <w:rFonts w:hint="eastAsia"/>
          <w:highlight w:val="none"/>
        </w:rPr>
      </w:pPr>
      <w:r>
        <w:rPr>
          <w:rFonts w:hint="eastAsia"/>
          <w:highlight w:val="none"/>
        </w:rPr>
        <w:t>参选文件参选人所作的一切有效补充、修改和承诺等文件组成，参选人应按照第</w:t>
      </w:r>
      <w:r>
        <w:rPr>
          <w:rFonts w:hint="eastAsia"/>
          <w:highlight w:val="none"/>
          <w:lang w:val="en-US" w:eastAsia="zh-CN"/>
        </w:rPr>
        <w:t>八</w:t>
      </w:r>
      <w:r>
        <w:rPr>
          <w:rFonts w:hint="eastAsia"/>
          <w:highlight w:val="none"/>
        </w:rPr>
        <w:t>章“参选文件格式”规定的目录顺序组织编写和装订，否则有可能影响参选人的参选文件响应程度得分。</w:t>
      </w:r>
    </w:p>
    <w:p>
      <w:pPr>
        <w:pStyle w:val="5"/>
        <w:bidi w:val="0"/>
        <w:rPr>
          <w:rFonts w:hint="eastAsia"/>
          <w:highlight w:val="none"/>
        </w:rPr>
      </w:pPr>
      <w:r>
        <w:rPr>
          <w:rFonts w:hint="eastAsia"/>
          <w:highlight w:val="none"/>
        </w:rPr>
        <w:t>（二）联合参选</w:t>
      </w:r>
    </w:p>
    <w:p>
      <w:pPr>
        <w:bidi w:val="0"/>
        <w:rPr>
          <w:rFonts w:hint="eastAsia"/>
          <w:highlight w:val="none"/>
        </w:rPr>
      </w:pPr>
      <w:r>
        <w:rPr>
          <w:rFonts w:hint="eastAsia"/>
          <w:highlight w:val="none"/>
        </w:rPr>
        <w:t>本比选项目不接受联合参选</w:t>
      </w:r>
    </w:p>
    <w:p>
      <w:pPr>
        <w:pStyle w:val="5"/>
        <w:bidi w:val="0"/>
        <w:rPr>
          <w:rFonts w:hint="eastAsia"/>
          <w:highlight w:val="none"/>
        </w:rPr>
      </w:pPr>
      <w:r>
        <w:rPr>
          <w:rFonts w:hint="eastAsia"/>
          <w:highlight w:val="none"/>
        </w:rPr>
        <w:t>（三）参选有效期</w:t>
      </w:r>
    </w:p>
    <w:p>
      <w:pPr>
        <w:bidi w:val="0"/>
        <w:rPr>
          <w:rFonts w:hint="eastAsia"/>
          <w:highlight w:val="none"/>
        </w:rPr>
      </w:pPr>
      <w:r>
        <w:rPr>
          <w:rFonts w:hint="eastAsia"/>
          <w:highlight w:val="none"/>
        </w:rPr>
        <w:t>参选有效期为参选截止日期后90天内。</w:t>
      </w:r>
    </w:p>
    <w:p>
      <w:pPr>
        <w:pStyle w:val="5"/>
        <w:bidi w:val="0"/>
        <w:rPr>
          <w:rFonts w:hint="eastAsia"/>
          <w:highlight w:val="none"/>
        </w:rPr>
      </w:pPr>
      <w:r>
        <w:rPr>
          <w:rFonts w:hint="eastAsia"/>
          <w:highlight w:val="none"/>
        </w:rPr>
        <w:t>（四）参选保证金</w:t>
      </w:r>
    </w:p>
    <w:p>
      <w:pPr>
        <w:bidi w:val="0"/>
        <w:rPr>
          <w:rFonts w:hint="eastAsia"/>
          <w:highlight w:val="none"/>
        </w:rPr>
      </w:pPr>
      <w:r>
        <w:rPr>
          <w:rFonts w:hint="eastAsia"/>
          <w:highlight w:val="none"/>
        </w:rPr>
        <w:t>1、参选人应在参选截止时间前，按比选文件第一章规定向比选人缴纳参选保证金。</w:t>
      </w:r>
    </w:p>
    <w:p>
      <w:pPr>
        <w:bidi w:val="0"/>
        <w:rPr>
          <w:rFonts w:hint="eastAsia"/>
          <w:highlight w:val="none"/>
        </w:rPr>
      </w:pPr>
      <w:r>
        <w:rPr>
          <w:rFonts w:hint="eastAsia"/>
          <w:highlight w:val="none"/>
        </w:rPr>
        <w:t>2、参选保证金为参选的有效约束条件。</w:t>
      </w:r>
    </w:p>
    <w:p>
      <w:pPr>
        <w:bidi w:val="0"/>
        <w:rPr>
          <w:rFonts w:hint="eastAsia"/>
          <w:highlight w:val="none"/>
        </w:rPr>
      </w:pPr>
      <w:r>
        <w:rPr>
          <w:rFonts w:hint="eastAsia"/>
          <w:highlight w:val="none"/>
        </w:rPr>
        <w:t>3、参选保证金有效期与参选文件有效期一致。</w:t>
      </w:r>
    </w:p>
    <w:p>
      <w:pPr>
        <w:bidi w:val="0"/>
        <w:rPr>
          <w:rFonts w:hint="eastAsia"/>
          <w:highlight w:val="none"/>
        </w:rPr>
      </w:pPr>
      <w:r>
        <w:rPr>
          <w:rFonts w:hint="eastAsia"/>
          <w:highlight w:val="none"/>
        </w:rPr>
        <w:t>4、参选保证金币种应与参选报价币种相同。</w:t>
      </w:r>
    </w:p>
    <w:p>
      <w:pPr>
        <w:bidi w:val="0"/>
        <w:rPr>
          <w:rFonts w:hint="eastAsia"/>
          <w:highlight w:val="none"/>
        </w:rPr>
      </w:pPr>
      <w:r>
        <w:rPr>
          <w:rFonts w:hint="eastAsia"/>
          <w:highlight w:val="none"/>
        </w:rPr>
        <w:t>5、</w:t>
      </w:r>
      <w:r>
        <w:rPr>
          <w:rFonts w:hint="eastAsia"/>
          <w:highlight w:val="none"/>
          <w:lang w:eastAsia="zh-CN"/>
        </w:rPr>
        <w:t>参选</w:t>
      </w:r>
      <w:r>
        <w:rPr>
          <w:rFonts w:hint="eastAsia"/>
          <w:highlight w:val="none"/>
        </w:rPr>
        <w:t>保证金的退还</w:t>
      </w:r>
    </w:p>
    <w:p>
      <w:pPr>
        <w:bidi w:val="0"/>
        <w:rPr>
          <w:rFonts w:hint="eastAsia"/>
          <w:highlight w:val="none"/>
        </w:rPr>
      </w:pPr>
      <w:r>
        <w:rPr>
          <w:rFonts w:hint="eastAsia"/>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w:t>
      </w:r>
      <w:r>
        <w:rPr>
          <w:rFonts w:hint="eastAsia"/>
          <w:highlight w:val="none"/>
          <w:lang w:eastAsia="zh-CN"/>
        </w:rPr>
        <w:t>参选</w:t>
      </w:r>
      <w:r>
        <w:rPr>
          <w:rFonts w:hint="eastAsia"/>
          <w:highlight w:val="none"/>
        </w:rPr>
        <w:t>人，退还</w:t>
      </w:r>
      <w:r>
        <w:rPr>
          <w:rFonts w:hint="eastAsia"/>
          <w:highlight w:val="none"/>
          <w:lang w:eastAsia="zh-CN"/>
        </w:rPr>
        <w:t>参选</w:t>
      </w:r>
      <w:r>
        <w:rPr>
          <w:rFonts w:hint="eastAsia"/>
          <w:highlight w:val="none"/>
        </w:rPr>
        <w:t>保证金。</w:t>
      </w:r>
    </w:p>
    <w:p>
      <w:pPr>
        <w:bidi w:val="0"/>
        <w:rPr>
          <w:rFonts w:hint="eastAsia"/>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比选人在合同生效后2个工作日内将签订的合同和保证金退还通知抄告重庆市公共资源交易中心，重庆市公共资源交易中心在收到保证金退还通知后2个工作日内，向中选人和中选候选人退还</w:t>
      </w:r>
      <w:r>
        <w:rPr>
          <w:rFonts w:hint="eastAsia"/>
          <w:highlight w:val="none"/>
          <w:lang w:eastAsia="zh-CN"/>
        </w:rPr>
        <w:t>参选</w:t>
      </w:r>
      <w:r>
        <w:rPr>
          <w:rFonts w:hint="eastAsia"/>
          <w:highlight w:val="none"/>
        </w:rPr>
        <w:t>保证金。</w:t>
      </w:r>
    </w:p>
    <w:p>
      <w:pPr>
        <w:bidi w:val="0"/>
        <w:rPr>
          <w:rFonts w:hint="eastAsia"/>
          <w:highlight w:val="none"/>
        </w:rPr>
      </w:pPr>
      <w:r>
        <w:rPr>
          <w:rFonts w:hint="eastAsia"/>
          <w:highlight w:val="none"/>
          <w:lang w:eastAsia="zh-CN"/>
        </w:rPr>
        <w:t>参选</w:t>
      </w:r>
      <w:r>
        <w:rPr>
          <w:rFonts w:hint="eastAsia"/>
          <w:highlight w:val="none"/>
        </w:rPr>
        <w:t>保证金专用账户由重庆市公共资源交易中心制定，关于保证金相关情况的问题请咨询重庆市公共资源交易中心，联系电话023-63621694。</w:t>
      </w:r>
    </w:p>
    <w:p>
      <w:pPr>
        <w:bidi w:val="0"/>
        <w:rPr>
          <w:rFonts w:hint="eastAsia"/>
          <w:highlight w:val="none"/>
        </w:rPr>
      </w:pPr>
      <w:r>
        <w:rPr>
          <w:rFonts w:hint="eastAsia"/>
          <w:highlight w:val="none"/>
        </w:rPr>
        <w:t>6、参选人有下列情形之一的，参选保证金将不予退还：</w:t>
      </w:r>
    </w:p>
    <w:p>
      <w:pPr>
        <w:bidi w:val="0"/>
        <w:rPr>
          <w:rFonts w:hint="eastAsia"/>
          <w:highlight w:val="none"/>
        </w:rPr>
      </w:pPr>
      <w:r>
        <w:rPr>
          <w:rFonts w:hint="eastAsia"/>
          <w:highlight w:val="none"/>
        </w:rPr>
        <w:t>（1）参选人在参选有效期内撤回参选文件的；</w:t>
      </w:r>
    </w:p>
    <w:p>
      <w:pPr>
        <w:bidi w:val="0"/>
        <w:rPr>
          <w:rFonts w:hint="eastAsia"/>
          <w:highlight w:val="none"/>
        </w:rPr>
      </w:pPr>
      <w:r>
        <w:rPr>
          <w:rFonts w:hint="eastAsia"/>
          <w:highlight w:val="none"/>
        </w:rPr>
        <w:t>（2）参选人在参选过程中弄虚作假，提供虚假材料的；</w:t>
      </w:r>
    </w:p>
    <w:p>
      <w:pPr>
        <w:bidi w:val="0"/>
        <w:rPr>
          <w:rFonts w:hint="eastAsia"/>
          <w:highlight w:val="none"/>
        </w:rPr>
      </w:pPr>
      <w:r>
        <w:rPr>
          <w:rFonts w:hint="eastAsia"/>
          <w:highlight w:val="none"/>
        </w:rPr>
        <w:t>（3）中选人无正当理由不与比选人签订合同的；</w:t>
      </w:r>
    </w:p>
    <w:p>
      <w:pPr>
        <w:bidi w:val="0"/>
        <w:rPr>
          <w:rFonts w:hint="eastAsia"/>
          <w:highlight w:val="none"/>
        </w:rPr>
      </w:pPr>
      <w:r>
        <w:rPr>
          <w:rFonts w:hint="eastAsia"/>
          <w:highlight w:val="none"/>
        </w:rPr>
        <w:t>（4）中选人将中选项目转让给他人或者在参选文件中未说明且未经比选单位同意，将中选项目分包给他人的；</w:t>
      </w:r>
    </w:p>
    <w:p>
      <w:pPr>
        <w:bidi w:val="0"/>
        <w:rPr>
          <w:rFonts w:hint="eastAsia"/>
          <w:highlight w:val="none"/>
        </w:rPr>
      </w:pPr>
      <w:r>
        <w:rPr>
          <w:rFonts w:hint="eastAsia"/>
          <w:highlight w:val="none"/>
        </w:rPr>
        <w:t>（5）中选人拒绝履行合同义务的；</w:t>
      </w:r>
    </w:p>
    <w:p>
      <w:pPr>
        <w:bidi w:val="0"/>
        <w:rPr>
          <w:rFonts w:hint="eastAsia"/>
          <w:highlight w:val="none"/>
        </w:rPr>
      </w:pPr>
      <w:r>
        <w:rPr>
          <w:rFonts w:hint="eastAsia"/>
          <w:highlight w:val="none"/>
        </w:rPr>
        <w:t>（6）其他严重扰乱比选程序的；</w:t>
      </w:r>
    </w:p>
    <w:p>
      <w:pPr>
        <w:pStyle w:val="5"/>
        <w:bidi w:val="0"/>
        <w:rPr>
          <w:rFonts w:hint="eastAsia"/>
          <w:highlight w:val="none"/>
        </w:rPr>
      </w:pPr>
      <w:r>
        <w:rPr>
          <w:rFonts w:hint="eastAsia"/>
          <w:highlight w:val="none"/>
        </w:rPr>
        <w:t>（五）参选文件的份数和签署</w:t>
      </w:r>
    </w:p>
    <w:p>
      <w:pPr>
        <w:bidi w:val="0"/>
        <w:rPr>
          <w:rFonts w:hint="eastAsia"/>
          <w:highlight w:val="none"/>
          <w:lang w:eastAsia="zh-CN"/>
        </w:rPr>
      </w:pPr>
      <w:r>
        <w:rPr>
          <w:rFonts w:hint="eastAsia"/>
          <w:highlight w:val="none"/>
        </w:rPr>
        <w:t>1、参选文件一式</w:t>
      </w:r>
      <w:r>
        <w:rPr>
          <w:rFonts w:hint="eastAsia"/>
          <w:highlight w:val="none"/>
          <w:lang w:val="en-US" w:eastAsia="zh-CN"/>
        </w:rPr>
        <w:t>三</w:t>
      </w:r>
      <w:r>
        <w:rPr>
          <w:rFonts w:hint="eastAsia"/>
          <w:highlight w:val="none"/>
        </w:rPr>
        <w:t>份，其中正本一份，副本一份</w:t>
      </w:r>
      <w:r>
        <w:rPr>
          <w:rFonts w:hint="eastAsia"/>
          <w:highlight w:val="none"/>
          <w:lang w:eastAsia="zh-CN"/>
        </w:rPr>
        <w:t>，</w:t>
      </w:r>
      <w:r>
        <w:rPr>
          <w:rFonts w:hint="eastAsia"/>
          <w:highlight w:val="none"/>
          <w:lang w:val="en-US" w:eastAsia="zh-CN"/>
        </w:rPr>
        <w:t>电子文件一份</w:t>
      </w:r>
      <w:r>
        <w:rPr>
          <w:rFonts w:hint="eastAsia"/>
          <w:highlight w:val="none"/>
          <w:lang w:eastAsia="zh-CN"/>
        </w:rPr>
        <w:t>（光盘或U盘）</w:t>
      </w:r>
      <w:r>
        <w:rPr>
          <w:rFonts w:hint="eastAsia"/>
          <w:highlight w:val="none"/>
          <w:lang w:val="en-US" w:eastAsia="zh-CN"/>
        </w:rPr>
        <w:t>，</w:t>
      </w:r>
      <w:r>
        <w:rPr>
          <w:rFonts w:hint="eastAsia"/>
          <w:highlight w:val="none"/>
        </w:rPr>
        <w:t>正本和副本的封面上应清楚地标记“正本”或“副本”的字样，副本可为正本的复印件，当副本和正本不一致时，以纸质正本为准。电子文件</w:t>
      </w:r>
      <w:r>
        <w:rPr>
          <w:rFonts w:hint="eastAsia"/>
          <w:highlight w:val="none"/>
          <w:lang w:val="en-US" w:eastAsia="zh-CN"/>
        </w:rPr>
        <w:t>单独</w:t>
      </w:r>
      <w:r>
        <w:rPr>
          <w:rFonts w:hint="eastAsia"/>
          <w:highlight w:val="none"/>
        </w:rPr>
        <w:t>装入信封中</w:t>
      </w:r>
      <w:r>
        <w:rPr>
          <w:rFonts w:hint="eastAsia"/>
          <w:highlight w:val="none"/>
          <w:lang w:val="en-US" w:eastAsia="zh-CN"/>
        </w:rPr>
        <w:t>密封，并在信封</w:t>
      </w:r>
      <w:r>
        <w:rPr>
          <w:rFonts w:hint="eastAsia"/>
          <w:highlight w:val="none"/>
        </w:rPr>
        <w:t>表面加盖鲜章（公章）。</w:t>
      </w:r>
    </w:p>
    <w:p>
      <w:pPr>
        <w:bidi w:val="0"/>
        <w:rPr>
          <w:rFonts w:hint="eastAsia"/>
          <w:highlight w:val="none"/>
        </w:rPr>
      </w:pPr>
      <w:r>
        <w:rPr>
          <w:rFonts w:hint="eastAsia"/>
          <w:highlight w:val="none"/>
        </w:rPr>
        <w:t>2、参选文件正本中，每一页均应由参选人加盖公章，其中规定格式的文件应当按要求签名和加盖参选人公章。</w:t>
      </w:r>
    </w:p>
    <w:p>
      <w:pPr>
        <w:bidi w:val="0"/>
        <w:rPr>
          <w:rFonts w:hint="eastAsia"/>
          <w:highlight w:val="none"/>
        </w:rPr>
      </w:pPr>
      <w:r>
        <w:rPr>
          <w:rFonts w:hint="eastAsia"/>
          <w:highlight w:val="none"/>
        </w:rPr>
        <w:t>3、若参选人对参选文件的错处作必要修改，则应在修改处加盖参选人公章或由法人或法人授权代表签字确认。</w:t>
      </w:r>
    </w:p>
    <w:p>
      <w:pPr>
        <w:bidi w:val="0"/>
        <w:rPr>
          <w:rFonts w:hint="eastAsia"/>
          <w:highlight w:val="none"/>
        </w:rPr>
      </w:pPr>
      <w:r>
        <w:rPr>
          <w:rFonts w:hint="eastAsia"/>
          <w:highlight w:val="none"/>
        </w:rPr>
        <w:t>4、电报、电话、传真形式的参选文件概不接受。</w:t>
      </w:r>
    </w:p>
    <w:p>
      <w:pPr>
        <w:pStyle w:val="5"/>
        <w:bidi w:val="0"/>
        <w:rPr>
          <w:rFonts w:hint="eastAsia"/>
          <w:highlight w:val="none"/>
        </w:rPr>
      </w:pPr>
      <w:r>
        <w:rPr>
          <w:rFonts w:hint="eastAsia"/>
          <w:highlight w:val="none"/>
        </w:rPr>
        <w:t>（六）参选报价</w:t>
      </w:r>
    </w:p>
    <w:p>
      <w:pPr>
        <w:bidi w:val="0"/>
        <w:rPr>
          <w:rFonts w:hint="eastAsia"/>
          <w:highlight w:val="none"/>
        </w:rPr>
      </w:pPr>
      <w:r>
        <w:rPr>
          <w:rFonts w:hint="eastAsia"/>
          <w:highlight w:val="none"/>
        </w:rPr>
        <w:t>1、参选人应严格按照“参选文件格式”填写报价。</w:t>
      </w:r>
    </w:p>
    <w:p>
      <w:pPr>
        <w:bidi w:val="0"/>
        <w:rPr>
          <w:rFonts w:hint="eastAsia"/>
          <w:highlight w:val="none"/>
        </w:rPr>
      </w:pPr>
      <w:r>
        <w:rPr>
          <w:rFonts w:hint="eastAsia"/>
          <w:highlight w:val="none"/>
        </w:rPr>
        <w:t>2、参选人的报价为一次性报价，即在参选有效期内参选价格固定不变。</w:t>
      </w:r>
    </w:p>
    <w:p>
      <w:pPr>
        <w:bidi w:val="0"/>
        <w:rPr>
          <w:rFonts w:hint="eastAsia"/>
          <w:highlight w:val="none"/>
        </w:rPr>
      </w:pPr>
      <w:r>
        <w:rPr>
          <w:rFonts w:hint="eastAsia"/>
          <w:highlight w:val="none"/>
        </w:rPr>
        <w:t>3、本项目只接受一个参选报价，有选择的或有条件的参选将不予接受。</w:t>
      </w:r>
    </w:p>
    <w:p>
      <w:pPr>
        <w:pStyle w:val="5"/>
        <w:bidi w:val="0"/>
        <w:rPr>
          <w:rFonts w:hint="eastAsia"/>
          <w:highlight w:val="none"/>
        </w:rPr>
      </w:pPr>
      <w:r>
        <w:rPr>
          <w:rFonts w:hint="eastAsia"/>
          <w:highlight w:val="none"/>
        </w:rPr>
        <w:t>（七）修正错误</w:t>
      </w:r>
    </w:p>
    <w:p>
      <w:pPr>
        <w:bidi w:val="0"/>
        <w:rPr>
          <w:rFonts w:hint="eastAsia"/>
          <w:highlight w:val="none"/>
        </w:rPr>
      </w:pPr>
      <w:r>
        <w:rPr>
          <w:rFonts w:hint="eastAsia"/>
          <w:highlight w:val="none"/>
        </w:rPr>
        <w:t>若参选文件出现计算或表达上的错误，修正错误的原则如下：</w:t>
      </w:r>
    </w:p>
    <w:p>
      <w:pPr>
        <w:bidi w:val="0"/>
        <w:rPr>
          <w:rFonts w:hint="eastAsia"/>
          <w:highlight w:val="none"/>
        </w:rPr>
      </w:pPr>
      <w:r>
        <w:rPr>
          <w:rFonts w:hint="eastAsia"/>
          <w:highlight w:val="none"/>
        </w:rPr>
        <w:t>1、报价一览表总价与参选报价明细表汇总数不一致的，以报价一览表为准；</w:t>
      </w:r>
    </w:p>
    <w:p>
      <w:pPr>
        <w:bidi w:val="0"/>
        <w:rPr>
          <w:rFonts w:hint="eastAsia"/>
          <w:highlight w:val="none"/>
        </w:rPr>
      </w:pPr>
      <w:r>
        <w:rPr>
          <w:rFonts w:hint="eastAsia"/>
          <w:highlight w:val="none"/>
        </w:rPr>
        <w:t>2、参选文件的大写金额和小写金额不一致的，以大写金额为准；</w:t>
      </w:r>
    </w:p>
    <w:p>
      <w:pPr>
        <w:bidi w:val="0"/>
        <w:rPr>
          <w:rFonts w:hint="eastAsia"/>
          <w:highlight w:val="none"/>
        </w:rPr>
      </w:pPr>
      <w:r>
        <w:rPr>
          <w:rFonts w:hint="eastAsia"/>
          <w:highlight w:val="none"/>
        </w:rPr>
        <w:t>3、总价金额与按单价汇总金额不一致的，以单价金额计算结果为准；</w:t>
      </w:r>
    </w:p>
    <w:p>
      <w:pPr>
        <w:bidi w:val="0"/>
        <w:rPr>
          <w:rFonts w:hint="eastAsia"/>
          <w:highlight w:val="none"/>
        </w:rPr>
      </w:pPr>
      <w:r>
        <w:rPr>
          <w:rFonts w:hint="eastAsia"/>
          <w:highlight w:val="none"/>
        </w:rPr>
        <w:t>4、单价金额小数点有明显错位的，应以总价为准，并修正单价；</w:t>
      </w:r>
    </w:p>
    <w:p>
      <w:pPr>
        <w:bidi w:val="0"/>
        <w:rPr>
          <w:rFonts w:hint="eastAsia"/>
          <w:highlight w:val="none"/>
        </w:rPr>
      </w:pPr>
      <w:r>
        <w:rPr>
          <w:rFonts w:hint="eastAsia"/>
          <w:highlight w:val="none"/>
        </w:rPr>
        <w:t>5、对不同文字文本参选文件的解释发生异议的，以中文文本为准。</w:t>
      </w:r>
    </w:p>
    <w:p>
      <w:pPr>
        <w:bidi w:val="0"/>
        <w:rPr>
          <w:rFonts w:hint="eastAsia"/>
          <w:highlight w:val="none"/>
        </w:rPr>
      </w:pPr>
      <w:r>
        <w:rPr>
          <w:rFonts w:hint="eastAsia"/>
          <w:highlight w:val="none"/>
          <w:lang w:eastAsia="zh-CN"/>
        </w:rPr>
        <w:t>评审</w:t>
      </w:r>
      <w:r>
        <w:rPr>
          <w:rFonts w:hint="eastAsia"/>
          <w:highlight w:val="none"/>
        </w:rPr>
        <w:t>委员会按上述修正错误的原则及方法调整或修正参选人参选报价，参选人同意并签字确认后，调整后的参选报价对参选人具有约束作用。如果参选人不接受修正后的报价，则其参选将作为无效参选处理。</w:t>
      </w:r>
    </w:p>
    <w:p>
      <w:pPr>
        <w:pStyle w:val="5"/>
        <w:bidi w:val="0"/>
        <w:rPr>
          <w:rFonts w:hint="eastAsia"/>
          <w:highlight w:val="none"/>
        </w:rPr>
      </w:pPr>
      <w:r>
        <w:rPr>
          <w:rFonts w:hint="eastAsia"/>
          <w:highlight w:val="none"/>
        </w:rPr>
        <w:t>（八）参选文件的递交</w:t>
      </w:r>
    </w:p>
    <w:p>
      <w:pPr>
        <w:bidi w:val="0"/>
        <w:rPr>
          <w:rFonts w:hint="eastAsia"/>
          <w:highlight w:val="none"/>
        </w:rPr>
      </w:pPr>
      <w:r>
        <w:rPr>
          <w:rFonts w:hint="eastAsia"/>
          <w:highlight w:val="none"/>
        </w:rPr>
        <w:t>1、参选文件的密封与标记</w:t>
      </w:r>
    </w:p>
    <w:p>
      <w:pPr>
        <w:bidi w:val="0"/>
        <w:rPr>
          <w:rFonts w:hint="eastAsia"/>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pPr>
        <w:bidi w:val="0"/>
        <w:rPr>
          <w:rFonts w:hint="eastAsia"/>
          <w:highlight w:val="none"/>
        </w:rPr>
      </w:pPr>
      <w:r>
        <w:rPr>
          <w:rFonts w:hint="eastAsia"/>
          <w:highlight w:val="none"/>
        </w:rPr>
        <w:t>如果未按上述规定进行密封和标记，则其参选将作为无效参选处理。</w:t>
      </w:r>
    </w:p>
    <w:p>
      <w:pPr>
        <w:pStyle w:val="4"/>
        <w:bidi w:val="0"/>
        <w:rPr>
          <w:rFonts w:hint="default"/>
          <w:highlight w:val="none"/>
          <w:lang w:val="en-US" w:eastAsia="zh-CN"/>
        </w:rPr>
      </w:pPr>
      <w:bookmarkStart w:id="108" w:name="_Toc89675164"/>
      <w:r>
        <w:rPr>
          <w:rFonts w:hint="eastAsia"/>
          <w:highlight w:val="none"/>
        </w:rPr>
        <w:t>五、</w:t>
      </w:r>
      <w:bookmarkEnd w:id="108"/>
      <w:r>
        <w:rPr>
          <w:rFonts w:hint="eastAsia"/>
          <w:highlight w:val="none"/>
          <w:lang w:val="en-US" w:eastAsia="zh-CN"/>
        </w:rPr>
        <w:t>比选程序</w:t>
      </w:r>
    </w:p>
    <w:p>
      <w:pPr>
        <w:bidi w:val="0"/>
        <w:rPr>
          <w:rFonts w:hint="eastAsia"/>
          <w:highlight w:val="none"/>
        </w:rPr>
      </w:pPr>
      <w:r>
        <w:rPr>
          <w:rFonts w:hint="eastAsia"/>
          <w:highlight w:val="none"/>
        </w:rPr>
        <w:t>主持人按下列程序进行比选：</w:t>
      </w:r>
    </w:p>
    <w:p>
      <w:pPr>
        <w:bidi w:val="0"/>
        <w:rPr>
          <w:rFonts w:hint="eastAsia"/>
          <w:highlight w:val="none"/>
        </w:rPr>
      </w:pPr>
      <w:r>
        <w:rPr>
          <w:rFonts w:hint="eastAsia"/>
          <w:highlight w:val="none"/>
        </w:rPr>
        <w:t>1. 宣布比选纪律；</w:t>
      </w:r>
    </w:p>
    <w:p>
      <w:pPr>
        <w:bidi w:val="0"/>
        <w:rPr>
          <w:rFonts w:hint="eastAsia"/>
          <w:highlight w:val="none"/>
        </w:rPr>
      </w:pPr>
      <w:r>
        <w:rPr>
          <w:rFonts w:hint="eastAsia"/>
          <w:highlight w:val="none"/>
        </w:rPr>
        <w:t>2. 宣布比选人、唱标人、记录人、</w:t>
      </w:r>
      <w:r>
        <w:rPr>
          <w:rFonts w:hint="eastAsia"/>
          <w:highlight w:val="none"/>
          <w:lang w:val="en-US" w:eastAsia="zh-CN"/>
        </w:rPr>
        <w:t>监督</w:t>
      </w:r>
      <w:r>
        <w:rPr>
          <w:rFonts w:hint="eastAsia"/>
          <w:highlight w:val="none"/>
        </w:rPr>
        <w:t>人等有关人员姓名；</w:t>
      </w:r>
    </w:p>
    <w:p>
      <w:pPr>
        <w:bidi w:val="0"/>
        <w:rPr>
          <w:rFonts w:hint="eastAsia"/>
          <w:highlight w:val="none"/>
        </w:rPr>
      </w:pPr>
      <w:r>
        <w:rPr>
          <w:rFonts w:hint="eastAsia"/>
          <w:highlight w:val="none"/>
        </w:rPr>
        <w:t>3. 公布在比选截止时间前递交</w:t>
      </w:r>
      <w:r>
        <w:rPr>
          <w:rFonts w:hint="eastAsia"/>
          <w:highlight w:val="none"/>
          <w:lang w:eastAsia="zh-CN"/>
        </w:rPr>
        <w:t>参选</w:t>
      </w:r>
      <w:r>
        <w:rPr>
          <w:rFonts w:hint="eastAsia"/>
          <w:highlight w:val="none"/>
        </w:rPr>
        <w:t>文件的</w:t>
      </w:r>
      <w:r>
        <w:rPr>
          <w:rFonts w:hint="eastAsia"/>
          <w:highlight w:val="none"/>
          <w:lang w:eastAsia="zh-CN"/>
        </w:rPr>
        <w:t>参选</w:t>
      </w:r>
      <w:r>
        <w:rPr>
          <w:rFonts w:hint="eastAsia"/>
          <w:highlight w:val="none"/>
        </w:rPr>
        <w:t>人名称，并点名确认</w:t>
      </w:r>
      <w:r>
        <w:rPr>
          <w:rFonts w:hint="eastAsia"/>
          <w:highlight w:val="none"/>
          <w:lang w:eastAsia="zh-CN"/>
        </w:rPr>
        <w:t>参选</w:t>
      </w:r>
      <w:r>
        <w:rPr>
          <w:rFonts w:hint="eastAsia"/>
          <w:highlight w:val="none"/>
        </w:rPr>
        <w:t>人是否派人到场；</w:t>
      </w:r>
    </w:p>
    <w:p>
      <w:pPr>
        <w:bidi w:val="0"/>
        <w:rPr>
          <w:rFonts w:hint="eastAsia"/>
          <w:highlight w:val="none"/>
        </w:rPr>
      </w:pPr>
      <w:r>
        <w:rPr>
          <w:rFonts w:hint="eastAsia"/>
          <w:highlight w:val="none"/>
        </w:rPr>
        <w:t>4. 展示</w:t>
      </w:r>
      <w:r>
        <w:rPr>
          <w:rFonts w:hint="eastAsia"/>
          <w:highlight w:val="none"/>
          <w:lang w:eastAsia="zh-CN"/>
        </w:rPr>
        <w:t>参选</w:t>
      </w:r>
      <w:r>
        <w:rPr>
          <w:rFonts w:hint="eastAsia"/>
          <w:highlight w:val="none"/>
        </w:rPr>
        <w:t>保证金，</w:t>
      </w:r>
      <w:r>
        <w:rPr>
          <w:rFonts w:hint="eastAsia"/>
          <w:highlight w:val="none"/>
          <w:lang w:eastAsia="zh-CN"/>
        </w:rPr>
        <w:t>参选</w:t>
      </w:r>
      <w:r>
        <w:rPr>
          <w:rFonts w:hint="eastAsia"/>
          <w:highlight w:val="none"/>
        </w:rPr>
        <w:t>保证金缴款不全或有误的，则记录在案交由</w:t>
      </w:r>
      <w:r>
        <w:rPr>
          <w:rFonts w:hint="eastAsia"/>
          <w:highlight w:val="none"/>
          <w:lang w:eastAsia="zh-CN"/>
        </w:rPr>
        <w:t>评审委员会评审</w:t>
      </w:r>
      <w:r>
        <w:rPr>
          <w:rFonts w:hint="eastAsia"/>
          <w:highlight w:val="none"/>
        </w:rPr>
        <w:t>；</w:t>
      </w:r>
    </w:p>
    <w:p>
      <w:pPr>
        <w:bidi w:val="0"/>
        <w:rPr>
          <w:rFonts w:hint="eastAsia"/>
          <w:highlight w:val="none"/>
        </w:rPr>
      </w:pPr>
      <w:r>
        <w:rPr>
          <w:rFonts w:hint="eastAsia"/>
          <w:highlight w:val="none"/>
        </w:rPr>
        <w:t>5. 封装情况检查：</w:t>
      </w:r>
      <w:r>
        <w:rPr>
          <w:rFonts w:hint="eastAsia"/>
          <w:highlight w:val="none"/>
          <w:lang w:eastAsia="zh-CN"/>
        </w:rPr>
        <w:t>参选</w:t>
      </w:r>
      <w:r>
        <w:rPr>
          <w:rFonts w:hint="eastAsia"/>
          <w:highlight w:val="none"/>
        </w:rPr>
        <w:t>人或者其推选的代表检查各</w:t>
      </w:r>
      <w:r>
        <w:rPr>
          <w:rFonts w:hint="eastAsia"/>
          <w:highlight w:val="none"/>
          <w:lang w:eastAsia="zh-CN"/>
        </w:rPr>
        <w:t>参选</w:t>
      </w:r>
      <w:r>
        <w:rPr>
          <w:rFonts w:hint="eastAsia"/>
          <w:highlight w:val="none"/>
        </w:rPr>
        <w:t>文件的封装情况并确认；</w:t>
      </w:r>
    </w:p>
    <w:p>
      <w:pPr>
        <w:bidi w:val="0"/>
        <w:rPr>
          <w:rFonts w:hint="eastAsia"/>
          <w:highlight w:val="none"/>
        </w:rPr>
      </w:pPr>
      <w:r>
        <w:rPr>
          <w:rFonts w:hint="eastAsia"/>
          <w:highlight w:val="none"/>
        </w:rPr>
        <w:t>6. 设有最高限价的，公布最高限价；</w:t>
      </w:r>
    </w:p>
    <w:p>
      <w:pPr>
        <w:bidi w:val="0"/>
        <w:rPr>
          <w:rFonts w:hint="eastAsia"/>
          <w:highlight w:val="none"/>
        </w:rPr>
      </w:pPr>
      <w:r>
        <w:rPr>
          <w:rFonts w:hint="eastAsia"/>
          <w:highlight w:val="none"/>
        </w:rPr>
        <w:t>7. 开启</w:t>
      </w:r>
      <w:r>
        <w:rPr>
          <w:rFonts w:hint="eastAsia"/>
          <w:highlight w:val="none"/>
          <w:lang w:eastAsia="zh-CN"/>
        </w:rPr>
        <w:t>参选</w:t>
      </w:r>
      <w:r>
        <w:rPr>
          <w:rFonts w:hint="eastAsia"/>
          <w:highlight w:val="none"/>
        </w:rPr>
        <w:t>文件；</w:t>
      </w:r>
    </w:p>
    <w:p>
      <w:pPr>
        <w:bidi w:val="0"/>
        <w:rPr>
          <w:rFonts w:hint="eastAsia"/>
          <w:highlight w:val="none"/>
        </w:rPr>
      </w:pPr>
      <w:r>
        <w:rPr>
          <w:rFonts w:hint="eastAsia"/>
          <w:highlight w:val="none"/>
        </w:rPr>
        <w:t xml:space="preserve">8. </w:t>
      </w:r>
      <w:r>
        <w:rPr>
          <w:rFonts w:hint="eastAsia"/>
          <w:highlight w:val="none"/>
          <w:lang w:val="en-US" w:eastAsia="zh-CN"/>
        </w:rPr>
        <w:t>比选</w:t>
      </w:r>
      <w:r>
        <w:rPr>
          <w:rFonts w:hint="eastAsia"/>
          <w:highlight w:val="none"/>
        </w:rPr>
        <w:t>人代表、</w:t>
      </w:r>
      <w:r>
        <w:rPr>
          <w:rFonts w:hint="eastAsia"/>
          <w:highlight w:val="none"/>
          <w:lang w:eastAsia="zh-CN"/>
        </w:rPr>
        <w:t>参选</w:t>
      </w:r>
      <w:r>
        <w:rPr>
          <w:rFonts w:hint="eastAsia"/>
          <w:highlight w:val="none"/>
        </w:rPr>
        <w:t>人代表、</w:t>
      </w:r>
      <w:r>
        <w:rPr>
          <w:rFonts w:hint="eastAsia"/>
          <w:highlight w:val="none"/>
          <w:lang w:val="en-US" w:eastAsia="zh-CN"/>
        </w:rPr>
        <w:t>监督</w:t>
      </w:r>
      <w:r>
        <w:rPr>
          <w:rFonts w:hint="eastAsia"/>
          <w:highlight w:val="none"/>
        </w:rPr>
        <w:t>人、记录人等有关人员在比选记录上签字确认；</w:t>
      </w:r>
    </w:p>
    <w:p>
      <w:pPr>
        <w:bidi w:val="0"/>
        <w:rPr>
          <w:rFonts w:hint="eastAsia"/>
          <w:highlight w:val="none"/>
        </w:rPr>
      </w:pPr>
      <w:r>
        <w:rPr>
          <w:rFonts w:hint="eastAsia"/>
          <w:highlight w:val="none"/>
        </w:rPr>
        <w:t>9. 比选结束。</w:t>
      </w:r>
    </w:p>
    <w:p>
      <w:pPr>
        <w:pStyle w:val="4"/>
        <w:bidi w:val="0"/>
        <w:rPr>
          <w:rFonts w:hint="eastAsia"/>
          <w:highlight w:val="none"/>
          <w:lang w:eastAsia="zh-CN"/>
        </w:rPr>
      </w:pPr>
      <w:bookmarkStart w:id="109" w:name="_Toc89675165"/>
      <w:r>
        <w:rPr>
          <w:rFonts w:hint="eastAsia"/>
          <w:highlight w:val="none"/>
        </w:rPr>
        <w:t>六、</w:t>
      </w:r>
      <w:bookmarkEnd w:id="109"/>
      <w:r>
        <w:rPr>
          <w:rFonts w:hint="eastAsia"/>
          <w:highlight w:val="none"/>
          <w:lang w:eastAsia="zh-CN"/>
        </w:rPr>
        <w:t>评审</w:t>
      </w:r>
    </w:p>
    <w:p>
      <w:pPr>
        <w:bidi w:val="0"/>
        <w:rPr>
          <w:rFonts w:hint="eastAsia"/>
          <w:highlight w:val="none"/>
        </w:rPr>
      </w:pPr>
      <w:r>
        <w:rPr>
          <w:rFonts w:hint="eastAsia"/>
          <w:highlight w:val="none"/>
        </w:rPr>
        <w:t>见第</w:t>
      </w:r>
      <w:r>
        <w:rPr>
          <w:rFonts w:hint="eastAsia"/>
          <w:highlight w:val="none"/>
          <w:lang w:val="en-US" w:eastAsia="zh-CN"/>
        </w:rPr>
        <w:t>六</w:t>
      </w:r>
      <w:r>
        <w:rPr>
          <w:rFonts w:hint="eastAsia"/>
          <w:highlight w:val="none"/>
        </w:rPr>
        <w:t>章内容。</w:t>
      </w:r>
    </w:p>
    <w:p>
      <w:pPr>
        <w:pStyle w:val="4"/>
        <w:bidi w:val="0"/>
        <w:rPr>
          <w:rFonts w:hint="eastAsia"/>
          <w:highlight w:val="none"/>
        </w:rPr>
      </w:pPr>
      <w:bookmarkStart w:id="110" w:name="_Toc89675166"/>
      <w:r>
        <w:rPr>
          <w:rFonts w:hint="eastAsia"/>
          <w:highlight w:val="none"/>
        </w:rPr>
        <w:t>七、定</w:t>
      </w:r>
      <w:r>
        <w:rPr>
          <w:highlight w:val="none"/>
        </w:rPr>
        <w:t>选</w:t>
      </w:r>
      <w:bookmarkEnd w:id="110"/>
    </w:p>
    <w:p>
      <w:pPr>
        <w:bidi w:val="0"/>
        <w:rPr>
          <w:rFonts w:hint="eastAsia"/>
          <w:highlight w:val="none"/>
        </w:rPr>
      </w:pPr>
      <w:r>
        <w:rPr>
          <w:rFonts w:hint="eastAsia"/>
          <w:highlight w:val="none"/>
        </w:rPr>
        <w:t>1、定选原则</w:t>
      </w:r>
    </w:p>
    <w:p>
      <w:pPr>
        <w:bidi w:val="0"/>
        <w:rPr>
          <w:rFonts w:hint="eastAsia"/>
          <w:highlight w:val="none"/>
        </w:rPr>
      </w:pPr>
      <w:r>
        <w:rPr>
          <w:rFonts w:hint="eastAsia"/>
          <w:highlight w:val="none"/>
        </w:rPr>
        <w:t>比选人按照</w:t>
      </w:r>
      <w:r>
        <w:rPr>
          <w:rFonts w:hint="eastAsia"/>
          <w:highlight w:val="none"/>
          <w:lang w:eastAsia="zh-CN"/>
        </w:rPr>
        <w:t>评审</w:t>
      </w:r>
      <w:r>
        <w:rPr>
          <w:rFonts w:hint="eastAsia"/>
          <w:highlight w:val="none"/>
        </w:rPr>
        <w:t>报告中推荐的中选候选人排名顺序确定中选人，如中选人因不可抗力或者自身原因不能履行合同的，比选人可以确定依次其后的候选人为中选人，以此类推。</w:t>
      </w:r>
    </w:p>
    <w:p>
      <w:pPr>
        <w:bidi w:val="0"/>
        <w:rPr>
          <w:rFonts w:hint="eastAsia"/>
          <w:highlight w:val="none"/>
        </w:rPr>
      </w:pPr>
      <w:r>
        <w:rPr>
          <w:rFonts w:hint="eastAsia"/>
          <w:highlight w:val="none"/>
        </w:rPr>
        <w:t>2、不承诺最低价格中选。</w:t>
      </w:r>
    </w:p>
    <w:p>
      <w:pPr>
        <w:bidi w:val="0"/>
        <w:rPr>
          <w:rFonts w:hint="eastAsia"/>
          <w:highlight w:val="none"/>
        </w:rPr>
      </w:pPr>
      <w:r>
        <w:rPr>
          <w:rFonts w:hint="eastAsia"/>
          <w:highlight w:val="none"/>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rPr>
          <w:rFonts w:hint="eastAsia"/>
          <w:highlight w:val="none"/>
        </w:rPr>
      </w:pPr>
      <w:bookmarkStart w:id="111" w:name="_Toc12245"/>
      <w:bookmarkStart w:id="112" w:name="_Toc89675168"/>
      <w:r>
        <w:rPr>
          <w:rFonts w:hint="eastAsia"/>
          <w:highlight w:val="none"/>
        </w:rPr>
        <w:t>八、签订合同</w:t>
      </w:r>
      <w:bookmarkEnd w:id="111"/>
      <w:bookmarkEnd w:id="112"/>
    </w:p>
    <w:p>
      <w:pPr>
        <w:bidi w:val="0"/>
        <w:rPr>
          <w:rFonts w:hint="eastAsia"/>
          <w:highlight w:val="none"/>
        </w:rPr>
      </w:pPr>
      <w:r>
        <w:rPr>
          <w:rFonts w:hint="eastAsia"/>
          <w:highlight w:val="none"/>
        </w:rPr>
        <w:t>1.比选人指定的使用单位将在自中选通知发出之日起，按照比选人内部流程与中选人签订书面合同。所签订的合同不得对比选文件和中选人参选文件作实质性修改。</w:t>
      </w:r>
    </w:p>
    <w:p>
      <w:pPr>
        <w:bidi w:val="0"/>
        <w:rPr>
          <w:rFonts w:hint="eastAsia"/>
          <w:highlight w:val="none"/>
        </w:rPr>
      </w:pPr>
      <w:r>
        <w:rPr>
          <w:rFonts w:hint="eastAsia"/>
          <w:highlight w:val="none"/>
        </w:rPr>
        <w:t>2.比选文件、中选人的参选文件及澄清文件等，均为签订合同的依据。</w:t>
      </w:r>
    </w:p>
    <w:p>
      <w:pPr>
        <w:bidi w:val="0"/>
        <w:rPr>
          <w:rFonts w:hint="eastAsia"/>
          <w:highlight w:val="none"/>
        </w:rPr>
      </w:pPr>
      <w:r>
        <w:rPr>
          <w:rFonts w:hint="eastAsia"/>
          <w:highlight w:val="none"/>
        </w:rPr>
        <w:t>3.合同生效条款由供需双方约定，法律、行政法规规定应当办理批准、登记等手续后生效的合同，依照其规定。</w:t>
      </w:r>
    </w:p>
    <w:p>
      <w:pPr>
        <w:bidi w:val="0"/>
        <w:rPr>
          <w:rFonts w:hint="eastAsia"/>
          <w:highlight w:val="none"/>
        </w:rPr>
      </w:pPr>
      <w:r>
        <w:rPr>
          <w:rFonts w:hint="eastAsia"/>
          <w:highlight w:val="none"/>
        </w:rPr>
        <w:t>4.签订合同后，若中选人无法按要求履约，比选人可以废除中选人资格，并可选择按照中选候选人顺位与</w:t>
      </w:r>
      <w:r>
        <w:rPr>
          <w:rFonts w:hint="eastAsia"/>
          <w:highlight w:val="none"/>
          <w:lang w:val="en-US" w:eastAsia="zh-CN"/>
        </w:rPr>
        <w:t>下一</w:t>
      </w:r>
      <w:r>
        <w:rPr>
          <w:rFonts w:hint="eastAsia"/>
          <w:highlight w:val="none"/>
        </w:rPr>
        <w:t>候选人签订合同。</w:t>
      </w:r>
    </w:p>
    <w:p>
      <w:pPr>
        <w:pStyle w:val="4"/>
        <w:bidi w:val="0"/>
        <w:rPr>
          <w:rFonts w:hint="eastAsia"/>
          <w:highlight w:val="none"/>
        </w:rPr>
      </w:pPr>
      <w:r>
        <w:rPr>
          <w:rFonts w:hint="eastAsia"/>
          <w:highlight w:val="none"/>
        </w:rPr>
        <w:t>九、纪律与要求</w:t>
      </w:r>
    </w:p>
    <w:p>
      <w:pPr>
        <w:bidi w:val="0"/>
        <w:rPr>
          <w:rFonts w:hint="eastAsia"/>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w:t>
      </w:r>
      <w:r>
        <w:rPr>
          <w:rFonts w:hint="eastAsia"/>
          <w:highlight w:val="none"/>
          <w:lang w:eastAsia="zh-CN"/>
        </w:rPr>
        <w:t>评审</w:t>
      </w:r>
      <w:r>
        <w:rPr>
          <w:rFonts w:hint="eastAsia"/>
          <w:highlight w:val="none"/>
        </w:rPr>
        <w:t>工作。</w:t>
      </w:r>
    </w:p>
    <w:p>
      <w:pPr>
        <w:bidi w:val="0"/>
        <w:rPr>
          <w:rFonts w:hint="eastAsia"/>
          <w:highlight w:val="none"/>
        </w:rPr>
      </w:pPr>
      <w:r>
        <w:rPr>
          <w:rFonts w:hint="eastAsia"/>
          <w:highlight w:val="none"/>
        </w:rPr>
        <w:t>1、有下列情形之一的，属于参选人相互串通参选：</w:t>
      </w:r>
    </w:p>
    <w:p>
      <w:pPr>
        <w:bidi w:val="0"/>
        <w:rPr>
          <w:rFonts w:hint="eastAsia"/>
          <w:highlight w:val="none"/>
        </w:rPr>
      </w:pPr>
      <w:r>
        <w:rPr>
          <w:rFonts w:hint="eastAsia"/>
          <w:highlight w:val="none"/>
        </w:rPr>
        <w:t>（1）参选人之间协商参选报价等参选文件的实质性内容；</w:t>
      </w:r>
    </w:p>
    <w:p>
      <w:pPr>
        <w:bidi w:val="0"/>
        <w:rPr>
          <w:rFonts w:hint="eastAsia"/>
          <w:highlight w:val="none"/>
        </w:rPr>
      </w:pPr>
      <w:r>
        <w:rPr>
          <w:rFonts w:hint="eastAsia"/>
          <w:highlight w:val="none"/>
        </w:rPr>
        <w:t>（2）参选人之间约定中选人；</w:t>
      </w:r>
    </w:p>
    <w:p>
      <w:pPr>
        <w:bidi w:val="0"/>
        <w:rPr>
          <w:rFonts w:hint="eastAsia"/>
          <w:highlight w:val="none"/>
        </w:rPr>
      </w:pPr>
      <w:r>
        <w:rPr>
          <w:rFonts w:hint="eastAsia"/>
          <w:highlight w:val="none"/>
        </w:rPr>
        <w:t>（3）参选人之间约定部分参选人放弃参选或者中选；</w:t>
      </w:r>
    </w:p>
    <w:p>
      <w:pPr>
        <w:bidi w:val="0"/>
        <w:rPr>
          <w:rFonts w:hint="eastAsia"/>
          <w:highlight w:val="none"/>
        </w:rPr>
      </w:pPr>
      <w:r>
        <w:rPr>
          <w:rFonts w:hint="eastAsia"/>
          <w:highlight w:val="none"/>
        </w:rPr>
        <w:t>（4）属于同一集团、协会、商会等组织成员的参选人按照该组织要求协同参选；</w:t>
      </w:r>
    </w:p>
    <w:p>
      <w:pPr>
        <w:bidi w:val="0"/>
        <w:rPr>
          <w:rFonts w:hint="eastAsia"/>
          <w:highlight w:val="none"/>
        </w:rPr>
      </w:pPr>
      <w:r>
        <w:rPr>
          <w:rFonts w:hint="eastAsia"/>
          <w:highlight w:val="none"/>
        </w:rPr>
        <w:t>（5）参选人之间为谋取中选或者排斥特定参选人而采取的其他联合行动。</w:t>
      </w:r>
    </w:p>
    <w:p>
      <w:pPr>
        <w:bidi w:val="0"/>
        <w:rPr>
          <w:rFonts w:hint="eastAsia"/>
          <w:highlight w:val="none"/>
        </w:rPr>
      </w:pPr>
      <w:r>
        <w:rPr>
          <w:rFonts w:hint="eastAsia"/>
          <w:highlight w:val="none"/>
        </w:rPr>
        <w:t>2、有下列情形之一的，视为参选人相互串通参选：</w:t>
      </w:r>
    </w:p>
    <w:p>
      <w:pPr>
        <w:bidi w:val="0"/>
        <w:rPr>
          <w:rFonts w:hint="eastAsia"/>
          <w:highlight w:val="none"/>
        </w:rPr>
      </w:pPr>
      <w:r>
        <w:rPr>
          <w:rFonts w:hint="eastAsia"/>
          <w:highlight w:val="none"/>
        </w:rPr>
        <w:t>（1）不同参选人的参选文件由同一单位或者个人编制；</w:t>
      </w:r>
    </w:p>
    <w:p>
      <w:pPr>
        <w:bidi w:val="0"/>
        <w:rPr>
          <w:rFonts w:hint="eastAsia"/>
          <w:highlight w:val="none"/>
        </w:rPr>
      </w:pPr>
      <w:r>
        <w:rPr>
          <w:rFonts w:hint="eastAsia"/>
          <w:highlight w:val="none"/>
        </w:rPr>
        <w:t>（2）不同参选人委托同一单位或者个人办理参选事宜；</w:t>
      </w:r>
    </w:p>
    <w:p>
      <w:pPr>
        <w:bidi w:val="0"/>
        <w:rPr>
          <w:rFonts w:hint="eastAsia"/>
          <w:highlight w:val="none"/>
        </w:rPr>
      </w:pPr>
      <w:r>
        <w:rPr>
          <w:rFonts w:hint="eastAsia"/>
          <w:highlight w:val="none"/>
        </w:rPr>
        <w:t>（3）不同参选人的参选文件载明的项目管理成员为同一人；</w:t>
      </w:r>
    </w:p>
    <w:p>
      <w:pPr>
        <w:bidi w:val="0"/>
        <w:rPr>
          <w:rFonts w:hint="eastAsia"/>
          <w:highlight w:val="none"/>
        </w:rPr>
      </w:pPr>
      <w:r>
        <w:rPr>
          <w:rFonts w:hint="eastAsia"/>
          <w:highlight w:val="none"/>
        </w:rPr>
        <w:t>（</w:t>
      </w:r>
      <w:r>
        <w:rPr>
          <w:rFonts w:hint="eastAsia"/>
          <w:highlight w:val="none"/>
          <w:lang w:val="en-US" w:eastAsia="zh-CN"/>
        </w:rPr>
        <w:t>4</w:t>
      </w:r>
      <w:r>
        <w:rPr>
          <w:rFonts w:hint="eastAsia"/>
          <w:highlight w:val="none"/>
        </w:rPr>
        <w:t>）不同参选人的参选文件相互混装；</w:t>
      </w:r>
    </w:p>
    <w:p>
      <w:pPr>
        <w:bidi w:val="0"/>
        <w:rPr>
          <w:rFonts w:hint="eastAsia"/>
          <w:highlight w:val="none"/>
        </w:rPr>
      </w:pPr>
      <w:r>
        <w:rPr>
          <w:rFonts w:hint="eastAsia"/>
          <w:highlight w:val="none"/>
        </w:rPr>
        <w:t>（</w:t>
      </w:r>
      <w:r>
        <w:rPr>
          <w:rFonts w:hint="eastAsia"/>
          <w:highlight w:val="none"/>
          <w:lang w:val="en-US" w:eastAsia="zh-CN"/>
        </w:rPr>
        <w:t>5</w:t>
      </w:r>
      <w:r>
        <w:rPr>
          <w:rFonts w:hint="eastAsia"/>
          <w:highlight w:val="none"/>
        </w:rPr>
        <w:t>）不同参选人的参选保证金从同一单位或者个人的账户转出。</w:t>
      </w:r>
    </w:p>
    <w:p>
      <w:pPr>
        <w:bidi w:val="0"/>
        <w:rPr>
          <w:rFonts w:hint="eastAsia"/>
          <w:highlight w:val="none"/>
        </w:rPr>
      </w:pPr>
      <w:r>
        <w:rPr>
          <w:rFonts w:hint="eastAsia"/>
          <w:highlight w:val="none"/>
        </w:rPr>
        <w:t>3、使用通过受让或者租借等方式获取的资格、资质证书参选的，属于以他人名义参选。</w:t>
      </w:r>
    </w:p>
    <w:p>
      <w:pPr>
        <w:bidi w:val="0"/>
        <w:rPr>
          <w:rFonts w:hint="eastAsia"/>
          <w:highlight w:val="none"/>
        </w:rPr>
      </w:pPr>
      <w:r>
        <w:rPr>
          <w:rFonts w:hint="eastAsia"/>
          <w:highlight w:val="none"/>
        </w:rPr>
        <w:t>4、参选人有下列情形之一的，属于其他方式弄虚作假的行为：</w:t>
      </w:r>
    </w:p>
    <w:p>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）使用伪造、变造的许可证件；</w:t>
      </w:r>
    </w:p>
    <w:p>
      <w:pPr>
        <w:bidi w:val="0"/>
        <w:rPr>
          <w:rFonts w:hint="eastAsia"/>
          <w:highlight w:val="none"/>
        </w:rPr>
      </w:pPr>
      <w:r>
        <w:rPr>
          <w:rFonts w:hint="eastAsia"/>
          <w:highlight w:val="none"/>
        </w:rPr>
        <w:t>（</w:t>
      </w:r>
      <w:r>
        <w:rPr>
          <w:rFonts w:hint="eastAsia"/>
          <w:highlight w:val="none"/>
          <w:lang w:val="en-US" w:eastAsia="zh-CN"/>
        </w:rPr>
        <w:t>2</w:t>
      </w:r>
      <w:r>
        <w:rPr>
          <w:rFonts w:hint="eastAsia"/>
          <w:highlight w:val="none"/>
        </w:rPr>
        <w:t>）提供虚假的财务状况或者虚假业绩；</w:t>
      </w:r>
    </w:p>
    <w:p>
      <w:pPr>
        <w:bidi w:val="0"/>
        <w:rPr>
          <w:rFonts w:hint="eastAsia"/>
          <w:highlight w:val="none"/>
        </w:rPr>
      </w:pPr>
      <w:r>
        <w:rPr>
          <w:rFonts w:hint="eastAsia"/>
          <w:highlight w:val="none"/>
        </w:rPr>
        <w:t>（</w:t>
      </w:r>
      <w:r>
        <w:rPr>
          <w:rFonts w:hint="eastAsia"/>
          <w:highlight w:val="none"/>
          <w:lang w:val="en-US" w:eastAsia="zh-CN"/>
        </w:rPr>
        <w:t>3</w:t>
      </w:r>
      <w:r>
        <w:rPr>
          <w:rFonts w:hint="eastAsia"/>
          <w:highlight w:val="none"/>
        </w:rPr>
        <w:t>）提供虚假的项目负责人或者主要技术人员简历、劳动关系证明；</w:t>
      </w:r>
    </w:p>
    <w:p>
      <w:pPr>
        <w:bidi w:val="0"/>
        <w:rPr>
          <w:rFonts w:hint="eastAsia"/>
          <w:highlight w:val="none"/>
        </w:rPr>
      </w:pPr>
      <w:r>
        <w:rPr>
          <w:rFonts w:hint="eastAsia"/>
          <w:highlight w:val="none"/>
        </w:rPr>
        <w:t>（</w:t>
      </w:r>
      <w:r>
        <w:rPr>
          <w:rFonts w:hint="eastAsia"/>
          <w:highlight w:val="none"/>
          <w:lang w:val="en-US" w:eastAsia="zh-CN"/>
        </w:rPr>
        <w:t>4</w:t>
      </w:r>
      <w:r>
        <w:rPr>
          <w:rFonts w:hint="eastAsia"/>
          <w:highlight w:val="none"/>
        </w:rPr>
        <w:t>）提供虚假的信用状况；</w:t>
      </w:r>
    </w:p>
    <w:p>
      <w:pPr>
        <w:bidi w:val="0"/>
        <w:rPr>
          <w:rFonts w:hint="eastAsia"/>
          <w:highlight w:val="none"/>
        </w:rPr>
      </w:pPr>
      <w:r>
        <w:rPr>
          <w:rFonts w:hint="eastAsia"/>
          <w:highlight w:val="none"/>
        </w:rPr>
        <w:t>（</w:t>
      </w:r>
      <w:r>
        <w:rPr>
          <w:rFonts w:hint="eastAsia"/>
          <w:highlight w:val="none"/>
          <w:lang w:val="en-US" w:eastAsia="zh-CN"/>
        </w:rPr>
        <w:t>5</w:t>
      </w:r>
      <w:r>
        <w:rPr>
          <w:rFonts w:hint="eastAsia"/>
          <w:highlight w:val="none"/>
        </w:rPr>
        <w:t>）其它弄虚作假的行为。</w:t>
      </w:r>
    </w:p>
    <w:p>
      <w:pPr>
        <w:bidi w:val="0"/>
        <w:rPr>
          <w:rFonts w:hint="eastAsia"/>
          <w:highlight w:val="none"/>
        </w:rPr>
      </w:pPr>
      <w:r>
        <w:rPr>
          <w:rFonts w:hint="eastAsia"/>
          <w:highlight w:val="none"/>
        </w:rPr>
        <w:t>5、签订合同前后，若中选单位提供的产品测试不合格或与参选文件中的产品不一致，比选人可废除中选人资格。</w:t>
      </w:r>
    </w:p>
    <w:p>
      <w:pPr>
        <w:bidi w:val="0"/>
        <w:rPr>
          <w:rFonts w:hint="eastAsia"/>
          <w:highlight w:val="none"/>
        </w:rPr>
      </w:pPr>
      <w:r>
        <w:rPr>
          <w:rFonts w:hint="eastAsia"/>
          <w:highlight w:val="none"/>
        </w:rPr>
        <w:t>针对以上情况，比选人有权没收参选人的参选保证金，并保留进一步追究由此带来损失的权利。</w:t>
      </w:r>
    </w:p>
    <w:p>
      <w:pPr>
        <w:pStyle w:val="4"/>
        <w:bidi w:val="0"/>
        <w:rPr>
          <w:rFonts w:hint="eastAsia"/>
          <w:highlight w:val="none"/>
        </w:rPr>
      </w:pPr>
      <w:bookmarkStart w:id="113" w:name="_Toc89675169"/>
      <w:r>
        <w:rPr>
          <w:rFonts w:hint="eastAsia"/>
          <w:highlight w:val="none"/>
        </w:rPr>
        <w:t>十、</w:t>
      </w:r>
      <w:r>
        <w:rPr>
          <w:rFonts w:hint="eastAsia"/>
          <w:highlight w:val="none"/>
          <w:lang w:val="en-US" w:eastAsia="zh-CN"/>
        </w:rPr>
        <w:t>提问、</w:t>
      </w:r>
      <w:r>
        <w:rPr>
          <w:rFonts w:hint="eastAsia"/>
          <w:highlight w:val="none"/>
        </w:rPr>
        <w:t>质疑、投诉</w:t>
      </w:r>
    </w:p>
    <w:p>
      <w:pPr>
        <w:bidi w:val="0"/>
        <w:rPr>
          <w:rFonts w:hint="eastAsia"/>
          <w:highlight w:val="none"/>
        </w:rPr>
      </w:pPr>
      <w:r>
        <w:rPr>
          <w:rFonts w:hint="eastAsia"/>
          <w:highlight w:val="none"/>
        </w:rPr>
        <w:t>1</w:t>
      </w:r>
      <w:r>
        <w:rPr>
          <w:highlight w:val="none"/>
        </w:rPr>
        <w:t>.</w:t>
      </w:r>
      <w:r>
        <w:rPr>
          <w:rFonts w:hint="eastAsia"/>
          <w:highlight w:val="none"/>
          <w:lang w:eastAsia="zh-CN"/>
        </w:rPr>
        <w:t>参选</w:t>
      </w:r>
      <w:r>
        <w:rPr>
          <w:rFonts w:hint="eastAsia"/>
          <w:highlight w:val="none"/>
        </w:rPr>
        <w:t>人在下载比选文件后，应仔细检查比选文件的所有内容，如有残缺或文字表述不清，以及存在错、碰、漏、缺、概念模糊和有可能出现歧义或理解上的偏差的内容等应在</w:t>
      </w:r>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w:t>
      </w:r>
      <w:r>
        <w:rPr>
          <w:rFonts w:hint="eastAsia"/>
          <w:highlight w:val="none"/>
        </w:rPr>
        <w:t>分（北京时间）</w:t>
      </w:r>
      <w:r>
        <w:rPr>
          <w:rFonts w:hint="eastAsia"/>
          <w:highlight w:val="none"/>
          <w:lang w:val="en-US" w:eastAsia="zh-CN"/>
        </w:rPr>
        <w:t>前</w:t>
      </w:r>
      <w:r>
        <w:rPr>
          <w:rFonts w:hint="eastAsia"/>
          <w:highlight w:val="none"/>
        </w:rPr>
        <w:t>自行在重庆市公共资源交易网（http://www.cqggzy.com/）比选公告的“我要提问”栏目匿名提</w:t>
      </w:r>
      <w:r>
        <w:rPr>
          <w:rFonts w:hint="eastAsia"/>
          <w:highlight w:val="none"/>
          <w:lang w:val="en-US" w:eastAsia="zh-CN"/>
        </w:rPr>
        <w:t>出</w:t>
      </w:r>
      <w:r>
        <w:rPr>
          <w:rFonts w:hint="eastAsia"/>
          <w:highlight w:val="none"/>
        </w:rPr>
        <w:t>。</w:t>
      </w:r>
      <w:r>
        <w:rPr>
          <w:rFonts w:hint="eastAsia"/>
          <w:highlight w:val="none"/>
          <w:lang w:eastAsia="zh-CN"/>
        </w:rPr>
        <w:t>参选</w:t>
      </w:r>
      <w:r>
        <w:rPr>
          <w:rFonts w:hint="eastAsia"/>
          <w:highlight w:val="none"/>
        </w:rPr>
        <w:t>人未提出，则视为</w:t>
      </w:r>
      <w:r>
        <w:rPr>
          <w:rFonts w:hint="eastAsia"/>
          <w:highlight w:val="none"/>
          <w:lang w:eastAsia="zh-CN"/>
        </w:rPr>
        <w:t>参选</w:t>
      </w:r>
      <w:r>
        <w:rPr>
          <w:rFonts w:hint="eastAsia"/>
          <w:highlight w:val="none"/>
        </w:rPr>
        <w:t>人已全面确认比选文件内容。</w:t>
      </w:r>
    </w:p>
    <w:p>
      <w:pPr>
        <w:bidi w:val="0"/>
        <w:rPr>
          <w:rFonts w:hint="eastAsia"/>
          <w:highlight w:val="none"/>
        </w:rPr>
      </w:pPr>
      <w:r>
        <w:rPr>
          <w:rFonts w:hint="eastAsia"/>
          <w:highlight w:val="none"/>
        </w:rPr>
        <w:t>比选人在认为有必要对</w:t>
      </w:r>
      <w:r>
        <w:rPr>
          <w:rFonts w:hint="eastAsia"/>
          <w:highlight w:val="none"/>
          <w:lang w:eastAsia="zh-CN"/>
        </w:rPr>
        <w:t>参选</w:t>
      </w:r>
      <w:r>
        <w:rPr>
          <w:rFonts w:hint="eastAsia"/>
          <w:highlight w:val="none"/>
        </w:rPr>
        <w:t>人所提问题进行答复或对比选文件进行补充时，将于</w:t>
      </w:r>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16</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w:t>
      </w:r>
      <w:r>
        <w:rPr>
          <w:rFonts w:hint="eastAsia"/>
          <w:highlight w:val="none"/>
        </w:rPr>
        <w:t>分（北京时间）前在《重庆市公共资源交易网（www.cqggzy.com）》“答疑补遗”栏上发布答疑补遗文件。不论</w:t>
      </w:r>
      <w:r>
        <w:rPr>
          <w:rFonts w:hint="eastAsia"/>
          <w:highlight w:val="none"/>
          <w:lang w:eastAsia="zh-CN"/>
        </w:rPr>
        <w:t>参选</w:t>
      </w:r>
      <w:r>
        <w:rPr>
          <w:rFonts w:hint="eastAsia"/>
          <w:highlight w:val="none"/>
        </w:rPr>
        <w:t>人下载与否，都视为</w:t>
      </w:r>
      <w:r>
        <w:rPr>
          <w:rFonts w:hint="eastAsia"/>
          <w:highlight w:val="none"/>
          <w:lang w:eastAsia="zh-CN"/>
        </w:rPr>
        <w:t>参选</w:t>
      </w:r>
      <w:r>
        <w:rPr>
          <w:rFonts w:hint="eastAsia"/>
          <w:highlight w:val="none"/>
        </w:rPr>
        <w:t>人收到有关本项目在《重庆市公共资源交易网（www.cqggzy.com）》上发布的所有资料并全部知晓有关比选过程和事宜，由此产生的一切后果由</w:t>
      </w:r>
      <w:r>
        <w:rPr>
          <w:rFonts w:hint="eastAsia"/>
          <w:highlight w:val="none"/>
          <w:lang w:eastAsia="zh-CN"/>
        </w:rPr>
        <w:t>参选</w:t>
      </w:r>
      <w:r>
        <w:rPr>
          <w:rFonts w:hint="eastAsia"/>
          <w:highlight w:val="none"/>
        </w:rPr>
        <w:t>人自负。补遗内容可能影响</w:t>
      </w:r>
      <w:r>
        <w:rPr>
          <w:rFonts w:hint="eastAsia"/>
          <w:highlight w:val="none"/>
          <w:lang w:eastAsia="zh-CN"/>
        </w:rPr>
        <w:t>参选</w:t>
      </w:r>
      <w:r>
        <w:rPr>
          <w:rFonts w:hint="eastAsia"/>
          <w:highlight w:val="none"/>
        </w:rPr>
        <w:t>文件编制的，须在比选截止时间3日前发布，发布时间至比选截止时间不足3日的，须相应延后比选截止时间。</w:t>
      </w:r>
    </w:p>
    <w:p>
      <w:pPr>
        <w:bidi w:val="0"/>
        <w:rPr>
          <w:rFonts w:hint="default"/>
          <w:highlight w:val="none"/>
          <w:lang w:val="en-US" w:eastAsia="zh-CN"/>
        </w:rPr>
      </w:pPr>
      <w:r>
        <w:rPr>
          <w:rFonts w:hint="eastAsia"/>
          <w:highlight w:val="none"/>
          <w:lang w:val="en-US" w:eastAsia="zh-CN"/>
        </w:rPr>
        <w:t>2.</w:t>
      </w:r>
      <w:r>
        <w:rPr>
          <w:rFonts w:hint="eastAsia"/>
          <w:highlight w:val="none"/>
          <w:lang w:eastAsia="zh-CN"/>
        </w:rPr>
        <w:t>参选</w:t>
      </w:r>
      <w:r>
        <w:rPr>
          <w:rFonts w:hint="eastAsia"/>
          <w:highlight w:val="none"/>
        </w:rPr>
        <w:t>人对比选文件和答疑补遗有</w:t>
      </w:r>
      <w:r>
        <w:rPr>
          <w:rFonts w:hint="eastAsia"/>
          <w:highlight w:val="none"/>
          <w:lang w:val="en-US" w:eastAsia="zh-CN"/>
        </w:rPr>
        <w:t>质疑</w:t>
      </w:r>
      <w:r>
        <w:rPr>
          <w:rFonts w:hint="eastAsia"/>
          <w:highlight w:val="none"/>
        </w:rPr>
        <w:t>的，应当在比选截止时间3日前，以书面形式通知比选人。比选人应当自收到</w:t>
      </w:r>
      <w:r>
        <w:rPr>
          <w:rFonts w:hint="eastAsia"/>
          <w:highlight w:val="none"/>
          <w:lang w:val="en-US" w:eastAsia="zh-CN"/>
        </w:rPr>
        <w:t>质疑</w:t>
      </w:r>
      <w:r>
        <w:rPr>
          <w:rFonts w:hint="eastAsia"/>
          <w:highlight w:val="none"/>
        </w:rPr>
        <w:t>之日起3日内做出答复，并将答复内容以补遗的形式发布。补遗内容可能影响</w:t>
      </w:r>
      <w:r>
        <w:rPr>
          <w:rFonts w:hint="eastAsia"/>
          <w:highlight w:val="none"/>
          <w:lang w:eastAsia="zh-CN"/>
        </w:rPr>
        <w:t>参选</w:t>
      </w:r>
      <w:r>
        <w:rPr>
          <w:rFonts w:hint="eastAsia"/>
          <w:highlight w:val="none"/>
        </w:rPr>
        <w:t>文件编制的，须在比选截止时间3日前发布，发布时间至比选截止时间不足3日的，须相应延后比选截止时间。</w:t>
      </w:r>
    </w:p>
    <w:p>
      <w:pPr>
        <w:bidi w:val="0"/>
        <w:rPr>
          <w:rFonts w:hint="eastAsia"/>
          <w:highlight w:val="none"/>
        </w:rPr>
      </w:pPr>
      <w:r>
        <w:rPr>
          <w:rFonts w:hint="eastAsia"/>
          <w:highlight w:val="none"/>
          <w:lang w:val="en-US" w:eastAsia="zh-CN"/>
        </w:rPr>
        <w:t>3</w:t>
      </w:r>
      <w:r>
        <w:rPr>
          <w:highlight w:val="none"/>
        </w:rPr>
        <w:t>.</w:t>
      </w:r>
      <w:r>
        <w:rPr>
          <w:rFonts w:hint="eastAsia"/>
          <w:highlight w:val="none"/>
        </w:rPr>
        <w:t>参选人对公示的中选结果有</w:t>
      </w:r>
      <w:r>
        <w:rPr>
          <w:rFonts w:hint="eastAsia"/>
          <w:highlight w:val="none"/>
          <w:lang w:val="en-US" w:eastAsia="zh-CN"/>
        </w:rPr>
        <w:t>质疑</w:t>
      </w:r>
      <w:r>
        <w:rPr>
          <w:rFonts w:hint="eastAsia"/>
          <w:highlight w:val="none"/>
        </w:rPr>
        <w:t>，参选人需在公示期内以书面形式向比选人提出质疑。本行在公示截止日期前负责书面答复。</w:t>
      </w:r>
    </w:p>
    <w:p>
      <w:pPr>
        <w:bidi w:val="0"/>
        <w:rPr>
          <w:rFonts w:hint="eastAsia"/>
          <w:highlight w:val="none"/>
        </w:rPr>
      </w:pPr>
      <w:r>
        <w:rPr>
          <w:rFonts w:hint="eastAsia"/>
          <w:highlight w:val="none"/>
          <w:lang w:val="en-US" w:eastAsia="zh-CN"/>
        </w:rPr>
        <w:t>4</w:t>
      </w:r>
      <w:r>
        <w:rPr>
          <w:highlight w:val="none"/>
        </w:rPr>
        <w:t>.</w:t>
      </w:r>
      <w:r>
        <w:rPr>
          <w:rFonts w:hint="eastAsia"/>
          <w:highlight w:val="none"/>
        </w:rPr>
        <w:t>参选人对比选人的答复不满意或者有</w:t>
      </w:r>
      <w:r>
        <w:rPr>
          <w:rFonts w:hint="eastAsia"/>
          <w:highlight w:val="none"/>
          <w:lang w:val="en-US" w:eastAsia="zh-CN"/>
        </w:rPr>
        <w:t>质疑</w:t>
      </w:r>
      <w:r>
        <w:rPr>
          <w:rFonts w:hint="eastAsia"/>
          <w:highlight w:val="none"/>
        </w:rPr>
        <w:t>， 可向本行纪检监察部投诉。</w:t>
      </w:r>
    </w:p>
    <w:p>
      <w:pPr>
        <w:bidi w:val="0"/>
        <w:rPr>
          <w:rFonts w:hint="eastAsia"/>
          <w:highlight w:val="none"/>
        </w:rPr>
      </w:pPr>
      <w:r>
        <w:rPr>
          <w:rFonts w:hint="eastAsia"/>
          <w:highlight w:val="none"/>
        </w:rPr>
        <w:t>采购质疑邮箱：</w:t>
      </w:r>
      <w:r>
        <w:rPr>
          <w:highlight w:val="none"/>
        </w:rPr>
        <w:t>sx.jcb@ccqtgb.com</w:t>
      </w:r>
    </w:p>
    <w:p>
      <w:pPr>
        <w:bidi w:val="0"/>
        <w:rPr>
          <w:rFonts w:hint="eastAsia"/>
          <w:highlight w:val="none"/>
        </w:rPr>
      </w:pPr>
      <w:r>
        <w:rPr>
          <w:rFonts w:hint="eastAsia"/>
          <w:highlight w:val="none"/>
        </w:rPr>
        <w:t>采购投诉邮箱：</w:t>
      </w:r>
      <w:bookmarkStart w:id="114" w:name="_Hlk74215856"/>
      <w:r>
        <w:rPr>
          <w:rFonts w:hint="eastAsia"/>
          <w:highlight w:val="none"/>
        </w:rPr>
        <w:t>sxyhjjz@</w:t>
      </w:r>
      <w:r>
        <w:rPr>
          <w:highlight w:val="none"/>
        </w:rPr>
        <w:t>ccqtgb</w:t>
      </w:r>
      <w:r>
        <w:rPr>
          <w:rFonts w:hint="eastAsia"/>
          <w:highlight w:val="none"/>
        </w:rPr>
        <w:t>.com</w:t>
      </w:r>
      <w:bookmarkEnd w:id="114"/>
    </w:p>
    <w:p>
      <w:pPr>
        <w:pStyle w:val="4"/>
        <w:bidi w:val="0"/>
        <w:rPr>
          <w:rFonts w:hint="eastAsia"/>
          <w:highlight w:val="none"/>
        </w:rPr>
      </w:pPr>
      <w:r>
        <w:rPr>
          <w:rFonts w:hint="eastAsia"/>
          <w:highlight w:val="none"/>
        </w:rPr>
        <w:t>十一、终止</w:t>
      </w:r>
      <w:r>
        <w:rPr>
          <w:highlight w:val="none"/>
        </w:rPr>
        <w:t>比选</w:t>
      </w:r>
      <w:bookmarkEnd w:id="113"/>
    </w:p>
    <w:p>
      <w:pPr>
        <w:bidi w:val="0"/>
        <w:rPr>
          <w:rFonts w:hint="eastAsia"/>
          <w:highlight w:val="none"/>
        </w:rPr>
      </w:pPr>
      <w:r>
        <w:rPr>
          <w:rFonts w:hint="eastAsia"/>
          <w:highlight w:val="none"/>
        </w:rPr>
        <w:t>1、因情况发生变化或其他原因造成该项目取消的，本次比选自动终止，双方互不承担责任，比选人无息退还参选保证金。</w:t>
      </w:r>
    </w:p>
    <w:p>
      <w:pPr>
        <w:bidi w:val="0"/>
        <w:rPr>
          <w:rFonts w:hint="eastAsia"/>
          <w:highlight w:val="none"/>
        </w:rPr>
      </w:pPr>
      <w:r>
        <w:rPr>
          <w:rFonts w:hint="eastAsia"/>
          <w:highlight w:val="none"/>
        </w:rPr>
        <w:t>2、签订合同之前，比选人发现中选候选人经营、财务状况发生较大变化或存在违法行为，比选人认为可能影响其履约能力的，比选人可废除中选人或中选候选人资格。</w:t>
      </w:r>
    </w:p>
    <w:p>
      <w:pPr>
        <w:bidi w:val="0"/>
        <w:rPr>
          <w:rFonts w:hint="eastAsia"/>
          <w:highlight w:val="none"/>
        </w:rPr>
      </w:pPr>
    </w:p>
    <w:p>
      <w:pPr>
        <w:pStyle w:val="3"/>
        <w:bidi w:val="0"/>
        <w:outlineLvl w:val="0"/>
        <w:rPr>
          <w:rFonts w:hint="eastAsia"/>
          <w:highlight w:val="none"/>
        </w:rPr>
      </w:pPr>
      <w:r>
        <w:rPr>
          <w:highlight w:val="none"/>
        </w:rPr>
        <w:br w:type="page"/>
      </w:r>
      <w:bookmarkStart w:id="115" w:name="_Toc303066034"/>
      <w:bookmarkStart w:id="116" w:name="_Toc89675170"/>
      <w:bookmarkStart w:id="117" w:name="_Toc32977427"/>
      <w:bookmarkStart w:id="118" w:name="_Toc2542"/>
      <w:r>
        <w:rPr>
          <w:rFonts w:hint="eastAsia"/>
          <w:highlight w:val="none"/>
        </w:rPr>
        <w:t>第</w:t>
      </w:r>
      <w:r>
        <w:rPr>
          <w:highlight w:val="none"/>
        </w:rPr>
        <w:t>八</w:t>
      </w:r>
      <w:r>
        <w:rPr>
          <w:rFonts w:hint="eastAsia"/>
          <w:highlight w:val="none"/>
        </w:rPr>
        <w:t>章 参选文件</w:t>
      </w:r>
      <w:bookmarkEnd w:id="115"/>
      <w:bookmarkEnd w:id="116"/>
      <w:bookmarkStart w:id="119" w:name="_Toc303066035"/>
      <w:r>
        <w:rPr>
          <w:rFonts w:hint="eastAsia"/>
          <w:highlight w:val="none"/>
        </w:rPr>
        <w:t>格式</w:t>
      </w:r>
      <w:bookmarkEnd w:id="117"/>
      <w:bookmarkEnd w:id="118"/>
    </w:p>
    <w:bookmarkEnd w:id="119"/>
    <w:p>
      <w:pPr>
        <w:keepNext w:val="0"/>
        <w:keepLines w:val="0"/>
        <w:pageBreakBefore w:val="0"/>
        <w:tabs>
          <w:tab w:val="left" w:pos="6516"/>
        </w:tabs>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highlight w:val="none"/>
          <w:u w:val="single"/>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b/>
          <w:color w:val="000000"/>
          <w:kern w:val="0"/>
          <w:sz w:val="40"/>
          <w:highlight w:val="none"/>
        </w:rPr>
      </w:pPr>
      <w:r>
        <w:rPr>
          <w:rFonts w:ascii="宋体"/>
          <w:b/>
          <w:color w:val="000000"/>
          <w:kern w:val="0"/>
          <w:sz w:val="40"/>
          <w:highlight w:val="none"/>
        </w:rPr>
        <w:t>重庆三峡银行</w:t>
      </w: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b/>
          <w:color w:val="000000"/>
          <w:kern w:val="0"/>
          <w:sz w:val="40"/>
          <w:highlight w:val="none"/>
        </w:rPr>
      </w:pPr>
      <w:r>
        <w:rPr>
          <w:rFonts w:ascii="宋体"/>
          <w:b/>
          <w:color w:val="000000"/>
          <w:kern w:val="0"/>
          <w:sz w:val="40"/>
          <w:highlight w:val="none"/>
        </w:rPr>
        <w:t>全行互联网WiFi接入模式优化</w:t>
      </w:r>
      <w:r>
        <w:rPr>
          <w:rFonts w:hint="eastAsia" w:ascii="宋体"/>
          <w:b/>
          <w:color w:val="000000"/>
          <w:kern w:val="0"/>
          <w:sz w:val="40"/>
          <w:highlight w:val="none"/>
        </w:rPr>
        <w:t>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color w:val="000000"/>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color w:val="000000"/>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b/>
          <w:color w:val="000000"/>
          <w:kern w:val="0"/>
          <w:sz w:val="84"/>
          <w:highlight w:val="none"/>
        </w:rPr>
      </w:pPr>
      <w:r>
        <w:rPr>
          <w:rFonts w:hint="eastAsia" w:ascii="宋体"/>
          <w:b/>
          <w:color w:val="000000"/>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color w:val="000000"/>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hint="eastAsia" w:ascii="宋体"/>
          <w:b/>
          <w:color w:val="000000"/>
          <w:kern w:val="0"/>
          <w:sz w:val="20"/>
          <w:highlight w:val="none"/>
        </w:rPr>
      </w:pPr>
    </w:p>
    <w:p>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b/>
          <w:color w:val="000000"/>
          <w:w w:val="99"/>
          <w:kern w:val="0"/>
          <w:highlight w:val="none"/>
        </w:rPr>
      </w:pPr>
      <w:r>
        <w:rPr>
          <w:rFonts w:hint="eastAsia" w:ascii="宋体"/>
          <w:b/>
          <w:snapToGrid w:val="0"/>
          <w:color w:val="000000"/>
          <w:w w:val="99"/>
          <w:kern w:val="0"/>
          <w:szCs w:val="2"/>
          <w:highlight w:val="none"/>
        </w:rPr>
        <w:t>参选</w:t>
      </w:r>
      <w:r>
        <w:rPr>
          <w:rFonts w:hint="eastAsia" w:ascii="宋体"/>
          <w:b/>
          <w:color w:val="000000"/>
          <w:w w:val="99"/>
          <w:kern w:val="0"/>
          <w:highlight w:val="none"/>
        </w:rPr>
        <w:t>人</w:t>
      </w:r>
      <w:r>
        <w:rPr>
          <w:rFonts w:hint="eastAsia" w:ascii="宋体"/>
          <w:b/>
          <w:color w:val="000000"/>
          <w:spacing w:val="1"/>
          <w:w w:val="99"/>
          <w:kern w:val="0"/>
          <w:highlight w:val="none"/>
        </w:rPr>
        <w:t>：</w:t>
      </w:r>
      <w:r>
        <w:rPr>
          <w:rFonts w:hint="eastAsia" w:ascii="宋体"/>
          <w:b/>
          <w:color w:val="000000"/>
          <w:w w:val="198"/>
          <w:kern w:val="0"/>
          <w:highlight w:val="none"/>
          <w:u w:val="single"/>
        </w:rPr>
        <w:t xml:space="preserve"> 　　　　 　　</w:t>
      </w:r>
      <w:r>
        <w:rPr>
          <w:rFonts w:hint="eastAsia" w:ascii="宋体"/>
          <w:b/>
          <w:color w:val="000000"/>
          <w:w w:val="99"/>
          <w:kern w:val="0"/>
          <w:highlight w:val="none"/>
        </w:rPr>
        <w:t>（盖单位公章）</w:t>
      </w:r>
    </w:p>
    <w:p>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b/>
          <w:color w:val="000000"/>
          <w:kern w:val="0"/>
          <w:highlight w:val="none"/>
        </w:rPr>
      </w:pPr>
      <w:r>
        <w:rPr>
          <w:rFonts w:hint="eastAsia" w:ascii="宋体"/>
          <w:b/>
          <w:color w:val="000000"/>
          <w:w w:val="99"/>
          <w:kern w:val="0"/>
          <w:highlight w:val="none"/>
        </w:rPr>
        <w:t>法定代表人或其委托代理人：</w:t>
      </w:r>
      <w:r>
        <w:rPr>
          <w:rFonts w:hint="eastAsia" w:ascii="宋体"/>
          <w:b/>
          <w:color w:val="000000"/>
          <w:w w:val="198"/>
          <w:kern w:val="0"/>
          <w:highlight w:val="none"/>
          <w:u w:val="single"/>
        </w:rPr>
        <w:t xml:space="preserve"> 　　 　</w:t>
      </w:r>
      <w:r>
        <w:rPr>
          <w:rFonts w:hint="eastAsia" w:ascii="宋体"/>
          <w:b/>
          <w:color w:val="000000"/>
          <w:w w:val="99"/>
          <w:kern w:val="0"/>
          <w:highlight w:val="none"/>
        </w:rPr>
        <w:t>（签字）</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b/>
          <w:color w:val="000000"/>
          <w:w w:val="99"/>
          <w:kern w:val="0"/>
          <w:highlight w:val="none"/>
        </w:rPr>
      </w:pPr>
      <w:r>
        <w:rPr>
          <w:rFonts w:hint="eastAsia" w:ascii="宋体"/>
          <w:b/>
          <w:color w:val="000000"/>
          <w:w w:val="99"/>
          <w:kern w:val="0"/>
          <w:highlight w:val="none"/>
          <w:u w:val="single"/>
        </w:rPr>
        <w:t xml:space="preserve">     　</w:t>
      </w:r>
      <w:r>
        <w:rPr>
          <w:rFonts w:hint="eastAsia" w:ascii="宋体"/>
          <w:b/>
          <w:color w:val="000000"/>
          <w:w w:val="99"/>
          <w:kern w:val="0"/>
          <w:highlight w:val="none"/>
        </w:rPr>
        <w:t>年月日</w:t>
      </w:r>
    </w:p>
    <w:p>
      <w:pPr>
        <w:keepNext w:val="0"/>
        <w:keepLines w:val="0"/>
        <w:pageBreakBefore w:val="0"/>
        <w:widowControl w:val="0"/>
        <w:tabs>
          <w:tab w:val="left" w:pos="6300"/>
        </w:tabs>
        <w:kinsoku/>
        <w:wordWrap/>
        <w:overflowPunct/>
        <w:topLinePunct w:val="0"/>
        <w:bidi w:val="0"/>
        <w:snapToGrid w:val="0"/>
        <w:spacing w:line="360" w:lineRule="auto"/>
        <w:ind w:right="0" w:rightChars="0" w:firstLine="0" w:firstLineChars="0"/>
        <w:jc w:val="center"/>
        <w:textAlignment w:val="auto"/>
        <w:outlineLvl w:val="1"/>
        <w:rPr>
          <w:rStyle w:val="28"/>
          <w:rFonts w:hint="eastAsia"/>
          <w:highlight w:val="none"/>
        </w:rPr>
      </w:pPr>
      <w:r>
        <w:rPr>
          <w:rFonts w:hint="eastAsia" w:ascii="宋体"/>
          <w:b/>
          <w:color w:val="000000"/>
          <w:kern w:val="0"/>
          <w:highlight w:val="none"/>
        </w:rPr>
        <w:br w:type="page"/>
      </w:r>
      <w:r>
        <w:rPr>
          <w:rStyle w:val="28"/>
          <w:rFonts w:hint="eastAsia"/>
          <w:highlight w:val="none"/>
        </w:rPr>
        <w:t>目  录</w:t>
      </w:r>
    </w:p>
    <w:p>
      <w:pPr>
        <w:snapToGrid w:val="0"/>
        <w:spacing w:line="360" w:lineRule="auto"/>
        <w:ind w:firstLine="480" w:firstLineChars="200"/>
        <w:rPr>
          <w:rFonts w:hint="eastAsia" w:ascii="宋体"/>
          <w:snapToGrid w:val="0"/>
          <w:color w:val="000000"/>
          <w:kern w:val="0"/>
          <w:sz w:val="24"/>
          <w:szCs w:val="24"/>
          <w:highlight w:val="none"/>
        </w:rPr>
      </w:pP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一、</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函</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二、</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人基本情况介绍，资质证明等</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三、</w:t>
      </w:r>
      <w:r>
        <w:rPr>
          <w:rFonts w:hint="eastAsia" w:ascii="宋体"/>
          <w:snapToGrid w:val="0"/>
          <w:color w:val="000000"/>
          <w:kern w:val="0"/>
          <w:sz w:val="24"/>
          <w:szCs w:val="24"/>
          <w:highlight w:val="none"/>
        </w:rPr>
        <w:t>法定代表人身份证明及授权委托书</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四、</w:t>
      </w:r>
      <w:r>
        <w:rPr>
          <w:rFonts w:hint="eastAsia" w:ascii="宋体"/>
          <w:snapToGrid w:val="0"/>
          <w:color w:val="000000"/>
          <w:kern w:val="0"/>
          <w:sz w:val="24"/>
          <w:szCs w:val="24"/>
          <w:highlight w:val="none"/>
        </w:rPr>
        <w:t>报价一览表</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五、</w:t>
      </w:r>
      <w:r>
        <w:rPr>
          <w:rFonts w:hint="eastAsia" w:ascii="宋体"/>
          <w:snapToGrid w:val="0"/>
          <w:color w:val="000000"/>
          <w:kern w:val="0"/>
          <w:sz w:val="24"/>
          <w:szCs w:val="24"/>
          <w:highlight w:val="none"/>
        </w:rPr>
        <w:t>分项报价明细表</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六、</w:t>
      </w:r>
      <w:r>
        <w:rPr>
          <w:rFonts w:hint="eastAsia" w:ascii="宋体"/>
          <w:snapToGrid w:val="0"/>
          <w:color w:val="000000"/>
          <w:kern w:val="0"/>
          <w:sz w:val="24"/>
          <w:szCs w:val="24"/>
          <w:highlight w:val="none"/>
        </w:rPr>
        <w:t>书面声明</w:t>
      </w:r>
    </w:p>
    <w:p>
      <w:pPr>
        <w:numPr>
          <w:ilvl w:val="0"/>
          <w:numId w:val="0"/>
        </w:numPr>
        <w:snapToGrid w:val="0"/>
        <w:spacing w:line="360" w:lineRule="auto"/>
        <w:ind w:left="480" w:firstLine="480"/>
        <w:rPr>
          <w:rFonts w:hint="eastAsia" w:ascii="宋体"/>
          <w:snapToGrid w:val="0"/>
          <w:color w:val="000000"/>
          <w:kern w:val="0"/>
          <w:szCs w:val="24"/>
          <w:highlight w:val="none"/>
        </w:rPr>
      </w:pPr>
      <w:r>
        <w:rPr>
          <w:rFonts w:hint="eastAsia" w:ascii="宋体" w:cs="Cambria Math"/>
          <w:snapToGrid w:val="0"/>
          <w:color w:val="000000"/>
          <w:kern w:val="0"/>
          <w:sz w:val="24"/>
          <w:szCs w:val="24"/>
          <w:highlight w:val="none"/>
          <w:lang w:val="en-US" w:eastAsia="zh-CN"/>
        </w:rPr>
        <w:t>七、</w:t>
      </w:r>
      <w:r>
        <w:rPr>
          <w:rFonts w:hint="eastAsia" w:ascii="宋体" w:cs="Cambria Math"/>
          <w:snapToGrid w:val="0"/>
          <w:color w:val="000000"/>
          <w:kern w:val="0"/>
          <w:sz w:val="24"/>
          <w:szCs w:val="24"/>
          <w:highlight w:val="none"/>
        </w:rPr>
        <w:t>中国执行信息公开网截图</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cs="Cambria Math"/>
          <w:snapToGrid w:val="0"/>
          <w:color w:val="000000"/>
          <w:kern w:val="0"/>
          <w:sz w:val="24"/>
          <w:szCs w:val="24"/>
          <w:highlight w:val="none"/>
          <w:lang w:val="en-US" w:eastAsia="zh-CN" w:bidi="ar-SA"/>
        </w:rPr>
        <w:t>八</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人业绩证明文件复印件</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cs="Cambria Math"/>
          <w:snapToGrid w:val="0"/>
          <w:color w:val="000000"/>
          <w:kern w:val="0"/>
          <w:sz w:val="24"/>
          <w:szCs w:val="24"/>
          <w:highlight w:val="none"/>
          <w:lang w:val="en-US" w:eastAsia="zh-CN" w:bidi="ar-SA"/>
        </w:rPr>
        <w:t>九</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snapToGrid w:val="0"/>
          <w:color w:val="000000"/>
          <w:kern w:val="0"/>
          <w:sz w:val="24"/>
          <w:szCs w:val="24"/>
          <w:highlight w:val="none"/>
        </w:rPr>
        <w:t>项目实施方案</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cs="Cambria Math"/>
          <w:snapToGrid w:val="0"/>
          <w:color w:val="000000"/>
          <w:kern w:val="0"/>
          <w:sz w:val="24"/>
          <w:szCs w:val="24"/>
          <w:highlight w:val="none"/>
          <w:lang w:val="en-US" w:eastAsia="zh-CN" w:bidi="ar-SA"/>
        </w:rPr>
        <w:t>十</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snapToGrid w:val="0"/>
          <w:color w:val="000000"/>
          <w:kern w:val="0"/>
          <w:sz w:val="24"/>
          <w:szCs w:val="24"/>
          <w:highlight w:val="none"/>
        </w:rPr>
        <w:t>售后服务方案</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十</w:t>
      </w:r>
      <w:r>
        <w:rPr>
          <w:rFonts w:hint="eastAsia" w:ascii="宋体" w:cs="Cambria Math"/>
          <w:snapToGrid w:val="0"/>
          <w:color w:val="000000"/>
          <w:kern w:val="0"/>
          <w:sz w:val="24"/>
          <w:szCs w:val="24"/>
          <w:highlight w:val="none"/>
          <w:lang w:val="en-US" w:eastAsia="zh-CN" w:bidi="ar-SA"/>
        </w:rPr>
        <w:t>一</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snapToGrid w:val="0"/>
          <w:color w:val="000000"/>
          <w:kern w:val="0"/>
          <w:sz w:val="24"/>
          <w:szCs w:val="24"/>
          <w:highlight w:val="none"/>
        </w:rPr>
        <w:t>技术条款偏离度</w:t>
      </w:r>
    </w:p>
    <w:p>
      <w:pPr>
        <w:numPr>
          <w:ilvl w:val="-1"/>
          <w:numId w:val="0"/>
        </w:numPr>
        <w:snapToGrid w:val="0"/>
        <w:spacing w:line="360" w:lineRule="auto"/>
        <w:ind w:left="480" w:leftChars="200" w:firstLine="480" w:firstLineChars="20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lang w:val="en-US" w:eastAsia="zh-CN"/>
        </w:rPr>
        <w:t>十二、</w:t>
      </w:r>
      <w:r>
        <w:rPr>
          <w:rFonts w:hint="eastAsia" w:ascii="宋体"/>
          <w:snapToGrid w:val="0"/>
          <w:color w:val="000000"/>
          <w:kern w:val="0"/>
          <w:sz w:val="24"/>
          <w:szCs w:val="24"/>
          <w:highlight w:val="none"/>
        </w:rPr>
        <w:t>商务条款偏离度</w:t>
      </w:r>
    </w:p>
    <w:p>
      <w:pPr>
        <w:numPr>
          <w:ilvl w:val="0"/>
          <w:numId w:val="0"/>
        </w:numPr>
        <w:snapToGrid w:val="0"/>
        <w:spacing w:line="360" w:lineRule="auto"/>
        <w:ind w:left="480" w:firstLine="480"/>
        <w:rPr>
          <w:rFonts w:hint="eastAsia" w:ascii="宋体"/>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十</w:t>
      </w:r>
      <w:r>
        <w:rPr>
          <w:rFonts w:hint="eastAsia" w:ascii="宋体" w:cs="Cambria Math"/>
          <w:snapToGrid w:val="0"/>
          <w:color w:val="000000"/>
          <w:kern w:val="0"/>
          <w:sz w:val="24"/>
          <w:szCs w:val="24"/>
          <w:highlight w:val="none"/>
          <w:lang w:val="en-US" w:eastAsia="zh-CN" w:bidi="ar-SA"/>
        </w:rPr>
        <w:t>三</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cs="Cambria Math"/>
          <w:snapToGrid w:val="0"/>
          <w:color w:val="000000"/>
          <w:kern w:val="0"/>
          <w:sz w:val="24"/>
          <w:szCs w:val="24"/>
          <w:highlight w:val="none"/>
        </w:rPr>
        <w:t>参选</w:t>
      </w:r>
      <w:r>
        <w:rPr>
          <w:rFonts w:hint="eastAsia" w:ascii="宋体"/>
          <w:snapToGrid w:val="0"/>
          <w:color w:val="000000"/>
          <w:kern w:val="0"/>
          <w:sz w:val="24"/>
          <w:szCs w:val="24"/>
          <w:highlight w:val="none"/>
        </w:rPr>
        <w:t>保证金</w:t>
      </w:r>
    </w:p>
    <w:p>
      <w:pPr>
        <w:numPr>
          <w:ilvl w:val="0"/>
          <w:numId w:val="0"/>
        </w:numPr>
        <w:snapToGrid w:val="0"/>
        <w:spacing w:line="360" w:lineRule="auto"/>
        <w:ind w:left="480" w:firstLine="480"/>
        <w:rPr>
          <w:rFonts w:hint="eastAsia" w:ascii="宋体" w:hAnsi="Cambria Math" w:cs="Cambria Math"/>
          <w:snapToGrid w:val="0"/>
          <w:color w:val="000000"/>
          <w:kern w:val="0"/>
          <w:sz w:val="24"/>
          <w:szCs w:val="24"/>
          <w:highlight w:val="none"/>
        </w:rPr>
      </w:pPr>
      <w:r>
        <w:rPr>
          <w:rFonts w:hint="eastAsia" w:ascii="宋体" w:hAnsi="Cambria Math" w:eastAsia="宋体" w:cs="Cambria Math"/>
          <w:snapToGrid w:val="0"/>
          <w:color w:val="000000"/>
          <w:kern w:val="0"/>
          <w:sz w:val="24"/>
          <w:szCs w:val="24"/>
          <w:highlight w:val="none"/>
          <w:lang w:val="en-US" w:eastAsia="zh-CN" w:bidi="ar-SA"/>
        </w:rPr>
        <w:t>十</w:t>
      </w:r>
      <w:r>
        <w:rPr>
          <w:rFonts w:hint="eastAsia" w:ascii="宋体" w:cs="Cambria Math"/>
          <w:snapToGrid w:val="0"/>
          <w:color w:val="000000"/>
          <w:kern w:val="0"/>
          <w:sz w:val="24"/>
          <w:szCs w:val="24"/>
          <w:highlight w:val="none"/>
          <w:lang w:val="en-US" w:eastAsia="zh-CN" w:bidi="ar-SA"/>
        </w:rPr>
        <w:t>四</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hAnsi="Cambria Math" w:cs="Cambria Math"/>
          <w:snapToGrid w:val="0"/>
          <w:color w:val="000000"/>
          <w:kern w:val="0"/>
          <w:sz w:val="24"/>
          <w:szCs w:val="24"/>
          <w:highlight w:val="none"/>
        </w:rPr>
        <w:t>服务连续性预案</w:t>
      </w:r>
    </w:p>
    <w:p>
      <w:pPr>
        <w:numPr>
          <w:ilvl w:val="0"/>
          <w:numId w:val="0"/>
        </w:numPr>
        <w:snapToGrid w:val="0"/>
        <w:spacing w:line="360" w:lineRule="auto"/>
        <w:ind w:left="0" w:firstLine="960" w:firstLineChars="400"/>
        <w:rPr>
          <w:rFonts w:hint="eastAsia" w:ascii="宋体"/>
          <w:snapToGrid w:val="0"/>
          <w:color w:val="000000"/>
          <w:kern w:val="0"/>
          <w:szCs w:val="24"/>
          <w:highlight w:val="none"/>
          <w:lang w:val="en-US" w:eastAsia="zh-CN"/>
        </w:rPr>
      </w:pPr>
      <w:r>
        <w:rPr>
          <w:rFonts w:hint="eastAsia" w:ascii="宋体" w:hAnsi="Cambria Math" w:eastAsia="宋体" w:cs="Cambria Math"/>
          <w:snapToGrid w:val="0"/>
          <w:color w:val="000000"/>
          <w:kern w:val="0"/>
          <w:sz w:val="24"/>
          <w:szCs w:val="24"/>
          <w:highlight w:val="none"/>
          <w:lang w:val="en-US" w:eastAsia="zh-CN" w:bidi="ar-SA"/>
        </w:rPr>
        <w:t>十</w:t>
      </w:r>
      <w:r>
        <w:rPr>
          <w:rFonts w:hint="eastAsia" w:ascii="宋体" w:cs="Cambria Math"/>
          <w:snapToGrid w:val="0"/>
          <w:color w:val="000000"/>
          <w:kern w:val="0"/>
          <w:sz w:val="24"/>
          <w:szCs w:val="24"/>
          <w:highlight w:val="none"/>
          <w:lang w:val="en-US" w:eastAsia="zh-CN" w:bidi="ar-SA"/>
        </w:rPr>
        <w:t>五</w:t>
      </w:r>
      <w:r>
        <w:rPr>
          <w:rFonts w:hint="eastAsia" w:ascii="宋体" w:hAnsi="Cambria Math" w:eastAsia="宋体" w:cs="Cambria Math"/>
          <w:snapToGrid w:val="0"/>
          <w:color w:val="000000"/>
          <w:kern w:val="0"/>
          <w:sz w:val="24"/>
          <w:szCs w:val="24"/>
          <w:highlight w:val="none"/>
          <w:lang w:val="en-US" w:eastAsia="zh-CN" w:bidi="ar-SA"/>
        </w:rPr>
        <w:t>、</w:t>
      </w:r>
      <w:r>
        <w:rPr>
          <w:rFonts w:hint="eastAsia" w:ascii="宋体"/>
          <w:snapToGrid w:val="0"/>
          <w:color w:val="000000"/>
          <w:kern w:val="0"/>
          <w:szCs w:val="24"/>
          <w:highlight w:val="none"/>
          <w:lang w:val="en-US" w:eastAsia="zh-CN"/>
        </w:rPr>
        <w:t>特定资格条件证明材料</w:t>
      </w:r>
    </w:p>
    <w:p>
      <w:pPr>
        <w:numPr>
          <w:ilvl w:val="0"/>
          <w:numId w:val="0"/>
        </w:numPr>
        <w:snapToGrid w:val="0"/>
        <w:spacing w:line="360" w:lineRule="auto"/>
        <w:ind w:firstLine="960" w:firstLineChars="400"/>
        <w:rPr>
          <w:rFonts w:hint="eastAsia" w:ascii="宋体"/>
          <w:snapToGrid w:val="0"/>
          <w:color w:val="000000"/>
          <w:kern w:val="0"/>
          <w:szCs w:val="24"/>
          <w:highlight w:val="none"/>
          <w:lang w:val="en-US" w:eastAsia="zh-CN"/>
        </w:rPr>
      </w:pPr>
      <w:r>
        <w:rPr>
          <w:rFonts w:hint="eastAsia" w:ascii="宋体"/>
          <w:snapToGrid w:val="0"/>
          <w:color w:val="000000"/>
          <w:kern w:val="0"/>
          <w:szCs w:val="24"/>
          <w:highlight w:val="none"/>
          <w:lang w:val="en-US" w:eastAsia="zh-CN"/>
        </w:rPr>
        <w:t>十六、其他（如有）</w:t>
      </w:r>
    </w:p>
    <w:p>
      <w:pPr>
        <w:pStyle w:val="2"/>
        <w:rPr>
          <w:rFonts w:hint="eastAsia"/>
          <w:highlight w:val="none"/>
        </w:rPr>
      </w:pPr>
    </w:p>
    <w:p>
      <w:pPr>
        <w:numPr>
          <w:ilvl w:val="-1"/>
          <w:numId w:val="0"/>
        </w:numPr>
        <w:snapToGrid w:val="0"/>
        <w:spacing w:line="360" w:lineRule="auto"/>
        <w:ind w:left="480" w:leftChars="200" w:firstLine="0" w:firstLineChars="0"/>
        <w:rPr>
          <w:rFonts w:hint="eastAsia" w:ascii="宋体" w:cs="Cambria"/>
          <w:snapToGrid w:val="0"/>
          <w:color w:val="000000"/>
          <w:kern w:val="0"/>
          <w:sz w:val="24"/>
          <w:szCs w:val="24"/>
          <w:highlight w:val="none"/>
        </w:rPr>
      </w:pPr>
    </w:p>
    <w:p>
      <w:pPr>
        <w:tabs>
          <w:tab w:val="left" w:pos="6300"/>
        </w:tabs>
        <w:snapToGrid w:val="0"/>
        <w:spacing w:line="360" w:lineRule="auto"/>
        <w:ind w:firstLine="480" w:firstLineChars="200"/>
        <w:rPr>
          <w:rFonts w:hint="eastAsia" w:ascii="宋体"/>
          <w:snapToGrid w:val="0"/>
          <w:color w:val="000000"/>
          <w:kern w:val="0"/>
          <w:sz w:val="24"/>
          <w:szCs w:val="24"/>
          <w:highlight w:val="none"/>
        </w:rPr>
      </w:pPr>
    </w:p>
    <w:p>
      <w:pPr>
        <w:tabs>
          <w:tab w:val="left" w:pos="6300"/>
        </w:tabs>
        <w:snapToGrid w:val="0"/>
        <w:spacing w:line="360" w:lineRule="auto"/>
        <w:ind w:firstLine="480" w:firstLineChars="200"/>
        <w:rPr>
          <w:rFonts w:hint="eastAsia" w:ascii="宋体"/>
          <w:snapToGrid w:val="0"/>
          <w:color w:val="000000"/>
          <w:kern w:val="0"/>
          <w:sz w:val="24"/>
          <w:szCs w:val="24"/>
          <w:highlight w:val="none"/>
        </w:rPr>
      </w:pPr>
    </w:p>
    <w:p>
      <w:pPr>
        <w:tabs>
          <w:tab w:val="left" w:pos="6300"/>
        </w:tabs>
        <w:snapToGrid w:val="0"/>
        <w:spacing w:line="360" w:lineRule="auto"/>
        <w:ind w:firstLine="200"/>
        <w:rPr>
          <w:rFonts w:hint="eastAsia" w:ascii="宋体"/>
          <w:snapToGrid w:val="0"/>
          <w:color w:val="000000"/>
          <w:kern w:val="0"/>
          <w:szCs w:val="28"/>
          <w:highlight w:val="none"/>
        </w:rPr>
      </w:pPr>
    </w:p>
    <w:p>
      <w:pPr>
        <w:tabs>
          <w:tab w:val="left" w:pos="6300"/>
        </w:tabs>
        <w:snapToGrid w:val="0"/>
        <w:spacing w:line="360" w:lineRule="auto"/>
        <w:ind w:firstLine="200"/>
        <w:rPr>
          <w:rFonts w:hint="eastAsia" w:ascii="宋体"/>
          <w:snapToGrid w:val="0"/>
          <w:color w:val="000000"/>
          <w:kern w:val="0"/>
          <w:szCs w:val="28"/>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center"/>
        <w:textAlignment w:val="auto"/>
        <w:rPr>
          <w:rFonts w:hint="eastAsia"/>
          <w:bCs w:val="0"/>
          <w:color w:val="000000"/>
          <w:kern w:val="0"/>
          <w:szCs w:val="28"/>
          <w:highlight w:val="none"/>
        </w:rPr>
      </w:pPr>
      <w:r>
        <w:rPr>
          <w:rFonts w:hint="eastAsia"/>
          <w:color w:val="000000"/>
          <w:kern w:val="0"/>
          <w:szCs w:val="28"/>
          <w:highlight w:val="none"/>
        </w:rPr>
        <w:br w:type="page"/>
      </w:r>
      <w:r>
        <w:rPr>
          <w:rFonts w:hint="eastAsia" w:cs="Cambria"/>
          <w:bCs w:val="0"/>
          <w:snapToGrid/>
          <w:color w:val="000000"/>
          <w:sz w:val="28"/>
          <w:szCs w:val="28"/>
          <w:highlight w:val="none"/>
        </w:rPr>
        <w:t>参选函</w:t>
      </w:r>
    </w:p>
    <w:p>
      <w:pPr>
        <w:tabs>
          <w:tab w:val="left" w:pos="6300"/>
        </w:tabs>
        <w:snapToGrid w:val="0"/>
        <w:spacing w:line="360" w:lineRule="auto"/>
        <w:ind w:right="-34" w:rightChars="-14"/>
        <w:rPr>
          <w:rFonts w:hint="eastAsia" w:ascii="宋体"/>
          <w:snapToGrid w:val="0"/>
          <w:color w:val="000000"/>
          <w:kern w:val="0"/>
          <w:sz w:val="24"/>
          <w:szCs w:val="24"/>
          <w:highlight w:val="none"/>
          <w:u w:val="single"/>
        </w:rPr>
      </w:pPr>
    </w:p>
    <w:p>
      <w:pPr>
        <w:tabs>
          <w:tab w:val="left" w:pos="6300"/>
        </w:tabs>
        <w:snapToGrid w:val="0"/>
        <w:spacing w:line="360" w:lineRule="auto"/>
        <w:ind w:right="-34" w:rightChars="-14"/>
        <w:rPr>
          <w:rFonts w:hint="eastAsia" w:ascii="宋体"/>
          <w:snapToGrid w:val="0"/>
          <w:color w:val="000000"/>
          <w:kern w:val="0"/>
          <w:sz w:val="24"/>
          <w:szCs w:val="24"/>
          <w:highlight w:val="none"/>
        </w:rPr>
      </w:pPr>
      <w:r>
        <w:rPr>
          <w:rFonts w:hint="eastAsia" w:ascii="宋体"/>
          <w:snapToGrid w:val="0"/>
          <w:color w:val="000000"/>
          <w:kern w:val="0"/>
          <w:sz w:val="24"/>
          <w:szCs w:val="24"/>
          <w:highlight w:val="none"/>
          <w:u w:val="single"/>
        </w:rPr>
        <w:t>重庆三峡银行股份有限公司</w:t>
      </w:r>
      <w:r>
        <w:rPr>
          <w:rFonts w:hint="eastAsia" w:ascii="宋体"/>
          <w:snapToGrid w:val="0"/>
          <w:color w:val="000000"/>
          <w:kern w:val="0"/>
          <w:sz w:val="24"/>
          <w:szCs w:val="24"/>
          <w:highlight w:val="none"/>
        </w:rPr>
        <w:t>：</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我方收到</w:t>
      </w:r>
      <w:r>
        <w:rPr>
          <w:rFonts w:hint="eastAsia" w:ascii="宋体"/>
          <w:snapToGrid w:val="0"/>
          <w:color w:val="000000"/>
          <w:kern w:val="0"/>
          <w:sz w:val="24"/>
          <w:szCs w:val="24"/>
          <w:highlight w:val="none"/>
          <w:u w:val="single"/>
        </w:rPr>
        <w:t>___________________</w:t>
      </w:r>
      <w:r>
        <w:rPr>
          <w:rFonts w:hint="eastAsia" w:ascii="宋体"/>
          <w:snapToGrid w:val="0"/>
          <w:color w:val="000000"/>
          <w:kern w:val="0"/>
          <w:sz w:val="24"/>
          <w:szCs w:val="24"/>
          <w:highlight w:val="none"/>
        </w:rPr>
        <w:t>比选文件，经详细研究，决定参加该比选项目的</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w:t>
      </w:r>
    </w:p>
    <w:p>
      <w:pPr>
        <w:tabs>
          <w:tab w:val="left" w:pos="6300"/>
        </w:tabs>
        <w:autoSpaceDE w:val="0"/>
        <w:snapToGrid w:val="0"/>
        <w:spacing w:line="360" w:lineRule="auto"/>
        <w:ind w:right="-34" w:rightChars="-14" w:firstLine="573"/>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1、愿意按照比选文件中的一切要求，以人民币小写：，人民币大写：的</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总价承担和完成本项目。</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2、我方现提交的</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文件为：</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文件正本一份，副本一份</w:t>
      </w:r>
      <w:r>
        <w:rPr>
          <w:rFonts w:hint="eastAsia" w:ascii="宋体"/>
          <w:snapToGrid w:val="0"/>
          <w:color w:val="000000"/>
          <w:kern w:val="0"/>
          <w:sz w:val="24"/>
          <w:szCs w:val="24"/>
          <w:highlight w:val="none"/>
          <w:lang w:eastAsia="zh-CN"/>
        </w:rPr>
        <w:t>，电子文件</w:t>
      </w:r>
      <w:r>
        <w:rPr>
          <w:rFonts w:hint="eastAsia" w:ascii="宋体"/>
          <w:snapToGrid w:val="0"/>
          <w:color w:val="000000"/>
          <w:kern w:val="0"/>
          <w:sz w:val="24"/>
          <w:szCs w:val="24"/>
          <w:highlight w:val="none"/>
          <w:lang w:val="en-US" w:eastAsia="zh-CN"/>
        </w:rPr>
        <w:t>一</w:t>
      </w:r>
      <w:r>
        <w:rPr>
          <w:rFonts w:hint="eastAsia" w:ascii="宋体"/>
          <w:snapToGrid w:val="0"/>
          <w:color w:val="000000"/>
          <w:kern w:val="0"/>
          <w:sz w:val="24"/>
          <w:szCs w:val="24"/>
          <w:highlight w:val="none"/>
          <w:lang w:eastAsia="zh-CN"/>
        </w:rPr>
        <w:t>份</w:t>
      </w:r>
      <w:r>
        <w:rPr>
          <w:rFonts w:hint="eastAsia" w:ascii="宋体"/>
          <w:snapToGrid w:val="0"/>
          <w:color w:val="000000"/>
          <w:kern w:val="0"/>
          <w:sz w:val="24"/>
          <w:szCs w:val="24"/>
          <w:highlight w:val="none"/>
        </w:rPr>
        <w:t>。</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3、如果我方</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4、我方愿意提供比选文件中要求的所有资料，并对其真实性负责。</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5、我方理解最低价格不是中选的唯一条件。</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6、</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有效期为</w:t>
      </w: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截止日期后90天内。</w:t>
      </w:r>
    </w:p>
    <w:p>
      <w:pPr>
        <w:tabs>
          <w:tab w:val="left" w:pos="6300"/>
        </w:tabs>
        <w:snapToGrid w:val="0"/>
        <w:spacing w:line="360" w:lineRule="auto"/>
        <w:ind w:right="-34" w:rightChars="-14"/>
        <w:rPr>
          <w:rFonts w:hint="eastAsia" w:ascii="宋体"/>
          <w:snapToGrid w:val="0"/>
          <w:color w:val="000000"/>
          <w:kern w:val="0"/>
          <w:sz w:val="24"/>
          <w:szCs w:val="24"/>
          <w:highlight w:val="none"/>
        </w:rPr>
      </w:pP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cs="Cambria"/>
          <w:snapToGrid w:val="0"/>
          <w:color w:val="000000"/>
          <w:kern w:val="0"/>
          <w:sz w:val="24"/>
          <w:szCs w:val="24"/>
          <w:highlight w:val="none"/>
        </w:rPr>
        <w:t>参选</w:t>
      </w:r>
      <w:r>
        <w:rPr>
          <w:rFonts w:hint="eastAsia" w:ascii="宋体"/>
          <w:snapToGrid w:val="0"/>
          <w:color w:val="000000"/>
          <w:kern w:val="0"/>
          <w:sz w:val="24"/>
          <w:szCs w:val="24"/>
          <w:highlight w:val="none"/>
        </w:rPr>
        <w:t>人（公章）：</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 xml:space="preserve">地址：  </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电话：                           传真：</w:t>
      </w:r>
    </w:p>
    <w:p>
      <w:pPr>
        <w:tabs>
          <w:tab w:val="left" w:pos="6300"/>
        </w:tabs>
        <w:snapToGrid w:val="0"/>
        <w:spacing w:line="360" w:lineRule="auto"/>
        <w:ind w:right="-34" w:rightChars="-14" w:firstLine="57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 xml:space="preserve">网址：                         </w:t>
      </w:r>
    </w:p>
    <w:p>
      <w:pPr>
        <w:tabs>
          <w:tab w:val="left" w:pos="6300"/>
        </w:tabs>
        <w:snapToGrid w:val="0"/>
        <w:spacing w:line="360" w:lineRule="auto"/>
        <w:ind w:right="-34" w:rightChars="-14" w:firstLine="6540" w:firstLineChars="2725"/>
        <w:rPr>
          <w:rFonts w:hint="eastAsia" w:ascii="宋体"/>
          <w:snapToGrid w:val="0"/>
          <w:color w:val="000000"/>
          <w:kern w:val="0"/>
          <w:sz w:val="24"/>
          <w:szCs w:val="24"/>
          <w:highlight w:val="none"/>
        </w:rPr>
      </w:pPr>
    </w:p>
    <w:p>
      <w:pPr>
        <w:tabs>
          <w:tab w:val="left" w:pos="6300"/>
        </w:tabs>
        <w:snapToGrid w:val="0"/>
        <w:spacing w:line="360" w:lineRule="auto"/>
        <w:ind w:right="-34" w:rightChars="-14" w:firstLine="5400" w:firstLineChars="2250"/>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年     月     日</w:t>
      </w:r>
    </w:p>
    <w:p>
      <w:pPr>
        <w:widowControl/>
        <w:spacing w:line="360" w:lineRule="auto"/>
        <w:jc w:val="left"/>
        <w:rPr>
          <w:rFonts w:hint="eastAsia" w:ascii="宋体"/>
          <w:snapToGrid w:val="0"/>
          <w:color w:val="000000"/>
          <w:kern w:val="0"/>
          <w:sz w:val="24"/>
          <w:szCs w:val="24"/>
          <w:highlight w:val="none"/>
        </w:rPr>
      </w:pPr>
    </w:p>
    <w:p>
      <w:pPr>
        <w:tabs>
          <w:tab w:val="left" w:pos="6300"/>
        </w:tabs>
        <w:snapToGrid w:val="0"/>
        <w:spacing w:line="360" w:lineRule="auto"/>
        <w:rPr>
          <w:rFonts w:hint="eastAsia" w:ascii="宋体"/>
          <w:snapToGrid w:val="0"/>
          <w:color w:val="000000"/>
          <w:kern w:val="0"/>
          <w:sz w:val="24"/>
          <w:szCs w:val="24"/>
          <w:highlight w:val="none"/>
        </w:rPr>
      </w:pPr>
    </w:p>
    <w:p>
      <w:pPr>
        <w:widowControl/>
        <w:spacing w:line="360" w:lineRule="auto"/>
        <w:jc w:val="left"/>
        <w:rPr>
          <w:rFonts w:hint="eastAsia" w:ascii="宋体"/>
          <w:snapToGrid w:val="0"/>
          <w:color w:val="000000"/>
          <w:kern w:val="0"/>
          <w:sz w:val="24"/>
          <w:szCs w:val="24"/>
          <w:highlight w:val="none"/>
        </w:rPr>
      </w:pPr>
    </w:p>
    <w:p>
      <w:pPr>
        <w:widowControl/>
        <w:spacing w:line="360" w:lineRule="auto"/>
        <w:jc w:val="left"/>
        <w:rPr>
          <w:rFonts w:hint="eastAsia" w:ascii="宋体"/>
          <w:snapToGrid w:val="0"/>
          <w:color w:val="000000"/>
          <w:kern w:val="0"/>
          <w:sz w:val="24"/>
          <w:szCs w:val="24"/>
          <w:highlight w:val="none"/>
        </w:rPr>
      </w:pPr>
    </w:p>
    <w:p>
      <w:pPr>
        <w:widowControl/>
        <w:spacing w:line="360" w:lineRule="auto"/>
        <w:jc w:val="left"/>
        <w:rPr>
          <w:rFonts w:hint="eastAsia" w:ascii="宋体"/>
          <w:snapToGrid w:val="0"/>
          <w:color w:val="000000"/>
          <w:kern w:val="0"/>
          <w:sz w:val="24"/>
          <w:szCs w:val="24"/>
          <w:highlight w:val="none"/>
        </w:rPr>
      </w:pPr>
    </w:p>
    <w:p>
      <w:pPr>
        <w:widowControl/>
        <w:spacing w:line="360" w:lineRule="auto"/>
        <w:jc w:val="left"/>
        <w:rPr>
          <w:rFonts w:hint="eastAsia" w:ascii="宋体"/>
          <w:snapToGrid w:val="0"/>
          <w:color w:val="000000"/>
          <w:kern w:val="0"/>
          <w:sz w:val="24"/>
          <w:szCs w:val="24"/>
          <w:highlight w:val="none"/>
        </w:rPr>
      </w:pPr>
    </w:p>
    <w:p>
      <w:pPr>
        <w:pStyle w:val="4"/>
        <w:numPr>
          <w:ilvl w:val="0"/>
          <w:numId w:val="1"/>
        </w:numPr>
        <w:ind w:firstLineChars="0"/>
        <w:jc w:val="center"/>
        <w:rPr>
          <w:rFonts w:hint="eastAsia"/>
          <w:b w:val="0"/>
          <w:color w:val="000000"/>
          <w:kern w:val="0"/>
          <w:szCs w:val="28"/>
          <w:highlight w:val="none"/>
        </w:rPr>
      </w:pPr>
      <w:r>
        <w:rPr>
          <w:rFonts w:hint="eastAsia"/>
          <w:color w:val="000000"/>
          <w:kern w:val="0"/>
          <w:highlight w:val="none"/>
        </w:rPr>
        <w:br w:type="page"/>
      </w:r>
      <w:r>
        <w:rPr>
          <w:rFonts w:hint="eastAsia" w:cs="Cambria"/>
          <w:bCs w:val="0"/>
          <w:snapToGrid/>
          <w:color w:val="000000"/>
          <w:sz w:val="28"/>
          <w:szCs w:val="28"/>
          <w:highlight w:val="none"/>
        </w:rPr>
        <w:t>参选人基本情况介绍，资质证明等</w:t>
      </w:r>
    </w:p>
    <w:tbl>
      <w:tblPr>
        <w:tblStyle w:val="19"/>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参选人名称</w:t>
            </w:r>
          </w:p>
        </w:tc>
        <w:tc>
          <w:tcPr>
            <w:tcW w:w="7354"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p>
        </w:tc>
        <w:tc>
          <w:tcPr>
            <w:tcW w:w="189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联系方式</w:t>
            </w:r>
          </w:p>
        </w:tc>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tc>
        <w:tc>
          <w:tcPr>
            <w:tcW w:w="189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网址</w:t>
            </w:r>
          </w:p>
        </w:tc>
        <w:tc>
          <w:tcPr>
            <w:tcW w:w="189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组织结构</w:t>
            </w:r>
          </w:p>
        </w:tc>
        <w:tc>
          <w:tcPr>
            <w:tcW w:w="735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p>
        </w:tc>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tc>
        <w:tc>
          <w:tcPr>
            <w:tcW w:w="9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技术负责人</w:t>
            </w:r>
          </w:p>
        </w:tc>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tc>
        <w:tc>
          <w:tcPr>
            <w:tcW w:w="9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4474"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项目经理</w:t>
            </w:r>
          </w:p>
        </w:tc>
        <w:tc>
          <w:tcPr>
            <w:tcW w:w="17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20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高级职称人员</w:t>
            </w:r>
          </w:p>
        </w:tc>
        <w:tc>
          <w:tcPr>
            <w:tcW w:w="17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20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中级职称人员</w:t>
            </w:r>
          </w:p>
        </w:tc>
        <w:tc>
          <w:tcPr>
            <w:tcW w:w="17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20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初级职称人员</w:t>
            </w:r>
          </w:p>
        </w:tc>
        <w:tc>
          <w:tcPr>
            <w:tcW w:w="17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p>
        </w:tc>
        <w:tc>
          <w:tcPr>
            <w:tcW w:w="20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技工</w:t>
            </w:r>
          </w:p>
        </w:tc>
        <w:tc>
          <w:tcPr>
            <w:tcW w:w="17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经营范围</w:t>
            </w:r>
          </w:p>
        </w:tc>
        <w:tc>
          <w:tcPr>
            <w:tcW w:w="7354"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c>
          <w:tcPr>
            <w:tcW w:w="7354"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1"/>
                <w:szCs w:val="21"/>
                <w:highlight w:val="none"/>
              </w:rPr>
            </w:pPr>
          </w:p>
        </w:tc>
      </w:tr>
    </w:tbl>
    <w:p>
      <w:pPr>
        <w:widowControl/>
        <w:spacing w:line="360" w:lineRule="auto"/>
        <w:jc w:val="left"/>
        <w:rPr>
          <w:rFonts w:hint="eastAsia" w:ascii="宋体"/>
          <w:b/>
          <w:snapToGrid w:val="0"/>
          <w:color w:val="000000"/>
          <w:kern w:val="0"/>
          <w:szCs w:val="28"/>
          <w:highlight w:val="none"/>
        </w:rPr>
      </w:pPr>
      <w:r>
        <w:rPr>
          <w:rFonts w:hint="eastAsia" w:ascii="宋体"/>
          <w:color w:val="000000"/>
          <w:sz w:val="20"/>
          <w:szCs w:val="21"/>
          <w:highlight w:val="none"/>
        </w:rPr>
        <w:t>注：附营业执照（副本）、资质证明复印件等。</w:t>
      </w:r>
    </w:p>
    <w:p>
      <w:pPr>
        <w:pStyle w:val="4"/>
        <w:numPr>
          <w:ilvl w:val="0"/>
          <w:numId w:val="1"/>
        </w:numPr>
        <w:ind w:firstLineChars="0"/>
        <w:jc w:val="center"/>
        <w:rPr>
          <w:rFonts w:hint="eastAsia"/>
          <w:b w:val="0"/>
          <w:color w:val="000000"/>
          <w:kern w:val="0"/>
          <w:szCs w:val="28"/>
          <w:highlight w:val="none"/>
        </w:rPr>
      </w:pPr>
      <w:r>
        <w:rPr>
          <w:rFonts w:hint="eastAsia"/>
          <w:color w:val="000000"/>
          <w:kern w:val="0"/>
          <w:szCs w:val="28"/>
          <w:highlight w:val="none"/>
        </w:rPr>
        <w:br w:type="page"/>
      </w:r>
      <w:bookmarkStart w:id="120" w:name="_Toc478054435"/>
      <w:bookmarkStart w:id="121" w:name="_Toc378234584"/>
      <w:bookmarkStart w:id="122" w:name="_Toc472780356"/>
      <w:bookmarkStart w:id="123" w:name="_Toc478053903"/>
      <w:bookmarkStart w:id="124" w:name="_Toc378234770"/>
      <w:r>
        <w:rPr>
          <w:rFonts w:hint="eastAsia" w:cs="Cambria"/>
          <w:bCs w:val="0"/>
          <w:snapToGrid/>
          <w:color w:val="000000"/>
          <w:sz w:val="28"/>
          <w:szCs w:val="28"/>
          <w:highlight w:val="none"/>
        </w:rPr>
        <w:t>法定代表人身份证明及授权委托书</w:t>
      </w:r>
      <w:bookmarkEnd w:id="120"/>
      <w:bookmarkEnd w:id="121"/>
      <w:bookmarkEnd w:id="122"/>
      <w:bookmarkEnd w:id="123"/>
      <w:bookmarkEnd w:id="124"/>
    </w:p>
    <w:p>
      <w:pPr>
        <w:jc w:val="center"/>
        <w:rPr>
          <w:rFonts w:hint="eastAsia"/>
          <w:b/>
          <w:bCs/>
          <w:snapToGrid w:val="0"/>
          <w:color w:val="000000"/>
          <w:highlight w:val="none"/>
        </w:rPr>
      </w:pPr>
      <w:r>
        <w:rPr>
          <w:rFonts w:hint="eastAsia"/>
          <w:b/>
          <w:bCs/>
          <w:snapToGrid w:val="0"/>
          <w:color w:val="000000"/>
          <w:highlight w:val="none"/>
        </w:rPr>
        <w:t>法定代表人身份证明书</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项目名称：</w:t>
      </w:r>
      <w:r>
        <w:rPr>
          <w:rFonts w:hint="eastAsia" w:ascii="宋体"/>
          <w:snapToGrid w:val="0"/>
          <w:color w:val="000000"/>
          <w:kern w:val="0"/>
          <w:sz w:val="24"/>
          <w:highlight w:val="none"/>
          <w:u w:val="single"/>
        </w:rPr>
        <w:t>____________________</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致：</w:t>
      </w:r>
      <w:r>
        <w:rPr>
          <w:rFonts w:hint="eastAsia" w:ascii="宋体"/>
          <w:snapToGrid w:val="0"/>
          <w:color w:val="000000"/>
          <w:kern w:val="0"/>
          <w:sz w:val="24"/>
          <w:highlight w:val="none"/>
          <w:u w:val="single"/>
        </w:rPr>
        <w:t xml:space="preserve"> 重庆三峡银行股份有限公司  </w:t>
      </w:r>
      <w:r>
        <w:rPr>
          <w:rFonts w:hint="eastAsia" w:ascii="宋体"/>
          <w:snapToGrid w:val="0"/>
          <w:color w:val="000000"/>
          <w:kern w:val="0"/>
          <w:sz w:val="24"/>
          <w:highlight w:val="none"/>
        </w:rPr>
        <w:t>：</w:t>
      </w: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（法定代表人姓名）在（</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人名称）任（职务名称）职务，是（</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人名称）的法定代表人。</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特此证明。</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 xml:space="preserve">                                             （</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人公章）</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 xml:space="preserve">                                             年   月   日</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（附：法定代表人身份证正反面复印件）</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jc w:val="center"/>
        <w:rPr>
          <w:rFonts w:hint="eastAsia"/>
          <w:b/>
          <w:bCs/>
          <w:snapToGrid w:val="0"/>
          <w:color w:val="000000"/>
          <w:kern w:val="0"/>
          <w:sz w:val="24"/>
          <w:highlight w:val="none"/>
        </w:rPr>
      </w:pPr>
      <w:r>
        <w:rPr>
          <w:rFonts w:hint="eastAsia"/>
          <w:snapToGrid w:val="0"/>
          <w:color w:val="000000"/>
          <w:kern w:val="0"/>
          <w:highlight w:val="none"/>
        </w:rPr>
        <w:br w:type="column"/>
      </w:r>
      <w:r>
        <w:rPr>
          <w:rFonts w:hint="eastAsia"/>
          <w:b/>
          <w:bCs/>
          <w:snapToGrid w:val="0"/>
          <w:color w:val="000000"/>
          <w:highlight w:val="none"/>
        </w:rPr>
        <w:t>法定代表人授权委托书</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480" w:firstLineChars="200"/>
        <w:rPr>
          <w:rFonts w:hint="eastAsia" w:ascii="宋体"/>
          <w:snapToGrid w:val="0"/>
          <w:color w:val="000000"/>
          <w:kern w:val="0"/>
          <w:sz w:val="24"/>
          <w:highlight w:val="none"/>
        </w:rPr>
      </w:pPr>
      <w:r>
        <w:rPr>
          <w:rFonts w:hint="eastAsia" w:ascii="宋体"/>
          <w:snapToGrid w:val="0"/>
          <w:color w:val="000000"/>
          <w:kern w:val="0"/>
          <w:sz w:val="24"/>
          <w:szCs w:val="28"/>
          <w:highlight w:val="none"/>
        </w:rPr>
        <w:t>项目名称</w:t>
      </w:r>
      <w:r>
        <w:rPr>
          <w:rFonts w:hint="eastAsia" w:ascii="宋体"/>
          <w:snapToGrid w:val="0"/>
          <w:color w:val="000000"/>
          <w:kern w:val="0"/>
          <w:sz w:val="24"/>
          <w:highlight w:val="none"/>
        </w:rPr>
        <w:t>：</w:t>
      </w:r>
      <w:r>
        <w:rPr>
          <w:rFonts w:hint="eastAsia" w:ascii="宋体"/>
          <w:snapToGrid w:val="0"/>
          <w:color w:val="000000"/>
          <w:kern w:val="0"/>
          <w:sz w:val="24"/>
          <w:szCs w:val="24"/>
          <w:highlight w:val="none"/>
          <w:u w:val="single"/>
        </w:rPr>
        <w:t>___________________</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480" w:firstLineChars="200"/>
        <w:rPr>
          <w:rFonts w:hint="eastAsia" w:ascii="宋体"/>
          <w:snapToGrid w:val="0"/>
          <w:color w:val="000000"/>
          <w:kern w:val="0"/>
          <w:sz w:val="24"/>
          <w:highlight w:val="none"/>
        </w:rPr>
      </w:pPr>
      <w:r>
        <w:rPr>
          <w:rFonts w:hint="eastAsia" w:ascii="宋体"/>
          <w:snapToGrid w:val="0"/>
          <w:color w:val="000000"/>
          <w:kern w:val="0"/>
          <w:sz w:val="24"/>
          <w:highlight w:val="none"/>
        </w:rPr>
        <w:t>致：</w:t>
      </w:r>
      <w:r>
        <w:rPr>
          <w:rFonts w:hint="eastAsia" w:ascii="宋体"/>
          <w:snapToGrid w:val="0"/>
          <w:color w:val="000000"/>
          <w:kern w:val="0"/>
          <w:sz w:val="24"/>
          <w:highlight w:val="none"/>
          <w:u w:val="single"/>
        </w:rPr>
        <w:t>重庆三峡银行股份有限公司</w:t>
      </w:r>
      <w:r>
        <w:rPr>
          <w:rFonts w:hint="eastAsia" w:ascii="宋体"/>
          <w:snapToGrid w:val="0"/>
          <w:color w:val="000000"/>
          <w:kern w:val="0"/>
          <w:sz w:val="24"/>
          <w:highlight w:val="none"/>
        </w:rPr>
        <w:t>：</w:t>
      </w:r>
    </w:p>
    <w:p>
      <w:pPr>
        <w:tabs>
          <w:tab w:val="left" w:pos="6300"/>
        </w:tabs>
        <w:snapToGrid w:val="0"/>
        <w:spacing w:line="360" w:lineRule="auto"/>
        <w:ind w:firstLine="480" w:firstLineChars="200"/>
        <w:rPr>
          <w:rFonts w:hint="eastAsia" w:ascii="宋体"/>
          <w:snapToGrid w:val="0"/>
          <w:color w:val="000000"/>
          <w:kern w:val="0"/>
          <w:sz w:val="24"/>
          <w:highlight w:val="none"/>
        </w:rPr>
      </w:pPr>
      <w:r>
        <w:rPr>
          <w:rFonts w:hint="eastAsia" w:ascii="宋体"/>
          <w:snapToGrid w:val="0"/>
          <w:color w:val="000000"/>
          <w:kern w:val="0"/>
          <w:sz w:val="24"/>
          <w:highlight w:val="none"/>
        </w:rPr>
        <w:t>（</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人法定代表人名称）是（</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人名称）的法定代表人，特授权（被授权人姓名及身份证代码）代表我单位全权办理上述项目的</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、谈判、签约等具体工作，并签署全部有关文件、协议及合同。</w:t>
      </w:r>
    </w:p>
    <w:p>
      <w:pPr>
        <w:tabs>
          <w:tab w:val="left" w:pos="6300"/>
        </w:tabs>
        <w:snapToGrid w:val="0"/>
        <w:spacing w:line="360" w:lineRule="auto"/>
        <w:ind w:firstLine="480" w:firstLineChars="200"/>
        <w:rPr>
          <w:rFonts w:hint="eastAsia" w:ascii="宋体"/>
          <w:snapToGrid w:val="0"/>
          <w:color w:val="000000"/>
          <w:kern w:val="0"/>
          <w:sz w:val="24"/>
          <w:highlight w:val="none"/>
        </w:rPr>
      </w:pPr>
      <w:r>
        <w:rPr>
          <w:rFonts w:hint="eastAsia" w:ascii="宋体"/>
          <w:snapToGrid w:val="0"/>
          <w:color w:val="000000"/>
          <w:kern w:val="0"/>
          <w:sz w:val="24"/>
          <w:highlight w:val="none"/>
        </w:rPr>
        <w:t>我单位对被授权人的签字负全部责任。</w:t>
      </w:r>
    </w:p>
    <w:p>
      <w:pPr>
        <w:tabs>
          <w:tab w:val="left" w:pos="6300"/>
        </w:tabs>
        <w:snapToGrid w:val="0"/>
        <w:spacing w:line="360" w:lineRule="auto"/>
        <w:ind w:firstLine="480" w:firstLineChars="200"/>
        <w:rPr>
          <w:rFonts w:hint="eastAsia" w:ascii="宋体"/>
          <w:snapToGrid w:val="0"/>
          <w:color w:val="000000"/>
          <w:kern w:val="0"/>
          <w:sz w:val="24"/>
          <w:highlight w:val="none"/>
        </w:rPr>
      </w:pPr>
      <w:r>
        <w:rPr>
          <w:rFonts w:hint="eastAsia" w:ascii="宋体"/>
          <w:snapToGrid w:val="0"/>
          <w:color w:val="000000"/>
          <w:kern w:val="0"/>
          <w:sz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 xml:space="preserve">被授权人：                                 </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人法定代表人：</w:t>
      </w:r>
    </w:p>
    <w:p>
      <w:pPr>
        <w:tabs>
          <w:tab w:val="left" w:pos="6300"/>
        </w:tabs>
        <w:snapToGrid w:val="0"/>
        <w:spacing w:line="360" w:lineRule="auto"/>
        <w:ind w:firstLine="570"/>
        <w:rPr>
          <w:rFonts w:hint="eastAsia" w:ascii="宋体"/>
          <w:snapToGrid w:val="0"/>
          <w:color w:val="000000"/>
          <w:kern w:val="0"/>
          <w:sz w:val="24"/>
          <w:szCs w:val="28"/>
          <w:highlight w:val="none"/>
        </w:rPr>
      </w:pPr>
      <w:r>
        <w:rPr>
          <w:rFonts w:hint="eastAsia" w:ascii="宋体"/>
          <w:snapToGrid w:val="0"/>
          <w:color w:val="000000"/>
          <w:kern w:val="0"/>
          <w:sz w:val="24"/>
          <w:szCs w:val="28"/>
          <w:highlight w:val="none"/>
        </w:rPr>
        <w:t>（签字或盖章）                                （签字或盖章）</w:t>
      </w:r>
    </w:p>
    <w:p>
      <w:pPr>
        <w:tabs>
          <w:tab w:val="left" w:pos="6300"/>
        </w:tabs>
        <w:snapToGrid w:val="0"/>
        <w:spacing w:line="360" w:lineRule="auto"/>
        <w:ind w:firstLine="570"/>
        <w:rPr>
          <w:rFonts w:hint="eastAsia" w:ascii="宋体"/>
          <w:snapToGrid w:val="0"/>
          <w:color w:val="000000"/>
          <w:kern w:val="0"/>
          <w:sz w:val="24"/>
          <w:szCs w:val="28"/>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（附：被授权人身份证正反面复印件）</w:t>
      </w: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firstLine="570"/>
        <w:rPr>
          <w:rFonts w:hint="eastAsia" w:ascii="宋体"/>
          <w:snapToGrid w:val="0"/>
          <w:color w:val="000000"/>
          <w:kern w:val="0"/>
          <w:sz w:val="24"/>
          <w:highlight w:val="none"/>
        </w:rPr>
      </w:pPr>
    </w:p>
    <w:p>
      <w:pPr>
        <w:tabs>
          <w:tab w:val="left" w:pos="6300"/>
        </w:tabs>
        <w:snapToGrid w:val="0"/>
        <w:spacing w:line="360" w:lineRule="auto"/>
        <w:ind w:right="480" w:firstLine="570"/>
        <w:jc w:val="right"/>
        <w:rPr>
          <w:rFonts w:hint="eastAsia" w:ascii="宋体"/>
          <w:snapToGrid w:val="0"/>
          <w:color w:val="000000"/>
          <w:kern w:val="0"/>
          <w:sz w:val="24"/>
          <w:highlight w:val="none"/>
        </w:rPr>
      </w:pPr>
      <w:r>
        <w:rPr>
          <w:rFonts w:hint="eastAsia" w:ascii="宋体"/>
          <w:snapToGrid w:val="0"/>
          <w:color w:val="000000"/>
          <w:kern w:val="0"/>
          <w:sz w:val="24"/>
          <w:highlight w:val="none"/>
        </w:rPr>
        <w:t>（</w:t>
      </w:r>
      <w:r>
        <w:rPr>
          <w:rFonts w:hint="eastAsia" w:ascii="宋体" w:cs="Cambria"/>
          <w:snapToGrid w:val="0"/>
          <w:color w:val="000000"/>
          <w:kern w:val="0"/>
          <w:sz w:val="24"/>
          <w:szCs w:val="24"/>
          <w:highlight w:val="none"/>
        </w:rPr>
        <w:t>参选</w:t>
      </w:r>
      <w:r>
        <w:rPr>
          <w:rFonts w:hint="eastAsia" w:ascii="宋体"/>
          <w:snapToGrid w:val="0"/>
          <w:color w:val="000000"/>
          <w:kern w:val="0"/>
          <w:sz w:val="24"/>
          <w:highlight w:val="none"/>
        </w:rPr>
        <w:t>人公章）</w:t>
      </w:r>
    </w:p>
    <w:p>
      <w:pPr>
        <w:tabs>
          <w:tab w:val="left" w:pos="6300"/>
        </w:tabs>
        <w:snapToGrid w:val="0"/>
        <w:spacing w:line="360" w:lineRule="auto"/>
        <w:ind w:right="480" w:firstLine="570"/>
        <w:jc w:val="right"/>
        <w:rPr>
          <w:rFonts w:hint="eastAsia" w:ascii="宋体"/>
          <w:snapToGrid w:val="0"/>
          <w:color w:val="000000"/>
          <w:kern w:val="0"/>
          <w:sz w:val="24"/>
          <w:highlight w:val="none"/>
        </w:rPr>
      </w:pPr>
      <w:r>
        <w:rPr>
          <w:rFonts w:hint="eastAsia" w:ascii="宋体"/>
          <w:snapToGrid w:val="0"/>
          <w:color w:val="000000"/>
          <w:kern w:val="0"/>
          <w:sz w:val="24"/>
          <w:highlight w:val="none"/>
        </w:rPr>
        <w:t>年   月   日</w:t>
      </w:r>
    </w:p>
    <w:p>
      <w:pPr>
        <w:widowControl/>
        <w:spacing w:line="360" w:lineRule="auto"/>
        <w:jc w:val="left"/>
        <w:rPr>
          <w:rFonts w:hint="eastAsia" w:ascii="宋体"/>
          <w:snapToGrid w:val="0"/>
          <w:color w:val="000000"/>
          <w:kern w:val="0"/>
          <w:sz w:val="24"/>
          <w:szCs w:val="24"/>
          <w:highlight w:val="none"/>
        </w:rPr>
      </w:pPr>
    </w:p>
    <w:p>
      <w:pPr>
        <w:pStyle w:val="4"/>
        <w:numPr>
          <w:ilvl w:val="0"/>
          <w:numId w:val="1"/>
        </w:numPr>
        <w:ind w:firstLineChars="0"/>
        <w:jc w:val="center"/>
        <w:rPr>
          <w:rFonts w:hint="eastAsia"/>
          <w:color w:val="000000"/>
          <w:kern w:val="0"/>
          <w:highlight w:val="none"/>
        </w:rPr>
      </w:pPr>
      <w:r>
        <w:rPr>
          <w:rFonts w:hint="eastAsia"/>
          <w:color w:val="000000"/>
          <w:kern w:val="0"/>
          <w:highlight w:val="none"/>
        </w:rPr>
        <w:br w:type="page"/>
      </w:r>
      <w:r>
        <w:rPr>
          <w:rFonts w:hint="eastAsia" w:cs="Cambria"/>
          <w:bCs w:val="0"/>
          <w:snapToGrid/>
          <w:color w:val="000000"/>
          <w:sz w:val="28"/>
          <w:szCs w:val="28"/>
          <w:highlight w:val="none"/>
        </w:rPr>
        <w:t>报价一览表</w:t>
      </w:r>
    </w:p>
    <w:p>
      <w:pPr>
        <w:tabs>
          <w:tab w:val="left" w:pos="6300"/>
        </w:tabs>
        <w:snapToGrid w:val="0"/>
        <w:spacing w:line="360" w:lineRule="auto"/>
        <w:jc w:val="center"/>
        <w:rPr>
          <w:rFonts w:hint="eastAsia" w:ascii="宋体"/>
          <w:b/>
          <w:snapToGrid w:val="0"/>
          <w:color w:val="000000"/>
          <w:kern w:val="0"/>
          <w:sz w:val="36"/>
          <w:szCs w:val="28"/>
          <w:highlight w:val="none"/>
        </w:rPr>
      </w:pPr>
    </w:p>
    <w:tbl>
      <w:tblPr>
        <w:tblStyle w:val="1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145"/>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snapToGrid w:val="0"/>
                <w:color w:val="000000"/>
                <w:kern w:val="0"/>
                <w:sz w:val="21"/>
                <w:szCs w:val="21"/>
                <w:highlight w:val="none"/>
              </w:rPr>
            </w:pPr>
            <w:r>
              <w:rPr>
                <w:rFonts w:hint="eastAsia" w:ascii="宋体" w:cs="Cambria"/>
                <w:snapToGrid w:val="0"/>
                <w:color w:val="000000"/>
                <w:kern w:val="0"/>
                <w:sz w:val="21"/>
                <w:szCs w:val="21"/>
                <w:highlight w:val="none"/>
              </w:rPr>
              <w:t>参选</w:t>
            </w:r>
            <w:r>
              <w:rPr>
                <w:rFonts w:hint="eastAsia" w:ascii="宋体"/>
                <w:snapToGrid w:val="0"/>
                <w:color w:val="000000"/>
                <w:kern w:val="0"/>
                <w:sz w:val="21"/>
                <w:szCs w:val="21"/>
                <w:highlight w:val="none"/>
              </w:rPr>
              <w:t>人全称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snapToGrid w:val="0"/>
                <w:color w:val="000000"/>
                <w:kern w:val="0"/>
                <w:sz w:val="21"/>
                <w:szCs w:val="21"/>
                <w:highlight w:val="none"/>
              </w:rPr>
            </w:pPr>
            <w:r>
              <w:rPr>
                <w:rFonts w:hint="eastAsia" w:ascii="宋体"/>
                <w:snapToGrid w:val="0"/>
                <w:color w:val="000000"/>
                <w:kern w:val="0"/>
                <w:sz w:val="21"/>
                <w:szCs w:val="21"/>
                <w:highlight w:val="none"/>
              </w:rPr>
              <w:t>比选项目名称</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Cambria"/>
                <w:color w:val="000000"/>
                <w:sz w:val="21"/>
                <w:szCs w:val="21"/>
                <w:highlight w:val="none"/>
              </w:rPr>
            </w:pPr>
            <w:r>
              <w:rPr>
                <w:rFonts w:hint="eastAsia" w:ascii="宋体"/>
                <w:snapToGrid w:val="0"/>
                <w:color w:val="000000"/>
                <w:sz w:val="21"/>
                <w:szCs w:val="21"/>
                <w:highlight w:val="none"/>
              </w:rPr>
              <w:t>参选</w:t>
            </w:r>
            <w:r>
              <w:rPr>
                <w:rFonts w:hint="eastAsia" w:ascii="宋体"/>
                <w:color w:val="000000"/>
                <w:sz w:val="21"/>
                <w:szCs w:val="21"/>
                <w:highlight w:val="none"/>
              </w:rPr>
              <w:t>总价（含税）</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r>
              <w:rPr>
                <w:rFonts w:hint="eastAsia" w:ascii="宋体"/>
                <w:color w:val="000000"/>
                <w:sz w:val="21"/>
                <w:szCs w:val="21"/>
                <w:highlight w:val="none"/>
              </w:rPr>
              <w:t>交货期</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r>
              <w:rPr>
                <w:rFonts w:hint="eastAsia" w:ascii="宋体"/>
                <w:color w:val="000000"/>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snapToGrid w:val="0"/>
                <w:color w:val="000000"/>
                <w:kern w:val="0"/>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color w:val="000000"/>
                <w:sz w:val="21"/>
                <w:szCs w:val="21"/>
                <w:highlight w:val="none"/>
              </w:rPr>
            </w:pPr>
            <w:r>
              <w:rPr>
                <w:rFonts w:hint="eastAsia" w:ascii="宋体"/>
                <w:color w:val="000000"/>
                <w:sz w:val="21"/>
                <w:szCs w:val="21"/>
                <w:highlight w:val="none"/>
              </w:rPr>
              <w:t>小写：</w:t>
            </w:r>
            <w:r>
              <w:rPr>
                <w:rFonts w:ascii="宋体"/>
                <w:color w:val="000000"/>
                <w:sz w:val="21"/>
                <w:szCs w:val="21"/>
                <w:highlight w:val="none"/>
              </w:rPr>
              <w:t>（元/年）</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8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snapToGrid w:val="0"/>
                <w:color w:val="000000"/>
                <w:kern w:val="0"/>
                <w:sz w:val="21"/>
                <w:szCs w:val="21"/>
                <w:highlight w:val="none"/>
              </w:rPr>
            </w:pPr>
            <w:r>
              <w:rPr>
                <w:rFonts w:hint="eastAsia" w:ascii="宋体"/>
                <w:snapToGrid w:val="0"/>
                <w:color w:val="000000"/>
                <w:kern w:val="0"/>
                <w:sz w:val="21"/>
                <w:szCs w:val="21"/>
                <w:highlight w:val="none"/>
              </w:rPr>
              <w:t>大写：人民币</w:t>
            </w:r>
            <w:r>
              <w:rPr>
                <w:rFonts w:hint="eastAsia" w:ascii="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snapToGrid w:val="0"/>
                <w:color w:val="000000"/>
                <w:kern w:val="0"/>
                <w:sz w:val="21"/>
                <w:szCs w:val="21"/>
                <w:highlight w:val="none"/>
              </w:rPr>
            </w:pPr>
            <w:r>
              <w:rPr>
                <w:rFonts w:hint="eastAsia" w:ascii="宋体"/>
                <w:snapToGrid w:val="0"/>
                <w:color w:val="000000"/>
                <w:kern w:val="0"/>
                <w:sz w:val="21"/>
                <w:szCs w:val="21"/>
                <w:highlight w:val="none"/>
              </w:rPr>
              <w:t>开具发票类型</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olor w:val="000000"/>
                <w:sz w:val="21"/>
                <w:szCs w:val="21"/>
                <w:highlight w:val="none"/>
              </w:rPr>
            </w:pPr>
            <w:r>
              <w:rPr>
                <w:rFonts w:hint="eastAsia" w:ascii="宋体"/>
                <w:color w:val="000000"/>
                <w:sz w:val="21"/>
                <w:szCs w:val="21"/>
                <w:highlight w:val="none"/>
              </w:rPr>
              <w:t>税率为__</w:t>
            </w:r>
            <w:r>
              <w:rPr>
                <w:rFonts w:hint="eastAsia" w:ascii="宋体"/>
                <w:color w:val="000000"/>
                <w:sz w:val="21"/>
                <w:szCs w:val="21"/>
                <w:highlight w:val="none"/>
                <w:lang w:val="en-US" w:eastAsia="zh-CN"/>
              </w:rPr>
              <w:t>6</w:t>
            </w:r>
            <w:r>
              <w:rPr>
                <w:rFonts w:hint="eastAsia" w:ascii="宋体"/>
                <w:color w:val="000000"/>
                <w:sz w:val="21"/>
                <w:szCs w:val="21"/>
                <w:highlight w:val="none"/>
              </w:rPr>
              <w:t>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4"/>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snapToGrid w:val="0"/>
                <w:color w:val="000000"/>
                <w:kern w:val="0"/>
                <w:sz w:val="21"/>
                <w:szCs w:val="21"/>
                <w:highlight w:val="none"/>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snapToGrid w:val="0"/>
                <w:color w:val="000000"/>
                <w:kern w:val="0"/>
                <w:sz w:val="21"/>
                <w:szCs w:val="21"/>
                <w:highlight w:val="none"/>
              </w:rPr>
            </w:pPr>
            <w:r>
              <w:rPr>
                <w:rFonts w:hint="eastAsia" w:ascii="宋体"/>
                <w:snapToGrid w:val="0"/>
                <w:color w:val="000000"/>
                <w:kern w:val="0"/>
                <w:sz w:val="21"/>
                <w:szCs w:val="21"/>
                <w:highlight w:val="none"/>
              </w:rPr>
              <w:t>备注：</w:t>
            </w:r>
          </w:p>
        </w:tc>
      </w:tr>
    </w:tbl>
    <w:p>
      <w:pPr>
        <w:pStyle w:val="12"/>
        <w:spacing w:line="360" w:lineRule="auto"/>
        <w:rPr>
          <w:rFonts w:ascii="宋体"/>
          <w:color w:val="000000"/>
          <w:sz w:val="24"/>
          <w:szCs w:val="28"/>
          <w:highlight w:val="none"/>
        </w:rPr>
      </w:pPr>
      <w:r>
        <w:rPr>
          <w:rFonts w:hint="eastAsia" w:ascii="宋体"/>
          <w:color w:val="000000"/>
          <w:sz w:val="24"/>
          <w:szCs w:val="28"/>
          <w:highlight w:val="none"/>
        </w:rPr>
        <w:t>注：若含有多种税率，请注明各自金额比重，否则统一按低税率核算价格得分。若遇国家税率调整，则保持不含税价不变，重新计算含税价格。</w:t>
      </w:r>
    </w:p>
    <w:p>
      <w:pPr>
        <w:spacing w:line="360" w:lineRule="auto"/>
        <w:ind w:right="-34" w:rightChars="-14"/>
        <w:rPr>
          <w:rFonts w:hint="eastAsia" w:ascii="宋体"/>
          <w:color w:val="000000"/>
          <w:sz w:val="24"/>
          <w:szCs w:val="28"/>
          <w:highlight w:val="none"/>
        </w:rPr>
      </w:pPr>
    </w:p>
    <w:p>
      <w:pPr>
        <w:spacing w:line="360" w:lineRule="auto"/>
        <w:ind w:right="-34" w:rightChars="-14"/>
        <w:rPr>
          <w:rFonts w:hint="eastAsia" w:ascii="宋体"/>
          <w:snapToGrid w:val="0"/>
          <w:color w:val="000000"/>
          <w:kern w:val="0"/>
          <w:sz w:val="24"/>
          <w:szCs w:val="24"/>
          <w:highlight w:val="none"/>
        </w:rPr>
      </w:pPr>
      <w:r>
        <w:rPr>
          <w:rFonts w:hint="eastAsia" w:ascii="宋体" w:cs="等线 Light"/>
          <w:snapToGrid w:val="0"/>
          <w:color w:val="000000"/>
          <w:kern w:val="0"/>
          <w:sz w:val="24"/>
          <w:szCs w:val="24"/>
          <w:highlight w:val="none"/>
        </w:rPr>
        <w:t>参选</w:t>
      </w:r>
      <w:r>
        <w:rPr>
          <w:rFonts w:hint="eastAsia" w:ascii="宋体"/>
          <w:snapToGrid w:val="0"/>
          <w:color w:val="000000"/>
          <w:kern w:val="0"/>
          <w:sz w:val="24"/>
          <w:szCs w:val="24"/>
          <w:highlight w:val="none"/>
        </w:rPr>
        <w:t>人：                            法人授权代表：</w:t>
      </w:r>
    </w:p>
    <w:p>
      <w:pPr>
        <w:spacing w:line="360" w:lineRule="auto"/>
        <w:ind w:right="-34" w:rightChars="-14"/>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 xml:space="preserve">  （公章）                               （签章）</w:t>
      </w:r>
    </w:p>
    <w:p>
      <w:pPr>
        <w:spacing w:line="360" w:lineRule="auto"/>
        <w:ind w:right="-34" w:rightChars="-14"/>
        <w:jc w:val="right"/>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 xml:space="preserve">                                     年     月     日</w:t>
      </w:r>
    </w:p>
    <w:p>
      <w:pPr>
        <w:snapToGrid w:val="0"/>
        <w:spacing w:line="360" w:lineRule="auto"/>
        <w:rPr>
          <w:rFonts w:hint="eastAsia" w:ascii="宋体"/>
          <w:snapToGrid w:val="0"/>
          <w:color w:val="000000"/>
          <w:kern w:val="0"/>
          <w:sz w:val="24"/>
          <w:szCs w:val="24"/>
          <w:highlight w:val="none"/>
        </w:rPr>
      </w:pPr>
    </w:p>
    <w:p>
      <w:pPr>
        <w:snapToGrid w:val="0"/>
        <w:spacing w:line="360" w:lineRule="auto"/>
        <w:rPr>
          <w:rFonts w:hint="eastAsia" w:ascii="宋体"/>
          <w:snapToGrid w:val="0"/>
          <w:color w:val="000000"/>
          <w:kern w:val="0"/>
          <w:sz w:val="24"/>
          <w:szCs w:val="24"/>
          <w:highlight w:val="none"/>
        </w:rPr>
      </w:pPr>
    </w:p>
    <w:p>
      <w:pPr>
        <w:snapToGrid w:val="0"/>
        <w:spacing w:line="360" w:lineRule="auto"/>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有关说明：</w:t>
      </w:r>
    </w:p>
    <w:p>
      <w:pPr>
        <w:snapToGrid w:val="0"/>
        <w:spacing w:line="360" w:lineRule="auto"/>
        <w:jc w:val="left"/>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报价一览表在开标大会上当众宣读，务必填写清楚，准确无误。表格可扩展。</w:t>
      </w:r>
    </w:p>
    <w:p>
      <w:pPr>
        <w:snapToGrid w:val="0"/>
        <w:spacing w:line="360" w:lineRule="auto"/>
        <w:rPr>
          <w:rFonts w:ascii="宋体"/>
          <w:snapToGrid w:val="0"/>
          <w:color w:val="000000"/>
          <w:kern w:val="0"/>
          <w:sz w:val="24"/>
          <w:szCs w:val="24"/>
          <w:highlight w:val="none"/>
        </w:rPr>
      </w:pPr>
      <w:r>
        <w:rPr>
          <w:rFonts w:hint="eastAsia" w:ascii="宋体"/>
          <w:snapToGrid w:val="0"/>
          <w:color w:val="000000"/>
          <w:kern w:val="0"/>
          <w:sz w:val="24"/>
          <w:szCs w:val="24"/>
          <w:highlight w:val="none"/>
        </w:rPr>
        <w:t>本次报价包含上述维护期，比选人不再另行支付该维护期内维护费用。</w:t>
      </w:r>
    </w:p>
    <w:p>
      <w:pPr>
        <w:snapToGrid w:val="0"/>
        <w:spacing w:line="360" w:lineRule="auto"/>
        <w:rPr>
          <w:rFonts w:hint="eastAsia" w:ascii="宋体"/>
          <w:snapToGrid w:val="0"/>
          <w:color w:val="000000"/>
          <w:kern w:val="0"/>
          <w:sz w:val="24"/>
          <w:szCs w:val="24"/>
          <w:highlight w:val="none"/>
        </w:rPr>
      </w:pPr>
      <w:r>
        <w:rPr>
          <w:rFonts w:ascii="宋体"/>
          <w:snapToGrid w:val="0"/>
          <w:color w:val="000000"/>
          <w:kern w:val="0"/>
          <w:sz w:val="24"/>
          <w:szCs w:val="24"/>
          <w:highlight w:val="none"/>
        </w:rPr>
        <w:br w:type="page"/>
      </w:r>
    </w:p>
    <w:p>
      <w:pPr>
        <w:pStyle w:val="4"/>
        <w:numPr>
          <w:ilvl w:val="0"/>
          <w:numId w:val="1"/>
        </w:numPr>
        <w:ind w:firstLineChars="0"/>
        <w:jc w:val="center"/>
        <w:rPr>
          <w:rFonts w:hint="eastAsia" w:cs="Cambria"/>
          <w:bCs w:val="0"/>
          <w:snapToGrid/>
          <w:color w:val="000000"/>
          <w:sz w:val="28"/>
          <w:szCs w:val="28"/>
          <w:highlight w:val="none"/>
        </w:rPr>
      </w:pPr>
      <w:r>
        <w:rPr>
          <w:rFonts w:hint="eastAsia" w:cs="Cambria"/>
          <w:bCs w:val="0"/>
          <w:snapToGrid/>
          <w:color w:val="000000"/>
          <w:sz w:val="28"/>
          <w:szCs w:val="28"/>
          <w:highlight w:val="none"/>
        </w:rPr>
        <w:t>分项报价明细表</w:t>
      </w:r>
    </w:p>
    <w:p>
      <w:pPr>
        <w:jc w:val="center"/>
        <w:rPr>
          <w:rFonts w:hint="eastAsia" w:ascii="宋体" w:cs="等线 Light"/>
          <w:snapToGrid w:val="0"/>
          <w:color w:val="000000"/>
          <w:kern w:val="0"/>
          <w:sz w:val="24"/>
          <w:szCs w:val="24"/>
          <w:highlight w:val="none"/>
        </w:rPr>
      </w:pPr>
    </w:p>
    <w:tbl>
      <w:tblPr>
        <w:tblStyle w:val="19"/>
        <w:tblW w:w="5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9"/>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129"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分项1（线路）</w:t>
            </w:r>
          </w:p>
        </w:tc>
        <w:tc>
          <w:tcPr>
            <w:tcW w:w="3006"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单价（元/月/条）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12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6G互联网专线</w:t>
            </w:r>
          </w:p>
        </w:tc>
        <w:tc>
          <w:tcPr>
            <w:tcW w:w="30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12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200M互联网宽带</w:t>
            </w:r>
          </w:p>
        </w:tc>
        <w:tc>
          <w:tcPr>
            <w:tcW w:w="30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12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500M互联网宽带</w:t>
            </w:r>
          </w:p>
        </w:tc>
        <w:tc>
          <w:tcPr>
            <w:tcW w:w="30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bl>
    <w:p>
      <w:pPr>
        <w:rPr>
          <w:rFonts w:hint="eastAsia" w:ascii="宋体"/>
          <w:color w:val="000000"/>
          <w:highlight w:val="none"/>
        </w:rPr>
      </w:pPr>
    </w:p>
    <w:tbl>
      <w:tblPr>
        <w:tblStyle w:val="19"/>
        <w:tblW w:w="5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1"/>
        <w:gridCol w:w="3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161"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分项2（设备）</w:t>
            </w:r>
          </w:p>
        </w:tc>
        <w:tc>
          <w:tcPr>
            <w:tcW w:w="3083"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单价（元/月/个）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1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无线AP</w:t>
            </w:r>
          </w:p>
        </w:tc>
        <w:tc>
          <w:tcPr>
            <w:tcW w:w="308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bl>
    <w:p>
      <w:pPr>
        <w:rPr>
          <w:rFonts w:hint="eastAsia" w:ascii="宋体"/>
          <w:color w:val="000000"/>
          <w:highlight w:val="none"/>
        </w:rPr>
      </w:pPr>
    </w:p>
    <w:tbl>
      <w:tblPr>
        <w:tblStyle w:val="19"/>
        <w:tblW w:w="6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4"/>
        <w:gridCol w:w="865"/>
        <w:gridCol w:w="715"/>
        <w:gridCol w:w="763"/>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21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sz w:val="21"/>
                <w:szCs w:val="21"/>
                <w:highlight w:val="none"/>
              </w:rPr>
              <w:t>参选总价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94"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分项</w:t>
            </w:r>
          </w:p>
        </w:tc>
        <w:tc>
          <w:tcPr>
            <w:tcW w:w="865" w:type="dxa"/>
            <w:tcBorders>
              <w:top w:val="single" w:color="000000" w:sz="4" w:space="0"/>
              <w:left w:val="single" w:color="000000" w:sz="4" w:space="0"/>
              <w:bottom w:val="single" w:color="000000" w:sz="4" w:space="0"/>
              <w:right w:val="single" w:color="auto"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sz w:val="21"/>
                <w:szCs w:val="21"/>
                <w:highlight w:val="none"/>
              </w:rPr>
            </w:pPr>
            <w:r>
              <w:rPr>
                <w:rFonts w:hint="eastAsia" w:ascii="宋体" w:cs="Times New Roman"/>
                <w:b/>
                <w:bCs/>
                <w:color w:val="000000"/>
                <w:kern w:val="0"/>
                <w:sz w:val="21"/>
                <w:szCs w:val="21"/>
                <w:highlight w:val="none"/>
              </w:rPr>
              <w:t>单价</w:t>
            </w:r>
          </w:p>
        </w:tc>
        <w:tc>
          <w:tcPr>
            <w:tcW w:w="715" w:type="dxa"/>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kern w:val="0"/>
                <w:sz w:val="21"/>
                <w:szCs w:val="21"/>
                <w:highlight w:val="none"/>
              </w:rPr>
            </w:pPr>
            <w:r>
              <w:rPr>
                <w:rFonts w:hint="eastAsia" w:ascii="宋体" w:cs="Times New Roman"/>
                <w:b/>
                <w:bCs/>
                <w:color w:val="000000"/>
                <w:kern w:val="0"/>
                <w:sz w:val="21"/>
                <w:szCs w:val="21"/>
                <w:highlight w:val="none"/>
              </w:rPr>
              <w:t>数量</w:t>
            </w:r>
          </w:p>
        </w:tc>
        <w:tc>
          <w:tcPr>
            <w:tcW w:w="761" w:type="dxa"/>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kern w:val="0"/>
                <w:sz w:val="21"/>
                <w:szCs w:val="21"/>
                <w:highlight w:val="none"/>
              </w:rPr>
            </w:pPr>
            <w:r>
              <w:rPr>
                <w:rFonts w:hint="eastAsia" w:ascii="宋体" w:cs="Times New Roman"/>
                <w:b/>
                <w:bCs/>
                <w:color w:val="000000"/>
                <w:kern w:val="0"/>
                <w:sz w:val="21"/>
                <w:szCs w:val="21"/>
                <w:highlight w:val="none"/>
              </w:rPr>
              <w:t>月份</w:t>
            </w:r>
          </w:p>
        </w:tc>
        <w:tc>
          <w:tcPr>
            <w:tcW w:w="1782" w:type="dxa"/>
            <w:tcBorders>
              <w:top w:val="single" w:color="000000" w:sz="4" w:space="0"/>
              <w:left w:val="single" w:color="auto" w:sz="4" w:space="0"/>
              <w:bottom w:val="single" w:color="000000" w:sz="4" w:space="0"/>
              <w:right w:val="single" w:color="000000" w:sz="4" w:space="0"/>
              <w:tl2br w:val="nil"/>
              <w:tr2bl w:val="nil"/>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kern w:val="0"/>
                <w:sz w:val="21"/>
                <w:szCs w:val="21"/>
                <w:highlight w:val="none"/>
              </w:rPr>
            </w:pPr>
            <w:r>
              <w:rPr>
                <w:rFonts w:hint="eastAsia" w:ascii="宋体" w:cs="Times New Roman"/>
                <w:b/>
                <w:bCs/>
                <w:color w:val="000000"/>
                <w:kern w:val="0"/>
                <w:sz w:val="21"/>
                <w:szCs w:val="21"/>
                <w:highlight w:val="none"/>
              </w:rPr>
              <w:t>小计（元/年）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0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6G互联网专线</w:t>
            </w:r>
          </w:p>
        </w:tc>
        <w:tc>
          <w:tcPr>
            <w:tcW w:w="865" w:type="dxa"/>
            <w:tcBorders>
              <w:top w:val="single" w:color="000000" w:sz="4" w:space="0"/>
              <w:left w:val="single" w:color="000000"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c>
          <w:tcPr>
            <w:tcW w:w="715"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1</w:t>
            </w:r>
          </w:p>
        </w:tc>
        <w:tc>
          <w:tcPr>
            <w:tcW w:w="761"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12</w:t>
            </w:r>
          </w:p>
        </w:tc>
        <w:tc>
          <w:tcPr>
            <w:tcW w:w="1782" w:type="dxa"/>
            <w:tcBorders>
              <w:top w:val="single" w:color="000000" w:sz="4" w:space="0"/>
              <w:left w:val="single" w:color="auto"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0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200M互联网宽带</w:t>
            </w:r>
          </w:p>
        </w:tc>
        <w:tc>
          <w:tcPr>
            <w:tcW w:w="865" w:type="dxa"/>
            <w:tcBorders>
              <w:top w:val="single" w:color="000000" w:sz="4" w:space="0"/>
              <w:left w:val="single" w:color="000000"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c>
          <w:tcPr>
            <w:tcW w:w="715"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93</w:t>
            </w:r>
          </w:p>
        </w:tc>
        <w:tc>
          <w:tcPr>
            <w:tcW w:w="761"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12</w:t>
            </w:r>
          </w:p>
        </w:tc>
        <w:tc>
          <w:tcPr>
            <w:tcW w:w="1782" w:type="dxa"/>
            <w:tcBorders>
              <w:top w:val="single" w:color="000000" w:sz="4" w:space="0"/>
              <w:left w:val="single" w:color="auto"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0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kern w:val="0"/>
                <w:sz w:val="21"/>
                <w:szCs w:val="21"/>
                <w:highlight w:val="none"/>
              </w:rPr>
              <w:t>500M互联网宽带</w:t>
            </w:r>
          </w:p>
        </w:tc>
        <w:tc>
          <w:tcPr>
            <w:tcW w:w="865" w:type="dxa"/>
            <w:tcBorders>
              <w:top w:val="single" w:color="000000" w:sz="4" w:space="0"/>
              <w:left w:val="single" w:color="000000"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c>
          <w:tcPr>
            <w:tcW w:w="715"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3</w:t>
            </w:r>
          </w:p>
        </w:tc>
        <w:tc>
          <w:tcPr>
            <w:tcW w:w="761"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12</w:t>
            </w:r>
          </w:p>
        </w:tc>
        <w:tc>
          <w:tcPr>
            <w:tcW w:w="1782" w:type="dxa"/>
            <w:tcBorders>
              <w:top w:val="single" w:color="000000" w:sz="4" w:space="0"/>
              <w:left w:val="single" w:color="auto"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0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kern w:val="0"/>
                <w:sz w:val="21"/>
                <w:szCs w:val="21"/>
                <w:highlight w:val="none"/>
              </w:rPr>
            </w:pPr>
            <w:r>
              <w:rPr>
                <w:rFonts w:hint="eastAsia" w:ascii="宋体" w:cs="Times New Roman"/>
                <w:color w:val="000000"/>
                <w:kern w:val="0"/>
                <w:sz w:val="21"/>
                <w:szCs w:val="21"/>
                <w:highlight w:val="none"/>
              </w:rPr>
              <w:t>无线AP</w:t>
            </w:r>
          </w:p>
        </w:tc>
        <w:tc>
          <w:tcPr>
            <w:tcW w:w="865" w:type="dxa"/>
            <w:tcBorders>
              <w:top w:val="single" w:color="000000" w:sz="4" w:space="0"/>
              <w:left w:val="single" w:color="000000"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c>
          <w:tcPr>
            <w:tcW w:w="715"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493</w:t>
            </w:r>
          </w:p>
        </w:tc>
        <w:tc>
          <w:tcPr>
            <w:tcW w:w="761" w:type="dxa"/>
            <w:tcBorders>
              <w:top w:val="single" w:color="000000" w:sz="4" w:space="0"/>
              <w:left w:val="single" w:color="auto"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r>
              <w:rPr>
                <w:rFonts w:hint="eastAsia" w:ascii="宋体" w:cs="Times New Roman"/>
                <w:color w:val="000000"/>
                <w:sz w:val="21"/>
                <w:szCs w:val="21"/>
                <w:highlight w:val="none"/>
              </w:rPr>
              <w:t>12</w:t>
            </w:r>
          </w:p>
        </w:tc>
        <w:tc>
          <w:tcPr>
            <w:tcW w:w="1782" w:type="dxa"/>
            <w:tcBorders>
              <w:top w:val="single" w:color="000000" w:sz="4" w:space="0"/>
              <w:left w:val="single" w:color="auto"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437" w:type="dxa"/>
            <w:gridSpan w:val="4"/>
            <w:tcBorders>
              <w:top w:val="single" w:color="000000" w:sz="4" w:space="0"/>
              <w:left w:val="single" w:color="000000" w:sz="4" w:space="0"/>
              <w:bottom w:val="single" w:color="000000"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b/>
                <w:bCs/>
                <w:color w:val="000000"/>
                <w:kern w:val="0"/>
                <w:sz w:val="21"/>
                <w:szCs w:val="21"/>
                <w:highlight w:val="none"/>
              </w:rPr>
            </w:pPr>
            <w:r>
              <w:rPr>
                <w:rFonts w:hint="eastAsia" w:ascii="宋体" w:cs="Times New Roman"/>
                <w:b/>
                <w:bCs/>
                <w:color w:val="000000"/>
                <w:sz w:val="21"/>
                <w:szCs w:val="21"/>
                <w:highlight w:val="none"/>
              </w:rPr>
              <w:t>合计</w:t>
            </w:r>
          </w:p>
        </w:tc>
        <w:tc>
          <w:tcPr>
            <w:tcW w:w="1782" w:type="dxa"/>
            <w:tcBorders>
              <w:top w:val="single" w:color="000000" w:sz="4" w:space="0"/>
              <w:left w:val="single" w:color="auto"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cs="Times New Roman"/>
                <w:color w:val="000000"/>
                <w:sz w:val="21"/>
                <w:szCs w:val="21"/>
                <w:highlight w:val="none"/>
              </w:rPr>
            </w:pPr>
          </w:p>
        </w:tc>
      </w:tr>
    </w:tbl>
    <w:p>
      <w:pPr>
        <w:rPr>
          <w:rFonts w:hint="eastAsia"/>
          <w:color w:val="000000"/>
          <w:highlight w:val="none"/>
        </w:rPr>
      </w:pPr>
    </w:p>
    <w:p>
      <w:pPr>
        <w:widowControl/>
        <w:jc w:val="left"/>
        <w:rPr>
          <w:rFonts w:hint="eastAsia"/>
          <w:color w:val="000000"/>
          <w:highlight w:val="none"/>
        </w:rPr>
      </w:pPr>
      <w:r>
        <w:rPr>
          <w:rFonts w:hint="eastAsia"/>
          <w:color w:val="000000"/>
          <w:highlight w:val="none"/>
        </w:rPr>
        <w:br w:type="page"/>
      </w:r>
    </w:p>
    <w:p>
      <w:pPr>
        <w:pStyle w:val="4"/>
        <w:numPr>
          <w:ilvl w:val="0"/>
          <w:numId w:val="1"/>
        </w:numPr>
        <w:ind w:firstLineChars="0"/>
        <w:jc w:val="center"/>
        <w:rPr>
          <w:rFonts w:hint="eastAsia" w:cs="Cambria"/>
          <w:bCs w:val="0"/>
          <w:snapToGrid/>
          <w:color w:val="000000"/>
          <w:sz w:val="28"/>
          <w:szCs w:val="28"/>
          <w:highlight w:val="none"/>
        </w:rPr>
      </w:pPr>
      <w:r>
        <w:rPr>
          <w:rFonts w:hint="eastAsia" w:cs="Cambria"/>
          <w:bCs w:val="0"/>
          <w:snapToGrid/>
          <w:color w:val="000000"/>
          <w:sz w:val="28"/>
          <w:szCs w:val="28"/>
          <w:highlight w:val="none"/>
        </w:rPr>
        <w:t>书面声明</w:t>
      </w:r>
    </w:p>
    <w:p>
      <w:pPr>
        <w:tabs>
          <w:tab w:val="left" w:pos="6300"/>
        </w:tabs>
        <w:snapToGrid w:val="0"/>
        <w:spacing w:line="360" w:lineRule="auto"/>
        <w:ind w:firstLine="570"/>
        <w:rPr>
          <w:rFonts w:hint="eastAsia" w:ascii="宋体"/>
          <w:color w:val="000000"/>
          <w:sz w:val="24"/>
          <w:highlight w:val="none"/>
        </w:rPr>
      </w:pPr>
    </w:p>
    <w:p>
      <w:pPr>
        <w:tabs>
          <w:tab w:val="left" w:pos="6300"/>
        </w:tabs>
        <w:snapToGrid w:val="0"/>
        <w:spacing w:line="360" w:lineRule="auto"/>
        <w:ind w:firstLine="480" w:firstLineChars="200"/>
        <w:rPr>
          <w:rFonts w:hint="eastAsia" w:ascii="宋体"/>
          <w:color w:val="000000"/>
          <w:sz w:val="24"/>
          <w:highlight w:val="none"/>
        </w:rPr>
      </w:pPr>
      <w:r>
        <w:rPr>
          <w:rFonts w:hint="eastAsia" w:ascii="宋体"/>
          <w:color w:val="000000"/>
          <w:sz w:val="24"/>
          <w:szCs w:val="28"/>
          <w:highlight w:val="none"/>
        </w:rPr>
        <w:t>项目名称</w:t>
      </w:r>
      <w:r>
        <w:rPr>
          <w:rFonts w:hint="eastAsia" w:ascii="宋体"/>
          <w:color w:val="000000"/>
          <w:sz w:val="24"/>
          <w:highlight w:val="none"/>
        </w:rPr>
        <w:t>：</w:t>
      </w:r>
      <w:r>
        <w:rPr>
          <w:rFonts w:hint="eastAsia" w:ascii="宋体"/>
          <w:snapToGrid w:val="0"/>
          <w:color w:val="000000"/>
          <w:kern w:val="0"/>
          <w:sz w:val="24"/>
          <w:szCs w:val="24"/>
          <w:highlight w:val="none"/>
          <w:u w:val="single"/>
        </w:rPr>
        <w:t>__________________</w:t>
      </w:r>
    </w:p>
    <w:p>
      <w:pPr>
        <w:tabs>
          <w:tab w:val="left" w:pos="6300"/>
        </w:tabs>
        <w:snapToGrid w:val="0"/>
        <w:spacing w:line="360" w:lineRule="auto"/>
        <w:ind w:firstLine="570"/>
        <w:rPr>
          <w:rFonts w:hint="eastAsia" w:ascii="宋体"/>
          <w:color w:val="000000"/>
          <w:sz w:val="24"/>
          <w:highlight w:val="none"/>
        </w:rPr>
      </w:pPr>
    </w:p>
    <w:p>
      <w:pPr>
        <w:tabs>
          <w:tab w:val="left" w:pos="6300"/>
        </w:tabs>
        <w:snapToGrid w:val="0"/>
        <w:spacing w:line="360" w:lineRule="auto"/>
        <w:ind w:firstLine="480" w:firstLineChars="200"/>
        <w:rPr>
          <w:rFonts w:hint="eastAsia" w:ascii="宋体"/>
          <w:color w:val="000000"/>
          <w:sz w:val="24"/>
          <w:highlight w:val="none"/>
        </w:rPr>
      </w:pPr>
      <w:r>
        <w:rPr>
          <w:rFonts w:hint="eastAsia" w:ascii="宋体"/>
          <w:color w:val="000000"/>
          <w:sz w:val="24"/>
          <w:highlight w:val="none"/>
        </w:rPr>
        <w:t>致：</w:t>
      </w:r>
      <w:r>
        <w:rPr>
          <w:rFonts w:hint="eastAsia" w:ascii="宋体"/>
          <w:snapToGrid w:val="0"/>
          <w:color w:val="000000"/>
          <w:kern w:val="0"/>
          <w:sz w:val="24"/>
          <w:highlight w:val="none"/>
          <w:u w:val="single"/>
        </w:rPr>
        <w:t>重庆三峡银行股份有限公司</w:t>
      </w:r>
      <w:r>
        <w:rPr>
          <w:rFonts w:hint="eastAsia" w:ascii="宋体"/>
          <w:color w:val="000000"/>
          <w:sz w:val="24"/>
          <w:highlight w:val="none"/>
        </w:rPr>
        <w:t>：</w:t>
      </w:r>
    </w:p>
    <w:p>
      <w:pPr>
        <w:tabs>
          <w:tab w:val="left" w:pos="6300"/>
        </w:tabs>
        <w:snapToGrid w:val="0"/>
        <w:spacing w:line="360" w:lineRule="auto"/>
        <w:ind w:firstLine="480" w:firstLineChars="200"/>
        <w:rPr>
          <w:rFonts w:hint="eastAsia" w:ascii="宋体"/>
          <w:color w:val="000000"/>
          <w:sz w:val="24"/>
          <w:highlight w:val="none"/>
        </w:rPr>
      </w:pPr>
      <w:r>
        <w:rPr>
          <w:rFonts w:hint="eastAsia" w:ascii="宋体"/>
          <w:color w:val="000000"/>
          <w:sz w:val="24"/>
          <w:highlight w:val="none"/>
        </w:rPr>
        <w:t>（</w:t>
      </w:r>
      <w:r>
        <w:rPr>
          <w:rFonts w:hint="eastAsia" w:ascii="宋体" w:cs="等线 Light"/>
          <w:snapToGrid w:val="0"/>
          <w:color w:val="000000"/>
          <w:kern w:val="0"/>
          <w:sz w:val="24"/>
          <w:szCs w:val="24"/>
          <w:highlight w:val="none"/>
        </w:rPr>
        <w:t>参选</w:t>
      </w:r>
      <w:r>
        <w:rPr>
          <w:rFonts w:hint="eastAsia" w:ascii="宋体"/>
          <w:color w:val="000000"/>
          <w:sz w:val="24"/>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000000"/>
          <w:kern w:val="0"/>
          <w:sz w:val="24"/>
          <w:szCs w:val="24"/>
          <w:highlight w:val="none"/>
        </w:rPr>
        <w:t>参选</w:t>
      </w:r>
      <w:r>
        <w:rPr>
          <w:rFonts w:hint="eastAsia" w:ascii="宋体"/>
          <w:color w:val="000000"/>
          <w:sz w:val="24"/>
          <w:highlight w:val="none"/>
        </w:rPr>
        <w:t>人资格条件。我方对以上声明负全部法律责任。</w:t>
      </w:r>
    </w:p>
    <w:p>
      <w:pPr>
        <w:tabs>
          <w:tab w:val="left" w:pos="6300"/>
        </w:tabs>
        <w:snapToGrid w:val="0"/>
        <w:spacing w:line="360" w:lineRule="auto"/>
        <w:ind w:firstLine="480" w:firstLineChars="200"/>
        <w:rPr>
          <w:rFonts w:hint="eastAsia" w:ascii="宋体"/>
          <w:color w:val="000000"/>
          <w:sz w:val="24"/>
          <w:highlight w:val="none"/>
        </w:rPr>
      </w:pPr>
      <w:r>
        <w:rPr>
          <w:rFonts w:hint="eastAsia" w:ascii="宋体"/>
          <w:color w:val="000000"/>
          <w:sz w:val="24"/>
          <w:highlight w:val="none"/>
        </w:rPr>
        <w:t>特此声明。</w:t>
      </w:r>
    </w:p>
    <w:p>
      <w:pPr>
        <w:tabs>
          <w:tab w:val="left" w:pos="6300"/>
        </w:tabs>
        <w:snapToGrid w:val="0"/>
        <w:spacing w:line="360" w:lineRule="auto"/>
        <w:ind w:firstLine="570"/>
        <w:rPr>
          <w:rFonts w:hint="eastAsia" w:ascii="宋体"/>
          <w:color w:val="000000"/>
          <w:sz w:val="24"/>
          <w:highlight w:val="none"/>
        </w:rPr>
      </w:pPr>
    </w:p>
    <w:p>
      <w:pPr>
        <w:tabs>
          <w:tab w:val="left" w:pos="6300"/>
        </w:tabs>
        <w:snapToGrid w:val="0"/>
        <w:spacing w:line="360" w:lineRule="auto"/>
        <w:ind w:firstLine="570"/>
        <w:rPr>
          <w:rFonts w:hint="eastAsia" w:ascii="宋体"/>
          <w:color w:val="000000"/>
          <w:sz w:val="24"/>
          <w:highlight w:val="none"/>
        </w:rPr>
      </w:pPr>
    </w:p>
    <w:p>
      <w:pPr>
        <w:tabs>
          <w:tab w:val="left" w:pos="6300"/>
        </w:tabs>
        <w:snapToGrid w:val="0"/>
        <w:spacing w:line="360" w:lineRule="auto"/>
        <w:ind w:firstLine="570"/>
        <w:rPr>
          <w:rFonts w:hint="eastAsia" w:ascii="宋体"/>
          <w:color w:val="000000"/>
          <w:sz w:val="24"/>
          <w:highlight w:val="none"/>
        </w:rPr>
      </w:pPr>
    </w:p>
    <w:p>
      <w:pPr>
        <w:tabs>
          <w:tab w:val="left" w:pos="6300"/>
        </w:tabs>
        <w:snapToGrid w:val="0"/>
        <w:spacing w:line="360" w:lineRule="auto"/>
        <w:ind w:right="424" w:firstLine="570"/>
        <w:jc w:val="right"/>
        <w:rPr>
          <w:rFonts w:hint="eastAsia" w:ascii="宋体"/>
          <w:color w:val="000000"/>
          <w:sz w:val="24"/>
          <w:highlight w:val="none"/>
        </w:rPr>
      </w:pPr>
      <w:r>
        <w:rPr>
          <w:rFonts w:hint="eastAsia" w:ascii="宋体"/>
          <w:color w:val="000000"/>
          <w:sz w:val="24"/>
          <w:highlight w:val="none"/>
        </w:rPr>
        <w:t>（</w:t>
      </w:r>
      <w:r>
        <w:rPr>
          <w:rFonts w:hint="eastAsia" w:ascii="宋体" w:cs="等线 Light"/>
          <w:snapToGrid w:val="0"/>
          <w:color w:val="000000"/>
          <w:kern w:val="0"/>
          <w:sz w:val="24"/>
          <w:szCs w:val="24"/>
          <w:highlight w:val="none"/>
        </w:rPr>
        <w:t>参选</w:t>
      </w:r>
      <w:r>
        <w:rPr>
          <w:rFonts w:hint="eastAsia" w:ascii="宋体"/>
          <w:color w:val="000000"/>
          <w:sz w:val="24"/>
          <w:highlight w:val="none"/>
        </w:rPr>
        <w:t>人公章）</w:t>
      </w:r>
    </w:p>
    <w:p>
      <w:pPr>
        <w:tabs>
          <w:tab w:val="left" w:pos="6300"/>
        </w:tabs>
        <w:snapToGrid w:val="0"/>
        <w:spacing w:line="360" w:lineRule="auto"/>
        <w:ind w:right="480" w:firstLine="570"/>
        <w:jc w:val="right"/>
        <w:rPr>
          <w:rFonts w:hint="eastAsia" w:ascii="宋体"/>
          <w:color w:val="000000"/>
          <w:sz w:val="24"/>
          <w:highlight w:val="none"/>
        </w:rPr>
      </w:pPr>
      <w:r>
        <w:rPr>
          <w:rFonts w:hint="eastAsia" w:ascii="宋体"/>
          <w:color w:val="000000"/>
          <w:sz w:val="24"/>
          <w:highlight w:val="none"/>
        </w:rPr>
        <w:t>年   月   日</w:t>
      </w:r>
    </w:p>
    <w:p>
      <w:pPr>
        <w:spacing w:line="360" w:lineRule="auto"/>
        <w:jc w:val="left"/>
        <w:rPr>
          <w:rFonts w:hint="eastAsia" w:ascii="宋体" w:cs="等线 Light"/>
          <w:snapToGrid w:val="0"/>
          <w:color w:val="000000"/>
          <w:kern w:val="0"/>
          <w:sz w:val="24"/>
          <w:szCs w:val="24"/>
          <w:highlight w:val="none"/>
        </w:rPr>
      </w:pPr>
    </w:p>
    <w:p>
      <w:pPr>
        <w:spacing w:line="360" w:lineRule="auto"/>
        <w:jc w:val="left"/>
        <w:rPr>
          <w:rFonts w:hint="eastAsia" w:ascii="宋体" w:cs="等线 Light"/>
          <w:snapToGrid w:val="0"/>
          <w:color w:val="000000"/>
          <w:kern w:val="0"/>
          <w:sz w:val="24"/>
          <w:szCs w:val="24"/>
          <w:highlight w:val="none"/>
        </w:rPr>
      </w:pPr>
    </w:p>
    <w:p>
      <w:pPr>
        <w:spacing w:line="360" w:lineRule="auto"/>
        <w:jc w:val="left"/>
        <w:rPr>
          <w:rFonts w:hint="eastAsia" w:ascii="宋体" w:cs="等线 Light"/>
          <w:snapToGrid w:val="0"/>
          <w:color w:val="000000"/>
          <w:kern w:val="0"/>
          <w:sz w:val="24"/>
          <w:szCs w:val="24"/>
          <w:highlight w:val="none"/>
        </w:rPr>
      </w:pPr>
    </w:p>
    <w:p>
      <w:pPr>
        <w:spacing w:line="360" w:lineRule="auto"/>
        <w:jc w:val="left"/>
        <w:rPr>
          <w:rFonts w:hint="eastAsia" w:ascii="宋体" w:cs="等线 Light"/>
          <w:snapToGrid w:val="0"/>
          <w:color w:val="000000"/>
          <w:kern w:val="0"/>
          <w:sz w:val="24"/>
          <w:szCs w:val="24"/>
          <w:highlight w:val="none"/>
        </w:rPr>
      </w:pPr>
    </w:p>
    <w:p>
      <w:pPr>
        <w:spacing w:line="360" w:lineRule="auto"/>
        <w:jc w:val="left"/>
        <w:rPr>
          <w:rFonts w:hint="eastAsia" w:ascii="宋体" w:cs="等线 Light"/>
          <w:snapToGrid w:val="0"/>
          <w:color w:val="000000"/>
          <w:kern w:val="0"/>
          <w:sz w:val="24"/>
          <w:szCs w:val="24"/>
          <w:highlight w:val="none"/>
        </w:rPr>
      </w:pPr>
    </w:p>
    <w:p>
      <w:pPr>
        <w:spacing w:line="360" w:lineRule="auto"/>
        <w:jc w:val="left"/>
        <w:rPr>
          <w:rFonts w:hint="eastAsia" w:ascii="宋体" w:cs="等线 Light"/>
          <w:snapToGrid w:val="0"/>
          <w:color w:val="000000"/>
          <w:kern w:val="0"/>
          <w:sz w:val="24"/>
          <w:szCs w:val="24"/>
          <w:highlight w:val="none"/>
        </w:rPr>
      </w:pPr>
    </w:p>
    <w:p>
      <w:pPr>
        <w:pStyle w:val="4"/>
        <w:numPr>
          <w:ilvl w:val="0"/>
          <w:numId w:val="1"/>
        </w:numPr>
        <w:ind w:firstLineChars="0"/>
        <w:jc w:val="center"/>
        <w:rPr>
          <w:rFonts w:hint="eastAsia" w:ascii="宋体" w:hAnsi="宋体" w:cs="Cambria"/>
          <w:b/>
          <w:snapToGrid/>
          <w:color w:val="000000"/>
          <w:kern w:val="2"/>
          <w:sz w:val="28"/>
          <w:szCs w:val="28"/>
          <w:highlight w:val="none"/>
        </w:rPr>
      </w:pPr>
      <w:r>
        <w:rPr>
          <w:rFonts w:hint="eastAsia" w:ascii="宋体" w:cs="等线 Light"/>
          <w:snapToGrid w:val="0"/>
          <w:color w:val="000000"/>
          <w:kern w:val="0"/>
          <w:sz w:val="24"/>
          <w:szCs w:val="24"/>
          <w:highlight w:val="none"/>
        </w:rPr>
        <w:br w:type="page"/>
      </w:r>
      <w:r>
        <w:rPr>
          <w:rFonts w:hint="eastAsia" w:ascii="宋体" w:hAnsi="宋体" w:cs="Cambria"/>
          <w:b/>
          <w:snapToGrid/>
          <w:color w:val="000000"/>
          <w:kern w:val="2"/>
          <w:sz w:val="28"/>
          <w:szCs w:val="28"/>
          <w:highlight w:val="none"/>
        </w:rPr>
        <w:t>中国执行信息公开网截图</w:t>
      </w:r>
    </w:p>
    <w:p>
      <w:pPr>
        <w:pStyle w:val="4"/>
        <w:numPr>
          <w:ilvl w:val="0"/>
          <w:numId w:val="1"/>
        </w:numPr>
        <w:ind w:firstLineChars="0"/>
        <w:jc w:val="center"/>
        <w:rPr>
          <w:rFonts w:hint="eastAsia"/>
          <w:b w:val="0"/>
          <w:color w:val="000000"/>
          <w:kern w:val="0"/>
          <w:sz w:val="32"/>
          <w:highlight w:val="none"/>
        </w:rPr>
      </w:pPr>
      <w:r>
        <w:rPr>
          <w:rFonts w:hint="eastAsia" w:cs="等线 Light"/>
          <w:color w:val="000000"/>
          <w:kern w:val="0"/>
          <w:highlight w:val="none"/>
        </w:rPr>
        <w:br w:type="page"/>
      </w:r>
      <w:r>
        <w:rPr>
          <w:rFonts w:hint="eastAsia" w:cs="Cambria"/>
          <w:bCs w:val="0"/>
          <w:snapToGrid/>
          <w:color w:val="000000"/>
          <w:sz w:val="28"/>
          <w:szCs w:val="28"/>
          <w:highlight w:val="none"/>
        </w:rPr>
        <w:t>参选人业绩证明文件复印件</w:t>
      </w:r>
    </w:p>
    <w:p>
      <w:pPr>
        <w:tabs>
          <w:tab w:val="left" w:pos="6300"/>
        </w:tabs>
        <w:snapToGrid w:val="0"/>
        <w:spacing w:line="360" w:lineRule="auto"/>
        <w:jc w:val="center"/>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（中选通知书、合同等）</w:t>
      </w:r>
    </w:p>
    <w:p>
      <w:pPr>
        <w:pStyle w:val="4"/>
        <w:numPr>
          <w:ilvl w:val="0"/>
          <w:numId w:val="1"/>
        </w:numPr>
        <w:ind w:firstLineChars="0"/>
        <w:jc w:val="center"/>
        <w:rPr>
          <w:rFonts w:hint="eastAsia"/>
          <w:b w:val="0"/>
          <w:color w:val="000000"/>
          <w:kern w:val="0"/>
          <w:highlight w:val="none"/>
        </w:rPr>
      </w:pPr>
      <w:r>
        <w:rPr>
          <w:rFonts w:hint="eastAsia"/>
          <w:color w:val="000000"/>
          <w:kern w:val="0"/>
          <w:highlight w:val="none"/>
        </w:rPr>
        <w:br w:type="page"/>
      </w:r>
      <w:r>
        <w:rPr>
          <w:rFonts w:hint="eastAsia" w:cs="Cambria"/>
          <w:bCs w:val="0"/>
          <w:snapToGrid/>
          <w:color w:val="000000"/>
          <w:sz w:val="28"/>
          <w:szCs w:val="28"/>
          <w:highlight w:val="none"/>
        </w:rPr>
        <w:t>项目实施方案</w:t>
      </w:r>
    </w:p>
    <w:p>
      <w:pPr>
        <w:tabs>
          <w:tab w:val="left" w:pos="6300"/>
        </w:tabs>
        <w:snapToGrid w:val="0"/>
        <w:spacing w:line="360" w:lineRule="auto"/>
        <w:jc w:val="center"/>
        <w:rPr>
          <w:rFonts w:hint="eastAsia" w:ascii="宋体"/>
          <w:snapToGrid w:val="0"/>
          <w:color w:val="000000"/>
          <w:kern w:val="0"/>
          <w:sz w:val="24"/>
          <w:szCs w:val="24"/>
          <w:highlight w:val="none"/>
        </w:rPr>
      </w:pPr>
      <w:r>
        <w:rPr>
          <w:rFonts w:hint="eastAsia" w:ascii="宋体"/>
          <w:snapToGrid w:val="0"/>
          <w:color w:val="000000"/>
          <w:kern w:val="0"/>
          <w:sz w:val="24"/>
          <w:szCs w:val="24"/>
          <w:highlight w:val="none"/>
        </w:rPr>
        <w:t>（实施方案包括履行合同的时间计划、提交资料、人员安排等）</w:t>
      </w:r>
    </w:p>
    <w:p>
      <w:pPr>
        <w:pStyle w:val="4"/>
        <w:numPr>
          <w:ilvl w:val="0"/>
          <w:numId w:val="1"/>
        </w:numPr>
        <w:ind w:firstLineChars="0"/>
        <w:jc w:val="center"/>
        <w:rPr>
          <w:rFonts w:hint="eastAsia"/>
          <w:b w:val="0"/>
          <w:color w:val="000000"/>
          <w:kern w:val="0"/>
          <w:highlight w:val="none"/>
        </w:rPr>
      </w:pPr>
      <w:r>
        <w:rPr>
          <w:rFonts w:hint="eastAsia"/>
          <w:color w:val="000000"/>
          <w:kern w:val="0"/>
          <w:highlight w:val="none"/>
        </w:rPr>
        <w:br w:type="page"/>
      </w:r>
      <w:r>
        <w:rPr>
          <w:rFonts w:hint="eastAsia" w:cs="Cambria"/>
          <w:bCs w:val="0"/>
          <w:snapToGrid/>
          <w:color w:val="000000"/>
          <w:sz w:val="28"/>
          <w:szCs w:val="28"/>
          <w:highlight w:val="none"/>
        </w:rPr>
        <w:t>售后服务和培训方案</w:t>
      </w:r>
    </w:p>
    <w:p>
      <w:pPr>
        <w:pStyle w:val="4"/>
        <w:numPr>
          <w:ilvl w:val="0"/>
          <w:numId w:val="1"/>
        </w:numPr>
        <w:ind w:firstLineChars="0"/>
        <w:jc w:val="center"/>
        <w:rPr>
          <w:rFonts w:hint="eastAsia"/>
          <w:b w:val="0"/>
          <w:color w:val="000000"/>
          <w:kern w:val="0"/>
          <w:highlight w:val="none"/>
        </w:rPr>
      </w:pPr>
      <w:r>
        <w:rPr>
          <w:rFonts w:hint="eastAsia"/>
          <w:color w:val="000000"/>
          <w:kern w:val="0"/>
          <w:highlight w:val="none"/>
        </w:rPr>
        <w:br w:type="page"/>
      </w:r>
      <w:r>
        <w:rPr>
          <w:rFonts w:hint="eastAsia" w:cs="Cambria"/>
          <w:bCs w:val="0"/>
          <w:snapToGrid/>
          <w:color w:val="000000"/>
          <w:sz w:val="28"/>
          <w:szCs w:val="28"/>
          <w:highlight w:val="none"/>
        </w:rPr>
        <w:t>技术条款偏离表</w:t>
      </w: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等线 Light"/>
                <w:color w:val="000000"/>
                <w:sz w:val="21"/>
                <w:szCs w:val="21"/>
                <w:highlight w:val="none"/>
              </w:rPr>
            </w:pPr>
            <w:r>
              <w:rPr>
                <w:rFonts w:hint="eastAsia" w:ascii="宋体" w:cs="等线 Light"/>
                <w:color w:val="000000"/>
                <w:sz w:val="21"/>
                <w:szCs w:val="21"/>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等线 Light"/>
                <w:color w:val="000000"/>
                <w:sz w:val="21"/>
                <w:szCs w:val="21"/>
                <w:highlight w:val="none"/>
              </w:rPr>
            </w:pPr>
            <w:r>
              <w:rPr>
                <w:rFonts w:hint="eastAsia" w:ascii="宋体" w:cs="等线 Light"/>
                <w:color w:val="000000"/>
                <w:sz w:val="21"/>
                <w:szCs w:val="21"/>
                <w:highlight w:val="none"/>
              </w:rPr>
              <w:t>比选文件条目号</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等线 Light"/>
                <w:color w:val="000000"/>
                <w:sz w:val="21"/>
                <w:szCs w:val="21"/>
                <w:highlight w:val="none"/>
              </w:rPr>
            </w:pPr>
            <w:r>
              <w:rPr>
                <w:rFonts w:hint="eastAsia" w:ascii="宋体" w:cs="等线 Light"/>
                <w:color w:val="000000"/>
                <w:sz w:val="21"/>
                <w:szCs w:val="21"/>
                <w:highlight w:val="none"/>
              </w:rPr>
              <w:t>比选文件技术条款</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等线 Light"/>
                <w:color w:val="000000"/>
                <w:sz w:val="21"/>
                <w:szCs w:val="21"/>
                <w:highlight w:val="none"/>
              </w:rPr>
            </w:pPr>
            <w:r>
              <w:rPr>
                <w:rFonts w:hint="eastAsia" w:ascii="宋体" w:cs="等线 Light"/>
                <w:color w:val="000000"/>
                <w:sz w:val="21"/>
                <w:szCs w:val="21"/>
                <w:highlight w:val="none"/>
              </w:rPr>
              <w:t>参选文件对应技术条款</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等线 Light"/>
                <w:color w:val="000000"/>
                <w:sz w:val="21"/>
                <w:szCs w:val="21"/>
                <w:highlight w:val="none"/>
              </w:rPr>
            </w:pPr>
            <w:r>
              <w:rPr>
                <w:rFonts w:hint="eastAsia" w:ascii="宋体" w:cs="等线 Light"/>
                <w:color w:val="00000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cs="等线 Light"/>
                <w:color w:val="000000"/>
                <w:sz w:val="21"/>
                <w:szCs w:val="21"/>
                <w:highlight w:val="none"/>
              </w:rPr>
            </w:pPr>
          </w:p>
        </w:tc>
      </w:tr>
    </w:tbl>
    <w:p>
      <w:pPr>
        <w:pStyle w:val="4"/>
        <w:numPr>
          <w:ilvl w:val="0"/>
          <w:numId w:val="1"/>
        </w:numPr>
        <w:ind w:firstLineChars="0"/>
        <w:jc w:val="center"/>
        <w:rPr>
          <w:rFonts w:hint="eastAsia" w:cs="Cambria"/>
          <w:bCs w:val="0"/>
          <w:snapToGrid/>
          <w:color w:val="000000"/>
          <w:sz w:val="28"/>
          <w:szCs w:val="28"/>
          <w:highlight w:val="none"/>
        </w:rPr>
      </w:pPr>
      <w:r>
        <w:rPr>
          <w:rFonts w:hint="eastAsia" w:ascii="宋体" w:cs="等线 Light"/>
          <w:snapToGrid w:val="0"/>
          <w:color w:val="000000"/>
          <w:kern w:val="0"/>
          <w:sz w:val="24"/>
          <w:szCs w:val="24"/>
          <w:highlight w:val="none"/>
        </w:rPr>
        <w:br w:type="page"/>
      </w:r>
      <w:bookmarkStart w:id="125" w:name="_Hlk24116190"/>
      <w:r>
        <w:rPr>
          <w:rFonts w:hint="eastAsia" w:cs="Cambria"/>
          <w:bCs w:val="0"/>
          <w:snapToGrid/>
          <w:color w:val="000000"/>
          <w:sz w:val="28"/>
          <w:szCs w:val="28"/>
          <w:highlight w:val="none"/>
        </w:rPr>
        <w:t>商务条款偏离表</w:t>
      </w:r>
    </w:p>
    <w:bookmarkEnd w:id="125"/>
    <w:tbl>
      <w:tblPr>
        <w:tblStyle w:val="19"/>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比选文件条目号</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比选文件商务条款</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参选文件对应商务条款</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000000"/>
                <w:sz w:val="21"/>
                <w:szCs w:val="21"/>
                <w:highlight w:val="none"/>
              </w:rPr>
            </w:pPr>
          </w:p>
        </w:tc>
      </w:tr>
    </w:tbl>
    <w:p>
      <w:pPr>
        <w:widowControl/>
        <w:spacing w:line="360" w:lineRule="auto"/>
        <w:jc w:val="center"/>
        <w:rPr>
          <w:rFonts w:hint="eastAsia" w:ascii="宋体"/>
          <w:b/>
          <w:snapToGrid w:val="0"/>
          <w:color w:val="000000"/>
          <w:kern w:val="0"/>
          <w:szCs w:val="28"/>
          <w:highlight w:val="none"/>
        </w:rPr>
      </w:pPr>
    </w:p>
    <w:p>
      <w:pPr>
        <w:pStyle w:val="4"/>
        <w:numPr>
          <w:ilvl w:val="0"/>
          <w:numId w:val="1"/>
        </w:numPr>
        <w:ind w:firstLineChars="0"/>
        <w:jc w:val="center"/>
        <w:rPr>
          <w:rFonts w:hint="eastAsia" w:cs="Cambria"/>
          <w:bCs w:val="0"/>
          <w:snapToGrid/>
          <w:color w:val="000000"/>
          <w:sz w:val="28"/>
          <w:szCs w:val="28"/>
          <w:highlight w:val="none"/>
        </w:rPr>
      </w:pPr>
      <w:r>
        <w:rPr>
          <w:rFonts w:hint="eastAsia" w:ascii="宋体"/>
          <w:b/>
          <w:snapToGrid w:val="0"/>
          <w:color w:val="000000"/>
          <w:kern w:val="0"/>
          <w:szCs w:val="28"/>
          <w:highlight w:val="none"/>
        </w:rPr>
        <w:br w:type="page"/>
      </w:r>
      <w:r>
        <w:rPr>
          <w:rFonts w:hint="eastAsia" w:cs="Cambria"/>
          <w:bCs w:val="0"/>
          <w:snapToGrid/>
          <w:color w:val="000000"/>
          <w:sz w:val="28"/>
          <w:szCs w:val="28"/>
          <w:highlight w:val="none"/>
        </w:rPr>
        <w:t>参选保证金</w:t>
      </w: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pStyle w:val="2"/>
        <w:rPr>
          <w:rFonts w:hint="eastAsia" w:ascii="宋体" w:cs="等线 Light"/>
          <w:color w:val="000000"/>
          <w:highlight w:val="none"/>
        </w:rPr>
      </w:pPr>
    </w:p>
    <w:p>
      <w:pPr>
        <w:rPr>
          <w:rFonts w:hint="eastAsia" w:ascii="宋体" w:cs="等线 Light"/>
          <w:color w:val="000000"/>
          <w:highlight w:val="none"/>
        </w:rPr>
      </w:pPr>
    </w:p>
    <w:p>
      <w:pPr>
        <w:pStyle w:val="2"/>
        <w:rPr>
          <w:rFonts w:hint="eastAsia" w:ascii="宋体" w:cs="等线 Light"/>
          <w:color w:val="000000"/>
          <w:highlight w:val="none"/>
        </w:rPr>
      </w:pPr>
    </w:p>
    <w:p>
      <w:pPr>
        <w:rPr>
          <w:rFonts w:hint="eastAsia"/>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spacing w:line="360" w:lineRule="auto"/>
        <w:rPr>
          <w:rFonts w:hint="eastAsia" w:ascii="宋体" w:cs="等线 Light"/>
          <w:color w:val="000000"/>
          <w:highlight w:val="none"/>
        </w:rPr>
      </w:pPr>
    </w:p>
    <w:p>
      <w:pPr>
        <w:autoSpaceDE w:val="0"/>
        <w:autoSpaceDN w:val="0"/>
        <w:adjustRightInd w:val="0"/>
        <w:snapToGrid w:val="0"/>
        <w:spacing w:line="360" w:lineRule="auto"/>
        <w:jc w:val="left"/>
        <w:rPr>
          <w:rFonts w:hint="eastAsia" w:ascii="宋体"/>
          <w:color w:val="000000"/>
          <w:kern w:val="0"/>
          <w:highlight w:val="none"/>
        </w:rPr>
      </w:pPr>
      <w:r>
        <w:rPr>
          <w:rFonts w:ascii="宋体"/>
          <w:color w:val="000000"/>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 name="直线 1"/>
                <wp:cNvGraphicFramePr/>
                <a:graphic xmlns:a="http://schemas.openxmlformats.org/drawingml/2006/main">
                  <a:graphicData uri="http://schemas.microsoft.com/office/word/2010/wordprocessingShape">
                    <wps:wsp>
                      <wps:cNvCnPr/>
                      <wps:spPr>
                        <a:xfrm>
                          <a:off x="0" y="0"/>
                          <a:ext cx="2828924" cy="634"/>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DvGdUAAAAIAQAADwAAAAAA&#10;AAABACAAAAAiAAAAZHJzL2Rvd25yZXYueG1sUEsBAhQAFAAAAAgAh07iQPFK22oWAgAAHwQAAA4A&#10;AAAAAAAAAQAgAAAAJAEAAGRycy9lMm9Eb2MueG1sUEsFBgAAAAAGAAYAWQEAAKw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hint="eastAsia" w:ascii="宋体"/>
          <w:snapToGrid w:val="0"/>
          <w:color w:val="000000"/>
          <w:kern w:val="0"/>
          <w:sz w:val="24"/>
          <w:highlight w:val="none"/>
        </w:rPr>
      </w:pPr>
      <w:r>
        <w:rPr>
          <w:rFonts w:hint="eastAsia" w:ascii="宋体"/>
          <w:snapToGrid w:val="0"/>
          <w:color w:val="000000"/>
          <w:kern w:val="0"/>
          <w:sz w:val="24"/>
          <w:highlight w:val="none"/>
        </w:rPr>
        <w:t>注：附</w:t>
      </w:r>
      <w:r>
        <w:rPr>
          <w:rFonts w:hint="eastAsia" w:ascii="宋体" w:cs="等线 Light"/>
          <w:snapToGrid w:val="0"/>
          <w:color w:val="000000"/>
          <w:kern w:val="0"/>
          <w:sz w:val="24"/>
          <w:szCs w:val="24"/>
          <w:highlight w:val="none"/>
        </w:rPr>
        <w:t>参选</w:t>
      </w:r>
      <w:r>
        <w:rPr>
          <w:rFonts w:hint="eastAsia" w:ascii="宋体"/>
          <w:snapToGrid w:val="0"/>
          <w:color w:val="000000"/>
          <w:kern w:val="0"/>
          <w:sz w:val="24"/>
          <w:highlight w:val="none"/>
        </w:rPr>
        <w:t>保证金交款凭据复印件</w:t>
      </w:r>
    </w:p>
    <w:p>
      <w:pPr>
        <w:spacing w:line="360" w:lineRule="auto"/>
        <w:rPr>
          <w:rFonts w:hint="eastAsia" w:ascii="宋体" w:cs="等线 Light"/>
          <w:color w:val="000000"/>
          <w:sz w:val="21"/>
          <w:szCs w:val="21"/>
          <w:highlight w:val="none"/>
        </w:rPr>
      </w:pPr>
    </w:p>
    <w:p>
      <w:pPr>
        <w:spacing w:line="360" w:lineRule="auto"/>
        <w:ind w:firstLine="2400"/>
        <w:rPr>
          <w:rFonts w:hint="eastAsia" w:ascii="宋体" w:cs="等线 Light"/>
          <w:color w:val="000000"/>
          <w:sz w:val="21"/>
          <w:szCs w:val="21"/>
          <w:highlight w:val="none"/>
        </w:rPr>
      </w:pPr>
    </w:p>
    <w:p>
      <w:pPr>
        <w:spacing w:line="360" w:lineRule="auto"/>
        <w:ind w:firstLine="2400"/>
        <w:rPr>
          <w:rFonts w:hint="eastAsia" w:ascii="宋体" w:cs="等线 Light"/>
          <w:color w:val="000000"/>
          <w:sz w:val="21"/>
          <w:szCs w:val="21"/>
          <w:highlight w:val="none"/>
        </w:rPr>
      </w:pPr>
    </w:p>
    <w:p>
      <w:pPr>
        <w:widowControl/>
        <w:ind w:firstLine="0" w:firstLineChars="0"/>
        <w:jc w:val="left"/>
        <w:rPr>
          <w:rFonts w:hint="eastAsia" w:ascii="宋体"/>
          <w:snapToGrid w:val="0"/>
          <w:color w:val="000000"/>
          <w:kern w:val="0"/>
          <w:sz w:val="24"/>
          <w:szCs w:val="24"/>
          <w:highlight w:val="none"/>
        </w:rPr>
      </w:pPr>
    </w:p>
    <w:p>
      <w:pPr>
        <w:pStyle w:val="4"/>
        <w:numPr>
          <w:ilvl w:val="0"/>
          <w:numId w:val="1"/>
        </w:numPr>
        <w:ind w:firstLine="0" w:firstLineChars="0"/>
        <w:jc w:val="center"/>
        <w:rPr>
          <w:rFonts w:hint="eastAsia" w:cs="Cambria"/>
          <w:bCs w:val="0"/>
          <w:snapToGrid/>
          <w:color w:val="000000"/>
          <w:sz w:val="28"/>
          <w:szCs w:val="28"/>
          <w:highlight w:val="none"/>
        </w:rPr>
      </w:pPr>
      <w:r>
        <w:rPr>
          <w:rFonts w:hint="eastAsia" w:cs="Cambria"/>
          <w:bCs w:val="0"/>
          <w:snapToGrid/>
          <w:color w:val="000000"/>
          <w:sz w:val="28"/>
          <w:szCs w:val="28"/>
          <w:highlight w:val="none"/>
        </w:rPr>
        <w:br w:type="page"/>
      </w:r>
      <w:r>
        <w:rPr>
          <w:rFonts w:hint="eastAsia" w:cs="Cambria"/>
          <w:bCs w:val="0"/>
          <w:snapToGrid/>
          <w:color w:val="000000"/>
          <w:sz w:val="28"/>
          <w:szCs w:val="28"/>
          <w:highlight w:val="none"/>
        </w:rPr>
        <w:t>服务连续性预案</w:t>
      </w:r>
    </w:p>
    <w:p>
      <w:pPr>
        <w:ind w:firstLine="0" w:firstLineChars="0"/>
        <w:jc w:val="center"/>
        <w:rPr>
          <w:rFonts w:hint="eastAsia" w:ascii="方正小标宋_GBK" w:eastAsia="方正小标宋_GBK"/>
          <w:color w:val="000000"/>
          <w:sz w:val="24"/>
          <w:highlight w:val="none"/>
        </w:rPr>
        <w:sectPr>
          <w:pgSz w:w="11906" w:h="16838"/>
          <w:pgMar w:top="1440" w:right="1800" w:bottom="1440" w:left="1800" w:header="851" w:footer="992" w:gutter="0"/>
          <w:cols w:space="720" w:num="1"/>
          <w:docGrid w:type="lines" w:linePitch="380" w:charSpace="0"/>
        </w:sectPr>
      </w:pPr>
      <w:r>
        <w:rPr>
          <w:rFonts w:hint="eastAsia" w:ascii="方正小标宋_GBK" w:eastAsia="方正小标宋_GBK"/>
          <w:color w:val="000000"/>
          <w:sz w:val="24"/>
          <w:highlight w:val="none"/>
        </w:rPr>
        <w:t>（应考虑供应链风险产生的影响）</w:t>
      </w:r>
    </w:p>
    <w:p>
      <w:pPr>
        <w:pStyle w:val="4"/>
        <w:numPr>
          <w:ilvl w:val="0"/>
          <w:numId w:val="1"/>
        </w:numPr>
        <w:ind w:firstLine="0" w:firstLineChars="0"/>
        <w:jc w:val="center"/>
        <w:rPr>
          <w:rFonts w:hint="eastAsia" w:cs="Cambria"/>
          <w:bCs w:val="0"/>
          <w:snapToGrid/>
          <w:color w:val="000000"/>
          <w:sz w:val="28"/>
          <w:szCs w:val="28"/>
          <w:highlight w:val="none"/>
        </w:rPr>
      </w:pPr>
      <w:r>
        <w:rPr>
          <w:rFonts w:hint="eastAsia" w:cs="Cambria"/>
          <w:bCs w:val="0"/>
          <w:snapToGrid/>
          <w:color w:val="000000"/>
          <w:sz w:val="28"/>
          <w:szCs w:val="28"/>
          <w:highlight w:val="none"/>
        </w:rPr>
        <w:t>特定资格条件证明材料</w:t>
      </w:r>
    </w:p>
    <w:p>
      <w:pPr>
        <w:ind w:firstLine="0" w:firstLineChars="0"/>
        <w:jc w:val="center"/>
        <w:rPr>
          <w:rFonts w:hint="eastAsia" w:ascii="方正小标宋_GBK" w:eastAsia="方正小标宋_GBK"/>
          <w:color w:val="000000"/>
          <w:sz w:val="24"/>
          <w:highlight w:val="none"/>
        </w:rPr>
      </w:pPr>
    </w:p>
    <w:p>
      <w:pPr>
        <w:spacing w:line="360" w:lineRule="auto"/>
        <w:ind w:firstLine="480" w:firstLineChars="200"/>
        <w:rPr>
          <w:rFonts w:hint="eastAsia" w:ascii="宋体"/>
          <w:snapToGrid w:val="0"/>
          <w:color w:val="000000"/>
          <w:kern w:val="0"/>
          <w:sz w:val="24"/>
          <w:szCs w:val="24"/>
          <w:highlight w:val="none"/>
        </w:rPr>
        <w:sectPr>
          <w:pgSz w:w="11906" w:h="16838"/>
          <w:pgMar w:top="1440" w:right="1800" w:bottom="1440" w:left="1800" w:header="851" w:footer="992" w:gutter="0"/>
          <w:cols w:space="720" w:num="1"/>
          <w:docGrid w:type="lines" w:linePitch="380" w:charSpace="0"/>
        </w:sectPr>
      </w:pPr>
    </w:p>
    <w:p>
      <w:pPr>
        <w:pStyle w:val="4"/>
        <w:numPr>
          <w:ilvl w:val="0"/>
          <w:numId w:val="1"/>
        </w:numPr>
        <w:ind w:firstLine="0" w:firstLineChars="0"/>
        <w:jc w:val="center"/>
        <w:rPr>
          <w:rFonts w:hint="eastAsia" w:cs="Cambria"/>
          <w:bCs w:val="0"/>
          <w:snapToGrid/>
          <w:color w:val="000000"/>
          <w:sz w:val="28"/>
          <w:szCs w:val="28"/>
          <w:highlight w:val="none"/>
        </w:rPr>
      </w:pPr>
      <w:r>
        <w:rPr>
          <w:rFonts w:hint="eastAsia" w:cs="Cambria"/>
          <w:bCs w:val="0"/>
          <w:snapToGrid/>
          <w:color w:val="000000"/>
          <w:sz w:val="28"/>
          <w:szCs w:val="28"/>
          <w:highlight w:val="none"/>
          <w:lang w:val="en-US" w:eastAsia="zh-CN"/>
        </w:rPr>
        <w:t>其他（如有）</w:t>
      </w:r>
    </w:p>
    <w:p>
      <w:pPr>
        <w:spacing w:line="360" w:lineRule="auto"/>
        <w:ind w:firstLine="480" w:firstLineChars="200"/>
        <w:rPr>
          <w:rFonts w:hint="eastAsia" w:ascii="宋体"/>
          <w:snapToGrid w:val="0"/>
          <w:color w:val="000000"/>
          <w:kern w:val="0"/>
          <w:sz w:val="24"/>
          <w:szCs w:val="24"/>
          <w:highlight w:val="none"/>
        </w:rPr>
      </w:pPr>
    </w:p>
    <w:sectPr>
      <w:pgSz w:w="11906" w:h="16838"/>
      <w:pgMar w:top="1440" w:right="1800" w:bottom="1440" w:left="1800" w:header="851" w:footer="992" w:gutter="0"/>
      <w:cols w:space="720" w:num="1"/>
      <w:docGrid w:type="lines"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98DF4"/>
    <w:multiLevelType w:val="multilevel"/>
    <w:tmpl w:val="B0098DF4"/>
    <w:lvl w:ilvl="0" w:tentative="0">
      <w:start w:val="1"/>
      <w:numFmt w:val="chineseCountingThousand"/>
      <w:suff w:val="nothing"/>
      <w:lvlText w:val="%1、"/>
      <w:lvlJc w:val="left"/>
      <w:pPr>
        <w:ind w:left="420" w:hanging="420"/>
      </w:pPr>
      <w:rPr>
        <w:rFonts w:hint="eastAsia"/>
        <w:b/>
        <w:bCs w:val="0"/>
        <w:sz w:val="28"/>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jE4MmQxZjA1Y2YxYjcxZTkzZjljNGM2ODFmNzIxYzcifQ=="/>
  </w:docVars>
  <w:rsids>
    <w:rsidRoot w:val="00000000"/>
    <w:rsid w:val="019A3B52"/>
    <w:rsid w:val="031C6D9C"/>
    <w:rsid w:val="03441CF4"/>
    <w:rsid w:val="044E04CF"/>
    <w:rsid w:val="04EF3A6A"/>
    <w:rsid w:val="05852631"/>
    <w:rsid w:val="05EF6F65"/>
    <w:rsid w:val="078D7EC3"/>
    <w:rsid w:val="08A96637"/>
    <w:rsid w:val="0C006EB6"/>
    <w:rsid w:val="0C3B7EEE"/>
    <w:rsid w:val="0C605BA6"/>
    <w:rsid w:val="0C807191"/>
    <w:rsid w:val="0CDD71F7"/>
    <w:rsid w:val="0F182768"/>
    <w:rsid w:val="0FCB3337"/>
    <w:rsid w:val="126C03E3"/>
    <w:rsid w:val="12B67EF5"/>
    <w:rsid w:val="13B30CB1"/>
    <w:rsid w:val="152D1520"/>
    <w:rsid w:val="15912833"/>
    <w:rsid w:val="162163A6"/>
    <w:rsid w:val="17655C41"/>
    <w:rsid w:val="17AB593A"/>
    <w:rsid w:val="18D56FD4"/>
    <w:rsid w:val="1A5D1977"/>
    <w:rsid w:val="1AD559B1"/>
    <w:rsid w:val="1B5508A0"/>
    <w:rsid w:val="1F631198"/>
    <w:rsid w:val="22A5210D"/>
    <w:rsid w:val="236A6126"/>
    <w:rsid w:val="251B2213"/>
    <w:rsid w:val="27257379"/>
    <w:rsid w:val="2AA50EFC"/>
    <w:rsid w:val="2B936BB8"/>
    <w:rsid w:val="2BFA5278"/>
    <w:rsid w:val="2C372028"/>
    <w:rsid w:val="303B1B38"/>
    <w:rsid w:val="327A5025"/>
    <w:rsid w:val="32D713F4"/>
    <w:rsid w:val="33F22CD8"/>
    <w:rsid w:val="356E2833"/>
    <w:rsid w:val="369C2757"/>
    <w:rsid w:val="3799383E"/>
    <w:rsid w:val="38521F98"/>
    <w:rsid w:val="385C6972"/>
    <w:rsid w:val="3C123F18"/>
    <w:rsid w:val="3D442246"/>
    <w:rsid w:val="3DCE3E6E"/>
    <w:rsid w:val="3DFA026F"/>
    <w:rsid w:val="3E64535A"/>
    <w:rsid w:val="3E8D1F7B"/>
    <w:rsid w:val="3F4A64F8"/>
    <w:rsid w:val="3FAC4683"/>
    <w:rsid w:val="40210BCD"/>
    <w:rsid w:val="40556AC9"/>
    <w:rsid w:val="42A46A18"/>
    <w:rsid w:val="42DE0FF8"/>
    <w:rsid w:val="45D109A0"/>
    <w:rsid w:val="49282FCC"/>
    <w:rsid w:val="4992117A"/>
    <w:rsid w:val="4AC42881"/>
    <w:rsid w:val="4B0435C5"/>
    <w:rsid w:val="4B83098E"/>
    <w:rsid w:val="4BBD3128"/>
    <w:rsid w:val="4ECE0172"/>
    <w:rsid w:val="4FD95020"/>
    <w:rsid w:val="505F24A0"/>
    <w:rsid w:val="530736A8"/>
    <w:rsid w:val="53CC6C4A"/>
    <w:rsid w:val="551C150B"/>
    <w:rsid w:val="55477C9D"/>
    <w:rsid w:val="565F7902"/>
    <w:rsid w:val="583F3E8F"/>
    <w:rsid w:val="58DD1724"/>
    <w:rsid w:val="5B75172D"/>
    <w:rsid w:val="5C7554D0"/>
    <w:rsid w:val="5E666CEB"/>
    <w:rsid w:val="607B0CDC"/>
    <w:rsid w:val="621F4C7B"/>
    <w:rsid w:val="62764951"/>
    <w:rsid w:val="62B2201E"/>
    <w:rsid w:val="67564D51"/>
    <w:rsid w:val="67A755AC"/>
    <w:rsid w:val="67C1666E"/>
    <w:rsid w:val="69011B58"/>
    <w:rsid w:val="6925172D"/>
    <w:rsid w:val="6F0357BE"/>
    <w:rsid w:val="6F3C2A7E"/>
    <w:rsid w:val="706B58E6"/>
    <w:rsid w:val="71CB5B30"/>
    <w:rsid w:val="728C7879"/>
    <w:rsid w:val="75E63744"/>
    <w:rsid w:val="76B455F0"/>
    <w:rsid w:val="779C184E"/>
    <w:rsid w:val="788259A6"/>
    <w:rsid w:val="7A813495"/>
    <w:rsid w:val="7AEE2205"/>
    <w:rsid w:val="7BC90E61"/>
    <w:rsid w:val="7F9D30C5"/>
    <w:rsid w:val="7FD37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spacing w:line="600" w:lineRule="exact"/>
      <w:ind w:firstLine="964" w:firstLineChars="200"/>
      <w:jc w:val="both"/>
    </w:pPr>
    <w:rPr>
      <w:rFonts w:ascii="Cambria Math" w:hAnsi="Cambria Math" w:eastAsia="宋体" w:cs="Cambria Math"/>
      <w:kern w:val="2"/>
      <w:sz w:val="24"/>
      <w:szCs w:val="20"/>
      <w:lang w:val="en-US" w:eastAsia="zh-CN" w:bidi="ar-SA"/>
    </w:rPr>
  </w:style>
  <w:style w:type="paragraph" w:styleId="3">
    <w:name w:val="heading 1"/>
    <w:basedOn w:val="1"/>
    <w:next w:val="1"/>
    <w:link w:val="27"/>
    <w:qFormat/>
    <w:uiPriority w:val="0"/>
    <w:pPr>
      <w:tabs>
        <w:tab w:val="left" w:pos="3360"/>
      </w:tabs>
      <w:autoSpaceDE/>
      <w:autoSpaceDN/>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link w:val="28"/>
    <w:autoRedefine/>
    <w:qFormat/>
    <w:uiPriority w:val="0"/>
    <w:pPr>
      <w:spacing w:line="600" w:lineRule="exact"/>
      <w:ind w:firstLine="200" w:firstLineChars="200"/>
      <w:outlineLvl w:val="1"/>
    </w:pPr>
    <w:rPr>
      <w:rFonts w:ascii="宋体" w:hAnsi="宋体" w:eastAsia="宋体" w:cs="Arial"/>
      <w:b/>
      <w:bCs/>
      <w:snapToGrid w:val="0"/>
      <w:szCs w:val="24"/>
    </w:rPr>
  </w:style>
  <w:style w:type="paragraph" w:styleId="5">
    <w:name w:val="heading 3"/>
    <w:basedOn w:val="1"/>
    <w:next w:val="1"/>
    <w:link w:val="31"/>
    <w:autoRedefine/>
    <w:qFormat/>
    <w:uiPriority w:val="0"/>
    <w:pPr>
      <w:keepNext w:val="0"/>
      <w:keepLines w:val="0"/>
      <w:widowControl w:val="0"/>
      <w:spacing w:before="0" w:after="0" w:line="600" w:lineRule="exact"/>
      <w:outlineLvl w:val="2"/>
    </w:pPr>
    <w:rPr>
      <w:bCs/>
      <w:sz w:val="24"/>
      <w:szCs w:val="32"/>
    </w:rPr>
  </w:style>
  <w:style w:type="paragraph" w:styleId="6">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kern w:val="0"/>
      <w:sz w:val="26"/>
    </w:rPr>
  </w:style>
  <w:style w:type="paragraph" w:styleId="7">
    <w:name w:val="Normal Indent"/>
    <w:next w:val="8"/>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8">
    <w:name w:val="Normal (Web)"/>
    <w:basedOn w:val="1"/>
    <w:next w:val="7"/>
    <w:autoRedefine/>
    <w:qFormat/>
    <w:uiPriority w:val="0"/>
    <w:pPr>
      <w:widowControl/>
      <w:spacing w:before="100" w:beforeAutospacing="1" w:after="100" w:afterAutospacing="1"/>
      <w:jc w:val="left"/>
    </w:pPr>
    <w:rPr>
      <w:rFonts w:ascii="宋体"/>
      <w:kern w:val="0"/>
      <w:sz w:val="24"/>
      <w:szCs w:val="21"/>
    </w:rPr>
  </w:style>
  <w:style w:type="paragraph" w:styleId="9">
    <w:name w:val="Document Map"/>
    <w:basedOn w:val="1"/>
    <w:autoRedefine/>
    <w:qFormat/>
    <w:uiPriority w:val="0"/>
    <w:rPr>
      <w:rFonts w:ascii="宋体"/>
      <w:sz w:val="18"/>
      <w:szCs w:val="18"/>
    </w:rPr>
  </w:style>
  <w:style w:type="paragraph" w:styleId="10">
    <w:name w:val="annotation text"/>
    <w:basedOn w:val="1"/>
    <w:autoRedefine/>
    <w:qFormat/>
    <w:uiPriority w:val="0"/>
    <w:pPr>
      <w:jc w:val="left"/>
    </w:pPr>
  </w:style>
  <w:style w:type="paragraph" w:styleId="11">
    <w:name w:val="Plain Text"/>
    <w:next w:val="7"/>
    <w:autoRedefine/>
    <w:qFormat/>
    <w:uiPriority w:val="0"/>
    <w:pPr>
      <w:widowControl w:val="0"/>
      <w:jc w:val="both"/>
    </w:pPr>
    <w:rPr>
      <w:rFonts w:ascii="宋体" w:hAnsi="Times New Roman" w:eastAsia="宋体" w:cs="Times New Roman"/>
      <w:sz w:val="20"/>
      <w:szCs w:val="20"/>
      <w:lang w:val="en-US" w:eastAsia="zh-CN" w:bidi="ar-SA"/>
    </w:rPr>
  </w:style>
  <w:style w:type="paragraph" w:styleId="12">
    <w:name w:val="Date"/>
    <w:basedOn w:val="1"/>
    <w:next w:val="1"/>
    <w:autoRedefine/>
    <w:qFormat/>
    <w:uiPriority w:val="0"/>
    <w:rPr>
      <w:rFonts w:ascii="Times New Roman" w:hAnsi="Times New Roman" w:cs="Times New Roman"/>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pPr>
      <w:tabs>
        <w:tab w:val="left" w:pos="1260"/>
        <w:tab w:val="left" w:pos="1685"/>
        <w:tab w:val="right" w:leader="dot" w:pos="8400"/>
      </w:tabs>
      <w:spacing w:line="480" w:lineRule="auto"/>
      <w:ind w:firstLine="100" w:firstLineChars="100"/>
    </w:pPr>
    <w:rPr>
      <w:szCs w:val="44"/>
    </w:rPr>
  </w:style>
  <w:style w:type="paragraph" w:styleId="17">
    <w:name w:val="toc 2"/>
    <w:basedOn w:val="1"/>
    <w:next w:val="1"/>
    <w:autoRedefine/>
    <w:qFormat/>
    <w:uiPriority w:val="0"/>
    <w:pPr>
      <w:ind w:left="200" w:leftChars="200"/>
    </w:pPr>
  </w:style>
  <w:style w:type="paragraph" w:styleId="18">
    <w:name w:val="annotation subject"/>
    <w:basedOn w:val="10"/>
    <w:next w:val="10"/>
    <w:autoRedefine/>
    <w:qFormat/>
    <w:uiPriority w:val="0"/>
    <w:rPr>
      <w:b/>
      <w:bCs/>
    </w:rPr>
  </w:style>
  <w:style w:type="character" w:styleId="21">
    <w:name w:val="Hyperlink"/>
    <w:basedOn w:val="20"/>
    <w:autoRedefine/>
    <w:qFormat/>
    <w:uiPriority w:val="0"/>
    <w:rPr>
      <w:color w:val="0563C1"/>
      <w:u w:val="single"/>
    </w:rPr>
  </w:style>
  <w:style w:type="character" w:styleId="22">
    <w:name w:val="annotation reference"/>
    <w:basedOn w:val="20"/>
    <w:autoRedefine/>
    <w:qFormat/>
    <w:uiPriority w:val="0"/>
    <w:rPr>
      <w:sz w:val="21"/>
      <w:szCs w:val="21"/>
    </w:rPr>
  </w:style>
  <w:style w:type="paragraph" w:customStyle="1" w:styleId="23">
    <w:name w:val="样式 正文缩进 + 小四 左侧:  2 字符"/>
    <w:next w:val="13"/>
    <w:link w:val="30"/>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24">
    <w:name w:val="列表段落1"/>
    <w:next w:val="13"/>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customStyle="1" w:styleId="25">
    <w:name w:val="列出段落1"/>
    <w:basedOn w:val="1"/>
    <w:autoRedefine/>
    <w:qFormat/>
    <w:uiPriority w:val="0"/>
    <w:pPr>
      <w:ind w:firstLine="200" w:firstLineChars="200"/>
    </w:pPr>
  </w:style>
  <w:style w:type="paragraph" w:customStyle="1" w:styleId="26">
    <w:name w:val="TOC 标题1"/>
    <w:basedOn w:val="3"/>
    <w:next w:val="1"/>
    <w:autoRedefine/>
    <w:qFormat/>
    <w:uiPriority w:val="0"/>
    <w:pPr>
      <w:keepNext/>
      <w:keepLines/>
      <w:widowControl/>
      <w:tabs>
        <w:tab w:val="clear" w:pos="3360"/>
      </w:tabs>
      <w:snapToGrid/>
      <w:spacing w:before="240" w:line="259" w:lineRule="auto"/>
      <w:ind w:right="0" w:rightChars="0"/>
      <w:jc w:val="left"/>
      <w:outlineLvl w:val="9"/>
    </w:pPr>
    <w:rPr>
      <w:rFonts w:ascii="Calibri" w:hAnsi="Calibri" w:cs="Arial"/>
      <w:b w:val="0"/>
      <w:snapToGrid/>
      <w:color w:val="2F5496"/>
      <w:sz w:val="32"/>
      <w:szCs w:val="32"/>
    </w:rPr>
  </w:style>
  <w:style w:type="character" w:customStyle="1" w:styleId="27">
    <w:name w:val="标题 1 Char"/>
    <w:link w:val="3"/>
    <w:autoRedefine/>
    <w:qFormat/>
    <w:uiPriority w:val="0"/>
    <w:rPr>
      <w:rFonts w:ascii="宋体" w:hAnsi="宋体" w:eastAsia="宋体" w:cs="等线 Light"/>
      <w:b/>
      <w:snapToGrid w:val="0"/>
      <w:kern w:val="0"/>
      <w:sz w:val="44"/>
      <w:szCs w:val="44"/>
    </w:rPr>
  </w:style>
  <w:style w:type="character" w:customStyle="1" w:styleId="28">
    <w:name w:val="标题 2 Char"/>
    <w:link w:val="4"/>
    <w:autoRedefine/>
    <w:qFormat/>
    <w:uiPriority w:val="0"/>
    <w:rPr>
      <w:rFonts w:ascii="宋体" w:hAnsi="宋体" w:eastAsia="宋体" w:cs="Arial"/>
      <w:b/>
      <w:bCs/>
      <w:snapToGrid w:val="0"/>
      <w:sz w:val="24"/>
      <w:szCs w:val="24"/>
    </w:rPr>
  </w:style>
  <w:style w:type="character" w:customStyle="1" w:styleId="29">
    <w:name w:val="标题 4 Char"/>
    <w:link w:val="6"/>
    <w:autoRedefine/>
    <w:qFormat/>
    <w:uiPriority w:val="0"/>
    <w:rPr>
      <w:rFonts w:ascii="Arial" w:hAnsi="Arial" w:eastAsia="黑体"/>
      <w:b/>
      <w:sz w:val="28"/>
    </w:rPr>
  </w:style>
  <w:style w:type="character" w:customStyle="1" w:styleId="30">
    <w:name w:val="样式 正文缩进 + 小四 左侧:  2 字符 Char"/>
    <w:link w:val="23"/>
    <w:autoRedefine/>
    <w:qFormat/>
    <w:uiPriority w:val="0"/>
    <w:rPr>
      <w:rFonts w:ascii="Cambria Math" w:hAnsi="Cambria Math" w:eastAsia="等线 Light" w:cs="Cambria Math"/>
      <w:kern w:val="2"/>
      <w:sz w:val="20"/>
      <w:szCs w:val="20"/>
      <w:lang w:val="en-US" w:eastAsia="zh-CN" w:bidi="ar-SA"/>
    </w:rPr>
  </w:style>
  <w:style w:type="character" w:customStyle="1" w:styleId="31">
    <w:name w:val="标题 3 Char"/>
    <w:link w:val="5"/>
    <w:autoRedefine/>
    <w:qFormat/>
    <w:uiPriority w:val="0"/>
    <w:rPr>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EC030-55AE-44CA-B3F9-BFD2CBB4ED04}">
  <ds:schemaRefs/>
</ds:datastoreItem>
</file>

<file path=docProps/app.xml><?xml version="1.0" encoding="utf-8"?>
<Properties xmlns="http://schemas.openxmlformats.org/officeDocument/2006/extended-properties" xmlns:vt="http://schemas.openxmlformats.org/officeDocument/2006/docPropsVTypes">
  <Template>Normal.eit</Template>
  <Pages>50</Pages>
  <Words>0</Words>
  <Characters>18846</Characters>
  <Lines>0</Lines>
  <Paragraphs>685</Paragraphs>
  <TotalTime>1</TotalTime>
  <ScaleCrop>false</ScaleCrop>
  <LinksUpToDate>false</LinksUpToDate>
  <CharactersWithSpaces>25128</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2020-08-05T02:17:00Z</dcterms:created>
  <dc:creator>Rachel Chen</dc:creator>
  <cp:lastModifiedBy>admin</cp:lastModifiedBy>
  <cp:lastPrinted>2023-11-09T02:35:00Z</cp:lastPrinted>
  <dcterms:modified xsi:type="dcterms:W3CDTF">2024-01-10T01:34:10Z</dcterms:modified>
  <cp:revision>717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8D4CDA2C43F642E4BAC6FF2AFFBF55DC_13</vt:lpwstr>
  </property>
</Properties>
</file>