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auto"/>
        <w:ind w:firstLine="0" w:firstLineChars="0"/>
        <w:rPr>
          <w:rFonts w:ascii="Times New Roman" w:hAnsi="Times New Roman" w:cs="Times New Roman"/>
          <w:b/>
          <w:snapToGrid w:val="0"/>
          <w:kern w:val="0"/>
          <w:sz w:val="52"/>
          <w:szCs w:val="84"/>
        </w:rPr>
      </w:pPr>
    </w:p>
    <w:p>
      <w:pPr>
        <w:pStyle w:val="2"/>
        <w:spacing w:before="0" w:beforeAutospacing="0" w:after="0" w:line="360" w:lineRule="auto"/>
        <w:ind w:firstLine="0" w:firstLineChars="0"/>
      </w:pPr>
    </w:p>
    <w:p>
      <w:pPr>
        <w:autoSpaceDE w:val="0"/>
        <w:autoSpaceDN w:val="0"/>
        <w:spacing w:line="360" w:lineRule="auto"/>
        <w:ind w:firstLine="0" w:firstLineChars="0"/>
        <w:jc w:val="center"/>
        <w:rPr>
          <w:rFonts w:ascii="宋体" w:hAnsi="宋体" w:cs="Cambria"/>
          <w:b/>
          <w:snapToGrid w:val="0"/>
          <w:kern w:val="0"/>
          <w:sz w:val="48"/>
          <w:szCs w:val="84"/>
        </w:rPr>
      </w:pPr>
      <w:r>
        <w:rPr>
          <w:rFonts w:ascii="Times New Roman" w:hAnsi="Times New Roman" w:cs="Times New Roman"/>
          <w:b/>
          <w:snapToGrid w:val="0"/>
          <w:kern w:val="0"/>
          <w:sz w:val="48"/>
          <w:szCs w:val="84"/>
        </w:rPr>
        <w:t>CMMI 3</w:t>
      </w:r>
      <w:r>
        <w:rPr>
          <w:rFonts w:hint="eastAsia" w:ascii="宋体" w:hAnsi="宋体" w:cs="Cambria"/>
          <w:b/>
          <w:snapToGrid w:val="0"/>
          <w:kern w:val="0"/>
          <w:sz w:val="48"/>
          <w:szCs w:val="84"/>
        </w:rPr>
        <w:t>认证评估服务项目</w:t>
      </w:r>
    </w:p>
    <w:p>
      <w:pPr>
        <w:autoSpaceDE w:val="0"/>
        <w:autoSpaceDN w:val="0"/>
        <w:spacing w:line="360" w:lineRule="auto"/>
        <w:ind w:firstLine="0" w:firstLineChars="0"/>
        <w:jc w:val="left"/>
        <w:rPr>
          <w:rFonts w:ascii="宋体" w:hAnsi="宋体" w:cs="Cambria"/>
          <w:snapToGrid w:val="0"/>
          <w:kern w:val="0"/>
          <w:sz w:val="18"/>
        </w:rPr>
      </w:pPr>
    </w:p>
    <w:p>
      <w:pPr>
        <w:autoSpaceDE w:val="0"/>
        <w:autoSpaceDN w:val="0"/>
        <w:spacing w:line="360" w:lineRule="auto"/>
        <w:ind w:firstLine="0" w:firstLineChars="0"/>
        <w:jc w:val="left"/>
        <w:rPr>
          <w:rFonts w:ascii="宋体" w:hAnsi="宋体" w:cs="Cambria"/>
          <w:snapToGrid w:val="0"/>
          <w:kern w:val="0"/>
          <w:sz w:val="20"/>
        </w:rPr>
      </w:pPr>
    </w:p>
    <w:p>
      <w:pPr>
        <w:autoSpaceDE w:val="0"/>
        <w:autoSpaceDN w:val="0"/>
        <w:spacing w:line="360" w:lineRule="auto"/>
        <w:ind w:firstLine="0" w:firstLineChars="0"/>
        <w:jc w:val="left"/>
        <w:rPr>
          <w:rFonts w:ascii="宋体" w:hAnsi="宋体" w:cs="Cambria"/>
          <w:snapToGrid w:val="0"/>
          <w:kern w:val="0"/>
          <w:sz w:val="20"/>
        </w:rPr>
      </w:pPr>
    </w:p>
    <w:p>
      <w:pPr>
        <w:autoSpaceDE w:val="0"/>
        <w:autoSpaceDN w:val="0"/>
        <w:spacing w:line="360" w:lineRule="auto"/>
        <w:ind w:firstLine="0" w:firstLineChars="0"/>
        <w:jc w:val="left"/>
        <w:rPr>
          <w:rFonts w:ascii="宋体" w:hAnsi="宋体" w:cs="Cambria"/>
          <w:snapToGrid w:val="0"/>
          <w:kern w:val="0"/>
          <w:sz w:val="20"/>
        </w:rPr>
      </w:pPr>
    </w:p>
    <w:p>
      <w:pPr>
        <w:autoSpaceDE w:val="0"/>
        <w:autoSpaceDN w:val="0"/>
        <w:spacing w:line="360" w:lineRule="auto"/>
        <w:ind w:firstLine="0" w:firstLineChars="0"/>
        <w:jc w:val="left"/>
        <w:rPr>
          <w:rFonts w:ascii="宋体" w:hAnsi="宋体" w:cs="Cambria"/>
          <w:snapToGrid w:val="0"/>
          <w:kern w:val="0"/>
          <w:sz w:val="20"/>
        </w:rPr>
      </w:pPr>
    </w:p>
    <w:p>
      <w:pPr>
        <w:autoSpaceDE w:val="0"/>
        <w:autoSpaceDN w:val="0"/>
        <w:spacing w:line="360" w:lineRule="auto"/>
        <w:ind w:firstLine="0" w:firstLineChars="0"/>
        <w:jc w:val="left"/>
        <w:rPr>
          <w:rFonts w:ascii="宋体" w:hAnsi="宋体" w:cs="Cambria"/>
          <w:snapToGrid w:val="0"/>
          <w:kern w:val="0"/>
          <w:sz w:val="20"/>
        </w:rPr>
      </w:pPr>
    </w:p>
    <w:p>
      <w:pPr>
        <w:autoSpaceDE w:val="0"/>
        <w:autoSpaceDN w:val="0"/>
        <w:spacing w:line="360" w:lineRule="auto"/>
        <w:ind w:firstLine="0" w:firstLineChars="0"/>
        <w:jc w:val="left"/>
        <w:rPr>
          <w:rFonts w:ascii="宋体" w:hAnsi="宋体" w:cs="Cambria"/>
          <w:snapToGrid w:val="0"/>
          <w:kern w:val="0"/>
          <w:sz w:val="20"/>
        </w:rPr>
      </w:pPr>
    </w:p>
    <w:p>
      <w:pPr>
        <w:autoSpaceDE w:val="0"/>
        <w:autoSpaceDN w:val="0"/>
        <w:spacing w:line="360" w:lineRule="auto"/>
        <w:ind w:firstLine="0" w:firstLineChars="0"/>
        <w:jc w:val="left"/>
        <w:rPr>
          <w:rFonts w:ascii="宋体" w:hAnsi="宋体" w:cs="Cambria"/>
          <w:snapToGrid w:val="0"/>
          <w:kern w:val="0"/>
          <w:sz w:val="20"/>
        </w:rPr>
      </w:pPr>
    </w:p>
    <w:p>
      <w:pPr>
        <w:autoSpaceDE w:val="0"/>
        <w:autoSpaceDN w:val="0"/>
        <w:spacing w:line="360" w:lineRule="auto"/>
        <w:ind w:firstLine="0" w:firstLineChars="0"/>
        <w:jc w:val="left"/>
        <w:rPr>
          <w:rFonts w:ascii="宋体" w:hAnsi="宋体" w:cs="Cambria"/>
          <w:snapToGrid w:val="0"/>
          <w:kern w:val="0"/>
          <w:sz w:val="20"/>
        </w:rPr>
      </w:pPr>
    </w:p>
    <w:p>
      <w:pPr>
        <w:autoSpaceDE w:val="0"/>
        <w:autoSpaceDN w:val="0"/>
        <w:spacing w:line="360" w:lineRule="auto"/>
        <w:ind w:firstLine="0" w:firstLineChars="0"/>
        <w:jc w:val="left"/>
        <w:rPr>
          <w:rFonts w:ascii="宋体" w:hAnsi="宋体" w:cs="Cambria"/>
          <w:snapToGrid w:val="0"/>
          <w:kern w:val="0"/>
          <w:sz w:val="20"/>
        </w:rPr>
      </w:pPr>
    </w:p>
    <w:p>
      <w:pPr>
        <w:autoSpaceDE w:val="0"/>
        <w:autoSpaceDN w:val="0"/>
        <w:spacing w:line="360" w:lineRule="auto"/>
        <w:ind w:firstLine="0" w:firstLineChars="0"/>
        <w:jc w:val="left"/>
        <w:rPr>
          <w:rFonts w:ascii="宋体" w:hAnsi="宋体" w:cs="Cambria"/>
          <w:snapToGrid w:val="0"/>
          <w:kern w:val="0"/>
          <w:sz w:val="20"/>
        </w:rPr>
      </w:pPr>
    </w:p>
    <w:p>
      <w:pPr>
        <w:autoSpaceDE w:val="0"/>
        <w:autoSpaceDN w:val="0"/>
        <w:spacing w:line="360" w:lineRule="auto"/>
        <w:ind w:firstLine="0" w:firstLineChars="0"/>
        <w:jc w:val="center"/>
        <w:rPr>
          <w:rFonts w:ascii="宋体" w:hAnsi="宋体" w:cs="Cambria"/>
          <w:b/>
          <w:snapToGrid w:val="0"/>
          <w:kern w:val="0"/>
          <w:sz w:val="84"/>
          <w:szCs w:val="84"/>
        </w:rPr>
      </w:pPr>
      <w:r>
        <w:rPr>
          <w:rFonts w:hint="eastAsia" w:ascii="宋体" w:hAnsi="宋体" w:cs="Cambria"/>
          <w:b/>
          <w:snapToGrid w:val="0"/>
          <w:kern w:val="0"/>
          <w:sz w:val="84"/>
          <w:szCs w:val="84"/>
        </w:rPr>
        <w:t>比选文件</w:t>
      </w:r>
    </w:p>
    <w:p>
      <w:pPr>
        <w:autoSpaceDE w:val="0"/>
        <w:autoSpaceDN w:val="0"/>
        <w:spacing w:line="360" w:lineRule="auto"/>
        <w:ind w:firstLine="0" w:firstLineChars="0"/>
        <w:jc w:val="center"/>
        <w:rPr>
          <w:rFonts w:ascii="宋体" w:hAnsi="宋体" w:cs="Cambria"/>
          <w:b/>
          <w:snapToGrid w:val="0"/>
          <w:kern w:val="0"/>
          <w:szCs w:val="28"/>
        </w:rPr>
      </w:pPr>
    </w:p>
    <w:p>
      <w:pPr>
        <w:autoSpaceDE w:val="0"/>
        <w:autoSpaceDN w:val="0"/>
        <w:spacing w:line="360" w:lineRule="auto"/>
        <w:ind w:firstLine="0" w:firstLineChars="0"/>
        <w:jc w:val="center"/>
        <w:rPr>
          <w:rFonts w:ascii="宋体" w:hAnsi="宋体" w:cs="Cambria"/>
          <w:b/>
          <w:snapToGrid w:val="0"/>
          <w:kern w:val="0"/>
          <w:szCs w:val="28"/>
        </w:rPr>
      </w:pPr>
    </w:p>
    <w:p>
      <w:pPr>
        <w:autoSpaceDE w:val="0"/>
        <w:autoSpaceDN w:val="0"/>
        <w:spacing w:line="360" w:lineRule="auto"/>
        <w:ind w:firstLine="0" w:firstLineChars="0"/>
        <w:jc w:val="center"/>
        <w:rPr>
          <w:rFonts w:ascii="宋体" w:hAnsi="宋体" w:cs="Cambria"/>
          <w:b/>
          <w:snapToGrid w:val="0"/>
          <w:kern w:val="0"/>
          <w:szCs w:val="28"/>
        </w:rPr>
      </w:pPr>
    </w:p>
    <w:p>
      <w:pPr>
        <w:autoSpaceDE w:val="0"/>
        <w:autoSpaceDN w:val="0"/>
        <w:spacing w:line="360" w:lineRule="auto"/>
        <w:ind w:firstLine="0" w:firstLineChars="0"/>
        <w:jc w:val="center"/>
        <w:rPr>
          <w:rFonts w:ascii="宋体" w:hAnsi="宋体" w:cs="Cambria"/>
          <w:b/>
          <w:snapToGrid w:val="0"/>
          <w:kern w:val="0"/>
          <w:szCs w:val="28"/>
        </w:rPr>
      </w:pPr>
    </w:p>
    <w:p>
      <w:pPr>
        <w:autoSpaceDE w:val="0"/>
        <w:autoSpaceDN w:val="0"/>
        <w:spacing w:line="360" w:lineRule="auto"/>
        <w:ind w:firstLine="0" w:firstLineChars="0"/>
        <w:jc w:val="center"/>
        <w:rPr>
          <w:rFonts w:ascii="宋体" w:hAnsi="宋体" w:cs="Cambria"/>
          <w:b/>
          <w:snapToGrid w:val="0"/>
          <w:kern w:val="0"/>
          <w:szCs w:val="28"/>
        </w:rPr>
      </w:pPr>
    </w:p>
    <w:p>
      <w:pPr>
        <w:autoSpaceDE w:val="0"/>
        <w:autoSpaceDN w:val="0"/>
        <w:spacing w:line="360" w:lineRule="auto"/>
        <w:ind w:firstLine="0" w:firstLineChars="0"/>
        <w:jc w:val="center"/>
        <w:rPr>
          <w:rFonts w:ascii="宋体" w:hAnsi="宋体" w:cs="Cambria"/>
          <w:b/>
          <w:snapToGrid w:val="0"/>
          <w:kern w:val="0"/>
          <w:szCs w:val="28"/>
        </w:rPr>
      </w:pPr>
    </w:p>
    <w:p>
      <w:pPr>
        <w:autoSpaceDE w:val="0"/>
        <w:autoSpaceDN w:val="0"/>
        <w:ind w:firstLine="0" w:firstLineChars="0"/>
        <w:jc w:val="center"/>
        <w:rPr>
          <w:rFonts w:ascii="Times New Roman" w:hAnsi="Times New Roman" w:cs="Times New Roman"/>
          <w:b/>
          <w:snapToGrid w:val="0"/>
          <w:color w:val="auto"/>
          <w:kern w:val="0"/>
          <w:sz w:val="32"/>
          <w:szCs w:val="32"/>
          <w:highlight w:val="none"/>
        </w:rPr>
      </w:pPr>
      <w:r>
        <w:rPr>
          <w:rFonts w:hint="eastAsia" w:ascii="Times New Roman" w:hAnsi="Times New Roman" w:cs="Times New Roman"/>
          <w:b/>
          <w:snapToGrid w:val="0"/>
          <w:color w:val="auto"/>
          <w:kern w:val="0"/>
          <w:sz w:val="32"/>
          <w:szCs w:val="32"/>
          <w:highlight w:val="none"/>
        </w:rPr>
        <w:t>比选人：重庆三峡银行股份有限公司</w:t>
      </w:r>
    </w:p>
    <w:p>
      <w:pPr>
        <w:autoSpaceDE w:val="0"/>
        <w:autoSpaceDN w:val="0"/>
        <w:spacing w:line="360" w:lineRule="auto"/>
        <w:ind w:firstLine="0" w:firstLineChars="0"/>
        <w:jc w:val="center"/>
        <w:rPr>
          <w:rFonts w:ascii="宋体" w:hAnsi="宋体" w:cs="Cambria"/>
          <w:b/>
          <w:snapToGrid w:val="0"/>
          <w:kern w:val="0"/>
          <w:sz w:val="32"/>
          <w:szCs w:val="28"/>
        </w:rPr>
      </w:pPr>
      <w:r>
        <w:rPr>
          <w:rFonts w:hint="eastAsia" w:ascii="宋体" w:hAnsi="宋体" w:cs="Cambria"/>
          <w:b/>
          <w:snapToGrid w:val="0"/>
          <w:kern w:val="0"/>
          <w:sz w:val="32"/>
          <w:szCs w:val="28"/>
        </w:rPr>
        <w:t>20</w:t>
      </w:r>
      <w:r>
        <w:rPr>
          <w:rFonts w:ascii="宋体" w:hAnsi="宋体" w:cs="Cambria"/>
          <w:b/>
          <w:snapToGrid w:val="0"/>
          <w:kern w:val="0"/>
          <w:sz w:val="32"/>
          <w:szCs w:val="28"/>
        </w:rPr>
        <w:t>24</w:t>
      </w:r>
      <w:r>
        <w:rPr>
          <w:rFonts w:hint="eastAsia" w:ascii="宋体" w:hAnsi="宋体" w:cs="Cambria"/>
          <w:b/>
          <w:snapToGrid w:val="0"/>
          <w:kern w:val="0"/>
          <w:sz w:val="32"/>
          <w:szCs w:val="28"/>
        </w:rPr>
        <w:t>年</w:t>
      </w:r>
      <w:r>
        <w:rPr>
          <w:rFonts w:ascii="宋体" w:hAnsi="宋体" w:cs="Cambria"/>
          <w:b/>
          <w:snapToGrid w:val="0"/>
          <w:kern w:val="0"/>
          <w:sz w:val="32"/>
          <w:szCs w:val="28"/>
        </w:rPr>
        <w:t>1</w:t>
      </w:r>
      <w:r>
        <w:rPr>
          <w:rFonts w:hint="eastAsia" w:ascii="宋体" w:hAnsi="宋体" w:cs="Cambria"/>
          <w:b/>
          <w:snapToGrid w:val="0"/>
          <w:kern w:val="0"/>
          <w:sz w:val="32"/>
          <w:szCs w:val="28"/>
        </w:rPr>
        <w:t>月</w:t>
      </w:r>
    </w:p>
    <w:p>
      <w:pPr>
        <w:autoSpaceDE w:val="0"/>
        <w:autoSpaceDN w:val="0"/>
        <w:spacing w:line="360" w:lineRule="auto"/>
        <w:ind w:firstLine="0" w:firstLineChars="0"/>
        <w:jc w:val="center"/>
        <w:rPr>
          <w:rFonts w:ascii="Times New Roman" w:hAnsi="Times New Roman" w:cs="Times New Roman"/>
          <w:b/>
          <w:snapToGrid w:val="0"/>
          <w:kern w:val="0"/>
          <w:sz w:val="32"/>
          <w:szCs w:val="28"/>
        </w:rPr>
      </w:pPr>
    </w:p>
    <w:p>
      <w:pPr>
        <w:snapToGrid w:val="0"/>
        <w:spacing w:line="360" w:lineRule="auto"/>
        <w:ind w:firstLine="0" w:firstLineChars="0"/>
        <w:jc w:val="center"/>
        <w:rPr>
          <w:rFonts w:ascii="Times New Roman" w:hAnsi="Times New Roman" w:cs="Times New Roman"/>
          <w:b/>
          <w:snapToGrid w:val="0"/>
          <w:kern w:val="0"/>
          <w:sz w:val="44"/>
          <w:szCs w:val="44"/>
        </w:rPr>
      </w:pPr>
      <w:r>
        <w:rPr>
          <w:rFonts w:ascii="Times New Roman" w:hAnsi="Times New Roman" w:cs="Times New Roman"/>
          <w:snapToGrid w:val="0"/>
          <w:kern w:val="0"/>
          <w:sz w:val="24"/>
          <w:szCs w:val="24"/>
        </w:rPr>
        <w:br w:type="page"/>
      </w:r>
      <w:r>
        <w:rPr>
          <w:rFonts w:ascii="Times New Roman" w:hAnsi="Times New Roman" w:cs="Times New Roman"/>
          <w:b/>
          <w:snapToGrid w:val="0"/>
          <w:kern w:val="0"/>
          <w:sz w:val="44"/>
          <w:szCs w:val="44"/>
        </w:rPr>
        <w:t>目录</w:t>
      </w:r>
    </w:p>
    <w:p>
      <w:pPr>
        <w:pStyle w:val="19"/>
        <w:ind w:firstLine="240"/>
        <w:rPr>
          <w:rFonts w:asciiTheme="minorHAnsi" w:hAnsiTheme="minorHAnsi" w:eastAsiaTheme="minorEastAsia" w:cstheme="minorBidi"/>
          <w:sz w:val="21"/>
          <w:szCs w:val="22"/>
          <w14:ligatures w14:val="standardContextual"/>
        </w:rPr>
      </w:pPr>
      <w:r>
        <w:rPr>
          <w:rFonts w:ascii="Times New Roman" w:hAnsi="Times New Roman" w:cs="Times New Roman"/>
          <w:snapToGrid w:val="0"/>
          <w:kern w:val="0"/>
          <w:sz w:val="24"/>
          <w:szCs w:val="24"/>
        </w:rPr>
        <w:fldChar w:fldCharType="begin"/>
      </w:r>
      <w:r>
        <w:rPr>
          <w:rFonts w:ascii="Times New Roman" w:hAnsi="Times New Roman" w:cs="Times New Roman"/>
          <w:snapToGrid w:val="0"/>
          <w:kern w:val="0"/>
          <w:sz w:val="24"/>
          <w:szCs w:val="24"/>
        </w:rPr>
        <w:instrText xml:space="preserve"> TOC \o "1-1" \h \z \u </w:instrText>
      </w:r>
      <w:r>
        <w:rPr>
          <w:rFonts w:ascii="Times New Roman" w:hAnsi="Times New Roman" w:cs="Times New Roman"/>
          <w:snapToGrid w:val="0"/>
          <w:kern w:val="0"/>
          <w:sz w:val="24"/>
          <w:szCs w:val="24"/>
        </w:rPr>
        <w:fldChar w:fldCharType="separate"/>
      </w:r>
      <w:r>
        <w:fldChar w:fldCharType="begin"/>
      </w:r>
      <w:r>
        <w:instrText xml:space="preserve"> HYPERLINK \l "_Toc155270546" </w:instrText>
      </w:r>
      <w:r>
        <w:fldChar w:fldCharType="separate"/>
      </w:r>
      <w:r>
        <w:rPr>
          <w:rStyle w:val="28"/>
          <w:rFonts w:ascii="Times New Roman" w:hAnsi="Times New Roman" w:cs="Times New Roman"/>
        </w:rPr>
        <w:t>第一章比选公告</w:t>
      </w:r>
      <w:r>
        <w:tab/>
      </w:r>
      <w:r>
        <w:fldChar w:fldCharType="begin"/>
      </w:r>
      <w:r>
        <w:instrText xml:space="preserve"> PAGEREF _Toc155270546 \h </w:instrText>
      </w:r>
      <w:r>
        <w:fldChar w:fldCharType="separate"/>
      </w:r>
      <w:r>
        <w:t>3</w:t>
      </w:r>
      <w:r>
        <w:fldChar w:fldCharType="end"/>
      </w:r>
      <w:r>
        <w:fldChar w:fldCharType="end"/>
      </w:r>
    </w:p>
    <w:p>
      <w:pPr>
        <w:pStyle w:val="19"/>
        <w:ind w:firstLine="280"/>
        <w:rPr>
          <w:rFonts w:asciiTheme="minorHAnsi" w:hAnsiTheme="minorHAnsi" w:eastAsiaTheme="minorEastAsia" w:cstheme="minorBidi"/>
          <w:sz w:val="21"/>
          <w:szCs w:val="22"/>
          <w14:ligatures w14:val="standardContextual"/>
        </w:rPr>
      </w:pPr>
      <w:r>
        <w:fldChar w:fldCharType="begin"/>
      </w:r>
      <w:r>
        <w:instrText xml:space="preserve"> HYPERLINK \l "_Toc155270547" </w:instrText>
      </w:r>
      <w:r>
        <w:fldChar w:fldCharType="separate"/>
      </w:r>
      <w:r>
        <w:rPr>
          <w:rStyle w:val="28"/>
          <w:rFonts w:ascii="Times New Roman" w:hAnsi="Times New Roman" w:cs="Times New Roman"/>
        </w:rPr>
        <w:t>第二章参选人须知</w:t>
      </w:r>
      <w:r>
        <w:tab/>
      </w:r>
      <w:r>
        <w:fldChar w:fldCharType="begin"/>
      </w:r>
      <w:r>
        <w:instrText xml:space="preserve"> PAGEREF _Toc155270547 \h </w:instrText>
      </w:r>
      <w:r>
        <w:fldChar w:fldCharType="separate"/>
      </w:r>
      <w:r>
        <w:t>6</w:t>
      </w:r>
      <w:r>
        <w:fldChar w:fldCharType="end"/>
      </w:r>
      <w:r>
        <w:fldChar w:fldCharType="end"/>
      </w:r>
    </w:p>
    <w:p>
      <w:pPr>
        <w:pStyle w:val="19"/>
        <w:ind w:firstLine="280"/>
        <w:rPr>
          <w:rFonts w:asciiTheme="minorHAnsi" w:hAnsiTheme="minorHAnsi" w:eastAsiaTheme="minorEastAsia" w:cstheme="minorBidi"/>
          <w:sz w:val="21"/>
          <w:szCs w:val="22"/>
          <w14:ligatures w14:val="standardContextual"/>
        </w:rPr>
      </w:pPr>
      <w:r>
        <w:fldChar w:fldCharType="begin"/>
      </w:r>
      <w:r>
        <w:instrText xml:space="preserve"> HYPERLINK \l "_Toc155270548" </w:instrText>
      </w:r>
      <w:r>
        <w:fldChar w:fldCharType="separate"/>
      </w:r>
      <w:r>
        <w:rPr>
          <w:rStyle w:val="28"/>
          <w:rFonts w:ascii="Times New Roman" w:hAnsi="Times New Roman" w:cs="Times New Roman"/>
        </w:rPr>
        <w:t>第三章项目介绍</w:t>
      </w:r>
      <w:r>
        <w:tab/>
      </w:r>
      <w:r>
        <w:fldChar w:fldCharType="begin"/>
      </w:r>
      <w:r>
        <w:instrText xml:space="preserve"> PAGEREF _Toc155270548 \h </w:instrText>
      </w:r>
      <w:r>
        <w:fldChar w:fldCharType="separate"/>
      </w:r>
      <w:r>
        <w:t>13</w:t>
      </w:r>
      <w:r>
        <w:fldChar w:fldCharType="end"/>
      </w:r>
      <w:r>
        <w:fldChar w:fldCharType="end"/>
      </w:r>
    </w:p>
    <w:p>
      <w:pPr>
        <w:pStyle w:val="19"/>
        <w:ind w:firstLine="280"/>
        <w:rPr>
          <w:rFonts w:asciiTheme="minorHAnsi" w:hAnsiTheme="minorHAnsi" w:eastAsiaTheme="minorEastAsia" w:cstheme="minorBidi"/>
          <w:sz w:val="21"/>
          <w:szCs w:val="22"/>
          <w14:ligatures w14:val="standardContextual"/>
        </w:rPr>
      </w:pPr>
      <w:r>
        <w:fldChar w:fldCharType="begin"/>
      </w:r>
      <w:r>
        <w:instrText xml:space="preserve"> HYPERLINK \l "_Toc155270549" </w:instrText>
      </w:r>
      <w:r>
        <w:fldChar w:fldCharType="separate"/>
      </w:r>
      <w:r>
        <w:rPr>
          <w:rStyle w:val="28"/>
          <w:rFonts w:ascii="Times New Roman" w:hAnsi="Times New Roman" w:cs="Times New Roman"/>
        </w:rPr>
        <w:t>第四章服务内容及要求</w:t>
      </w:r>
      <w:r>
        <w:tab/>
      </w:r>
      <w:r>
        <w:fldChar w:fldCharType="begin"/>
      </w:r>
      <w:r>
        <w:instrText xml:space="preserve"> PAGEREF _Toc155270549 \h </w:instrText>
      </w:r>
      <w:r>
        <w:fldChar w:fldCharType="separate"/>
      </w:r>
      <w:r>
        <w:t>14</w:t>
      </w:r>
      <w:r>
        <w:fldChar w:fldCharType="end"/>
      </w:r>
      <w:r>
        <w:fldChar w:fldCharType="end"/>
      </w:r>
    </w:p>
    <w:p>
      <w:pPr>
        <w:pStyle w:val="19"/>
        <w:ind w:firstLine="280"/>
        <w:rPr>
          <w:rFonts w:asciiTheme="minorHAnsi" w:hAnsiTheme="minorHAnsi" w:eastAsiaTheme="minorEastAsia" w:cstheme="minorBidi"/>
          <w:sz w:val="21"/>
          <w:szCs w:val="22"/>
          <w14:ligatures w14:val="standardContextual"/>
        </w:rPr>
      </w:pPr>
      <w:r>
        <w:fldChar w:fldCharType="begin"/>
      </w:r>
      <w:r>
        <w:instrText xml:space="preserve"> HYPERLINK \l "_Toc155270550" </w:instrText>
      </w:r>
      <w:r>
        <w:fldChar w:fldCharType="separate"/>
      </w:r>
      <w:r>
        <w:rPr>
          <w:rStyle w:val="28"/>
          <w:rFonts w:ascii="Times New Roman" w:hAnsi="Times New Roman" w:cs="Times New Roman"/>
        </w:rPr>
        <w:t>第五章商务条款</w:t>
      </w:r>
      <w:r>
        <w:tab/>
      </w:r>
      <w:r>
        <w:fldChar w:fldCharType="begin"/>
      </w:r>
      <w:r>
        <w:instrText xml:space="preserve"> PAGEREF _Toc155270550 \h </w:instrText>
      </w:r>
      <w:r>
        <w:fldChar w:fldCharType="separate"/>
      </w:r>
      <w:r>
        <w:t>18</w:t>
      </w:r>
      <w:r>
        <w:fldChar w:fldCharType="end"/>
      </w:r>
      <w:r>
        <w:fldChar w:fldCharType="end"/>
      </w:r>
    </w:p>
    <w:p>
      <w:pPr>
        <w:pStyle w:val="19"/>
        <w:ind w:firstLine="280"/>
        <w:rPr>
          <w:rFonts w:asciiTheme="minorHAnsi" w:hAnsiTheme="minorHAnsi" w:eastAsiaTheme="minorEastAsia" w:cstheme="minorBidi"/>
          <w:sz w:val="21"/>
          <w:szCs w:val="22"/>
          <w14:ligatures w14:val="standardContextual"/>
        </w:rPr>
      </w:pPr>
      <w:r>
        <w:fldChar w:fldCharType="begin"/>
      </w:r>
      <w:r>
        <w:instrText xml:space="preserve"> HYPERLINK \l "_Toc155270551" </w:instrText>
      </w:r>
      <w:r>
        <w:fldChar w:fldCharType="separate"/>
      </w:r>
      <w:r>
        <w:rPr>
          <w:rStyle w:val="28"/>
          <w:rFonts w:ascii="Times New Roman" w:hAnsi="Times New Roman" w:cs="Times New Roman"/>
        </w:rPr>
        <w:t>第六章</w:t>
      </w:r>
      <w:r>
        <w:rPr>
          <w:rStyle w:val="28"/>
          <w:rFonts w:hint="eastAsia" w:ascii="Times New Roman" w:hAnsi="Times New Roman" w:cs="Times New Roman"/>
          <w:lang w:eastAsia="zh-CN"/>
        </w:rPr>
        <w:t>评审</w:t>
      </w:r>
      <w:r>
        <w:rPr>
          <w:rStyle w:val="28"/>
          <w:rFonts w:ascii="Times New Roman" w:hAnsi="Times New Roman" w:cs="Times New Roman"/>
        </w:rPr>
        <w:t>方法、</w:t>
      </w:r>
      <w:r>
        <w:rPr>
          <w:rStyle w:val="28"/>
          <w:rFonts w:hint="eastAsia" w:ascii="Times New Roman" w:hAnsi="Times New Roman" w:cs="Times New Roman"/>
          <w:lang w:eastAsia="zh-CN"/>
        </w:rPr>
        <w:t>评审</w:t>
      </w:r>
      <w:r>
        <w:rPr>
          <w:rStyle w:val="28"/>
          <w:rFonts w:ascii="Times New Roman" w:hAnsi="Times New Roman" w:cs="Times New Roman"/>
        </w:rPr>
        <w:t>标准和</w:t>
      </w:r>
      <w:r>
        <w:rPr>
          <w:rStyle w:val="28"/>
        </w:rPr>
        <w:t>参选无效</w:t>
      </w:r>
      <w:r>
        <w:rPr>
          <w:rStyle w:val="28"/>
          <w:rFonts w:ascii="Times New Roman" w:hAnsi="Times New Roman" w:cs="Times New Roman"/>
        </w:rPr>
        <w:t>条款</w:t>
      </w:r>
      <w:r>
        <w:tab/>
      </w:r>
      <w:r>
        <w:fldChar w:fldCharType="begin"/>
      </w:r>
      <w:r>
        <w:instrText xml:space="preserve"> PAGEREF _Toc155270551 \h </w:instrText>
      </w:r>
      <w:r>
        <w:fldChar w:fldCharType="separate"/>
      </w:r>
      <w:r>
        <w:t>20</w:t>
      </w:r>
      <w:r>
        <w:fldChar w:fldCharType="end"/>
      </w:r>
      <w:r>
        <w:fldChar w:fldCharType="end"/>
      </w:r>
    </w:p>
    <w:p>
      <w:pPr>
        <w:pStyle w:val="19"/>
        <w:ind w:firstLine="280"/>
        <w:rPr>
          <w:rFonts w:asciiTheme="minorHAnsi" w:hAnsiTheme="minorHAnsi" w:eastAsiaTheme="minorEastAsia" w:cstheme="minorBidi"/>
          <w:sz w:val="21"/>
          <w:szCs w:val="22"/>
          <w14:ligatures w14:val="standardContextual"/>
        </w:rPr>
      </w:pPr>
      <w:r>
        <w:fldChar w:fldCharType="begin"/>
      </w:r>
      <w:r>
        <w:instrText xml:space="preserve"> HYPERLINK \l "_Toc155270552" </w:instrText>
      </w:r>
      <w:r>
        <w:fldChar w:fldCharType="separate"/>
      </w:r>
      <w:r>
        <w:rPr>
          <w:rStyle w:val="28"/>
        </w:rPr>
        <w:t>第七章 合同模板</w:t>
      </w:r>
      <w:r>
        <w:tab/>
      </w:r>
      <w:r>
        <w:fldChar w:fldCharType="begin"/>
      </w:r>
      <w:r>
        <w:instrText xml:space="preserve"> PAGEREF _Toc155270552 \h </w:instrText>
      </w:r>
      <w:r>
        <w:fldChar w:fldCharType="separate"/>
      </w:r>
      <w:r>
        <w:t>27</w:t>
      </w:r>
      <w:r>
        <w:fldChar w:fldCharType="end"/>
      </w:r>
      <w:r>
        <w:fldChar w:fldCharType="end"/>
      </w:r>
    </w:p>
    <w:p>
      <w:pPr>
        <w:pStyle w:val="19"/>
        <w:ind w:firstLine="280"/>
        <w:rPr>
          <w:rFonts w:asciiTheme="minorHAnsi" w:hAnsiTheme="minorHAnsi" w:eastAsiaTheme="minorEastAsia" w:cstheme="minorBidi"/>
          <w:sz w:val="21"/>
          <w:szCs w:val="22"/>
          <w14:ligatures w14:val="standardContextual"/>
        </w:rPr>
      </w:pPr>
      <w:r>
        <w:fldChar w:fldCharType="begin"/>
      </w:r>
      <w:r>
        <w:instrText xml:space="preserve"> HYPERLINK \l "_Toc155270553" </w:instrText>
      </w:r>
      <w:r>
        <w:fldChar w:fldCharType="separate"/>
      </w:r>
      <w:r>
        <w:rPr>
          <w:rStyle w:val="28"/>
          <w:rFonts w:ascii="Times New Roman" w:hAnsi="Times New Roman" w:cs="Times New Roman"/>
        </w:rPr>
        <w:t>第八章参选文件格式</w:t>
      </w:r>
      <w:r>
        <w:tab/>
      </w:r>
      <w:r>
        <w:fldChar w:fldCharType="begin"/>
      </w:r>
      <w:r>
        <w:instrText xml:space="preserve"> PAGEREF _Toc155270553 \h </w:instrText>
      </w:r>
      <w:r>
        <w:fldChar w:fldCharType="separate"/>
      </w:r>
      <w:r>
        <w:t>50</w:t>
      </w:r>
      <w:r>
        <w:fldChar w:fldCharType="end"/>
      </w:r>
      <w:r>
        <w:fldChar w:fldCharType="end"/>
      </w:r>
    </w:p>
    <w:p>
      <w:pPr>
        <w:widowControl/>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fldChar w:fldCharType="end"/>
      </w:r>
    </w:p>
    <w:p>
      <w:pPr>
        <w:widowControl/>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br w:type="page"/>
      </w:r>
    </w:p>
    <w:p>
      <w:pPr>
        <w:pStyle w:val="3"/>
        <w:bidi w:val="0"/>
      </w:pPr>
      <w:bookmarkStart w:id="0" w:name="_Toc440628903"/>
      <w:bookmarkStart w:id="1" w:name="_Toc155270546"/>
      <w:bookmarkStart w:id="2" w:name="_Toc6745"/>
      <w:bookmarkStart w:id="3" w:name="_Toc469574661"/>
      <w:r>
        <w:t>第一章</w:t>
      </w:r>
      <w:bookmarkEnd w:id="0"/>
      <w:r>
        <w:rPr>
          <w:rFonts w:hint="eastAsia"/>
          <w:lang w:val="en-US" w:eastAsia="zh-CN"/>
        </w:rPr>
        <w:t xml:space="preserve"> </w:t>
      </w:r>
      <w:r>
        <w:t>比选公告</w:t>
      </w:r>
      <w:bookmarkEnd w:id="1"/>
      <w:bookmarkEnd w:id="2"/>
      <w:bookmarkEnd w:id="3"/>
    </w:p>
    <w:p>
      <w:pPr>
        <w:bidi w:val="0"/>
      </w:pPr>
      <w:r>
        <w:rPr>
          <w:rFonts w:hint="eastAsia"/>
        </w:rPr>
        <w:t>为全面对标业界软件研发先进水平，借鉴行业软件研发最佳实践，客观评估我行信息科技软件研发能力现状，识别软件研发亟待优化补足的关键弱项，统筹制定一体化整改措施和优化方案，实现软件研发流程体系全面提升，推动我行信息科技软件研发能力的进一步升级，拟采购</w:t>
      </w:r>
      <w:r>
        <w:t>CMMI 3</w:t>
      </w:r>
      <w:r>
        <w:rPr>
          <w:rFonts w:hint="eastAsia"/>
        </w:rPr>
        <w:t>认证评估服务。</w:t>
      </w:r>
    </w:p>
    <w:p>
      <w:pPr>
        <w:bidi w:val="0"/>
      </w:pPr>
      <w:r>
        <w:rPr>
          <w:rFonts w:hint="eastAsia"/>
        </w:rPr>
        <w:t>现对</w:t>
      </w:r>
      <w:r>
        <w:t>CMMI 3</w:t>
      </w:r>
      <w:r>
        <w:rPr>
          <w:rFonts w:hint="eastAsia"/>
        </w:rPr>
        <w:t>认证评估服务项目进行公开比选，特邀请有兴趣的潜在参选人进行参选。</w:t>
      </w:r>
    </w:p>
    <w:p>
      <w:pPr>
        <w:pStyle w:val="4"/>
        <w:bidi w:val="0"/>
      </w:pPr>
      <w:bookmarkStart w:id="4" w:name="_Toc89675127"/>
      <w:bookmarkStart w:id="5" w:name="_Toc55379218"/>
      <w:r>
        <w:rPr>
          <w:rFonts w:hint="eastAsia"/>
        </w:rPr>
        <w:t>一、比选项目内容</w:t>
      </w:r>
      <w:bookmarkEnd w:id="4"/>
      <w:bookmarkEnd w:id="5"/>
    </w:p>
    <w:tbl>
      <w:tblPr>
        <w:tblStyle w:val="25"/>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633"/>
        <w:gridCol w:w="1839"/>
        <w:gridCol w:w="1798"/>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cs="Cambria"/>
                <w:b/>
                <w:snapToGrid w:val="0"/>
                <w:kern w:val="0"/>
                <w:sz w:val="24"/>
                <w:szCs w:val="24"/>
              </w:rPr>
            </w:pPr>
            <w:bookmarkStart w:id="6" w:name="_Toc478044645"/>
            <w:bookmarkStart w:id="7" w:name="_Toc478053862"/>
            <w:r>
              <w:rPr>
                <w:rFonts w:hint="eastAsia" w:ascii="宋体" w:hAnsi="宋体" w:cs="Cambria"/>
                <w:b/>
                <w:snapToGrid w:val="0"/>
                <w:kern w:val="0"/>
                <w:sz w:val="24"/>
                <w:szCs w:val="24"/>
              </w:rPr>
              <w:t>序号</w:t>
            </w:r>
            <w:bookmarkEnd w:id="6"/>
            <w:bookmarkEnd w:id="7"/>
          </w:p>
        </w:tc>
        <w:tc>
          <w:tcPr>
            <w:tcW w:w="263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cs="Cambria"/>
                <w:b/>
                <w:snapToGrid w:val="0"/>
                <w:kern w:val="0"/>
                <w:sz w:val="24"/>
                <w:szCs w:val="24"/>
              </w:rPr>
            </w:pPr>
            <w:bookmarkStart w:id="8" w:name="_Toc478053863"/>
            <w:bookmarkStart w:id="9" w:name="_Toc478044646"/>
            <w:r>
              <w:rPr>
                <w:rFonts w:hint="eastAsia" w:ascii="宋体" w:hAnsi="宋体" w:cs="Cambria"/>
                <w:b/>
                <w:snapToGrid w:val="0"/>
                <w:kern w:val="0"/>
                <w:sz w:val="24"/>
                <w:szCs w:val="24"/>
              </w:rPr>
              <w:t>项目名称</w:t>
            </w:r>
            <w:bookmarkEnd w:id="8"/>
            <w:bookmarkEnd w:id="9"/>
          </w:p>
        </w:tc>
        <w:tc>
          <w:tcPr>
            <w:tcW w:w="183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cs="Cambria"/>
                <w:b/>
                <w:snapToGrid w:val="0"/>
                <w:kern w:val="0"/>
                <w:sz w:val="24"/>
                <w:szCs w:val="24"/>
              </w:rPr>
            </w:pPr>
            <w:bookmarkStart w:id="10" w:name="_Toc478053864"/>
            <w:bookmarkStart w:id="11" w:name="_Toc478044647"/>
            <w:r>
              <w:rPr>
                <w:rFonts w:hint="eastAsia" w:ascii="宋体" w:hAnsi="宋体" w:cs="Cambria"/>
                <w:b/>
                <w:snapToGrid w:val="0"/>
                <w:kern w:val="0"/>
                <w:sz w:val="24"/>
                <w:szCs w:val="24"/>
              </w:rPr>
              <w:t>最高限价</w:t>
            </w:r>
            <w:bookmarkEnd w:id="10"/>
            <w:bookmarkEnd w:id="11"/>
          </w:p>
        </w:tc>
        <w:tc>
          <w:tcPr>
            <w:tcW w:w="179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cs="Cambria"/>
                <w:b/>
                <w:snapToGrid w:val="0"/>
                <w:kern w:val="0"/>
                <w:sz w:val="24"/>
                <w:szCs w:val="24"/>
              </w:rPr>
            </w:pPr>
            <w:bookmarkStart w:id="12" w:name="_Toc478044649"/>
            <w:bookmarkStart w:id="13" w:name="_Toc478053866"/>
            <w:r>
              <w:rPr>
                <w:rFonts w:hint="eastAsia" w:ascii="宋体" w:hAnsi="宋体" w:cs="Cambria"/>
                <w:b/>
                <w:snapToGrid w:val="0"/>
                <w:kern w:val="0"/>
                <w:sz w:val="24"/>
                <w:szCs w:val="24"/>
              </w:rPr>
              <w:t>中选人数量</w:t>
            </w:r>
            <w:bookmarkEnd w:id="12"/>
            <w:bookmarkEnd w:id="13"/>
          </w:p>
        </w:tc>
        <w:tc>
          <w:tcPr>
            <w:tcW w:w="179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cs="Cambria"/>
                <w:b/>
                <w:snapToGrid w:val="0"/>
                <w:kern w:val="0"/>
                <w:sz w:val="24"/>
                <w:szCs w:val="24"/>
              </w:rPr>
            </w:pPr>
            <w:r>
              <w:rPr>
                <w:rFonts w:hint="eastAsia" w:ascii="宋体" w:hAnsi="宋体" w:cs="Cambria"/>
                <w:b/>
                <w:snapToGrid w:val="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cs="Cambria"/>
                <w:snapToGrid w:val="0"/>
                <w:kern w:val="0"/>
                <w:sz w:val="24"/>
                <w:szCs w:val="24"/>
              </w:rPr>
            </w:pPr>
            <w:bookmarkStart w:id="14" w:name="_Toc478053868"/>
            <w:bookmarkStart w:id="15" w:name="_Toc478044651"/>
            <w:r>
              <w:rPr>
                <w:rFonts w:hint="eastAsia" w:ascii="宋体" w:hAnsi="宋体" w:cs="Cambria"/>
                <w:snapToGrid w:val="0"/>
                <w:kern w:val="0"/>
                <w:sz w:val="24"/>
                <w:szCs w:val="24"/>
              </w:rPr>
              <w:t>1</w:t>
            </w:r>
            <w:bookmarkEnd w:id="14"/>
            <w:bookmarkEnd w:id="15"/>
          </w:p>
        </w:tc>
        <w:tc>
          <w:tcPr>
            <w:tcW w:w="263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cs="Cambria"/>
                <w:snapToGrid w:val="0"/>
                <w:kern w:val="0"/>
                <w:sz w:val="24"/>
                <w:szCs w:val="24"/>
              </w:rPr>
            </w:pPr>
            <w:r>
              <w:rPr>
                <w:rFonts w:ascii="Times New Roman" w:hAnsi="Times New Roman" w:cs="Times New Roman"/>
                <w:snapToGrid w:val="0"/>
                <w:kern w:val="0"/>
                <w:sz w:val="24"/>
                <w:szCs w:val="24"/>
              </w:rPr>
              <w:t>CMMI 3</w:t>
            </w:r>
            <w:r>
              <w:rPr>
                <w:rFonts w:hint="eastAsia" w:ascii="宋体" w:hAnsi="宋体" w:cs="Cambria"/>
                <w:snapToGrid w:val="0"/>
                <w:kern w:val="0"/>
                <w:sz w:val="24"/>
                <w:szCs w:val="24"/>
              </w:rPr>
              <w:t>认证评估服务项目</w:t>
            </w:r>
          </w:p>
        </w:tc>
        <w:tc>
          <w:tcPr>
            <w:tcW w:w="183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cs="Cambria"/>
                <w:snapToGrid w:val="0"/>
                <w:kern w:val="0"/>
                <w:sz w:val="24"/>
                <w:szCs w:val="24"/>
              </w:rPr>
            </w:pPr>
            <w:r>
              <w:rPr>
                <w:rFonts w:ascii="宋体" w:hAnsi="宋体" w:cs="Cambria"/>
                <w:snapToGrid w:val="0"/>
                <w:kern w:val="0"/>
                <w:sz w:val="24"/>
                <w:szCs w:val="24"/>
              </w:rPr>
              <w:t>45</w:t>
            </w:r>
            <w:r>
              <w:rPr>
                <w:rFonts w:hint="eastAsia" w:ascii="宋体" w:hAnsi="宋体" w:cs="Cambria"/>
                <w:snapToGrid w:val="0"/>
                <w:kern w:val="0"/>
                <w:sz w:val="24"/>
                <w:szCs w:val="24"/>
              </w:rPr>
              <w:t>万元</w:t>
            </w:r>
          </w:p>
        </w:tc>
        <w:tc>
          <w:tcPr>
            <w:tcW w:w="179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cs="Cambria"/>
                <w:snapToGrid w:val="0"/>
                <w:kern w:val="0"/>
                <w:sz w:val="24"/>
                <w:szCs w:val="24"/>
              </w:rPr>
            </w:pPr>
            <w:r>
              <w:rPr>
                <w:rFonts w:hint="eastAsia" w:ascii="宋体" w:hAnsi="宋体" w:cs="Cambria"/>
                <w:snapToGrid w:val="0"/>
                <w:kern w:val="0"/>
                <w:sz w:val="24"/>
                <w:szCs w:val="24"/>
              </w:rPr>
              <w:t>1</w:t>
            </w:r>
          </w:p>
        </w:tc>
        <w:tc>
          <w:tcPr>
            <w:tcW w:w="1798"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cs="Cambria"/>
                <w:snapToGrid w:val="0"/>
                <w:kern w:val="0"/>
                <w:sz w:val="24"/>
                <w:szCs w:val="24"/>
              </w:rPr>
            </w:pPr>
            <w:r>
              <w:rPr>
                <w:rFonts w:hint="eastAsia" w:ascii="宋体" w:hAnsi="宋体" w:cs="Cambria"/>
                <w:snapToGrid w:val="0"/>
                <w:kern w:val="0"/>
                <w:sz w:val="24"/>
                <w:szCs w:val="24"/>
              </w:rPr>
              <w:t>含税价</w:t>
            </w:r>
          </w:p>
        </w:tc>
      </w:tr>
    </w:tbl>
    <w:p>
      <w:pPr>
        <w:pStyle w:val="4"/>
        <w:bidi w:val="0"/>
      </w:pPr>
      <w:bookmarkStart w:id="16" w:name="_Toc89675128"/>
      <w:bookmarkStart w:id="17" w:name="_Toc469574664"/>
      <w:bookmarkStart w:id="18" w:name="_Toc297817088"/>
      <w:bookmarkStart w:id="19" w:name="_Toc55379219"/>
      <w:bookmarkStart w:id="20" w:name="_Toc288224935"/>
      <w:r>
        <w:rPr>
          <w:rFonts w:hint="eastAsia"/>
        </w:rPr>
        <w:t>二、参选人资格要求</w:t>
      </w:r>
      <w:bookmarkEnd w:id="16"/>
      <w:bookmarkEnd w:id="17"/>
      <w:bookmarkEnd w:id="18"/>
      <w:bookmarkEnd w:id="19"/>
      <w:bookmarkEnd w:id="20"/>
    </w:p>
    <w:p>
      <w:pPr>
        <w:pStyle w:val="5"/>
        <w:bidi w:val="0"/>
      </w:pPr>
      <w:bookmarkStart w:id="21" w:name="_Hlk55488870"/>
      <w:r>
        <w:rPr>
          <w:rFonts w:hint="eastAsia"/>
        </w:rPr>
        <w:t>（一）基本资格条件</w:t>
      </w:r>
    </w:p>
    <w:p>
      <w:pPr>
        <w:bidi w:val="0"/>
      </w:pPr>
      <w:r>
        <w:rPr>
          <w:rFonts w:hint="eastAsia"/>
          <w:lang w:val="en-US" w:eastAsia="zh-CN"/>
        </w:rPr>
        <w:t>1、</w:t>
      </w:r>
      <w:r>
        <w:rPr>
          <w:rFonts w:hint="eastAsia"/>
        </w:rPr>
        <w:t>具有独立承担民事责任的能力；</w:t>
      </w:r>
    </w:p>
    <w:p>
      <w:pPr>
        <w:bidi w:val="0"/>
      </w:pPr>
      <w:r>
        <w:rPr>
          <w:rFonts w:hint="eastAsia"/>
          <w:lang w:val="en-US" w:eastAsia="zh-CN"/>
        </w:rPr>
        <w:t>2、</w:t>
      </w:r>
      <w:r>
        <w:rPr>
          <w:rFonts w:hint="eastAsia"/>
        </w:rPr>
        <w:t>具有良好的商业信誉和健全的财务会计制度；</w:t>
      </w:r>
    </w:p>
    <w:p>
      <w:pPr>
        <w:bidi w:val="0"/>
      </w:pPr>
      <w:r>
        <w:rPr>
          <w:rFonts w:hint="eastAsia"/>
          <w:lang w:val="en-US" w:eastAsia="zh-CN"/>
        </w:rPr>
        <w:t>3、</w:t>
      </w:r>
      <w:r>
        <w:rPr>
          <w:rFonts w:hint="eastAsia"/>
        </w:rPr>
        <w:t>具有履行合同所必需的设备和专业技术能力；</w:t>
      </w:r>
    </w:p>
    <w:p>
      <w:pPr>
        <w:bidi w:val="0"/>
      </w:pPr>
      <w:r>
        <w:rPr>
          <w:rFonts w:hint="eastAsia"/>
          <w:lang w:val="en-US" w:eastAsia="zh-CN"/>
        </w:rPr>
        <w:t>4、</w:t>
      </w:r>
      <w:r>
        <w:rPr>
          <w:rFonts w:hint="eastAsia"/>
        </w:rPr>
        <w:t>有依法缴纳税收和社会保障金的良好记录；</w:t>
      </w:r>
    </w:p>
    <w:p>
      <w:pPr>
        <w:bidi w:val="0"/>
      </w:pPr>
      <w:r>
        <w:rPr>
          <w:rFonts w:hint="eastAsia"/>
          <w:lang w:val="en-US" w:eastAsia="zh-CN"/>
        </w:rPr>
        <w:t>5、</w:t>
      </w:r>
      <w:r>
        <w:rPr>
          <w:rFonts w:hint="eastAsia"/>
        </w:rPr>
        <w:t>三年内在经营活动中没有重大违法记录；</w:t>
      </w:r>
    </w:p>
    <w:p>
      <w:pPr>
        <w:bidi w:val="0"/>
      </w:pPr>
      <w:r>
        <w:rPr>
          <w:rFonts w:hint="eastAsia"/>
          <w:lang w:val="en-US" w:eastAsia="zh-CN"/>
        </w:rPr>
        <w:t>6、</w:t>
      </w:r>
      <w:r>
        <w:rPr>
          <w:rFonts w:hint="eastAsia"/>
        </w:rPr>
        <w:t>法人及法定代表人没有被人民法院列为失信被执行人名单；</w:t>
      </w:r>
    </w:p>
    <w:p>
      <w:pPr>
        <w:bidi w:val="0"/>
      </w:pPr>
      <w:r>
        <w:rPr>
          <w:rFonts w:hint="eastAsia"/>
          <w:lang w:val="en-US" w:eastAsia="zh-CN"/>
        </w:rPr>
        <w:t>7、</w:t>
      </w:r>
      <w:r>
        <w:rPr>
          <w:rFonts w:hint="eastAsia"/>
        </w:rPr>
        <w:t>法律、行政法规规定的其他条件。</w:t>
      </w:r>
    </w:p>
    <w:p>
      <w:pPr>
        <w:pStyle w:val="5"/>
        <w:bidi w:val="0"/>
      </w:pPr>
      <w:r>
        <w:rPr>
          <w:rFonts w:hint="eastAsia"/>
        </w:rPr>
        <w:t>（二）特定资格条件</w:t>
      </w:r>
    </w:p>
    <w:p>
      <w:pPr>
        <w:bidi w:val="0"/>
      </w:pPr>
      <w:r>
        <w:rPr>
          <w:rFonts w:hint="eastAsia"/>
        </w:rPr>
        <w:t>从2</w:t>
      </w:r>
      <w:r>
        <w:t>021</w:t>
      </w:r>
      <w:r>
        <w:rPr>
          <w:rFonts w:hint="eastAsia"/>
        </w:rPr>
        <w:t>年1月1日至参选截止日，</w:t>
      </w:r>
      <w:r>
        <w:t>参选人</w:t>
      </w:r>
      <w:r>
        <w:rPr>
          <w:rFonts w:hint="eastAsia"/>
        </w:rPr>
        <w:t>成功实施过国内银行业</w:t>
      </w:r>
      <w:r>
        <w:t>CMMI 3</w:t>
      </w:r>
      <w:r>
        <w:rPr>
          <w:rFonts w:hint="eastAsia"/>
        </w:rPr>
        <w:t>级及其以上案例不低于1个。(需提供合同复印件和项目简介)</w:t>
      </w:r>
    </w:p>
    <w:p>
      <w:pPr>
        <w:bidi w:val="0"/>
      </w:pPr>
      <w:r>
        <w:rPr>
          <w:rFonts w:hint="eastAsia"/>
        </w:rPr>
        <w:t>注: 案例要求以下信息不可隐藏，包含：甲乙双方名称、双方印章、项目/产品的名称、合同/中选通知书签订时间等。以上证明文件若采购人存疑，参选人需提供原件备查,参选文件中须附相关证明文件复印件并逐页加盖公章。</w:t>
      </w:r>
    </w:p>
    <w:p>
      <w:pPr>
        <w:bidi w:val="0"/>
      </w:pPr>
      <w:r>
        <w:rPr>
          <w:rFonts w:hint="eastAsia"/>
        </w:rPr>
        <w:t>本次</w:t>
      </w:r>
      <w:r>
        <w:t>比选</w:t>
      </w:r>
      <w:r>
        <w:rPr>
          <w:rFonts w:hint="eastAsia"/>
        </w:rPr>
        <w:t>不接受曾因参选人的违约行为与比选人发生过纠纷的参选人；</w:t>
      </w:r>
      <w:r>
        <w:t>不接受</w:t>
      </w:r>
      <w:r>
        <w:rPr>
          <w:rFonts w:hint="eastAsia"/>
        </w:rPr>
        <w:t>与比选人合作过程中不遵守比选文件及合同约定的</w:t>
      </w:r>
      <w:r>
        <w:t>参选人</w:t>
      </w:r>
      <w:r>
        <w:rPr>
          <w:rFonts w:hint="eastAsia"/>
        </w:rPr>
        <w:t>；</w:t>
      </w:r>
      <w:r>
        <w:t>不接受</w:t>
      </w:r>
      <w:r>
        <w:rPr>
          <w:rFonts w:hint="eastAsia"/>
        </w:rPr>
        <w:t>曾在</w:t>
      </w:r>
      <w:r>
        <w:t>比选人</w:t>
      </w:r>
      <w:r>
        <w:rPr>
          <w:rFonts w:hint="eastAsia"/>
        </w:rPr>
        <w:t>项目</w:t>
      </w:r>
      <w:r>
        <w:t>中存在</w:t>
      </w:r>
      <w:r>
        <w:rPr>
          <w:rFonts w:hint="eastAsia"/>
        </w:rPr>
        <w:t>弄虚作假行为的</w:t>
      </w:r>
      <w:r>
        <w:t>参选人。若</w:t>
      </w:r>
      <w:r>
        <w:rPr>
          <w:rFonts w:hint="eastAsia"/>
        </w:rPr>
        <w:t>参选人</w:t>
      </w:r>
      <w:r>
        <w:t>存在上述情况，比选人</w:t>
      </w:r>
      <w:r>
        <w:rPr>
          <w:rFonts w:hint="eastAsia"/>
        </w:rPr>
        <w:t>将</w:t>
      </w:r>
      <w:r>
        <w:t>有权</w:t>
      </w:r>
      <w:r>
        <w:rPr>
          <w:rFonts w:hint="eastAsia"/>
        </w:rPr>
        <w:t>随时</w:t>
      </w:r>
      <w:r>
        <w:t>取消其参选资格或</w:t>
      </w:r>
      <w:r>
        <w:rPr>
          <w:rFonts w:hint="eastAsia"/>
        </w:rPr>
        <w:t>中选</w:t>
      </w:r>
      <w:r>
        <w:t>资格（</w:t>
      </w:r>
      <w:r>
        <w:rPr>
          <w:rFonts w:hint="eastAsia"/>
        </w:rPr>
        <w:t>若</w:t>
      </w:r>
      <w:r>
        <w:t>签署合同后发现的则有权解除合同）</w:t>
      </w:r>
      <w:r>
        <w:rPr>
          <w:rFonts w:hint="eastAsia"/>
        </w:rPr>
        <w:t>，没收</w:t>
      </w:r>
      <w:r>
        <w:t>其</w:t>
      </w:r>
      <w:r>
        <w:rPr>
          <w:rFonts w:hint="eastAsia"/>
        </w:rPr>
        <w:t>参选</w:t>
      </w:r>
      <w:r>
        <w:t>保证金，并追究其相应的法律责任。</w:t>
      </w:r>
    </w:p>
    <w:bookmarkEnd w:id="21"/>
    <w:p>
      <w:pPr>
        <w:pStyle w:val="4"/>
        <w:bidi w:val="0"/>
      </w:pPr>
      <w:bookmarkStart w:id="22" w:name="_Toc55379220"/>
      <w:bookmarkStart w:id="23" w:name="_Toc297817090"/>
      <w:bookmarkStart w:id="24" w:name="_Toc89675130"/>
      <w:bookmarkStart w:id="25" w:name="_Toc469574667"/>
      <w:r>
        <w:rPr>
          <w:rFonts w:hint="eastAsia"/>
        </w:rPr>
        <w:t>三、比选文件的获取</w:t>
      </w:r>
      <w:bookmarkEnd w:id="22"/>
    </w:p>
    <w:p>
      <w:pPr>
        <w:bidi w:val="0"/>
        <w:rPr>
          <w:highlight w:val="none"/>
        </w:rPr>
      </w:pPr>
      <w:bookmarkStart w:id="26" w:name="_Toc55379221"/>
      <w:r>
        <w:rPr>
          <w:rFonts w:hint="eastAsia"/>
        </w:rPr>
        <w:t>获取时间和方</w:t>
      </w:r>
      <w:r>
        <w:rPr>
          <w:rFonts w:hint="eastAsia"/>
          <w:highlight w:val="none"/>
        </w:rPr>
        <w:t>式：从</w:t>
      </w:r>
      <w:r>
        <w:rPr>
          <w:rFonts w:hint="eastAsia"/>
          <w:highlight w:val="none"/>
          <w:u w:val="single"/>
          <w:lang w:val="en-US" w:eastAsia="zh-CN"/>
        </w:rPr>
        <w:t>2024</w:t>
      </w:r>
      <w:r>
        <w:rPr>
          <w:rFonts w:hint="eastAsia"/>
          <w:highlight w:val="none"/>
        </w:rPr>
        <w:t>年</w:t>
      </w:r>
      <w:r>
        <w:rPr>
          <w:rFonts w:hint="eastAsia"/>
          <w:highlight w:val="none"/>
          <w:u w:val="single"/>
          <w:lang w:val="en-US" w:eastAsia="zh-CN"/>
        </w:rPr>
        <w:t>1</w:t>
      </w:r>
      <w:r>
        <w:rPr>
          <w:rFonts w:hint="eastAsia"/>
          <w:highlight w:val="none"/>
        </w:rPr>
        <w:t>月</w:t>
      </w:r>
      <w:r>
        <w:rPr>
          <w:rFonts w:hint="eastAsia"/>
          <w:highlight w:val="none"/>
          <w:u w:val="single"/>
          <w:lang w:val="en-US" w:eastAsia="zh-CN"/>
        </w:rPr>
        <w:t>17</w:t>
      </w:r>
      <w:r>
        <w:rPr>
          <w:rFonts w:hint="eastAsia"/>
          <w:highlight w:val="none"/>
        </w:rPr>
        <w:t>日到</w:t>
      </w:r>
      <w:r>
        <w:rPr>
          <w:rFonts w:hint="eastAsia"/>
          <w:highlight w:val="none"/>
          <w:u w:val="single"/>
          <w:lang w:val="en-US" w:eastAsia="zh-CN"/>
        </w:rPr>
        <w:t>2024</w:t>
      </w:r>
      <w:r>
        <w:rPr>
          <w:rFonts w:hint="eastAsia"/>
          <w:highlight w:val="none"/>
        </w:rPr>
        <w:t>年</w:t>
      </w:r>
      <w:r>
        <w:rPr>
          <w:rFonts w:hint="eastAsia"/>
          <w:highlight w:val="none"/>
          <w:u w:val="single"/>
          <w:lang w:val="en-US" w:eastAsia="zh-CN"/>
        </w:rPr>
        <w:t>2</w:t>
      </w:r>
      <w:r>
        <w:rPr>
          <w:rFonts w:hint="eastAsia"/>
          <w:highlight w:val="none"/>
        </w:rPr>
        <w:t>月</w:t>
      </w:r>
      <w:r>
        <w:rPr>
          <w:rFonts w:hint="eastAsia"/>
          <w:highlight w:val="none"/>
          <w:u w:val="single"/>
          <w:lang w:val="en-US" w:eastAsia="zh-CN"/>
        </w:rPr>
        <w:t>2</w:t>
      </w:r>
      <w:r>
        <w:rPr>
          <w:rFonts w:hint="eastAsia"/>
          <w:highlight w:val="none"/>
        </w:rPr>
        <w:t>日</w:t>
      </w:r>
      <w:r>
        <w:rPr>
          <w:rFonts w:hint="eastAsia"/>
          <w:highlight w:val="none"/>
          <w:u w:val="single"/>
          <w:lang w:val="en-US" w:eastAsia="zh-CN"/>
        </w:rPr>
        <w:t>11</w:t>
      </w:r>
      <w:r>
        <w:rPr>
          <w:rFonts w:hint="eastAsia"/>
          <w:highlight w:val="none"/>
        </w:rPr>
        <w:t>时</w:t>
      </w:r>
      <w:r>
        <w:rPr>
          <w:rFonts w:hint="eastAsia"/>
          <w:highlight w:val="none"/>
          <w:u w:val="single"/>
          <w:lang w:val="en-US" w:eastAsia="zh-CN"/>
        </w:rPr>
        <w:t>00</w:t>
      </w:r>
      <w:r>
        <w:rPr>
          <w:rFonts w:hint="eastAsia"/>
          <w:highlight w:val="none"/>
        </w:rPr>
        <w:t>分（北京时间），在重庆市公共资源交易网（www.cqggzy.com）下载比选文件。</w:t>
      </w:r>
    </w:p>
    <w:p>
      <w:pPr>
        <w:pStyle w:val="4"/>
        <w:bidi w:val="0"/>
        <w:rPr>
          <w:highlight w:val="none"/>
        </w:rPr>
      </w:pPr>
      <w:r>
        <w:rPr>
          <w:rFonts w:hint="eastAsia"/>
          <w:highlight w:val="none"/>
        </w:rPr>
        <w:t>四、比选保证金的递交</w:t>
      </w:r>
      <w:bookmarkEnd w:id="23"/>
      <w:bookmarkEnd w:id="24"/>
      <w:bookmarkEnd w:id="25"/>
      <w:bookmarkEnd w:id="26"/>
    </w:p>
    <w:p>
      <w:pPr>
        <w:bidi w:val="0"/>
        <w:rPr>
          <w:highlight w:val="none"/>
        </w:rPr>
      </w:pPr>
      <w:bookmarkStart w:id="27" w:name="_Toc297817091"/>
      <w:r>
        <w:rPr>
          <w:rFonts w:hint="eastAsia"/>
          <w:highlight w:val="none"/>
        </w:rPr>
        <w:t>1、参选保证金的金额：</w:t>
      </w:r>
      <w:r>
        <w:rPr>
          <w:highlight w:val="none"/>
        </w:rPr>
        <w:t>9000</w:t>
      </w:r>
      <w:r>
        <w:rPr>
          <w:rFonts w:hint="eastAsia"/>
          <w:highlight w:val="none"/>
        </w:rPr>
        <w:t>元整（大写：玖仟元整）。</w:t>
      </w:r>
    </w:p>
    <w:p>
      <w:pPr>
        <w:bidi w:val="0"/>
        <w:rPr>
          <w:b/>
          <w:bCs/>
          <w:highlight w:val="none"/>
        </w:rPr>
      </w:pPr>
      <w:r>
        <w:rPr>
          <w:rFonts w:hint="eastAsia"/>
          <w:highlight w:val="none"/>
        </w:rPr>
        <w:t>2、参选保证金缴纳方式：参选人从参选人的银行账户，通过转账或电汇方式直接划付至下面指定的账户，否则，参选保证金无效。参选人自行考虑汇入到账时间风险，本项目参选保证金不接受任何形式保函（包括电子保函）；</w:t>
      </w:r>
      <w:r>
        <w:rPr>
          <w:rFonts w:hint="eastAsia"/>
          <w:b/>
          <w:bCs/>
          <w:highlight w:val="none"/>
        </w:rPr>
        <w:t>参选人必须在付款凭证备注栏中注明参选项目简称，如：CMMI 3项目。</w:t>
      </w:r>
    </w:p>
    <w:p>
      <w:pPr>
        <w:bidi w:val="0"/>
        <w:rPr>
          <w:highlight w:val="none"/>
        </w:rPr>
      </w:pPr>
      <w:r>
        <w:rPr>
          <w:rFonts w:hint="eastAsia"/>
          <w:highlight w:val="none"/>
        </w:rPr>
        <w:t>3、参选保证金递交的截止时间为</w:t>
      </w:r>
      <w:r>
        <w:rPr>
          <w:rFonts w:hint="eastAsia"/>
          <w:highlight w:val="none"/>
          <w:u w:val="single"/>
          <w:lang w:val="en-US" w:eastAsia="zh-CN"/>
        </w:rPr>
        <w:t>2024</w:t>
      </w:r>
      <w:r>
        <w:rPr>
          <w:rFonts w:hint="eastAsia"/>
          <w:highlight w:val="none"/>
        </w:rPr>
        <w:t>年</w:t>
      </w:r>
      <w:r>
        <w:rPr>
          <w:rFonts w:hint="eastAsia"/>
          <w:highlight w:val="none"/>
          <w:u w:val="single"/>
          <w:lang w:val="en-US" w:eastAsia="zh-CN"/>
        </w:rPr>
        <w:t>2</w:t>
      </w:r>
      <w:r>
        <w:rPr>
          <w:rFonts w:hint="eastAsia"/>
          <w:highlight w:val="none"/>
        </w:rPr>
        <w:t>月</w:t>
      </w:r>
      <w:r>
        <w:rPr>
          <w:rFonts w:hint="eastAsia"/>
          <w:highlight w:val="none"/>
          <w:u w:val="single"/>
          <w:lang w:val="en-US" w:eastAsia="zh-CN"/>
        </w:rPr>
        <w:t>2</w:t>
      </w:r>
      <w:r>
        <w:rPr>
          <w:rFonts w:hint="eastAsia"/>
          <w:highlight w:val="none"/>
        </w:rPr>
        <w:t>日</w:t>
      </w:r>
      <w:r>
        <w:rPr>
          <w:rFonts w:hint="eastAsia"/>
          <w:highlight w:val="none"/>
          <w:u w:val="single"/>
          <w:lang w:val="en-US" w:eastAsia="zh-CN"/>
        </w:rPr>
        <w:t>11</w:t>
      </w:r>
      <w:r>
        <w:rPr>
          <w:rFonts w:hint="eastAsia"/>
          <w:highlight w:val="none"/>
        </w:rPr>
        <w:t>时</w:t>
      </w:r>
      <w:r>
        <w:rPr>
          <w:rFonts w:hint="eastAsia"/>
          <w:highlight w:val="none"/>
          <w:u w:val="single"/>
          <w:lang w:val="en-US" w:eastAsia="zh-CN"/>
        </w:rPr>
        <w:t>00</w:t>
      </w:r>
      <w:r>
        <w:rPr>
          <w:rFonts w:hint="eastAsia"/>
          <w:highlight w:val="none"/>
        </w:rPr>
        <w:t>分。</w:t>
      </w:r>
    </w:p>
    <w:p>
      <w:pPr>
        <w:bidi w:val="0"/>
        <w:rPr>
          <w:highlight w:val="none"/>
        </w:rPr>
      </w:pPr>
      <w:bookmarkStart w:id="28" w:name="_Toc89675131"/>
      <w:bookmarkStart w:id="29" w:name="_Toc469574668"/>
      <w:bookmarkStart w:id="30" w:name="_Toc55379222"/>
      <w:r>
        <w:rPr>
          <w:highlight w:val="none"/>
        </w:rPr>
        <w:t>4</w:t>
      </w:r>
      <w:r>
        <w:rPr>
          <w:rFonts w:hint="eastAsia"/>
          <w:highlight w:val="none"/>
        </w:rPr>
        <w:t>、参选保证金专用账户如下：</w:t>
      </w:r>
    </w:p>
    <w:p>
      <w:pPr>
        <w:bidi w:val="0"/>
      </w:pPr>
      <w:r>
        <w:rPr>
          <w:rFonts w:hint="eastAsia"/>
        </w:rPr>
        <w:t>详见重庆市公共资源交易网（www.cqggzy.com）对应本项目比选公告信息栏中的保证金信息。</w:t>
      </w:r>
    </w:p>
    <w:p>
      <w:pPr>
        <w:bidi w:val="0"/>
      </w:pPr>
      <w:r>
        <w:rPr>
          <w:rFonts w:hint="eastAsia"/>
        </w:rPr>
        <w:t>参选保证金以重庆市公共资源交易中心比选现场展示的保证金交纳情况为准。</w:t>
      </w:r>
    </w:p>
    <w:bookmarkEnd w:id="27"/>
    <w:bookmarkEnd w:id="28"/>
    <w:bookmarkEnd w:id="29"/>
    <w:bookmarkEnd w:id="30"/>
    <w:p>
      <w:pPr>
        <w:pStyle w:val="4"/>
        <w:bidi w:val="0"/>
      </w:pPr>
      <w:r>
        <w:rPr>
          <w:rFonts w:hint="eastAsia"/>
        </w:rPr>
        <w:t>五、参选文件的递交</w:t>
      </w:r>
    </w:p>
    <w:p>
      <w:pPr>
        <w:bidi w:val="0"/>
      </w:pPr>
      <w:bookmarkStart w:id="31" w:name="_Toc469574669"/>
      <w:bookmarkStart w:id="32" w:name="_Toc89675132"/>
      <w:bookmarkStart w:id="33" w:name="_Toc55379223"/>
      <w:r>
        <w:rPr>
          <w:rFonts w:hint="eastAsia"/>
        </w:rPr>
        <w:t>1、参选文件现场递交的</w:t>
      </w:r>
      <w:r>
        <w:rPr>
          <w:rFonts w:hint="eastAsia"/>
          <w:highlight w:val="none"/>
        </w:rPr>
        <w:t>开始时间为</w:t>
      </w:r>
      <w:r>
        <w:rPr>
          <w:rFonts w:hint="eastAsia"/>
          <w:highlight w:val="none"/>
          <w:u w:val="single"/>
          <w:lang w:val="en-US" w:eastAsia="zh-CN"/>
        </w:rPr>
        <w:t>2024</w:t>
      </w:r>
      <w:r>
        <w:rPr>
          <w:rFonts w:hint="eastAsia"/>
          <w:highlight w:val="none"/>
        </w:rPr>
        <w:t>年</w:t>
      </w:r>
      <w:r>
        <w:rPr>
          <w:rFonts w:hint="eastAsia"/>
          <w:highlight w:val="none"/>
          <w:u w:val="single"/>
          <w:lang w:val="en-US" w:eastAsia="zh-CN"/>
        </w:rPr>
        <w:t>2</w:t>
      </w:r>
      <w:r>
        <w:rPr>
          <w:rFonts w:hint="eastAsia"/>
          <w:highlight w:val="none"/>
        </w:rPr>
        <w:t>月</w:t>
      </w:r>
      <w:r>
        <w:rPr>
          <w:rFonts w:hint="eastAsia"/>
          <w:highlight w:val="none"/>
          <w:u w:val="single"/>
          <w:lang w:val="en-US" w:eastAsia="zh-CN"/>
        </w:rPr>
        <w:t>2</w:t>
      </w:r>
      <w:r>
        <w:rPr>
          <w:rFonts w:hint="eastAsia"/>
          <w:highlight w:val="none"/>
        </w:rPr>
        <w:t>日</w:t>
      </w:r>
      <w:r>
        <w:rPr>
          <w:rFonts w:hint="eastAsia"/>
          <w:highlight w:val="none"/>
          <w:u w:val="single"/>
          <w:lang w:val="en-US" w:eastAsia="zh-CN"/>
        </w:rPr>
        <w:t>10</w:t>
      </w:r>
      <w:r>
        <w:rPr>
          <w:rFonts w:hint="eastAsia"/>
          <w:highlight w:val="none"/>
        </w:rPr>
        <w:t>时</w:t>
      </w:r>
      <w:r>
        <w:rPr>
          <w:rFonts w:hint="eastAsia"/>
          <w:highlight w:val="none"/>
          <w:u w:val="single"/>
          <w:lang w:val="en-US" w:eastAsia="zh-CN"/>
        </w:rPr>
        <w:t>30</w:t>
      </w:r>
      <w:r>
        <w:rPr>
          <w:rFonts w:hint="eastAsia"/>
          <w:highlight w:val="none"/>
        </w:rPr>
        <w:t>分(北京时间)。递交截止时间为</w:t>
      </w:r>
      <w:r>
        <w:rPr>
          <w:rFonts w:hint="eastAsia"/>
          <w:highlight w:val="none"/>
          <w:u w:val="single"/>
          <w:lang w:val="en-US" w:eastAsia="zh-CN"/>
        </w:rPr>
        <w:t>2024</w:t>
      </w:r>
      <w:r>
        <w:rPr>
          <w:rFonts w:hint="eastAsia"/>
          <w:highlight w:val="none"/>
        </w:rPr>
        <w:t>年</w:t>
      </w:r>
      <w:r>
        <w:rPr>
          <w:rFonts w:hint="eastAsia"/>
          <w:highlight w:val="none"/>
          <w:u w:val="single"/>
          <w:lang w:val="en-US" w:eastAsia="zh-CN"/>
        </w:rPr>
        <w:t>2</w:t>
      </w:r>
      <w:r>
        <w:rPr>
          <w:rFonts w:hint="eastAsia"/>
          <w:highlight w:val="none"/>
        </w:rPr>
        <w:t>月</w:t>
      </w:r>
      <w:r>
        <w:rPr>
          <w:rFonts w:hint="eastAsia"/>
          <w:highlight w:val="none"/>
          <w:u w:val="single"/>
          <w:lang w:val="en-US" w:eastAsia="zh-CN"/>
        </w:rPr>
        <w:t>2</w:t>
      </w:r>
      <w:r>
        <w:rPr>
          <w:rFonts w:hint="eastAsia"/>
          <w:highlight w:val="none"/>
        </w:rPr>
        <w:t>日</w:t>
      </w:r>
      <w:r>
        <w:rPr>
          <w:rFonts w:hint="eastAsia"/>
          <w:highlight w:val="none"/>
          <w:u w:val="single"/>
          <w:lang w:val="en-US" w:eastAsia="zh-CN"/>
        </w:rPr>
        <w:t>11</w:t>
      </w:r>
      <w:r>
        <w:rPr>
          <w:rFonts w:hint="eastAsia"/>
          <w:highlight w:val="none"/>
        </w:rPr>
        <w:t>时</w:t>
      </w:r>
      <w:r>
        <w:rPr>
          <w:rFonts w:hint="eastAsia"/>
          <w:highlight w:val="none"/>
          <w:u w:val="single"/>
          <w:lang w:val="en-US" w:eastAsia="zh-CN"/>
        </w:rPr>
        <w:t>00</w:t>
      </w:r>
      <w:r>
        <w:rPr>
          <w:rFonts w:hint="eastAsia"/>
          <w:highlight w:val="none"/>
        </w:rPr>
        <w:t>分（北京时间）。</w:t>
      </w:r>
    </w:p>
    <w:p>
      <w:pPr>
        <w:bidi w:val="0"/>
      </w:pPr>
      <w:r>
        <w:rPr>
          <w:rFonts w:hint="eastAsia"/>
        </w:rPr>
        <w:t>2、递交地点为重庆市公共资源交易中心开标区（具体请登陆重庆市公共资源交易网（www.cqggzy.com）查询或递交文件当日见交易中心大厅电子显示屏）。</w:t>
      </w:r>
    </w:p>
    <w:p>
      <w:pPr>
        <w:bidi w:val="0"/>
      </w:pPr>
      <w:r>
        <w:rPr>
          <w:rFonts w:hint="eastAsia"/>
        </w:rPr>
        <w:t>3、逾期送达的参选文件，不予接收。</w:t>
      </w:r>
    </w:p>
    <w:p>
      <w:pPr>
        <w:pStyle w:val="4"/>
        <w:bidi w:val="0"/>
      </w:pPr>
      <w:r>
        <w:rPr>
          <w:rFonts w:hint="eastAsia"/>
        </w:rPr>
        <w:t>六、发布公告的媒介</w:t>
      </w:r>
      <w:bookmarkEnd w:id="31"/>
      <w:bookmarkEnd w:id="32"/>
      <w:bookmarkEnd w:id="33"/>
    </w:p>
    <w:p>
      <w:pPr>
        <w:bidi w:val="0"/>
      </w:pPr>
      <w:bookmarkStart w:id="34" w:name="_Toc55379224"/>
      <w:bookmarkStart w:id="35" w:name="_Toc89675133"/>
      <w:bookmarkStart w:id="36" w:name="_Toc469574670"/>
      <w:bookmarkStart w:id="37" w:name="_Toc250565211"/>
      <w:r>
        <w:rPr>
          <w:rFonts w:hint="eastAsia"/>
        </w:rPr>
        <w:t>本次比选公告同时在《重庆市公共资源交易网（www.cqggzy.com）》《重庆三峡银行官网（https://www.ccqtgb.com）》和《中国招标投标公共服务平台（http://www.cebpubservice.com）》上发布。</w:t>
      </w:r>
    </w:p>
    <w:p>
      <w:pPr>
        <w:pStyle w:val="4"/>
        <w:bidi w:val="0"/>
      </w:pPr>
      <w:r>
        <w:rPr>
          <w:rFonts w:hint="eastAsia"/>
        </w:rPr>
        <w:t>七、联系方式</w:t>
      </w:r>
      <w:bookmarkEnd w:id="34"/>
      <w:bookmarkEnd w:id="35"/>
      <w:bookmarkEnd w:id="36"/>
      <w:bookmarkEnd w:id="37"/>
    </w:p>
    <w:p>
      <w:pPr>
        <w:bidi w:val="0"/>
      </w:pPr>
      <w:r>
        <w:rPr>
          <w:rFonts w:hint="eastAsia"/>
        </w:rPr>
        <w:t>比选人：重庆三峡银行股份有限公司</w:t>
      </w:r>
    </w:p>
    <w:p>
      <w:pPr>
        <w:bidi w:val="0"/>
      </w:pPr>
      <w:r>
        <w:rPr>
          <w:rFonts w:hint="eastAsia"/>
        </w:rPr>
        <w:t>地址：重庆市渝北区嘉州路88号中渝国际都会4号写字楼21层</w:t>
      </w:r>
    </w:p>
    <w:p>
      <w:pPr>
        <w:bidi w:val="0"/>
      </w:pPr>
      <w:r>
        <w:rPr>
          <w:rFonts w:hint="eastAsia"/>
        </w:rPr>
        <w:t>联系人：敬希 杜明洪</w:t>
      </w:r>
    </w:p>
    <w:p>
      <w:pPr>
        <w:bidi w:val="0"/>
      </w:pPr>
      <w:r>
        <w:rPr>
          <w:rFonts w:hint="eastAsia"/>
        </w:rPr>
        <w:t>采购咨询电话：023-88890</w:t>
      </w:r>
      <w:r>
        <w:t>395</w:t>
      </w:r>
    </w:p>
    <w:p>
      <w:pPr>
        <w:bidi w:val="0"/>
      </w:pPr>
      <w:r>
        <w:rPr>
          <w:rFonts w:hint="eastAsia"/>
        </w:rPr>
        <w:t>业务咨询电话：0</w:t>
      </w:r>
      <w:r>
        <w:t>23-88170787</w:t>
      </w:r>
    </w:p>
    <w:p>
      <w:pPr>
        <w:bidi w:val="0"/>
        <w:rPr>
          <w:rStyle w:val="28"/>
          <w:rFonts w:ascii="宋体" w:hAnsi="宋体" w:cs="Cambria"/>
          <w:snapToGrid w:val="0"/>
          <w:color w:val="auto"/>
          <w:kern w:val="0"/>
          <w:szCs w:val="24"/>
        </w:rPr>
      </w:pPr>
      <w:r>
        <w:rPr>
          <w:rFonts w:hint="eastAsia"/>
        </w:rPr>
        <w:t>邮箱：</w:t>
      </w:r>
      <w:r>
        <w:fldChar w:fldCharType="begin"/>
      </w:r>
      <w:r>
        <w:instrText xml:space="preserve">HYPERLINK "mailto:sx.jcb@ccqtgb.com"</w:instrText>
      </w:r>
      <w:r>
        <w:fldChar w:fldCharType="separate"/>
      </w:r>
      <w:r>
        <w:rPr>
          <w:rStyle w:val="28"/>
          <w:rFonts w:ascii="宋体" w:hAnsi="宋体" w:cs="Cambria"/>
          <w:snapToGrid w:val="0"/>
          <w:color w:val="auto"/>
          <w:kern w:val="0"/>
          <w:szCs w:val="24"/>
        </w:rPr>
        <w:t>sx.jcb@ccqtgb.com</w:t>
      </w:r>
      <w:r>
        <w:rPr>
          <w:rStyle w:val="28"/>
          <w:rFonts w:ascii="宋体" w:hAnsi="宋体" w:cs="Cambria"/>
          <w:snapToGrid w:val="0"/>
          <w:color w:val="auto"/>
          <w:kern w:val="0"/>
          <w:szCs w:val="24"/>
        </w:rPr>
        <w:fldChar w:fldCharType="end"/>
      </w:r>
    </w:p>
    <w:p>
      <w:pPr>
        <w:bidi w:val="0"/>
        <w:rPr>
          <w:rStyle w:val="28"/>
          <w:rFonts w:ascii="宋体" w:hAnsi="宋体" w:cs="Cambria"/>
          <w:snapToGrid w:val="0"/>
          <w:color w:val="auto"/>
          <w:kern w:val="0"/>
          <w:szCs w:val="24"/>
        </w:rPr>
      </w:pPr>
    </w:p>
    <w:p>
      <w:pPr>
        <w:bidi w:val="0"/>
      </w:pPr>
      <w:r>
        <w:rPr>
          <w:rFonts w:hint="eastAsia"/>
        </w:rPr>
        <w:t>平台服务机构：重庆联合产权交易所集团股份有限公司</w:t>
      </w:r>
    </w:p>
    <w:p>
      <w:pPr>
        <w:bidi w:val="0"/>
      </w:pPr>
      <w:r>
        <w:rPr>
          <w:rFonts w:hint="eastAsia"/>
        </w:rPr>
        <w:t>平台服务联系人：</w:t>
      </w:r>
      <w:r>
        <w:rPr>
          <w:rFonts w:hint="eastAsia"/>
          <w:lang w:val="en-US" w:eastAsia="zh-CN"/>
        </w:rPr>
        <w:t>罗</w:t>
      </w:r>
      <w:r>
        <w:rPr>
          <w:rFonts w:hint="eastAsia"/>
        </w:rPr>
        <w:t>老师</w:t>
      </w:r>
    </w:p>
    <w:p>
      <w:pPr>
        <w:bidi w:val="0"/>
        <w:rPr>
          <w:rFonts w:hint="default"/>
          <w:lang w:val="en-US" w:eastAsia="zh-CN"/>
        </w:rPr>
      </w:pPr>
      <w:r>
        <w:rPr>
          <w:rFonts w:hint="eastAsia"/>
        </w:rPr>
        <w:t>平台服务电话：023-6362</w:t>
      </w:r>
      <w:r>
        <w:rPr>
          <w:rFonts w:hint="eastAsia"/>
          <w:lang w:val="en-US" w:eastAsia="zh-CN"/>
        </w:rPr>
        <w:t>6034</w:t>
      </w:r>
    </w:p>
    <w:p>
      <w:pPr>
        <w:bidi w:val="0"/>
      </w:pPr>
    </w:p>
    <w:p>
      <w:pPr>
        <w:topLinePunct w:val="0"/>
        <w:snapToGrid/>
        <w:spacing w:line="240" w:lineRule="auto"/>
        <w:ind w:firstLine="0" w:firstLineChars="0"/>
        <w:jc w:val="right"/>
      </w:pPr>
      <w:r>
        <w:t>重庆三峡银行股份有限公司</w:t>
      </w:r>
    </w:p>
    <w:p>
      <w:pPr>
        <w:bidi w:val="0"/>
        <w:jc w:val="right"/>
      </w:pPr>
      <w:bookmarkStart w:id="127" w:name="_GoBack"/>
      <w:bookmarkEnd w:id="127"/>
      <w:r>
        <w:rPr>
          <w:rFonts w:hint="eastAsia"/>
        </w:rPr>
        <w:t>202</w:t>
      </w:r>
      <w:r>
        <w:rPr>
          <w:rFonts w:hint="eastAsia"/>
          <w:lang w:val="en-US" w:eastAsia="zh-CN"/>
        </w:rPr>
        <w:t>4</w:t>
      </w:r>
      <w:r>
        <w:rPr>
          <w:rFonts w:hint="eastAsia"/>
        </w:rPr>
        <w:t>年</w:t>
      </w:r>
      <w:r>
        <w:rPr>
          <w:rFonts w:hint="eastAsia"/>
          <w:lang w:val="en-US" w:eastAsia="zh-CN"/>
        </w:rPr>
        <w:t>1</w:t>
      </w:r>
      <w:r>
        <w:rPr>
          <w:rFonts w:hint="eastAsia"/>
        </w:rPr>
        <w:t>月</w:t>
      </w:r>
      <w:r>
        <w:rPr>
          <w:rFonts w:hint="eastAsia"/>
          <w:lang w:val="en-US" w:eastAsia="zh-CN"/>
        </w:rPr>
        <w:t>17</w:t>
      </w:r>
      <w:r>
        <w:rPr>
          <w:rFonts w:hint="eastAsia"/>
        </w:rPr>
        <w:t>日</w:t>
      </w:r>
    </w:p>
    <w:p>
      <w:pPr>
        <w:bidi w:val="0"/>
      </w:pPr>
      <w:r>
        <w:br w:type="page"/>
      </w:r>
    </w:p>
    <w:p>
      <w:pPr>
        <w:pStyle w:val="3"/>
        <w:bidi w:val="0"/>
      </w:pPr>
      <w:bookmarkStart w:id="38" w:name="_Toc89675159"/>
      <w:bookmarkStart w:id="39" w:name="_Toc303066033"/>
      <w:bookmarkStart w:id="40" w:name="_Toc155270547"/>
      <w:r>
        <w:t>第</w:t>
      </w:r>
      <w:r>
        <w:rPr>
          <w:rFonts w:hint="eastAsia"/>
        </w:rPr>
        <w:t>二</w:t>
      </w:r>
      <w:r>
        <w:t>章</w:t>
      </w:r>
      <w:r>
        <w:rPr>
          <w:rFonts w:hint="eastAsia"/>
          <w:lang w:val="en-US" w:eastAsia="zh-CN"/>
        </w:rPr>
        <w:t xml:space="preserve"> </w:t>
      </w:r>
      <w:r>
        <w:t>参选人须知</w:t>
      </w:r>
      <w:bookmarkEnd w:id="38"/>
      <w:bookmarkEnd w:id="39"/>
      <w:bookmarkEnd w:id="40"/>
    </w:p>
    <w:p>
      <w:pPr>
        <w:pStyle w:val="4"/>
        <w:bidi w:val="0"/>
        <w:spacing w:line="360" w:lineRule="auto"/>
        <w:ind w:firstLine="482" w:firstLineChars="200"/>
        <w:rPr>
          <w:rFonts w:hint="eastAsia"/>
          <w:lang w:val="en-US" w:eastAsia="zh-CN"/>
        </w:rPr>
      </w:pPr>
      <w:r>
        <w:rPr>
          <w:rFonts w:hint="eastAsia"/>
          <w:lang w:val="en-US" w:eastAsia="zh-CN"/>
        </w:rPr>
        <w:t>一、项目信息</w:t>
      </w:r>
    </w:p>
    <w:p>
      <w:pPr>
        <w:pStyle w:val="5"/>
        <w:bidi w:val="0"/>
        <w:spacing w:line="360" w:lineRule="auto"/>
        <w:ind w:firstLine="482"/>
        <w:rPr>
          <w:rFonts w:hint="eastAsia"/>
          <w:lang w:val="en-US" w:eastAsia="zh-CN"/>
        </w:rPr>
      </w:pPr>
      <w:r>
        <w:rPr>
          <w:rFonts w:hint="eastAsia"/>
          <w:lang w:val="en-US" w:eastAsia="zh-CN"/>
        </w:rPr>
        <w:t>（一）项目名称</w:t>
      </w:r>
    </w:p>
    <w:p>
      <w:pPr>
        <w:bidi w:val="0"/>
        <w:spacing w:line="360" w:lineRule="auto"/>
        <w:ind w:firstLine="482"/>
        <w:rPr>
          <w:rFonts w:hint="eastAsia"/>
          <w:lang w:val="en-US" w:eastAsia="zh-CN"/>
        </w:rPr>
      </w:pPr>
      <w:r>
        <w:t>CMMI 3</w:t>
      </w:r>
      <w:r>
        <w:rPr>
          <w:rFonts w:hint="eastAsia"/>
        </w:rPr>
        <w:t>认证评估服务项目</w:t>
      </w:r>
      <w:r>
        <w:rPr>
          <w:rFonts w:hint="eastAsia"/>
          <w:lang w:val="en-US" w:eastAsia="zh-CN"/>
        </w:rPr>
        <w:t>。</w:t>
      </w:r>
    </w:p>
    <w:p>
      <w:pPr>
        <w:pStyle w:val="5"/>
        <w:bidi w:val="0"/>
        <w:spacing w:line="360" w:lineRule="auto"/>
        <w:ind w:firstLine="482"/>
        <w:rPr>
          <w:rFonts w:hint="eastAsia"/>
          <w:lang w:val="en-US" w:eastAsia="zh-CN"/>
        </w:rPr>
      </w:pPr>
      <w:r>
        <w:rPr>
          <w:rFonts w:hint="eastAsia"/>
          <w:lang w:val="en-US" w:eastAsia="zh-CN"/>
        </w:rPr>
        <w:t>（二）比选人</w:t>
      </w:r>
    </w:p>
    <w:p>
      <w:pPr>
        <w:bidi w:val="0"/>
        <w:spacing w:line="360" w:lineRule="auto"/>
        <w:ind w:firstLine="482"/>
        <w:rPr>
          <w:rFonts w:hint="eastAsia"/>
          <w:lang w:val="en-US" w:eastAsia="zh-CN"/>
        </w:rPr>
      </w:pPr>
      <w:r>
        <w:rPr>
          <w:rFonts w:hint="eastAsia"/>
        </w:rPr>
        <w:t>重庆三峡银行股份有限公司</w:t>
      </w:r>
      <w:r>
        <w:rPr>
          <w:rFonts w:hint="eastAsia"/>
          <w:lang w:eastAsia="zh-CN"/>
        </w:rPr>
        <w:t>。</w:t>
      </w:r>
    </w:p>
    <w:p>
      <w:pPr>
        <w:pStyle w:val="5"/>
        <w:bidi w:val="0"/>
        <w:spacing w:line="360" w:lineRule="auto"/>
        <w:ind w:firstLine="482"/>
        <w:rPr>
          <w:rFonts w:hint="eastAsia"/>
          <w:lang w:val="en-US" w:eastAsia="zh-CN"/>
        </w:rPr>
      </w:pPr>
      <w:r>
        <w:rPr>
          <w:rFonts w:hint="eastAsia"/>
          <w:lang w:val="en-US" w:eastAsia="zh-CN"/>
        </w:rPr>
        <w:t>（三）最高限价</w:t>
      </w:r>
    </w:p>
    <w:p>
      <w:pPr>
        <w:bidi w:val="0"/>
        <w:spacing w:line="360" w:lineRule="auto"/>
        <w:ind w:firstLine="482"/>
        <w:rPr>
          <w:rFonts w:hint="eastAsia"/>
          <w:lang w:val="en-US" w:eastAsia="zh-CN"/>
        </w:rPr>
      </w:pPr>
      <w:r>
        <w:rPr>
          <w:rFonts w:hint="eastAsia"/>
          <w:lang w:val="en-US" w:eastAsia="zh-CN"/>
        </w:rPr>
        <w:t>45万元。</w:t>
      </w:r>
    </w:p>
    <w:p>
      <w:pPr>
        <w:pStyle w:val="5"/>
        <w:bidi w:val="0"/>
        <w:spacing w:line="360" w:lineRule="auto"/>
        <w:ind w:firstLine="482"/>
        <w:rPr>
          <w:rFonts w:hint="eastAsia"/>
          <w:lang w:val="en-US" w:eastAsia="zh-CN"/>
        </w:rPr>
      </w:pPr>
      <w:r>
        <w:rPr>
          <w:rFonts w:hint="eastAsia"/>
          <w:lang w:val="en-US" w:eastAsia="zh-CN"/>
        </w:rPr>
        <w:t>（四）项目内容及要求</w:t>
      </w:r>
    </w:p>
    <w:p>
      <w:pPr>
        <w:bidi w:val="0"/>
        <w:spacing w:line="360" w:lineRule="auto"/>
        <w:ind w:firstLine="482"/>
        <w:rPr>
          <w:rFonts w:hint="default"/>
          <w:lang w:val="en-US" w:eastAsia="zh-CN"/>
        </w:rPr>
      </w:pPr>
      <w:r>
        <w:rPr>
          <w:rFonts w:hint="eastAsia"/>
          <w:lang w:val="en-US" w:eastAsia="zh-CN"/>
        </w:rPr>
        <w:t>详见第三章、第四章、第五章内容。</w:t>
      </w:r>
    </w:p>
    <w:p>
      <w:pPr>
        <w:pStyle w:val="4"/>
        <w:bidi w:val="0"/>
        <w:spacing w:line="360" w:lineRule="auto"/>
        <w:ind w:firstLine="482" w:firstLineChars="200"/>
      </w:pPr>
      <w:bookmarkStart w:id="41" w:name="_Toc89675161"/>
      <w:r>
        <w:t>二、参选人</w:t>
      </w:r>
      <w:bookmarkEnd w:id="41"/>
    </w:p>
    <w:p>
      <w:pPr>
        <w:bidi w:val="0"/>
        <w:spacing w:line="360" w:lineRule="auto"/>
        <w:ind w:firstLine="482"/>
      </w:pPr>
      <w:r>
        <w:t>1、合格参选人条件</w:t>
      </w:r>
    </w:p>
    <w:p>
      <w:pPr>
        <w:bidi w:val="0"/>
        <w:spacing w:line="360" w:lineRule="auto"/>
        <w:ind w:firstLine="482"/>
      </w:pPr>
      <w:r>
        <w:t>合格参选人应完全符合比选文件第一章中规定的参选人资格条件，并对比选文件作出实质性响应。</w:t>
      </w:r>
    </w:p>
    <w:p>
      <w:pPr>
        <w:bidi w:val="0"/>
        <w:spacing w:line="360" w:lineRule="auto"/>
        <w:ind w:firstLine="482"/>
      </w:pPr>
      <w:r>
        <w:t>2、参选人的风险</w:t>
      </w:r>
    </w:p>
    <w:p>
      <w:pPr>
        <w:bidi w:val="0"/>
        <w:spacing w:line="360" w:lineRule="auto"/>
        <w:ind w:firstLine="482"/>
      </w:pPr>
      <w:r>
        <w:t>参选人没有按照比选文件要求提供全部资料，或者参选人没有对比选文件在各方面作出实质性响应，可能导致参选被拒绝或评定为无效参选。</w:t>
      </w:r>
    </w:p>
    <w:p>
      <w:pPr>
        <w:spacing w:line="360" w:lineRule="auto"/>
        <w:ind w:firstLine="482" w:firstLineChars="200"/>
        <w:jc w:val="left"/>
        <w:outlineLvl w:val="1"/>
        <w:rPr>
          <w:rFonts w:ascii="Times New Roman" w:hAnsi="Times New Roman" w:cs="Times New Roman"/>
          <w:b/>
          <w:snapToGrid w:val="0"/>
          <w:kern w:val="0"/>
          <w:sz w:val="24"/>
          <w:szCs w:val="24"/>
        </w:rPr>
      </w:pPr>
      <w:bookmarkStart w:id="42" w:name="_Toc89675162"/>
      <w:r>
        <w:rPr>
          <w:rFonts w:ascii="Times New Roman" w:hAnsi="Times New Roman" w:cs="Times New Roman"/>
          <w:b/>
          <w:snapToGrid w:val="0"/>
          <w:kern w:val="0"/>
          <w:sz w:val="24"/>
          <w:szCs w:val="24"/>
        </w:rPr>
        <w:t>三、比选文件</w:t>
      </w:r>
      <w:bookmarkEnd w:id="42"/>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比选文件是参选人编制参选文件的依据，是</w:t>
      </w:r>
      <w:r>
        <w:rPr>
          <w:rFonts w:hint="eastAsia" w:ascii="Times New Roman" w:hAnsi="Times New Roman" w:cs="Times New Roman"/>
          <w:snapToGrid w:val="0"/>
          <w:kern w:val="0"/>
          <w:sz w:val="24"/>
          <w:szCs w:val="24"/>
          <w:lang w:eastAsia="zh-CN"/>
        </w:rPr>
        <w:t>评审</w:t>
      </w:r>
      <w:r>
        <w:rPr>
          <w:rFonts w:ascii="Times New Roman" w:hAnsi="Times New Roman" w:cs="Times New Roman"/>
          <w:snapToGrid w:val="0"/>
          <w:kern w:val="0"/>
          <w:sz w:val="24"/>
          <w:szCs w:val="24"/>
        </w:rPr>
        <w:t>委员会评判依据和标准。比选文件也是比选人与中选人签订合同的基础。</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本行对比选文件所作的一切有效的书面通知、修改及补充，都是比选文件不可分割的部分。</w:t>
      </w:r>
    </w:p>
    <w:p>
      <w:pPr>
        <w:spacing w:line="360" w:lineRule="auto"/>
        <w:ind w:firstLine="482" w:firstLineChars="200"/>
        <w:jc w:val="left"/>
        <w:outlineLvl w:val="1"/>
        <w:rPr>
          <w:rFonts w:ascii="Times New Roman" w:hAnsi="Times New Roman" w:cs="Times New Roman"/>
          <w:b/>
          <w:snapToGrid w:val="0"/>
          <w:kern w:val="0"/>
          <w:sz w:val="24"/>
          <w:szCs w:val="24"/>
        </w:rPr>
      </w:pPr>
      <w:bookmarkStart w:id="43" w:name="_Toc89675163"/>
      <w:r>
        <w:rPr>
          <w:rFonts w:ascii="Times New Roman" w:hAnsi="Times New Roman" w:cs="Times New Roman"/>
          <w:b/>
          <w:snapToGrid w:val="0"/>
          <w:kern w:val="0"/>
          <w:sz w:val="24"/>
          <w:szCs w:val="24"/>
        </w:rPr>
        <w:t>四、参选</w:t>
      </w:r>
      <w:bookmarkEnd w:id="43"/>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参选人应当按照比选文件的要求编制参选文件，并对比选文件提出的要求和条件作出实质性响应。</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（一）参选文件组成</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参选文件参选人所作的一切有效补充、修改和承诺等文件组成，参选人应按照第</w:t>
      </w:r>
      <w:r>
        <w:rPr>
          <w:rFonts w:hint="eastAsia" w:ascii="Times New Roman" w:hAnsi="Times New Roman" w:cs="Times New Roman"/>
          <w:snapToGrid w:val="0"/>
          <w:kern w:val="0"/>
          <w:sz w:val="24"/>
          <w:szCs w:val="24"/>
          <w:lang w:val="en-US" w:eastAsia="zh-CN"/>
        </w:rPr>
        <w:t>八</w:t>
      </w:r>
      <w:r>
        <w:rPr>
          <w:rFonts w:ascii="Times New Roman" w:hAnsi="Times New Roman" w:cs="Times New Roman"/>
          <w:snapToGrid w:val="0"/>
          <w:kern w:val="0"/>
          <w:sz w:val="24"/>
          <w:szCs w:val="24"/>
        </w:rPr>
        <w:t>章“参选文件格式”规定的目录顺序组织编写和装订，否则有可能影响参选人的参选文件响应程度得分。</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（二）联合参选</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本比选项目不接受联合参选</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（三）参选有效期</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参选有效期为参选截止日期后90天内。</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（四）参选保证金</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1、参选人应在参选截止时间前，按比选文件第一章规定向比选人缴纳参选保证金。</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2、参选保证金为参选的有效约束条件。</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w:t>
      </w:r>
      <w:r>
        <w:rPr>
          <w:rFonts w:hint="eastAsia"/>
        </w:rPr>
        <w:t>参选保证金有效期与参选文件有效期一致</w:t>
      </w:r>
      <w:r>
        <w:rPr>
          <w:rFonts w:ascii="Times New Roman" w:hAnsi="Times New Roman" w:cs="Times New Roman"/>
          <w:snapToGrid w:val="0"/>
          <w:kern w:val="0"/>
          <w:sz w:val="24"/>
          <w:szCs w:val="24"/>
        </w:rPr>
        <w:t>。</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4、参选保证金币种应与参选报价币种相同。</w:t>
      </w:r>
    </w:p>
    <w:p>
      <w:pPr>
        <w:snapToGrid w:val="0"/>
        <w:spacing w:line="360" w:lineRule="auto"/>
        <w:ind w:firstLine="480" w:firstLineChars="200"/>
        <w:rPr>
          <w:rFonts w:ascii="宋体"/>
          <w:snapToGrid w:val="0"/>
          <w:kern w:val="0"/>
          <w:sz w:val="24"/>
          <w:szCs w:val="24"/>
        </w:rPr>
      </w:pPr>
      <w:r>
        <w:rPr>
          <w:rFonts w:hint="eastAsia" w:ascii="宋体"/>
          <w:snapToGrid w:val="0"/>
          <w:kern w:val="0"/>
          <w:sz w:val="24"/>
          <w:szCs w:val="24"/>
        </w:rPr>
        <w:t>5、参选保证金的退还</w:t>
      </w:r>
    </w:p>
    <w:p>
      <w:pPr>
        <w:snapToGrid w:val="0"/>
        <w:spacing w:line="360" w:lineRule="auto"/>
        <w:ind w:firstLine="480" w:firstLineChars="200"/>
        <w:rPr>
          <w:rFonts w:ascii="宋体"/>
          <w:snapToGrid w:val="0"/>
          <w:kern w:val="0"/>
          <w:sz w:val="24"/>
          <w:szCs w:val="24"/>
        </w:rPr>
      </w:pPr>
      <w:r>
        <w:rPr>
          <w:rFonts w:hint="eastAsia" w:ascii="宋体"/>
          <w:snapToGrid w:val="0"/>
          <w:kern w:val="0"/>
          <w:sz w:val="24"/>
          <w:szCs w:val="24"/>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pPr>
        <w:snapToGrid w:val="0"/>
        <w:spacing w:line="360" w:lineRule="auto"/>
        <w:ind w:firstLine="480" w:firstLineChars="200"/>
        <w:rPr>
          <w:rFonts w:ascii="宋体"/>
          <w:snapToGrid w:val="0"/>
          <w:kern w:val="0"/>
          <w:sz w:val="24"/>
          <w:szCs w:val="24"/>
        </w:rPr>
      </w:pPr>
      <w:r>
        <w:rPr>
          <w:rFonts w:hint="eastAsia" w:ascii="宋体"/>
          <w:snapToGrid w:val="0"/>
          <w:kern w:val="0"/>
          <w:sz w:val="24"/>
          <w:szCs w:val="24"/>
        </w:rPr>
        <w:t>比选人在合同生效后2个工作日内将签订的合同和保证金退还通知抄告重庆市公共资源交易中心，重庆市公共资源交易中心在收到保证金退还通知后2个工作日内，向中选人和中选候选人退还参选保证金。</w:t>
      </w:r>
    </w:p>
    <w:p>
      <w:pPr>
        <w:snapToGrid w:val="0"/>
        <w:spacing w:line="360" w:lineRule="auto"/>
        <w:ind w:firstLine="480" w:firstLineChars="200"/>
        <w:rPr>
          <w:rFonts w:ascii="宋体" w:hAnsi="宋体"/>
          <w:snapToGrid w:val="0"/>
          <w:kern w:val="0"/>
          <w:sz w:val="24"/>
          <w:szCs w:val="24"/>
        </w:rPr>
      </w:pPr>
      <w:r>
        <w:rPr>
          <w:rFonts w:hint="eastAsia" w:ascii="宋体"/>
          <w:snapToGrid w:val="0"/>
          <w:kern w:val="0"/>
          <w:sz w:val="24"/>
          <w:szCs w:val="24"/>
        </w:rPr>
        <w:t>参选保证金专用账户由重庆市公共资源交易中心制定，关于保证金相关情况的问题请咨询重庆市公共资源交易中心，联系电话023-63621694。</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6、参选人有下列情形之一的，参选保证金将不予退还：</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（1）参选人在参选有效期内撤回参选文件的；</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（2）参选人在参选过程中弄虚作假，提供虚假材料的；</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（3）中选人无正当理由不与比选人签订合同的；</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（4）中选人将中选项目转让给他人或者在参选文件中未说明且未经比选单位同意，将中选项目分包给他人的；</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（5）中选人拒绝履行合同义务的；</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（6）其他严重扰乱比选程序的；</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（五）参选文件的份数和签署</w:t>
      </w:r>
    </w:p>
    <w:p>
      <w:pPr>
        <w:bidi w:val="0"/>
        <w:spacing w:line="360" w:lineRule="auto"/>
        <w:ind w:firstLine="482"/>
      </w:pPr>
      <w:r>
        <w:rPr>
          <w:rFonts w:hint="eastAsia"/>
        </w:rPr>
        <w:t>1、参选文件一式三份，其中正本一份，副本一份，电子文件一份（光盘或U盘），正本和副本的封面上应清楚地标记“正本”或“副本”的字样，副本可为正本的复印件，当副本和正本不一致时，以纸质正本为准。电子文件</w:t>
      </w:r>
      <w:r>
        <w:rPr>
          <w:rFonts w:hint="eastAsia"/>
          <w:lang w:val="en-US" w:eastAsia="zh-CN"/>
        </w:rPr>
        <w:t>单独</w:t>
      </w:r>
      <w:r>
        <w:rPr>
          <w:rFonts w:hint="eastAsia"/>
        </w:rPr>
        <w:t>装入信封中</w:t>
      </w:r>
      <w:r>
        <w:rPr>
          <w:rFonts w:hint="eastAsia"/>
          <w:lang w:val="en-US" w:eastAsia="zh-CN"/>
        </w:rPr>
        <w:t>密封，并在信封</w:t>
      </w:r>
      <w:r>
        <w:rPr>
          <w:rFonts w:hint="eastAsia"/>
        </w:rPr>
        <w:t>表面加盖鲜章（公章）。</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2、参选文件正本中，每一页均应由参选人加盖公章，其中规定格式的文件应当按要求签名和加盖参选人公章。</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3、若参选人对参选文件的错处作必要修改，则应在修改处加盖参选人公章或由法人或法人授权代表签字确认。</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4、电报、电话、传真形式的参选文件概不接受。</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（六）参选报价</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1、参选人应严格按照“参选文件格式”填写报价。</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2、参选人的报价为一次性报价，即在参选有效期内参选价格固定不变。</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3、本项目只接受一个参选报价，有选择的或有条件的参选将不予接受。</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（七）修正错误</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若参选文件出现计算或表达上的错误，修正错误的原则如下：</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1、报价一览表总价与参选报价明细表汇总数不一致的，以报价一览表为准；</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2、参选文件的大写金额和小写金额不一致的，以大写金额为准；</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3、总价金额与按单价汇总金额不一致的，以单价金额计算结果为准；</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4、单价金额小数点有明显错位的，应以总价为准，并修正单价；</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5、对不同文字文本参选文件的解释发生异议的，以中文文本为准。</w:t>
      </w:r>
    </w:p>
    <w:p>
      <w:pPr>
        <w:snapToGrid w:val="0"/>
        <w:spacing w:line="360" w:lineRule="auto"/>
        <w:ind w:firstLine="480" w:firstLineChars="200"/>
        <w:rPr>
          <w:rFonts w:ascii="Times New Roman" w:hAnsi="Times New Roman" w:cs="Times New Roman"/>
          <w:snapToGrid w:val="0"/>
          <w:kern w:val="0"/>
          <w:sz w:val="24"/>
          <w:szCs w:val="24"/>
        </w:rPr>
      </w:pPr>
      <w:r>
        <w:rPr>
          <w:rFonts w:hint="eastAsia" w:ascii="Times New Roman" w:hAnsi="Times New Roman" w:cs="Times New Roman"/>
          <w:snapToGrid w:val="0"/>
          <w:kern w:val="0"/>
          <w:sz w:val="24"/>
          <w:szCs w:val="24"/>
          <w:lang w:eastAsia="zh-CN"/>
        </w:rPr>
        <w:t>评审</w:t>
      </w:r>
      <w:r>
        <w:rPr>
          <w:rFonts w:ascii="Times New Roman" w:hAnsi="Times New Roman" w:cs="Times New Roman"/>
          <w:snapToGrid w:val="0"/>
          <w:kern w:val="0"/>
          <w:sz w:val="24"/>
          <w:szCs w:val="24"/>
        </w:rPr>
        <w:t>委员会按上述修正错误的原则及方法调整或修正参选人参选报价，参选人同意并签字确认后，调整后的参选报价对参选人具有约束作用。如果参选人不接受修正后的报价，则其参选将作为无效参选处理。</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（八）参选文件的递交</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1、参选文件的密封与标记</w:t>
      </w:r>
    </w:p>
    <w:p>
      <w:pPr>
        <w:bidi w:val="0"/>
        <w:spacing w:line="360" w:lineRule="auto"/>
        <w:ind w:firstLine="482"/>
        <w:rPr>
          <w:rFonts w:hint="eastAsia"/>
        </w:rPr>
      </w:pPr>
      <w:r>
        <w:rPr>
          <w:rFonts w:hint="eastAsia"/>
        </w:rPr>
        <w:t>参选文件的正本、副本、电子文件装入一个文件大袋进行密封。密封袋上注明项目名称、参选人名称及“不准提前启封”字样。信封的封口须加盖参选人公章或授权代表签字。</w:t>
      </w:r>
    </w:p>
    <w:p>
      <w:pPr>
        <w:autoSpaceDE w:val="0"/>
        <w:autoSpaceDN w:val="0"/>
        <w:spacing w:line="360" w:lineRule="auto"/>
        <w:ind w:firstLine="480" w:firstLineChars="200"/>
        <w:jc w:val="left"/>
        <w:rPr>
          <w:rFonts w:ascii="Times New Roman" w:hAnsi="Times New Roman" w:cs="Times New Roman"/>
          <w:snapToGrid w:val="0"/>
          <w:kern w:val="0"/>
          <w:sz w:val="24"/>
          <w:szCs w:val="24"/>
        </w:rPr>
      </w:pPr>
      <w:r>
        <w:rPr>
          <w:rFonts w:ascii="Times New Roman" w:hAnsi="Times New Roman" w:cs="Times New Roman"/>
          <w:sz w:val="24"/>
          <w:szCs w:val="24"/>
        </w:rPr>
        <w:t>如果未按上述规定进行密封和标记，则其</w:t>
      </w:r>
      <w:r>
        <w:rPr>
          <w:rFonts w:ascii="Times New Roman" w:hAnsi="Times New Roman" w:cs="Times New Roman"/>
          <w:snapToGrid w:val="0"/>
          <w:kern w:val="0"/>
          <w:sz w:val="24"/>
          <w:szCs w:val="24"/>
        </w:rPr>
        <w:t>参选</w:t>
      </w:r>
      <w:r>
        <w:rPr>
          <w:rFonts w:ascii="Times New Roman" w:hAnsi="Times New Roman" w:cs="Times New Roman"/>
          <w:sz w:val="24"/>
          <w:szCs w:val="24"/>
        </w:rPr>
        <w:t>将作为无效</w:t>
      </w:r>
      <w:r>
        <w:rPr>
          <w:rFonts w:ascii="Times New Roman" w:hAnsi="Times New Roman" w:cs="Times New Roman"/>
          <w:snapToGrid w:val="0"/>
          <w:kern w:val="0"/>
          <w:sz w:val="24"/>
          <w:szCs w:val="24"/>
        </w:rPr>
        <w:t>参选</w:t>
      </w:r>
      <w:r>
        <w:rPr>
          <w:rFonts w:ascii="Times New Roman" w:hAnsi="Times New Roman" w:cs="Times New Roman"/>
          <w:sz w:val="24"/>
          <w:szCs w:val="24"/>
        </w:rPr>
        <w:t>处理。</w:t>
      </w:r>
    </w:p>
    <w:p>
      <w:pPr>
        <w:pStyle w:val="4"/>
        <w:tabs>
          <w:tab w:val="left" w:pos="3828"/>
        </w:tabs>
        <w:spacing w:line="360" w:lineRule="auto"/>
        <w:ind w:firstLine="482" w:firstLineChars="200"/>
        <w:rPr>
          <w:rFonts w:cs="Cambria"/>
          <w:bCs w:val="0"/>
          <w:snapToGrid/>
        </w:rPr>
      </w:pPr>
      <w:bookmarkStart w:id="44" w:name="_Toc89675164"/>
      <w:bookmarkStart w:id="45" w:name="_Toc89675166"/>
      <w:r>
        <w:rPr>
          <w:rFonts w:hint="eastAsia" w:cs="Cambria"/>
          <w:bCs w:val="0"/>
          <w:snapToGrid/>
        </w:rPr>
        <w:t>五、</w:t>
      </w:r>
      <w:bookmarkEnd w:id="44"/>
      <w:r>
        <w:rPr>
          <w:rFonts w:hint="eastAsia" w:cs="Cambria"/>
          <w:bCs w:val="0"/>
          <w:snapToGrid/>
        </w:rPr>
        <w:t>比选程序</w:t>
      </w:r>
    </w:p>
    <w:p>
      <w:pPr>
        <w:snapToGrid w:val="0"/>
        <w:spacing w:line="360" w:lineRule="auto"/>
        <w:ind w:firstLine="480" w:firstLineChars="200"/>
        <w:rPr>
          <w:rFonts w:ascii="宋体"/>
          <w:snapToGrid w:val="0"/>
          <w:kern w:val="0"/>
          <w:sz w:val="24"/>
          <w:szCs w:val="24"/>
        </w:rPr>
      </w:pPr>
      <w:r>
        <w:rPr>
          <w:rFonts w:hint="eastAsia" w:ascii="宋体"/>
          <w:snapToGrid w:val="0"/>
          <w:kern w:val="0"/>
          <w:sz w:val="24"/>
          <w:szCs w:val="24"/>
        </w:rPr>
        <w:t>主持人按下列程序进行比选：</w:t>
      </w:r>
    </w:p>
    <w:p>
      <w:pPr>
        <w:bidi w:val="0"/>
        <w:spacing w:line="360" w:lineRule="auto"/>
        <w:ind w:firstLine="482"/>
        <w:rPr>
          <w:rFonts w:hint="eastAsia"/>
        </w:rPr>
      </w:pPr>
      <w:r>
        <w:rPr>
          <w:rFonts w:hint="eastAsia"/>
        </w:rPr>
        <w:t>1. 宣布比选纪律；</w:t>
      </w:r>
    </w:p>
    <w:p>
      <w:pPr>
        <w:bidi w:val="0"/>
        <w:spacing w:line="360" w:lineRule="auto"/>
        <w:ind w:firstLine="482"/>
        <w:rPr>
          <w:rFonts w:hint="eastAsia"/>
        </w:rPr>
      </w:pPr>
      <w:r>
        <w:rPr>
          <w:rFonts w:hint="eastAsia"/>
        </w:rPr>
        <w:t>2. 宣布比选人、唱标人、记录人、</w:t>
      </w:r>
      <w:r>
        <w:rPr>
          <w:rFonts w:hint="eastAsia"/>
          <w:lang w:val="en-US" w:eastAsia="zh-CN"/>
        </w:rPr>
        <w:t>监督</w:t>
      </w:r>
      <w:r>
        <w:rPr>
          <w:rFonts w:hint="eastAsia"/>
        </w:rPr>
        <w:t>人等有关人员姓名；</w:t>
      </w:r>
    </w:p>
    <w:p>
      <w:pPr>
        <w:bidi w:val="0"/>
        <w:spacing w:line="360" w:lineRule="auto"/>
        <w:ind w:firstLine="482"/>
        <w:rPr>
          <w:rFonts w:hint="eastAsia"/>
        </w:rPr>
      </w:pPr>
      <w:r>
        <w:rPr>
          <w:rFonts w:hint="eastAsia"/>
        </w:rPr>
        <w:t>3. 公布在比选截止时间前递交参选文件的参选人名称，并点名确认参选人是否派人到场；</w:t>
      </w:r>
    </w:p>
    <w:p>
      <w:pPr>
        <w:bidi w:val="0"/>
        <w:spacing w:line="360" w:lineRule="auto"/>
        <w:ind w:firstLine="482"/>
        <w:rPr>
          <w:rFonts w:hint="eastAsia"/>
        </w:rPr>
      </w:pPr>
      <w:r>
        <w:rPr>
          <w:rFonts w:hint="eastAsia"/>
        </w:rPr>
        <w:t>4. 展示参选保证金，参选保证金缴款不全或有误的，则记录在案交由评审委员会评审；</w:t>
      </w:r>
    </w:p>
    <w:p>
      <w:pPr>
        <w:bidi w:val="0"/>
        <w:spacing w:line="360" w:lineRule="auto"/>
        <w:ind w:firstLine="482"/>
        <w:rPr>
          <w:rFonts w:hint="eastAsia"/>
        </w:rPr>
      </w:pPr>
      <w:r>
        <w:rPr>
          <w:rFonts w:hint="eastAsia"/>
        </w:rPr>
        <w:t>5. 封装情况检查：参选人或者其推选的代表检查各参选文件的封装情况并确认；</w:t>
      </w:r>
    </w:p>
    <w:p>
      <w:pPr>
        <w:bidi w:val="0"/>
        <w:spacing w:line="360" w:lineRule="auto"/>
        <w:ind w:firstLine="482"/>
        <w:rPr>
          <w:rFonts w:hint="eastAsia"/>
        </w:rPr>
      </w:pPr>
      <w:r>
        <w:rPr>
          <w:rFonts w:hint="eastAsia"/>
        </w:rPr>
        <w:t>6. 设有最高限价的，公布最高限价；</w:t>
      </w:r>
    </w:p>
    <w:p>
      <w:pPr>
        <w:bidi w:val="0"/>
        <w:spacing w:line="360" w:lineRule="auto"/>
        <w:ind w:firstLine="482"/>
        <w:rPr>
          <w:rFonts w:hint="eastAsia"/>
        </w:rPr>
      </w:pPr>
      <w:r>
        <w:rPr>
          <w:rFonts w:hint="eastAsia"/>
        </w:rPr>
        <w:t>7. 开启参选文件；</w:t>
      </w:r>
    </w:p>
    <w:p>
      <w:pPr>
        <w:bidi w:val="0"/>
        <w:spacing w:line="360" w:lineRule="auto"/>
        <w:ind w:firstLine="482"/>
        <w:rPr>
          <w:rFonts w:hint="eastAsia"/>
        </w:rPr>
      </w:pPr>
      <w:r>
        <w:rPr>
          <w:rFonts w:hint="eastAsia"/>
        </w:rPr>
        <w:t xml:space="preserve">8. </w:t>
      </w:r>
      <w:r>
        <w:rPr>
          <w:rFonts w:hint="eastAsia"/>
          <w:lang w:val="en-US" w:eastAsia="zh-CN"/>
        </w:rPr>
        <w:t>比</w:t>
      </w:r>
      <w:r>
        <w:rPr>
          <w:rFonts w:hint="eastAsia"/>
        </w:rPr>
        <w:t>选人代表、参选人代表、</w:t>
      </w:r>
      <w:r>
        <w:rPr>
          <w:rFonts w:hint="eastAsia"/>
          <w:lang w:val="en-US" w:eastAsia="zh-CN"/>
        </w:rPr>
        <w:t>监督</w:t>
      </w:r>
      <w:r>
        <w:rPr>
          <w:rFonts w:hint="eastAsia"/>
        </w:rPr>
        <w:t>人、记录人等有关人员在比选记录上签字确认；</w:t>
      </w:r>
    </w:p>
    <w:p>
      <w:pPr>
        <w:bidi w:val="0"/>
        <w:spacing w:line="360" w:lineRule="auto"/>
        <w:ind w:firstLine="482"/>
        <w:rPr>
          <w:rFonts w:hint="eastAsia"/>
        </w:rPr>
      </w:pPr>
      <w:r>
        <w:rPr>
          <w:rFonts w:hint="eastAsia"/>
        </w:rPr>
        <w:t>9. 比选结束。</w:t>
      </w:r>
    </w:p>
    <w:p>
      <w:pPr>
        <w:pStyle w:val="4"/>
        <w:tabs>
          <w:tab w:val="left" w:pos="3828"/>
        </w:tabs>
        <w:spacing w:line="360" w:lineRule="auto"/>
        <w:ind w:firstLine="482" w:firstLineChars="200"/>
        <w:rPr>
          <w:rFonts w:cs="Cambria"/>
          <w:bCs w:val="0"/>
          <w:snapToGrid/>
        </w:rPr>
      </w:pPr>
      <w:bookmarkStart w:id="46" w:name="_Toc89675165"/>
      <w:r>
        <w:rPr>
          <w:rFonts w:hint="eastAsia" w:cs="Cambria"/>
          <w:bCs w:val="0"/>
          <w:snapToGrid/>
        </w:rPr>
        <w:t>六、</w:t>
      </w:r>
      <w:bookmarkEnd w:id="46"/>
      <w:r>
        <w:rPr>
          <w:rFonts w:hint="eastAsia" w:cs="Cambria"/>
          <w:bCs w:val="0"/>
          <w:snapToGrid/>
        </w:rPr>
        <w:t>评审</w:t>
      </w:r>
    </w:p>
    <w:p>
      <w:pPr>
        <w:snapToGrid w:val="0"/>
        <w:spacing w:line="360" w:lineRule="auto"/>
        <w:ind w:firstLine="480" w:firstLineChars="200"/>
        <w:rPr>
          <w:rFonts w:ascii="宋体"/>
          <w:snapToGrid w:val="0"/>
          <w:kern w:val="0"/>
          <w:sz w:val="24"/>
          <w:szCs w:val="24"/>
        </w:rPr>
      </w:pPr>
      <w:r>
        <w:rPr>
          <w:rFonts w:hint="eastAsia" w:ascii="宋体"/>
          <w:snapToGrid w:val="0"/>
          <w:kern w:val="0"/>
          <w:sz w:val="24"/>
          <w:szCs w:val="24"/>
        </w:rPr>
        <w:t>见第六章内容。</w:t>
      </w:r>
    </w:p>
    <w:p>
      <w:pPr>
        <w:spacing w:line="360" w:lineRule="auto"/>
        <w:ind w:firstLine="482" w:firstLineChars="200"/>
        <w:jc w:val="left"/>
        <w:outlineLvl w:val="1"/>
        <w:rPr>
          <w:rFonts w:ascii="Times New Roman" w:hAnsi="Times New Roman" w:cs="Times New Roman"/>
          <w:b/>
          <w:snapToGrid w:val="0"/>
          <w:kern w:val="0"/>
          <w:sz w:val="24"/>
          <w:szCs w:val="24"/>
        </w:rPr>
      </w:pPr>
      <w:r>
        <w:rPr>
          <w:rFonts w:ascii="Times New Roman" w:hAnsi="Times New Roman" w:cs="Times New Roman"/>
          <w:b/>
          <w:snapToGrid w:val="0"/>
          <w:kern w:val="0"/>
          <w:sz w:val="24"/>
          <w:szCs w:val="24"/>
        </w:rPr>
        <w:t>七、定选</w:t>
      </w:r>
      <w:bookmarkEnd w:id="45"/>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1、定选原则</w:t>
      </w:r>
    </w:p>
    <w:p>
      <w:pPr>
        <w:bidi w:val="0"/>
        <w:spacing w:line="360" w:lineRule="auto"/>
        <w:ind w:firstLine="482"/>
      </w:pPr>
      <w:r>
        <w:rPr>
          <w:rFonts w:hint="eastAsia"/>
        </w:rPr>
        <w:t>比选人按照</w:t>
      </w:r>
      <w:r>
        <w:rPr>
          <w:rFonts w:hint="eastAsia"/>
          <w:lang w:eastAsia="zh-CN"/>
        </w:rPr>
        <w:t>评审</w:t>
      </w:r>
      <w:r>
        <w:rPr>
          <w:rFonts w:hint="eastAsia"/>
        </w:rPr>
        <w:t>报告中推荐的中选候选人排名顺序确定中选人，如中选人因不可抗力或者自身原因不能履行合同的，比选人可以确定依次其后的候选人为中选人，以此类推。</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2、不承诺最低价格中选。</w:t>
      </w:r>
    </w:p>
    <w:p>
      <w:pPr>
        <w:snapToGrid w:val="0"/>
        <w:spacing w:line="360" w:lineRule="auto"/>
        <w:ind w:firstLine="480" w:firstLineChars="200"/>
        <w:rPr>
          <w:rFonts w:ascii="Times New Roman" w:hAnsi="Times New Roman" w:cs="Times New Roman"/>
          <w:snapToGrid w:val="0"/>
          <w:kern w:val="0"/>
          <w:sz w:val="24"/>
          <w:szCs w:val="24"/>
        </w:rPr>
      </w:pPr>
      <w:r>
        <w:rPr>
          <w:rFonts w:hint="eastAsia" w:ascii="宋体" w:hAnsi="宋体"/>
          <w:snapToGrid w:val="0"/>
          <w:kern w:val="0"/>
          <w:sz w:val="24"/>
          <w:szCs w:val="24"/>
        </w:rPr>
        <w:t>3、若</w:t>
      </w:r>
      <w:r>
        <w:rPr>
          <w:rFonts w:hint="eastAsia" w:ascii="宋体"/>
          <w:snapToGrid w:val="0"/>
          <w:kern w:val="0"/>
          <w:sz w:val="24"/>
          <w:szCs w:val="24"/>
        </w:rPr>
        <w:t>中选人参选材料出现造假、不实等与实际查询结果不符或无故弃选的情况，比选人有权选择重新比选或顺延下一中选候选人，由此带来的损失比选人有权通过没收参选保证金等方式进行追溯。</w:t>
      </w:r>
    </w:p>
    <w:p>
      <w:pPr>
        <w:spacing w:line="360" w:lineRule="auto"/>
        <w:ind w:firstLine="482" w:firstLineChars="200"/>
        <w:jc w:val="left"/>
        <w:outlineLvl w:val="1"/>
        <w:rPr>
          <w:rFonts w:ascii="Times New Roman" w:hAnsi="Times New Roman" w:cs="Times New Roman"/>
          <w:b/>
          <w:snapToGrid w:val="0"/>
          <w:kern w:val="0"/>
          <w:sz w:val="24"/>
          <w:szCs w:val="24"/>
        </w:rPr>
      </w:pPr>
      <w:bookmarkStart w:id="47" w:name="_Toc89675168"/>
      <w:bookmarkStart w:id="48" w:name="_Toc12245"/>
      <w:r>
        <w:rPr>
          <w:rFonts w:ascii="Times New Roman" w:hAnsi="Times New Roman" w:cs="Times New Roman"/>
          <w:b/>
          <w:snapToGrid w:val="0"/>
          <w:kern w:val="0"/>
          <w:sz w:val="24"/>
          <w:szCs w:val="24"/>
        </w:rPr>
        <w:t>八、签订合同</w:t>
      </w:r>
      <w:bookmarkEnd w:id="47"/>
      <w:bookmarkEnd w:id="48"/>
    </w:p>
    <w:p>
      <w:pPr>
        <w:bidi w:val="0"/>
        <w:spacing w:line="360" w:lineRule="auto"/>
        <w:ind w:firstLine="482"/>
        <w:rPr>
          <w:rFonts w:hint="eastAsia"/>
        </w:rPr>
      </w:pPr>
      <w:r>
        <w:rPr>
          <w:rFonts w:hint="eastAsia"/>
        </w:rPr>
        <w:t>1.比选人指定的使用单位将在自中选通知发出之日起，按照比选人内部流程与中选人签订书面合同。所签订的合同不得对比选文件和中选人参选文件作实质性修改。</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2.比选文件、中选人的参选文件及澄清文件等，均为签订合同的依据。</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3.合同生效条款由供需双方约定，法律、行政法规规定应当办理批准、登记等手续后生效的合同，依照其规定。</w:t>
      </w:r>
    </w:p>
    <w:p>
      <w:pPr>
        <w:bidi w:val="0"/>
        <w:spacing w:line="360" w:lineRule="auto"/>
        <w:ind w:firstLine="482"/>
      </w:pPr>
      <w:r>
        <w:rPr>
          <w:rFonts w:hint="eastAsia"/>
        </w:rPr>
        <w:t>4.签订合同后，若中选人无法按要求履约，比选人可以废除中选人资格，并可选择按照中选候选人顺位与</w:t>
      </w:r>
      <w:r>
        <w:rPr>
          <w:rFonts w:hint="eastAsia"/>
          <w:lang w:val="en-US" w:eastAsia="zh-CN"/>
        </w:rPr>
        <w:t>下一</w:t>
      </w:r>
      <w:r>
        <w:rPr>
          <w:rFonts w:hint="eastAsia"/>
        </w:rPr>
        <w:t>候选人签订合同。</w:t>
      </w:r>
    </w:p>
    <w:p>
      <w:pPr>
        <w:pStyle w:val="4"/>
        <w:bidi w:val="0"/>
        <w:spacing w:line="360" w:lineRule="auto"/>
        <w:ind w:firstLine="482" w:firstLineChars="200"/>
      </w:pPr>
      <w:r>
        <w:rPr>
          <w:rFonts w:hint="eastAsia"/>
        </w:rPr>
        <w:t>九、纪律与要求</w:t>
      </w:r>
    </w:p>
    <w:p>
      <w:pPr>
        <w:bidi w:val="0"/>
        <w:spacing w:line="360" w:lineRule="auto"/>
        <w:ind w:firstLine="482"/>
      </w:pPr>
      <w:r>
        <w:rPr>
          <w:rFonts w:hint="eastAsia"/>
        </w:rPr>
        <w:t>参选人不得相互串通参选或者与比选人串通参选，不得向比选人行贿谋取中选，不得以他人名义参选或者以其他方式弄虚作假骗取中选；参选人不得以任何方式干扰、影响评</w:t>
      </w:r>
      <w:r>
        <w:rPr>
          <w:rFonts w:hint="eastAsia"/>
          <w:lang w:val="en-US" w:eastAsia="zh-CN"/>
        </w:rPr>
        <w:t>审</w:t>
      </w:r>
      <w:r>
        <w:rPr>
          <w:rFonts w:hint="eastAsia"/>
        </w:rPr>
        <w:t>工作。</w:t>
      </w:r>
    </w:p>
    <w:p>
      <w:pPr>
        <w:bidi w:val="0"/>
        <w:spacing w:line="360" w:lineRule="auto"/>
        <w:ind w:firstLine="482"/>
      </w:pPr>
      <w:r>
        <w:rPr>
          <w:rFonts w:hint="eastAsia"/>
        </w:rPr>
        <w:t>1、有下列情形之一的，属于参选人相互串通参选：</w:t>
      </w:r>
    </w:p>
    <w:p>
      <w:pPr>
        <w:bidi w:val="0"/>
        <w:spacing w:line="360" w:lineRule="auto"/>
        <w:ind w:firstLine="482"/>
      </w:pPr>
      <w:r>
        <w:rPr>
          <w:rFonts w:hint="eastAsia"/>
        </w:rPr>
        <w:t>（1）参选人之间协商参选报价等参选文件的实质性内容；</w:t>
      </w:r>
    </w:p>
    <w:p>
      <w:pPr>
        <w:bidi w:val="0"/>
        <w:spacing w:line="360" w:lineRule="auto"/>
        <w:ind w:firstLine="482"/>
      </w:pPr>
      <w:r>
        <w:rPr>
          <w:rFonts w:hint="eastAsia"/>
        </w:rPr>
        <w:t>（2）参选人之间约定中选人；</w:t>
      </w:r>
    </w:p>
    <w:p>
      <w:pPr>
        <w:bidi w:val="0"/>
        <w:spacing w:line="360" w:lineRule="auto"/>
        <w:ind w:firstLine="482"/>
      </w:pPr>
      <w:r>
        <w:rPr>
          <w:rFonts w:hint="eastAsia"/>
        </w:rPr>
        <w:t>（3）参选人之间约定部分参选人放弃参选或者中选；</w:t>
      </w:r>
    </w:p>
    <w:p>
      <w:pPr>
        <w:bidi w:val="0"/>
        <w:spacing w:line="360" w:lineRule="auto"/>
        <w:ind w:firstLine="482"/>
      </w:pPr>
      <w:r>
        <w:rPr>
          <w:rFonts w:hint="eastAsia"/>
        </w:rPr>
        <w:t>（4）属于同一集团、协会、商会等组织成员的参选人按照该组织要求协同参选；</w:t>
      </w:r>
    </w:p>
    <w:p>
      <w:pPr>
        <w:bidi w:val="0"/>
        <w:spacing w:line="360" w:lineRule="auto"/>
        <w:ind w:firstLine="482"/>
      </w:pPr>
      <w:r>
        <w:rPr>
          <w:rFonts w:hint="eastAsia"/>
        </w:rPr>
        <w:t>（5）参选人之间为谋取中选或者排斥特定参选人而采取的其他联合行动。</w:t>
      </w:r>
    </w:p>
    <w:p>
      <w:pPr>
        <w:bidi w:val="0"/>
        <w:spacing w:line="360" w:lineRule="auto"/>
        <w:ind w:firstLine="482"/>
      </w:pPr>
      <w:r>
        <w:rPr>
          <w:rFonts w:hint="eastAsia"/>
        </w:rPr>
        <w:t>2、有下列情形之一的，视为参选人相互串通参选：</w:t>
      </w:r>
    </w:p>
    <w:p>
      <w:pPr>
        <w:bidi w:val="0"/>
        <w:spacing w:line="360" w:lineRule="auto"/>
        <w:ind w:firstLine="482"/>
      </w:pPr>
      <w:r>
        <w:rPr>
          <w:rFonts w:hint="eastAsia"/>
        </w:rPr>
        <w:t>（1）不同参选人的参选文件由同一单位或者个人编制；</w:t>
      </w:r>
    </w:p>
    <w:p>
      <w:pPr>
        <w:bidi w:val="0"/>
        <w:spacing w:line="360" w:lineRule="auto"/>
        <w:ind w:firstLine="482"/>
      </w:pPr>
      <w:r>
        <w:rPr>
          <w:rFonts w:hint="eastAsia"/>
        </w:rPr>
        <w:t>（2）不同参选人委托同一单位或者个人办理参选事宜；</w:t>
      </w:r>
    </w:p>
    <w:p>
      <w:pPr>
        <w:bidi w:val="0"/>
        <w:spacing w:line="360" w:lineRule="auto"/>
        <w:ind w:firstLine="482"/>
      </w:pPr>
      <w:r>
        <w:rPr>
          <w:rFonts w:hint="eastAsia"/>
        </w:rPr>
        <w:t>（3）不同参选人的参选文件载明的项目管理成员为同一人；</w:t>
      </w:r>
    </w:p>
    <w:p>
      <w:pPr>
        <w:bidi w:val="0"/>
        <w:spacing w:line="360" w:lineRule="auto"/>
        <w:ind w:firstLine="482"/>
      </w:pPr>
      <w:r>
        <w:rPr>
          <w:rFonts w:hint="eastAsia"/>
        </w:rPr>
        <w:t>（</w:t>
      </w:r>
      <w:r>
        <w:rPr>
          <w:rFonts w:hint="eastAsia"/>
          <w:lang w:val="en-US" w:eastAsia="zh-CN"/>
        </w:rPr>
        <w:t>4</w:t>
      </w:r>
      <w:r>
        <w:rPr>
          <w:rFonts w:hint="eastAsia"/>
        </w:rPr>
        <w:t>）不同参选人的参选文件相互混装；</w:t>
      </w:r>
    </w:p>
    <w:p>
      <w:pPr>
        <w:bidi w:val="0"/>
        <w:spacing w:line="360" w:lineRule="auto"/>
        <w:ind w:firstLine="482"/>
      </w:pPr>
      <w:r>
        <w:rPr>
          <w:rFonts w:hint="eastAsia"/>
        </w:rPr>
        <w:t>（</w:t>
      </w:r>
      <w:r>
        <w:rPr>
          <w:rFonts w:hint="eastAsia"/>
          <w:lang w:val="en-US" w:eastAsia="zh-CN"/>
        </w:rPr>
        <w:t>5</w:t>
      </w:r>
      <w:r>
        <w:rPr>
          <w:rFonts w:hint="eastAsia"/>
        </w:rPr>
        <w:t>）不同参选人的参选保证金从同一单位或者个人的账户转出。</w:t>
      </w:r>
    </w:p>
    <w:p>
      <w:pPr>
        <w:bidi w:val="0"/>
        <w:spacing w:line="360" w:lineRule="auto"/>
        <w:ind w:firstLine="482"/>
      </w:pPr>
      <w:r>
        <w:rPr>
          <w:rFonts w:hint="eastAsia"/>
        </w:rPr>
        <w:t>3、使用通过受让或者租借等方式获取的资格、资质证书参选的，属于以他人名义参选。</w:t>
      </w:r>
    </w:p>
    <w:p>
      <w:pPr>
        <w:bidi w:val="0"/>
        <w:spacing w:line="360" w:lineRule="auto"/>
        <w:ind w:firstLine="482"/>
      </w:pPr>
      <w:r>
        <w:rPr>
          <w:rFonts w:hint="eastAsia"/>
        </w:rPr>
        <w:t>4、参选人有下列情形之一的，属于弄虚作假的行为：</w:t>
      </w:r>
    </w:p>
    <w:p>
      <w:pPr>
        <w:bidi w:val="0"/>
        <w:spacing w:line="360" w:lineRule="auto"/>
        <w:ind w:firstLine="482"/>
      </w:pPr>
      <w:r>
        <w:rPr>
          <w:rFonts w:hint="eastAsia"/>
        </w:rPr>
        <w:t>（</w:t>
      </w:r>
      <w:r>
        <w:rPr>
          <w:rFonts w:hint="eastAsia"/>
          <w:lang w:val="en-US" w:eastAsia="zh-CN"/>
        </w:rPr>
        <w:t>1</w:t>
      </w:r>
      <w:r>
        <w:rPr>
          <w:rFonts w:hint="eastAsia"/>
        </w:rPr>
        <w:t>）使用伪造、变造的许可证件；</w:t>
      </w:r>
    </w:p>
    <w:p>
      <w:pPr>
        <w:bidi w:val="0"/>
        <w:spacing w:line="360" w:lineRule="auto"/>
        <w:ind w:firstLine="482"/>
      </w:pPr>
      <w:r>
        <w:rPr>
          <w:rFonts w:hint="eastAsia"/>
        </w:rPr>
        <w:t>（</w:t>
      </w:r>
      <w:r>
        <w:rPr>
          <w:rFonts w:hint="eastAsia"/>
          <w:lang w:val="en-US" w:eastAsia="zh-CN"/>
        </w:rPr>
        <w:t>2</w:t>
      </w:r>
      <w:r>
        <w:rPr>
          <w:rFonts w:hint="eastAsia"/>
        </w:rPr>
        <w:t>）提供虚假的财务状况或者虚假业绩；</w:t>
      </w:r>
    </w:p>
    <w:p>
      <w:pPr>
        <w:bidi w:val="0"/>
        <w:spacing w:line="360" w:lineRule="auto"/>
        <w:ind w:firstLine="482"/>
      </w:pPr>
      <w:r>
        <w:rPr>
          <w:rFonts w:hint="eastAsia"/>
        </w:rPr>
        <w:t>（</w:t>
      </w:r>
      <w:r>
        <w:rPr>
          <w:rFonts w:hint="eastAsia"/>
          <w:lang w:val="en-US" w:eastAsia="zh-CN"/>
        </w:rPr>
        <w:t>3</w:t>
      </w:r>
      <w:r>
        <w:rPr>
          <w:rFonts w:hint="eastAsia"/>
        </w:rPr>
        <w:t>）提供虚假的项目负责人或者主要技术人员简历、劳动关系证明；</w:t>
      </w:r>
    </w:p>
    <w:p>
      <w:pPr>
        <w:bidi w:val="0"/>
        <w:spacing w:line="360" w:lineRule="auto"/>
        <w:ind w:firstLine="482"/>
      </w:pPr>
      <w:r>
        <w:rPr>
          <w:rFonts w:hint="eastAsia"/>
        </w:rPr>
        <w:t>（</w:t>
      </w:r>
      <w:r>
        <w:rPr>
          <w:rFonts w:hint="eastAsia"/>
          <w:lang w:val="en-US" w:eastAsia="zh-CN"/>
        </w:rPr>
        <w:t>4</w:t>
      </w:r>
      <w:r>
        <w:rPr>
          <w:rFonts w:hint="eastAsia"/>
        </w:rPr>
        <w:t>）提供虚假的信用状况；</w:t>
      </w:r>
    </w:p>
    <w:p>
      <w:pPr>
        <w:bidi w:val="0"/>
        <w:spacing w:line="360" w:lineRule="auto"/>
        <w:ind w:firstLine="482"/>
      </w:pPr>
      <w:r>
        <w:rPr>
          <w:rFonts w:hint="eastAsia"/>
        </w:rPr>
        <w:t>（</w:t>
      </w:r>
      <w:r>
        <w:rPr>
          <w:rFonts w:hint="eastAsia"/>
          <w:lang w:val="en-US" w:eastAsia="zh-CN"/>
        </w:rPr>
        <w:t>5</w:t>
      </w:r>
      <w:r>
        <w:rPr>
          <w:rFonts w:hint="eastAsia"/>
        </w:rPr>
        <w:t>）其它弄虚作假的行为。</w:t>
      </w:r>
    </w:p>
    <w:p>
      <w:pPr>
        <w:bidi w:val="0"/>
        <w:spacing w:line="360" w:lineRule="auto"/>
        <w:ind w:firstLine="482"/>
      </w:pPr>
      <w:r>
        <w:rPr>
          <w:rFonts w:hint="eastAsia"/>
        </w:rPr>
        <w:t>5、签订合同前后，若中选单位提供的</w:t>
      </w:r>
      <w:r>
        <w:rPr>
          <w:rFonts w:hint="eastAsia"/>
          <w:lang w:eastAsia="zh-CN"/>
        </w:rPr>
        <w:t>原厂维保产品服务</w:t>
      </w:r>
      <w:r>
        <w:rPr>
          <w:rFonts w:hint="eastAsia"/>
        </w:rPr>
        <w:t>与参选文件中的产品</w:t>
      </w:r>
      <w:r>
        <w:rPr>
          <w:rFonts w:hint="eastAsia"/>
          <w:lang w:eastAsia="zh-CN"/>
        </w:rPr>
        <w:t>服务</w:t>
      </w:r>
      <w:r>
        <w:rPr>
          <w:rFonts w:hint="eastAsia"/>
        </w:rPr>
        <w:t>不一致，比选人可废除中选人资格。</w:t>
      </w:r>
    </w:p>
    <w:p>
      <w:pPr>
        <w:bidi w:val="0"/>
        <w:spacing w:line="360" w:lineRule="auto"/>
        <w:ind w:firstLine="482"/>
      </w:pPr>
      <w:r>
        <w:rPr>
          <w:rFonts w:hint="eastAsia"/>
        </w:rPr>
        <w:t>针对以上情况，比选人有权没收参选人的参选保证金，并保留进一步追究由此带来损失的权利。</w:t>
      </w:r>
    </w:p>
    <w:p>
      <w:pPr>
        <w:pStyle w:val="4"/>
        <w:bidi w:val="0"/>
        <w:spacing w:line="360" w:lineRule="auto"/>
        <w:ind w:firstLine="482" w:firstLineChars="200"/>
        <w:rPr>
          <w:rFonts w:hint="eastAsia"/>
        </w:rPr>
      </w:pPr>
      <w:r>
        <w:rPr>
          <w:rFonts w:hint="eastAsia"/>
        </w:rPr>
        <w:t>十、提问、质疑、投诉</w:t>
      </w:r>
    </w:p>
    <w:p>
      <w:pPr>
        <w:bidi w:val="0"/>
        <w:spacing w:line="360" w:lineRule="auto"/>
        <w:ind w:firstLine="482"/>
        <w:rPr>
          <w:rFonts w:hint="eastAsia"/>
          <w:highlight w:val="none"/>
        </w:rPr>
      </w:pPr>
      <w:r>
        <w:rPr>
          <w:rFonts w:hint="eastAsia"/>
        </w:rPr>
        <w:t>1</w:t>
      </w:r>
      <w:r>
        <w:t>.</w:t>
      </w:r>
      <w:r>
        <w:rPr>
          <w:rFonts w:hint="eastAsia"/>
        </w:rPr>
        <w:t>参选人在下载比选文件后，应仔细检查比选文件的所有内容，如有残缺或文字表述不</w:t>
      </w:r>
      <w:r>
        <w:rPr>
          <w:rFonts w:hint="eastAsia"/>
          <w:highlight w:val="none"/>
        </w:rPr>
        <w:t>清，以及存在错、碰、漏、缺、概念模糊和有可能出现歧义或理解上的偏差的内容等应在</w:t>
      </w:r>
      <w:r>
        <w:rPr>
          <w:rFonts w:hint="eastAsia"/>
          <w:highlight w:val="none"/>
          <w:u w:val="single"/>
          <w:lang w:val="en-US" w:eastAsia="zh-CN"/>
        </w:rPr>
        <w:t>2024</w:t>
      </w:r>
      <w:r>
        <w:rPr>
          <w:rFonts w:hint="eastAsia"/>
          <w:highlight w:val="none"/>
        </w:rPr>
        <w:t>年</w:t>
      </w:r>
      <w:r>
        <w:rPr>
          <w:rFonts w:hint="eastAsia"/>
          <w:highlight w:val="none"/>
          <w:u w:val="single"/>
          <w:lang w:val="en-US" w:eastAsia="zh-CN"/>
        </w:rPr>
        <w:t>1</w:t>
      </w:r>
      <w:r>
        <w:rPr>
          <w:rFonts w:hint="eastAsia"/>
          <w:highlight w:val="none"/>
        </w:rPr>
        <w:t>月</w:t>
      </w:r>
      <w:r>
        <w:rPr>
          <w:rFonts w:hint="eastAsia"/>
          <w:highlight w:val="none"/>
          <w:u w:val="single"/>
          <w:lang w:val="en-US" w:eastAsia="zh-CN"/>
        </w:rPr>
        <w:t>20</w:t>
      </w:r>
      <w:r>
        <w:rPr>
          <w:rFonts w:hint="eastAsia"/>
          <w:highlight w:val="none"/>
        </w:rPr>
        <w:t>日</w:t>
      </w:r>
      <w:r>
        <w:rPr>
          <w:rFonts w:hint="eastAsia"/>
          <w:highlight w:val="none"/>
          <w:u w:val="single"/>
          <w:lang w:val="en-US" w:eastAsia="zh-CN"/>
        </w:rPr>
        <w:t>17</w:t>
      </w:r>
      <w:r>
        <w:rPr>
          <w:rFonts w:hint="eastAsia"/>
          <w:highlight w:val="none"/>
        </w:rPr>
        <w:t>时</w:t>
      </w:r>
      <w:r>
        <w:rPr>
          <w:rFonts w:hint="eastAsia"/>
          <w:highlight w:val="none"/>
          <w:u w:val="single"/>
          <w:lang w:val="en-US" w:eastAsia="zh-CN"/>
        </w:rPr>
        <w:t>00</w:t>
      </w:r>
      <w:r>
        <w:rPr>
          <w:rFonts w:hint="eastAsia"/>
          <w:highlight w:val="none"/>
        </w:rPr>
        <w:t>分（北京时间）前自行在重庆市公共资源交易网（http://www.cqggzy.com/）比选公告的“我要提问”栏目匿名提出。参选人未提出，则视为参选人已全面确认比选文件内容。</w:t>
      </w:r>
    </w:p>
    <w:p>
      <w:pPr>
        <w:bidi w:val="0"/>
        <w:spacing w:line="360" w:lineRule="auto"/>
        <w:ind w:firstLine="482"/>
        <w:rPr>
          <w:rFonts w:hint="eastAsia"/>
        </w:rPr>
      </w:pPr>
      <w:r>
        <w:rPr>
          <w:rFonts w:hint="eastAsia"/>
          <w:highlight w:val="none"/>
        </w:rPr>
        <w:t>比选人在认为有必要对参选人所提问题进行答复或对比选文件进行补充时，将于</w:t>
      </w:r>
      <w:r>
        <w:rPr>
          <w:rFonts w:hint="eastAsia"/>
          <w:highlight w:val="none"/>
          <w:u w:val="single"/>
          <w:lang w:val="en-US" w:eastAsia="zh-CN"/>
        </w:rPr>
        <w:t>2024</w:t>
      </w:r>
      <w:r>
        <w:rPr>
          <w:rFonts w:hint="eastAsia"/>
          <w:highlight w:val="none"/>
        </w:rPr>
        <w:t>年</w:t>
      </w:r>
      <w:r>
        <w:rPr>
          <w:rFonts w:hint="eastAsia"/>
          <w:highlight w:val="none"/>
          <w:u w:val="single"/>
          <w:lang w:val="en-US" w:eastAsia="zh-CN"/>
        </w:rPr>
        <w:t>1</w:t>
      </w:r>
      <w:r>
        <w:rPr>
          <w:rFonts w:hint="eastAsia"/>
          <w:highlight w:val="none"/>
        </w:rPr>
        <w:t>月</w:t>
      </w:r>
      <w:r>
        <w:rPr>
          <w:rFonts w:hint="eastAsia"/>
          <w:highlight w:val="none"/>
          <w:u w:val="single"/>
          <w:lang w:val="en-US" w:eastAsia="zh-CN"/>
        </w:rPr>
        <w:t>23</w:t>
      </w:r>
      <w:r>
        <w:rPr>
          <w:rFonts w:hint="eastAsia"/>
          <w:highlight w:val="none"/>
        </w:rPr>
        <w:t>日</w:t>
      </w:r>
      <w:r>
        <w:rPr>
          <w:rFonts w:hint="eastAsia"/>
          <w:highlight w:val="none"/>
          <w:u w:val="single"/>
          <w:lang w:val="en-US" w:eastAsia="zh-CN"/>
        </w:rPr>
        <w:t>17</w:t>
      </w:r>
      <w:r>
        <w:rPr>
          <w:rFonts w:hint="eastAsia"/>
          <w:highlight w:val="none"/>
        </w:rPr>
        <w:t>时</w:t>
      </w:r>
      <w:r>
        <w:rPr>
          <w:rFonts w:hint="eastAsia"/>
          <w:highlight w:val="none"/>
          <w:u w:val="single"/>
          <w:lang w:val="en-US" w:eastAsia="zh-CN"/>
        </w:rPr>
        <w:t>00</w:t>
      </w:r>
      <w:r>
        <w:rPr>
          <w:rFonts w:hint="eastAsia"/>
          <w:highlight w:val="none"/>
        </w:rPr>
        <w:t>分（北京时间）前在《重庆市公共资源交易网（www.cqggzy.com）》“答疑补遗”栏上发布答疑补遗文件</w:t>
      </w:r>
      <w:r>
        <w:rPr>
          <w:rFonts w:hint="eastAsia"/>
        </w:rPr>
        <w:t>。不论参选人下载与否，都视为参选人收到有关本项目在《重庆市公共资源交易网（www.cqggzy.com）》上发布的所有资料并全部知晓有关比选过程和事宜，由此产生的一切后果由参选人自负。补遗内容可能影响参选文件编制的，须在比选截止时间3日前发布，发布时间至比选截止时间不足3日的，须相应延后比选截止时间。</w:t>
      </w:r>
    </w:p>
    <w:p>
      <w:pPr>
        <w:bidi w:val="0"/>
        <w:spacing w:line="360" w:lineRule="auto"/>
        <w:ind w:firstLine="482"/>
        <w:rPr>
          <w:rFonts w:hint="eastAsia"/>
        </w:rPr>
      </w:pPr>
      <w:r>
        <w:rPr>
          <w:rFonts w:hint="eastAsia"/>
        </w:rPr>
        <w:t>2.参选人对比选文件和答疑补遗有质疑的，应当在比选截止时间3日前，以书面形式通知比选人。比选人应当自收到质疑之日起3日内做出答复，并将答复内容以补遗的形式发布。补遗内容可能影响参选文件编制的，须在比选截止时间3日前发布，发布时间至比选截止时间不足3日的，须相应延后比选截止时间。</w:t>
      </w:r>
    </w:p>
    <w:p>
      <w:pPr>
        <w:bidi w:val="0"/>
        <w:spacing w:line="360" w:lineRule="auto"/>
        <w:ind w:firstLine="482"/>
        <w:rPr>
          <w:rFonts w:hint="eastAsia"/>
        </w:rPr>
      </w:pPr>
      <w:r>
        <w:rPr>
          <w:rFonts w:hint="eastAsia"/>
        </w:rPr>
        <w:t>3</w:t>
      </w:r>
      <w:r>
        <w:t>.</w:t>
      </w:r>
      <w:r>
        <w:rPr>
          <w:rFonts w:hint="eastAsia"/>
        </w:rPr>
        <w:t>参选人对公示的中选结果有质疑，参选人需在公示期内以书面形式向比选人提出质疑。本行在公示截止日期前负责书面答复。</w:t>
      </w:r>
    </w:p>
    <w:p>
      <w:pPr>
        <w:bidi w:val="0"/>
        <w:spacing w:line="360" w:lineRule="auto"/>
        <w:ind w:firstLine="482"/>
        <w:rPr>
          <w:rFonts w:hint="eastAsia"/>
        </w:rPr>
      </w:pPr>
      <w:r>
        <w:rPr>
          <w:rFonts w:hint="eastAsia"/>
        </w:rPr>
        <w:t>4</w:t>
      </w:r>
      <w:r>
        <w:t>.</w:t>
      </w:r>
      <w:r>
        <w:rPr>
          <w:rFonts w:hint="eastAsia"/>
        </w:rPr>
        <w:t>参选人对比选人的答复不满意或者有质疑， 可向本行纪检监察部投诉。</w:t>
      </w:r>
    </w:p>
    <w:p>
      <w:pPr>
        <w:bidi w:val="0"/>
        <w:spacing w:line="360" w:lineRule="auto"/>
        <w:ind w:firstLine="482"/>
        <w:rPr>
          <w:rFonts w:hint="eastAsia"/>
        </w:rPr>
      </w:pPr>
      <w:r>
        <w:rPr>
          <w:rFonts w:hint="eastAsia"/>
        </w:rPr>
        <w:t>采购质疑邮箱：</w:t>
      </w:r>
      <w:r>
        <w:t>sx.jcb@ccqtgb.com</w:t>
      </w:r>
    </w:p>
    <w:p>
      <w:pPr>
        <w:bidi w:val="0"/>
        <w:spacing w:line="360" w:lineRule="auto"/>
        <w:ind w:firstLine="482"/>
      </w:pPr>
      <w:r>
        <w:rPr>
          <w:rFonts w:hint="eastAsia"/>
        </w:rPr>
        <w:t>采购投诉邮箱：sxyhjjz@</w:t>
      </w:r>
      <w:r>
        <w:t>ccqtgb</w:t>
      </w:r>
      <w:r>
        <w:rPr>
          <w:rFonts w:hint="eastAsia"/>
        </w:rPr>
        <w:t>.com</w:t>
      </w:r>
    </w:p>
    <w:p>
      <w:pPr>
        <w:pStyle w:val="4"/>
        <w:bidi w:val="0"/>
        <w:spacing w:line="360" w:lineRule="auto"/>
        <w:ind w:firstLine="482" w:firstLineChars="200"/>
      </w:pPr>
      <w:r>
        <w:rPr>
          <w:rFonts w:hint="eastAsia"/>
        </w:rPr>
        <w:t>十一、终止</w:t>
      </w:r>
      <w:r>
        <w:t>比选</w:t>
      </w:r>
    </w:p>
    <w:p>
      <w:pPr>
        <w:bidi w:val="0"/>
        <w:spacing w:line="360" w:lineRule="auto"/>
        <w:ind w:firstLine="482"/>
      </w:pPr>
      <w:r>
        <w:rPr>
          <w:rFonts w:hint="eastAsia"/>
        </w:rPr>
        <w:t>1、因情况发生变化或其他原因造成该项目取消的，本次比选自动终止，双方互不承担责任，比选人无息退还参选保证金。</w:t>
      </w:r>
    </w:p>
    <w:p>
      <w:pPr>
        <w:bidi w:val="0"/>
        <w:spacing w:line="360" w:lineRule="auto"/>
        <w:ind w:firstLine="482"/>
      </w:pPr>
      <w:r>
        <w:rPr>
          <w:rFonts w:hint="eastAsia"/>
        </w:rPr>
        <w:t>2、签订合同之前，比选人发现中选候选人经营、财务状况发生较大变化或存在违法行为，比选人认为可能影响其履约能力的，比选人可废除中选人或中选候选人资格。</w:t>
      </w:r>
    </w:p>
    <w:p>
      <w:pPr>
        <w:pStyle w:val="4"/>
        <w:bidi w:val="0"/>
        <w:spacing w:line="360" w:lineRule="auto"/>
        <w:ind w:firstLine="482" w:firstLineChars="200"/>
      </w:pPr>
      <w:r>
        <w:rPr>
          <w:rFonts w:hint="eastAsia"/>
          <w:lang w:val="en-US" w:eastAsia="zh-CN"/>
        </w:rPr>
        <w:t>十二</w:t>
      </w:r>
      <w:r>
        <w:rPr>
          <w:rFonts w:hint="eastAsia"/>
        </w:rPr>
        <w:t>、</w:t>
      </w:r>
      <w:r>
        <w:t>参选</w:t>
      </w:r>
      <w:r>
        <w:rPr>
          <w:rFonts w:hint="eastAsia"/>
        </w:rPr>
        <w:t>费用</w:t>
      </w:r>
    </w:p>
    <w:p>
      <w:pPr>
        <w:bidi w:val="0"/>
        <w:spacing w:line="360" w:lineRule="auto"/>
        <w:ind w:firstLine="482"/>
      </w:pPr>
      <w:r>
        <w:rPr>
          <w:rFonts w:hint="eastAsia"/>
          <w:lang w:val="en-US" w:eastAsia="zh-CN"/>
        </w:rPr>
        <w:t>1、</w:t>
      </w:r>
      <w:r>
        <w:rPr>
          <w:rFonts w:hint="eastAsia"/>
        </w:rPr>
        <w:t>参选人参与本比选项目时，一切与参选有关的费用均由参选人自理。</w:t>
      </w:r>
    </w:p>
    <w:p>
      <w:pPr>
        <w:bidi w:val="0"/>
        <w:spacing w:line="360" w:lineRule="auto"/>
        <w:ind w:firstLine="482"/>
      </w:pPr>
      <w:r>
        <w:rPr>
          <w:rFonts w:hint="eastAsia"/>
          <w:lang w:val="en-US" w:eastAsia="zh-CN"/>
        </w:rPr>
        <w:t>2、本</w:t>
      </w:r>
      <w:r>
        <w:rPr>
          <w:rFonts w:hint="eastAsia"/>
        </w:rPr>
        <w:t>项目平台服务费为8000元，中选人</w:t>
      </w:r>
      <w:r>
        <w:rPr>
          <w:rFonts w:hint="eastAsia"/>
          <w:lang w:val="en-US" w:eastAsia="zh-CN"/>
        </w:rPr>
        <w:t>承担</w:t>
      </w:r>
      <w:r>
        <w:rPr>
          <w:rFonts w:hint="eastAsia"/>
        </w:rPr>
        <w:t>平台服务费，由中选人向重庆联合产权交易所集团股份有限公司支付。中选人应在领取中选通知书时一次性缴纳，请各参选人综合考虑进报价。</w:t>
      </w:r>
    </w:p>
    <w:p>
      <w:pPr>
        <w:widowControl/>
        <w:spacing w:line="360" w:lineRule="auto"/>
        <w:ind w:firstLine="482"/>
        <w:jc w:val="left"/>
        <w:rPr>
          <w:rFonts w:ascii="Times New Roman" w:hAnsi="Times New Roman" w:cs="Times New Roman"/>
          <w:snapToGrid w:val="0"/>
          <w:kern w:val="0"/>
          <w:szCs w:val="28"/>
        </w:rPr>
      </w:pPr>
      <w:r>
        <w:rPr>
          <w:rFonts w:ascii="Times New Roman" w:hAnsi="Times New Roman" w:cs="Times New Roman"/>
          <w:snapToGrid w:val="0"/>
          <w:kern w:val="0"/>
          <w:szCs w:val="28"/>
        </w:rPr>
        <w:br w:type="page"/>
      </w:r>
    </w:p>
    <w:p>
      <w:pPr>
        <w:pStyle w:val="3"/>
        <w:spacing w:before="0"/>
        <w:ind w:right="0" w:rightChars="0"/>
        <w:rPr>
          <w:rFonts w:ascii="Times New Roman" w:hAnsi="Times New Roman" w:cs="Times New Roman"/>
        </w:rPr>
      </w:pPr>
      <w:bookmarkStart w:id="49" w:name="_Toc155270548"/>
      <w:r>
        <w:rPr>
          <w:rFonts w:ascii="Times New Roman" w:hAnsi="Times New Roman" w:cs="Times New Roman"/>
        </w:rPr>
        <w:t>第</w:t>
      </w:r>
      <w:r>
        <w:rPr>
          <w:rFonts w:hint="eastAsia" w:ascii="Times New Roman" w:hAnsi="Times New Roman" w:cs="Times New Roman"/>
        </w:rPr>
        <w:t>三</w:t>
      </w:r>
      <w:r>
        <w:rPr>
          <w:rFonts w:ascii="Times New Roman" w:hAnsi="Times New Roman" w:cs="Times New Roman"/>
        </w:rPr>
        <w:t>章项目介绍</w:t>
      </w:r>
      <w:bookmarkEnd w:id="49"/>
    </w:p>
    <w:p>
      <w:pPr>
        <w:spacing w:line="360" w:lineRule="auto"/>
        <w:ind w:firstLine="482" w:firstLineChars="200"/>
        <w:jc w:val="left"/>
        <w:outlineLvl w:val="1"/>
        <w:rPr>
          <w:rFonts w:ascii="Times New Roman" w:hAnsi="Times New Roman" w:cs="Times New Roman"/>
          <w:b/>
          <w:snapToGrid w:val="0"/>
          <w:kern w:val="0"/>
          <w:sz w:val="24"/>
          <w:szCs w:val="24"/>
        </w:rPr>
      </w:pPr>
      <w:bookmarkStart w:id="50" w:name="_Toc89675135"/>
      <w:r>
        <w:rPr>
          <w:rFonts w:ascii="Times New Roman" w:hAnsi="Times New Roman" w:cs="Times New Roman"/>
          <w:b/>
          <w:snapToGrid w:val="0"/>
          <w:kern w:val="0"/>
          <w:sz w:val="24"/>
          <w:szCs w:val="24"/>
        </w:rPr>
        <w:t>一、项目背景</w:t>
      </w:r>
      <w:r>
        <w:rPr>
          <w:rFonts w:ascii="Times New Roman" w:hAnsi="Times New Roman" w:cs="Times New Roman"/>
          <w:b/>
          <w:snapToGrid w:val="0"/>
          <w:kern w:val="0"/>
          <w:sz w:val="24"/>
          <w:szCs w:val="24"/>
        </w:rPr>
        <w:tab/>
      </w:r>
      <w:bookmarkEnd w:id="50"/>
    </w:p>
    <w:p>
      <w:pPr>
        <w:pStyle w:val="31"/>
        <w:snapToGrid w:val="0"/>
        <w:spacing w:line="360" w:lineRule="auto"/>
        <w:ind w:firstLine="480"/>
        <w:rPr>
          <w:rFonts w:ascii="Times New Roman" w:hAnsi="Times New Roman" w:eastAsia="宋体" w:cs="Times New Roman"/>
          <w:sz w:val="24"/>
          <w:szCs w:val="24"/>
        </w:rPr>
      </w:pPr>
      <w:bookmarkStart w:id="51" w:name="_Toc89675136"/>
      <w:r>
        <w:rPr>
          <w:rFonts w:hint="eastAsia" w:ascii="Times New Roman" w:hAnsi="Times New Roman" w:eastAsia="宋体" w:cs="Times New Roman"/>
          <w:sz w:val="24"/>
          <w:szCs w:val="24"/>
        </w:rPr>
        <w:t>CMMI的全称是“Capability Maturity Model Integration”，即能力成熟度模型集成。它主要用于指导软件开发过程的改进和进行软件开发能力的评估，是一套世界级的能力和绩效改进框架，适用于希望不断提升质效以及应对和解决业务挑战的组织。CMMI最早是由美国卡耐基梅隆大学的软件工程研究所（Software Engineering Institute，SEI）组织全世界软件过程改进和研发管理的专家团队研发而成，主要用于指导软件项目交付过程的改进和能力成熟度评估。CMMI通过渐进等级的方式提供了一种持续的过程改进路径视图。</w:t>
      </w:r>
    </w:p>
    <w:p>
      <w:pPr>
        <w:pStyle w:val="31"/>
        <w:snapToGrid w:val="0"/>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通过实施CMMI 3</w:t>
      </w:r>
      <w:r>
        <w:rPr>
          <w:rFonts w:hint="eastAsia" w:ascii="Times New Roman" w:hAnsi="Times New Roman" w:eastAsia="宋体" w:cs="Times New Roman"/>
          <w:sz w:val="24"/>
          <w:szCs w:val="24"/>
        </w:rPr>
        <w:t>认证评估，能进一步规范研发流程，提高研发人员专业技能，提升研发制度标准化水平，主要体现在以下</w:t>
      </w:r>
      <w:r>
        <w:rPr>
          <w:rFonts w:ascii="Times New Roman" w:hAnsi="Times New Roman" w:eastAsia="宋体" w:cs="Times New Roman"/>
          <w:sz w:val="24"/>
          <w:szCs w:val="24"/>
        </w:rPr>
        <w:t>5</w:t>
      </w:r>
      <w:r>
        <w:rPr>
          <w:rFonts w:hint="eastAsia" w:ascii="Times New Roman" w:hAnsi="Times New Roman" w:eastAsia="宋体" w:cs="Times New Roman"/>
          <w:sz w:val="24"/>
          <w:szCs w:val="24"/>
        </w:rPr>
        <w:t>个方面：</w:t>
      </w:r>
    </w:p>
    <w:p>
      <w:pPr>
        <w:pStyle w:val="31"/>
        <w:snapToGrid w:val="0"/>
        <w:spacing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一是对标</w:t>
      </w:r>
      <w:r>
        <w:rPr>
          <w:rFonts w:ascii="Times New Roman" w:hAnsi="Times New Roman" w:eastAsia="宋体" w:cs="Times New Roman"/>
          <w:sz w:val="24"/>
          <w:szCs w:val="24"/>
        </w:rPr>
        <w:t>CMMI 3</w:t>
      </w:r>
      <w:r>
        <w:rPr>
          <w:rFonts w:hint="eastAsia" w:ascii="Times New Roman" w:hAnsi="Times New Roman" w:eastAsia="宋体" w:cs="Times New Roman"/>
          <w:sz w:val="24"/>
          <w:szCs w:val="24"/>
        </w:rPr>
        <w:t>标准，对现有软件研发的流程、制度、技术、工具、团队等方面进行诊断分析，形成差距分析报告，确定软件研发能力提升的方向目标、优化路径和具体措施。</w:t>
      </w:r>
    </w:p>
    <w:p>
      <w:pPr>
        <w:pStyle w:val="31"/>
        <w:snapToGrid w:val="0"/>
        <w:spacing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二是通过开展</w:t>
      </w:r>
      <w:r>
        <w:rPr>
          <w:rFonts w:ascii="Times New Roman" w:hAnsi="Times New Roman" w:eastAsia="宋体" w:cs="Times New Roman"/>
          <w:sz w:val="24"/>
          <w:szCs w:val="24"/>
        </w:rPr>
        <w:t>CMMI 3</w:t>
      </w:r>
      <w:r>
        <w:rPr>
          <w:rFonts w:hint="eastAsia" w:ascii="Times New Roman" w:hAnsi="Times New Roman" w:eastAsia="宋体" w:cs="Times New Roman"/>
          <w:sz w:val="24"/>
          <w:szCs w:val="24"/>
        </w:rPr>
        <w:t>专题培训，推动员工深入学习</w:t>
      </w:r>
      <w:r>
        <w:rPr>
          <w:rFonts w:ascii="Times New Roman" w:hAnsi="Times New Roman" w:eastAsia="宋体" w:cs="Times New Roman"/>
          <w:sz w:val="24"/>
          <w:szCs w:val="24"/>
        </w:rPr>
        <w:t>CMMI 3</w:t>
      </w:r>
      <w:r>
        <w:rPr>
          <w:rFonts w:hint="eastAsia" w:ascii="Times New Roman" w:hAnsi="Times New Roman" w:eastAsia="宋体" w:cs="Times New Roman"/>
          <w:sz w:val="24"/>
          <w:szCs w:val="24"/>
        </w:rPr>
        <w:t>过程体系和最佳实践，提升员工能力水平，为人才队伍培养形成知识沉淀。</w:t>
      </w:r>
    </w:p>
    <w:p>
      <w:pPr>
        <w:pStyle w:val="31"/>
        <w:snapToGrid w:val="0"/>
        <w:spacing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三是对标</w:t>
      </w:r>
      <w:r>
        <w:rPr>
          <w:rFonts w:ascii="Times New Roman" w:hAnsi="Times New Roman" w:eastAsia="宋体" w:cs="Times New Roman"/>
          <w:sz w:val="24"/>
          <w:szCs w:val="24"/>
        </w:rPr>
        <w:t xml:space="preserve">CMMI </w:t>
      </w:r>
      <w:r>
        <w:rPr>
          <w:rFonts w:hint="eastAsia" w:ascii="Times New Roman" w:hAnsi="Times New Roman" w:eastAsia="宋体" w:cs="Times New Roman"/>
          <w:sz w:val="24"/>
          <w:szCs w:val="24"/>
        </w:rPr>
        <w:t>标准，基于差距分析报告，针对需求管理、项目管理、研发管理、配置管理、质量管理、风险管理、外包商管理等领域形成具体的方针、手册、规程、指南、模板等，定义更为先进、科学、适用的</w:t>
      </w:r>
      <w:r>
        <w:rPr>
          <w:rFonts w:ascii="Times New Roman" w:hAnsi="Times New Roman" w:eastAsia="宋体" w:cs="Times New Roman"/>
          <w:sz w:val="24"/>
          <w:szCs w:val="24"/>
        </w:rPr>
        <w:t>CMMI</w:t>
      </w:r>
      <w:r>
        <w:rPr>
          <w:rFonts w:hint="eastAsia" w:ascii="Times New Roman" w:hAnsi="Times New Roman" w:eastAsia="宋体" w:cs="Times New Roman"/>
          <w:sz w:val="24"/>
          <w:szCs w:val="24"/>
        </w:rPr>
        <w:t>流程体系基线，提升流程体系的标准化程度和规范化水平。</w:t>
      </w:r>
    </w:p>
    <w:p>
      <w:pPr>
        <w:pStyle w:val="31"/>
        <w:snapToGrid w:val="0"/>
        <w:spacing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四是基于“先试点，再推广”的模式，先通过试点项目对已建立的流程体系进行指导实施、效果检查和优化调整，再根据实施效果推广应用，保障</w:t>
      </w:r>
      <w:r>
        <w:rPr>
          <w:rFonts w:ascii="Times New Roman" w:hAnsi="Times New Roman" w:eastAsia="宋体" w:cs="Times New Roman"/>
          <w:sz w:val="24"/>
          <w:szCs w:val="24"/>
        </w:rPr>
        <w:t>CMMI</w:t>
      </w:r>
      <w:r>
        <w:rPr>
          <w:rFonts w:hint="eastAsia" w:ascii="Times New Roman" w:hAnsi="Times New Roman" w:eastAsia="宋体" w:cs="Times New Roman"/>
          <w:sz w:val="24"/>
          <w:szCs w:val="24"/>
        </w:rPr>
        <w:t>高水平流程体系的落地固化和可靠执行。</w:t>
      </w:r>
    </w:p>
    <w:p>
      <w:pPr>
        <w:pStyle w:val="30"/>
        <w:spacing w:line="360" w:lineRule="auto"/>
        <w:ind w:left="5" w:leftChars="2"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五是通过</w:t>
      </w:r>
      <w:r>
        <w:rPr>
          <w:rFonts w:ascii="Times New Roman" w:hAnsi="Times New Roman" w:eastAsia="宋体" w:cs="Times New Roman"/>
          <w:sz w:val="24"/>
          <w:szCs w:val="24"/>
        </w:rPr>
        <w:t>CMMI</w:t>
      </w:r>
      <w:r>
        <w:rPr>
          <w:rFonts w:hint="eastAsia" w:ascii="Times New Roman" w:hAnsi="Times New Roman" w:eastAsia="宋体" w:cs="Times New Roman"/>
          <w:sz w:val="24"/>
          <w:szCs w:val="24"/>
        </w:rPr>
        <w:t>的评估机制，发现和消除流程的瓶颈堵点和风险漏洞，实现以评促思、以评促学、以评促改，推动科技能力的持续提升，进一步提高交付质效，减少成本和风险，从而更好地支持业务发展。</w:t>
      </w:r>
      <w:bookmarkEnd w:id="51"/>
    </w:p>
    <w:p>
      <w:pPr>
        <w:widowControl/>
        <w:jc w:val="left"/>
        <w:rPr>
          <w:rFonts w:ascii="Times New Roman" w:hAnsi="Times New Roman" w:cs="Times New Roman"/>
          <w:sz w:val="24"/>
          <w:szCs w:val="24"/>
        </w:rPr>
      </w:pPr>
      <w:r>
        <w:rPr>
          <w:rFonts w:ascii="Times New Roman" w:hAnsi="Times New Roman" w:cs="Times New Roman"/>
          <w:sz w:val="24"/>
          <w:szCs w:val="24"/>
        </w:rPr>
        <w:br w:type="page"/>
      </w:r>
    </w:p>
    <w:p>
      <w:pPr>
        <w:pStyle w:val="30"/>
        <w:spacing w:line="360" w:lineRule="auto"/>
        <w:ind w:left="5" w:leftChars="2" w:firstLine="480" w:firstLineChars="200"/>
        <w:rPr>
          <w:rFonts w:ascii="宋体" w:hAnsi="宋体" w:eastAsia="宋体"/>
          <w:sz w:val="24"/>
          <w:szCs w:val="24"/>
        </w:rPr>
      </w:pPr>
    </w:p>
    <w:p>
      <w:pPr>
        <w:pStyle w:val="3"/>
        <w:spacing w:before="0"/>
        <w:ind w:right="0" w:rightChars="0"/>
        <w:rPr>
          <w:rFonts w:ascii="Times New Roman" w:hAnsi="Times New Roman" w:cs="Times New Roman"/>
        </w:rPr>
      </w:pPr>
      <w:bookmarkStart w:id="52" w:name="_Toc155270549"/>
      <w:r>
        <w:rPr>
          <w:rFonts w:ascii="Times New Roman" w:hAnsi="Times New Roman" w:cs="Times New Roman"/>
        </w:rPr>
        <w:t>第</w:t>
      </w:r>
      <w:r>
        <w:rPr>
          <w:rFonts w:hint="eastAsia" w:ascii="Times New Roman" w:hAnsi="Times New Roman" w:cs="Times New Roman"/>
        </w:rPr>
        <w:t>四</w:t>
      </w:r>
      <w:r>
        <w:rPr>
          <w:rFonts w:ascii="Times New Roman" w:hAnsi="Times New Roman" w:cs="Times New Roman"/>
        </w:rPr>
        <w:t>章服务内容及要求</w:t>
      </w:r>
      <w:bookmarkEnd w:id="52"/>
    </w:p>
    <w:p>
      <w:pPr>
        <w:spacing w:line="360" w:lineRule="auto"/>
        <w:ind w:firstLine="482" w:firstLineChars="200"/>
        <w:jc w:val="left"/>
        <w:outlineLvl w:val="1"/>
        <w:rPr>
          <w:rFonts w:ascii="Times New Roman" w:hAnsi="Times New Roman" w:cs="Times New Roman"/>
          <w:b/>
          <w:snapToGrid w:val="0"/>
          <w:kern w:val="0"/>
          <w:sz w:val="24"/>
          <w:szCs w:val="24"/>
        </w:rPr>
      </w:pPr>
      <w:bookmarkStart w:id="53" w:name="_Toc89675138"/>
      <w:r>
        <w:rPr>
          <w:rFonts w:ascii="Times New Roman" w:hAnsi="Times New Roman" w:cs="Times New Roman"/>
          <w:b/>
          <w:snapToGrid w:val="0"/>
          <w:kern w:val="0"/>
          <w:sz w:val="24"/>
          <w:szCs w:val="24"/>
        </w:rPr>
        <w:t>一、</w:t>
      </w:r>
      <w:bookmarkEnd w:id="53"/>
      <w:r>
        <w:rPr>
          <w:rFonts w:hint="eastAsia" w:ascii="Times New Roman" w:hAnsi="Times New Roman" w:cs="Times New Roman"/>
          <w:b/>
          <w:snapToGrid w:val="0"/>
          <w:kern w:val="0"/>
          <w:sz w:val="24"/>
          <w:szCs w:val="24"/>
        </w:rPr>
        <w:t>总体要求</w:t>
      </w:r>
    </w:p>
    <w:p>
      <w:pPr>
        <w:topLinePunct/>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本项目以CMMI3级要求为基础，梳理现有研发管理流程，建立标准的一体化研发管理体系，提升研发管理能力，组建持续改进的团队，建立持续改进的能力，建立全流程的度量体系，最终提供认证服务，帮助本行获取CMMI</w:t>
      </w:r>
      <w:r>
        <w:rPr>
          <w:rFonts w:ascii="Times New Roman" w:hAnsi="Times New Roman" w:cs="Times New Roman"/>
          <w:sz w:val="24"/>
          <w:szCs w:val="24"/>
        </w:rPr>
        <w:t xml:space="preserve"> 3</w:t>
      </w:r>
      <w:r>
        <w:rPr>
          <w:rFonts w:hint="eastAsia" w:ascii="Times New Roman" w:hAnsi="Times New Roman" w:cs="Times New Roman"/>
          <w:sz w:val="24"/>
          <w:szCs w:val="24"/>
        </w:rPr>
        <w:t>级认证资质。</w:t>
      </w:r>
    </w:p>
    <w:p>
      <w:pPr>
        <w:spacing w:line="360" w:lineRule="auto"/>
        <w:ind w:firstLine="482" w:firstLineChars="200"/>
        <w:jc w:val="left"/>
        <w:outlineLvl w:val="1"/>
        <w:rPr>
          <w:rFonts w:ascii="Times New Roman" w:hAnsi="Times New Roman" w:cs="Times New Roman"/>
          <w:b/>
          <w:snapToGrid w:val="0"/>
          <w:kern w:val="0"/>
          <w:sz w:val="24"/>
          <w:szCs w:val="24"/>
        </w:rPr>
      </w:pPr>
      <w:r>
        <w:rPr>
          <w:rFonts w:hint="eastAsia" w:ascii="Times New Roman" w:hAnsi="Times New Roman" w:cs="Times New Roman"/>
          <w:b/>
          <w:snapToGrid w:val="0"/>
          <w:kern w:val="0"/>
          <w:sz w:val="24"/>
          <w:szCs w:val="24"/>
        </w:rPr>
        <w:t>二．</w:t>
      </w:r>
      <w:r>
        <w:rPr>
          <w:rFonts w:ascii="Times New Roman" w:hAnsi="Times New Roman" w:cs="Times New Roman"/>
          <w:b/>
          <w:snapToGrid w:val="0"/>
          <w:kern w:val="0"/>
          <w:sz w:val="24"/>
          <w:szCs w:val="24"/>
        </w:rPr>
        <w:t>服务内容</w:t>
      </w:r>
    </w:p>
    <w:p>
      <w:pPr>
        <w:spacing w:line="360" w:lineRule="auto"/>
        <w:ind w:firstLine="482" w:firstLineChars="200"/>
        <w:jc w:val="left"/>
        <w:outlineLvl w:val="2"/>
        <w:rPr>
          <w:rFonts w:ascii="Times New Roman" w:hAnsi="Times New Roman" w:cs="Times New Roman"/>
          <w:b/>
          <w:snapToGrid w:val="0"/>
          <w:kern w:val="0"/>
          <w:sz w:val="24"/>
          <w:szCs w:val="24"/>
        </w:rPr>
      </w:pPr>
      <w:bookmarkStart w:id="54" w:name="_Hlk147583569"/>
      <w:r>
        <w:rPr>
          <w:rFonts w:hint="eastAsia" w:ascii="Times New Roman" w:hAnsi="Times New Roman" w:cs="Times New Roman"/>
          <w:b/>
          <w:snapToGrid w:val="0"/>
          <w:kern w:val="0"/>
          <w:sz w:val="24"/>
          <w:szCs w:val="24"/>
        </w:rPr>
        <w:t>（一）差距分析</w:t>
      </w:r>
    </w:p>
    <w:p>
      <w:pPr>
        <w:pStyle w:val="31"/>
        <w:snapToGrid w:val="0"/>
        <w:spacing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参选人基于比选人现行组织结构、岗位设置、系统架构、研发管理体系实施现状，协助比选人建立CMMI </w:t>
      </w:r>
      <w:r>
        <w:rPr>
          <w:rFonts w:ascii="Times New Roman" w:hAnsi="Times New Roman" w:eastAsia="宋体" w:cs="Times New Roman"/>
          <w:sz w:val="24"/>
          <w:szCs w:val="24"/>
        </w:rPr>
        <w:t>3</w:t>
      </w:r>
      <w:r>
        <w:rPr>
          <w:rFonts w:hint="eastAsia" w:ascii="Times New Roman" w:hAnsi="Times New Roman" w:eastAsia="宋体" w:cs="Times New Roman"/>
          <w:sz w:val="24"/>
          <w:szCs w:val="24"/>
        </w:rPr>
        <w:t>认证服务项目的实施计划。根据CMMI</w:t>
      </w:r>
      <w:r>
        <w:rPr>
          <w:rFonts w:ascii="Times New Roman" w:hAnsi="Times New Roman" w:eastAsia="宋体" w:cs="Times New Roman"/>
          <w:sz w:val="24"/>
          <w:szCs w:val="24"/>
        </w:rPr>
        <w:t xml:space="preserve"> 3</w:t>
      </w:r>
      <w:r>
        <w:rPr>
          <w:rFonts w:hint="eastAsia" w:ascii="Times New Roman" w:hAnsi="Times New Roman" w:eastAsia="宋体" w:cs="Times New Roman"/>
          <w:sz w:val="24"/>
          <w:szCs w:val="24"/>
        </w:rPr>
        <w:t>级及以上标准和比选人实际情况进行比较，借助文档检查和访谈等方式，结合同行业的最佳实践和模型要求，深入分析现存的管理问题以及薄弱环节，通过量化的方式展现目前各领域的现状，梳理差距，识别差距并形成差距分析报告。</w:t>
      </w:r>
    </w:p>
    <w:p>
      <w:pPr>
        <w:pStyle w:val="31"/>
        <w:snapToGrid w:val="0"/>
        <w:spacing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随后根据差距分析中管理层提出的重点问题，分析问题与CMMI模型实践域的映射关系，并建立问题与过程的关联关系，根据问题优先级确定CMMI模型实施的重点，同时也为比选人建立专业的度量管理体系收集重要信息。</w:t>
      </w:r>
    </w:p>
    <w:p>
      <w:pPr>
        <w:spacing w:line="360" w:lineRule="auto"/>
        <w:ind w:firstLine="482" w:firstLineChars="200"/>
        <w:jc w:val="left"/>
        <w:outlineLvl w:val="2"/>
        <w:rPr>
          <w:rFonts w:ascii="Times New Roman" w:hAnsi="Times New Roman" w:cs="Times New Roman"/>
          <w:b/>
          <w:snapToGrid w:val="0"/>
          <w:kern w:val="0"/>
          <w:sz w:val="24"/>
          <w:szCs w:val="24"/>
        </w:rPr>
      </w:pPr>
      <w:r>
        <w:rPr>
          <w:rFonts w:hint="eastAsia" w:ascii="Times New Roman" w:hAnsi="Times New Roman" w:cs="Times New Roman"/>
          <w:b/>
          <w:snapToGrid w:val="0"/>
          <w:kern w:val="0"/>
          <w:sz w:val="24"/>
          <w:szCs w:val="24"/>
        </w:rPr>
        <w:t>（二）研发过程改进</w:t>
      </w:r>
      <w:bookmarkEnd w:id="54"/>
    </w:p>
    <w:p>
      <w:pPr>
        <w:pStyle w:val="31"/>
        <w:snapToGrid w:val="0"/>
        <w:spacing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1、项目启动</w:t>
      </w:r>
    </w:p>
    <w:p>
      <w:pPr>
        <w:pStyle w:val="31"/>
        <w:snapToGrid w:val="0"/>
        <w:spacing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在差距分析报告得到确认的基础上，参选人和比选人一道准备和开展项目启动工作。项目启动的主要内容包括：确定</w:t>
      </w:r>
      <w:r>
        <w:rPr>
          <w:rFonts w:ascii="Times New Roman" w:hAnsi="Times New Roman" w:eastAsia="宋体" w:cs="Times New Roman"/>
          <w:sz w:val="24"/>
          <w:szCs w:val="24"/>
        </w:rPr>
        <w:t>项目实施目标和进度计划</w:t>
      </w:r>
      <w:r>
        <w:rPr>
          <w:rFonts w:hint="eastAsia" w:ascii="Times New Roman" w:hAnsi="Times New Roman" w:eastAsia="宋体" w:cs="Times New Roman"/>
          <w:sz w:val="24"/>
          <w:szCs w:val="24"/>
        </w:rPr>
        <w:t>，明确</w:t>
      </w:r>
      <w:r>
        <w:rPr>
          <w:rFonts w:ascii="Times New Roman" w:hAnsi="Times New Roman" w:eastAsia="宋体" w:cs="Times New Roman"/>
          <w:sz w:val="24"/>
          <w:szCs w:val="24"/>
        </w:rPr>
        <w:t>项目需要的各种角色及其相应的职责</w:t>
      </w:r>
      <w:r>
        <w:rPr>
          <w:rFonts w:hint="eastAsia" w:ascii="Times New Roman" w:hAnsi="Times New Roman" w:eastAsia="宋体" w:cs="Times New Roman"/>
          <w:sz w:val="24"/>
          <w:szCs w:val="24"/>
        </w:rPr>
        <w:t>，准备并召开项目启动会等</w:t>
      </w:r>
      <w:r>
        <w:rPr>
          <w:rFonts w:ascii="Times New Roman" w:hAnsi="Times New Roman" w:eastAsia="宋体" w:cs="Times New Roman"/>
          <w:sz w:val="24"/>
          <w:szCs w:val="24"/>
        </w:rPr>
        <w:t>。项目启动</w:t>
      </w:r>
      <w:r>
        <w:rPr>
          <w:rFonts w:hint="eastAsia" w:ascii="Times New Roman" w:hAnsi="Times New Roman" w:eastAsia="宋体" w:cs="Times New Roman"/>
          <w:sz w:val="24"/>
          <w:szCs w:val="24"/>
        </w:rPr>
        <w:t>活动</w:t>
      </w:r>
      <w:r>
        <w:rPr>
          <w:rFonts w:ascii="Times New Roman" w:hAnsi="Times New Roman" w:eastAsia="宋体" w:cs="Times New Roman"/>
          <w:sz w:val="24"/>
          <w:szCs w:val="24"/>
        </w:rPr>
        <w:t>主要</w:t>
      </w:r>
      <w:r>
        <w:rPr>
          <w:rFonts w:hint="eastAsia" w:ascii="Times New Roman" w:hAnsi="Times New Roman" w:eastAsia="宋体" w:cs="Times New Roman"/>
          <w:sz w:val="24"/>
          <w:szCs w:val="24"/>
        </w:rPr>
        <w:t>包含三</w:t>
      </w:r>
      <w:r>
        <w:rPr>
          <w:rFonts w:ascii="Times New Roman" w:hAnsi="Times New Roman" w:eastAsia="宋体" w:cs="Times New Roman"/>
          <w:sz w:val="24"/>
          <w:szCs w:val="24"/>
        </w:rPr>
        <w:t>个</w:t>
      </w:r>
      <w:r>
        <w:rPr>
          <w:rFonts w:hint="eastAsia" w:ascii="Times New Roman" w:hAnsi="Times New Roman" w:eastAsia="宋体" w:cs="Times New Roman"/>
          <w:sz w:val="24"/>
          <w:szCs w:val="24"/>
        </w:rPr>
        <w:t>方面</w:t>
      </w:r>
      <w:r>
        <w:rPr>
          <w:rFonts w:ascii="Times New Roman" w:hAnsi="Times New Roman" w:eastAsia="宋体" w:cs="Times New Roman"/>
          <w:sz w:val="24"/>
          <w:szCs w:val="24"/>
        </w:rPr>
        <w:t>，分别是</w:t>
      </w:r>
      <w:r>
        <w:rPr>
          <w:rFonts w:hint="eastAsia" w:ascii="Times New Roman" w:hAnsi="Times New Roman" w:eastAsia="宋体" w:cs="Times New Roman"/>
          <w:sz w:val="24"/>
          <w:szCs w:val="24"/>
        </w:rPr>
        <w:t>确定</w:t>
      </w:r>
      <w:r>
        <w:rPr>
          <w:rFonts w:ascii="Times New Roman" w:hAnsi="Times New Roman" w:eastAsia="宋体" w:cs="Times New Roman"/>
          <w:sz w:val="24"/>
          <w:szCs w:val="24"/>
        </w:rPr>
        <w:t>项目计划、</w:t>
      </w:r>
      <w:r>
        <w:rPr>
          <w:rFonts w:hint="eastAsia" w:ascii="Times New Roman" w:hAnsi="Times New Roman" w:eastAsia="宋体" w:cs="Times New Roman"/>
          <w:sz w:val="24"/>
          <w:szCs w:val="24"/>
        </w:rPr>
        <w:t>准备</w:t>
      </w:r>
      <w:r>
        <w:rPr>
          <w:rFonts w:ascii="Times New Roman" w:hAnsi="Times New Roman" w:eastAsia="宋体" w:cs="Times New Roman"/>
          <w:sz w:val="24"/>
          <w:szCs w:val="24"/>
        </w:rPr>
        <w:t>项目启动材料、</w:t>
      </w:r>
      <w:r>
        <w:rPr>
          <w:rFonts w:hint="eastAsia" w:ascii="Times New Roman" w:hAnsi="Times New Roman" w:eastAsia="宋体" w:cs="Times New Roman"/>
          <w:sz w:val="24"/>
          <w:szCs w:val="24"/>
        </w:rPr>
        <w:t>召开</w:t>
      </w:r>
      <w:r>
        <w:rPr>
          <w:rFonts w:ascii="Times New Roman" w:hAnsi="Times New Roman" w:eastAsia="宋体" w:cs="Times New Roman"/>
          <w:sz w:val="24"/>
          <w:szCs w:val="24"/>
        </w:rPr>
        <w:t>启动会。</w:t>
      </w:r>
    </w:p>
    <w:p>
      <w:pPr>
        <w:pStyle w:val="31"/>
        <w:snapToGrid w:val="0"/>
        <w:spacing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2、专题培训</w:t>
      </w:r>
    </w:p>
    <w:p>
      <w:pPr>
        <w:pStyle w:val="31"/>
        <w:snapToGrid w:val="0"/>
        <w:spacing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参选人按比选期间承诺的培训范围和内容、培训人数、培训时长承诺（当参选文件中承诺内容与最终合同冲突时，以最终合同为准），对比选人的单位员工和在场外包员工进行相关培训。通过培训提升研发人员对各项工作技能的掌握，并让相关人员建立起正确的工作习惯和工作意识。实施培训的场所由比选人指定和提供。</w:t>
      </w:r>
    </w:p>
    <w:p>
      <w:pPr>
        <w:pStyle w:val="31"/>
        <w:snapToGrid w:val="0"/>
        <w:spacing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3、流程优化</w:t>
      </w:r>
    </w:p>
    <w:p>
      <w:pPr>
        <w:pStyle w:val="31"/>
        <w:snapToGrid w:val="0"/>
        <w:spacing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参选人在咨询中将与过程改进团队确定总体方案、梳理流程图以及各过程的流程文件和模板，确保流程一致性、规范性、可行性和有效性。</w:t>
      </w:r>
    </w:p>
    <w:p>
      <w:pPr>
        <w:pStyle w:val="31"/>
        <w:snapToGrid w:val="0"/>
        <w:spacing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基于评审后的研发体系，双方共同选取不少于</w:t>
      </w:r>
      <w:r>
        <w:rPr>
          <w:rFonts w:ascii="Times New Roman" w:hAnsi="Times New Roman" w:eastAsia="宋体" w:cs="Times New Roman"/>
          <w:sz w:val="24"/>
          <w:szCs w:val="24"/>
        </w:rPr>
        <w:t>6</w:t>
      </w:r>
      <w:r>
        <w:rPr>
          <w:rFonts w:hint="eastAsia" w:ascii="Times New Roman" w:hAnsi="Times New Roman" w:eastAsia="宋体" w:cs="Times New Roman"/>
          <w:sz w:val="24"/>
          <w:szCs w:val="24"/>
        </w:rPr>
        <w:t>个研发项目进行试点。参选人负责试点项目的启动前培训、研发中审计和纠错、文档审查和试点总结改进工作，确保试点项目流程及文档符合 CMMI</w:t>
      </w:r>
      <w:r>
        <w:rPr>
          <w:rFonts w:ascii="Times New Roman" w:hAnsi="Times New Roman" w:eastAsia="宋体" w:cs="Times New Roman"/>
          <w:sz w:val="24"/>
          <w:szCs w:val="24"/>
        </w:rPr>
        <w:t xml:space="preserve"> 3</w:t>
      </w:r>
      <w:r>
        <w:rPr>
          <w:rFonts w:hint="eastAsia" w:ascii="Times New Roman" w:hAnsi="Times New Roman" w:eastAsia="宋体" w:cs="Times New Roman"/>
          <w:sz w:val="24"/>
          <w:szCs w:val="24"/>
        </w:rPr>
        <w:t>级及以上标准。试点完成后总结试点经验，进一步完善和改进研发体系。</w:t>
      </w:r>
    </w:p>
    <w:p>
      <w:pPr>
        <w:pStyle w:val="31"/>
        <w:snapToGrid w:val="0"/>
        <w:spacing w:line="360" w:lineRule="auto"/>
        <w:ind w:firstLine="480"/>
        <w:rPr>
          <w:rFonts w:ascii="Times New Roman" w:hAnsi="Times New Roman" w:eastAsia="宋体" w:cs="Times New Roman"/>
          <w:sz w:val="24"/>
          <w:szCs w:val="24"/>
        </w:rPr>
      </w:pPr>
      <w:r>
        <w:rPr>
          <w:rFonts w:ascii="Times New Roman" w:hAnsi="Times New Roman" w:eastAsia="宋体" w:cs="Times New Roman"/>
          <w:sz w:val="24"/>
          <w:szCs w:val="24"/>
        </w:rPr>
        <w:t>4</w:t>
      </w:r>
      <w:r>
        <w:rPr>
          <w:rFonts w:hint="eastAsia" w:ascii="Times New Roman" w:hAnsi="Times New Roman" w:eastAsia="宋体" w:cs="Times New Roman"/>
          <w:sz w:val="24"/>
          <w:szCs w:val="24"/>
        </w:rPr>
        <w:t>、数据分析</w:t>
      </w:r>
    </w:p>
    <w:p>
      <w:pPr>
        <w:pStyle w:val="31"/>
        <w:snapToGrid w:val="0"/>
        <w:spacing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参选人帮助比选人建立度量管理体系，度量体系反映管理人员的关注点及比选人的重点过程，并且能够较客观地反应各过程各团队的能力。在指导比选人建立度量体系时将根据改进目标和关键流程等信息协助确定度量项。</w:t>
      </w:r>
    </w:p>
    <w:p>
      <w:pPr>
        <w:pStyle w:val="31"/>
        <w:snapToGrid w:val="0"/>
        <w:spacing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通过分析关键过程的影响因素，协助比选人抽象出可量化影响因素并作为度量项，通过一定时间及一定量的数据收集，分析并判断过程的稳定性和能力。选择合适的分析方法来对数据进行分析，确保收集数据和对应的分析可对企业的管理起到实质性的作用。</w:t>
      </w:r>
    </w:p>
    <w:p>
      <w:pPr>
        <w:pStyle w:val="31"/>
        <w:snapToGrid w:val="0"/>
        <w:spacing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5、预评估与优化</w:t>
      </w:r>
    </w:p>
    <w:p>
      <w:pPr>
        <w:spacing w:line="360" w:lineRule="auto"/>
        <w:ind w:firstLine="385" w:firstLineChars="177"/>
        <w:rPr>
          <w:rFonts w:ascii="Times New Roman" w:hAnsi="Times New Roman" w:cs="Times New Roman"/>
          <w:sz w:val="24"/>
        </w:rPr>
      </w:pPr>
      <w:r>
        <w:rPr>
          <w:rFonts w:ascii="Times New Roman" w:hAnsi="Times New Roman" w:cs="Times New Roman"/>
          <w:spacing w:val="-11"/>
          <w:kern w:val="0"/>
          <w:sz w:val="24"/>
        </w:rPr>
        <w:t>参选人按照</w:t>
      </w:r>
      <w:r>
        <w:rPr>
          <w:rFonts w:ascii="Times New Roman" w:hAnsi="Times New Roman" w:cs="Times New Roman"/>
          <w:sz w:val="24"/>
        </w:rPr>
        <w:t>CMMI评估的要求，对比选人CMMI实施情况按照预评估要求进行内部评估，并记录发现的不符合项。参选人对内部评估发现的不符合项共同商讨解决方案并指导比选人对不符合项进行解决。</w:t>
      </w:r>
    </w:p>
    <w:p>
      <w:pPr>
        <w:spacing w:line="360" w:lineRule="auto"/>
        <w:ind w:firstLine="424" w:firstLineChars="177"/>
        <w:rPr>
          <w:rFonts w:ascii="Times New Roman" w:hAnsi="Times New Roman" w:cs="Times New Roman"/>
          <w:sz w:val="24"/>
          <w:szCs w:val="24"/>
        </w:rPr>
      </w:pPr>
      <w:r>
        <w:rPr>
          <w:rFonts w:ascii="Times New Roman" w:hAnsi="Times New Roman" w:cs="Times New Roman"/>
          <w:sz w:val="24"/>
        </w:rPr>
        <w:t>参选人需确定评估师，并指导制定评估计划和填写证据收集表。比选人需要为评估计划提供必要信息，安排</w:t>
      </w:r>
      <w:r>
        <w:rPr>
          <w:rFonts w:ascii="Times New Roman" w:hAnsi="Times New Roman" w:cs="Times New Roman"/>
          <w:sz w:val="24"/>
          <w:szCs w:val="24"/>
        </w:rPr>
        <w:t>人员填写证据收集表，参选人对评估计划和证据收集表进行评审。</w:t>
      </w:r>
      <w:r>
        <w:rPr>
          <w:rFonts w:hint="eastAsia" w:ascii="Times New Roman" w:hAnsi="Times New Roman" w:cs="Times New Roman"/>
          <w:sz w:val="24"/>
          <w:szCs w:val="24"/>
        </w:rPr>
        <w:t>参选人对预评估发现的不符合项共同商讨解决方案并指导比选人不符合项的解决。在不符合项解决完成后，参选人邀请评估师对比选人开展</w:t>
      </w:r>
      <w:r>
        <w:rPr>
          <w:rFonts w:ascii="Times New Roman" w:hAnsi="Times New Roman" w:cs="Times New Roman"/>
          <w:sz w:val="24"/>
          <w:szCs w:val="24"/>
        </w:rPr>
        <w:t xml:space="preserve">CMMI </w:t>
      </w:r>
      <w:r>
        <w:rPr>
          <w:rFonts w:hint="eastAsia" w:ascii="Times New Roman" w:hAnsi="Times New Roman" w:cs="Times New Roman"/>
          <w:sz w:val="24"/>
          <w:szCs w:val="24"/>
        </w:rPr>
        <w:t>正式评估工作。</w:t>
      </w:r>
    </w:p>
    <w:p>
      <w:pPr>
        <w:spacing w:line="360" w:lineRule="auto"/>
        <w:ind w:firstLine="482" w:firstLineChars="200"/>
        <w:jc w:val="left"/>
        <w:outlineLvl w:val="2"/>
        <w:rPr>
          <w:rFonts w:ascii="Times New Roman" w:hAnsi="Times New Roman" w:cs="Times New Roman"/>
          <w:b/>
          <w:snapToGrid w:val="0"/>
          <w:kern w:val="0"/>
          <w:sz w:val="24"/>
          <w:szCs w:val="24"/>
        </w:rPr>
      </w:pPr>
      <w:r>
        <w:rPr>
          <w:rFonts w:hint="eastAsia" w:ascii="Times New Roman" w:hAnsi="Times New Roman" w:cs="Times New Roman"/>
          <w:b/>
          <w:snapToGrid w:val="0"/>
          <w:kern w:val="0"/>
          <w:sz w:val="24"/>
          <w:szCs w:val="24"/>
        </w:rPr>
        <w:t>（三）认证评估</w:t>
      </w:r>
    </w:p>
    <w:p>
      <w:pPr>
        <w:spacing w:line="360" w:lineRule="auto"/>
        <w:ind w:firstLine="424" w:firstLineChars="177"/>
        <w:rPr>
          <w:rFonts w:ascii="宋体" w:cs="Cambria"/>
          <w:snapToGrid w:val="0"/>
          <w:kern w:val="0"/>
          <w:sz w:val="24"/>
          <w:szCs w:val="24"/>
        </w:rPr>
      </w:pPr>
      <w:r>
        <w:rPr>
          <w:rFonts w:ascii="Times New Roman" w:hAnsi="Times New Roman" w:cs="Times New Roman"/>
          <w:kern w:val="0"/>
          <w:sz w:val="24"/>
        </w:rPr>
        <w:t>正式评估是评估师对比选人的</w:t>
      </w:r>
      <w:r>
        <w:rPr>
          <w:rFonts w:ascii="Times New Roman" w:hAnsi="Times New Roman" w:cs="Times New Roman"/>
          <w:sz w:val="24"/>
        </w:rPr>
        <w:t>CMMI</w:t>
      </w:r>
      <w:r>
        <w:rPr>
          <w:rFonts w:ascii="Times New Roman" w:hAnsi="Times New Roman" w:cs="Times New Roman"/>
          <w:kern w:val="0"/>
          <w:sz w:val="24"/>
        </w:rPr>
        <w:t>实施状况进行的正式评估活动。正式评估依据</w:t>
      </w:r>
      <w:r>
        <w:rPr>
          <w:rFonts w:ascii="Times New Roman" w:hAnsi="Times New Roman" w:cs="Times New Roman"/>
          <w:sz w:val="24"/>
        </w:rPr>
        <w:t>CMMI</w:t>
      </w:r>
      <w:r>
        <w:rPr>
          <w:rFonts w:ascii="Times New Roman" w:hAnsi="Times New Roman" w:cs="Times New Roman"/>
          <w:kern w:val="0"/>
          <w:sz w:val="24"/>
        </w:rPr>
        <w:t>评估要求开展，并对比选人</w:t>
      </w:r>
      <w:r>
        <w:rPr>
          <w:rFonts w:ascii="Times New Roman" w:hAnsi="Times New Roman" w:cs="Times New Roman"/>
          <w:sz w:val="24"/>
        </w:rPr>
        <w:t>CMMI</w:t>
      </w:r>
      <w:r>
        <w:rPr>
          <w:rFonts w:ascii="Times New Roman" w:hAnsi="Times New Roman" w:cs="Times New Roman"/>
          <w:kern w:val="0"/>
          <w:sz w:val="24"/>
        </w:rPr>
        <w:t>实施情况进行定级。正式评估</w:t>
      </w:r>
      <w:r>
        <w:rPr>
          <w:rFonts w:ascii="Times New Roman" w:hAnsi="Times New Roman" w:cs="Times New Roman"/>
          <w:sz w:val="24"/>
        </w:rPr>
        <w:t>由CMMI评估师进行评估。</w:t>
      </w:r>
    </w:p>
    <w:p>
      <w:pPr>
        <w:spacing w:line="360" w:lineRule="auto"/>
        <w:ind w:firstLine="424" w:firstLineChars="177"/>
        <w:rPr>
          <w:rFonts w:ascii="Times New Roman" w:hAnsi="Times New Roman" w:cs="Times New Roman"/>
          <w:sz w:val="24"/>
          <w:szCs w:val="24"/>
        </w:rPr>
      </w:pPr>
      <w:r>
        <w:rPr>
          <w:rFonts w:hint="eastAsia" w:ascii="宋体" w:cs="Cambria"/>
          <w:snapToGrid w:val="0"/>
          <w:kern w:val="0"/>
          <w:sz w:val="24"/>
          <w:szCs w:val="24"/>
        </w:rPr>
        <w:t>参选人负责整理所需的各项材料，</w:t>
      </w:r>
      <w:r>
        <w:rPr>
          <w:rFonts w:ascii="Times New Roman" w:hAnsi="Times New Roman" w:cs="Times New Roman"/>
          <w:sz w:val="24"/>
          <w:szCs w:val="24"/>
        </w:rPr>
        <w:t>确保评估通过，并使</w:t>
      </w:r>
      <w:r>
        <w:rPr>
          <w:rFonts w:hint="eastAsia" w:ascii="Times New Roman" w:hAnsi="Times New Roman" w:cs="Times New Roman"/>
          <w:sz w:val="24"/>
          <w:szCs w:val="24"/>
        </w:rPr>
        <w:t>比选人</w:t>
      </w:r>
      <w:r>
        <w:rPr>
          <w:rFonts w:ascii="Times New Roman" w:hAnsi="Times New Roman" w:cs="Times New Roman"/>
          <w:sz w:val="24"/>
          <w:szCs w:val="24"/>
        </w:rPr>
        <w:t xml:space="preserve">取得由 </w:t>
      </w:r>
      <w:r>
        <w:rPr>
          <w:rFonts w:hint="eastAsia" w:ascii="Times New Roman" w:hAnsi="Times New Roman" w:cs="Times New Roman"/>
          <w:sz w:val="24"/>
          <w:szCs w:val="24"/>
        </w:rPr>
        <w:t>CMMI研究所</w:t>
      </w:r>
      <w:r>
        <w:rPr>
          <w:rFonts w:ascii="Times New Roman" w:hAnsi="Times New Roman" w:cs="Times New Roman"/>
          <w:sz w:val="24"/>
          <w:szCs w:val="24"/>
        </w:rPr>
        <w:t>颁发的</w:t>
      </w:r>
      <w:r>
        <w:rPr>
          <w:rFonts w:hint="eastAsia" w:ascii="Times New Roman" w:hAnsi="Times New Roman" w:cs="Times New Roman"/>
          <w:sz w:val="24"/>
          <w:szCs w:val="24"/>
        </w:rPr>
        <w:t>CMMI</w:t>
      </w:r>
      <w:r>
        <w:rPr>
          <w:rFonts w:ascii="Times New Roman" w:hAnsi="Times New Roman" w:cs="Times New Roman"/>
          <w:sz w:val="24"/>
          <w:szCs w:val="24"/>
        </w:rPr>
        <w:t xml:space="preserve"> 3级认证证书，</w:t>
      </w:r>
      <w:r>
        <w:rPr>
          <w:rFonts w:hint="eastAsia" w:ascii="Times New Roman" w:hAnsi="Times New Roman" w:cs="Times New Roman"/>
          <w:sz w:val="24"/>
          <w:szCs w:val="24"/>
        </w:rPr>
        <w:t>CMMI研究所</w:t>
      </w:r>
      <w:r>
        <w:rPr>
          <w:rFonts w:ascii="Times New Roman" w:hAnsi="Times New Roman" w:cs="Times New Roman"/>
          <w:sz w:val="24"/>
          <w:szCs w:val="24"/>
        </w:rPr>
        <w:t>官网列出</w:t>
      </w:r>
      <w:r>
        <w:rPr>
          <w:rFonts w:hint="eastAsia" w:ascii="Times New Roman" w:hAnsi="Times New Roman" w:cs="Times New Roman"/>
          <w:sz w:val="24"/>
          <w:szCs w:val="24"/>
        </w:rPr>
        <w:t>比选人</w:t>
      </w:r>
      <w:r>
        <w:rPr>
          <w:rFonts w:ascii="Times New Roman" w:hAnsi="Times New Roman" w:cs="Times New Roman"/>
          <w:sz w:val="24"/>
          <w:szCs w:val="24"/>
        </w:rPr>
        <w:t>通过认证的信息。</w:t>
      </w:r>
    </w:p>
    <w:p>
      <w:pPr>
        <w:spacing w:line="360" w:lineRule="auto"/>
        <w:ind w:firstLine="482" w:firstLineChars="200"/>
        <w:jc w:val="left"/>
        <w:outlineLvl w:val="1"/>
        <w:rPr>
          <w:rFonts w:ascii="Times New Roman" w:hAnsi="Times New Roman" w:cs="Times New Roman"/>
          <w:b/>
          <w:snapToGrid w:val="0"/>
          <w:kern w:val="0"/>
          <w:sz w:val="24"/>
          <w:szCs w:val="24"/>
        </w:rPr>
      </w:pPr>
      <w:r>
        <w:rPr>
          <w:rFonts w:ascii="Times New Roman" w:hAnsi="Times New Roman" w:cs="Times New Roman"/>
          <w:b/>
          <w:snapToGrid w:val="0"/>
          <w:kern w:val="0"/>
          <w:sz w:val="24"/>
          <w:szCs w:val="24"/>
        </w:rPr>
        <w:t>二、实施要求</w:t>
      </w:r>
    </w:p>
    <w:p>
      <w:pPr>
        <w:spacing w:line="360" w:lineRule="auto"/>
        <w:ind w:firstLine="420"/>
        <w:rPr>
          <w:rFonts w:ascii="Times New Roman" w:hAnsi="Times New Roman" w:cs="Times New Roman"/>
          <w:sz w:val="24"/>
          <w:szCs w:val="24"/>
        </w:rPr>
      </w:pPr>
      <w:r>
        <w:rPr>
          <w:rFonts w:ascii="Times New Roman" w:hAnsi="Times New Roman" w:cs="Times New Roman"/>
          <w:sz w:val="24"/>
        </w:rPr>
        <w:t>（一）</w:t>
      </w:r>
      <w:r>
        <w:rPr>
          <w:rFonts w:ascii="Times New Roman" w:hAnsi="Times New Roman" w:cs="Times New Roman"/>
          <w:sz w:val="24"/>
          <w:szCs w:val="24"/>
        </w:rPr>
        <w:t>参选人需按照服务内容和范围，</w:t>
      </w:r>
      <w:r>
        <w:rPr>
          <w:rFonts w:hint="eastAsia" w:ascii="Times New Roman" w:hAnsi="Times New Roman" w:cs="Times New Roman"/>
          <w:kern w:val="0"/>
          <w:sz w:val="24"/>
        </w:rPr>
        <w:t>提出需求理解方案，并基于需求理解方案</w:t>
      </w:r>
      <w:r>
        <w:rPr>
          <w:rFonts w:ascii="Times New Roman" w:hAnsi="Times New Roman" w:cs="Times New Roman"/>
          <w:kern w:val="0"/>
          <w:sz w:val="24"/>
        </w:rPr>
        <w:t>制定详细的</w:t>
      </w:r>
      <w:r>
        <w:rPr>
          <w:rFonts w:hint="eastAsia" w:ascii="Times New Roman" w:hAnsi="Times New Roman" w:cs="Times New Roman"/>
          <w:kern w:val="0"/>
          <w:sz w:val="24"/>
        </w:rPr>
        <w:t>项目</w:t>
      </w:r>
      <w:r>
        <w:rPr>
          <w:rFonts w:ascii="Times New Roman" w:hAnsi="Times New Roman" w:cs="Times New Roman"/>
          <w:kern w:val="0"/>
          <w:sz w:val="24"/>
        </w:rPr>
        <w:t>实施方案</w:t>
      </w:r>
      <w:r>
        <w:rPr>
          <w:rFonts w:hint="eastAsia" w:ascii="Times New Roman" w:hAnsi="Times New Roman" w:cs="Times New Roman"/>
          <w:kern w:val="0"/>
          <w:sz w:val="24"/>
        </w:rPr>
        <w:t>。项目实施方案至少包括实施内容、项目</w:t>
      </w:r>
      <w:r>
        <w:rPr>
          <w:rFonts w:ascii="Times New Roman" w:hAnsi="Times New Roman" w:cs="Times New Roman"/>
          <w:kern w:val="0"/>
          <w:sz w:val="24"/>
        </w:rPr>
        <w:t>计划、</w:t>
      </w:r>
      <w:r>
        <w:rPr>
          <w:rFonts w:hint="eastAsia" w:ascii="Times New Roman" w:hAnsi="Times New Roman" w:cs="Times New Roman"/>
          <w:kern w:val="0"/>
          <w:sz w:val="24"/>
        </w:rPr>
        <w:t>交付成果、</w:t>
      </w:r>
      <w:r>
        <w:rPr>
          <w:rFonts w:ascii="Times New Roman" w:hAnsi="Times New Roman" w:cs="Times New Roman"/>
          <w:kern w:val="0"/>
          <w:sz w:val="24"/>
        </w:rPr>
        <w:t>人员安排</w:t>
      </w:r>
      <w:r>
        <w:rPr>
          <w:rFonts w:hint="eastAsia" w:ascii="Times New Roman" w:hAnsi="Times New Roman" w:cs="Times New Roman"/>
          <w:kern w:val="0"/>
          <w:sz w:val="24"/>
        </w:rPr>
        <w:t>等。除外，参选人还可根据自身情况，在项目实施方案中独立章节提出有利于比选人研发体系建设的附属增值方案</w:t>
      </w:r>
      <w:r>
        <w:rPr>
          <w:rFonts w:ascii="Times New Roman" w:hAnsi="Times New Roman" w:cs="Times New Roman"/>
          <w:sz w:val="24"/>
          <w:szCs w:val="24"/>
        </w:rPr>
        <w:t>。</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（二）在本项目实施周期内，如遇到任何可能影响系统安全的事件，需要及时通告我行，提出相应处理方案，并在我行认可后方可执行处理方案。</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（三）参选人项目组在作业现场必须严格遵守我行外包人员行为管理要求和规范。</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（四）参选人在项目实施过程中，需按照我行要求提供相应电子和纸质文档（所有提交文档必须为中文）。</w:t>
      </w:r>
    </w:p>
    <w:p>
      <w:pPr>
        <w:spacing w:line="360" w:lineRule="auto"/>
        <w:ind w:firstLine="482" w:firstLineChars="200"/>
        <w:jc w:val="left"/>
        <w:outlineLvl w:val="1"/>
        <w:rPr>
          <w:rFonts w:ascii="Times New Roman" w:hAnsi="Times New Roman" w:cs="Times New Roman"/>
          <w:b/>
          <w:snapToGrid w:val="0"/>
          <w:kern w:val="0"/>
          <w:sz w:val="24"/>
          <w:szCs w:val="24"/>
        </w:rPr>
      </w:pPr>
      <w:r>
        <w:rPr>
          <w:rFonts w:ascii="Times New Roman" w:hAnsi="Times New Roman" w:cs="Times New Roman"/>
          <w:b/>
          <w:snapToGrid w:val="0"/>
          <w:kern w:val="0"/>
          <w:sz w:val="24"/>
          <w:szCs w:val="24"/>
        </w:rPr>
        <w:t>三、人员要求</w:t>
      </w:r>
    </w:p>
    <w:p>
      <w:pPr>
        <w:spacing w:line="360" w:lineRule="auto"/>
        <w:ind w:firstLine="482" w:firstLineChars="200"/>
        <w:jc w:val="left"/>
        <w:outlineLvl w:val="2"/>
        <w:rPr>
          <w:rFonts w:ascii="Times New Roman" w:hAnsi="Times New Roman" w:cs="Times New Roman"/>
          <w:b/>
          <w:snapToGrid w:val="0"/>
          <w:kern w:val="0"/>
          <w:sz w:val="24"/>
          <w:szCs w:val="24"/>
        </w:rPr>
      </w:pPr>
      <w:bookmarkStart w:id="55" w:name="_Toc89675142"/>
      <w:r>
        <w:rPr>
          <w:rFonts w:hint="eastAsia" w:ascii="Times New Roman" w:hAnsi="Times New Roman" w:cs="Times New Roman"/>
          <w:b/>
          <w:snapToGrid w:val="0"/>
          <w:kern w:val="0"/>
          <w:sz w:val="24"/>
          <w:szCs w:val="24"/>
        </w:rPr>
        <w:t>（一）人员基础要求</w:t>
      </w:r>
    </w:p>
    <w:p>
      <w:pPr>
        <w:spacing w:line="360" w:lineRule="auto"/>
        <w:ind w:firstLine="424" w:firstLineChars="177"/>
        <w:rPr>
          <w:rFonts w:ascii="Times New Roman" w:hAnsi="Times New Roman" w:cs="Times New Roman"/>
          <w:kern w:val="0"/>
          <w:sz w:val="24"/>
        </w:rPr>
      </w:pPr>
      <w:r>
        <w:rPr>
          <w:rFonts w:hint="eastAsia" w:ascii="Times New Roman" w:hAnsi="Times New Roman" w:cs="Times New Roman"/>
          <w:kern w:val="0"/>
          <w:sz w:val="24"/>
        </w:rPr>
        <w:t>参选人应承诺未征得比选人同意的情况下不得更换项目成员。</w:t>
      </w:r>
    </w:p>
    <w:p>
      <w:pPr>
        <w:spacing w:line="360" w:lineRule="auto"/>
        <w:ind w:firstLine="424" w:firstLineChars="177"/>
        <w:rPr>
          <w:rFonts w:ascii="Times New Roman" w:hAnsi="Times New Roman" w:cs="Times New Roman"/>
          <w:kern w:val="0"/>
          <w:sz w:val="24"/>
        </w:rPr>
      </w:pPr>
      <w:r>
        <w:rPr>
          <w:rFonts w:hint="eastAsia" w:ascii="Times New Roman" w:hAnsi="Times New Roman" w:cs="Times New Roman"/>
          <w:kern w:val="0"/>
          <w:sz w:val="24"/>
        </w:rPr>
        <w:t>参选人的项目团队成员中，至少包括2人。</w:t>
      </w:r>
    </w:p>
    <w:p>
      <w:pPr>
        <w:spacing w:line="360" w:lineRule="auto"/>
        <w:ind w:firstLine="424" w:firstLineChars="177"/>
        <w:rPr>
          <w:rFonts w:ascii="Times New Roman" w:hAnsi="Times New Roman" w:cs="Times New Roman"/>
          <w:kern w:val="0"/>
          <w:sz w:val="24"/>
        </w:rPr>
      </w:pPr>
      <w:r>
        <w:rPr>
          <w:rFonts w:hint="eastAsia" w:ascii="Times New Roman" w:hAnsi="Times New Roman" w:cs="Times New Roman"/>
          <w:kern w:val="0"/>
          <w:sz w:val="24"/>
        </w:rPr>
        <w:t>参选人需按《参选文件格式》的“项目人员名单表”，提供项目团队人员的简历信息。比选人将对参选人所提供的项目团队人员进行审核，达不到比选人要求的将要求替换。</w:t>
      </w:r>
    </w:p>
    <w:p>
      <w:pPr>
        <w:spacing w:line="360" w:lineRule="auto"/>
        <w:ind w:firstLine="482" w:firstLineChars="200"/>
        <w:jc w:val="left"/>
        <w:outlineLvl w:val="2"/>
        <w:rPr>
          <w:rFonts w:ascii="Times New Roman" w:hAnsi="Times New Roman" w:cs="Times New Roman"/>
          <w:b/>
          <w:snapToGrid w:val="0"/>
          <w:kern w:val="0"/>
          <w:sz w:val="24"/>
          <w:szCs w:val="24"/>
        </w:rPr>
      </w:pPr>
      <w:r>
        <w:rPr>
          <w:rFonts w:hint="eastAsia" w:ascii="Times New Roman" w:hAnsi="Times New Roman" w:cs="Times New Roman"/>
          <w:b/>
          <w:snapToGrid w:val="0"/>
          <w:kern w:val="0"/>
          <w:sz w:val="24"/>
          <w:szCs w:val="24"/>
        </w:rPr>
        <w:t>（二）项目团队角色要求</w:t>
      </w:r>
    </w:p>
    <w:p>
      <w:pPr>
        <w:topLinePunct/>
        <w:spacing w:line="360" w:lineRule="auto"/>
        <w:ind w:firstLine="480" w:firstLineChars="200"/>
        <w:contextualSpacing/>
        <w:rPr>
          <w:rFonts w:ascii="宋体"/>
          <w:snapToGrid w:val="0"/>
          <w:kern w:val="0"/>
          <w:sz w:val="24"/>
          <w:szCs w:val="24"/>
        </w:rPr>
      </w:pPr>
      <w:r>
        <w:rPr>
          <w:rFonts w:hint="eastAsia" w:ascii="宋体"/>
          <w:snapToGrid w:val="0"/>
          <w:kern w:val="0"/>
          <w:sz w:val="24"/>
          <w:szCs w:val="24"/>
        </w:rPr>
        <w:t>在项目团队人员中，应包括项目经理、主任评估师、主导咨询师、辅助咨询师等角色。</w:t>
      </w:r>
    </w:p>
    <w:p>
      <w:pPr>
        <w:pStyle w:val="32"/>
        <w:numPr>
          <w:ilvl w:val="0"/>
          <w:numId w:val="1"/>
        </w:numPr>
        <w:topLinePunct/>
        <w:spacing w:line="360" w:lineRule="auto"/>
        <w:ind w:firstLineChars="0"/>
        <w:contextualSpacing/>
        <w:rPr>
          <w:rFonts w:ascii="宋体"/>
          <w:snapToGrid w:val="0"/>
          <w:kern w:val="0"/>
          <w:sz w:val="24"/>
          <w:szCs w:val="24"/>
        </w:rPr>
      </w:pPr>
      <w:r>
        <w:rPr>
          <w:rFonts w:hint="eastAsia" w:ascii="宋体"/>
          <w:snapToGrid w:val="0"/>
          <w:kern w:val="0"/>
          <w:sz w:val="24"/>
          <w:szCs w:val="24"/>
        </w:rPr>
        <w:t>项目经理可与主任评估师、主导咨询师为同一人。</w:t>
      </w:r>
    </w:p>
    <w:p>
      <w:pPr>
        <w:pStyle w:val="32"/>
        <w:numPr>
          <w:ilvl w:val="0"/>
          <w:numId w:val="1"/>
        </w:numPr>
        <w:topLinePunct/>
        <w:spacing w:line="360" w:lineRule="auto"/>
        <w:ind w:firstLineChars="0"/>
        <w:contextualSpacing/>
        <w:rPr>
          <w:rFonts w:ascii="宋体" w:cs="Cambria"/>
          <w:snapToGrid w:val="0"/>
          <w:kern w:val="0"/>
          <w:sz w:val="24"/>
          <w:szCs w:val="24"/>
        </w:rPr>
      </w:pPr>
      <w:r>
        <w:rPr>
          <w:rFonts w:hint="eastAsia" w:ascii="宋体" w:cs="Cambria"/>
          <w:snapToGrid w:val="0"/>
          <w:kern w:val="0"/>
          <w:sz w:val="24"/>
          <w:szCs w:val="24"/>
        </w:rPr>
        <w:t>主任评估师，具备CMMI研究院授权的主任评估师资质。</w:t>
      </w:r>
    </w:p>
    <w:p>
      <w:pPr>
        <w:pStyle w:val="32"/>
        <w:numPr>
          <w:ilvl w:val="0"/>
          <w:numId w:val="1"/>
        </w:numPr>
        <w:topLinePunct/>
        <w:spacing w:line="360" w:lineRule="auto"/>
        <w:ind w:firstLineChars="0"/>
        <w:contextualSpacing/>
        <w:rPr>
          <w:rFonts w:ascii="宋体" w:cs="Cambria"/>
          <w:snapToGrid w:val="0"/>
          <w:kern w:val="0"/>
          <w:sz w:val="24"/>
          <w:szCs w:val="24"/>
        </w:rPr>
      </w:pPr>
      <w:r>
        <w:rPr>
          <w:rFonts w:hint="eastAsia" w:ascii="宋体" w:cs="Cambria"/>
          <w:snapToGrid w:val="0"/>
          <w:kern w:val="0"/>
          <w:sz w:val="24"/>
          <w:szCs w:val="24"/>
        </w:rPr>
        <w:t>主导咨询师，须具有</w:t>
      </w:r>
      <w:r>
        <w:rPr>
          <w:rFonts w:ascii="宋体" w:cs="Cambria"/>
          <w:snapToGrid w:val="0"/>
          <w:kern w:val="0"/>
          <w:sz w:val="24"/>
          <w:szCs w:val="24"/>
        </w:rPr>
        <w:t>5</w:t>
      </w:r>
      <w:r>
        <w:rPr>
          <w:rFonts w:hint="eastAsia" w:ascii="宋体" w:cs="Cambria"/>
          <w:snapToGrid w:val="0"/>
          <w:kern w:val="0"/>
          <w:sz w:val="24"/>
          <w:szCs w:val="24"/>
        </w:rPr>
        <w:t>年及以上的相关工作经历，具备3个以上CMMI</w:t>
      </w:r>
      <w:r>
        <w:rPr>
          <w:rFonts w:ascii="宋体" w:cs="Cambria"/>
          <w:snapToGrid w:val="0"/>
          <w:kern w:val="0"/>
          <w:sz w:val="24"/>
          <w:szCs w:val="24"/>
        </w:rPr>
        <w:t xml:space="preserve"> 3</w:t>
      </w:r>
      <w:r>
        <w:rPr>
          <w:rFonts w:hint="eastAsia" w:ascii="宋体" w:cs="Cambria"/>
          <w:snapToGrid w:val="0"/>
          <w:kern w:val="0"/>
          <w:sz w:val="24"/>
          <w:szCs w:val="24"/>
        </w:rPr>
        <w:t>级及其以上的项目咨询经历。</w:t>
      </w:r>
    </w:p>
    <w:p>
      <w:pPr>
        <w:pStyle w:val="32"/>
        <w:numPr>
          <w:ilvl w:val="0"/>
          <w:numId w:val="1"/>
        </w:numPr>
        <w:topLinePunct/>
        <w:spacing w:line="360" w:lineRule="auto"/>
        <w:ind w:firstLineChars="0"/>
        <w:contextualSpacing/>
        <w:rPr>
          <w:rFonts w:ascii="宋体" w:cs="Cambria"/>
          <w:snapToGrid w:val="0"/>
          <w:kern w:val="0"/>
          <w:sz w:val="24"/>
          <w:szCs w:val="24"/>
        </w:rPr>
      </w:pPr>
      <w:r>
        <w:rPr>
          <w:rFonts w:hint="eastAsia" w:ascii="宋体" w:cs="Cambria"/>
          <w:snapToGrid w:val="0"/>
          <w:kern w:val="0"/>
          <w:sz w:val="24"/>
          <w:szCs w:val="24"/>
        </w:rPr>
        <w:t>辅助咨询师，须具有</w:t>
      </w:r>
      <w:r>
        <w:rPr>
          <w:rFonts w:ascii="宋体" w:cs="Cambria"/>
          <w:snapToGrid w:val="0"/>
          <w:kern w:val="0"/>
          <w:sz w:val="24"/>
          <w:szCs w:val="24"/>
        </w:rPr>
        <w:t>3</w:t>
      </w:r>
      <w:r>
        <w:rPr>
          <w:rFonts w:hint="eastAsia" w:ascii="宋体" w:cs="Cambria"/>
          <w:snapToGrid w:val="0"/>
          <w:kern w:val="0"/>
          <w:sz w:val="24"/>
          <w:szCs w:val="24"/>
        </w:rPr>
        <w:t>年及以上的相关工作经历，具备</w:t>
      </w:r>
      <w:r>
        <w:rPr>
          <w:rFonts w:ascii="宋体" w:cs="Cambria"/>
          <w:snapToGrid w:val="0"/>
          <w:kern w:val="0"/>
          <w:sz w:val="24"/>
          <w:szCs w:val="24"/>
        </w:rPr>
        <w:t>1</w:t>
      </w:r>
      <w:r>
        <w:rPr>
          <w:rFonts w:hint="eastAsia" w:ascii="宋体" w:cs="Cambria"/>
          <w:snapToGrid w:val="0"/>
          <w:kern w:val="0"/>
          <w:sz w:val="24"/>
          <w:szCs w:val="24"/>
        </w:rPr>
        <w:t>个以上CMMI</w:t>
      </w:r>
      <w:r>
        <w:rPr>
          <w:rFonts w:ascii="宋体" w:cs="Cambria"/>
          <w:snapToGrid w:val="0"/>
          <w:kern w:val="0"/>
          <w:sz w:val="24"/>
          <w:szCs w:val="24"/>
        </w:rPr>
        <w:t xml:space="preserve"> 3</w:t>
      </w:r>
      <w:r>
        <w:rPr>
          <w:rFonts w:hint="eastAsia" w:ascii="宋体" w:cs="Cambria"/>
          <w:snapToGrid w:val="0"/>
          <w:kern w:val="0"/>
          <w:sz w:val="24"/>
          <w:szCs w:val="24"/>
        </w:rPr>
        <w:t>级及其以上的项目咨询经历。</w:t>
      </w:r>
    </w:p>
    <w:p>
      <w:pPr>
        <w:spacing w:line="360" w:lineRule="auto"/>
        <w:ind w:firstLine="480" w:firstLineChars="200"/>
        <w:rPr>
          <w:rFonts w:ascii="Times New Roman" w:hAnsi="Times New Roman" w:cs="Times New Roman"/>
          <w:sz w:val="24"/>
          <w:szCs w:val="24"/>
        </w:rPr>
      </w:pPr>
    </w:p>
    <w:bookmarkEnd w:id="55"/>
    <w:p>
      <w:pPr>
        <w:pStyle w:val="4"/>
        <w:ind w:firstLine="482"/>
        <w:rPr>
          <w:rFonts w:ascii="Times New Roman" w:hAnsi="Times New Roman" w:cs="Times New Roman"/>
          <w:bCs w:val="0"/>
        </w:rPr>
      </w:pPr>
      <w:r>
        <w:rPr>
          <w:rFonts w:ascii="Times New Roman" w:hAnsi="Times New Roman" w:cs="Times New Roman"/>
          <w:bCs w:val="0"/>
        </w:rPr>
        <w:t>四、知识产权要求</w:t>
      </w:r>
    </w:p>
    <w:p>
      <w:pPr>
        <w:tabs>
          <w:tab w:val="left" w:pos="6300"/>
        </w:tabs>
        <w:snapToGrid w:val="0"/>
        <w:spacing w:line="360" w:lineRule="auto"/>
        <w:ind w:firstLine="48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如无特殊说明，项目实施过程中产生、加工、交互的一切项目信息、资料和知识产权均归采购人所有。未经采购人事先同意，参选人不得将前述属于采购人知识产权的全部或部分转让给任何第三方，也不得进行任何形式的复制、改编、编译或衍生开发或者许可他人使用。</w:t>
      </w:r>
    </w:p>
    <w:p>
      <w:pPr>
        <w:spacing w:line="360" w:lineRule="auto"/>
        <w:rPr>
          <w:rFonts w:ascii="Times New Roman" w:hAnsi="Times New Roman" w:cs="Times New Roman"/>
          <w:snapToGrid w:val="0"/>
          <w:kern w:val="0"/>
          <w:sz w:val="24"/>
          <w:szCs w:val="24"/>
        </w:rPr>
      </w:pPr>
    </w:p>
    <w:p>
      <w:pPr>
        <w:widowControl/>
        <w:jc w:val="left"/>
        <w:rPr>
          <w:rFonts w:ascii="Times New Roman" w:hAnsi="Times New Roman" w:cs="Times New Roman"/>
          <w:b/>
          <w:snapToGrid w:val="0"/>
          <w:kern w:val="0"/>
          <w:sz w:val="44"/>
          <w:szCs w:val="44"/>
        </w:rPr>
      </w:pPr>
      <w:r>
        <w:rPr>
          <w:rFonts w:ascii="Times New Roman" w:hAnsi="Times New Roman" w:cs="Times New Roman"/>
        </w:rPr>
        <w:br w:type="page"/>
      </w:r>
    </w:p>
    <w:p>
      <w:pPr>
        <w:pStyle w:val="3"/>
        <w:spacing w:before="0"/>
        <w:ind w:right="0" w:rightChars="0"/>
        <w:rPr>
          <w:rFonts w:ascii="Times New Roman" w:hAnsi="Times New Roman" w:cs="Times New Roman"/>
        </w:rPr>
      </w:pPr>
      <w:bookmarkStart w:id="56" w:name="_Toc155270550"/>
      <w:r>
        <w:rPr>
          <w:rFonts w:ascii="Times New Roman" w:hAnsi="Times New Roman" w:cs="Times New Roman"/>
        </w:rPr>
        <w:t>第</w:t>
      </w:r>
      <w:r>
        <w:rPr>
          <w:rFonts w:hint="eastAsia" w:ascii="Times New Roman" w:hAnsi="Times New Roman" w:cs="Times New Roman"/>
        </w:rPr>
        <w:t>五</w:t>
      </w:r>
      <w:r>
        <w:rPr>
          <w:rFonts w:ascii="Times New Roman" w:hAnsi="Times New Roman" w:cs="Times New Roman"/>
        </w:rPr>
        <w:t>章商务条款</w:t>
      </w:r>
      <w:bookmarkEnd w:id="56"/>
    </w:p>
    <w:p>
      <w:pPr>
        <w:spacing w:line="360" w:lineRule="auto"/>
        <w:ind w:firstLine="482" w:firstLineChars="200"/>
        <w:jc w:val="left"/>
        <w:outlineLvl w:val="1"/>
        <w:rPr>
          <w:rFonts w:ascii="Times New Roman" w:hAnsi="Times New Roman" w:cs="Times New Roman"/>
          <w:b/>
          <w:snapToGrid w:val="0"/>
          <w:kern w:val="0"/>
          <w:sz w:val="24"/>
          <w:szCs w:val="24"/>
        </w:rPr>
      </w:pPr>
      <w:bookmarkStart w:id="57" w:name="_Toc89675144"/>
      <w:bookmarkStart w:id="58" w:name="_Toc15059418"/>
      <w:r>
        <w:rPr>
          <w:rFonts w:ascii="Times New Roman" w:hAnsi="Times New Roman" w:cs="Times New Roman"/>
          <w:b/>
          <w:snapToGrid w:val="0"/>
          <w:kern w:val="0"/>
          <w:sz w:val="24"/>
          <w:szCs w:val="24"/>
        </w:rPr>
        <w:t>一、交付时间、地点</w:t>
      </w:r>
      <w:bookmarkEnd w:id="57"/>
      <w:bookmarkEnd w:id="58"/>
    </w:p>
    <w:p>
      <w:pPr>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（一）交付时间：以项目合同为准。</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（二）实施及交付地点：</w:t>
      </w:r>
      <w:r>
        <w:rPr>
          <w:rFonts w:hint="eastAsia" w:ascii="宋体" w:cs="宋体"/>
          <w:snapToGrid w:val="0"/>
          <w:kern w:val="0"/>
          <w:sz w:val="24"/>
          <w:szCs w:val="24"/>
        </w:rPr>
        <w:t>比选人指定地点。</w:t>
      </w:r>
    </w:p>
    <w:p>
      <w:pPr>
        <w:spacing w:line="360" w:lineRule="auto"/>
        <w:ind w:firstLine="482" w:firstLineChars="200"/>
        <w:jc w:val="left"/>
        <w:outlineLvl w:val="1"/>
        <w:rPr>
          <w:rFonts w:ascii="Times New Roman" w:hAnsi="Times New Roman" w:cs="Times New Roman"/>
          <w:b/>
          <w:snapToGrid w:val="0"/>
          <w:kern w:val="0"/>
          <w:sz w:val="24"/>
          <w:szCs w:val="24"/>
        </w:rPr>
      </w:pPr>
      <w:bookmarkStart w:id="59" w:name="_Toc15059419"/>
      <w:bookmarkStart w:id="60" w:name="_Toc89675145"/>
      <w:bookmarkStart w:id="61" w:name="_Toc432254881"/>
      <w:bookmarkStart w:id="62" w:name="_Toc387826347"/>
      <w:bookmarkStart w:id="63" w:name="_Toc440628915"/>
      <w:bookmarkStart w:id="64" w:name="_Toc1125"/>
      <w:r>
        <w:rPr>
          <w:rFonts w:ascii="Times New Roman" w:hAnsi="Times New Roman" w:cs="Times New Roman"/>
          <w:b/>
          <w:snapToGrid w:val="0"/>
          <w:kern w:val="0"/>
          <w:sz w:val="24"/>
          <w:szCs w:val="24"/>
        </w:rPr>
        <w:t>二、验收</w:t>
      </w:r>
      <w:bookmarkEnd w:id="59"/>
      <w:bookmarkEnd w:id="60"/>
    </w:p>
    <w:p>
      <w:pPr>
        <w:autoSpaceDE w:val="0"/>
        <w:autoSpaceDN w:val="0"/>
        <w:spacing w:line="360" w:lineRule="auto"/>
        <w:ind w:firstLine="480" w:firstLineChars="200"/>
        <w:jc w:val="left"/>
        <w:rPr>
          <w:rFonts w:ascii="Times New Roman" w:hAnsi="Times New Roman" w:cs="Times New Roman"/>
          <w:sz w:val="24"/>
          <w:szCs w:val="24"/>
        </w:rPr>
      </w:pPr>
      <w:bookmarkStart w:id="65" w:name="_Toc89675147"/>
      <w:bookmarkStart w:id="66" w:name="_Toc15059421"/>
      <w:r>
        <w:rPr>
          <w:rFonts w:hint="eastAsia" w:ascii="宋体" w:cs="Cambria"/>
          <w:snapToGrid w:val="0"/>
          <w:kern w:val="0"/>
          <w:sz w:val="24"/>
          <w:szCs w:val="24"/>
        </w:rPr>
        <w:t>1、中选人按合同约定完成各项服务工作，为</w:t>
      </w:r>
      <w:r>
        <w:rPr>
          <w:rFonts w:hint="eastAsia" w:ascii="Times New Roman" w:hAnsi="Times New Roman" w:cs="Times New Roman"/>
          <w:sz w:val="24"/>
          <w:szCs w:val="24"/>
        </w:rPr>
        <w:t>比选人提供CMMI DEV3.0-ML3的咨询评估认证服务，建立CMMI L3级体系，提升比选人软件研发交付质量和效能优化开发过程，</w:t>
      </w:r>
      <w:r>
        <w:rPr>
          <w:rFonts w:hint="eastAsia" w:ascii="宋体" w:cs="Cambria"/>
          <w:snapToGrid w:val="0"/>
          <w:kern w:val="0"/>
          <w:sz w:val="24"/>
          <w:szCs w:val="24"/>
        </w:rPr>
        <w:t>向比选人提交各项交付物并通过比选人</w:t>
      </w:r>
      <w:r>
        <w:rPr>
          <w:rFonts w:hint="eastAsia" w:ascii="Times New Roman" w:hAnsi="Times New Roman" w:cs="Times New Roman"/>
          <w:sz w:val="24"/>
          <w:szCs w:val="24"/>
        </w:rPr>
        <w:t>审核。</w:t>
      </w:r>
    </w:p>
    <w:p>
      <w:pPr>
        <w:autoSpaceDE w:val="0"/>
        <w:autoSpaceDN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、中选人帮助比选人顺利通过CMMI DEV3.0-ML3认证正式评估，并取得真实、合法、有效的CMMI DEV3.0-ML3认证证书，证书须能在CMMI研究院官网上查询，以此作为项目的终验交付物</w:t>
      </w:r>
      <w:r>
        <w:rPr>
          <w:rFonts w:ascii="Times New Roman" w:hAnsi="Times New Roman" w:cs="Times New Roman"/>
          <w:sz w:val="24"/>
          <w:szCs w:val="24"/>
        </w:rPr>
        <w:t>。</w:t>
      </w:r>
    </w:p>
    <w:p>
      <w:pPr>
        <w:spacing w:line="360" w:lineRule="auto"/>
        <w:ind w:firstLine="480" w:firstLineChars="200"/>
        <w:jc w:val="left"/>
        <w:outlineLvl w:val="9"/>
        <w:rPr>
          <w:rFonts w:ascii="宋体" w:cs="Cambria"/>
          <w:snapToGrid w:val="0"/>
          <w:kern w:val="0"/>
          <w:sz w:val="24"/>
          <w:szCs w:val="24"/>
        </w:rPr>
      </w:pPr>
      <w:r>
        <w:rPr>
          <w:rFonts w:ascii="Times New Roman" w:hAnsi="Times New Roman" w:cs="Times New Roman"/>
          <w:sz w:val="24"/>
          <w:szCs w:val="24"/>
        </w:rPr>
        <w:t>3</w:t>
      </w:r>
      <w:r>
        <w:rPr>
          <w:rFonts w:hint="eastAsia" w:ascii="Times New Roman" w:hAnsi="Times New Roman" w:cs="Times New Roman"/>
          <w:sz w:val="24"/>
          <w:szCs w:val="24"/>
        </w:rPr>
        <w:t>、中选人按</w:t>
      </w:r>
      <w:r>
        <w:rPr>
          <w:rFonts w:hint="eastAsia" w:ascii="宋体" w:cs="Cambria"/>
          <w:snapToGrid w:val="0"/>
          <w:kern w:val="0"/>
          <w:sz w:val="24"/>
          <w:szCs w:val="24"/>
        </w:rPr>
        <w:t>合同约定，完成各项培训工作，并交付培训过程中的培训资料和其他的辅助参考材料。</w:t>
      </w:r>
    </w:p>
    <w:p>
      <w:pPr>
        <w:spacing w:line="360" w:lineRule="auto"/>
        <w:ind w:firstLine="482" w:firstLineChars="200"/>
        <w:jc w:val="left"/>
        <w:outlineLvl w:val="1"/>
        <w:rPr>
          <w:rFonts w:ascii="Times New Roman" w:hAnsi="Times New Roman" w:cs="Times New Roman"/>
          <w:b/>
          <w:snapToGrid w:val="0"/>
          <w:kern w:val="0"/>
          <w:sz w:val="24"/>
          <w:szCs w:val="24"/>
        </w:rPr>
      </w:pPr>
      <w:r>
        <w:rPr>
          <w:rFonts w:ascii="Times New Roman" w:hAnsi="Times New Roman" w:cs="Times New Roman"/>
          <w:b/>
          <w:snapToGrid w:val="0"/>
          <w:kern w:val="0"/>
          <w:sz w:val="24"/>
          <w:szCs w:val="24"/>
        </w:rPr>
        <w:t>三、</w:t>
      </w:r>
      <w:bookmarkEnd w:id="65"/>
      <w:bookmarkEnd w:id="66"/>
      <w:bookmarkStart w:id="67" w:name="_Toc15059422"/>
      <w:bookmarkStart w:id="68" w:name="_Toc89675148"/>
      <w:r>
        <w:rPr>
          <w:rFonts w:ascii="Times New Roman" w:hAnsi="Times New Roman" w:cs="Times New Roman"/>
          <w:b/>
          <w:snapToGrid w:val="0"/>
          <w:kern w:val="0"/>
          <w:sz w:val="24"/>
          <w:szCs w:val="24"/>
        </w:rPr>
        <w:t>付款方式</w:t>
      </w:r>
      <w:bookmarkEnd w:id="67"/>
      <w:bookmarkEnd w:id="68"/>
    </w:p>
    <w:p>
      <w:pPr>
        <w:autoSpaceDE w:val="0"/>
        <w:autoSpaceDN w:val="0"/>
        <w:spacing w:line="360" w:lineRule="auto"/>
        <w:ind w:firstLine="480" w:firstLineChars="200"/>
        <w:jc w:val="left"/>
        <w:rPr>
          <w:rFonts w:ascii="Times New Roman" w:hAnsi="Times New Roman" w:cs="Times New Roman"/>
          <w:sz w:val="24"/>
          <w:szCs w:val="24"/>
        </w:rPr>
      </w:pPr>
      <w:bookmarkStart w:id="69" w:name="_Toc89675150"/>
      <w:bookmarkStart w:id="70" w:name="_Toc15059424"/>
      <w:r>
        <w:rPr>
          <w:rFonts w:ascii="Times New Roman" w:hAnsi="Times New Roman" w:cs="Times New Roman"/>
          <w:sz w:val="24"/>
          <w:szCs w:val="24"/>
        </w:rPr>
        <w:t>1</w:t>
      </w:r>
      <w:r>
        <w:rPr>
          <w:rFonts w:hint="eastAsia" w:ascii="Times New Roman" w:hAnsi="Times New Roman" w:cs="Times New Roman"/>
          <w:sz w:val="24"/>
          <w:szCs w:val="24"/>
        </w:rPr>
        <w:t>、合同签订后，中选人按照合同约定完成差距分析，提供差距分析报告，通过比选人审核，中选人向比选人提供合法足额的增值税专用发票，比选人收到发票并确认无误后</w:t>
      </w:r>
      <w:r>
        <w:rPr>
          <w:rFonts w:ascii="Times New Roman" w:hAnsi="Times New Roman" w:cs="Times New Roman"/>
          <w:sz w:val="24"/>
          <w:szCs w:val="24"/>
        </w:rPr>
        <w:t>30</w:t>
      </w:r>
      <w:r>
        <w:rPr>
          <w:rFonts w:hint="eastAsia" w:ascii="Times New Roman" w:hAnsi="Times New Roman" w:cs="Times New Roman"/>
          <w:sz w:val="24"/>
          <w:szCs w:val="24"/>
        </w:rPr>
        <w:t>个工作日内，支付合同总额的3</w:t>
      </w:r>
      <w:r>
        <w:rPr>
          <w:rFonts w:ascii="Times New Roman" w:hAnsi="Times New Roman" w:cs="Times New Roman"/>
          <w:sz w:val="24"/>
          <w:szCs w:val="24"/>
        </w:rPr>
        <w:t>0</w:t>
      </w:r>
      <w:r>
        <w:rPr>
          <w:rFonts w:hint="eastAsia" w:ascii="Times New Roman" w:hAnsi="Times New Roman" w:cs="Times New Roman"/>
          <w:sz w:val="24"/>
          <w:szCs w:val="24"/>
        </w:rPr>
        <w:t>%给中选人。</w:t>
      </w:r>
    </w:p>
    <w:p>
      <w:pPr>
        <w:autoSpaceDE w:val="0"/>
        <w:autoSpaceDN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2</w:t>
      </w:r>
      <w:r>
        <w:rPr>
          <w:rFonts w:hint="eastAsia" w:ascii="Times New Roman" w:hAnsi="Times New Roman" w:cs="Times New Roman"/>
          <w:sz w:val="24"/>
          <w:szCs w:val="24"/>
        </w:rPr>
        <w:t>、按照合同约定，中选人协助比选人完成体系建设及试点项目试运行后，中选人向比选人提供合法足额的增值税专用发票，比选人收到发票并确认无误后</w:t>
      </w:r>
      <w:r>
        <w:rPr>
          <w:rFonts w:ascii="Times New Roman" w:hAnsi="Times New Roman" w:cs="Times New Roman"/>
          <w:sz w:val="24"/>
          <w:szCs w:val="24"/>
        </w:rPr>
        <w:t>30</w:t>
      </w:r>
      <w:r>
        <w:rPr>
          <w:rFonts w:hint="eastAsia" w:ascii="Times New Roman" w:hAnsi="Times New Roman" w:cs="Times New Roman"/>
          <w:sz w:val="24"/>
          <w:szCs w:val="24"/>
        </w:rPr>
        <w:t>个工作日内，支付合同总额的</w:t>
      </w:r>
      <w:r>
        <w:rPr>
          <w:rFonts w:ascii="Times New Roman" w:hAnsi="Times New Roman" w:cs="Times New Roman"/>
          <w:sz w:val="24"/>
          <w:szCs w:val="24"/>
        </w:rPr>
        <w:t>30</w:t>
      </w:r>
      <w:r>
        <w:rPr>
          <w:rFonts w:hint="eastAsia" w:ascii="Times New Roman" w:hAnsi="Times New Roman" w:cs="Times New Roman"/>
          <w:sz w:val="24"/>
          <w:szCs w:val="24"/>
        </w:rPr>
        <w:t>%给中选人。</w:t>
      </w:r>
    </w:p>
    <w:p>
      <w:pPr>
        <w:autoSpaceDE w:val="0"/>
        <w:autoSpaceDN w:val="0"/>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3、在完成CMMI DEV3.0-ML3正式评估并在</w:t>
      </w:r>
      <w:r>
        <w:rPr>
          <w:rFonts w:ascii="Times New Roman" w:hAnsi="Times New Roman" w:cs="Times New Roman"/>
          <w:sz w:val="24"/>
          <w:szCs w:val="24"/>
        </w:rPr>
        <w:t>CMMI Institute</w:t>
      </w:r>
      <w:r>
        <w:rPr>
          <w:rFonts w:hint="eastAsia" w:ascii="Times New Roman" w:hAnsi="Times New Roman" w:cs="Times New Roman"/>
          <w:sz w:val="24"/>
          <w:szCs w:val="24"/>
        </w:rPr>
        <w:t>网站能查询到认证通过的信息后，中选人向比选人提供合法足额的增值税专用发票，比选人收到发票并确认无误后</w:t>
      </w:r>
      <w:r>
        <w:rPr>
          <w:rFonts w:ascii="Times New Roman" w:hAnsi="Times New Roman" w:cs="Times New Roman"/>
          <w:sz w:val="24"/>
          <w:szCs w:val="24"/>
        </w:rPr>
        <w:t>30</w:t>
      </w:r>
      <w:r>
        <w:rPr>
          <w:rFonts w:hint="eastAsia" w:ascii="Times New Roman" w:hAnsi="Times New Roman" w:cs="Times New Roman"/>
          <w:sz w:val="24"/>
          <w:szCs w:val="24"/>
        </w:rPr>
        <w:t>个工作日内，支付合同总额的</w:t>
      </w:r>
      <w:r>
        <w:rPr>
          <w:rFonts w:ascii="Times New Roman" w:hAnsi="Times New Roman" w:cs="Times New Roman"/>
          <w:sz w:val="24"/>
          <w:szCs w:val="24"/>
        </w:rPr>
        <w:t>30</w:t>
      </w:r>
      <w:r>
        <w:rPr>
          <w:rFonts w:hint="eastAsia" w:ascii="Times New Roman" w:hAnsi="Times New Roman" w:cs="Times New Roman"/>
          <w:sz w:val="24"/>
          <w:szCs w:val="24"/>
        </w:rPr>
        <w:t>%给中选人。</w:t>
      </w:r>
    </w:p>
    <w:p>
      <w:pPr>
        <w:autoSpaceDE w:val="0"/>
        <w:autoSpaceDN w:val="0"/>
        <w:spacing w:line="360" w:lineRule="auto"/>
        <w:ind w:firstLine="480" w:firstLineChars="200"/>
        <w:jc w:val="left"/>
        <w:rPr>
          <w:rFonts w:ascii="Times New Roman" w:hAnsi="Times New Roman" w:cs="Times New Roman"/>
          <w:snapToGrid w:val="0"/>
          <w:kern w:val="0"/>
          <w:sz w:val="24"/>
          <w:szCs w:val="24"/>
        </w:rPr>
      </w:pPr>
      <w:r>
        <w:rPr>
          <w:rFonts w:hint="eastAsia" w:ascii="Times New Roman" w:hAnsi="Times New Roman" w:cs="Times New Roman"/>
          <w:sz w:val="24"/>
          <w:szCs w:val="24"/>
        </w:rPr>
        <w:t>4、售后服务期满后，中选人向比选人提供合法足额的增值税专用发票，比选人收到发票并确认无误后</w:t>
      </w:r>
      <w:r>
        <w:rPr>
          <w:rFonts w:ascii="Times New Roman" w:hAnsi="Times New Roman" w:cs="Times New Roman"/>
          <w:sz w:val="24"/>
          <w:szCs w:val="24"/>
        </w:rPr>
        <w:t>30</w:t>
      </w:r>
      <w:r>
        <w:rPr>
          <w:rFonts w:hint="eastAsia" w:ascii="Times New Roman" w:hAnsi="Times New Roman" w:cs="Times New Roman"/>
          <w:sz w:val="24"/>
          <w:szCs w:val="24"/>
        </w:rPr>
        <w:t>个工作日内，支付合同总额的</w:t>
      </w:r>
      <w:r>
        <w:rPr>
          <w:rFonts w:ascii="Times New Roman" w:hAnsi="Times New Roman" w:cs="Times New Roman"/>
          <w:sz w:val="24"/>
          <w:szCs w:val="24"/>
        </w:rPr>
        <w:t>10</w:t>
      </w:r>
      <w:r>
        <w:rPr>
          <w:rFonts w:hint="eastAsia" w:ascii="Times New Roman" w:hAnsi="Times New Roman" w:cs="Times New Roman"/>
          <w:sz w:val="24"/>
          <w:szCs w:val="24"/>
        </w:rPr>
        <w:t>%给中选人。</w:t>
      </w:r>
    </w:p>
    <w:p>
      <w:pPr>
        <w:spacing w:line="360" w:lineRule="auto"/>
        <w:ind w:firstLine="482" w:firstLineChars="200"/>
        <w:jc w:val="left"/>
        <w:outlineLvl w:val="1"/>
        <w:rPr>
          <w:rFonts w:ascii="Times New Roman" w:hAnsi="Times New Roman" w:cs="Times New Roman"/>
          <w:b/>
          <w:snapToGrid w:val="0"/>
          <w:kern w:val="0"/>
          <w:sz w:val="24"/>
          <w:szCs w:val="24"/>
        </w:rPr>
      </w:pPr>
      <w:r>
        <w:rPr>
          <w:rFonts w:ascii="Times New Roman" w:hAnsi="Times New Roman" w:cs="Times New Roman"/>
          <w:b/>
          <w:snapToGrid w:val="0"/>
          <w:kern w:val="0"/>
          <w:sz w:val="24"/>
          <w:szCs w:val="24"/>
        </w:rPr>
        <w:t>四、保密条款</w:t>
      </w:r>
      <w:bookmarkEnd w:id="61"/>
      <w:bookmarkEnd w:id="62"/>
      <w:bookmarkEnd w:id="63"/>
      <w:bookmarkEnd w:id="64"/>
      <w:bookmarkEnd w:id="69"/>
      <w:bookmarkEnd w:id="70"/>
    </w:p>
    <w:p>
      <w:pPr>
        <w:autoSpaceDE w:val="0"/>
        <w:autoSpaceDN w:val="0"/>
        <w:spacing w:line="360" w:lineRule="auto"/>
        <w:ind w:firstLine="480" w:firstLineChars="200"/>
        <w:jc w:val="left"/>
        <w:rPr>
          <w:rFonts w:ascii="Times New Roman" w:hAnsi="Times New Roman" w:cs="Times New Roman"/>
          <w:snapToGrid w:val="0"/>
          <w:kern w:val="0"/>
          <w:sz w:val="24"/>
          <w:szCs w:val="24"/>
        </w:rPr>
      </w:pPr>
      <w:r>
        <w:rPr>
          <w:rFonts w:ascii="Times New Roman" w:hAnsi="Times New Roman" w:cs="Times New Roman"/>
          <w:sz w:val="24"/>
          <w:szCs w:val="24"/>
        </w:rPr>
        <w:t>（一）保密范围</w:t>
      </w:r>
    </w:p>
    <w:p>
      <w:pPr>
        <w:autoSpaceDE w:val="0"/>
        <w:autoSpaceDN w:val="0"/>
        <w:spacing w:line="360" w:lineRule="auto"/>
        <w:ind w:firstLine="480" w:firstLineChars="20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中选人在实施过程中接触到的比选人知识产权、经营信息等。</w:t>
      </w:r>
    </w:p>
    <w:p>
      <w:pPr>
        <w:autoSpaceDE w:val="0"/>
        <w:autoSpaceDN w:val="0"/>
        <w:spacing w:line="360" w:lineRule="auto"/>
        <w:ind w:firstLine="480" w:firstLineChars="20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（二）保密责任</w:t>
      </w:r>
    </w:p>
    <w:p>
      <w:pPr>
        <w:autoSpaceDE w:val="0"/>
        <w:autoSpaceDN w:val="0"/>
        <w:spacing w:line="360" w:lineRule="auto"/>
        <w:ind w:firstLine="480" w:firstLineChars="20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双方互为保密资料的提供方和接受方，负有保密义务，承担保密责任。除经过双方书面同意，任何一方不得将有关内容提供给合同以外的第三人。</w:t>
      </w:r>
    </w:p>
    <w:p>
      <w:pPr>
        <w:spacing w:line="360" w:lineRule="auto"/>
        <w:ind w:firstLine="482" w:firstLineChars="200"/>
        <w:jc w:val="left"/>
        <w:outlineLvl w:val="1"/>
        <w:rPr>
          <w:rFonts w:ascii="Times New Roman" w:hAnsi="Times New Roman" w:cs="Times New Roman"/>
          <w:b/>
          <w:snapToGrid w:val="0"/>
          <w:kern w:val="0"/>
          <w:sz w:val="24"/>
          <w:szCs w:val="24"/>
        </w:rPr>
      </w:pPr>
      <w:bookmarkStart w:id="71" w:name="_Toc15059425"/>
      <w:bookmarkStart w:id="72" w:name="_Toc89675151"/>
      <w:r>
        <w:rPr>
          <w:rFonts w:ascii="Times New Roman" w:hAnsi="Times New Roman" w:cs="Times New Roman"/>
          <w:b/>
          <w:snapToGrid w:val="0"/>
          <w:kern w:val="0"/>
          <w:sz w:val="24"/>
          <w:szCs w:val="24"/>
        </w:rPr>
        <w:t>五、报价要求</w:t>
      </w:r>
      <w:bookmarkEnd w:id="71"/>
      <w:bookmarkEnd w:id="72"/>
    </w:p>
    <w:p>
      <w:pPr>
        <w:autoSpaceDE w:val="0"/>
        <w:autoSpaceDN w:val="0"/>
        <w:spacing w:line="360" w:lineRule="auto"/>
        <w:ind w:firstLine="480" w:firstLineChars="200"/>
        <w:jc w:val="left"/>
        <w:rPr>
          <w:rFonts w:ascii="宋体" w:cs="宋体"/>
          <w:snapToGrid w:val="0"/>
          <w:kern w:val="0"/>
          <w:sz w:val="24"/>
          <w:szCs w:val="24"/>
        </w:rPr>
      </w:pPr>
      <w:bookmarkStart w:id="73" w:name="_Toc89675152"/>
      <w:bookmarkStart w:id="74" w:name="_Toc15059426"/>
      <w:r>
        <w:rPr>
          <w:rFonts w:hint="eastAsia" w:ascii="宋体" w:cs="宋体"/>
          <w:snapToGrid w:val="0"/>
          <w:kern w:val="0"/>
          <w:sz w:val="24"/>
          <w:szCs w:val="24"/>
        </w:rPr>
        <w:t>1、参选人应严格按照《参选文件格式》的“报价一览表”和“分项报价明细表”的格式认真填写。</w:t>
      </w:r>
    </w:p>
    <w:p>
      <w:pPr>
        <w:autoSpaceDE w:val="0"/>
        <w:autoSpaceDN w:val="0"/>
        <w:spacing w:line="360" w:lineRule="auto"/>
        <w:ind w:firstLine="480" w:firstLineChars="200"/>
        <w:jc w:val="left"/>
        <w:rPr>
          <w:rFonts w:ascii="宋体" w:cs="宋体"/>
          <w:snapToGrid w:val="0"/>
          <w:kern w:val="0"/>
          <w:sz w:val="24"/>
          <w:szCs w:val="24"/>
        </w:rPr>
      </w:pPr>
      <w:r>
        <w:rPr>
          <w:rFonts w:hint="eastAsia" w:ascii="宋体" w:cs="宋体"/>
          <w:snapToGrid w:val="0"/>
          <w:kern w:val="0"/>
          <w:sz w:val="24"/>
          <w:szCs w:val="24"/>
        </w:rPr>
        <w:t>2、报价单上应列明增值税专用发票的税率。</w:t>
      </w:r>
    </w:p>
    <w:p>
      <w:pPr>
        <w:spacing w:line="360" w:lineRule="auto"/>
        <w:ind w:firstLine="482" w:firstLineChars="200"/>
        <w:jc w:val="left"/>
        <w:outlineLvl w:val="1"/>
        <w:rPr>
          <w:rFonts w:ascii="Times New Roman" w:hAnsi="Times New Roman" w:cs="Times New Roman"/>
          <w:b/>
          <w:snapToGrid w:val="0"/>
          <w:kern w:val="0"/>
          <w:sz w:val="24"/>
          <w:szCs w:val="24"/>
        </w:rPr>
      </w:pPr>
      <w:r>
        <w:rPr>
          <w:rFonts w:ascii="Times New Roman" w:hAnsi="Times New Roman" w:cs="Times New Roman"/>
          <w:b/>
          <w:sz w:val="24"/>
          <w:szCs w:val="24"/>
        </w:rPr>
        <w:t>六、知识产权</w:t>
      </w:r>
      <w:bookmarkEnd w:id="73"/>
      <w:bookmarkEnd w:id="74"/>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pPr>
        <w:snapToGrid w:val="0"/>
        <w:spacing w:line="360" w:lineRule="auto"/>
        <w:ind w:firstLine="480" w:firstLineChars="200"/>
        <w:rPr>
          <w:rFonts w:ascii="Times New Roman" w:hAnsi="Times New Roman" w:cs="Times New Roman"/>
          <w:b/>
          <w:sz w:val="24"/>
          <w:szCs w:val="24"/>
        </w:rPr>
      </w:pPr>
      <w:r>
        <w:rPr>
          <w:rFonts w:ascii="Times New Roman" w:hAnsi="Times New Roman" w:cs="Times New Roman"/>
          <w:snapToGrid w:val="0"/>
          <w:kern w:val="0"/>
          <w:sz w:val="24"/>
          <w:szCs w:val="24"/>
        </w:rPr>
        <w:t>2、一经发现中选人将我行具有自主知识产权的系统代码违规转让、销售、赠送或泄露给第三方，或者通过互联网渠道（如百度网盘、GitHub仓库等）违规公开分享与该系统相关的重要配置数据、开发设计文档以及产品源代码，将视情节轻重情况给予中选方相应处罚（处罚金额不低于合同金额的10%）。</w:t>
      </w:r>
    </w:p>
    <w:p>
      <w:pPr>
        <w:spacing w:line="360" w:lineRule="auto"/>
        <w:ind w:firstLine="482" w:firstLineChars="200"/>
        <w:jc w:val="left"/>
        <w:outlineLvl w:val="1"/>
        <w:rPr>
          <w:rFonts w:ascii="Times New Roman" w:hAnsi="Times New Roman" w:cs="Times New Roman"/>
          <w:b/>
          <w:snapToGrid w:val="0"/>
          <w:kern w:val="0"/>
          <w:sz w:val="24"/>
          <w:szCs w:val="24"/>
        </w:rPr>
      </w:pPr>
      <w:bookmarkStart w:id="75" w:name="_Toc15059427"/>
      <w:bookmarkStart w:id="76" w:name="_Toc89675153"/>
      <w:r>
        <w:rPr>
          <w:rFonts w:ascii="Times New Roman" w:hAnsi="Times New Roman" w:cs="Times New Roman"/>
          <w:b/>
          <w:snapToGrid w:val="0"/>
          <w:kern w:val="0"/>
          <w:sz w:val="24"/>
          <w:szCs w:val="24"/>
        </w:rPr>
        <w:t>七、其他</w:t>
      </w:r>
      <w:bookmarkEnd w:id="75"/>
      <w:bookmarkEnd w:id="76"/>
    </w:p>
    <w:p>
      <w:pPr>
        <w:autoSpaceDE w:val="0"/>
        <w:autoSpaceDN w:val="0"/>
        <w:spacing w:line="360" w:lineRule="auto"/>
        <w:ind w:firstLine="480" w:firstLineChars="20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1、参选人必须在参选文件中对以上条款和服务承诺明确列出，承诺内容必须达到本篇及比选文件其他条款的要求。</w:t>
      </w:r>
    </w:p>
    <w:p>
      <w:pPr>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2、其他未尽事宜由供需双方在合同中详细约定。</w:t>
      </w:r>
    </w:p>
    <w:p>
      <w:pPr>
        <w:spacing w:line="360" w:lineRule="auto"/>
        <w:ind w:firstLine="480" w:firstLineChars="200"/>
        <w:rPr>
          <w:rFonts w:ascii="宋体" w:cs="宋体"/>
          <w:snapToGrid w:val="0"/>
          <w:kern w:val="0"/>
          <w:sz w:val="24"/>
          <w:szCs w:val="24"/>
        </w:rPr>
      </w:pPr>
      <w:r>
        <w:rPr>
          <w:rFonts w:ascii="Times New Roman" w:hAnsi="Times New Roman" w:cs="Times New Roman"/>
          <w:snapToGrid w:val="0"/>
          <w:kern w:val="0"/>
          <w:sz w:val="24"/>
          <w:szCs w:val="24"/>
        </w:rPr>
        <w:t>3、如比选文件与合同条款不一致，则以合同约定为准。</w:t>
      </w:r>
    </w:p>
    <w:p>
      <w:pPr>
        <w:spacing w:line="360" w:lineRule="auto"/>
        <w:ind w:firstLine="480" w:firstLineChars="200"/>
        <w:rPr>
          <w:rFonts w:ascii="宋体" w:cs="宋体"/>
          <w:snapToGrid w:val="0"/>
          <w:kern w:val="0"/>
          <w:sz w:val="24"/>
          <w:szCs w:val="24"/>
        </w:rPr>
      </w:pPr>
    </w:p>
    <w:p>
      <w:pPr>
        <w:widowControl/>
        <w:jc w:val="left"/>
        <w:rPr>
          <w:rFonts w:ascii="宋体" w:cs="宋体"/>
          <w:snapToGrid w:val="0"/>
          <w:kern w:val="0"/>
          <w:sz w:val="24"/>
          <w:szCs w:val="24"/>
        </w:rPr>
      </w:pPr>
      <w:r>
        <w:rPr>
          <w:rFonts w:ascii="宋体" w:cs="宋体"/>
          <w:snapToGrid w:val="0"/>
          <w:kern w:val="0"/>
          <w:sz w:val="24"/>
          <w:szCs w:val="24"/>
        </w:rPr>
        <w:br w:type="page"/>
      </w:r>
    </w:p>
    <w:p>
      <w:pPr>
        <w:pStyle w:val="3"/>
        <w:spacing w:before="0"/>
        <w:ind w:right="0" w:rightChars="0"/>
        <w:rPr>
          <w:rFonts w:ascii="Times New Roman" w:hAnsi="Times New Roman" w:cs="Times New Roman"/>
        </w:rPr>
      </w:pPr>
      <w:bookmarkStart w:id="77" w:name="_Toc155270551"/>
      <w:bookmarkStart w:id="78" w:name="_Toc15059428"/>
      <w:r>
        <w:rPr>
          <w:rFonts w:ascii="Times New Roman" w:hAnsi="Times New Roman" w:cs="Times New Roman"/>
        </w:rPr>
        <w:t>第</w:t>
      </w:r>
      <w:r>
        <w:rPr>
          <w:rFonts w:hint="eastAsia" w:ascii="Times New Roman" w:hAnsi="Times New Roman" w:cs="Times New Roman"/>
        </w:rPr>
        <w:t>六</w:t>
      </w:r>
      <w:r>
        <w:rPr>
          <w:rFonts w:ascii="Times New Roman" w:hAnsi="Times New Roman" w:cs="Times New Roman"/>
        </w:rPr>
        <w:t>章</w:t>
      </w:r>
      <w:r>
        <w:rPr>
          <w:rFonts w:hint="eastAsia" w:ascii="Times New Roman" w:hAnsi="Times New Roman" w:cs="Times New Roman"/>
          <w:lang w:eastAsia="zh-CN"/>
        </w:rPr>
        <w:t>评审</w:t>
      </w:r>
      <w:r>
        <w:rPr>
          <w:rFonts w:ascii="Times New Roman" w:hAnsi="Times New Roman" w:cs="Times New Roman"/>
        </w:rPr>
        <w:t>方法、</w:t>
      </w:r>
      <w:r>
        <w:rPr>
          <w:rFonts w:hint="eastAsia" w:ascii="Times New Roman" w:hAnsi="Times New Roman" w:cs="Times New Roman"/>
          <w:lang w:eastAsia="zh-CN"/>
        </w:rPr>
        <w:t>评审</w:t>
      </w:r>
      <w:r>
        <w:rPr>
          <w:rFonts w:ascii="Times New Roman" w:hAnsi="Times New Roman" w:cs="Times New Roman"/>
        </w:rPr>
        <w:t>标准和</w:t>
      </w:r>
      <w:r>
        <w:rPr>
          <w:rFonts w:hint="eastAsia"/>
        </w:rPr>
        <w:t>参选无效</w:t>
      </w:r>
      <w:r>
        <w:rPr>
          <w:rFonts w:ascii="Times New Roman" w:hAnsi="Times New Roman" w:cs="Times New Roman"/>
        </w:rPr>
        <w:t>条款</w:t>
      </w:r>
      <w:bookmarkEnd w:id="77"/>
      <w:bookmarkEnd w:id="78"/>
      <w:bookmarkStart w:id="79" w:name="_Toc32178"/>
      <w:bookmarkStart w:id="80" w:name="_Toc275199616"/>
      <w:bookmarkStart w:id="81" w:name="_Toc440628922"/>
    </w:p>
    <w:p>
      <w:pPr>
        <w:spacing w:line="360" w:lineRule="auto"/>
        <w:ind w:firstLine="482" w:firstLineChars="200"/>
        <w:jc w:val="left"/>
        <w:outlineLvl w:val="1"/>
        <w:rPr>
          <w:rFonts w:ascii="Times New Roman" w:hAnsi="Times New Roman" w:cs="Times New Roman"/>
          <w:b/>
          <w:snapToGrid w:val="0"/>
          <w:kern w:val="0"/>
          <w:sz w:val="24"/>
          <w:szCs w:val="24"/>
        </w:rPr>
      </w:pPr>
      <w:bookmarkStart w:id="82" w:name="_Toc89675155"/>
      <w:bookmarkStart w:id="83" w:name="_Toc15059429"/>
      <w:r>
        <w:rPr>
          <w:rFonts w:ascii="Times New Roman" w:hAnsi="Times New Roman" w:cs="Times New Roman"/>
          <w:b/>
          <w:snapToGrid w:val="0"/>
          <w:kern w:val="0"/>
          <w:sz w:val="24"/>
          <w:szCs w:val="24"/>
        </w:rPr>
        <w:t>一、</w:t>
      </w:r>
      <w:r>
        <w:rPr>
          <w:rFonts w:hint="eastAsia" w:ascii="Times New Roman" w:hAnsi="Times New Roman" w:cs="Times New Roman"/>
          <w:b/>
          <w:snapToGrid w:val="0"/>
          <w:kern w:val="0"/>
          <w:sz w:val="24"/>
          <w:szCs w:val="24"/>
          <w:lang w:eastAsia="zh-CN"/>
        </w:rPr>
        <w:t>评审</w:t>
      </w:r>
      <w:r>
        <w:rPr>
          <w:rFonts w:ascii="Times New Roman" w:hAnsi="Times New Roman" w:cs="Times New Roman"/>
          <w:b/>
          <w:snapToGrid w:val="0"/>
          <w:kern w:val="0"/>
          <w:sz w:val="24"/>
          <w:szCs w:val="24"/>
        </w:rPr>
        <w:t>方法</w:t>
      </w:r>
      <w:bookmarkEnd w:id="79"/>
      <w:bookmarkEnd w:id="80"/>
      <w:bookmarkEnd w:id="81"/>
      <w:bookmarkEnd w:id="82"/>
      <w:bookmarkEnd w:id="83"/>
    </w:p>
    <w:p>
      <w:pPr>
        <w:pStyle w:val="5"/>
        <w:spacing w:line="360" w:lineRule="auto"/>
      </w:pPr>
      <w:r>
        <w:t>（一）</w:t>
      </w:r>
      <w:r>
        <w:rPr>
          <w:rFonts w:hint="eastAsia"/>
          <w:lang w:eastAsia="zh-CN"/>
        </w:rPr>
        <w:t>评审</w:t>
      </w:r>
      <w:r>
        <w:t>方法定义</w:t>
      </w:r>
    </w:p>
    <w:p>
      <w:pPr>
        <w:spacing w:line="360" w:lineRule="auto"/>
        <w:ind w:firstLine="480" w:firstLineChars="200"/>
        <w:rPr>
          <w:rFonts w:ascii="宋体" w:hAnsi="宋体"/>
          <w:bCs/>
          <w:snapToGrid w:val="0"/>
          <w:kern w:val="0"/>
          <w:sz w:val="24"/>
          <w:szCs w:val="24"/>
        </w:rPr>
      </w:pPr>
      <w:r>
        <w:rPr>
          <w:rFonts w:hint="eastAsia" w:ascii="宋体" w:hAnsi="宋体"/>
          <w:bCs/>
          <w:snapToGrid w:val="0"/>
          <w:kern w:val="0"/>
          <w:sz w:val="24"/>
          <w:szCs w:val="24"/>
        </w:rPr>
        <w:t>本项目采用综合评分法进行</w:t>
      </w:r>
      <w:r>
        <w:rPr>
          <w:rFonts w:hint="eastAsia" w:ascii="宋体" w:hAnsi="宋体"/>
          <w:bCs/>
          <w:snapToGrid w:val="0"/>
          <w:kern w:val="0"/>
          <w:sz w:val="24"/>
          <w:szCs w:val="24"/>
          <w:lang w:eastAsia="zh-CN"/>
        </w:rPr>
        <w:t>评审</w:t>
      </w:r>
      <w:r>
        <w:rPr>
          <w:rFonts w:hint="eastAsia" w:ascii="宋体" w:hAnsi="宋体"/>
          <w:bCs/>
          <w:snapToGrid w:val="0"/>
          <w:kern w:val="0"/>
          <w:sz w:val="24"/>
          <w:szCs w:val="24"/>
        </w:rPr>
        <w:t>。综合评分法是指在最大限度地满足比选文件实质性要求前提下，按照比选文件中规定的各项评分因素进行综合评审后，以</w:t>
      </w:r>
      <w:r>
        <w:rPr>
          <w:rFonts w:hint="eastAsia" w:ascii="宋体" w:hAnsi="宋体"/>
          <w:bCs/>
          <w:snapToGrid w:val="0"/>
          <w:kern w:val="0"/>
          <w:sz w:val="24"/>
          <w:szCs w:val="24"/>
          <w:lang w:eastAsia="zh-CN"/>
        </w:rPr>
        <w:t>评审</w:t>
      </w:r>
      <w:r>
        <w:rPr>
          <w:rFonts w:hint="eastAsia" w:ascii="宋体" w:hAnsi="宋体"/>
          <w:bCs/>
          <w:snapToGrid w:val="0"/>
          <w:kern w:val="0"/>
          <w:sz w:val="24"/>
          <w:szCs w:val="24"/>
        </w:rPr>
        <w:t>总得分最高的参选人作为中选候选人。参选人总得分为价格、商务、技术等评定因素分别按照相应权重值计算分项得分后相加，满分为100分。若参与比选供应商不足三家，经评审委员会判定，响应单位参选人具有相对行业竞争力的，可继续进行评审。</w:t>
      </w:r>
    </w:p>
    <w:p>
      <w:pPr>
        <w:pStyle w:val="5"/>
        <w:spacing w:line="360" w:lineRule="auto"/>
      </w:pPr>
      <w:r>
        <w:t>（二）</w:t>
      </w:r>
      <w:r>
        <w:rPr>
          <w:rFonts w:hint="eastAsia"/>
          <w:lang w:eastAsia="zh-CN"/>
        </w:rPr>
        <w:t>评审</w:t>
      </w:r>
      <w:r>
        <w:t>程序</w:t>
      </w:r>
    </w:p>
    <w:p>
      <w:pPr>
        <w:snapToGrid w:val="0"/>
        <w:spacing w:line="360" w:lineRule="auto"/>
        <w:ind w:firstLine="480" w:firstLineChars="200"/>
        <w:rPr>
          <w:rFonts w:ascii="Times New Roman" w:hAnsi="Times New Roman" w:cs="Times New Roman"/>
          <w:snapToGrid w:val="0"/>
          <w:kern w:val="0"/>
          <w:sz w:val="24"/>
          <w:szCs w:val="24"/>
        </w:rPr>
      </w:pPr>
      <w:r>
        <w:rPr>
          <w:rFonts w:hint="eastAsia" w:ascii="Times New Roman" w:hAnsi="Times New Roman" w:cs="Times New Roman"/>
          <w:snapToGrid w:val="0"/>
          <w:kern w:val="0"/>
          <w:sz w:val="24"/>
          <w:szCs w:val="24"/>
          <w:lang w:eastAsia="zh-CN"/>
        </w:rPr>
        <w:t>评审</w:t>
      </w:r>
      <w:r>
        <w:rPr>
          <w:rFonts w:ascii="Times New Roman" w:hAnsi="Times New Roman" w:cs="Times New Roman"/>
          <w:snapToGrid w:val="0"/>
          <w:kern w:val="0"/>
          <w:sz w:val="24"/>
          <w:szCs w:val="24"/>
        </w:rPr>
        <w:t>工作由比选人</w:t>
      </w:r>
      <w:r>
        <w:rPr>
          <w:rFonts w:hint="eastAsia" w:ascii="宋体" w:cs="宋体"/>
          <w:snapToGrid w:val="0"/>
          <w:kern w:val="0"/>
          <w:sz w:val="24"/>
          <w:szCs w:val="24"/>
        </w:rPr>
        <w:t>依法组建的评审委员会进行</w:t>
      </w:r>
      <w:r>
        <w:rPr>
          <w:rFonts w:ascii="Times New Roman" w:hAnsi="Times New Roman" w:cs="Times New Roman"/>
          <w:snapToGrid w:val="0"/>
          <w:kern w:val="0"/>
          <w:sz w:val="24"/>
          <w:szCs w:val="24"/>
        </w:rPr>
        <w:t>，负责具体</w:t>
      </w:r>
      <w:r>
        <w:rPr>
          <w:rFonts w:hint="eastAsia" w:ascii="Times New Roman" w:hAnsi="Times New Roman" w:cs="Times New Roman"/>
          <w:snapToGrid w:val="0"/>
          <w:kern w:val="0"/>
          <w:sz w:val="24"/>
          <w:szCs w:val="24"/>
          <w:lang w:eastAsia="zh-CN"/>
        </w:rPr>
        <w:t>评审</w:t>
      </w:r>
      <w:r>
        <w:rPr>
          <w:rFonts w:ascii="Times New Roman" w:hAnsi="Times New Roman" w:cs="Times New Roman"/>
          <w:snapToGrid w:val="0"/>
          <w:kern w:val="0"/>
          <w:sz w:val="24"/>
          <w:szCs w:val="24"/>
        </w:rPr>
        <w:t>事务。按以下程序独立履行评审职责：</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1、资格性检查。依据法律法规和比选文件的规定，对参选文件中的资格证明、参选保证金等进行审查，以确定参选人是否具备参选资格。资格性检查资料表如下：</w:t>
      </w:r>
    </w:p>
    <w:tbl>
      <w:tblPr>
        <w:tblStyle w:val="25"/>
        <w:tblW w:w="8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716"/>
        <w:gridCol w:w="3537"/>
        <w:gridCol w:w="3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s="宋体"/>
                <w:b/>
                <w:snapToGrid w:val="0"/>
                <w:kern w:val="0"/>
                <w:sz w:val="20"/>
                <w:szCs w:val="21"/>
              </w:rPr>
            </w:pPr>
            <w:r>
              <w:rPr>
                <w:rFonts w:hint="eastAsia" w:ascii="宋体" w:cs="宋体"/>
                <w:b/>
                <w:snapToGrid w:val="0"/>
                <w:kern w:val="0"/>
                <w:sz w:val="20"/>
                <w:szCs w:val="21"/>
              </w:rPr>
              <w:t>序号</w:t>
            </w:r>
          </w:p>
        </w:tc>
        <w:tc>
          <w:tcPr>
            <w:tcW w:w="4253"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s="宋体"/>
                <w:b/>
                <w:snapToGrid w:val="0"/>
                <w:kern w:val="0"/>
                <w:sz w:val="20"/>
                <w:szCs w:val="21"/>
              </w:rPr>
            </w:pPr>
            <w:r>
              <w:rPr>
                <w:rFonts w:hint="eastAsia" w:ascii="宋体" w:cs="宋体"/>
                <w:b/>
                <w:snapToGrid w:val="0"/>
                <w:kern w:val="0"/>
                <w:sz w:val="20"/>
                <w:szCs w:val="21"/>
              </w:rPr>
              <w:t>检查因素</w:t>
            </w:r>
          </w:p>
        </w:tc>
        <w:tc>
          <w:tcPr>
            <w:tcW w:w="387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s="宋体"/>
                <w:b/>
                <w:snapToGrid w:val="0"/>
                <w:kern w:val="0"/>
                <w:sz w:val="20"/>
                <w:szCs w:val="21"/>
              </w:rPr>
            </w:pPr>
            <w:r>
              <w:rPr>
                <w:rFonts w:hint="eastAsia" w:ascii="宋体" w:cs="宋体"/>
                <w:b/>
                <w:snapToGrid w:val="0"/>
                <w:kern w:val="0"/>
                <w:sz w:val="20"/>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s="宋体"/>
                <w:snapToGrid w:val="0"/>
                <w:kern w:val="0"/>
                <w:sz w:val="20"/>
                <w:szCs w:val="21"/>
                <w:lang w:val="zh-CN"/>
              </w:rPr>
            </w:pPr>
            <w:r>
              <w:rPr>
                <w:rFonts w:hint="eastAsia" w:ascii="宋体" w:cs="宋体"/>
                <w:snapToGrid w:val="0"/>
                <w:kern w:val="0"/>
                <w:sz w:val="20"/>
                <w:szCs w:val="21"/>
                <w:lang w:val="zh-CN"/>
              </w:rPr>
              <w:t>1</w:t>
            </w:r>
          </w:p>
        </w:tc>
        <w:tc>
          <w:tcPr>
            <w:tcW w:w="716"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ascii="宋体" w:cs="宋体"/>
                <w:snapToGrid w:val="0"/>
                <w:kern w:val="0"/>
                <w:sz w:val="20"/>
                <w:szCs w:val="21"/>
                <w:lang w:val="zh-CN"/>
              </w:rPr>
            </w:pPr>
            <w:r>
              <w:rPr>
                <w:rFonts w:hint="eastAsia" w:ascii="宋体" w:cs="宋体"/>
                <w:snapToGrid w:val="0"/>
                <w:kern w:val="0"/>
                <w:sz w:val="20"/>
                <w:szCs w:val="21"/>
                <w:lang w:val="zh-CN"/>
              </w:rPr>
              <w:t>基本资格条 件</w:t>
            </w:r>
          </w:p>
        </w:tc>
        <w:tc>
          <w:tcPr>
            <w:tcW w:w="3537"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ascii="宋体" w:cs="宋体"/>
                <w:snapToGrid w:val="0"/>
                <w:kern w:val="0"/>
                <w:sz w:val="20"/>
                <w:szCs w:val="21"/>
              </w:rPr>
            </w:pPr>
            <w:r>
              <w:rPr>
                <w:rFonts w:hint="eastAsia" w:ascii="宋体" w:cs="宋体"/>
                <w:snapToGrid w:val="0"/>
                <w:kern w:val="0"/>
                <w:sz w:val="20"/>
                <w:szCs w:val="21"/>
              </w:rPr>
              <w:t>（1）具有独立承担民事责任的能力</w:t>
            </w:r>
          </w:p>
        </w:tc>
        <w:tc>
          <w:tcPr>
            <w:tcW w:w="387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ascii="宋体" w:cs="宋体"/>
                <w:snapToGrid w:val="0"/>
                <w:kern w:val="0"/>
                <w:sz w:val="20"/>
                <w:szCs w:val="21"/>
              </w:rPr>
            </w:pPr>
            <w:r>
              <w:rPr>
                <w:rFonts w:hint="eastAsia" w:ascii="宋体" w:cs="宋体"/>
                <w:snapToGrid w:val="0"/>
                <w:kern w:val="0"/>
                <w:sz w:val="20"/>
                <w:szCs w:val="21"/>
              </w:rPr>
              <w:t>参选人有效营业执照（副本）、直属的分支机构（直属的分支机构参与参选必须具有总公司的授权委托书）或事业单位法人证书（副本）或个体工商户营业执照或有效的自然人身份证明；</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ascii="宋体" w:cs="宋体"/>
                <w:snapToGrid w:val="0"/>
                <w:kern w:val="0"/>
                <w:sz w:val="20"/>
                <w:szCs w:val="21"/>
              </w:rPr>
            </w:pPr>
            <w:r>
              <w:rPr>
                <w:rFonts w:hint="eastAsia" w:ascii="宋体" w:cs="宋体"/>
                <w:snapToGrid w:val="0"/>
                <w:kern w:val="0"/>
                <w:sz w:val="20"/>
                <w:szCs w:val="21"/>
              </w:rPr>
              <w:t>参选人法定代表人身份证明和法定代表人授权代表委托书。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pPr>
          </w:p>
        </w:tc>
        <w:tc>
          <w:tcPr>
            <w:tcW w:w="716"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pPr>
          </w:p>
        </w:tc>
        <w:tc>
          <w:tcPr>
            <w:tcW w:w="3537"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ascii="宋体" w:cs="宋体"/>
                <w:snapToGrid w:val="0"/>
                <w:kern w:val="0"/>
                <w:sz w:val="20"/>
                <w:szCs w:val="21"/>
              </w:rPr>
            </w:pPr>
            <w:r>
              <w:rPr>
                <w:rFonts w:hint="eastAsia" w:ascii="宋体" w:cs="宋体"/>
                <w:snapToGrid w:val="0"/>
                <w:kern w:val="0"/>
                <w:sz w:val="20"/>
                <w:szCs w:val="21"/>
                <w:lang w:val="zh-CN"/>
              </w:rPr>
              <w:t>（2）</w:t>
            </w:r>
            <w:r>
              <w:rPr>
                <w:rFonts w:hint="eastAsia" w:ascii="宋体" w:cs="宋体"/>
                <w:snapToGrid w:val="0"/>
                <w:kern w:val="0"/>
                <w:sz w:val="20"/>
                <w:szCs w:val="21"/>
              </w:rPr>
              <w:t>具有良好的商业信誉和健全的财务会计制度</w:t>
            </w:r>
          </w:p>
        </w:tc>
        <w:tc>
          <w:tcPr>
            <w:tcW w:w="387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ascii="宋体" w:cs="宋体"/>
                <w:snapToGrid w:val="0"/>
                <w:kern w:val="0"/>
                <w:sz w:val="20"/>
                <w:szCs w:val="21"/>
              </w:rPr>
            </w:pPr>
            <w:r>
              <w:rPr>
                <w:rFonts w:hint="eastAsia" w:ascii="宋体" w:cs="宋体"/>
                <w:snapToGrid w:val="0"/>
                <w:kern w:val="0"/>
                <w:sz w:val="20"/>
                <w:szCs w:val="21"/>
              </w:rPr>
              <w:t>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pPr>
          </w:p>
        </w:tc>
        <w:tc>
          <w:tcPr>
            <w:tcW w:w="716"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pPr>
          </w:p>
        </w:tc>
        <w:tc>
          <w:tcPr>
            <w:tcW w:w="3537"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ascii="宋体" w:cs="宋体"/>
                <w:snapToGrid w:val="0"/>
                <w:kern w:val="0"/>
                <w:sz w:val="20"/>
                <w:szCs w:val="21"/>
                <w:lang w:val="zh-CN"/>
              </w:rPr>
            </w:pPr>
            <w:r>
              <w:rPr>
                <w:rFonts w:hint="eastAsia" w:ascii="宋体" w:cs="宋体"/>
                <w:snapToGrid w:val="0"/>
                <w:kern w:val="0"/>
                <w:sz w:val="20"/>
                <w:szCs w:val="21"/>
                <w:lang w:val="zh-CN"/>
              </w:rPr>
              <w:t>（3）具有履行合同所必需的设备和专业技术能力</w:t>
            </w:r>
          </w:p>
        </w:tc>
        <w:tc>
          <w:tcPr>
            <w:tcW w:w="387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ascii="宋体" w:cs="宋体"/>
                <w:snapToGrid w:val="0"/>
                <w:kern w:val="0"/>
                <w:sz w:val="20"/>
                <w:szCs w:val="21"/>
              </w:rPr>
            </w:pPr>
            <w:r>
              <w:rPr>
                <w:rFonts w:hint="eastAsia" w:ascii="宋体" w:cs="宋体"/>
                <w:snapToGrid w:val="0"/>
                <w:kern w:val="0"/>
                <w:sz w:val="20"/>
                <w:szCs w:val="21"/>
              </w:rPr>
              <w:t>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pPr>
          </w:p>
        </w:tc>
        <w:tc>
          <w:tcPr>
            <w:tcW w:w="716"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pPr>
          </w:p>
        </w:tc>
        <w:tc>
          <w:tcPr>
            <w:tcW w:w="3537"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ascii="宋体" w:cs="宋体"/>
                <w:snapToGrid w:val="0"/>
                <w:kern w:val="0"/>
                <w:sz w:val="20"/>
                <w:szCs w:val="21"/>
                <w:lang w:val="zh-CN"/>
              </w:rPr>
            </w:pPr>
            <w:r>
              <w:rPr>
                <w:rFonts w:hint="eastAsia" w:ascii="宋体" w:cs="宋体"/>
                <w:snapToGrid w:val="0"/>
                <w:kern w:val="0"/>
                <w:sz w:val="20"/>
                <w:szCs w:val="21"/>
                <w:lang w:val="zh-CN"/>
              </w:rPr>
              <w:t>（4）有依法缴纳税收和社会保障金的良好记录</w:t>
            </w:r>
          </w:p>
        </w:tc>
        <w:tc>
          <w:tcPr>
            <w:tcW w:w="387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left"/>
              <w:textAlignment w:val="auto"/>
              <w:rPr>
                <w:rFonts w:ascii="宋体" w:cs="宋体"/>
                <w:snapToGrid w:val="0"/>
                <w:kern w:val="0"/>
                <w:sz w:val="20"/>
                <w:szCs w:val="21"/>
              </w:rPr>
            </w:pPr>
            <w:r>
              <w:rPr>
                <w:rFonts w:hint="eastAsia" w:ascii="宋体" w:cs="宋体"/>
                <w:snapToGrid w:val="0"/>
                <w:kern w:val="0"/>
                <w:sz w:val="20"/>
                <w:szCs w:val="21"/>
              </w:rPr>
              <w:t>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pPr>
          </w:p>
        </w:tc>
        <w:tc>
          <w:tcPr>
            <w:tcW w:w="716"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pPr>
          </w:p>
        </w:tc>
        <w:tc>
          <w:tcPr>
            <w:tcW w:w="3537"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ascii="宋体" w:cs="宋体"/>
                <w:snapToGrid w:val="0"/>
                <w:kern w:val="0"/>
                <w:sz w:val="20"/>
                <w:szCs w:val="21"/>
                <w:lang w:val="zh-CN"/>
              </w:rPr>
            </w:pPr>
            <w:r>
              <w:rPr>
                <w:rFonts w:hint="eastAsia" w:ascii="宋体" w:cs="宋体"/>
                <w:snapToGrid w:val="0"/>
                <w:kern w:val="0"/>
                <w:sz w:val="20"/>
                <w:szCs w:val="21"/>
                <w:lang w:val="zh-CN"/>
              </w:rPr>
              <w:t>（</w:t>
            </w:r>
            <w:r>
              <w:rPr>
                <w:rFonts w:ascii="宋体" w:cs="宋体"/>
                <w:snapToGrid w:val="0"/>
                <w:kern w:val="0"/>
                <w:sz w:val="20"/>
                <w:szCs w:val="21"/>
              </w:rPr>
              <w:t>5</w:t>
            </w:r>
            <w:r>
              <w:rPr>
                <w:rFonts w:hint="eastAsia" w:ascii="宋体" w:cs="宋体"/>
                <w:snapToGrid w:val="0"/>
                <w:kern w:val="0"/>
                <w:sz w:val="20"/>
                <w:szCs w:val="21"/>
                <w:lang w:val="zh-CN"/>
              </w:rPr>
              <w:t>）三年内在经营活动中没有重大违法记录</w:t>
            </w:r>
          </w:p>
        </w:tc>
        <w:tc>
          <w:tcPr>
            <w:tcW w:w="387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ascii="宋体" w:cs="宋体"/>
                <w:snapToGrid w:val="0"/>
                <w:kern w:val="0"/>
                <w:sz w:val="20"/>
                <w:szCs w:val="21"/>
              </w:rPr>
            </w:pPr>
            <w:r>
              <w:rPr>
                <w:rFonts w:hint="eastAsia" w:ascii="宋体" w:cs="宋体"/>
                <w:snapToGrid w:val="0"/>
                <w:kern w:val="0"/>
                <w:sz w:val="20"/>
                <w:szCs w:val="21"/>
              </w:rPr>
              <w:t>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pPr>
          </w:p>
        </w:tc>
        <w:tc>
          <w:tcPr>
            <w:tcW w:w="716"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pPr>
          </w:p>
        </w:tc>
        <w:tc>
          <w:tcPr>
            <w:tcW w:w="3537"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ascii="宋体" w:cs="宋体"/>
                <w:snapToGrid w:val="0"/>
                <w:kern w:val="0"/>
                <w:sz w:val="20"/>
                <w:szCs w:val="21"/>
                <w:lang w:val="zh-CN"/>
              </w:rPr>
            </w:pPr>
            <w:r>
              <w:rPr>
                <w:rFonts w:hint="eastAsia" w:ascii="宋体" w:cs="宋体"/>
                <w:snapToGrid w:val="0"/>
                <w:kern w:val="0"/>
                <w:sz w:val="20"/>
                <w:szCs w:val="21"/>
                <w:lang w:val="zh-CN"/>
              </w:rPr>
              <w:t>（</w:t>
            </w:r>
            <w:r>
              <w:rPr>
                <w:rFonts w:hint="eastAsia" w:ascii="宋体" w:cs="宋体"/>
                <w:snapToGrid w:val="0"/>
                <w:kern w:val="0"/>
                <w:sz w:val="20"/>
                <w:szCs w:val="21"/>
              </w:rPr>
              <w:t>6</w:t>
            </w:r>
            <w:r>
              <w:rPr>
                <w:rFonts w:hint="eastAsia" w:ascii="宋体" w:cs="宋体"/>
                <w:snapToGrid w:val="0"/>
                <w:kern w:val="0"/>
                <w:sz w:val="20"/>
                <w:szCs w:val="21"/>
                <w:lang w:val="zh-CN"/>
              </w:rPr>
              <w:t>）法人及法定代表人没有被人民法院列为失信被执行人名单</w:t>
            </w:r>
          </w:p>
        </w:tc>
        <w:tc>
          <w:tcPr>
            <w:tcW w:w="387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ascii="宋体" w:cs="宋体"/>
                <w:snapToGrid w:val="0"/>
                <w:kern w:val="0"/>
                <w:sz w:val="20"/>
                <w:szCs w:val="21"/>
              </w:rPr>
            </w:pPr>
            <w:r>
              <w:rPr>
                <w:rFonts w:hint="eastAsia" w:ascii="宋体" w:cs="宋体"/>
                <w:snapToGrid w:val="0"/>
                <w:kern w:val="0"/>
                <w:sz w:val="20"/>
                <w:szCs w:val="21"/>
              </w:rPr>
              <w:t>提供中国执行信息公开网截图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s="宋体"/>
                <w:snapToGrid w:val="0"/>
                <w:kern w:val="0"/>
                <w:sz w:val="20"/>
                <w:szCs w:val="21"/>
              </w:rPr>
            </w:pPr>
            <w:r>
              <w:rPr>
                <w:rFonts w:hint="eastAsia" w:ascii="宋体" w:cs="宋体"/>
                <w:snapToGrid w:val="0"/>
                <w:kern w:val="0"/>
                <w:sz w:val="20"/>
                <w:szCs w:val="21"/>
              </w:rPr>
              <w:t>2</w:t>
            </w:r>
          </w:p>
        </w:tc>
        <w:tc>
          <w:tcPr>
            <w:tcW w:w="716"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s="宋体"/>
                <w:snapToGrid w:val="0"/>
                <w:kern w:val="0"/>
                <w:sz w:val="20"/>
                <w:szCs w:val="21"/>
              </w:rPr>
            </w:pPr>
            <w:r>
              <w:rPr>
                <w:rFonts w:hint="eastAsia" w:ascii="宋体" w:cs="宋体"/>
                <w:snapToGrid w:val="0"/>
                <w:kern w:val="0"/>
                <w:sz w:val="20"/>
                <w:szCs w:val="21"/>
                <w:lang w:val="zh-CN"/>
              </w:rPr>
              <w:t>特定资格条件</w:t>
            </w:r>
          </w:p>
        </w:tc>
        <w:tc>
          <w:tcPr>
            <w:tcW w:w="3537"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ascii="宋体" w:cs="宋体"/>
                <w:snapToGrid w:val="0"/>
                <w:kern w:val="0"/>
                <w:sz w:val="20"/>
                <w:szCs w:val="21"/>
              </w:rPr>
            </w:pPr>
            <w:r>
              <w:rPr>
                <w:rFonts w:hint="eastAsia" w:ascii="宋体"/>
                <w:kern w:val="0"/>
                <w:sz w:val="20"/>
              </w:rPr>
              <w:t>从2</w:t>
            </w:r>
            <w:r>
              <w:rPr>
                <w:rFonts w:ascii="宋体"/>
                <w:kern w:val="0"/>
                <w:sz w:val="20"/>
              </w:rPr>
              <w:t>021</w:t>
            </w:r>
            <w:r>
              <w:rPr>
                <w:rFonts w:hint="eastAsia" w:ascii="宋体"/>
                <w:kern w:val="0"/>
                <w:sz w:val="20"/>
              </w:rPr>
              <w:t>年1月1日至参选截止日，</w:t>
            </w:r>
            <w:r>
              <w:rPr>
                <w:rFonts w:ascii="宋体"/>
                <w:kern w:val="0"/>
                <w:sz w:val="20"/>
              </w:rPr>
              <w:t>参选人</w:t>
            </w:r>
            <w:r>
              <w:rPr>
                <w:rFonts w:hint="eastAsia" w:ascii="宋体"/>
                <w:kern w:val="0"/>
                <w:sz w:val="20"/>
              </w:rPr>
              <w:t>成功实施过国内银行业</w:t>
            </w:r>
            <w:r>
              <w:rPr>
                <w:rFonts w:ascii="宋体"/>
                <w:kern w:val="0"/>
                <w:sz w:val="20"/>
              </w:rPr>
              <w:t>CMMI 3</w:t>
            </w:r>
            <w:r>
              <w:rPr>
                <w:rFonts w:hint="eastAsia" w:ascii="宋体"/>
                <w:kern w:val="0"/>
                <w:sz w:val="20"/>
              </w:rPr>
              <w:t>级及其以上案例不低于1个。</w:t>
            </w:r>
          </w:p>
        </w:tc>
        <w:tc>
          <w:tcPr>
            <w:tcW w:w="387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ascii="宋体" w:cs="宋体"/>
                <w:snapToGrid w:val="0"/>
                <w:kern w:val="0"/>
                <w:sz w:val="20"/>
                <w:szCs w:val="21"/>
              </w:rPr>
            </w:pPr>
            <w:r>
              <w:rPr>
                <w:rFonts w:hint="eastAsia" w:ascii="宋体"/>
                <w:kern w:val="0"/>
                <w:sz w:val="20"/>
              </w:rPr>
              <w:t>参选人须提供合同复印件并加盖公章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s="宋体"/>
                <w:snapToGrid w:val="0"/>
                <w:kern w:val="0"/>
                <w:sz w:val="20"/>
                <w:szCs w:val="21"/>
              </w:rPr>
            </w:pPr>
            <w:r>
              <w:rPr>
                <w:rFonts w:hint="eastAsia" w:ascii="宋体" w:cs="宋体"/>
                <w:snapToGrid w:val="0"/>
                <w:kern w:val="0"/>
                <w:sz w:val="20"/>
                <w:szCs w:val="21"/>
              </w:rPr>
              <w:t>3</w:t>
            </w:r>
          </w:p>
        </w:tc>
        <w:tc>
          <w:tcPr>
            <w:tcW w:w="4253"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ascii="宋体" w:cs="宋体"/>
                <w:snapToGrid w:val="0"/>
                <w:kern w:val="0"/>
                <w:sz w:val="20"/>
                <w:szCs w:val="21"/>
              </w:rPr>
            </w:pPr>
            <w:r>
              <w:rPr>
                <w:rFonts w:hint="eastAsia" w:ascii="宋体" w:cs="宋体"/>
                <w:snapToGrid w:val="0"/>
                <w:kern w:val="0"/>
                <w:sz w:val="20"/>
                <w:szCs w:val="21"/>
              </w:rPr>
              <w:t>参选保证金</w:t>
            </w:r>
          </w:p>
        </w:tc>
        <w:tc>
          <w:tcPr>
            <w:tcW w:w="387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ascii="宋体" w:cs="宋体"/>
                <w:snapToGrid w:val="0"/>
                <w:kern w:val="0"/>
                <w:sz w:val="20"/>
                <w:szCs w:val="21"/>
              </w:rPr>
            </w:pPr>
            <w:r>
              <w:rPr>
                <w:rFonts w:hint="eastAsia" w:ascii="宋体" w:cs="宋体"/>
                <w:snapToGrid w:val="0"/>
                <w:kern w:val="0"/>
                <w:sz w:val="20"/>
                <w:szCs w:val="21"/>
              </w:rPr>
              <w:t>足额缴纳参选保证金</w:t>
            </w:r>
          </w:p>
        </w:tc>
      </w:tr>
    </w:tbl>
    <w:p>
      <w:pPr>
        <w:snapToGrid w:val="0"/>
        <w:spacing w:line="360" w:lineRule="auto"/>
        <w:rPr>
          <w:rFonts w:ascii="Times New Roman" w:hAnsi="Times New Roman" w:cs="Times New Roman"/>
          <w:snapToGrid w:val="0"/>
          <w:kern w:val="0"/>
          <w:sz w:val="24"/>
          <w:szCs w:val="24"/>
        </w:rPr>
      </w:pP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2、符合性检查。依据比选文件的规定，从参选人参选文件的有效性、完整性和对比选文件的响应程度进行审查，以确定是否对比选文件的实质性要求作出响应。符合性检查资料表如下：</w:t>
      </w:r>
    </w:p>
    <w:tbl>
      <w:tblPr>
        <w:tblStyle w:val="25"/>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562"/>
        <w:gridCol w:w="1986"/>
        <w:gridCol w:w="4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kern w:val="0"/>
                <w:sz w:val="20"/>
              </w:rPr>
            </w:pPr>
            <w:r>
              <w:rPr>
                <w:rFonts w:ascii="Times New Roman" w:hAnsi="Times New Roman" w:cs="Times New Roman"/>
                <w:b/>
                <w:kern w:val="0"/>
                <w:sz w:val="20"/>
              </w:rPr>
              <w:t>序号</w:t>
            </w:r>
          </w:p>
        </w:tc>
        <w:tc>
          <w:tcPr>
            <w:tcW w:w="3548"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kern w:val="0"/>
                <w:sz w:val="20"/>
              </w:rPr>
            </w:pPr>
            <w:r>
              <w:rPr>
                <w:rFonts w:ascii="Times New Roman" w:hAnsi="Times New Roman" w:cs="Times New Roman"/>
                <w:b/>
                <w:kern w:val="0"/>
                <w:sz w:val="20"/>
              </w:rPr>
              <w:t>评审因素</w:t>
            </w:r>
          </w:p>
        </w:tc>
        <w:tc>
          <w:tcPr>
            <w:tcW w:w="4916"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kern w:val="0"/>
                <w:sz w:val="20"/>
              </w:rPr>
            </w:pPr>
            <w:r>
              <w:rPr>
                <w:rFonts w:ascii="Times New Roman" w:hAnsi="Times New Roman" w:cs="Times New Roman"/>
                <w:b/>
                <w:kern w:val="0"/>
                <w:sz w:val="20"/>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kern w:val="0"/>
                <w:sz w:val="20"/>
              </w:rPr>
            </w:pPr>
            <w:r>
              <w:rPr>
                <w:rFonts w:ascii="Times New Roman" w:hAnsi="Times New Roman" w:cs="Times New Roman"/>
                <w:kern w:val="0"/>
                <w:sz w:val="20"/>
              </w:rPr>
              <w:t>1</w:t>
            </w:r>
          </w:p>
        </w:tc>
        <w:tc>
          <w:tcPr>
            <w:tcW w:w="1562"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ascii="Times New Roman" w:hAnsi="Times New Roman" w:cs="Times New Roman"/>
                <w:kern w:val="0"/>
                <w:sz w:val="20"/>
              </w:rPr>
            </w:pPr>
            <w:r>
              <w:rPr>
                <w:rFonts w:ascii="Times New Roman" w:hAnsi="Times New Roman" w:cs="Times New Roman"/>
                <w:kern w:val="0"/>
                <w:sz w:val="20"/>
              </w:rPr>
              <w:t>有效性审查</w:t>
            </w:r>
          </w:p>
        </w:tc>
        <w:tc>
          <w:tcPr>
            <w:tcW w:w="1986"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ascii="Times New Roman" w:hAnsi="Times New Roman" w:cs="Times New Roman"/>
                <w:kern w:val="0"/>
                <w:sz w:val="20"/>
              </w:rPr>
            </w:pPr>
            <w:r>
              <w:rPr>
                <w:rFonts w:ascii="Times New Roman" w:hAnsi="Times New Roman" w:cs="Times New Roman"/>
                <w:snapToGrid w:val="0"/>
                <w:kern w:val="0"/>
                <w:sz w:val="20"/>
                <w:szCs w:val="2"/>
              </w:rPr>
              <w:t>参选</w:t>
            </w:r>
            <w:r>
              <w:rPr>
                <w:rFonts w:ascii="Times New Roman" w:hAnsi="Times New Roman" w:cs="Times New Roman"/>
                <w:kern w:val="0"/>
                <w:sz w:val="20"/>
              </w:rPr>
              <w:t>文件签署</w:t>
            </w:r>
          </w:p>
        </w:tc>
        <w:tc>
          <w:tcPr>
            <w:tcW w:w="4916"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ascii="Times New Roman" w:hAnsi="Times New Roman" w:cs="Times New Roman"/>
                <w:kern w:val="0"/>
                <w:sz w:val="20"/>
              </w:rPr>
            </w:pPr>
            <w:r>
              <w:rPr>
                <w:rFonts w:ascii="Times New Roman" w:hAnsi="Times New Roman" w:cs="Times New Roman"/>
                <w:snapToGrid w:val="0"/>
                <w:kern w:val="0"/>
                <w:sz w:val="20"/>
                <w:szCs w:val="2"/>
              </w:rPr>
              <w:t>参选</w:t>
            </w:r>
            <w:r>
              <w:rPr>
                <w:rFonts w:ascii="Times New Roman" w:hAnsi="Times New Roman" w:cs="Times New Roman"/>
                <w:kern w:val="0"/>
                <w:sz w:val="20"/>
              </w:rPr>
              <w:t>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pPr>
          </w:p>
        </w:tc>
        <w:tc>
          <w:tcPr>
            <w:tcW w:w="1562"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pPr>
          </w:p>
        </w:tc>
        <w:tc>
          <w:tcPr>
            <w:tcW w:w="1986"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ascii="Times New Roman" w:hAnsi="Times New Roman" w:cs="Times New Roman"/>
                <w:kern w:val="0"/>
                <w:sz w:val="20"/>
              </w:rPr>
            </w:pPr>
            <w:r>
              <w:rPr>
                <w:rFonts w:ascii="Times New Roman" w:hAnsi="Times New Roman" w:cs="Times New Roman"/>
                <w:kern w:val="0"/>
                <w:sz w:val="20"/>
              </w:rPr>
              <w:t>法定代表人身份证明及授权委托书</w:t>
            </w:r>
          </w:p>
        </w:tc>
        <w:tc>
          <w:tcPr>
            <w:tcW w:w="4916"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ascii="Times New Roman" w:hAnsi="Times New Roman" w:cs="Times New Roman"/>
                <w:kern w:val="0"/>
                <w:sz w:val="20"/>
              </w:rPr>
            </w:pPr>
            <w:r>
              <w:rPr>
                <w:rFonts w:ascii="Times New Roman" w:hAnsi="Times New Roman" w:cs="Times New Roman"/>
                <w:kern w:val="0"/>
                <w:sz w:val="20"/>
              </w:rPr>
              <w:t>法定代表人身份证明及授权委托书有效，符合比选文件规定的格式，签字或盖章齐全。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pPr>
          </w:p>
        </w:tc>
        <w:tc>
          <w:tcPr>
            <w:tcW w:w="1562"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pPr>
          </w:p>
        </w:tc>
        <w:tc>
          <w:tcPr>
            <w:tcW w:w="1986"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ascii="Times New Roman" w:hAnsi="Times New Roman" w:cs="Times New Roman"/>
                <w:kern w:val="0"/>
                <w:sz w:val="20"/>
              </w:rPr>
            </w:pPr>
            <w:r>
              <w:rPr>
                <w:rFonts w:ascii="Times New Roman" w:hAnsi="Times New Roman" w:cs="Times New Roman"/>
                <w:snapToGrid w:val="0"/>
                <w:kern w:val="0"/>
                <w:sz w:val="20"/>
                <w:szCs w:val="2"/>
              </w:rPr>
              <w:t>参选</w:t>
            </w:r>
            <w:r>
              <w:rPr>
                <w:rFonts w:ascii="Times New Roman" w:hAnsi="Times New Roman" w:cs="Times New Roman"/>
                <w:kern w:val="0"/>
                <w:sz w:val="20"/>
              </w:rPr>
              <w:t>方案唯一</w:t>
            </w:r>
          </w:p>
        </w:tc>
        <w:tc>
          <w:tcPr>
            <w:tcW w:w="4916"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ascii="Times New Roman" w:hAnsi="Times New Roman" w:cs="Times New Roman"/>
                <w:kern w:val="0"/>
                <w:sz w:val="20"/>
              </w:rPr>
            </w:pPr>
            <w:r>
              <w:rPr>
                <w:rFonts w:ascii="Times New Roman" w:hAnsi="Times New Roman" w:cs="Times New Roman"/>
                <w:kern w:val="0"/>
                <w:sz w:val="20"/>
              </w:rPr>
              <w:t>只能有一个方案</w:t>
            </w:r>
            <w:r>
              <w:rPr>
                <w:rFonts w:ascii="Times New Roman" w:hAnsi="Times New Roman" w:cs="Times New Roman"/>
                <w:snapToGrid w:val="0"/>
                <w:kern w:val="0"/>
                <w:sz w:val="20"/>
                <w:szCs w:val="2"/>
              </w:rPr>
              <w:t>参选</w:t>
            </w:r>
            <w:r>
              <w:rPr>
                <w:rFonts w:ascii="Times New Roman" w:hAnsi="Times New Roman" w:cs="Times New Roman"/>
                <w:kern w:val="0"/>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pPr>
          </w:p>
        </w:tc>
        <w:tc>
          <w:tcPr>
            <w:tcW w:w="1562"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pPr>
          </w:p>
        </w:tc>
        <w:tc>
          <w:tcPr>
            <w:tcW w:w="1986"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ascii="Times New Roman" w:hAnsi="Times New Roman" w:cs="Times New Roman"/>
                <w:kern w:val="0"/>
                <w:sz w:val="20"/>
              </w:rPr>
            </w:pPr>
            <w:r>
              <w:rPr>
                <w:rFonts w:ascii="Times New Roman" w:hAnsi="Times New Roman" w:cs="Times New Roman"/>
                <w:kern w:val="0"/>
                <w:sz w:val="20"/>
              </w:rPr>
              <w:t>报价唯一</w:t>
            </w:r>
          </w:p>
        </w:tc>
        <w:tc>
          <w:tcPr>
            <w:tcW w:w="4916"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ascii="Times New Roman" w:hAnsi="Times New Roman" w:cs="Times New Roman"/>
                <w:kern w:val="0"/>
                <w:sz w:val="20"/>
              </w:rPr>
            </w:pPr>
            <w:r>
              <w:rPr>
                <w:rFonts w:ascii="Times New Roman" w:hAnsi="Times New Roman" w:cs="Times New Roman"/>
                <w:kern w:val="0"/>
                <w:sz w:val="20"/>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kern w:val="0"/>
                <w:sz w:val="20"/>
              </w:rPr>
            </w:pPr>
            <w:r>
              <w:rPr>
                <w:rFonts w:ascii="Times New Roman" w:hAnsi="Times New Roman" w:cs="Times New Roman"/>
                <w:kern w:val="0"/>
                <w:sz w:val="20"/>
              </w:rPr>
              <w:t>2</w:t>
            </w:r>
          </w:p>
        </w:tc>
        <w:tc>
          <w:tcPr>
            <w:tcW w:w="1562"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ascii="Times New Roman" w:hAnsi="Times New Roman" w:cs="Times New Roman"/>
                <w:kern w:val="0"/>
                <w:sz w:val="20"/>
              </w:rPr>
            </w:pPr>
            <w:r>
              <w:rPr>
                <w:rFonts w:ascii="Times New Roman" w:hAnsi="Times New Roman" w:cs="Times New Roman"/>
                <w:kern w:val="0"/>
                <w:sz w:val="20"/>
              </w:rPr>
              <w:t>完整性审查</w:t>
            </w:r>
          </w:p>
        </w:tc>
        <w:tc>
          <w:tcPr>
            <w:tcW w:w="1986"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ascii="Times New Roman" w:hAnsi="Times New Roman" w:cs="Times New Roman"/>
                <w:kern w:val="0"/>
                <w:sz w:val="20"/>
              </w:rPr>
            </w:pPr>
            <w:r>
              <w:rPr>
                <w:rFonts w:ascii="Times New Roman" w:hAnsi="Times New Roman" w:cs="Times New Roman"/>
                <w:snapToGrid w:val="0"/>
                <w:kern w:val="0"/>
                <w:sz w:val="20"/>
                <w:szCs w:val="2"/>
              </w:rPr>
              <w:t>参选</w:t>
            </w:r>
            <w:r>
              <w:rPr>
                <w:rFonts w:ascii="Times New Roman" w:hAnsi="Times New Roman" w:cs="Times New Roman"/>
                <w:kern w:val="0"/>
                <w:sz w:val="20"/>
              </w:rPr>
              <w:t>文件份数</w:t>
            </w:r>
          </w:p>
        </w:tc>
        <w:tc>
          <w:tcPr>
            <w:tcW w:w="4916"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ascii="Times New Roman" w:hAnsi="Times New Roman" w:cs="Times New Roman"/>
                <w:kern w:val="0"/>
                <w:sz w:val="20"/>
              </w:rPr>
            </w:pPr>
            <w:r>
              <w:rPr>
                <w:rFonts w:ascii="Times New Roman" w:hAnsi="Times New Roman" w:cs="Times New Roman"/>
                <w:snapToGrid w:val="0"/>
                <w:kern w:val="0"/>
                <w:sz w:val="20"/>
                <w:szCs w:val="2"/>
              </w:rPr>
              <w:t>参选</w:t>
            </w:r>
            <w:r>
              <w:rPr>
                <w:rFonts w:ascii="Times New Roman" w:hAnsi="Times New Roman" w:cs="Times New Roman"/>
                <w:kern w:val="0"/>
                <w:sz w:val="20"/>
              </w:rPr>
              <w:t>文件数量符合比选文件要求。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pPr>
          </w:p>
        </w:tc>
        <w:tc>
          <w:tcPr>
            <w:tcW w:w="1562"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pPr>
          </w:p>
        </w:tc>
        <w:tc>
          <w:tcPr>
            <w:tcW w:w="1986"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ascii="Times New Roman" w:hAnsi="Times New Roman" w:cs="Times New Roman"/>
                <w:kern w:val="0"/>
                <w:sz w:val="20"/>
              </w:rPr>
            </w:pPr>
            <w:r>
              <w:rPr>
                <w:rFonts w:ascii="Times New Roman" w:hAnsi="Times New Roman" w:cs="Times New Roman"/>
                <w:snapToGrid w:val="0"/>
                <w:kern w:val="0"/>
                <w:sz w:val="20"/>
                <w:szCs w:val="2"/>
              </w:rPr>
              <w:t>参选</w:t>
            </w:r>
            <w:r>
              <w:rPr>
                <w:rFonts w:ascii="Times New Roman" w:hAnsi="Times New Roman" w:cs="Times New Roman"/>
                <w:kern w:val="0"/>
                <w:sz w:val="20"/>
              </w:rPr>
              <w:t>文件内容</w:t>
            </w:r>
          </w:p>
        </w:tc>
        <w:tc>
          <w:tcPr>
            <w:tcW w:w="4916"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ascii="Times New Roman" w:hAnsi="Times New Roman" w:cs="Times New Roman"/>
                <w:kern w:val="0"/>
                <w:sz w:val="20"/>
              </w:rPr>
            </w:pPr>
            <w:r>
              <w:rPr>
                <w:rFonts w:ascii="Times New Roman" w:hAnsi="Times New Roman" w:cs="Times New Roman"/>
                <w:snapToGrid w:val="0"/>
                <w:kern w:val="0"/>
                <w:sz w:val="20"/>
                <w:szCs w:val="2"/>
              </w:rPr>
              <w:t>参选</w:t>
            </w:r>
            <w:r>
              <w:rPr>
                <w:rFonts w:ascii="Times New Roman" w:hAnsi="Times New Roman" w:cs="Times New Roman"/>
                <w:kern w:val="0"/>
                <w:sz w:val="20"/>
              </w:rPr>
              <w:t>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kern w:val="0"/>
                <w:sz w:val="20"/>
              </w:rPr>
            </w:pPr>
            <w:r>
              <w:rPr>
                <w:rFonts w:ascii="Times New Roman" w:hAnsi="Times New Roman" w:cs="Times New Roman"/>
                <w:kern w:val="0"/>
                <w:sz w:val="20"/>
              </w:rPr>
              <w:t>3</w:t>
            </w:r>
          </w:p>
        </w:tc>
        <w:tc>
          <w:tcPr>
            <w:tcW w:w="1562"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ascii="Times New Roman" w:hAnsi="Times New Roman" w:cs="Times New Roman"/>
                <w:kern w:val="0"/>
                <w:sz w:val="20"/>
              </w:rPr>
            </w:pPr>
            <w:r>
              <w:rPr>
                <w:rFonts w:ascii="Times New Roman" w:hAnsi="Times New Roman" w:cs="Times New Roman"/>
                <w:kern w:val="0"/>
                <w:sz w:val="20"/>
              </w:rPr>
              <w:t>响应程度审查</w:t>
            </w:r>
          </w:p>
        </w:tc>
        <w:tc>
          <w:tcPr>
            <w:tcW w:w="1986"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ascii="Times New Roman" w:hAnsi="Times New Roman" w:cs="Times New Roman"/>
                <w:kern w:val="0"/>
                <w:sz w:val="20"/>
              </w:rPr>
            </w:pPr>
            <w:r>
              <w:rPr>
                <w:rFonts w:ascii="Times New Roman" w:hAnsi="Times New Roman" w:cs="Times New Roman"/>
                <w:snapToGrid w:val="0"/>
                <w:kern w:val="0"/>
                <w:sz w:val="20"/>
                <w:szCs w:val="2"/>
              </w:rPr>
              <w:t>参选</w:t>
            </w:r>
            <w:r>
              <w:rPr>
                <w:rFonts w:ascii="Times New Roman" w:hAnsi="Times New Roman" w:cs="Times New Roman"/>
                <w:kern w:val="0"/>
                <w:sz w:val="20"/>
              </w:rPr>
              <w:t>文件内容</w:t>
            </w:r>
          </w:p>
        </w:tc>
        <w:tc>
          <w:tcPr>
            <w:tcW w:w="4916" w:type="dxa"/>
            <w:vAlign w:val="center"/>
          </w:tcPr>
          <w:p>
            <w:pPr>
              <w:pStyle w:val="14"/>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hAnsi="宋体" w:eastAsia="宋体" w:cs="宋体"/>
                <w:kern w:val="0"/>
                <w:sz w:val="21"/>
                <w:szCs w:val="21"/>
              </w:rPr>
            </w:pPr>
            <w:r>
              <w:rPr>
                <w:rFonts w:hint="eastAsia" w:ascii="宋体" w:hAnsi="宋体" w:cs="宋体"/>
                <w:kern w:val="0"/>
                <w:sz w:val="21"/>
                <w:szCs w:val="21"/>
                <w:lang w:val="en-US" w:eastAsia="zh-CN"/>
              </w:rPr>
              <w:t>根据服务内容及要求偏离表、商务条款偏离表内容与</w:t>
            </w:r>
            <w:r>
              <w:rPr>
                <w:rFonts w:hint="eastAsia" w:ascii="宋体" w:hAnsi="宋体" w:eastAsia="宋体" w:cs="宋体"/>
                <w:kern w:val="0"/>
                <w:sz w:val="21"/>
                <w:szCs w:val="21"/>
              </w:rPr>
              <w:t>比选文件</w:t>
            </w:r>
            <w:r>
              <w:rPr>
                <w:rFonts w:hint="eastAsia" w:ascii="宋体" w:hAnsi="宋体" w:cs="宋体"/>
                <w:kern w:val="0"/>
                <w:sz w:val="21"/>
                <w:szCs w:val="21"/>
                <w:lang w:val="en-US" w:eastAsia="zh-CN"/>
              </w:rPr>
              <w:t>第四章、</w:t>
            </w:r>
            <w:r>
              <w:rPr>
                <w:rFonts w:hint="eastAsia" w:ascii="宋体" w:hAnsi="宋体" w:eastAsia="宋体" w:cs="宋体"/>
                <w:kern w:val="0"/>
                <w:sz w:val="21"/>
                <w:szCs w:val="21"/>
              </w:rPr>
              <w:t>第</w:t>
            </w:r>
            <w:r>
              <w:rPr>
                <w:rFonts w:hint="eastAsia" w:ascii="宋体" w:hAnsi="宋体" w:cs="宋体"/>
                <w:kern w:val="0"/>
                <w:sz w:val="21"/>
                <w:szCs w:val="21"/>
                <w:lang w:val="en-US" w:eastAsia="zh-CN"/>
              </w:rPr>
              <w:t>五</w:t>
            </w:r>
            <w:r>
              <w:rPr>
                <w:rFonts w:hint="eastAsia" w:ascii="宋体" w:hAnsi="宋体" w:eastAsia="宋体" w:cs="宋体"/>
                <w:kern w:val="0"/>
                <w:sz w:val="21"/>
                <w:szCs w:val="21"/>
              </w:rPr>
              <w:t>章规定的比选内容</w:t>
            </w:r>
            <w:r>
              <w:rPr>
                <w:rFonts w:hint="eastAsia" w:ascii="宋体" w:hAnsi="宋体" w:cs="宋体"/>
                <w:kern w:val="0"/>
                <w:sz w:val="21"/>
                <w:szCs w:val="21"/>
                <w:lang w:eastAsia="zh-CN"/>
              </w:rPr>
              <w:t>，</w:t>
            </w:r>
            <w:r>
              <w:rPr>
                <w:rFonts w:hint="eastAsia" w:ascii="宋体" w:hAnsi="宋体" w:cs="宋体"/>
                <w:kern w:val="0"/>
                <w:sz w:val="21"/>
                <w:szCs w:val="21"/>
                <w:lang w:val="en-US" w:eastAsia="zh-CN"/>
              </w:rPr>
              <w:t>确认参选人是否对</w:t>
            </w:r>
            <w:r>
              <w:rPr>
                <w:rFonts w:hint="eastAsia" w:ascii="宋体" w:hAnsi="宋体" w:eastAsia="宋体" w:cs="宋体"/>
                <w:kern w:val="0"/>
                <w:sz w:val="21"/>
                <w:szCs w:val="21"/>
              </w:rPr>
              <w:t>比选文件</w:t>
            </w:r>
            <w:r>
              <w:rPr>
                <w:rFonts w:hint="eastAsia" w:ascii="宋体" w:hAnsi="宋体" w:cs="宋体"/>
                <w:kern w:val="0"/>
                <w:sz w:val="21"/>
                <w:szCs w:val="21"/>
                <w:lang w:val="en-US" w:eastAsia="zh-CN"/>
              </w:rPr>
              <w:t>第四章、</w:t>
            </w:r>
            <w:r>
              <w:rPr>
                <w:rFonts w:hint="eastAsia" w:ascii="宋体" w:hAnsi="宋体" w:eastAsia="宋体" w:cs="宋体"/>
                <w:kern w:val="0"/>
                <w:sz w:val="21"/>
                <w:szCs w:val="21"/>
              </w:rPr>
              <w:t>第</w:t>
            </w:r>
            <w:r>
              <w:rPr>
                <w:rFonts w:hint="eastAsia" w:ascii="宋体" w:hAnsi="宋体" w:cs="宋体"/>
                <w:kern w:val="0"/>
                <w:sz w:val="21"/>
                <w:szCs w:val="21"/>
                <w:lang w:val="en-US" w:eastAsia="zh-CN"/>
              </w:rPr>
              <w:t>五</w:t>
            </w:r>
            <w:r>
              <w:rPr>
                <w:rFonts w:hint="eastAsia" w:ascii="宋体" w:hAnsi="宋体" w:eastAsia="宋体" w:cs="宋体"/>
                <w:kern w:val="0"/>
                <w:sz w:val="21"/>
                <w:szCs w:val="21"/>
              </w:rPr>
              <w:t>章规定的比选内容作出响应。</w:t>
            </w:r>
          </w:p>
          <w:p>
            <w:pPr>
              <w:pStyle w:val="14"/>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kern w:val="0"/>
                <w:sz w:val="20"/>
              </w:rPr>
            </w:pPr>
            <w:r>
              <w:rPr>
                <w:rFonts w:hint="eastAsia" w:ascii="宋体" w:hAnsi="宋体" w:cs="宋体"/>
                <w:kern w:val="0"/>
                <w:sz w:val="21"/>
                <w:szCs w:val="21"/>
                <w:lang w:val="en-US" w:eastAsia="zh-CN"/>
              </w:rPr>
              <w:t>根据参选人提供的响应承诺函，检查是否对比选文件第三章、第四章、第五章内容做出响应承诺</w:t>
            </w:r>
            <w:r>
              <w:rPr>
                <w:kern w:val="0"/>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pPr>
          </w:p>
        </w:tc>
        <w:tc>
          <w:tcPr>
            <w:tcW w:w="1562"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pPr>
          </w:p>
        </w:tc>
        <w:tc>
          <w:tcPr>
            <w:tcW w:w="1986"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ascii="Times New Roman" w:hAnsi="Times New Roman" w:cs="Times New Roman"/>
                <w:kern w:val="0"/>
                <w:sz w:val="20"/>
              </w:rPr>
            </w:pPr>
            <w:r>
              <w:rPr>
                <w:rFonts w:ascii="Times New Roman" w:hAnsi="Times New Roman" w:cs="Times New Roman"/>
                <w:snapToGrid w:val="0"/>
                <w:kern w:val="0"/>
                <w:sz w:val="20"/>
                <w:szCs w:val="2"/>
              </w:rPr>
              <w:t>参选</w:t>
            </w:r>
            <w:r>
              <w:rPr>
                <w:rFonts w:ascii="Times New Roman" w:hAnsi="Times New Roman" w:cs="Times New Roman"/>
                <w:kern w:val="0"/>
                <w:sz w:val="20"/>
              </w:rPr>
              <w:t>有效期</w:t>
            </w:r>
          </w:p>
        </w:tc>
        <w:tc>
          <w:tcPr>
            <w:tcW w:w="4916"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ascii="Times New Roman" w:hAnsi="Times New Roman" w:cs="Times New Roman"/>
                <w:kern w:val="0"/>
                <w:sz w:val="20"/>
              </w:rPr>
            </w:pPr>
            <w:r>
              <w:rPr>
                <w:rFonts w:ascii="Times New Roman" w:hAnsi="Times New Roman" w:cs="Times New Roman"/>
                <w:kern w:val="0"/>
                <w:sz w:val="20"/>
              </w:rPr>
              <w:t>满足比选文件规定。</w:t>
            </w:r>
          </w:p>
        </w:tc>
      </w:tr>
    </w:tbl>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3、澄清有关问题。对参选文件中含义不明确、同类问题表述不一致或者有明显文字和计算错误的内容，</w:t>
      </w:r>
      <w:r>
        <w:rPr>
          <w:rFonts w:hint="eastAsia" w:ascii="宋体" w:cs="宋体"/>
          <w:snapToGrid w:val="0"/>
          <w:kern w:val="0"/>
          <w:sz w:val="24"/>
          <w:szCs w:val="24"/>
        </w:rPr>
        <w:t>评审委员会</w:t>
      </w:r>
      <w:r>
        <w:rPr>
          <w:rFonts w:ascii="Times New Roman" w:hAnsi="Times New Roman" w:cs="Times New Roman"/>
          <w:snapToGrid w:val="0"/>
          <w:kern w:val="0"/>
          <w:sz w:val="24"/>
          <w:szCs w:val="24"/>
        </w:rPr>
        <w:t>可以书面形式（应当由</w:t>
      </w:r>
      <w:r>
        <w:rPr>
          <w:rFonts w:hint="eastAsia" w:ascii="Times New Roman" w:hAnsi="Times New Roman" w:cs="Times New Roman"/>
          <w:snapToGrid w:val="0"/>
          <w:kern w:val="0"/>
          <w:sz w:val="24"/>
          <w:szCs w:val="24"/>
          <w:lang w:eastAsia="zh-CN"/>
        </w:rPr>
        <w:t>评审</w:t>
      </w:r>
      <w:r>
        <w:rPr>
          <w:rFonts w:ascii="Times New Roman" w:hAnsi="Times New Roman" w:cs="Times New Roman"/>
          <w:snapToGrid w:val="0"/>
          <w:kern w:val="0"/>
          <w:sz w:val="24"/>
          <w:szCs w:val="24"/>
        </w:rPr>
        <w:t>委员会成员签字）要求参选人作出必要澄清、说明或者纠正。参选人的澄清、说明或者补正应当采用书面形式，由其授权的代表签字，并不得超出参选文件的范围或者改变参选文件的实质性内容。</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4、比较与评价。按比选文件中规定的</w:t>
      </w:r>
      <w:r>
        <w:rPr>
          <w:rFonts w:hint="eastAsia" w:ascii="Times New Roman" w:hAnsi="Times New Roman" w:cs="Times New Roman"/>
          <w:snapToGrid w:val="0"/>
          <w:kern w:val="0"/>
          <w:sz w:val="24"/>
          <w:szCs w:val="24"/>
          <w:lang w:eastAsia="zh-CN"/>
        </w:rPr>
        <w:t>评审</w:t>
      </w:r>
      <w:r>
        <w:rPr>
          <w:rFonts w:ascii="Times New Roman" w:hAnsi="Times New Roman" w:cs="Times New Roman"/>
          <w:snapToGrid w:val="0"/>
          <w:kern w:val="0"/>
          <w:sz w:val="24"/>
          <w:szCs w:val="24"/>
        </w:rPr>
        <w:t>方法和标准，对资格性检查和符合性检查合格的参选文件进行商务和技术评估，综合比较与评价。</w:t>
      </w:r>
    </w:p>
    <w:p>
      <w:pPr>
        <w:snapToGrid w:val="0"/>
        <w:spacing w:line="360" w:lineRule="auto"/>
        <w:ind w:firstLine="480" w:firstLineChars="200"/>
        <w:rPr>
          <w:rFonts w:ascii="Times New Roman" w:hAnsi="Times New Roman" w:cs="Times New Roman"/>
          <w:snapToGrid w:val="0"/>
          <w:kern w:val="0"/>
          <w:sz w:val="24"/>
          <w:szCs w:val="24"/>
        </w:rPr>
      </w:pPr>
      <w:r>
        <w:rPr>
          <w:rFonts w:hint="eastAsia" w:ascii="宋体" w:cs="宋体"/>
          <w:snapToGrid w:val="0"/>
          <w:kern w:val="0"/>
          <w:sz w:val="24"/>
          <w:szCs w:val="24"/>
        </w:rPr>
        <w:t>评审委员会成员</w:t>
      </w:r>
      <w:r>
        <w:rPr>
          <w:rFonts w:ascii="Times New Roman" w:hAnsi="Times New Roman" w:cs="Times New Roman"/>
          <w:snapToGrid w:val="0"/>
          <w:kern w:val="0"/>
          <w:sz w:val="24"/>
          <w:szCs w:val="24"/>
        </w:rPr>
        <w:t>应当独立对每个有效参选人的参选文件进行评价、打分，对同一参选人同一评分项的打分偏离较大的，应对参选人的参选文件进行再次核对，确属打分有误的，应及时进行修正。复核后，汇总每个参选人每项评分因素的得分。</w:t>
      </w:r>
    </w:p>
    <w:p>
      <w:pPr>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5、</w:t>
      </w:r>
      <w:bookmarkStart w:id="84" w:name="_Toc89675156"/>
      <w:bookmarkStart w:id="85" w:name="_Toc275199617"/>
      <w:bookmarkStart w:id="86" w:name="_Toc440628923"/>
      <w:bookmarkStart w:id="87" w:name="_Toc14892"/>
      <w:bookmarkStart w:id="88" w:name="_Toc443294656"/>
      <w:bookmarkStart w:id="89" w:name="_Toc424733476"/>
      <w:r>
        <w:rPr>
          <w:rFonts w:hint="eastAsia" w:ascii="宋体"/>
          <w:snapToGrid w:val="0"/>
          <w:kern w:val="0"/>
          <w:sz w:val="24"/>
          <w:szCs w:val="24"/>
        </w:rPr>
        <w:t>推荐中选候选人名单。按评审后得分由高到低顺序排列推荐中选候选人。综合得分排名第一的</w:t>
      </w:r>
      <w:r>
        <w:rPr>
          <w:rFonts w:hint="eastAsia" w:ascii="宋体" w:cs="宋体"/>
          <w:snapToGrid w:val="0"/>
          <w:kern w:val="0"/>
          <w:sz w:val="24"/>
          <w:szCs w:val="24"/>
        </w:rPr>
        <w:t>参选</w:t>
      </w:r>
      <w:r>
        <w:rPr>
          <w:rFonts w:hint="eastAsia" w:ascii="宋体"/>
          <w:snapToGrid w:val="0"/>
          <w:kern w:val="0"/>
          <w:sz w:val="24"/>
          <w:szCs w:val="24"/>
        </w:rPr>
        <w:t>人为第一中选候选人，以此类推排名。排名得分相同的按比选文件评分标准中</w:t>
      </w:r>
      <w:r>
        <w:rPr>
          <w:rFonts w:hint="eastAsia" w:ascii="宋体" w:cs="宋体"/>
          <w:snapToGrid w:val="0"/>
          <w:kern w:val="0"/>
          <w:sz w:val="24"/>
          <w:szCs w:val="24"/>
        </w:rPr>
        <w:t>参选</w:t>
      </w:r>
      <w:r>
        <w:rPr>
          <w:rFonts w:hint="eastAsia" w:ascii="宋体"/>
          <w:snapToGrid w:val="0"/>
          <w:kern w:val="0"/>
          <w:sz w:val="24"/>
          <w:szCs w:val="24"/>
        </w:rPr>
        <w:t>报价得分由高到低顺序排列。</w:t>
      </w:r>
    </w:p>
    <w:p>
      <w:pPr>
        <w:spacing w:line="360" w:lineRule="auto"/>
        <w:ind w:firstLine="482" w:firstLineChars="200"/>
        <w:jc w:val="left"/>
        <w:outlineLvl w:val="1"/>
        <w:rPr>
          <w:rFonts w:ascii="Times New Roman" w:hAnsi="Times New Roman" w:cs="Times New Roman"/>
          <w:b/>
          <w:snapToGrid w:val="0"/>
          <w:kern w:val="0"/>
          <w:sz w:val="24"/>
          <w:szCs w:val="24"/>
        </w:rPr>
      </w:pPr>
      <w:bookmarkStart w:id="90" w:name="_Toc15059430"/>
      <w:r>
        <w:rPr>
          <w:rFonts w:ascii="Times New Roman" w:hAnsi="Times New Roman" w:cs="Times New Roman"/>
          <w:b/>
          <w:snapToGrid w:val="0"/>
          <w:kern w:val="0"/>
          <w:sz w:val="24"/>
          <w:szCs w:val="24"/>
        </w:rPr>
        <w:t>二、</w:t>
      </w:r>
      <w:r>
        <w:rPr>
          <w:rFonts w:hint="eastAsia" w:ascii="Times New Roman" w:hAnsi="Times New Roman" w:cs="Times New Roman"/>
          <w:b/>
          <w:snapToGrid w:val="0"/>
          <w:kern w:val="0"/>
          <w:sz w:val="24"/>
          <w:szCs w:val="24"/>
          <w:lang w:eastAsia="zh-CN"/>
        </w:rPr>
        <w:t>评审</w:t>
      </w:r>
      <w:r>
        <w:rPr>
          <w:rFonts w:ascii="Times New Roman" w:hAnsi="Times New Roman" w:cs="Times New Roman"/>
          <w:b/>
          <w:snapToGrid w:val="0"/>
          <w:kern w:val="0"/>
          <w:sz w:val="24"/>
          <w:szCs w:val="24"/>
        </w:rPr>
        <w:t>标准</w:t>
      </w:r>
      <w:bookmarkEnd w:id="84"/>
      <w:bookmarkEnd w:id="85"/>
      <w:bookmarkEnd w:id="86"/>
      <w:bookmarkEnd w:id="87"/>
      <w:bookmarkEnd w:id="90"/>
    </w:p>
    <w:p>
      <w:pPr>
        <w:spacing w:line="360" w:lineRule="auto"/>
        <w:ind w:firstLine="480" w:firstLineChars="200"/>
        <w:rPr>
          <w:rFonts w:ascii="宋体" w:hAnsi="宋体"/>
          <w:bCs/>
          <w:snapToGrid w:val="0"/>
          <w:kern w:val="0"/>
          <w:sz w:val="24"/>
          <w:szCs w:val="24"/>
        </w:rPr>
      </w:pPr>
      <w:r>
        <w:rPr>
          <w:rFonts w:hint="eastAsia" w:ascii="宋体" w:hAnsi="宋体"/>
          <w:bCs/>
          <w:snapToGrid w:val="0"/>
          <w:kern w:val="0"/>
          <w:sz w:val="24"/>
          <w:szCs w:val="24"/>
          <w:lang w:eastAsia="zh-CN"/>
        </w:rPr>
        <w:t>评审</w:t>
      </w:r>
      <w:r>
        <w:rPr>
          <w:rFonts w:hint="eastAsia" w:ascii="宋体" w:hAnsi="宋体"/>
          <w:bCs/>
          <w:snapToGrid w:val="0"/>
          <w:kern w:val="0"/>
          <w:sz w:val="24"/>
          <w:szCs w:val="24"/>
        </w:rPr>
        <w:t>标准总分为1</w:t>
      </w:r>
      <w:r>
        <w:rPr>
          <w:rFonts w:ascii="宋体" w:hAnsi="宋体"/>
          <w:bCs/>
          <w:snapToGrid w:val="0"/>
          <w:kern w:val="0"/>
          <w:sz w:val="24"/>
          <w:szCs w:val="24"/>
        </w:rPr>
        <w:t>00</w:t>
      </w:r>
      <w:r>
        <w:rPr>
          <w:rFonts w:hint="eastAsia" w:ascii="宋体" w:hAnsi="宋体"/>
          <w:bCs/>
          <w:snapToGrid w:val="0"/>
          <w:kern w:val="0"/>
          <w:sz w:val="24"/>
          <w:szCs w:val="24"/>
        </w:rPr>
        <w:t>分，分为商务评分和技术评分，商务评分为客观评分，技术评分为主观评分。如下供参考。</w:t>
      </w:r>
    </w:p>
    <w:tbl>
      <w:tblPr>
        <w:tblStyle w:val="25"/>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021"/>
        <w:gridCol w:w="1531"/>
        <w:gridCol w:w="1134"/>
        <w:gridCol w:w="1134"/>
        <w:gridCol w:w="3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5" w:type="dxa"/>
            <w:shd w:val="clear" w:color="auto" w:fill="auto"/>
            <w:noWrap/>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z w:val="20"/>
              </w:rPr>
            </w:pPr>
            <w:bookmarkStart w:id="91" w:name="_Hlk23863469"/>
            <w:r>
              <w:rPr>
                <w:rFonts w:ascii="Times New Roman" w:hAnsi="Times New Roman" w:cs="Times New Roman"/>
                <w:b/>
                <w:sz w:val="20"/>
              </w:rPr>
              <w:t>序号</w:t>
            </w:r>
          </w:p>
        </w:tc>
        <w:tc>
          <w:tcPr>
            <w:tcW w:w="1021" w:type="dxa"/>
            <w:shd w:val="clear" w:color="auto" w:fill="auto"/>
            <w:noWrap/>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z w:val="20"/>
              </w:rPr>
            </w:pPr>
            <w:r>
              <w:rPr>
                <w:rFonts w:ascii="Times New Roman" w:hAnsi="Times New Roman" w:cs="Times New Roman"/>
                <w:b/>
                <w:sz w:val="20"/>
              </w:rPr>
              <w:t>分类</w:t>
            </w:r>
          </w:p>
        </w:tc>
        <w:tc>
          <w:tcPr>
            <w:tcW w:w="1531" w:type="dxa"/>
            <w:shd w:val="clear" w:color="auto" w:fill="auto"/>
            <w:noWrap/>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z w:val="20"/>
              </w:rPr>
            </w:pPr>
            <w:r>
              <w:rPr>
                <w:rFonts w:ascii="Times New Roman" w:hAnsi="Times New Roman" w:cs="Times New Roman"/>
                <w:b/>
                <w:sz w:val="20"/>
              </w:rPr>
              <w:t>评分指标</w:t>
            </w:r>
          </w:p>
        </w:tc>
        <w:tc>
          <w:tcPr>
            <w:tcW w:w="1134" w:type="dxa"/>
            <w:shd w:val="clear" w:color="auto" w:fill="auto"/>
            <w:noWrap/>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z w:val="20"/>
              </w:rPr>
            </w:pPr>
            <w:r>
              <w:rPr>
                <w:rFonts w:ascii="Times New Roman" w:hAnsi="Times New Roman" w:cs="Times New Roman"/>
                <w:b/>
                <w:sz w:val="20"/>
              </w:rPr>
              <w:t>分项指标</w:t>
            </w:r>
          </w:p>
        </w:tc>
        <w:tc>
          <w:tcPr>
            <w:tcW w:w="1134" w:type="dxa"/>
            <w:shd w:val="clear" w:color="auto" w:fill="auto"/>
            <w:noWrap/>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z w:val="20"/>
              </w:rPr>
            </w:pPr>
            <w:r>
              <w:rPr>
                <w:rFonts w:ascii="Times New Roman" w:hAnsi="Times New Roman" w:cs="Times New Roman"/>
                <w:b/>
                <w:sz w:val="20"/>
              </w:rPr>
              <w:t>分项分值</w:t>
            </w:r>
          </w:p>
        </w:tc>
        <w:tc>
          <w:tcPr>
            <w:tcW w:w="3689" w:type="dxa"/>
            <w:shd w:val="clear" w:color="auto" w:fill="auto"/>
            <w:noWrap/>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z w:val="20"/>
              </w:rPr>
            </w:pPr>
            <w:r>
              <w:rPr>
                <w:rFonts w:ascii="Times New Roman" w:hAnsi="Times New Roman" w:cs="Times New Roman"/>
                <w:b/>
                <w:sz w:val="20"/>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675" w:type="dxa"/>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0"/>
              </w:rPr>
            </w:pPr>
            <w:r>
              <w:rPr>
                <w:rFonts w:ascii="Times New Roman" w:hAnsi="Times New Roman" w:cs="Times New Roman"/>
                <w:sz w:val="20"/>
              </w:rPr>
              <w:t>1</w:t>
            </w:r>
          </w:p>
        </w:tc>
        <w:tc>
          <w:tcPr>
            <w:tcW w:w="1021" w:type="dxa"/>
            <w:vMerge w:val="restart"/>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0"/>
              </w:rPr>
            </w:pPr>
            <w:r>
              <w:rPr>
                <w:rFonts w:ascii="Times New Roman" w:hAnsi="Times New Roman" w:cs="Times New Roman"/>
                <w:sz w:val="20"/>
              </w:rPr>
              <w:t>商务评分(90分)</w:t>
            </w:r>
          </w:p>
        </w:tc>
        <w:tc>
          <w:tcPr>
            <w:tcW w:w="1531" w:type="dxa"/>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0"/>
              </w:rPr>
            </w:pPr>
            <w:r>
              <w:rPr>
                <w:rFonts w:ascii="Times New Roman" w:hAnsi="Times New Roman" w:cs="Times New Roman"/>
                <w:snapToGrid w:val="0"/>
                <w:sz w:val="20"/>
                <w:szCs w:val="2"/>
              </w:rPr>
              <w:t>参选</w:t>
            </w:r>
            <w:r>
              <w:rPr>
                <w:rFonts w:ascii="Times New Roman" w:hAnsi="Times New Roman" w:cs="Times New Roman"/>
                <w:sz w:val="20"/>
              </w:rPr>
              <w:t>总价</w:t>
            </w:r>
          </w:p>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0"/>
              </w:rPr>
            </w:pPr>
            <w:r>
              <w:rPr>
                <w:rFonts w:ascii="Times New Roman" w:hAnsi="Times New Roman" w:cs="Times New Roman"/>
                <w:sz w:val="20"/>
              </w:rPr>
              <w:t>（40分）</w:t>
            </w:r>
          </w:p>
        </w:tc>
        <w:tc>
          <w:tcPr>
            <w:tcW w:w="1134" w:type="dxa"/>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0"/>
              </w:rPr>
            </w:pPr>
            <w:r>
              <w:rPr>
                <w:rFonts w:ascii="Times New Roman" w:hAnsi="Times New Roman" w:cs="Times New Roman"/>
                <w:sz w:val="20"/>
              </w:rPr>
              <w:t>参选价格</w:t>
            </w:r>
          </w:p>
        </w:tc>
        <w:tc>
          <w:tcPr>
            <w:tcW w:w="1134" w:type="dxa"/>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z w:val="20"/>
              </w:rPr>
            </w:pPr>
            <w:r>
              <w:rPr>
                <w:rFonts w:ascii="Times New Roman" w:hAnsi="Times New Roman" w:cs="Times New Roman"/>
                <w:b/>
                <w:sz w:val="20"/>
              </w:rPr>
              <w:t>40</w:t>
            </w:r>
          </w:p>
        </w:tc>
        <w:tc>
          <w:tcPr>
            <w:tcW w:w="3689" w:type="dxa"/>
            <w:shd w:val="clear" w:color="auto" w:fill="auto"/>
            <w:noWrap/>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Times New Roman" w:hAnsi="Times New Roman" w:cs="Times New Roman"/>
                <w:sz w:val="20"/>
              </w:rPr>
            </w:pPr>
            <w:r>
              <w:rPr>
                <w:rFonts w:ascii="Times New Roman" w:hAnsi="Times New Roman" w:cs="Times New Roman"/>
                <w:sz w:val="20"/>
              </w:rPr>
              <w:t>1.以各有效报价之和的平均价格的90%作为评标基准价，基准分为40分；</w:t>
            </w:r>
          </w:p>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Times New Roman" w:hAnsi="Times New Roman" w:cs="Times New Roman"/>
                <w:sz w:val="20"/>
              </w:rPr>
            </w:pPr>
            <w:r>
              <w:rPr>
                <w:rFonts w:ascii="Times New Roman" w:hAnsi="Times New Roman" w:cs="Times New Roman"/>
                <w:sz w:val="20"/>
              </w:rPr>
              <w:t>2.计算各有效报价与评标基准价的偏离度。偏离度=（有效报价/评标基准价-1）*100%；</w:t>
            </w:r>
          </w:p>
          <w:p>
            <w:pPr>
              <w:keepNext w:val="0"/>
              <w:keepLines w:val="0"/>
              <w:pageBreakBefore w:val="0"/>
              <w:kinsoku/>
              <w:wordWrap/>
              <w:overflowPunct/>
              <w:topLinePunct w:val="0"/>
              <w:autoSpaceDE w:val="0"/>
              <w:autoSpaceDN w:val="0"/>
              <w:bidi w:val="0"/>
              <w:adjustRightInd/>
              <w:snapToGrid/>
              <w:spacing w:line="360" w:lineRule="auto"/>
              <w:ind w:firstLine="0" w:firstLineChars="0"/>
              <w:jc w:val="left"/>
              <w:textAlignment w:val="auto"/>
              <w:rPr>
                <w:rFonts w:ascii="Times New Roman" w:hAnsi="Times New Roman" w:cs="Times New Roman"/>
                <w:sz w:val="20"/>
              </w:rPr>
            </w:pPr>
            <w:r>
              <w:rPr>
                <w:rFonts w:ascii="Times New Roman" w:hAnsi="Times New Roman" w:cs="Times New Roman"/>
                <w:sz w:val="20"/>
              </w:rPr>
              <w:t>3.报价向上每偏离基准价的1%扣1分，向下每偏离基准价的1%扣1分，扣完为止，不足1%的不予扣减。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675" w:type="dxa"/>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0"/>
              </w:rPr>
            </w:pPr>
            <w:r>
              <w:rPr>
                <w:rFonts w:ascii="Times New Roman" w:hAnsi="Times New Roman" w:cs="Times New Roman"/>
                <w:sz w:val="20"/>
              </w:rPr>
              <w:t>2</w:t>
            </w:r>
          </w:p>
        </w:tc>
        <w:tc>
          <w:tcPr>
            <w:tcW w:w="1021" w:type="dxa"/>
            <w:vMerge w:val="continue"/>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Times New Roman" w:hAnsi="Times New Roman" w:cs="Times New Roman"/>
              </w:rPr>
            </w:pPr>
          </w:p>
        </w:tc>
        <w:tc>
          <w:tcPr>
            <w:tcW w:w="1531" w:type="dxa"/>
            <w:vMerge w:val="restart"/>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0"/>
              </w:rPr>
            </w:pPr>
            <w:r>
              <w:rPr>
                <w:rFonts w:ascii="Times New Roman" w:hAnsi="Times New Roman" w:cs="Times New Roman" w:eastAsiaTheme="minorEastAsia"/>
                <w:kern w:val="0"/>
                <w:sz w:val="21"/>
                <w:szCs w:val="21"/>
              </w:rPr>
              <w:t>企业实力（16分）</w:t>
            </w:r>
          </w:p>
        </w:tc>
        <w:tc>
          <w:tcPr>
            <w:tcW w:w="1134" w:type="dxa"/>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0"/>
              </w:rPr>
            </w:pPr>
            <w:r>
              <w:rPr>
                <w:rFonts w:ascii="Times New Roman" w:hAnsi="Times New Roman" w:cs="Times New Roman" w:eastAsiaTheme="minorEastAsia"/>
                <w:kern w:val="0"/>
                <w:sz w:val="21"/>
                <w:szCs w:val="21"/>
              </w:rPr>
              <w:t>企业CMMI资质</w:t>
            </w:r>
          </w:p>
        </w:tc>
        <w:tc>
          <w:tcPr>
            <w:tcW w:w="1134" w:type="dxa"/>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z w:val="20"/>
              </w:rPr>
            </w:pPr>
            <w:r>
              <w:rPr>
                <w:rFonts w:ascii="Times New Roman" w:hAnsi="Times New Roman" w:cs="Times New Roman"/>
                <w:b/>
                <w:sz w:val="20"/>
              </w:rPr>
              <w:t>5</w:t>
            </w:r>
          </w:p>
        </w:tc>
        <w:tc>
          <w:tcPr>
            <w:tcW w:w="3689" w:type="dxa"/>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left"/>
              <w:textAlignment w:val="auto"/>
              <w:rPr>
                <w:rFonts w:ascii="Times New Roman" w:hAnsi="Times New Roman" w:cs="Times New Roman"/>
                <w:sz w:val="20"/>
              </w:rPr>
            </w:pPr>
            <w:r>
              <w:rPr>
                <w:rFonts w:ascii="Times New Roman" w:hAnsi="Times New Roman" w:cs="Times New Roman" w:eastAsiaTheme="minorEastAsia"/>
                <w:kern w:val="0"/>
                <w:sz w:val="21"/>
                <w:szCs w:val="21"/>
              </w:rPr>
              <w:t>参选人拥有CMMI官方授权，具备CMMI-Partner官方合作伙伴资质，得5分。（参选人须提供证书复印件并加盖公章）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675" w:type="dxa"/>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0"/>
              </w:rPr>
            </w:pPr>
            <w:r>
              <w:rPr>
                <w:rFonts w:ascii="Times New Roman" w:hAnsi="Times New Roman" w:cs="Times New Roman"/>
                <w:sz w:val="20"/>
              </w:rPr>
              <w:t>3</w:t>
            </w:r>
          </w:p>
        </w:tc>
        <w:tc>
          <w:tcPr>
            <w:tcW w:w="1021" w:type="dxa"/>
            <w:vMerge w:val="continue"/>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Times New Roman" w:hAnsi="Times New Roman" w:cs="Times New Roman"/>
              </w:rPr>
            </w:pPr>
          </w:p>
        </w:tc>
        <w:tc>
          <w:tcPr>
            <w:tcW w:w="1531" w:type="dxa"/>
            <w:vMerge w:val="continue"/>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0"/>
              </w:rPr>
            </w:pPr>
          </w:p>
        </w:tc>
        <w:tc>
          <w:tcPr>
            <w:tcW w:w="1134" w:type="dxa"/>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0"/>
              </w:rPr>
            </w:pPr>
            <w:r>
              <w:rPr>
                <w:rFonts w:ascii="Times New Roman" w:hAnsi="Times New Roman" w:cs="Times New Roman" w:eastAsiaTheme="minorEastAsia"/>
                <w:kern w:val="0"/>
                <w:sz w:val="21"/>
                <w:szCs w:val="21"/>
              </w:rPr>
              <w:t>企业实施案例</w:t>
            </w:r>
          </w:p>
        </w:tc>
        <w:tc>
          <w:tcPr>
            <w:tcW w:w="1134" w:type="dxa"/>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bCs/>
                <w:sz w:val="20"/>
              </w:rPr>
            </w:pPr>
            <w:r>
              <w:rPr>
                <w:rFonts w:ascii="Times New Roman" w:hAnsi="Times New Roman" w:cs="Times New Roman"/>
                <w:b/>
                <w:bCs/>
                <w:sz w:val="20"/>
              </w:rPr>
              <w:t>6</w:t>
            </w:r>
          </w:p>
        </w:tc>
        <w:tc>
          <w:tcPr>
            <w:tcW w:w="3689" w:type="dxa"/>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left"/>
              <w:textAlignment w:val="auto"/>
              <w:rPr>
                <w:rFonts w:ascii="Times New Roman" w:hAnsi="Times New Roman" w:cs="Times New Roman"/>
                <w:sz w:val="20"/>
              </w:rPr>
            </w:pPr>
            <w:r>
              <w:rPr>
                <w:rFonts w:ascii="Times New Roman" w:hAnsi="Times New Roman" w:cs="Times New Roman" w:eastAsiaTheme="minorEastAsia"/>
                <w:kern w:val="0"/>
                <w:sz w:val="21"/>
                <w:szCs w:val="21"/>
              </w:rPr>
              <w:t>2021年1月1日至参选截止日，参选人具有国内银行业CMMI3级及其以上级别实施案例(需提供合同复印件和项目简介)，根据签订的合同数量认定为案例数量，每增加1个有效案例可得2分，最高不超过6分。</w:t>
            </w:r>
            <w:r>
              <w:rPr>
                <w:rFonts w:ascii="Times New Roman" w:hAnsi="Times New Roman" w:cs="Times New Roman"/>
                <w:kern w:val="0"/>
                <w:sz w:val="21"/>
              </w:rPr>
              <w:t>说明：计分按有效案例的最高得分计分，不重复计分</w:t>
            </w:r>
            <w:r>
              <w:rPr>
                <w:rFonts w:ascii="Times New Roman" w:hAnsi="Times New Roman" w:cs="Times New Roman" w:eastAsiaTheme="minorEastAsia"/>
                <w:kern w:val="0"/>
                <w:sz w:val="21"/>
                <w:szCs w:val="21"/>
              </w:rPr>
              <w:br w:type="textWrapping"/>
            </w:r>
            <w:r>
              <w:rPr>
                <w:rFonts w:ascii="Times New Roman" w:hAnsi="Times New Roman" w:cs="Times New Roman" w:eastAsiaTheme="minorEastAsia"/>
                <w:kern w:val="0"/>
                <w:sz w:val="21"/>
                <w:szCs w:val="21"/>
              </w:rPr>
              <w:t>提供项目简介和案例合同复印件并加盖参选人公章，案例时间以合同签订时间为准；若合同内容不能完整体现相关内容，可再补充提供由合同中的甲方出具的相关证明材料复印件加盖参选人公章作为辅证；或合同中内容经</w:t>
            </w:r>
            <w:r>
              <w:rPr>
                <w:rFonts w:hint="eastAsia" w:ascii="Times New Roman" w:hAnsi="Times New Roman" w:cs="Times New Roman" w:eastAsiaTheme="minorEastAsia"/>
                <w:kern w:val="0"/>
                <w:sz w:val="21"/>
                <w:szCs w:val="21"/>
                <w:lang w:eastAsia="zh-CN"/>
              </w:rPr>
              <w:t>评审</w:t>
            </w:r>
            <w:r>
              <w:rPr>
                <w:rFonts w:ascii="Times New Roman" w:hAnsi="Times New Roman" w:cs="Times New Roman" w:eastAsiaTheme="minorEastAsia"/>
                <w:kern w:val="0"/>
                <w:sz w:val="21"/>
                <w:szCs w:val="21"/>
              </w:rPr>
              <w:t>委员会认定其实质性工作内容与上述相关关键字相符，均视为有效案例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675" w:type="dxa"/>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0"/>
              </w:rPr>
            </w:pPr>
          </w:p>
        </w:tc>
        <w:tc>
          <w:tcPr>
            <w:tcW w:w="1021" w:type="dxa"/>
            <w:vMerge w:val="continue"/>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Times New Roman" w:hAnsi="Times New Roman" w:cs="Times New Roman"/>
              </w:rPr>
            </w:pPr>
          </w:p>
        </w:tc>
        <w:tc>
          <w:tcPr>
            <w:tcW w:w="1531" w:type="dxa"/>
            <w:vMerge w:val="continue"/>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0"/>
              </w:rPr>
            </w:pPr>
          </w:p>
        </w:tc>
        <w:tc>
          <w:tcPr>
            <w:tcW w:w="1134" w:type="dxa"/>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具备主任评估师资源</w:t>
            </w:r>
          </w:p>
        </w:tc>
        <w:tc>
          <w:tcPr>
            <w:tcW w:w="1134" w:type="dxa"/>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eastAsiaTheme="minorEastAsia"/>
                <w:kern w:val="0"/>
                <w:sz w:val="21"/>
                <w:szCs w:val="21"/>
              </w:rPr>
            </w:pPr>
            <w:r>
              <w:rPr>
                <w:rFonts w:ascii="Times New Roman" w:hAnsi="Times New Roman" w:cs="Times New Roman"/>
                <w:b/>
                <w:bCs/>
                <w:sz w:val="20"/>
              </w:rPr>
              <w:t>5</w:t>
            </w:r>
          </w:p>
        </w:tc>
        <w:tc>
          <w:tcPr>
            <w:tcW w:w="3689" w:type="dxa"/>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left"/>
              <w:textAlignment w:val="auto"/>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具备CMMI主任评估师资源，每增加1名，得1分，最高得5分。（提供相关证明资料，不提供不得分）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675" w:type="dxa"/>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0"/>
              </w:rPr>
            </w:pPr>
            <w:r>
              <w:rPr>
                <w:rFonts w:ascii="Times New Roman" w:hAnsi="Times New Roman" w:cs="Times New Roman"/>
                <w:sz w:val="20"/>
              </w:rPr>
              <w:t>4</w:t>
            </w:r>
          </w:p>
        </w:tc>
        <w:tc>
          <w:tcPr>
            <w:tcW w:w="1021" w:type="dxa"/>
            <w:vMerge w:val="continue"/>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Times New Roman" w:hAnsi="Times New Roman" w:cs="Times New Roman"/>
              </w:rPr>
            </w:pPr>
          </w:p>
        </w:tc>
        <w:tc>
          <w:tcPr>
            <w:tcW w:w="1531" w:type="dxa"/>
            <w:vMerge w:val="restart"/>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0"/>
              </w:rPr>
            </w:pPr>
            <w:r>
              <w:rPr>
                <w:rFonts w:ascii="Times New Roman" w:hAnsi="Times New Roman" w:cs="Times New Roman" w:eastAsiaTheme="minorEastAsia"/>
                <w:kern w:val="0"/>
                <w:sz w:val="21"/>
                <w:szCs w:val="21"/>
              </w:rPr>
              <w:t>项目实施团队资质（19分）</w:t>
            </w:r>
          </w:p>
        </w:tc>
        <w:tc>
          <w:tcPr>
            <w:tcW w:w="1134" w:type="dxa"/>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CMMI主任评估师项目经验</w:t>
            </w:r>
          </w:p>
        </w:tc>
        <w:tc>
          <w:tcPr>
            <w:tcW w:w="1134" w:type="dxa"/>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bCs/>
                <w:sz w:val="20"/>
              </w:rPr>
            </w:pPr>
            <w:r>
              <w:rPr>
                <w:rFonts w:ascii="Times New Roman" w:hAnsi="Times New Roman" w:cs="Times New Roman"/>
                <w:b/>
                <w:bCs/>
                <w:sz w:val="20"/>
              </w:rPr>
              <w:t>5</w:t>
            </w:r>
          </w:p>
        </w:tc>
        <w:tc>
          <w:tcPr>
            <w:tcW w:w="3689" w:type="dxa"/>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left"/>
              <w:textAlignment w:val="auto"/>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负责本项目的主任评估师，具备银行业CMMI咨询评估服务经验的，得5分（提供相关证明资料，不提供不得分）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675" w:type="dxa"/>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0"/>
              </w:rPr>
            </w:pPr>
            <w:r>
              <w:rPr>
                <w:rFonts w:ascii="Times New Roman" w:hAnsi="Times New Roman" w:cs="Times New Roman"/>
                <w:sz w:val="20"/>
              </w:rPr>
              <w:t>5</w:t>
            </w:r>
          </w:p>
        </w:tc>
        <w:tc>
          <w:tcPr>
            <w:tcW w:w="1021" w:type="dxa"/>
            <w:vMerge w:val="continue"/>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Times New Roman" w:hAnsi="Times New Roman" w:cs="Times New Roman"/>
              </w:rPr>
            </w:pPr>
          </w:p>
        </w:tc>
        <w:tc>
          <w:tcPr>
            <w:tcW w:w="1531" w:type="dxa"/>
            <w:vMerge w:val="continue"/>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0"/>
              </w:rPr>
            </w:pPr>
          </w:p>
        </w:tc>
        <w:tc>
          <w:tcPr>
            <w:tcW w:w="1134" w:type="dxa"/>
            <w:vMerge w:val="restart"/>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CMMI咨询师项目经验</w:t>
            </w:r>
          </w:p>
        </w:tc>
        <w:tc>
          <w:tcPr>
            <w:tcW w:w="1134" w:type="dxa"/>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bCs/>
                <w:sz w:val="20"/>
              </w:rPr>
            </w:pPr>
            <w:r>
              <w:rPr>
                <w:rFonts w:ascii="Times New Roman" w:hAnsi="Times New Roman" w:cs="Times New Roman"/>
                <w:b/>
                <w:bCs/>
                <w:sz w:val="20"/>
              </w:rPr>
              <w:t>6</w:t>
            </w:r>
          </w:p>
        </w:tc>
        <w:tc>
          <w:tcPr>
            <w:tcW w:w="3689" w:type="dxa"/>
            <w:shd w:val="clear" w:color="auto" w:fill="auto"/>
            <w:noWrap/>
            <w:vAlign w:val="bottom"/>
          </w:tcPr>
          <w:p>
            <w:pPr>
              <w:keepNext w:val="0"/>
              <w:keepLines w:val="0"/>
              <w:pageBreakBefore w:val="0"/>
              <w:kinsoku/>
              <w:wordWrap/>
              <w:overflowPunct/>
              <w:topLinePunct w:val="0"/>
              <w:autoSpaceDE w:val="0"/>
              <w:autoSpaceDN w:val="0"/>
              <w:bidi w:val="0"/>
              <w:adjustRightInd/>
              <w:snapToGrid/>
              <w:spacing w:line="360" w:lineRule="auto"/>
              <w:ind w:firstLine="0" w:firstLineChars="0"/>
              <w:jc w:val="left"/>
              <w:textAlignment w:val="auto"/>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负责本项目的主导咨询师，成功实施CMMI3级及其以上认证服务项目数量</w:t>
            </w:r>
            <w:r>
              <w:rPr>
                <w:rFonts w:ascii="Times New Roman" w:hAnsi="Times New Roman" w:cs="Times New Roman" w:eastAsiaTheme="minorEastAsia"/>
                <w:kern w:val="0"/>
                <w:sz w:val="21"/>
                <w:szCs w:val="21"/>
              </w:rPr>
              <w:br w:type="textWrapping"/>
            </w:r>
            <w:r>
              <w:rPr>
                <w:rFonts w:ascii="Times New Roman" w:hAnsi="Times New Roman" w:cs="Times New Roman" w:eastAsiaTheme="minorEastAsia"/>
                <w:kern w:val="0"/>
                <w:sz w:val="21"/>
                <w:szCs w:val="21"/>
              </w:rPr>
              <w:t>1.案例数量10个及其以上的，得6分</w:t>
            </w:r>
            <w:r>
              <w:rPr>
                <w:rFonts w:ascii="Times New Roman" w:hAnsi="Times New Roman" w:cs="Times New Roman" w:eastAsiaTheme="minorEastAsia"/>
                <w:kern w:val="0"/>
                <w:sz w:val="21"/>
                <w:szCs w:val="21"/>
              </w:rPr>
              <w:br w:type="textWrapping"/>
            </w:r>
            <w:r>
              <w:rPr>
                <w:rFonts w:ascii="Times New Roman" w:hAnsi="Times New Roman" w:cs="Times New Roman" w:eastAsiaTheme="minorEastAsia"/>
                <w:kern w:val="0"/>
                <w:sz w:val="21"/>
                <w:szCs w:val="21"/>
              </w:rPr>
              <w:t>2.案例数量在6-9个的，得4分</w:t>
            </w:r>
            <w:r>
              <w:rPr>
                <w:rFonts w:ascii="Times New Roman" w:hAnsi="Times New Roman" w:cs="Times New Roman" w:eastAsiaTheme="minorEastAsia"/>
                <w:kern w:val="0"/>
                <w:sz w:val="21"/>
                <w:szCs w:val="21"/>
              </w:rPr>
              <w:br w:type="textWrapping"/>
            </w:r>
            <w:r>
              <w:rPr>
                <w:rFonts w:ascii="Times New Roman" w:hAnsi="Times New Roman" w:cs="Times New Roman" w:eastAsiaTheme="minorEastAsia"/>
                <w:kern w:val="0"/>
                <w:sz w:val="21"/>
                <w:szCs w:val="21"/>
              </w:rPr>
              <w:t>3.案例数量在3-5个的，得2分</w:t>
            </w:r>
            <w:r>
              <w:rPr>
                <w:rFonts w:ascii="Times New Roman" w:hAnsi="Times New Roman" w:cs="Times New Roman" w:eastAsiaTheme="minorEastAsia"/>
                <w:kern w:val="0"/>
                <w:sz w:val="21"/>
                <w:szCs w:val="21"/>
              </w:rPr>
              <w:br w:type="textWrapping"/>
            </w:r>
            <w:r>
              <w:rPr>
                <w:rFonts w:ascii="Times New Roman" w:hAnsi="Times New Roman" w:cs="Times New Roman" w:eastAsiaTheme="minorEastAsia"/>
                <w:kern w:val="0"/>
                <w:sz w:val="21"/>
                <w:szCs w:val="21"/>
              </w:rPr>
              <w:t>4.案例数量低于3个的，不得分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675" w:type="dxa"/>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0"/>
              </w:rPr>
            </w:pPr>
            <w:r>
              <w:rPr>
                <w:rFonts w:ascii="Times New Roman" w:hAnsi="Times New Roman" w:cs="Times New Roman"/>
                <w:sz w:val="20"/>
              </w:rPr>
              <w:t>6</w:t>
            </w:r>
          </w:p>
        </w:tc>
        <w:tc>
          <w:tcPr>
            <w:tcW w:w="1021" w:type="dxa"/>
            <w:vMerge w:val="continue"/>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Times New Roman" w:hAnsi="Times New Roman" w:cs="Times New Roman"/>
              </w:rPr>
            </w:pPr>
          </w:p>
        </w:tc>
        <w:tc>
          <w:tcPr>
            <w:tcW w:w="1531" w:type="dxa"/>
            <w:vMerge w:val="continue"/>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0"/>
              </w:rPr>
            </w:pPr>
          </w:p>
        </w:tc>
        <w:tc>
          <w:tcPr>
            <w:tcW w:w="1134" w:type="dxa"/>
            <w:vMerge w:val="continue"/>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eastAsiaTheme="minorEastAsia"/>
                <w:kern w:val="0"/>
                <w:sz w:val="21"/>
                <w:szCs w:val="21"/>
              </w:rPr>
            </w:pPr>
          </w:p>
        </w:tc>
        <w:tc>
          <w:tcPr>
            <w:tcW w:w="1134" w:type="dxa"/>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bCs/>
                <w:sz w:val="20"/>
              </w:rPr>
            </w:pPr>
            <w:r>
              <w:rPr>
                <w:rFonts w:ascii="Times New Roman" w:hAnsi="Times New Roman" w:cs="Times New Roman"/>
                <w:b/>
                <w:bCs/>
                <w:sz w:val="20"/>
              </w:rPr>
              <w:t>6</w:t>
            </w:r>
          </w:p>
        </w:tc>
        <w:tc>
          <w:tcPr>
            <w:tcW w:w="3689" w:type="dxa"/>
            <w:shd w:val="clear" w:color="auto" w:fill="auto"/>
            <w:noWrap/>
            <w:vAlign w:val="bottom"/>
          </w:tcPr>
          <w:p>
            <w:pPr>
              <w:keepNext w:val="0"/>
              <w:keepLines w:val="0"/>
              <w:pageBreakBefore w:val="0"/>
              <w:kinsoku/>
              <w:wordWrap/>
              <w:overflowPunct/>
              <w:topLinePunct w:val="0"/>
              <w:autoSpaceDE w:val="0"/>
              <w:autoSpaceDN w:val="0"/>
              <w:bidi w:val="0"/>
              <w:adjustRightInd/>
              <w:snapToGrid/>
              <w:spacing w:line="360" w:lineRule="auto"/>
              <w:ind w:firstLine="0" w:firstLineChars="0"/>
              <w:jc w:val="left"/>
              <w:textAlignment w:val="auto"/>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负责本项目的主导咨询师，成功实施过银行业CMMI3级及其以上认证服务项目的，每增加一个项目案例可得2分，最高不超过6分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675" w:type="dxa"/>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0"/>
              </w:rPr>
            </w:pPr>
            <w:r>
              <w:rPr>
                <w:rFonts w:ascii="Times New Roman" w:hAnsi="Times New Roman" w:cs="Times New Roman"/>
                <w:sz w:val="20"/>
              </w:rPr>
              <w:t>7</w:t>
            </w:r>
          </w:p>
        </w:tc>
        <w:tc>
          <w:tcPr>
            <w:tcW w:w="1021" w:type="dxa"/>
            <w:vMerge w:val="continue"/>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Times New Roman" w:hAnsi="Times New Roman" w:cs="Times New Roman"/>
              </w:rPr>
            </w:pPr>
          </w:p>
        </w:tc>
        <w:tc>
          <w:tcPr>
            <w:tcW w:w="1531" w:type="dxa"/>
            <w:vMerge w:val="continue"/>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0"/>
              </w:rPr>
            </w:pPr>
          </w:p>
        </w:tc>
        <w:tc>
          <w:tcPr>
            <w:tcW w:w="1134" w:type="dxa"/>
            <w:vMerge w:val="continue"/>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eastAsiaTheme="minorEastAsia"/>
                <w:kern w:val="0"/>
                <w:sz w:val="21"/>
                <w:szCs w:val="21"/>
              </w:rPr>
            </w:pPr>
          </w:p>
        </w:tc>
        <w:tc>
          <w:tcPr>
            <w:tcW w:w="1134" w:type="dxa"/>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bCs/>
                <w:sz w:val="20"/>
              </w:rPr>
            </w:pPr>
            <w:r>
              <w:rPr>
                <w:rFonts w:ascii="Times New Roman" w:hAnsi="Times New Roman" w:cs="Times New Roman"/>
                <w:b/>
                <w:bCs/>
                <w:sz w:val="20"/>
              </w:rPr>
              <w:t>2</w:t>
            </w:r>
          </w:p>
        </w:tc>
        <w:tc>
          <w:tcPr>
            <w:tcW w:w="3689" w:type="dxa"/>
            <w:shd w:val="clear" w:color="auto" w:fill="auto"/>
            <w:noWrap/>
            <w:vAlign w:val="bottom"/>
          </w:tcPr>
          <w:p>
            <w:pPr>
              <w:keepNext w:val="0"/>
              <w:keepLines w:val="0"/>
              <w:pageBreakBefore w:val="0"/>
              <w:kinsoku/>
              <w:wordWrap/>
              <w:overflowPunct/>
              <w:topLinePunct w:val="0"/>
              <w:autoSpaceDE w:val="0"/>
              <w:autoSpaceDN w:val="0"/>
              <w:bidi w:val="0"/>
              <w:adjustRightInd/>
              <w:snapToGrid/>
              <w:spacing w:line="360" w:lineRule="auto"/>
              <w:ind w:firstLine="0" w:firstLineChars="0"/>
              <w:jc w:val="left"/>
              <w:textAlignment w:val="auto"/>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负责本项目的咨询师，能提供IT领域相关专业证书（含敏捷教练、敏捷产品经理、PMP、软件造价师等），每提供1项得1分，最高得2分（提供各类证书的复印件和相关证明）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675" w:type="dxa"/>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0"/>
              </w:rPr>
            </w:pPr>
            <w:r>
              <w:rPr>
                <w:rFonts w:ascii="Times New Roman" w:hAnsi="Times New Roman" w:cs="Times New Roman"/>
                <w:sz w:val="20"/>
              </w:rPr>
              <w:t>8</w:t>
            </w:r>
          </w:p>
        </w:tc>
        <w:tc>
          <w:tcPr>
            <w:tcW w:w="1021" w:type="dxa"/>
            <w:vMerge w:val="continue"/>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textAlignment w:val="auto"/>
              <w:rPr>
                <w:rFonts w:ascii="Times New Roman" w:hAnsi="Times New Roman" w:cs="Times New Roman"/>
              </w:rPr>
            </w:pPr>
          </w:p>
        </w:tc>
        <w:tc>
          <w:tcPr>
            <w:tcW w:w="1531" w:type="dxa"/>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0"/>
              </w:rPr>
            </w:pPr>
            <w:r>
              <w:rPr>
                <w:rFonts w:ascii="Times New Roman" w:hAnsi="Times New Roman" w:cs="Times New Roman"/>
                <w:kern w:val="0"/>
                <w:sz w:val="21"/>
              </w:rPr>
              <w:t>企业服务承诺（15分）</w:t>
            </w:r>
          </w:p>
        </w:tc>
        <w:tc>
          <w:tcPr>
            <w:tcW w:w="1134" w:type="dxa"/>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eastAsiaTheme="minorEastAsia"/>
                <w:kern w:val="0"/>
                <w:sz w:val="21"/>
                <w:szCs w:val="21"/>
              </w:rPr>
            </w:pPr>
            <w:r>
              <w:rPr>
                <w:rFonts w:ascii="Times New Roman" w:hAnsi="Times New Roman" w:cs="Times New Roman"/>
                <w:kern w:val="0"/>
                <w:sz w:val="21"/>
              </w:rPr>
              <w:t>企业服务承诺</w:t>
            </w:r>
          </w:p>
        </w:tc>
        <w:tc>
          <w:tcPr>
            <w:tcW w:w="1134" w:type="dxa"/>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bCs/>
                <w:sz w:val="20"/>
              </w:rPr>
            </w:pPr>
            <w:r>
              <w:rPr>
                <w:rFonts w:ascii="Times New Roman" w:hAnsi="Times New Roman" w:cs="Times New Roman"/>
                <w:b/>
                <w:bCs/>
                <w:sz w:val="20"/>
              </w:rPr>
              <w:t>15</w:t>
            </w:r>
          </w:p>
        </w:tc>
        <w:tc>
          <w:tcPr>
            <w:tcW w:w="3689" w:type="dxa"/>
            <w:shd w:val="clear" w:color="auto" w:fill="auto"/>
            <w:noWrap/>
            <w:vAlign w:val="bottom"/>
          </w:tcPr>
          <w:p>
            <w:pPr>
              <w:pStyle w:val="16"/>
              <w:keepNext w:val="0"/>
              <w:keepLines w:val="0"/>
              <w:pageBreakBefore w:val="0"/>
              <w:tabs>
                <w:tab w:val="center" w:pos="4201"/>
                <w:tab w:val="right" w:leader="dot" w:pos="9298"/>
              </w:tabs>
              <w:kinsoku/>
              <w:wordWrap/>
              <w:overflowPunct/>
              <w:topLinePunct w:val="0"/>
              <w:autoSpaceDE w:val="0"/>
              <w:autoSpaceDN w:val="0"/>
              <w:bidi w:val="0"/>
              <w:adjustRightInd/>
              <w:snapToGrid/>
              <w:spacing w:line="360" w:lineRule="auto"/>
              <w:ind w:firstLine="0" w:firstLineChars="0"/>
              <w:textAlignment w:val="auto"/>
              <w:rPr>
                <w:rFonts w:ascii="Times New Roman" w:hAnsi="Times New Roman" w:cs="Times New Roman"/>
                <w:kern w:val="0"/>
                <w:sz w:val="21"/>
              </w:rPr>
            </w:pPr>
            <w:r>
              <w:rPr>
                <w:rFonts w:ascii="Times New Roman" w:hAnsi="Times New Roman" w:cs="Times New Roman"/>
                <w:kern w:val="0"/>
                <w:sz w:val="21"/>
              </w:rPr>
              <w:t>1.实施承诺（5分）参选人在《参选文件格式》的“实施承诺”中描述在项目服务期间，负责本项目的主导咨询师现场咨询、培训的服务时间大于30人天的，每增加1天，得0.5分，最高得5分(上述人天为现场咨询或培训，不包含评估相关现场活动）。</w:t>
            </w:r>
          </w:p>
          <w:p>
            <w:pPr>
              <w:pStyle w:val="16"/>
              <w:keepNext w:val="0"/>
              <w:keepLines w:val="0"/>
              <w:pageBreakBefore w:val="0"/>
              <w:tabs>
                <w:tab w:val="center" w:pos="4201"/>
                <w:tab w:val="right" w:leader="dot" w:pos="9298"/>
              </w:tabs>
              <w:kinsoku/>
              <w:wordWrap/>
              <w:overflowPunct/>
              <w:topLinePunct w:val="0"/>
              <w:autoSpaceDE w:val="0"/>
              <w:autoSpaceDN w:val="0"/>
              <w:bidi w:val="0"/>
              <w:adjustRightInd/>
              <w:snapToGrid/>
              <w:spacing w:line="360" w:lineRule="auto"/>
              <w:ind w:firstLine="0" w:firstLineChars="0"/>
              <w:textAlignment w:val="auto"/>
              <w:rPr>
                <w:rFonts w:ascii="Times New Roman" w:hAnsi="Times New Roman" w:cs="Times New Roman"/>
                <w:kern w:val="0"/>
                <w:sz w:val="21"/>
              </w:rPr>
            </w:pPr>
            <w:r>
              <w:rPr>
                <w:rFonts w:ascii="Times New Roman" w:hAnsi="Times New Roman" w:cs="Times New Roman"/>
                <w:kern w:val="0"/>
                <w:sz w:val="21"/>
              </w:rPr>
              <w:t>2.培训内容承诺（7分）参选人在《参选文件格式》的“实施承诺”中描述承诺培训的内容范围、每项培训时间、培训人数等，本项最高得7分</w:t>
            </w:r>
            <w:r>
              <w:rPr>
                <w:rFonts w:ascii="Times New Roman" w:hAnsi="Times New Roman" w:cs="Times New Roman"/>
                <w:kern w:val="0"/>
                <w:sz w:val="21"/>
              </w:rPr>
              <w:br w:type="textWrapping"/>
            </w:r>
            <w:r>
              <w:rPr>
                <w:rFonts w:ascii="Times New Roman" w:hAnsi="Times New Roman" w:cs="Times New Roman"/>
                <w:kern w:val="0"/>
                <w:sz w:val="21"/>
              </w:rPr>
              <w:t>（1）培训范围满足CMMI模型开发视图3级的知识体系，得2分</w:t>
            </w:r>
            <w:r>
              <w:rPr>
                <w:rFonts w:ascii="Times New Roman" w:hAnsi="Times New Roman" w:cs="Times New Roman"/>
                <w:kern w:val="0"/>
                <w:sz w:val="21"/>
              </w:rPr>
              <w:br w:type="textWrapping"/>
            </w:r>
            <w:r>
              <w:rPr>
                <w:rFonts w:ascii="Times New Roman" w:hAnsi="Times New Roman" w:cs="Times New Roman"/>
                <w:kern w:val="0"/>
                <w:sz w:val="21"/>
              </w:rPr>
              <w:t>（2）培训范围包括需求分析及变更控制、实用项目管理技术、敏捷开发方法、数据度量等质量保证措施，得2分</w:t>
            </w:r>
            <w:r>
              <w:rPr>
                <w:rFonts w:ascii="Times New Roman" w:hAnsi="Times New Roman" w:cs="Times New Roman"/>
                <w:kern w:val="0"/>
                <w:sz w:val="21"/>
              </w:rPr>
              <w:br w:type="textWrapping"/>
            </w:r>
            <w:r>
              <w:rPr>
                <w:rFonts w:ascii="Times New Roman" w:hAnsi="Times New Roman" w:cs="Times New Roman"/>
                <w:kern w:val="0"/>
                <w:sz w:val="21"/>
              </w:rPr>
              <w:t>（3）承诺为比选人提供免费的Introduction to CMMI V3.0培训，帮助参训人员完成注册。提供的培训人员名额，每增加1名得1分，最高不超过3分</w:t>
            </w:r>
          </w:p>
          <w:p>
            <w:pPr>
              <w:keepNext w:val="0"/>
              <w:keepLines w:val="0"/>
              <w:pageBreakBefore w:val="0"/>
              <w:kinsoku/>
              <w:wordWrap/>
              <w:overflowPunct/>
              <w:topLinePunct w:val="0"/>
              <w:autoSpaceDE w:val="0"/>
              <w:autoSpaceDN w:val="0"/>
              <w:bidi w:val="0"/>
              <w:adjustRightInd/>
              <w:snapToGrid/>
              <w:spacing w:line="360" w:lineRule="auto"/>
              <w:ind w:firstLine="0" w:firstLineChars="0"/>
              <w:jc w:val="left"/>
              <w:textAlignment w:val="auto"/>
              <w:rPr>
                <w:rFonts w:ascii="Times New Roman" w:hAnsi="Times New Roman" w:cs="Times New Roman" w:eastAsiaTheme="minorEastAsia"/>
                <w:kern w:val="0"/>
                <w:sz w:val="21"/>
                <w:szCs w:val="21"/>
              </w:rPr>
            </w:pPr>
            <w:r>
              <w:rPr>
                <w:rFonts w:ascii="Times New Roman" w:hAnsi="Times New Roman" w:cs="Times New Roman"/>
                <w:kern w:val="0"/>
                <w:sz w:val="21"/>
              </w:rPr>
              <w:t>3.增值服务（3分）参选人能提供本比选培训范围外的其他增值服务，满足信息科技工作相关性，每提供一项得1分，最高不超过3分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75" w:type="dxa"/>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0"/>
              </w:rPr>
            </w:pPr>
            <w:r>
              <w:rPr>
                <w:rFonts w:ascii="Times New Roman" w:hAnsi="Times New Roman" w:cs="Times New Roman"/>
                <w:sz w:val="20"/>
              </w:rPr>
              <w:t>9</w:t>
            </w:r>
          </w:p>
        </w:tc>
        <w:tc>
          <w:tcPr>
            <w:tcW w:w="1021" w:type="dxa"/>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0"/>
              </w:rPr>
            </w:pPr>
            <w:r>
              <w:rPr>
                <w:rFonts w:ascii="Times New Roman" w:hAnsi="Times New Roman" w:cs="Times New Roman"/>
                <w:sz w:val="20"/>
              </w:rPr>
              <w:t>技术评分(10分)</w:t>
            </w:r>
          </w:p>
        </w:tc>
        <w:tc>
          <w:tcPr>
            <w:tcW w:w="1531" w:type="dxa"/>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0"/>
              </w:rPr>
            </w:pPr>
            <w:r>
              <w:rPr>
                <w:rFonts w:ascii="Times New Roman" w:hAnsi="Times New Roman" w:cs="Times New Roman"/>
                <w:sz w:val="20"/>
              </w:rPr>
              <w:t>服务执行能力（10分）</w:t>
            </w:r>
          </w:p>
        </w:tc>
        <w:tc>
          <w:tcPr>
            <w:tcW w:w="1134" w:type="dxa"/>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0"/>
              </w:rPr>
            </w:pPr>
            <w:r>
              <w:rPr>
                <w:rFonts w:ascii="Times New Roman" w:hAnsi="Times New Roman" w:cs="Times New Roman"/>
                <w:sz w:val="20"/>
              </w:rPr>
              <w:t>实施方案</w:t>
            </w:r>
          </w:p>
        </w:tc>
        <w:tc>
          <w:tcPr>
            <w:tcW w:w="1134" w:type="dxa"/>
            <w:shd w:val="clear" w:color="auto" w:fill="auto"/>
            <w:noWrap/>
            <w:vAlign w:val="center"/>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z w:val="20"/>
              </w:rPr>
            </w:pPr>
            <w:r>
              <w:rPr>
                <w:rFonts w:ascii="Times New Roman" w:hAnsi="Times New Roman" w:cs="Times New Roman"/>
                <w:b/>
                <w:bCs/>
                <w:sz w:val="20"/>
              </w:rPr>
              <w:t>10</w:t>
            </w:r>
          </w:p>
        </w:tc>
        <w:tc>
          <w:tcPr>
            <w:tcW w:w="3689" w:type="dxa"/>
            <w:shd w:val="clear" w:color="auto" w:fill="auto"/>
            <w:noWrap/>
            <w:vAlign w:val="center"/>
          </w:tcPr>
          <w:p>
            <w:pPr>
              <w:keepNext w:val="0"/>
              <w:keepLines w:val="0"/>
              <w:pageBreakBefore w:val="0"/>
              <w:widowControl/>
              <w:tabs>
                <w:tab w:val="left" w:pos="4097"/>
              </w:tabs>
              <w:kinsoku/>
              <w:wordWrap/>
              <w:overflowPunct/>
              <w:topLinePunct w:val="0"/>
              <w:autoSpaceDE w:val="0"/>
              <w:autoSpaceDN w:val="0"/>
              <w:bidi w:val="0"/>
              <w:adjustRightInd/>
              <w:snapToGrid/>
              <w:spacing w:line="360" w:lineRule="auto"/>
              <w:ind w:firstLine="0" w:firstLineChars="0"/>
              <w:jc w:val="left"/>
              <w:textAlignment w:val="auto"/>
              <w:rPr>
                <w:rFonts w:ascii="Times New Roman" w:hAnsi="Times New Roman" w:cs="Times New Roman"/>
                <w:kern w:val="0"/>
                <w:sz w:val="21"/>
              </w:rPr>
            </w:pPr>
            <w:r>
              <w:rPr>
                <w:rFonts w:ascii="Times New Roman" w:hAnsi="Times New Roman" w:cs="Times New Roman"/>
                <w:kern w:val="0"/>
                <w:sz w:val="21"/>
              </w:rPr>
              <w:t>1.需求理解（5分）。</w:t>
            </w:r>
          </w:p>
          <w:p>
            <w:pPr>
              <w:keepNext w:val="0"/>
              <w:keepLines w:val="0"/>
              <w:pageBreakBefore w:val="0"/>
              <w:widowControl/>
              <w:tabs>
                <w:tab w:val="left" w:pos="4097"/>
              </w:tabs>
              <w:kinsoku/>
              <w:wordWrap/>
              <w:overflowPunct/>
              <w:topLinePunct w:val="0"/>
              <w:autoSpaceDE w:val="0"/>
              <w:autoSpaceDN w:val="0"/>
              <w:bidi w:val="0"/>
              <w:adjustRightInd/>
              <w:snapToGrid/>
              <w:spacing w:line="360" w:lineRule="auto"/>
              <w:ind w:firstLine="0" w:firstLineChars="0"/>
              <w:jc w:val="left"/>
              <w:textAlignment w:val="auto"/>
              <w:rPr>
                <w:rFonts w:ascii="Times New Roman" w:hAnsi="Times New Roman" w:cs="Times New Roman"/>
                <w:kern w:val="0"/>
                <w:sz w:val="21"/>
              </w:rPr>
            </w:pPr>
            <w:r>
              <w:rPr>
                <w:rFonts w:hint="eastAsia" w:ascii="Times New Roman" w:hAnsi="Times New Roman" w:cs="Times New Roman"/>
                <w:kern w:val="0"/>
                <w:sz w:val="21"/>
                <w:lang w:val="en-US" w:eastAsia="zh-CN"/>
              </w:rPr>
              <w:t>参选人</w:t>
            </w:r>
            <w:r>
              <w:rPr>
                <w:rFonts w:ascii="Times New Roman" w:hAnsi="Times New Roman" w:cs="Times New Roman"/>
                <w:kern w:val="0"/>
                <w:sz w:val="21"/>
              </w:rPr>
              <w:t>提供项目需求理解方案，方案对项目需求的理解准确，并能对项目目标进行合理分析和恰当分解。</w:t>
            </w:r>
            <w:r>
              <w:rPr>
                <w:rFonts w:ascii="Times New Roman" w:hAnsi="Times New Roman" w:cs="Times New Roman"/>
                <w:kern w:val="0"/>
                <w:sz w:val="21"/>
              </w:rPr>
              <w:br w:type="textWrapping"/>
            </w:r>
            <w:r>
              <w:rPr>
                <w:rFonts w:ascii="Times New Roman" w:hAnsi="Times New Roman" w:cs="Times New Roman"/>
                <w:kern w:val="0"/>
                <w:sz w:val="21"/>
              </w:rPr>
              <w:t>以上内容，由</w:t>
            </w:r>
            <w:r>
              <w:rPr>
                <w:rFonts w:hint="eastAsia" w:ascii="Times New Roman" w:hAnsi="Times New Roman" w:cs="Times New Roman"/>
                <w:kern w:val="0"/>
                <w:sz w:val="21"/>
                <w:lang w:val="en-US" w:eastAsia="zh-CN"/>
              </w:rPr>
              <w:t>评审委员会</w:t>
            </w:r>
            <w:r>
              <w:rPr>
                <w:rFonts w:ascii="Times New Roman" w:hAnsi="Times New Roman" w:cs="Times New Roman"/>
                <w:kern w:val="0"/>
                <w:sz w:val="21"/>
              </w:rPr>
              <w:t>横向比较后打分：优秀，得4-5分；较好，得2-3分；一般，得0-1分。</w:t>
            </w:r>
          </w:p>
          <w:p>
            <w:pPr>
              <w:keepNext w:val="0"/>
              <w:keepLines w:val="0"/>
              <w:pageBreakBefore w:val="0"/>
              <w:widowControl/>
              <w:tabs>
                <w:tab w:val="left" w:pos="4097"/>
              </w:tabs>
              <w:kinsoku/>
              <w:wordWrap/>
              <w:overflowPunct/>
              <w:topLinePunct w:val="0"/>
              <w:autoSpaceDE w:val="0"/>
              <w:autoSpaceDN w:val="0"/>
              <w:bidi w:val="0"/>
              <w:adjustRightInd/>
              <w:snapToGrid/>
              <w:spacing w:line="360" w:lineRule="auto"/>
              <w:ind w:firstLine="0" w:firstLineChars="0"/>
              <w:jc w:val="left"/>
              <w:textAlignment w:val="auto"/>
              <w:rPr>
                <w:rFonts w:ascii="Times New Roman" w:hAnsi="Times New Roman" w:cs="Times New Roman"/>
                <w:kern w:val="0"/>
                <w:sz w:val="21"/>
              </w:rPr>
            </w:pPr>
            <w:r>
              <w:rPr>
                <w:rFonts w:ascii="Times New Roman" w:hAnsi="Times New Roman" w:cs="Times New Roman"/>
                <w:kern w:val="0"/>
                <w:sz w:val="21"/>
              </w:rPr>
              <w:t>2.项目实施方案（5分）</w:t>
            </w:r>
          </w:p>
          <w:p>
            <w:pPr>
              <w:keepNext w:val="0"/>
              <w:keepLines w:val="0"/>
              <w:pageBreakBefore w:val="0"/>
              <w:kinsoku/>
              <w:wordWrap/>
              <w:overflowPunct/>
              <w:topLinePunct w:val="0"/>
              <w:autoSpaceDE w:val="0"/>
              <w:autoSpaceDN w:val="0"/>
              <w:bidi w:val="0"/>
              <w:adjustRightInd/>
              <w:snapToGrid/>
              <w:spacing w:line="360" w:lineRule="auto"/>
              <w:ind w:firstLine="0" w:firstLineChars="0"/>
              <w:jc w:val="left"/>
              <w:textAlignment w:val="auto"/>
              <w:rPr>
                <w:rFonts w:ascii="Times New Roman" w:hAnsi="Times New Roman" w:cs="Times New Roman"/>
                <w:kern w:val="0"/>
                <w:sz w:val="21"/>
              </w:rPr>
            </w:pPr>
            <w:r>
              <w:rPr>
                <w:rFonts w:ascii="Times New Roman" w:hAnsi="Times New Roman" w:cs="Times New Roman"/>
                <w:kern w:val="0"/>
                <w:sz w:val="21"/>
              </w:rPr>
              <w:t>项目实施方案（含项目培训）可执行性强，内容专业详实，研发体系深化落地内容思路清晰，实施周期安排合理。</w:t>
            </w:r>
            <w:r>
              <w:rPr>
                <w:rFonts w:ascii="Times New Roman" w:hAnsi="Times New Roman" w:cs="Times New Roman"/>
                <w:kern w:val="0"/>
                <w:sz w:val="21"/>
              </w:rPr>
              <w:br w:type="textWrapping"/>
            </w:r>
            <w:r>
              <w:rPr>
                <w:rFonts w:ascii="Times New Roman" w:hAnsi="Times New Roman" w:cs="Times New Roman"/>
                <w:kern w:val="0"/>
                <w:sz w:val="21"/>
              </w:rPr>
              <w:t>方案中的项目计划（含项目培训）部分安排充分，对实现目标、项目约定、交付成果等提供可行的实施计划，对项目计划中各项任务的安排工作人员、实施方式（现场或远程）等描述清晰</w:t>
            </w:r>
            <w:r>
              <w:rPr>
                <w:rFonts w:ascii="Times New Roman" w:hAnsi="Times New Roman" w:cs="Times New Roman"/>
                <w:kern w:val="0"/>
                <w:sz w:val="21"/>
              </w:rPr>
              <w:br w:type="textWrapping"/>
            </w:r>
            <w:r>
              <w:rPr>
                <w:rFonts w:ascii="Times New Roman" w:hAnsi="Times New Roman" w:cs="Times New Roman"/>
                <w:kern w:val="0"/>
                <w:sz w:val="21"/>
              </w:rPr>
              <w:t>以上内容，由</w:t>
            </w:r>
            <w:r>
              <w:rPr>
                <w:rFonts w:hint="eastAsia" w:ascii="Times New Roman" w:hAnsi="Times New Roman" w:cs="Times New Roman"/>
                <w:kern w:val="0"/>
                <w:sz w:val="21"/>
                <w:lang w:val="en-US" w:eastAsia="zh-CN"/>
              </w:rPr>
              <w:t>评审委员会</w:t>
            </w:r>
            <w:r>
              <w:rPr>
                <w:rFonts w:ascii="Times New Roman" w:hAnsi="Times New Roman" w:cs="Times New Roman"/>
                <w:kern w:val="0"/>
                <w:sz w:val="21"/>
              </w:rPr>
              <w:t>横向比较后打分：优秀，得4-5分；较好，得2-3分；一般，得0-1分。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96" w:type="dxa"/>
            <w:gridSpan w:val="2"/>
            <w:shd w:val="clear" w:color="auto" w:fill="auto"/>
            <w:noWrap/>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rPr>
            </w:pPr>
          </w:p>
        </w:tc>
        <w:tc>
          <w:tcPr>
            <w:tcW w:w="2665" w:type="dxa"/>
            <w:gridSpan w:val="2"/>
            <w:shd w:val="clear" w:color="auto" w:fill="auto"/>
            <w:noWrap/>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z w:val="20"/>
              </w:rPr>
            </w:pPr>
            <w:r>
              <w:rPr>
                <w:rFonts w:ascii="Times New Roman" w:hAnsi="Times New Roman" w:cs="Times New Roman"/>
                <w:b/>
                <w:sz w:val="20"/>
              </w:rPr>
              <w:t>合计</w:t>
            </w:r>
          </w:p>
        </w:tc>
        <w:tc>
          <w:tcPr>
            <w:tcW w:w="1134" w:type="dxa"/>
            <w:shd w:val="clear" w:color="auto" w:fill="auto"/>
            <w:noWrap/>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z w:val="20"/>
              </w:rPr>
            </w:pPr>
            <w:r>
              <w:rPr>
                <w:rFonts w:ascii="Times New Roman" w:hAnsi="Times New Roman" w:cs="Times New Roman"/>
                <w:b/>
                <w:sz w:val="20"/>
              </w:rPr>
              <w:t>100</w:t>
            </w:r>
          </w:p>
        </w:tc>
        <w:tc>
          <w:tcPr>
            <w:tcW w:w="3689" w:type="dxa"/>
            <w:shd w:val="clear" w:color="auto" w:fill="auto"/>
            <w:noWrap/>
          </w:tcPr>
          <w:p>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b/>
                <w:sz w:val="20"/>
              </w:rPr>
            </w:pPr>
          </w:p>
        </w:tc>
      </w:tr>
      <w:bookmarkEnd w:id="88"/>
      <w:bookmarkEnd w:id="89"/>
      <w:bookmarkEnd w:id="91"/>
    </w:tbl>
    <w:p>
      <w:pPr>
        <w:spacing w:line="360" w:lineRule="auto"/>
        <w:ind w:firstLine="482" w:firstLineChars="200"/>
        <w:jc w:val="left"/>
        <w:outlineLvl w:val="1"/>
        <w:rPr>
          <w:rFonts w:ascii="Times New Roman" w:hAnsi="Times New Roman" w:cs="Times New Roman"/>
          <w:b/>
          <w:snapToGrid w:val="0"/>
          <w:kern w:val="0"/>
          <w:sz w:val="24"/>
          <w:szCs w:val="24"/>
        </w:rPr>
      </w:pPr>
      <w:bookmarkStart w:id="92" w:name="_Toc11439"/>
      <w:bookmarkStart w:id="93" w:name="_Toc275199618"/>
      <w:bookmarkStart w:id="94" w:name="_Toc15059431"/>
      <w:bookmarkStart w:id="95" w:name="_Toc89675157"/>
      <w:bookmarkStart w:id="96" w:name="_Toc440628924"/>
      <w:r>
        <w:rPr>
          <w:rFonts w:ascii="Times New Roman" w:hAnsi="Times New Roman" w:cs="Times New Roman"/>
          <w:b/>
          <w:snapToGrid w:val="0"/>
          <w:kern w:val="0"/>
          <w:sz w:val="24"/>
          <w:szCs w:val="24"/>
        </w:rPr>
        <w:t>三、无效参选条款</w:t>
      </w:r>
      <w:bookmarkEnd w:id="92"/>
      <w:bookmarkEnd w:id="93"/>
      <w:bookmarkEnd w:id="94"/>
      <w:bookmarkEnd w:id="95"/>
      <w:bookmarkEnd w:id="96"/>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参选人或其参选文件出现下列情况之一者，应为无效参选：</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（一）参选人未按比选文件规定提交足额参选保证金的</w:t>
      </w:r>
      <w:r>
        <w:rPr>
          <w:rFonts w:hint="eastAsia" w:ascii="宋体"/>
          <w:snapToGrid w:val="0"/>
          <w:kern w:val="0"/>
          <w:sz w:val="24"/>
          <w:szCs w:val="24"/>
        </w:rPr>
        <w:t>。</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（二）参选人未通过资格性检查，参选文件未通过符合性检查或参选文件经证实存在弄虚作假的</w:t>
      </w:r>
      <w:r>
        <w:rPr>
          <w:rFonts w:hint="eastAsia" w:ascii="宋体"/>
          <w:snapToGrid w:val="0"/>
          <w:kern w:val="0"/>
          <w:sz w:val="24"/>
          <w:szCs w:val="24"/>
        </w:rPr>
        <w:t>。</w:t>
      </w:r>
    </w:p>
    <w:p>
      <w:pPr>
        <w:snapToGrid w:val="0"/>
        <w:spacing w:line="360" w:lineRule="auto"/>
        <w:ind w:firstLine="480" w:firstLineChars="200"/>
        <w:rPr>
          <w:rFonts w:ascii="宋体"/>
          <w:snapToGrid w:val="0"/>
          <w:kern w:val="0"/>
          <w:sz w:val="24"/>
          <w:szCs w:val="24"/>
        </w:rPr>
      </w:pPr>
      <w:r>
        <w:rPr>
          <w:rFonts w:hint="eastAsia" w:ascii="宋体"/>
          <w:snapToGrid w:val="0"/>
          <w:kern w:val="0"/>
          <w:sz w:val="24"/>
          <w:szCs w:val="24"/>
        </w:rPr>
        <w:t>（三）</w:t>
      </w:r>
      <w:r>
        <w:rPr>
          <w:rFonts w:hint="eastAsia" w:ascii="宋体" w:cs="宋体"/>
          <w:snapToGrid w:val="0"/>
          <w:kern w:val="0"/>
          <w:sz w:val="24"/>
          <w:szCs w:val="24"/>
        </w:rPr>
        <w:t>参选</w:t>
      </w:r>
      <w:r>
        <w:rPr>
          <w:rFonts w:hint="eastAsia" w:ascii="宋体"/>
          <w:snapToGrid w:val="0"/>
          <w:kern w:val="0"/>
          <w:sz w:val="24"/>
          <w:szCs w:val="24"/>
        </w:rPr>
        <w:t>人超出其营业执照或事业单位法人证书上经营范围（业务范围）</w:t>
      </w:r>
      <w:r>
        <w:rPr>
          <w:rFonts w:hint="eastAsia" w:ascii="宋体" w:cs="宋体"/>
          <w:snapToGrid w:val="0"/>
          <w:kern w:val="0"/>
          <w:sz w:val="24"/>
          <w:szCs w:val="24"/>
        </w:rPr>
        <w:t>参选</w:t>
      </w:r>
      <w:r>
        <w:rPr>
          <w:rFonts w:hint="eastAsia" w:ascii="宋体"/>
          <w:snapToGrid w:val="0"/>
          <w:kern w:val="0"/>
          <w:sz w:val="24"/>
          <w:szCs w:val="24"/>
        </w:rPr>
        <w:t>的。</w:t>
      </w:r>
    </w:p>
    <w:p>
      <w:pPr>
        <w:snapToGrid w:val="0"/>
        <w:spacing w:line="360" w:lineRule="auto"/>
        <w:ind w:firstLine="480" w:firstLineChars="200"/>
        <w:rPr>
          <w:rFonts w:ascii="宋体"/>
          <w:snapToGrid w:val="0"/>
          <w:kern w:val="0"/>
          <w:sz w:val="24"/>
          <w:szCs w:val="24"/>
        </w:rPr>
      </w:pPr>
      <w:r>
        <w:rPr>
          <w:rFonts w:hint="eastAsia" w:ascii="宋体"/>
          <w:snapToGrid w:val="0"/>
          <w:kern w:val="0"/>
          <w:sz w:val="24"/>
          <w:szCs w:val="24"/>
        </w:rPr>
        <w:t>（四）单位负责人为同一人或者存在直接控股、管理关系的不同</w:t>
      </w:r>
      <w:r>
        <w:rPr>
          <w:rFonts w:hint="eastAsia" w:ascii="宋体" w:cs="宋体"/>
          <w:snapToGrid w:val="0"/>
          <w:kern w:val="0"/>
          <w:sz w:val="24"/>
          <w:szCs w:val="24"/>
        </w:rPr>
        <w:t>参选</w:t>
      </w:r>
      <w:r>
        <w:rPr>
          <w:rFonts w:hint="eastAsia" w:ascii="宋体"/>
          <w:snapToGrid w:val="0"/>
          <w:kern w:val="0"/>
          <w:sz w:val="24"/>
          <w:szCs w:val="24"/>
        </w:rPr>
        <w:t>人，不得参加同一合同项下的采购活动，上述</w:t>
      </w:r>
      <w:r>
        <w:rPr>
          <w:rFonts w:hint="eastAsia" w:ascii="宋体" w:cs="宋体"/>
          <w:snapToGrid w:val="0"/>
          <w:kern w:val="0"/>
          <w:sz w:val="24"/>
          <w:szCs w:val="24"/>
        </w:rPr>
        <w:t>参选</w:t>
      </w:r>
      <w:r>
        <w:rPr>
          <w:rFonts w:hint="eastAsia" w:ascii="宋体"/>
          <w:snapToGrid w:val="0"/>
          <w:kern w:val="0"/>
          <w:sz w:val="24"/>
          <w:szCs w:val="24"/>
        </w:rPr>
        <w:t>人的</w:t>
      </w:r>
      <w:r>
        <w:rPr>
          <w:rFonts w:hint="eastAsia" w:ascii="宋体" w:cs="宋体"/>
          <w:snapToGrid w:val="0"/>
          <w:kern w:val="0"/>
          <w:sz w:val="24"/>
          <w:szCs w:val="24"/>
        </w:rPr>
        <w:t>参选</w:t>
      </w:r>
      <w:r>
        <w:rPr>
          <w:rFonts w:hint="eastAsia" w:ascii="宋体"/>
          <w:snapToGrid w:val="0"/>
          <w:kern w:val="0"/>
          <w:sz w:val="24"/>
          <w:szCs w:val="24"/>
        </w:rPr>
        <w:t>均无效。</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（五）同一分包的软件，制造商参与参选，再委托代理商参与参选的</w:t>
      </w:r>
      <w:r>
        <w:rPr>
          <w:rFonts w:hint="eastAsia" w:ascii="宋体"/>
          <w:snapToGrid w:val="0"/>
          <w:kern w:val="0"/>
          <w:sz w:val="24"/>
          <w:szCs w:val="24"/>
        </w:rPr>
        <w:t>。</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（六）参选文件不满足比选文件第</w:t>
      </w:r>
      <w:r>
        <w:rPr>
          <w:rFonts w:hint="eastAsia" w:ascii="Times New Roman" w:hAnsi="Times New Roman" w:cs="Times New Roman"/>
          <w:snapToGrid w:val="0"/>
          <w:kern w:val="0"/>
          <w:sz w:val="24"/>
          <w:szCs w:val="24"/>
          <w:lang w:val="en-US" w:eastAsia="zh-CN"/>
        </w:rPr>
        <w:t>八</w:t>
      </w:r>
      <w:r>
        <w:rPr>
          <w:rFonts w:ascii="Times New Roman" w:hAnsi="Times New Roman" w:cs="Times New Roman"/>
          <w:snapToGrid w:val="0"/>
          <w:kern w:val="0"/>
          <w:sz w:val="24"/>
          <w:szCs w:val="24"/>
        </w:rPr>
        <w:t>章参选文件格式中所规定签字、盖章的</w:t>
      </w:r>
      <w:r>
        <w:rPr>
          <w:rFonts w:hint="eastAsia" w:ascii="宋体"/>
          <w:snapToGrid w:val="0"/>
          <w:kern w:val="0"/>
          <w:sz w:val="24"/>
          <w:szCs w:val="24"/>
        </w:rPr>
        <w:t>。</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（七）参选文件出现多个参选方案或参选报价的</w:t>
      </w:r>
      <w:r>
        <w:rPr>
          <w:rFonts w:hint="eastAsia" w:ascii="宋体"/>
          <w:snapToGrid w:val="0"/>
          <w:kern w:val="0"/>
          <w:sz w:val="24"/>
          <w:szCs w:val="24"/>
        </w:rPr>
        <w:t>。</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（八）参选报价超出最高限价的</w:t>
      </w:r>
      <w:r>
        <w:rPr>
          <w:rFonts w:hint="eastAsia" w:ascii="宋体"/>
          <w:snapToGrid w:val="0"/>
          <w:kern w:val="0"/>
          <w:sz w:val="24"/>
          <w:szCs w:val="24"/>
        </w:rPr>
        <w:t>。</w:t>
      </w:r>
    </w:p>
    <w:p>
      <w:pPr>
        <w:snapToGrid w:val="0"/>
        <w:spacing w:line="360" w:lineRule="auto"/>
        <w:ind w:firstLine="480" w:firstLineChars="20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（九）参选文件含有违反国家法律、法规的内容，或附有比选人不能接受的条件的。</w:t>
      </w:r>
    </w:p>
    <w:p>
      <w:pPr>
        <w:snapToGrid w:val="0"/>
        <w:spacing w:line="360" w:lineRule="auto"/>
        <w:ind w:firstLine="480" w:firstLineChars="200"/>
        <w:rPr>
          <w:rFonts w:ascii="宋体"/>
          <w:snapToGrid w:val="0"/>
          <w:kern w:val="0"/>
          <w:sz w:val="24"/>
          <w:szCs w:val="24"/>
        </w:rPr>
      </w:pPr>
      <w:r>
        <w:rPr>
          <w:rFonts w:hint="eastAsia" w:ascii="宋体"/>
          <w:snapToGrid w:val="0"/>
          <w:kern w:val="0"/>
          <w:sz w:val="24"/>
          <w:szCs w:val="24"/>
        </w:rPr>
        <w:t>（十）出现影响比选公正的违法、违规行为的。</w:t>
      </w:r>
    </w:p>
    <w:p>
      <w:pPr>
        <w:snapToGrid w:val="0"/>
        <w:spacing w:line="360" w:lineRule="auto"/>
        <w:ind w:firstLine="480" w:firstLineChars="200"/>
        <w:rPr>
          <w:rFonts w:ascii="宋体"/>
          <w:snapToGrid w:val="0"/>
          <w:kern w:val="0"/>
          <w:sz w:val="24"/>
          <w:szCs w:val="24"/>
        </w:rPr>
      </w:pPr>
      <w:r>
        <w:rPr>
          <w:rFonts w:hint="eastAsia" w:ascii="宋体"/>
          <w:snapToGrid w:val="0"/>
          <w:kern w:val="0"/>
          <w:sz w:val="24"/>
          <w:szCs w:val="24"/>
        </w:rPr>
        <w:t>（十一）与比选人、评审专家、其他参选人恶意串通。</w:t>
      </w:r>
    </w:p>
    <w:p>
      <w:pPr>
        <w:snapToGrid w:val="0"/>
        <w:spacing w:line="360" w:lineRule="auto"/>
        <w:ind w:firstLine="480" w:firstLineChars="200"/>
        <w:rPr>
          <w:rFonts w:ascii="宋体"/>
          <w:snapToGrid w:val="0"/>
          <w:kern w:val="0"/>
          <w:sz w:val="24"/>
          <w:szCs w:val="24"/>
        </w:rPr>
      </w:pPr>
      <w:r>
        <w:rPr>
          <w:rFonts w:hint="eastAsia" w:ascii="宋体"/>
          <w:snapToGrid w:val="0"/>
          <w:kern w:val="0"/>
          <w:sz w:val="24"/>
          <w:szCs w:val="24"/>
        </w:rPr>
        <w:t>（十二）参选法人发生合并、分立、破产等重大变化后，不再具备比选要求的资格条件的。</w:t>
      </w:r>
    </w:p>
    <w:p>
      <w:pPr>
        <w:snapToGrid w:val="0"/>
        <w:spacing w:line="360" w:lineRule="auto"/>
        <w:ind w:firstLine="480" w:firstLineChars="200"/>
        <w:rPr>
          <w:rFonts w:ascii="宋体"/>
          <w:snapToGrid w:val="0"/>
          <w:kern w:val="0"/>
          <w:sz w:val="24"/>
          <w:szCs w:val="24"/>
        </w:rPr>
      </w:pPr>
      <w:r>
        <w:rPr>
          <w:rFonts w:hint="eastAsia" w:ascii="宋体"/>
          <w:snapToGrid w:val="0"/>
          <w:kern w:val="0"/>
          <w:sz w:val="24"/>
          <w:szCs w:val="24"/>
        </w:rPr>
        <w:t>（十三）提供虚假材料谋取中选资格的。</w:t>
      </w:r>
    </w:p>
    <w:p>
      <w:pPr>
        <w:snapToGrid w:val="0"/>
        <w:spacing w:line="360" w:lineRule="auto"/>
        <w:ind w:firstLine="480" w:firstLineChars="200"/>
        <w:rPr>
          <w:rFonts w:ascii="宋体"/>
          <w:snapToGrid w:val="0"/>
          <w:kern w:val="0"/>
          <w:sz w:val="24"/>
          <w:szCs w:val="24"/>
        </w:rPr>
      </w:pPr>
      <w:r>
        <w:rPr>
          <w:rFonts w:hint="eastAsia" w:ascii="宋体"/>
          <w:snapToGrid w:val="0"/>
          <w:kern w:val="0"/>
          <w:sz w:val="24"/>
          <w:szCs w:val="24"/>
        </w:rPr>
        <w:t>（十四）参选文件含有比选人不能接受的附件条件的。</w:t>
      </w:r>
    </w:p>
    <w:p>
      <w:pPr>
        <w:spacing w:line="360" w:lineRule="auto"/>
        <w:ind w:firstLine="482" w:firstLineChars="200"/>
        <w:jc w:val="left"/>
        <w:outlineLvl w:val="1"/>
        <w:rPr>
          <w:rFonts w:ascii="宋体"/>
          <w:b/>
          <w:snapToGrid w:val="0"/>
          <w:kern w:val="0"/>
          <w:sz w:val="24"/>
          <w:szCs w:val="24"/>
        </w:rPr>
      </w:pPr>
      <w:r>
        <w:rPr>
          <w:rFonts w:hint="eastAsia" w:ascii="宋体"/>
          <w:b/>
          <w:snapToGrid w:val="0"/>
          <w:kern w:val="0"/>
          <w:sz w:val="24"/>
          <w:szCs w:val="24"/>
        </w:rPr>
        <w:t>四、对评审委员会成员的纪律要求</w:t>
      </w:r>
    </w:p>
    <w:p>
      <w:pPr>
        <w:spacing w:line="360" w:lineRule="auto"/>
        <w:ind w:firstLine="480" w:firstLineChars="200"/>
        <w:rPr>
          <w:rFonts w:ascii="宋体"/>
          <w:snapToGrid w:val="0"/>
          <w:kern w:val="0"/>
          <w:sz w:val="24"/>
          <w:szCs w:val="24"/>
        </w:rPr>
      </w:pPr>
      <w:r>
        <w:rPr>
          <w:rFonts w:hint="eastAsia" w:ascii="宋体"/>
          <w:snapToGrid w:val="0"/>
          <w:kern w:val="0"/>
          <w:sz w:val="24"/>
          <w:szCs w:val="24"/>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pPr>
        <w:spacing w:line="360" w:lineRule="auto"/>
        <w:ind w:firstLine="482" w:firstLineChars="200"/>
        <w:jc w:val="left"/>
        <w:outlineLvl w:val="1"/>
        <w:rPr>
          <w:rFonts w:ascii="宋体"/>
          <w:b/>
          <w:snapToGrid w:val="0"/>
          <w:kern w:val="0"/>
          <w:sz w:val="24"/>
          <w:szCs w:val="24"/>
        </w:rPr>
      </w:pPr>
      <w:r>
        <w:rPr>
          <w:rFonts w:hint="eastAsia" w:ascii="宋体"/>
          <w:b/>
          <w:snapToGrid w:val="0"/>
          <w:kern w:val="0"/>
          <w:sz w:val="24"/>
          <w:szCs w:val="24"/>
        </w:rPr>
        <w:t>五、对与评审活动有关的工作人员的纪律要求</w:t>
      </w:r>
    </w:p>
    <w:p>
      <w:pPr>
        <w:spacing w:line="360" w:lineRule="auto"/>
        <w:ind w:firstLine="480" w:firstLineChars="200"/>
        <w:rPr>
          <w:rFonts w:ascii="宋体"/>
          <w:snapToGrid w:val="0"/>
          <w:kern w:val="0"/>
          <w:sz w:val="24"/>
          <w:szCs w:val="24"/>
        </w:rPr>
      </w:pPr>
      <w:r>
        <w:rPr>
          <w:rFonts w:hint="eastAsia" w:ascii="宋体"/>
          <w:snapToGrid w:val="0"/>
          <w:kern w:val="0"/>
          <w:sz w:val="24"/>
          <w:szCs w:val="24"/>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pPr>
        <w:widowControl/>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br w:type="page"/>
      </w:r>
    </w:p>
    <w:p>
      <w:pPr>
        <w:spacing w:line="360" w:lineRule="auto"/>
        <w:ind w:firstLine="480" w:firstLineChars="200"/>
        <w:rPr>
          <w:rFonts w:ascii="Times New Roman" w:hAnsi="Times New Roman" w:cs="Times New Roman"/>
          <w:snapToGrid w:val="0"/>
          <w:kern w:val="0"/>
          <w:sz w:val="24"/>
          <w:szCs w:val="24"/>
        </w:rPr>
      </w:pPr>
    </w:p>
    <w:p>
      <w:pPr>
        <w:pStyle w:val="3"/>
        <w:spacing w:before="0"/>
        <w:ind w:right="0" w:rightChars="0"/>
      </w:pPr>
      <w:bookmarkStart w:id="97" w:name="_Toc150953074"/>
      <w:bookmarkStart w:id="98" w:name="_Toc155270552"/>
      <w:bookmarkStart w:id="99" w:name="_Toc89675170"/>
      <w:bookmarkStart w:id="100" w:name="_Toc303066034"/>
      <w:r>
        <w:rPr>
          <w:rFonts w:hint="eastAsia"/>
        </w:rPr>
        <w:t>第七章 合同</w:t>
      </w:r>
      <w:r>
        <w:t>模板</w:t>
      </w:r>
      <w:bookmarkEnd w:id="97"/>
      <w:bookmarkEnd w:id="98"/>
    </w:p>
    <w:p>
      <w:pPr>
        <w:spacing w:line="360" w:lineRule="auto"/>
        <w:ind w:firstLine="480" w:firstLineChars="200"/>
        <w:rPr>
          <w:rFonts w:ascii="宋体" w:cs="宋体"/>
          <w:snapToGrid w:val="0"/>
          <w:kern w:val="0"/>
          <w:sz w:val="24"/>
          <w:szCs w:val="24"/>
        </w:rPr>
      </w:pPr>
      <w:r>
        <w:rPr>
          <w:rFonts w:ascii="宋体" w:cs="宋体"/>
          <w:snapToGrid w:val="0"/>
          <w:kern w:val="0"/>
          <w:sz w:val="24"/>
          <w:szCs w:val="24"/>
        </w:rPr>
        <w:t>（本章节合同条款及格式仅供参考，若比选文件与最终签订合同约定不一致，以最终签订合同的约定为准）</w:t>
      </w:r>
    </w:p>
    <w:p>
      <w:pPr>
        <w:pStyle w:val="43"/>
        <w:snapToGrid w:val="0"/>
        <w:spacing w:before="0" w:beforeLines="0" w:beforeAutospacing="0" w:after="0" w:afterAutospacing="0" w:line="520" w:lineRule="exact"/>
        <w:ind w:firstLine="0" w:firstLineChars="0"/>
        <w:jc w:val="center"/>
        <w:rPr>
          <w:rFonts w:ascii="Times New Roman"/>
          <w:b/>
          <w:sz w:val="44"/>
        </w:rPr>
      </w:pPr>
      <w:r>
        <w:rPr>
          <w:rFonts w:ascii="Times New Roman"/>
          <w:b/>
          <w:sz w:val="44"/>
        </w:rPr>
        <w:t>重庆三峡银行</w:t>
      </w:r>
    </w:p>
    <w:p>
      <w:pPr>
        <w:pStyle w:val="43"/>
        <w:snapToGrid w:val="0"/>
        <w:spacing w:before="0" w:beforeLines="0" w:beforeAutospacing="0" w:after="0" w:afterAutospacing="0" w:line="520" w:lineRule="exact"/>
        <w:ind w:firstLine="0" w:firstLineChars="0"/>
        <w:jc w:val="center"/>
        <w:rPr>
          <w:rFonts w:ascii="Times New Roman"/>
          <w:b/>
          <w:sz w:val="44"/>
        </w:rPr>
      </w:pPr>
      <w:bookmarkStart w:id="101" w:name="_Hlk363564034"/>
      <w:r>
        <w:rPr>
          <w:rFonts w:ascii="Times New Roman"/>
          <w:b/>
          <w:sz w:val="44"/>
        </w:rPr>
        <w:t>CMMI3认证评估服务项目</w:t>
      </w:r>
    </w:p>
    <w:p>
      <w:pPr>
        <w:pStyle w:val="43"/>
        <w:snapToGrid w:val="0"/>
        <w:spacing w:before="0" w:beforeLines="0" w:beforeAutospacing="0" w:after="0" w:afterAutospacing="0" w:line="520" w:lineRule="exact"/>
        <w:ind w:firstLine="0" w:firstLineChars="0"/>
        <w:jc w:val="center"/>
        <w:rPr>
          <w:rFonts w:ascii="Times New Roman"/>
          <w:b/>
          <w:sz w:val="44"/>
        </w:rPr>
      </w:pPr>
      <w:r>
        <w:rPr>
          <w:rFonts w:ascii="Times New Roman"/>
          <w:b/>
          <w:sz w:val="44"/>
        </w:rPr>
        <w:t>咨询服务</w:t>
      </w:r>
      <w:bookmarkEnd w:id="101"/>
      <w:r>
        <w:rPr>
          <w:rFonts w:ascii="Times New Roman"/>
          <w:b/>
          <w:sz w:val="44"/>
        </w:rPr>
        <w:t>合同</w:t>
      </w:r>
    </w:p>
    <w:p>
      <w:pPr>
        <w:snapToGrid w:val="0"/>
        <w:spacing w:line="520" w:lineRule="exact"/>
        <w:jc w:val="center"/>
        <w:rPr>
          <w:b/>
          <w:sz w:val="44"/>
        </w:rPr>
      </w:pPr>
    </w:p>
    <w:p>
      <w:pPr>
        <w:snapToGrid w:val="0"/>
        <w:spacing w:line="520" w:lineRule="exact"/>
        <w:rPr>
          <w:b/>
          <w:sz w:val="44"/>
        </w:rPr>
      </w:pPr>
    </w:p>
    <w:p>
      <w:pPr>
        <w:pStyle w:val="43"/>
        <w:snapToGrid w:val="0"/>
        <w:spacing w:before="0" w:beforeLines="0" w:beforeAutospacing="0" w:after="0" w:afterAutospacing="0" w:line="520" w:lineRule="exact"/>
        <w:ind w:firstLine="0" w:firstLineChars="0"/>
        <w:jc w:val="center"/>
        <w:rPr>
          <w:rFonts w:ascii="Times New Roman"/>
          <w:b/>
          <w:sz w:val="32"/>
          <w:szCs w:val="32"/>
        </w:rPr>
      </w:pPr>
    </w:p>
    <w:p>
      <w:pPr>
        <w:pStyle w:val="43"/>
        <w:snapToGrid w:val="0"/>
        <w:spacing w:before="0" w:beforeLines="0" w:beforeAutospacing="0" w:after="0" w:afterAutospacing="0" w:line="520" w:lineRule="exact"/>
        <w:ind w:firstLine="0" w:firstLineChars="0"/>
        <w:jc w:val="center"/>
        <w:rPr>
          <w:rFonts w:ascii="Times New Roman"/>
          <w:b/>
          <w:sz w:val="32"/>
          <w:szCs w:val="32"/>
        </w:rPr>
      </w:pPr>
    </w:p>
    <w:p>
      <w:pPr>
        <w:pStyle w:val="43"/>
        <w:snapToGrid w:val="0"/>
        <w:spacing w:before="0" w:beforeLines="0" w:beforeAutospacing="0" w:after="0" w:afterAutospacing="0" w:line="520" w:lineRule="exact"/>
        <w:ind w:firstLine="0" w:firstLineChars="0"/>
        <w:jc w:val="center"/>
        <w:rPr>
          <w:rFonts w:ascii="Times New Roman"/>
          <w:b/>
          <w:sz w:val="32"/>
          <w:szCs w:val="32"/>
        </w:rPr>
      </w:pPr>
    </w:p>
    <w:p>
      <w:pPr>
        <w:pStyle w:val="43"/>
        <w:snapToGrid w:val="0"/>
        <w:spacing w:before="0" w:beforeLines="0" w:beforeAutospacing="0" w:after="0" w:afterAutospacing="0" w:line="520" w:lineRule="exact"/>
        <w:ind w:firstLine="0" w:firstLineChars="0"/>
        <w:jc w:val="center"/>
        <w:rPr>
          <w:rFonts w:ascii="Times New Roman"/>
          <w:b/>
          <w:sz w:val="32"/>
          <w:szCs w:val="32"/>
        </w:rPr>
      </w:pPr>
    </w:p>
    <w:p>
      <w:pPr>
        <w:pStyle w:val="43"/>
        <w:snapToGrid w:val="0"/>
        <w:spacing w:before="0" w:beforeLines="0" w:beforeAutospacing="0" w:after="0" w:afterAutospacing="0" w:line="520" w:lineRule="exact"/>
        <w:ind w:firstLine="0" w:firstLineChars="0"/>
        <w:jc w:val="center"/>
        <w:rPr>
          <w:rFonts w:ascii="Times New Roman"/>
          <w:b/>
          <w:sz w:val="32"/>
          <w:szCs w:val="32"/>
        </w:rPr>
      </w:pPr>
    </w:p>
    <w:p>
      <w:pPr>
        <w:pStyle w:val="43"/>
        <w:snapToGrid w:val="0"/>
        <w:spacing w:before="0" w:beforeLines="0" w:beforeAutospacing="0" w:after="0" w:afterAutospacing="0" w:line="520" w:lineRule="exact"/>
        <w:ind w:left="1620" w:leftChars="675" w:firstLine="0" w:firstLineChars="0"/>
        <w:rPr>
          <w:rFonts w:ascii="Times New Roman"/>
          <w:b/>
          <w:szCs w:val="24"/>
        </w:rPr>
      </w:pPr>
      <w:r>
        <w:rPr>
          <w:rFonts w:ascii="Times New Roman"/>
          <w:b/>
          <w:szCs w:val="24"/>
        </w:rPr>
        <w:t>委托方：重庆三峡银行股份有限公司</w:t>
      </w:r>
    </w:p>
    <w:p>
      <w:pPr>
        <w:pStyle w:val="43"/>
        <w:snapToGrid w:val="0"/>
        <w:spacing w:before="0" w:beforeLines="0" w:beforeAutospacing="0" w:after="0" w:afterAutospacing="0" w:line="520" w:lineRule="exact"/>
        <w:ind w:left="1620" w:leftChars="675" w:firstLine="0" w:firstLineChars="0"/>
        <w:rPr>
          <w:rFonts w:ascii="Times New Roman"/>
          <w:b/>
          <w:szCs w:val="24"/>
        </w:rPr>
      </w:pPr>
      <w:r>
        <w:rPr>
          <w:rFonts w:ascii="Times New Roman"/>
          <w:b/>
          <w:szCs w:val="24"/>
        </w:rPr>
        <w:t>受托方：XXXXXXXXXXXXXXXXXXXXXXXX</w:t>
      </w:r>
    </w:p>
    <w:p>
      <w:pPr>
        <w:pStyle w:val="43"/>
        <w:snapToGrid w:val="0"/>
        <w:spacing w:before="0" w:beforeLines="0" w:beforeAutospacing="0" w:after="0" w:afterAutospacing="0" w:line="520" w:lineRule="exact"/>
        <w:ind w:left="1620" w:leftChars="675" w:firstLine="0" w:firstLineChars="0"/>
        <w:rPr>
          <w:rFonts w:ascii="Times New Roman"/>
          <w:szCs w:val="24"/>
        </w:rPr>
      </w:pPr>
      <w:r>
        <w:rPr>
          <w:rFonts w:ascii="Times New Roman"/>
          <w:b/>
          <w:szCs w:val="24"/>
        </w:rPr>
        <w:t>签订地点：重庆</w:t>
      </w:r>
    </w:p>
    <w:p>
      <w:pPr>
        <w:pStyle w:val="11"/>
        <w:tabs>
          <w:tab w:val="right" w:pos="0"/>
        </w:tabs>
        <w:adjustRightInd w:val="0"/>
        <w:snapToGrid w:val="0"/>
        <w:spacing w:line="520" w:lineRule="exact"/>
        <w:ind w:left="560" w:right="16"/>
      </w:pPr>
    </w:p>
    <w:p>
      <w:pPr>
        <w:snapToGrid w:val="0"/>
        <w:spacing w:line="520" w:lineRule="exact"/>
        <w:rPr>
          <w:b/>
          <w:sz w:val="24"/>
          <w:u w:val="single"/>
        </w:rPr>
      </w:pPr>
      <w:r>
        <w:rPr>
          <w:b/>
          <w:sz w:val="24"/>
        </w:rPr>
        <w:br w:type="page"/>
      </w:r>
      <w:r>
        <w:rPr>
          <w:b/>
          <w:sz w:val="24"/>
        </w:rPr>
        <w:t>甲方: 重庆三峡银行股份有限公司（以下简称“甲方”）</w:t>
      </w:r>
    </w:p>
    <w:p>
      <w:pPr>
        <w:snapToGrid w:val="0"/>
        <w:spacing w:line="520" w:lineRule="exact"/>
        <w:rPr>
          <w:sz w:val="24"/>
        </w:rPr>
      </w:pPr>
      <w:r>
        <w:rPr>
          <w:sz w:val="24"/>
        </w:rPr>
        <w:t>法定代表人：刘江桥</w:t>
      </w:r>
    </w:p>
    <w:p>
      <w:pPr>
        <w:snapToGrid w:val="0"/>
        <w:spacing w:line="520" w:lineRule="exact"/>
        <w:rPr>
          <w:sz w:val="24"/>
        </w:rPr>
      </w:pPr>
      <w:r>
        <w:rPr>
          <w:sz w:val="24"/>
        </w:rPr>
        <w:t>地址：重庆市渝北区嘉州路88号中渝国际都会4号写字楼</w:t>
      </w:r>
    </w:p>
    <w:p>
      <w:pPr>
        <w:snapToGrid w:val="0"/>
        <w:spacing w:line="520" w:lineRule="exact"/>
        <w:rPr>
          <w:sz w:val="24"/>
        </w:rPr>
      </w:pPr>
      <w:r>
        <w:rPr>
          <w:sz w:val="24"/>
        </w:rPr>
        <w:t>邮政编码：401147</w:t>
      </w:r>
    </w:p>
    <w:p>
      <w:pPr>
        <w:snapToGrid w:val="0"/>
        <w:spacing w:line="520" w:lineRule="exact"/>
        <w:rPr>
          <w:sz w:val="24"/>
        </w:rPr>
      </w:pPr>
      <w:r>
        <w:rPr>
          <w:sz w:val="24"/>
        </w:rPr>
        <w:t>联系人： 杜明洪</w:t>
      </w:r>
    </w:p>
    <w:p>
      <w:pPr>
        <w:snapToGrid w:val="0"/>
        <w:spacing w:line="520" w:lineRule="exact"/>
        <w:rPr>
          <w:sz w:val="24"/>
        </w:rPr>
      </w:pPr>
      <w:r>
        <w:rPr>
          <w:sz w:val="24"/>
        </w:rPr>
        <w:t>电话：15310276723</w:t>
      </w:r>
    </w:p>
    <w:p>
      <w:pPr>
        <w:snapToGrid w:val="0"/>
        <w:spacing w:line="520" w:lineRule="exact"/>
        <w:rPr>
          <w:sz w:val="24"/>
        </w:rPr>
      </w:pPr>
      <w:r>
        <w:rPr>
          <w:sz w:val="24"/>
        </w:rPr>
        <w:t>电子邮箱：dpc1@ccqtgb.com</w:t>
      </w:r>
    </w:p>
    <w:p>
      <w:pPr>
        <w:snapToGrid w:val="0"/>
        <w:spacing w:line="520" w:lineRule="exact"/>
        <w:rPr>
          <w:sz w:val="24"/>
        </w:rPr>
      </w:pPr>
    </w:p>
    <w:p>
      <w:pPr>
        <w:snapToGrid w:val="0"/>
        <w:spacing w:line="520" w:lineRule="exact"/>
        <w:rPr>
          <w:sz w:val="24"/>
        </w:rPr>
      </w:pPr>
    </w:p>
    <w:p>
      <w:pPr>
        <w:snapToGrid w:val="0"/>
        <w:spacing w:line="520" w:lineRule="exact"/>
        <w:rPr>
          <w:sz w:val="24"/>
        </w:rPr>
      </w:pPr>
    </w:p>
    <w:p>
      <w:pPr>
        <w:snapToGrid w:val="0"/>
        <w:spacing w:line="520" w:lineRule="exact"/>
        <w:rPr>
          <w:sz w:val="24"/>
        </w:rPr>
      </w:pPr>
    </w:p>
    <w:p>
      <w:pPr>
        <w:snapToGrid w:val="0"/>
        <w:spacing w:line="520" w:lineRule="exact"/>
        <w:rPr>
          <w:sz w:val="24"/>
        </w:rPr>
      </w:pPr>
    </w:p>
    <w:p>
      <w:pPr>
        <w:snapToGrid w:val="0"/>
        <w:spacing w:line="520" w:lineRule="exact"/>
        <w:rPr>
          <w:b/>
          <w:sz w:val="24"/>
        </w:rPr>
      </w:pPr>
      <w:r>
        <w:rPr>
          <w:b/>
          <w:sz w:val="24"/>
        </w:rPr>
        <w:t>乙方: XXXXXXXXXXXXXXXXXXXXX（以下简称“乙方”）</w:t>
      </w:r>
    </w:p>
    <w:p>
      <w:pPr>
        <w:snapToGrid w:val="0"/>
        <w:spacing w:line="520" w:lineRule="exact"/>
        <w:rPr>
          <w:sz w:val="24"/>
        </w:rPr>
      </w:pPr>
      <w:r>
        <w:rPr>
          <w:sz w:val="24"/>
        </w:rPr>
        <w:t xml:space="preserve">法定代表人： </w:t>
      </w:r>
    </w:p>
    <w:p>
      <w:pPr>
        <w:snapToGrid w:val="0"/>
        <w:spacing w:line="520" w:lineRule="exact"/>
        <w:rPr>
          <w:sz w:val="24"/>
        </w:rPr>
      </w:pPr>
      <w:r>
        <w:rPr>
          <w:sz w:val="24"/>
        </w:rPr>
        <w:t>地址：</w:t>
      </w:r>
    </w:p>
    <w:p>
      <w:pPr>
        <w:snapToGrid w:val="0"/>
        <w:spacing w:line="520" w:lineRule="exact"/>
        <w:rPr>
          <w:sz w:val="24"/>
        </w:rPr>
      </w:pPr>
      <w:r>
        <w:rPr>
          <w:sz w:val="24"/>
        </w:rPr>
        <w:t>邮政编码：</w:t>
      </w:r>
    </w:p>
    <w:p>
      <w:pPr>
        <w:snapToGrid w:val="0"/>
        <w:spacing w:line="520" w:lineRule="exact"/>
        <w:rPr>
          <w:sz w:val="24"/>
        </w:rPr>
      </w:pPr>
      <w:r>
        <w:rPr>
          <w:sz w:val="24"/>
        </w:rPr>
        <w:t xml:space="preserve">开户银行： </w:t>
      </w:r>
    </w:p>
    <w:p>
      <w:pPr>
        <w:snapToGrid w:val="0"/>
        <w:spacing w:line="520" w:lineRule="exact"/>
        <w:rPr>
          <w:sz w:val="24"/>
        </w:rPr>
      </w:pPr>
      <w:r>
        <w:rPr>
          <w:sz w:val="24"/>
        </w:rPr>
        <w:t xml:space="preserve">账号：  </w:t>
      </w:r>
    </w:p>
    <w:p>
      <w:pPr>
        <w:snapToGrid w:val="0"/>
        <w:spacing w:line="520" w:lineRule="exact"/>
        <w:rPr>
          <w:sz w:val="24"/>
        </w:rPr>
      </w:pPr>
      <w:r>
        <w:rPr>
          <w:sz w:val="24"/>
        </w:rPr>
        <w:t>税号：</w:t>
      </w:r>
    </w:p>
    <w:p>
      <w:pPr>
        <w:snapToGrid w:val="0"/>
        <w:spacing w:line="520" w:lineRule="exact"/>
        <w:rPr>
          <w:sz w:val="24"/>
        </w:rPr>
      </w:pPr>
      <w:r>
        <w:rPr>
          <w:sz w:val="24"/>
        </w:rPr>
        <w:t xml:space="preserve">联系人： </w:t>
      </w:r>
    </w:p>
    <w:p>
      <w:pPr>
        <w:snapToGrid w:val="0"/>
        <w:spacing w:line="520" w:lineRule="exact"/>
        <w:rPr>
          <w:sz w:val="24"/>
        </w:rPr>
      </w:pPr>
      <w:r>
        <w:rPr>
          <w:sz w:val="24"/>
        </w:rPr>
        <w:t>电话：</w:t>
      </w:r>
    </w:p>
    <w:p>
      <w:pPr>
        <w:snapToGrid w:val="0"/>
        <w:spacing w:line="520" w:lineRule="exact"/>
        <w:rPr>
          <w:sz w:val="24"/>
        </w:rPr>
      </w:pPr>
      <w:r>
        <w:rPr>
          <w:sz w:val="24"/>
        </w:rPr>
        <w:t>手机：</w:t>
      </w:r>
    </w:p>
    <w:p>
      <w:pPr>
        <w:snapToGrid w:val="0"/>
        <w:spacing w:line="520" w:lineRule="exact"/>
        <w:rPr>
          <w:sz w:val="24"/>
        </w:rPr>
      </w:pPr>
      <w:r>
        <w:rPr>
          <w:sz w:val="24"/>
        </w:rPr>
        <w:t>传真：</w:t>
      </w:r>
    </w:p>
    <w:p>
      <w:pPr>
        <w:snapToGrid w:val="0"/>
        <w:spacing w:line="520" w:lineRule="exact"/>
        <w:rPr>
          <w:sz w:val="24"/>
          <w:lang w:val="en-GB"/>
        </w:rPr>
      </w:pPr>
      <w:r>
        <w:rPr>
          <w:sz w:val="24"/>
        </w:rPr>
        <w:t>电子邮箱：</w:t>
      </w:r>
    </w:p>
    <w:p>
      <w:pPr>
        <w:pStyle w:val="11"/>
        <w:tabs>
          <w:tab w:val="right" w:pos="0"/>
        </w:tabs>
        <w:adjustRightInd w:val="0"/>
        <w:snapToGrid w:val="0"/>
        <w:spacing w:line="520" w:lineRule="exact"/>
        <w:ind w:left="560" w:right="17"/>
        <w:rPr>
          <w:sz w:val="24"/>
        </w:rPr>
      </w:pPr>
      <w:r>
        <w:rPr>
          <w:sz w:val="32"/>
        </w:rPr>
        <w:t xml:space="preserve">               </w:t>
      </w:r>
      <w:r>
        <w:rPr>
          <w:sz w:val="24"/>
        </w:rPr>
        <w:t xml:space="preserve">      </w:t>
      </w:r>
    </w:p>
    <w:p>
      <w:pPr>
        <w:pStyle w:val="15"/>
        <w:tabs>
          <w:tab w:val="left" w:pos="4872"/>
        </w:tabs>
        <w:snapToGrid w:val="0"/>
        <w:spacing w:line="520" w:lineRule="exact"/>
        <w:ind w:left="560" w:firstLine="480" w:firstLineChars="200"/>
        <w:rPr>
          <w:sz w:val="24"/>
          <w:szCs w:val="24"/>
        </w:rPr>
      </w:pPr>
      <w:r>
        <w:br w:type="page"/>
      </w:r>
      <w:r>
        <w:rPr>
          <w:sz w:val="24"/>
          <w:szCs w:val="24"/>
        </w:rPr>
        <w:t>甲方与乙方本着自愿、平等、互利、诚实信用的原则，通过友好协商，</w:t>
      </w:r>
      <w:r>
        <w:rPr>
          <w:rStyle w:val="44"/>
          <w:kern w:val="0"/>
          <w:sz w:val="24"/>
          <w:szCs w:val="24"/>
        </w:rPr>
        <w:t>依据相关法律、法规的规定</w:t>
      </w:r>
      <w:r>
        <w:rPr>
          <w:sz w:val="24"/>
          <w:szCs w:val="24"/>
        </w:rPr>
        <w:t>，就“重庆三峡银行CMMI 3认证评估服务项目”（下称“本项目”）服务内容达成一致，签订本协议：</w:t>
      </w:r>
    </w:p>
    <w:p>
      <w:pPr>
        <w:pStyle w:val="11"/>
        <w:tabs>
          <w:tab w:val="right" w:pos="0"/>
        </w:tabs>
        <w:adjustRightInd w:val="0"/>
        <w:snapToGrid w:val="0"/>
        <w:spacing w:line="520" w:lineRule="exact"/>
        <w:ind w:left="560" w:right="17" w:firstLine="482" w:firstLineChars="200"/>
        <w:rPr>
          <w:b/>
          <w:sz w:val="24"/>
        </w:rPr>
      </w:pPr>
      <w:r>
        <w:rPr>
          <w:b/>
          <w:sz w:val="24"/>
        </w:rPr>
        <w:t>第一条  服务范围</w:t>
      </w:r>
    </w:p>
    <w:p>
      <w:pPr>
        <w:pStyle w:val="15"/>
        <w:tabs>
          <w:tab w:val="left" w:pos="4872"/>
        </w:tabs>
        <w:snapToGrid w:val="0"/>
        <w:spacing w:line="520" w:lineRule="exact"/>
        <w:ind w:left="560"/>
        <w:rPr>
          <w:sz w:val="24"/>
          <w:szCs w:val="24"/>
        </w:rPr>
      </w:pPr>
      <w:r>
        <w:rPr>
          <w:sz w:val="24"/>
          <w:szCs w:val="24"/>
        </w:rPr>
        <w:t>1.1 服务事项：</w:t>
      </w:r>
    </w:p>
    <w:p>
      <w:pPr>
        <w:snapToGrid w:val="0"/>
        <w:spacing w:line="520" w:lineRule="exact"/>
        <w:ind w:firstLine="480" w:firstLineChars="200"/>
        <w:rPr>
          <w:sz w:val="24"/>
          <w:szCs w:val="24"/>
        </w:rPr>
      </w:pPr>
      <w:r>
        <w:rPr>
          <w:sz w:val="24"/>
          <w:szCs w:val="24"/>
        </w:rPr>
        <w:t>乙方向甲方提供CMMI3认证评估咨询服务，服务的具体内容详见本合同附件1。</w:t>
      </w:r>
    </w:p>
    <w:p>
      <w:pPr>
        <w:pStyle w:val="15"/>
        <w:tabs>
          <w:tab w:val="left" w:pos="4872"/>
        </w:tabs>
        <w:snapToGrid w:val="0"/>
        <w:spacing w:line="520" w:lineRule="exact"/>
        <w:ind w:left="560"/>
        <w:rPr>
          <w:sz w:val="24"/>
          <w:szCs w:val="24"/>
        </w:rPr>
      </w:pPr>
      <w:r>
        <w:rPr>
          <w:sz w:val="24"/>
          <w:szCs w:val="24"/>
        </w:rPr>
        <w:t>1.2 服务履行方式：</w:t>
      </w:r>
    </w:p>
    <w:p>
      <w:pPr>
        <w:pStyle w:val="15"/>
        <w:tabs>
          <w:tab w:val="left" w:pos="4872"/>
        </w:tabs>
        <w:snapToGrid w:val="0"/>
        <w:spacing w:line="520" w:lineRule="exact"/>
        <w:ind w:left="560"/>
        <w:rPr>
          <w:sz w:val="24"/>
          <w:szCs w:val="24"/>
        </w:rPr>
      </w:pPr>
      <w:r>
        <w:rPr>
          <w:sz w:val="24"/>
          <w:szCs w:val="24"/>
        </w:rPr>
        <w:t>服务的履行方式详见本合同附件1。</w:t>
      </w:r>
    </w:p>
    <w:p>
      <w:pPr>
        <w:pStyle w:val="15"/>
        <w:tabs>
          <w:tab w:val="left" w:pos="4872"/>
        </w:tabs>
        <w:snapToGrid w:val="0"/>
        <w:spacing w:line="520" w:lineRule="exact"/>
        <w:ind w:left="560"/>
        <w:rPr>
          <w:sz w:val="24"/>
          <w:szCs w:val="24"/>
        </w:rPr>
      </w:pPr>
      <w:r>
        <w:rPr>
          <w:sz w:val="24"/>
          <w:szCs w:val="24"/>
        </w:rPr>
        <w:t>1.3服务期限：</w:t>
      </w:r>
    </w:p>
    <w:p>
      <w:pPr>
        <w:pStyle w:val="15"/>
        <w:tabs>
          <w:tab w:val="left" w:pos="4872"/>
        </w:tabs>
        <w:snapToGrid w:val="0"/>
        <w:spacing w:line="520" w:lineRule="exact"/>
        <w:ind w:left="560"/>
        <w:rPr>
          <w:sz w:val="24"/>
          <w:szCs w:val="24"/>
        </w:rPr>
      </w:pPr>
    </w:p>
    <w:p>
      <w:pPr>
        <w:pStyle w:val="11"/>
        <w:tabs>
          <w:tab w:val="right" w:pos="0"/>
        </w:tabs>
        <w:adjustRightInd w:val="0"/>
        <w:snapToGrid w:val="0"/>
        <w:spacing w:line="520" w:lineRule="exact"/>
        <w:ind w:left="560" w:right="16" w:firstLine="482" w:firstLineChars="200"/>
        <w:rPr>
          <w:b/>
          <w:sz w:val="24"/>
        </w:rPr>
      </w:pPr>
      <w:r>
        <w:rPr>
          <w:b/>
          <w:sz w:val="24"/>
        </w:rPr>
        <w:t>第二条  项目实施人员</w:t>
      </w:r>
    </w:p>
    <w:p>
      <w:pPr>
        <w:topLinePunct/>
        <w:spacing w:line="360" w:lineRule="auto"/>
        <w:ind w:firstLine="480" w:firstLineChars="200"/>
        <w:contextualSpacing/>
        <w:rPr>
          <w:snapToGrid w:val="0"/>
          <w:kern w:val="0"/>
          <w:sz w:val="24"/>
          <w:szCs w:val="24"/>
        </w:rPr>
      </w:pPr>
      <w:r>
        <w:rPr>
          <w:snapToGrid w:val="0"/>
          <w:kern w:val="0"/>
          <w:sz w:val="24"/>
          <w:szCs w:val="24"/>
        </w:rPr>
        <w:t>2.1 为了按时和按专业水准完成本项目工作，乙方应配备足够数量和级别的专业人员，并提供实施方案所示项目团队成员名单（见附件1），各成员按照实施方案规定的工作安排参与项目实施。</w:t>
      </w:r>
    </w:p>
    <w:p>
      <w:pPr>
        <w:topLinePunct/>
        <w:spacing w:line="360" w:lineRule="auto"/>
        <w:ind w:firstLine="480" w:firstLineChars="200"/>
        <w:contextualSpacing/>
        <w:rPr>
          <w:snapToGrid w:val="0"/>
          <w:kern w:val="0"/>
          <w:sz w:val="24"/>
          <w:szCs w:val="24"/>
        </w:rPr>
      </w:pPr>
      <w:r>
        <w:rPr>
          <w:snapToGrid w:val="0"/>
          <w:kern w:val="0"/>
          <w:sz w:val="24"/>
          <w:szCs w:val="24"/>
        </w:rPr>
        <w:t>2.2 在项目实施过程中，乙方原则上不得更换项目团队核心工作人员，且乙方应确保项目团队核心人员驻场提供服务。确需更换的，乙方应提前通知甲方并经甲方同意，并配备同等级别的人员替补，且乙方保证有关人员更换不影响项目的质量和实施进程。替换人员需通过甲方考察，否则甲方有权要求更换。</w:t>
      </w:r>
    </w:p>
    <w:p>
      <w:pPr>
        <w:topLinePunct/>
        <w:spacing w:line="360" w:lineRule="auto"/>
        <w:ind w:firstLine="480" w:firstLineChars="200"/>
        <w:contextualSpacing/>
        <w:rPr>
          <w:snapToGrid w:val="0"/>
          <w:kern w:val="0"/>
          <w:sz w:val="24"/>
          <w:szCs w:val="24"/>
        </w:rPr>
      </w:pPr>
      <w:r>
        <w:rPr>
          <w:snapToGrid w:val="0"/>
          <w:kern w:val="0"/>
          <w:sz w:val="24"/>
          <w:szCs w:val="24"/>
        </w:rPr>
        <w:t>2.3 乙方不得以任何形式将本项目转包、分包给第三方，但可以在事先书面通知甲方并经甲方同意的情况下，在合理范围内就本项目聘请第三方人员参与项目实施。乙方应对第三方参与项目实施的结果承担责任。</w:t>
      </w:r>
    </w:p>
    <w:p>
      <w:pPr>
        <w:pStyle w:val="11"/>
        <w:tabs>
          <w:tab w:val="right" w:pos="0"/>
        </w:tabs>
        <w:adjustRightInd w:val="0"/>
        <w:snapToGrid w:val="0"/>
        <w:spacing w:line="520" w:lineRule="exact"/>
        <w:ind w:left="560" w:right="16" w:firstLine="482" w:firstLineChars="200"/>
        <w:rPr>
          <w:b/>
          <w:sz w:val="24"/>
        </w:rPr>
      </w:pPr>
      <w:r>
        <w:rPr>
          <w:b/>
          <w:sz w:val="24"/>
        </w:rPr>
        <w:t>第三条  甲方的权利和义务</w:t>
      </w:r>
    </w:p>
    <w:p>
      <w:pPr>
        <w:topLinePunct/>
        <w:spacing w:line="360" w:lineRule="auto"/>
        <w:ind w:firstLine="480" w:firstLineChars="200"/>
        <w:contextualSpacing/>
        <w:rPr>
          <w:snapToGrid w:val="0"/>
          <w:kern w:val="0"/>
          <w:sz w:val="24"/>
          <w:szCs w:val="24"/>
        </w:rPr>
      </w:pPr>
      <w:r>
        <w:rPr>
          <w:snapToGrid w:val="0"/>
          <w:kern w:val="0"/>
          <w:sz w:val="24"/>
          <w:szCs w:val="24"/>
        </w:rPr>
        <w:t>3.1 有权要求乙方按照附件1规定的或者甲方与乙方另行协定的工作时间表完成本合同约定的服务，且有权基于合理要求随时了解乙方的工作安排和进度，并对乙方的工作及时提出意见和指示。</w:t>
      </w:r>
    </w:p>
    <w:p>
      <w:pPr>
        <w:topLinePunct/>
        <w:spacing w:line="360" w:lineRule="auto"/>
        <w:ind w:firstLine="480" w:firstLineChars="200"/>
        <w:contextualSpacing/>
        <w:rPr>
          <w:snapToGrid w:val="0"/>
          <w:kern w:val="0"/>
          <w:sz w:val="24"/>
          <w:szCs w:val="24"/>
        </w:rPr>
      </w:pPr>
      <w:r>
        <w:rPr>
          <w:snapToGrid w:val="0"/>
          <w:kern w:val="0"/>
          <w:sz w:val="24"/>
          <w:szCs w:val="24"/>
        </w:rPr>
        <w:t>3.2 应在法律规定的范围内且根据本合同条款的规定正确使用乙方出具的交付物。</w:t>
      </w:r>
    </w:p>
    <w:p>
      <w:pPr>
        <w:topLinePunct/>
        <w:spacing w:line="360" w:lineRule="auto"/>
        <w:ind w:firstLine="480" w:firstLineChars="200"/>
        <w:contextualSpacing/>
        <w:rPr>
          <w:snapToGrid w:val="0"/>
          <w:kern w:val="0"/>
          <w:sz w:val="24"/>
          <w:szCs w:val="24"/>
        </w:rPr>
      </w:pPr>
      <w:r>
        <w:rPr>
          <w:snapToGrid w:val="0"/>
          <w:kern w:val="0"/>
          <w:sz w:val="24"/>
          <w:szCs w:val="24"/>
        </w:rPr>
        <w:t>3.3应当充分配合乙方的服务工作，包括：</w:t>
      </w:r>
    </w:p>
    <w:p>
      <w:pPr>
        <w:topLinePunct/>
        <w:spacing w:line="360" w:lineRule="auto"/>
        <w:ind w:firstLine="480" w:firstLineChars="200"/>
        <w:contextualSpacing/>
        <w:rPr>
          <w:snapToGrid w:val="0"/>
          <w:kern w:val="0"/>
          <w:sz w:val="24"/>
          <w:szCs w:val="24"/>
        </w:rPr>
      </w:pPr>
      <w:r>
        <w:rPr>
          <w:snapToGrid w:val="0"/>
          <w:kern w:val="0"/>
          <w:sz w:val="24"/>
          <w:szCs w:val="24"/>
        </w:rPr>
        <w:t>（1）自本合同签订后，甲方应及时或按乙方的要求向乙方提交乙方服务所需的甲方相关基础资料；</w:t>
      </w:r>
    </w:p>
    <w:p>
      <w:pPr>
        <w:topLinePunct/>
        <w:spacing w:line="360" w:lineRule="auto"/>
        <w:ind w:firstLine="480" w:firstLineChars="200"/>
        <w:contextualSpacing/>
        <w:rPr>
          <w:snapToGrid w:val="0"/>
          <w:kern w:val="0"/>
          <w:sz w:val="24"/>
          <w:szCs w:val="24"/>
        </w:rPr>
      </w:pPr>
      <w:r>
        <w:rPr>
          <w:snapToGrid w:val="0"/>
          <w:kern w:val="0"/>
          <w:sz w:val="24"/>
          <w:szCs w:val="24"/>
        </w:rPr>
        <w:t>（2）在提供服务过程中，就乙方提出的合理的工作计划和人员要求及时做出相关安排，及时向乙方提供所需资料与信息并安排业务访谈，并迅速做出决策；</w:t>
      </w:r>
    </w:p>
    <w:p>
      <w:pPr>
        <w:topLinePunct/>
        <w:spacing w:line="360" w:lineRule="auto"/>
        <w:ind w:firstLine="480" w:firstLineChars="200"/>
        <w:contextualSpacing/>
        <w:rPr>
          <w:snapToGrid w:val="0"/>
          <w:kern w:val="0"/>
          <w:sz w:val="24"/>
          <w:szCs w:val="24"/>
        </w:rPr>
      </w:pPr>
      <w:r>
        <w:rPr>
          <w:snapToGrid w:val="0"/>
          <w:kern w:val="0"/>
          <w:sz w:val="24"/>
          <w:szCs w:val="24"/>
        </w:rPr>
        <w:t>（3）甲方所提供的资料如有变更，应及时提供变更后的资料；</w:t>
      </w:r>
    </w:p>
    <w:p>
      <w:pPr>
        <w:topLinePunct/>
        <w:spacing w:line="360" w:lineRule="auto"/>
        <w:ind w:firstLine="480" w:firstLineChars="200"/>
        <w:contextualSpacing/>
        <w:rPr>
          <w:snapToGrid w:val="0"/>
          <w:kern w:val="0"/>
          <w:sz w:val="24"/>
          <w:szCs w:val="24"/>
        </w:rPr>
      </w:pPr>
      <w:r>
        <w:rPr>
          <w:snapToGrid w:val="0"/>
          <w:kern w:val="0"/>
          <w:sz w:val="24"/>
          <w:szCs w:val="24"/>
        </w:rPr>
        <w:t>（4）向乙方项目实施人员提供必要的办公场所等工作支持。</w:t>
      </w:r>
    </w:p>
    <w:p>
      <w:pPr>
        <w:topLinePunct/>
        <w:spacing w:line="360" w:lineRule="auto"/>
        <w:ind w:firstLine="480" w:firstLineChars="200"/>
        <w:contextualSpacing/>
        <w:rPr>
          <w:snapToGrid w:val="0"/>
          <w:kern w:val="0"/>
          <w:sz w:val="24"/>
          <w:szCs w:val="24"/>
        </w:rPr>
      </w:pPr>
      <w:r>
        <w:rPr>
          <w:snapToGrid w:val="0"/>
          <w:kern w:val="0"/>
          <w:sz w:val="24"/>
          <w:szCs w:val="24"/>
        </w:rPr>
        <w:t>3.4 按照本合同约定向乙方支付服务费用。</w:t>
      </w:r>
    </w:p>
    <w:p>
      <w:pPr>
        <w:topLinePunct/>
        <w:spacing w:line="360" w:lineRule="auto"/>
        <w:ind w:firstLine="480" w:firstLineChars="200"/>
        <w:contextualSpacing/>
        <w:rPr>
          <w:snapToGrid w:val="0"/>
          <w:kern w:val="0"/>
          <w:sz w:val="24"/>
          <w:szCs w:val="24"/>
        </w:rPr>
      </w:pPr>
      <w:r>
        <w:rPr>
          <w:snapToGrid w:val="0"/>
          <w:kern w:val="0"/>
          <w:sz w:val="24"/>
          <w:szCs w:val="24"/>
        </w:rPr>
        <w:t>3.5 如甲方提供信息及其他资料存在问题，导致乙方需要对服务作较大调整，双方应进行协商，就服务范围以及服务费用调整提出解决方案。</w:t>
      </w:r>
    </w:p>
    <w:p>
      <w:pPr>
        <w:pStyle w:val="11"/>
        <w:tabs>
          <w:tab w:val="right" w:pos="0"/>
        </w:tabs>
        <w:adjustRightInd w:val="0"/>
        <w:snapToGrid w:val="0"/>
        <w:spacing w:line="520" w:lineRule="exact"/>
        <w:ind w:left="560" w:right="16" w:firstLine="482" w:firstLineChars="200"/>
        <w:rPr>
          <w:b/>
          <w:sz w:val="24"/>
        </w:rPr>
      </w:pPr>
      <w:r>
        <w:rPr>
          <w:b/>
          <w:sz w:val="24"/>
        </w:rPr>
        <w:t>第四条  乙方的权利和义务</w:t>
      </w:r>
    </w:p>
    <w:p>
      <w:pPr>
        <w:topLinePunct/>
        <w:spacing w:line="360" w:lineRule="auto"/>
        <w:ind w:firstLine="480" w:firstLineChars="200"/>
        <w:contextualSpacing/>
        <w:rPr>
          <w:snapToGrid w:val="0"/>
          <w:kern w:val="0"/>
          <w:sz w:val="24"/>
          <w:szCs w:val="24"/>
        </w:rPr>
      </w:pPr>
      <w:r>
        <w:rPr>
          <w:snapToGrid w:val="0"/>
          <w:kern w:val="0"/>
          <w:sz w:val="24"/>
          <w:szCs w:val="24"/>
        </w:rPr>
        <w:t>4.1 遵守法律法规及银行业金融机构内部管理制度及规定，贯彻执行相关监管政策。</w:t>
      </w:r>
    </w:p>
    <w:p>
      <w:pPr>
        <w:topLinePunct/>
        <w:spacing w:line="360" w:lineRule="auto"/>
        <w:ind w:firstLine="480" w:firstLineChars="200"/>
        <w:contextualSpacing/>
        <w:rPr>
          <w:snapToGrid w:val="0"/>
          <w:kern w:val="0"/>
          <w:sz w:val="24"/>
          <w:szCs w:val="24"/>
        </w:rPr>
      </w:pPr>
      <w:r>
        <w:rPr>
          <w:snapToGrid w:val="0"/>
          <w:kern w:val="0"/>
          <w:sz w:val="24"/>
          <w:szCs w:val="24"/>
        </w:rPr>
        <w:t>4.2乙方需为甲方提供持续的项目风险识别和控制措施，并按甲方要求提供公司财务分析报告、项目进度报告以及重大事项报告等。</w:t>
      </w:r>
    </w:p>
    <w:p>
      <w:pPr>
        <w:topLinePunct/>
        <w:spacing w:line="360" w:lineRule="auto"/>
        <w:ind w:firstLine="480" w:firstLineChars="200"/>
        <w:contextualSpacing/>
        <w:rPr>
          <w:snapToGrid w:val="0"/>
          <w:kern w:val="0"/>
          <w:sz w:val="24"/>
          <w:szCs w:val="24"/>
        </w:rPr>
      </w:pPr>
      <w:r>
        <w:rPr>
          <w:snapToGrid w:val="0"/>
          <w:kern w:val="0"/>
          <w:sz w:val="24"/>
          <w:szCs w:val="24"/>
        </w:rPr>
        <w:t>4.3乙方应该适时开展风险管理评估和第三方审计工作，应该接受甲方的审核、评估以及外包检查，并配合接受来自监管机构的各项检查，配合对监管意见做出相应的管理、服务等的整改。</w:t>
      </w:r>
    </w:p>
    <w:p>
      <w:pPr>
        <w:topLinePunct/>
        <w:spacing w:line="360" w:lineRule="auto"/>
        <w:ind w:firstLine="480" w:firstLineChars="200"/>
        <w:contextualSpacing/>
        <w:rPr>
          <w:snapToGrid w:val="0"/>
          <w:kern w:val="0"/>
          <w:sz w:val="24"/>
          <w:szCs w:val="24"/>
        </w:rPr>
      </w:pPr>
      <w:r>
        <w:rPr>
          <w:snapToGrid w:val="0"/>
          <w:kern w:val="0"/>
          <w:sz w:val="24"/>
          <w:szCs w:val="24"/>
        </w:rPr>
        <w:t>4.4乙方应针对服务内容为甲方制定业务连续性计划和应急计划并维护好相关资源，在服务质量不能满足合同要求时，甲方具有优先获取服务资源的权利。</w:t>
      </w:r>
    </w:p>
    <w:p>
      <w:pPr>
        <w:topLinePunct/>
        <w:spacing w:line="360" w:lineRule="auto"/>
        <w:ind w:firstLine="480" w:firstLineChars="200"/>
        <w:contextualSpacing/>
        <w:rPr>
          <w:snapToGrid w:val="0"/>
          <w:kern w:val="0"/>
          <w:sz w:val="24"/>
          <w:szCs w:val="24"/>
        </w:rPr>
      </w:pPr>
      <w:r>
        <w:rPr>
          <w:snapToGrid w:val="0"/>
          <w:kern w:val="0"/>
          <w:sz w:val="24"/>
          <w:szCs w:val="24"/>
        </w:rPr>
        <w:t>4.5 应当按项目计划完成工作内容说明书规定的服务，并提交项目成果。</w:t>
      </w:r>
    </w:p>
    <w:p>
      <w:pPr>
        <w:topLinePunct/>
        <w:spacing w:line="360" w:lineRule="auto"/>
        <w:ind w:firstLine="480" w:firstLineChars="200"/>
        <w:contextualSpacing/>
        <w:rPr>
          <w:snapToGrid w:val="0"/>
          <w:kern w:val="0"/>
          <w:sz w:val="24"/>
          <w:szCs w:val="24"/>
        </w:rPr>
      </w:pPr>
      <w:r>
        <w:rPr>
          <w:snapToGrid w:val="0"/>
          <w:kern w:val="0"/>
          <w:sz w:val="24"/>
          <w:szCs w:val="24"/>
        </w:rPr>
        <w:t>4.6有义务对甲方提出的口头或书面咨询进行及时解答或提交书面咨询意见。</w:t>
      </w:r>
    </w:p>
    <w:p>
      <w:pPr>
        <w:topLinePunct/>
        <w:spacing w:line="360" w:lineRule="auto"/>
        <w:ind w:firstLine="480" w:firstLineChars="200"/>
        <w:contextualSpacing/>
        <w:rPr>
          <w:snapToGrid w:val="0"/>
          <w:kern w:val="0"/>
          <w:sz w:val="24"/>
          <w:szCs w:val="24"/>
        </w:rPr>
      </w:pPr>
      <w:r>
        <w:rPr>
          <w:snapToGrid w:val="0"/>
          <w:kern w:val="0"/>
          <w:sz w:val="24"/>
          <w:szCs w:val="24"/>
        </w:rPr>
        <w:t>4.7按照本合同的规定准备培训资料，协助甲方组织和完成相关培训。</w:t>
      </w:r>
    </w:p>
    <w:p>
      <w:pPr>
        <w:topLinePunct/>
        <w:spacing w:line="360" w:lineRule="auto"/>
        <w:ind w:firstLine="480" w:firstLineChars="200"/>
        <w:contextualSpacing/>
        <w:rPr>
          <w:snapToGrid w:val="0"/>
          <w:kern w:val="0"/>
          <w:sz w:val="24"/>
          <w:szCs w:val="24"/>
        </w:rPr>
      </w:pPr>
      <w:r>
        <w:rPr>
          <w:snapToGrid w:val="0"/>
          <w:kern w:val="0"/>
          <w:sz w:val="24"/>
          <w:szCs w:val="24"/>
        </w:rPr>
        <w:t>4.8应当按照甲方的合理要求，及时报告有关服务事宜的进展情况。</w:t>
      </w:r>
    </w:p>
    <w:p>
      <w:pPr>
        <w:topLinePunct/>
        <w:spacing w:line="360" w:lineRule="auto"/>
        <w:ind w:firstLine="480" w:firstLineChars="200"/>
        <w:contextualSpacing/>
        <w:rPr>
          <w:snapToGrid w:val="0"/>
          <w:kern w:val="0"/>
          <w:sz w:val="24"/>
          <w:szCs w:val="24"/>
        </w:rPr>
      </w:pPr>
      <w:r>
        <w:rPr>
          <w:snapToGrid w:val="0"/>
          <w:kern w:val="0"/>
          <w:sz w:val="24"/>
          <w:szCs w:val="24"/>
        </w:rPr>
        <w:t xml:space="preserve">4.9保证其项目实施人员具有充分的完成其相应工作任务的专业知识和经验。 </w:t>
      </w:r>
    </w:p>
    <w:p>
      <w:pPr>
        <w:topLinePunct/>
        <w:spacing w:line="360" w:lineRule="auto"/>
        <w:ind w:firstLine="480" w:firstLineChars="200"/>
        <w:contextualSpacing/>
        <w:rPr>
          <w:snapToGrid w:val="0"/>
          <w:kern w:val="0"/>
          <w:sz w:val="24"/>
          <w:szCs w:val="24"/>
        </w:rPr>
      </w:pPr>
      <w:r>
        <w:rPr>
          <w:snapToGrid w:val="0"/>
          <w:kern w:val="0"/>
          <w:sz w:val="24"/>
          <w:szCs w:val="24"/>
        </w:rPr>
        <w:t>4.10乙方保证遵守甲方《重庆三峡银行回避管理办法》中招录回避、任职回避、公务回避的相关要求。若发现乙方人员与甲方内部人员存在亲属关系，乙方应主动报告，并采取相应回避措施。</w:t>
      </w:r>
    </w:p>
    <w:p>
      <w:pPr>
        <w:topLinePunct/>
        <w:spacing w:line="360" w:lineRule="auto"/>
        <w:ind w:firstLine="480" w:firstLineChars="200"/>
        <w:contextualSpacing/>
        <w:rPr>
          <w:snapToGrid w:val="0"/>
          <w:kern w:val="0"/>
          <w:sz w:val="24"/>
          <w:szCs w:val="24"/>
        </w:rPr>
      </w:pPr>
      <w:r>
        <w:rPr>
          <w:snapToGrid w:val="0"/>
          <w:kern w:val="0"/>
          <w:sz w:val="24"/>
          <w:szCs w:val="24"/>
        </w:rPr>
        <w:t>4.11乙方保证其人员无不良记录，服务商与其建立合法的雇佣关系，依法履行用工管理职责。</w:t>
      </w:r>
    </w:p>
    <w:p>
      <w:pPr>
        <w:topLinePunct/>
        <w:spacing w:line="360" w:lineRule="auto"/>
        <w:ind w:firstLine="480" w:firstLineChars="200"/>
        <w:contextualSpacing/>
        <w:rPr>
          <w:snapToGrid w:val="0"/>
          <w:kern w:val="0"/>
          <w:sz w:val="24"/>
          <w:szCs w:val="24"/>
        </w:rPr>
      </w:pPr>
      <w:r>
        <w:rPr>
          <w:snapToGrid w:val="0"/>
          <w:kern w:val="0"/>
          <w:sz w:val="24"/>
          <w:szCs w:val="24"/>
        </w:rPr>
        <w:t>4.12 乙方定期通报外包事项，及时通报外包突发性事件及解决情况。</w:t>
      </w:r>
    </w:p>
    <w:p>
      <w:pPr>
        <w:pStyle w:val="11"/>
        <w:tabs>
          <w:tab w:val="right" w:pos="0"/>
        </w:tabs>
        <w:adjustRightInd w:val="0"/>
        <w:snapToGrid w:val="0"/>
        <w:spacing w:line="520" w:lineRule="exact"/>
        <w:ind w:left="560" w:right="16" w:firstLine="480" w:firstLineChars="200"/>
        <w:rPr>
          <w:sz w:val="24"/>
        </w:rPr>
      </w:pPr>
    </w:p>
    <w:p>
      <w:pPr>
        <w:pStyle w:val="11"/>
        <w:tabs>
          <w:tab w:val="right" w:pos="0"/>
        </w:tabs>
        <w:adjustRightInd w:val="0"/>
        <w:snapToGrid w:val="0"/>
        <w:spacing w:line="520" w:lineRule="exact"/>
        <w:ind w:left="560" w:right="16" w:firstLine="482" w:firstLineChars="200"/>
        <w:rPr>
          <w:b/>
          <w:sz w:val="24"/>
        </w:rPr>
      </w:pPr>
      <w:r>
        <w:rPr>
          <w:b/>
          <w:sz w:val="24"/>
        </w:rPr>
        <w:t>第五条  项目成果的验收</w:t>
      </w:r>
    </w:p>
    <w:p>
      <w:pPr>
        <w:topLinePunct/>
        <w:spacing w:line="360" w:lineRule="auto"/>
        <w:ind w:firstLine="480" w:firstLineChars="200"/>
        <w:contextualSpacing/>
        <w:rPr>
          <w:snapToGrid w:val="0"/>
          <w:kern w:val="0"/>
          <w:sz w:val="24"/>
          <w:szCs w:val="24"/>
        </w:rPr>
      </w:pPr>
      <w:r>
        <w:rPr>
          <w:snapToGrid w:val="0"/>
          <w:kern w:val="0"/>
          <w:sz w:val="24"/>
          <w:szCs w:val="24"/>
        </w:rPr>
        <w:t>5.1乙方保证以良好的态度和专业能力提供服务，并按照附件的规定向甲方交付工作成果，并向甲方就交付成果进行讲解、交流、汇报</w:t>
      </w:r>
      <w:r>
        <w:rPr>
          <w:snapToGrid w:val="0"/>
          <w:kern w:val="0"/>
          <w:sz w:val="24"/>
          <w:szCs w:val="24"/>
        </w:rPr>
        <w:fldChar w:fldCharType="begin"/>
      </w:r>
      <w:r>
        <w:instrText xml:space="preserve">HYPERLINK "http://www.51paper.net" \o "论文资料网"</w:instrText>
      </w:r>
      <w:r>
        <w:rPr>
          <w:snapToGrid w:val="0"/>
          <w:kern w:val="0"/>
          <w:sz w:val="24"/>
          <w:szCs w:val="24"/>
        </w:rPr>
        <w:fldChar w:fldCharType="separate"/>
      </w:r>
      <w:r>
        <w:rPr>
          <w:snapToGrid w:val="0"/>
          <w:kern w:val="0"/>
          <w:sz w:val="24"/>
          <w:szCs w:val="24"/>
        </w:rPr>
        <w:t>。</w:t>
      </w:r>
      <w:r>
        <w:rPr>
          <w:snapToGrid w:val="0"/>
          <w:kern w:val="0"/>
          <w:sz w:val="24"/>
          <w:szCs w:val="24"/>
        </w:rPr>
        <w:fldChar w:fldCharType="end"/>
      </w:r>
      <w:r>
        <w:rPr>
          <w:snapToGrid w:val="0"/>
          <w:kern w:val="0"/>
          <w:sz w:val="24"/>
          <w:szCs w:val="24"/>
        </w:rPr>
        <w:t>乙方在项目过程中提交的交付物应与工作内容说明书的要求相符合。甲方收到交付物并充分交流后，应在30个工作日内组织验收，并通知乙方验收结果。如甲方因故不能验收的，应通知乙方。双方另行约定时间进行验收。</w:t>
      </w:r>
    </w:p>
    <w:p>
      <w:pPr>
        <w:topLinePunct/>
        <w:spacing w:line="360" w:lineRule="auto"/>
        <w:ind w:firstLine="480" w:firstLineChars="200"/>
        <w:contextualSpacing/>
        <w:rPr>
          <w:snapToGrid w:val="0"/>
          <w:kern w:val="0"/>
          <w:sz w:val="24"/>
          <w:szCs w:val="24"/>
        </w:rPr>
      </w:pPr>
      <w:r>
        <w:rPr>
          <w:snapToGrid w:val="0"/>
          <w:kern w:val="0"/>
          <w:sz w:val="24"/>
          <w:szCs w:val="24"/>
        </w:rPr>
        <w:t>5.2乙方按照本合同约定完成各项服务并提交全部交付物，全部验收合格视为本项目整体验收合格。</w:t>
      </w:r>
    </w:p>
    <w:p>
      <w:pPr>
        <w:topLinePunct/>
        <w:spacing w:line="360" w:lineRule="auto"/>
        <w:ind w:firstLine="480" w:firstLineChars="200"/>
        <w:contextualSpacing/>
        <w:rPr>
          <w:snapToGrid w:val="0"/>
          <w:kern w:val="0"/>
          <w:sz w:val="24"/>
          <w:szCs w:val="24"/>
        </w:rPr>
      </w:pPr>
      <w:r>
        <w:rPr>
          <w:snapToGrid w:val="0"/>
          <w:kern w:val="0"/>
          <w:sz w:val="24"/>
          <w:szCs w:val="24"/>
        </w:rPr>
        <w:t>5.3 如果验收不合格，双方商定重新确定正式验收的时间，在重新验收前乙方负责继续修改和完善，并在双方商定的期限内达到验收标准，其验收过程和方式不变。由此导致延误项目进度的，费用和责任由乙方承担，并按合同约定支付甲方违约金。</w:t>
      </w:r>
    </w:p>
    <w:p>
      <w:pPr>
        <w:topLinePunct/>
        <w:spacing w:line="360" w:lineRule="auto"/>
        <w:ind w:firstLine="480" w:firstLineChars="200"/>
        <w:contextualSpacing/>
        <w:rPr>
          <w:snapToGrid w:val="0"/>
          <w:kern w:val="0"/>
          <w:sz w:val="24"/>
          <w:szCs w:val="24"/>
        </w:rPr>
      </w:pPr>
    </w:p>
    <w:p>
      <w:pPr>
        <w:pStyle w:val="11"/>
        <w:tabs>
          <w:tab w:val="right" w:pos="0"/>
          <w:tab w:val="left" w:pos="1418"/>
        </w:tabs>
        <w:adjustRightInd w:val="0"/>
        <w:snapToGrid w:val="0"/>
        <w:spacing w:line="520" w:lineRule="exact"/>
        <w:ind w:left="560" w:right="16" w:firstLine="482" w:firstLineChars="200"/>
        <w:rPr>
          <w:b/>
          <w:sz w:val="24"/>
        </w:rPr>
      </w:pPr>
      <w:r>
        <w:rPr>
          <w:b/>
          <w:sz w:val="24"/>
        </w:rPr>
        <w:t>第六条  知识产权</w:t>
      </w:r>
    </w:p>
    <w:p>
      <w:pPr>
        <w:topLinePunct/>
        <w:spacing w:line="360" w:lineRule="auto"/>
        <w:ind w:firstLine="480" w:firstLineChars="200"/>
        <w:contextualSpacing/>
        <w:rPr>
          <w:snapToGrid w:val="0"/>
          <w:kern w:val="0"/>
          <w:sz w:val="24"/>
          <w:szCs w:val="24"/>
        </w:rPr>
      </w:pPr>
      <w:r>
        <w:rPr>
          <w:snapToGrid w:val="0"/>
          <w:kern w:val="0"/>
          <w:sz w:val="24"/>
          <w:szCs w:val="24"/>
        </w:rPr>
        <w:t>6.1本合同签署前，双方各自所有的知识产权归各自所有，不因本合同的履行而被对方取得。</w:t>
      </w:r>
    </w:p>
    <w:p>
      <w:pPr>
        <w:topLinePunct/>
        <w:spacing w:line="360" w:lineRule="auto"/>
        <w:ind w:firstLine="480" w:firstLineChars="200"/>
        <w:contextualSpacing/>
        <w:rPr>
          <w:snapToGrid w:val="0"/>
          <w:kern w:val="0"/>
          <w:sz w:val="24"/>
          <w:szCs w:val="24"/>
        </w:rPr>
      </w:pPr>
      <w:r>
        <w:rPr>
          <w:snapToGrid w:val="0"/>
          <w:kern w:val="0"/>
          <w:sz w:val="24"/>
          <w:szCs w:val="24"/>
        </w:rPr>
        <w:t>6.2 本合同签署后，乙方按照本合同规定向甲方提交的交付物的知识产权属于甲方。</w:t>
      </w:r>
    </w:p>
    <w:p>
      <w:pPr>
        <w:topLinePunct/>
        <w:spacing w:line="360" w:lineRule="auto"/>
        <w:ind w:firstLine="480" w:firstLineChars="200"/>
        <w:contextualSpacing/>
        <w:rPr>
          <w:snapToGrid w:val="0"/>
          <w:kern w:val="0"/>
          <w:sz w:val="24"/>
          <w:szCs w:val="24"/>
        </w:rPr>
      </w:pPr>
      <w:r>
        <w:rPr>
          <w:snapToGrid w:val="0"/>
          <w:kern w:val="0"/>
          <w:sz w:val="24"/>
          <w:szCs w:val="24"/>
        </w:rPr>
        <w:t>6.3 在遵守保密约定的前提下，乙方有权使用其在履行本合同过程中使用或开发的咨询业务常识、技能、经验、构思、概念和方法，有权为自身或他人制作与本合同项下类似的材料。</w:t>
      </w:r>
    </w:p>
    <w:p>
      <w:pPr>
        <w:topLinePunct/>
        <w:spacing w:line="360" w:lineRule="auto"/>
        <w:ind w:firstLine="480" w:firstLineChars="200"/>
        <w:contextualSpacing/>
        <w:rPr>
          <w:snapToGrid w:val="0"/>
          <w:kern w:val="0"/>
          <w:sz w:val="24"/>
          <w:szCs w:val="24"/>
        </w:rPr>
      </w:pPr>
      <w:r>
        <w:rPr>
          <w:snapToGrid w:val="0"/>
          <w:kern w:val="0"/>
          <w:sz w:val="24"/>
          <w:szCs w:val="24"/>
        </w:rPr>
        <w:t>6.4 乙方保证：乙方提供的交付物不存在任何侵犯第三方知识产权的情形；如甲方因此遭受第三方的索赔，乙方承诺自费就上述索赔为甲方答辩，并赔偿甲方因此遭受的全部损失。若甲方因此对外赔偿的，无论本合同解除与否且无论乙方开发的项目是否通过甲方验收，甲方均有权随时向乙方追偿。</w:t>
      </w:r>
    </w:p>
    <w:p>
      <w:pPr>
        <w:topLinePunct/>
        <w:spacing w:line="360" w:lineRule="auto"/>
        <w:ind w:firstLine="480" w:firstLineChars="200"/>
        <w:contextualSpacing/>
        <w:rPr>
          <w:snapToGrid w:val="0"/>
          <w:kern w:val="0"/>
          <w:sz w:val="24"/>
          <w:szCs w:val="24"/>
        </w:rPr>
      </w:pPr>
      <w:r>
        <w:rPr>
          <w:snapToGrid w:val="0"/>
          <w:kern w:val="0"/>
          <w:sz w:val="24"/>
          <w:szCs w:val="24"/>
        </w:rPr>
        <w:t>6.5一经发现乙方将甲方具有自主知识产权的系统代码违规转让、销售、赠送或泄露给第三方，或者通过互联网渠道（如百度网盘、GitHub仓库等）违规公开分享与该系统相关的重要配置数据、开发设计文档以及产品源代码，将视情节轻重情况给予中</w:t>
      </w:r>
      <w:r>
        <w:rPr>
          <w:rFonts w:hint="eastAsia"/>
          <w:snapToGrid w:val="0"/>
          <w:kern w:val="0"/>
          <w:sz w:val="24"/>
          <w:szCs w:val="24"/>
        </w:rPr>
        <w:t>选</w:t>
      </w:r>
      <w:r>
        <w:rPr>
          <w:snapToGrid w:val="0"/>
          <w:kern w:val="0"/>
          <w:sz w:val="24"/>
          <w:szCs w:val="24"/>
        </w:rPr>
        <w:t>方相应处罚（处罚金额不低于合同金额的10%）</w:t>
      </w:r>
    </w:p>
    <w:p>
      <w:pPr>
        <w:topLinePunct/>
        <w:spacing w:line="360" w:lineRule="auto"/>
        <w:ind w:firstLine="480" w:firstLineChars="200"/>
        <w:contextualSpacing/>
        <w:rPr>
          <w:snapToGrid w:val="0"/>
          <w:kern w:val="0"/>
          <w:sz w:val="24"/>
          <w:szCs w:val="24"/>
        </w:rPr>
      </w:pPr>
      <w:r>
        <w:rPr>
          <w:snapToGrid w:val="0"/>
          <w:kern w:val="0"/>
          <w:sz w:val="24"/>
          <w:szCs w:val="24"/>
        </w:rPr>
        <w:t>6.6 本合同终止后，本知识产权条款持续有效。</w:t>
      </w:r>
    </w:p>
    <w:p>
      <w:pPr>
        <w:topLinePunct/>
        <w:spacing w:line="360" w:lineRule="auto"/>
        <w:ind w:firstLine="480" w:firstLineChars="200"/>
        <w:contextualSpacing/>
        <w:rPr>
          <w:snapToGrid w:val="0"/>
          <w:kern w:val="0"/>
          <w:sz w:val="24"/>
          <w:szCs w:val="24"/>
        </w:rPr>
      </w:pPr>
    </w:p>
    <w:p>
      <w:pPr>
        <w:pStyle w:val="11"/>
        <w:tabs>
          <w:tab w:val="right" w:pos="0"/>
        </w:tabs>
        <w:adjustRightInd w:val="0"/>
        <w:snapToGrid w:val="0"/>
        <w:spacing w:line="520" w:lineRule="exact"/>
        <w:ind w:left="560" w:right="16" w:firstLine="482" w:firstLineChars="200"/>
        <w:rPr>
          <w:b/>
          <w:sz w:val="24"/>
        </w:rPr>
      </w:pPr>
      <w:r>
        <w:rPr>
          <w:b/>
          <w:sz w:val="24"/>
        </w:rPr>
        <w:t>第七条  服务费用及其支付</w:t>
      </w:r>
    </w:p>
    <w:p>
      <w:pPr>
        <w:topLinePunct/>
        <w:spacing w:line="360" w:lineRule="auto"/>
        <w:ind w:firstLine="480" w:firstLineChars="200"/>
        <w:contextualSpacing/>
        <w:rPr>
          <w:sz w:val="24"/>
          <w:szCs w:val="24"/>
        </w:rPr>
      </w:pPr>
      <w:r>
        <w:rPr>
          <w:sz w:val="24"/>
          <w:szCs w:val="24"/>
        </w:rPr>
        <w:t xml:space="preserve">7.1 </w:t>
      </w:r>
      <w:r>
        <w:rPr>
          <w:snapToGrid w:val="0"/>
          <w:kern w:val="0"/>
          <w:sz w:val="24"/>
          <w:szCs w:val="24"/>
        </w:rPr>
        <w:t>服务费</w:t>
      </w:r>
      <w:r>
        <w:rPr>
          <w:sz w:val="24"/>
          <w:szCs w:val="24"/>
        </w:rPr>
        <w:t>用：</w:t>
      </w:r>
    </w:p>
    <w:p>
      <w:pPr>
        <w:topLinePunct/>
        <w:spacing w:line="360" w:lineRule="auto"/>
        <w:ind w:firstLine="480" w:firstLineChars="200"/>
        <w:contextualSpacing/>
        <w:rPr>
          <w:sz w:val="24"/>
          <w:szCs w:val="24"/>
        </w:rPr>
      </w:pPr>
      <w:r>
        <w:rPr>
          <w:sz w:val="24"/>
          <w:szCs w:val="24"/>
        </w:rPr>
        <w:t>对于工作内容说明书约定的各项服务，甲方同意向乙方支付服务费用（下称“服务费用” ）。服务费用总额为：</w:t>
      </w:r>
      <w:r>
        <w:rPr>
          <w:sz w:val="24"/>
          <w:szCs w:val="24"/>
          <w:u w:val="single"/>
        </w:rPr>
        <w:t>_       元</w:t>
      </w:r>
      <w:r>
        <w:rPr>
          <w:sz w:val="24"/>
          <w:szCs w:val="24"/>
        </w:rPr>
        <w:t>（大写：___________元整）,</w:t>
      </w:r>
      <w:r>
        <w:rPr>
          <w:sz w:val="24"/>
          <w:szCs w:val="24"/>
          <w:u w:val="single"/>
        </w:rPr>
        <w:t>其中不含税价为：_       元</w:t>
      </w:r>
      <w:r>
        <w:rPr>
          <w:sz w:val="24"/>
          <w:szCs w:val="24"/>
        </w:rPr>
        <w:t>（</w:t>
      </w:r>
      <w:r>
        <w:rPr>
          <w:sz w:val="24"/>
          <w:szCs w:val="24"/>
          <w:u w:val="single"/>
        </w:rPr>
        <w:t>大写：         整）</w:t>
      </w:r>
      <w:r>
        <w:rPr>
          <w:sz w:val="24"/>
          <w:szCs w:val="24"/>
        </w:rPr>
        <w:t>，税额为</w:t>
      </w:r>
      <w:r>
        <w:rPr>
          <w:sz w:val="24"/>
          <w:szCs w:val="24"/>
          <w:u w:val="single"/>
        </w:rPr>
        <w:t>：_       元</w:t>
      </w:r>
      <w:r>
        <w:rPr>
          <w:sz w:val="24"/>
          <w:szCs w:val="24"/>
        </w:rPr>
        <w:t>（</w:t>
      </w:r>
      <w:r>
        <w:rPr>
          <w:sz w:val="24"/>
          <w:szCs w:val="24"/>
          <w:u w:val="single"/>
        </w:rPr>
        <w:t>大写：         整）</w:t>
      </w:r>
      <w:r>
        <w:rPr>
          <w:sz w:val="24"/>
          <w:szCs w:val="24"/>
        </w:rPr>
        <w:t>；不含税价格不因国家税率变化而变化，若在合同履行期间，如遇国家的税率调整，则价税合计应相应调整，以开具发票的时间为准。乙方须严格按照合同内容开具税率为</w:t>
      </w:r>
      <w:r>
        <w:rPr>
          <w:b/>
          <w:sz w:val="24"/>
          <w:szCs w:val="24"/>
        </w:rPr>
        <w:t>6%</w:t>
      </w:r>
      <w:r>
        <w:rPr>
          <w:sz w:val="24"/>
          <w:szCs w:val="24"/>
        </w:rPr>
        <w:t>的增值税专用发票。</w:t>
      </w:r>
    </w:p>
    <w:p>
      <w:pPr>
        <w:topLinePunct/>
        <w:spacing w:line="360" w:lineRule="auto"/>
        <w:ind w:firstLine="480" w:firstLineChars="200"/>
        <w:contextualSpacing/>
        <w:rPr>
          <w:sz w:val="24"/>
          <w:szCs w:val="24"/>
        </w:rPr>
      </w:pPr>
      <w:r>
        <w:rPr>
          <w:sz w:val="24"/>
          <w:szCs w:val="24"/>
        </w:rPr>
        <w:t>7.2 支付</w:t>
      </w:r>
      <w:r>
        <w:rPr>
          <w:snapToGrid w:val="0"/>
          <w:kern w:val="0"/>
          <w:sz w:val="24"/>
          <w:szCs w:val="24"/>
        </w:rPr>
        <w:t>方式</w:t>
      </w:r>
      <w:r>
        <w:rPr>
          <w:sz w:val="24"/>
          <w:szCs w:val="24"/>
        </w:rPr>
        <w:t>：</w:t>
      </w:r>
    </w:p>
    <w:p>
      <w:pPr>
        <w:topLinePunct/>
        <w:spacing w:line="360" w:lineRule="auto"/>
        <w:ind w:firstLine="480" w:firstLineChars="200"/>
        <w:contextualSpacing/>
        <w:rPr>
          <w:sz w:val="24"/>
          <w:szCs w:val="24"/>
        </w:rPr>
      </w:pPr>
      <w:r>
        <w:rPr>
          <w:sz w:val="24"/>
          <w:szCs w:val="24"/>
        </w:rPr>
        <w:t>甲方应按</w:t>
      </w:r>
      <w:r>
        <w:rPr>
          <w:snapToGrid w:val="0"/>
          <w:kern w:val="0"/>
          <w:sz w:val="24"/>
          <w:szCs w:val="24"/>
        </w:rPr>
        <w:t>下列</w:t>
      </w:r>
      <w:r>
        <w:rPr>
          <w:sz w:val="24"/>
          <w:szCs w:val="24"/>
        </w:rPr>
        <w:t>规定时间向乙方支付服务费用。</w:t>
      </w:r>
    </w:p>
    <w:p>
      <w:pPr>
        <w:topLinePunct/>
        <w:spacing w:line="360" w:lineRule="auto"/>
        <w:ind w:firstLine="480" w:firstLineChars="200"/>
        <w:contextualSpacing/>
        <w:rPr>
          <w:sz w:val="24"/>
          <w:szCs w:val="24"/>
        </w:rPr>
      </w:pPr>
      <w:r>
        <w:rPr>
          <w:sz w:val="24"/>
          <w:szCs w:val="24"/>
        </w:rPr>
        <w:t xml:space="preserve">本合同实施款项采用分期付款： </w:t>
      </w:r>
    </w:p>
    <w:p>
      <w:pPr>
        <w:topLinePunct/>
        <w:spacing w:line="360" w:lineRule="auto"/>
        <w:ind w:firstLine="480" w:firstLineChars="200"/>
        <w:contextualSpacing/>
        <w:rPr>
          <w:sz w:val="24"/>
          <w:szCs w:val="24"/>
        </w:rPr>
      </w:pPr>
      <w:r>
        <w:rPr>
          <w:sz w:val="24"/>
          <w:szCs w:val="24"/>
        </w:rPr>
        <w:t xml:space="preserve">7.2.1合同签订后，乙方按照合同约定完成差距分析，提供差距分析报告，通过甲方审核，乙方向甲方提供合法足额的增值税专用发票，甲方收到发票并确认无误后30个工作日内，支付合同总额的30%，即 </w:t>
      </w:r>
      <w:r>
        <w:rPr>
          <w:sz w:val="24"/>
          <w:szCs w:val="24"/>
          <w:u w:val="single"/>
        </w:rPr>
        <w:t xml:space="preserve">      元</w:t>
      </w:r>
      <w:r>
        <w:rPr>
          <w:sz w:val="24"/>
          <w:szCs w:val="24"/>
        </w:rPr>
        <w:t xml:space="preserve">（大写： </w:t>
      </w:r>
      <w:r>
        <w:rPr>
          <w:sz w:val="24"/>
          <w:szCs w:val="24"/>
          <w:u w:val="single"/>
        </w:rPr>
        <w:t xml:space="preserve">         </w:t>
      </w:r>
      <w:r>
        <w:rPr>
          <w:sz w:val="24"/>
          <w:szCs w:val="24"/>
        </w:rPr>
        <w:t>元整  ）</w:t>
      </w:r>
    </w:p>
    <w:p>
      <w:pPr>
        <w:topLinePunct/>
        <w:spacing w:line="360" w:lineRule="auto"/>
        <w:ind w:firstLine="480" w:firstLineChars="200"/>
        <w:contextualSpacing/>
        <w:rPr>
          <w:sz w:val="24"/>
          <w:szCs w:val="24"/>
        </w:rPr>
      </w:pPr>
      <w:r>
        <w:rPr>
          <w:sz w:val="24"/>
          <w:szCs w:val="24"/>
        </w:rPr>
        <w:t>7.2.2按照合同约定，乙方协助甲方完成体系建设及试点项目试运行后，乙方向甲方提供合法足额的增值税专用发票，甲方收到发票并确认无误后30个工作日内，支付合同总额的30%，即</w:t>
      </w:r>
      <w:r>
        <w:rPr>
          <w:sz w:val="24"/>
          <w:szCs w:val="24"/>
          <w:u w:val="single"/>
        </w:rPr>
        <w:t xml:space="preserve">      元</w:t>
      </w:r>
      <w:r>
        <w:rPr>
          <w:sz w:val="24"/>
          <w:szCs w:val="24"/>
        </w:rPr>
        <w:t>（大写：</w:t>
      </w:r>
      <w:r>
        <w:rPr>
          <w:sz w:val="24"/>
          <w:szCs w:val="24"/>
          <w:u w:val="single"/>
        </w:rPr>
        <w:t xml:space="preserve">          </w:t>
      </w:r>
      <w:r>
        <w:rPr>
          <w:sz w:val="24"/>
          <w:szCs w:val="24"/>
        </w:rPr>
        <w:t>元整 ）。</w:t>
      </w:r>
    </w:p>
    <w:p>
      <w:pPr>
        <w:topLinePunct/>
        <w:spacing w:line="360" w:lineRule="auto"/>
        <w:ind w:firstLine="480" w:firstLineChars="200"/>
        <w:contextualSpacing/>
        <w:rPr>
          <w:sz w:val="24"/>
          <w:szCs w:val="24"/>
        </w:rPr>
      </w:pPr>
      <w:r>
        <w:rPr>
          <w:sz w:val="24"/>
          <w:szCs w:val="24"/>
        </w:rPr>
        <w:t>7.2.3在</w:t>
      </w:r>
      <w:r>
        <w:rPr>
          <w:snapToGrid w:val="0"/>
          <w:kern w:val="0"/>
          <w:sz w:val="24"/>
          <w:szCs w:val="24"/>
        </w:rPr>
        <w:t>完成</w:t>
      </w:r>
      <w:r>
        <w:rPr>
          <w:sz w:val="24"/>
          <w:szCs w:val="24"/>
        </w:rPr>
        <w:t>CMMI DEV3.0-ML3正式评估并在CMMI Institute网站能查询到认证通过的信息后，乙方向甲方提供合法足额的增值税专用发票，甲方收到发票并确认无误后30个工作日内，支付合同总额的30%，即</w:t>
      </w:r>
      <w:r>
        <w:rPr>
          <w:sz w:val="24"/>
          <w:szCs w:val="24"/>
          <w:u w:val="single"/>
        </w:rPr>
        <w:t xml:space="preserve">      元</w:t>
      </w:r>
      <w:r>
        <w:rPr>
          <w:sz w:val="24"/>
          <w:szCs w:val="24"/>
        </w:rPr>
        <w:t>（大写：</w:t>
      </w:r>
      <w:r>
        <w:rPr>
          <w:sz w:val="24"/>
          <w:szCs w:val="24"/>
          <w:u w:val="single"/>
        </w:rPr>
        <w:t xml:space="preserve">          </w:t>
      </w:r>
      <w:r>
        <w:rPr>
          <w:sz w:val="24"/>
          <w:szCs w:val="24"/>
        </w:rPr>
        <w:t>元整 ）。</w:t>
      </w:r>
    </w:p>
    <w:p>
      <w:pPr>
        <w:topLinePunct/>
        <w:spacing w:line="360" w:lineRule="auto"/>
        <w:ind w:firstLine="480" w:firstLineChars="200"/>
        <w:contextualSpacing/>
        <w:rPr>
          <w:sz w:val="24"/>
          <w:szCs w:val="24"/>
        </w:rPr>
      </w:pPr>
      <w:r>
        <w:rPr>
          <w:sz w:val="24"/>
          <w:szCs w:val="24"/>
        </w:rPr>
        <w:t>7.2.4售后服务期满后，乙方向甲方提供合法足额的增值税专用发票，甲方收到发票并确认无误后30个工作日内，支付合同总额的10%，即</w:t>
      </w:r>
      <w:r>
        <w:rPr>
          <w:sz w:val="24"/>
          <w:szCs w:val="24"/>
          <w:u w:val="single"/>
        </w:rPr>
        <w:t xml:space="preserve">      元</w:t>
      </w:r>
      <w:r>
        <w:rPr>
          <w:sz w:val="24"/>
          <w:szCs w:val="24"/>
        </w:rPr>
        <w:t>（大写：</w:t>
      </w:r>
      <w:r>
        <w:rPr>
          <w:sz w:val="24"/>
          <w:szCs w:val="24"/>
          <w:u w:val="single"/>
        </w:rPr>
        <w:t xml:space="preserve">          </w:t>
      </w:r>
      <w:r>
        <w:rPr>
          <w:sz w:val="24"/>
          <w:szCs w:val="24"/>
        </w:rPr>
        <w:t>元整 ）。</w:t>
      </w:r>
    </w:p>
    <w:p>
      <w:pPr>
        <w:pStyle w:val="11"/>
        <w:tabs>
          <w:tab w:val="right" w:pos="0"/>
        </w:tabs>
        <w:adjustRightInd w:val="0"/>
        <w:snapToGrid w:val="0"/>
        <w:spacing w:line="520" w:lineRule="exact"/>
        <w:ind w:left="560" w:right="17" w:firstLine="482" w:firstLineChars="200"/>
        <w:rPr>
          <w:b/>
          <w:sz w:val="24"/>
        </w:rPr>
      </w:pPr>
      <w:r>
        <w:rPr>
          <w:b/>
          <w:sz w:val="24"/>
        </w:rPr>
        <w:t>第八条  保密条款</w:t>
      </w:r>
    </w:p>
    <w:p>
      <w:pPr>
        <w:topLinePunct/>
        <w:spacing w:line="360" w:lineRule="auto"/>
        <w:ind w:firstLine="480" w:firstLineChars="200"/>
        <w:contextualSpacing/>
        <w:rPr>
          <w:snapToGrid w:val="0"/>
          <w:kern w:val="0"/>
          <w:sz w:val="24"/>
          <w:szCs w:val="24"/>
        </w:rPr>
      </w:pPr>
      <w:r>
        <w:rPr>
          <w:sz w:val="24"/>
          <w:szCs w:val="24"/>
        </w:rPr>
        <w:t>8.1 本合</w:t>
      </w:r>
      <w:r>
        <w:rPr>
          <w:snapToGrid w:val="0"/>
          <w:kern w:val="0"/>
          <w:sz w:val="24"/>
          <w:szCs w:val="24"/>
        </w:rPr>
        <w:t>同项下的所有条款。乙方外包人员入场前须与甲方签订相应诚信安全承诺书。</w:t>
      </w:r>
    </w:p>
    <w:p>
      <w:pPr>
        <w:topLinePunct/>
        <w:spacing w:line="360" w:lineRule="auto"/>
        <w:ind w:firstLine="480" w:firstLineChars="200"/>
        <w:contextualSpacing/>
        <w:rPr>
          <w:snapToGrid w:val="0"/>
          <w:kern w:val="0"/>
          <w:sz w:val="24"/>
          <w:szCs w:val="24"/>
        </w:rPr>
      </w:pPr>
      <w:r>
        <w:rPr>
          <w:snapToGrid w:val="0"/>
          <w:kern w:val="0"/>
          <w:sz w:val="24"/>
          <w:szCs w:val="24"/>
        </w:rPr>
        <w:t>8.2乙方应对本合同所述的客户信息、技术资料、业务流程、数据等重要信息采取保密措施，未经甲方的书面同意，乙方不得在合同允许范围外使用、披露、向无关人员或第三方透露，也不能就有关合同内容的任何部分进行新闻的发布、公开的宣称、否认或承认。</w:t>
      </w:r>
    </w:p>
    <w:p>
      <w:pPr>
        <w:topLinePunct/>
        <w:spacing w:line="360" w:lineRule="auto"/>
        <w:ind w:firstLine="480" w:firstLineChars="200"/>
        <w:contextualSpacing/>
        <w:rPr>
          <w:sz w:val="24"/>
          <w:szCs w:val="24"/>
        </w:rPr>
      </w:pPr>
      <w:r>
        <w:rPr>
          <w:snapToGrid w:val="0"/>
          <w:kern w:val="0"/>
          <w:sz w:val="24"/>
          <w:szCs w:val="24"/>
        </w:rPr>
        <w:t>8.3 乙方不得以甲方名义开展活动，不得将甲方数据、信息以任何形式转移、挪用或谋取</w:t>
      </w:r>
      <w:r>
        <w:rPr>
          <w:sz w:val="24"/>
          <w:szCs w:val="24"/>
        </w:rPr>
        <w:t>合同约定以外的利益。</w:t>
      </w:r>
    </w:p>
    <w:p>
      <w:pPr>
        <w:topLinePunct/>
        <w:spacing w:line="360" w:lineRule="auto"/>
        <w:ind w:firstLine="480" w:firstLineChars="200"/>
        <w:contextualSpacing/>
        <w:rPr>
          <w:snapToGrid w:val="0"/>
          <w:kern w:val="0"/>
          <w:sz w:val="24"/>
          <w:szCs w:val="24"/>
        </w:rPr>
      </w:pPr>
      <w:r>
        <w:rPr>
          <w:sz w:val="24"/>
          <w:szCs w:val="24"/>
        </w:rPr>
        <w:t>8.4乙方</w:t>
      </w:r>
      <w:r>
        <w:rPr>
          <w:snapToGrid w:val="0"/>
          <w:kern w:val="0"/>
          <w:sz w:val="24"/>
          <w:szCs w:val="24"/>
        </w:rPr>
        <w:t>知道违反本条规定将给甲方客户权利以及甲方造成难以弥补的损失，为此同意承担由此产生的经济上和法律上的责任。</w:t>
      </w:r>
    </w:p>
    <w:p>
      <w:pPr>
        <w:topLinePunct/>
        <w:spacing w:line="360" w:lineRule="auto"/>
        <w:ind w:firstLine="480" w:firstLineChars="200"/>
        <w:contextualSpacing/>
        <w:rPr>
          <w:snapToGrid w:val="0"/>
          <w:kern w:val="0"/>
          <w:sz w:val="24"/>
          <w:szCs w:val="24"/>
        </w:rPr>
      </w:pPr>
      <w:r>
        <w:rPr>
          <w:snapToGrid w:val="0"/>
          <w:kern w:val="0"/>
          <w:sz w:val="24"/>
          <w:szCs w:val="24"/>
        </w:rPr>
        <w:t>8.5 乙方承认本合同中的技术资料和技术秘密为甲方所专有，将其对乙方进行披露并不意味着任何所有权、专利权的转让。</w:t>
      </w:r>
    </w:p>
    <w:p>
      <w:pPr>
        <w:topLinePunct/>
        <w:spacing w:line="360" w:lineRule="auto"/>
        <w:ind w:firstLine="480" w:firstLineChars="200"/>
        <w:contextualSpacing/>
        <w:rPr>
          <w:sz w:val="24"/>
          <w:szCs w:val="24"/>
        </w:rPr>
      </w:pPr>
      <w:r>
        <w:rPr>
          <w:snapToGrid w:val="0"/>
          <w:kern w:val="0"/>
          <w:sz w:val="24"/>
          <w:szCs w:val="24"/>
        </w:rPr>
        <w:t>8.6在本合同项目的研究结束并通过验收后，乙方应向甲方提供本合同项目的研究成果，包括技术规范、质量标准等相关的技术资料，或者计算机软件、文档等。</w:t>
      </w:r>
      <w:r>
        <w:rPr>
          <w:sz w:val="24"/>
          <w:szCs w:val="24"/>
        </w:rPr>
        <w:t>乙方应归还甲方提供的所有技术资料或文件等，并承诺不保留任何复印件。</w:t>
      </w:r>
    </w:p>
    <w:p>
      <w:pPr>
        <w:topLinePunct/>
        <w:spacing w:line="360" w:lineRule="auto"/>
        <w:ind w:firstLine="480" w:firstLineChars="200"/>
        <w:contextualSpacing/>
        <w:rPr>
          <w:snapToGrid w:val="0"/>
          <w:kern w:val="0"/>
          <w:sz w:val="24"/>
          <w:szCs w:val="24"/>
        </w:rPr>
      </w:pPr>
      <w:r>
        <w:rPr>
          <w:sz w:val="24"/>
          <w:szCs w:val="24"/>
        </w:rPr>
        <w:t>8.7乙方在</w:t>
      </w:r>
      <w:r>
        <w:rPr>
          <w:snapToGrid w:val="0"/>
          <w:kern w:val="0"/>
          <w:sz w:val="24"/>
          <w:szCs w:val="24"/>
        </w:rPr>
        <w:t>下列情况下没有为任何信息保守秘密的义务，即当乙方已事先知道它无需为其保守秘密时；当该信息已为公众所知且不是由乙方未经授权而提供时；当该信息是由乙方独自开发的；或者当乙方从某第三方合法地接受该信息且没有保密限制时。</w:t>
      </w:r>
    </w:p>
    <w:p>
      <w:pPr>
        <w:topLinePunct/>
        <w:spacing w:line="360" w:lineRule="auto"/>
        <w:ind w:firstLine="480" w:firstLineChars="200"/>
        <w:contextualSpacing/>
        <w:rPr>
          <w:sz w:val="24"/>
          <w:szCs w:val="24"/>
        </w:rPr>
      </w:pPr>
      <w:r>
        <w:rPr>
          <w:snapToGrid w:val="0"/>
          <w:kern w:val="0"/>
          <w:sz w:val="24"/>
          <w:szCs w:val="24"/>
        </w:rPr>
        <w:t>8.8 除非甲方特别声明，乙方对于保密信息的保密义务为无限期保密，直至甲方宣布解密或者保密信息</w:t>
      </w:r>
      <w:r>
        <w:rPr>
          <w:sz w:val="24"/>
          <w:szCs w:val="24"/>
        </w:rPr>
        <w:t>实际上已经公开。</w:t>
      </w:r>
    </w:p>
    <w:p>
      <w:pPr>
        <w:topLinePunct/>
        <w:spacing w:line="360" w:lineRule="auto"/>
        <w:ind w:firstLine="480" w:firstLineChars="200"/>
        <w:contextualSpacing/>
        <w:rPr>
          <w:sz w:val="24"/>
          <w:szCs w:val="24"/>
        </w:rPr>
      </w:pPr>
      <w:r>
        <w:rPr>
          <w:sz w:val="24"/>
          <w:szCs w:val="24"/>
        </w:rPr>
        <w:t>8.9 任何一方违反本章约定均被视为违约，违约方应承担违约责任。</w:t>
      </w:r>
    </w:p>
    <w:p>
      <w:pPr>
        <w:pStyle w:val="11"/>
        <w:tabs>
          <w:tab w:val="right" w:pos="0"/>
        </w:tabs>
        <w:adjustRightInd w:val="0"/>
        <w:snapToGrid w:val="0"/>
        <w:spacing w:line="520" w:lineRule="exact"/>
        <w:ind w:left="560" w:right="16" w:firstLine="480" w:firstLineChars="200"/>
        <w:rPr>
          <w:sz w:val="24"/>
        </w:rPr>
      </w:pPr>
    </w:p>
    <w:p>
      <w:pPr>
        <w:pStyle w:val="11"/>
        <w:tabs>
          <w:tab w:val="right" w:pos="0"/>
        </w:tabs>
        <w:adjustRightInd w:val="0"/>
        <w:snapToGrid w:val="0"/>
        <w:spacing w:line="520" w:lineRule="exact"/>
        <w:ind w:left="560" w:right="16" w:firstLine="482" w:firstLineChars="200"/>
        <w:rPr>
          <w:b/>
          <w:sz w:val="24"/>
        </w:rPr>
      </w:pPr>
      <w:r>
        <w:rPr>
          <w:b/>
          <w:sz w:val="24"/>
        </w:rPr>
        <w:t>第九条  合同的解除和终止</w:t>
      </w:r>
    </w:p>
    <w:p>
      <w:pPr>
        <w:topLinePunct/>
        <w:spacing w:line="360" w:lineRule="auto"/>
        <w:ind w:firstLine="480" w:firstLineChars="200"/>
        <w:contextualSpacing/>
        <w:rPr>
          <w:sz w:val="24"/>
          <w:szCs w:val="24"/>
        </w:rPr>
      </w:pPr>
      <w:r>
        <w:rPr>
          <w:sz w:val="24"/>
          <w:szCs w:val="24"/>
        </w:rPr>
        <w:t>9.1 如果满足以下条件，任一方在通知对方后，都可以解除本合同：</w:t>
      </w:r>
    </w:p>
    <w:p>
      <w:pPr>
        <w:topLinePunct/>
        <w:spacing w:line="360" w:lineRule="auto"/>
        <w:ind w:firstLine="480" w:firstLineChars="200"/>
        <w:contextualSpacing/>
        <w:rPr>
          <w:snapToGrid w:val="0"/>
          <w:kern w:val="0"/>
          <w:sz w:val="24"/>
          <w:szCs w:val="24"/>
        </w:rPr>
      </w:pPr>
      <w:r>
        <w:rPr>
          <w:sz w:val="24"/>
          <w:szCs w:val="24"/>
        </w:rPr>
        <w:t>（1）一方</w:t>
      </w:r>
      <w:r>
        <w:rPr>
          <w:snapToGrid w:val="0"/>
          <w:kern w:val="0"/>
          <w:sz w:val="24"/>
          <w:szCs w:val="24"/>
        </w:rPr>
        <w:t>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pPr>
        <w:topLinePunct/>
        <w:spacing w:line="360" w:lineRule="auto"/>
        <w:ind w:firstLine="480" w:firstLineChars="200"/>
        <w:contextualSpacing/>
        <w:rPr>
          <w:snapToGrid w:val="0"/>
          <w:kern w:val="0"/>
          <w:sz w:val="24"/>
          <w:szCs w:val="24"/>
        </w:rPr>
      </w:pPr>
      <w:r>
        <w:rPr>
          <w:snapToGrid w:val="0"/>
          <w:kern w:val="0"/>
          <w:sz w:val="24"/>
          <w:szCs w:val="24"/>
        </w:rPr>
        <w:t>（2）当一方按正常程序停止经营业务、破产、处于付款拖欠、延期偿付、公司重组或倒闭状况，或全部转让利润与债权人、书面承认无力偿还到期债务、委派清算人清算其业务或财产，或参与或接受与破产或债权人权利有关的法律或行政诉</w:t>
      </w:r>
      <w:r>
        <w:rPr>
          <w:sz w:val="24"/>
          <w:szCs w:val="24"/>
        </w:rPr>
        <w:t>讼程序时。</w:t>
      </w:r>
    </w:p>
    <w:p>
      <w:pPr>
        <w:topLinePunct/>
        <w:spacing w:line="360" w:lineRule="auto"/>
        <w:ind w:firstLine="480" w:firstLineChars="200"/>
        <w:contextualSpacing/>
        <w:rPr>
          <w:sz w:val="24"/>
          <w:szCs w:val="24"/>
        </w:rPr>
      </w:pPr>
      <w:r>
        <w:rPr>
          <w:snapToGrid w:val="0"/>
          <w:kern w:val="0"/>
          <w:sz w:val="24"/>
          <w:szCs w:val="24"/>
        </w:rPr>
        <w:t>9.2 当本合同以任何原因终止时，乙方应将本合同项下的过程文档、资料等全部交付给甲方，配合甲方完成知识转移，保证甲方能够继续开展工作；并应立即停止使用并销毁包含甲方机密信息的所有物件，并证明该销毁情况；或者将这些物件</w:t>
      </w:r>
      <w:r>
        <w:rPr>
          <w:sz w:val="24"/>
          <w:szCs w:val="24"/>
        </w:rPr>
        <w:t>归还对方。</w:t>
      </w:r>
    </w:p>
    <w:p>
      <w:pPr>
        <w:pStyle w:val="11"/>
        <w:tabs>
          <w:tab w:val="right" w:pos="0"/>
        </w:tabs>
        <w:adjustRightInd w:val="0"/>
        <w:snapToGrid w:val="0"/>
        <w:spacing w:line="520" w:lineRule="exact"/>
        <w:ind w:left="560" w:right="16" w:firstLine="482" w:firstLineChars="200"/>
        <w:rPr>
          <w:b/>
          <w:sz w:val="24"/>
        </w:rPr>
      </w:pPr>
    </w:p>
    <w:p>
      <w:pPr>
        <w:pStyle w:val="11"/>
        <w:tabs>
          <w:tab w:val="right" w:pos="0"/>
        </w:tabs>
        <w:adjustRightInd w:val="0"/>
        <w:snapToGrid w:val="0"/>
        <w:spacing w:line="520" w:lineRule="exact"/>
        <w:ind w:left="560" w:right="16" w:firstLine="482" w:firstLineChars="200"/>
        <w:rPr>
          <w:b/>
          <w:sz w:val="24"/>
        </w:rPr>
      </w:pPr>
      <w:r>
        <w:rPr>
          <w:b/>
          <w:sz w:val="24"/>
        </w:rPr>
        <w:t>第十条 违约责任</w:t>
      </w:r>
    </w:p>
    <w:p>
      <w:pPr>
        <w:topLinePunct/>
        <w:spacing w:line="360" w:lineRule="auto"/>
        <w:ind w:firstLine="480" w:firstLineChars="200"/>
        <w:contextualSpacing/>
        <w:rPr>
          <w:snapToGrid w:val="0"/>
          <w:kern w:val="0"/>
          <w:sz w:val="24"/>
          <w:szCs w:val="24"/>
        </w:rPr>
      </w:pPr>
      <w:r>
        <w:rPr>
          <w:sz w:val="24"/>
          <w:szCs w:val="24"/>
        </w:rPr>
        <w:t>10.1 不论本合同以上条款有任何规定，若一方违约，违约方需负责赔偿对方因此遭受的</w:t>
      </w:r>
      <w:r>
        <w:rPr>
          <w:snapToGrid w:val="0"/>
          <w:kern w:val="0"/>
          <w:sz w:val="24"/>
          <w:szCs w:val="24"/>
        </w:rPr>
        <w:t>损失并消除对非违约方名誉造成的负面影响（如有），或按照本合同规定向对方偿付违约金。对于同一个或同一种违约行为，本合同约定的损失赔偿或违约金不能重复计算。</w:t>
      </w:r>
    </w:p>
    <w:p>
      <w:pPr>
        <w:topLinePunct/>
        <w:spacing w:line="360" w:lineRule="auto"/>
        <w:ind w:firstLine="480" w:firstLineChars="200"/>
        <w:contextualSpacing/>
        <w:rPr>
          <w:snapToGrid w:val="0"/>
          <w:kern w:val="0"/>
          <w:sz w:val="24"/>
          <w:szCs w:val="24"/>
        </w:rPr>
      </w:pPr>
      <w:r>
        <w:rPr>
          <w:snapToGrid w:val="0"/>
          <w:kern w:val="0"/>
          <w:sz w:val="24"/>
          <w:szCs w:val="24"/>
        </w:rPr>
        <w:t>10.2 违约金的计算方法如下：</w:t>
      </w:r>
    </w:p>
    <w:p>
      <w:pPr>
        <w:topLinePunct/>
        <w:spacing w:line="360" w:lineRule="auto"/>
        <w:ind w:firstLine="480" w:firstLineChars="200"/>
        <w:contextualSpacing/>
        <w:rPr>
          <w:sz w:val="24"/>
          <w:szCs w:val="24"/>
        </w:rPr>
      </w:pPr>
      <w:r>
        <w:rPr>
          <w:snapToGrid w:val="0"/>
          <w:kern w:val="0"/>
          <w:sz w:val="24"/>
          <w:szCs w:val="24"/>
        </w:rPr>
        <w:t>（1）因甲方原因未按本合同的规定向乙方付款的，逾期超过一个月后，每逾期一日，应向</w:t>
      </w:r>
      <w:r>
        <w:rPr>
          <w:sz w:val="24"/>
          <w:szCs w:val="24"/>
        </w:rPr>
        <w:t>乙方偿付欠款金额万分之五的违约金；</w:t>
      </w:r>
    </w:p>
    <w:p>
      <w:pPr>
        <w:topLinePunct/>
        <w:spacing w:line="360" w:lineRule="auto"/>
        <w:ind w:firstLine="480" w:firstLineChars="200"/>
        <w:contextualSpacing/>
        <w:rPr>
          <w:snapToGrid w:val="0"/>
          <w:kern w:val="0"/>
          <w:sz w:val="24"/>
          <w:szCs w:val="24"/>
        </w:rPr>
      </w:pPr>
      <w:r>
        <w:rPr>
          <w:sz w:val="24"/>
          <w:szCs w:val="24"/>
        </w:rPr>
        <w:t>（2）如果因为乙方原因没有在按期完成项目服务工作，每逾期一天，乙方应按照相</w:t>
      </w:r>
      <w:r>
        <w:rPr>
          <w:snapToGrid w:val="0"/>
          <w:kern w:val="0"/>
          <w:sz w:val="24"/>
          <w:szCs w:val="24"/>
        </w:rPr>
        <w:t>应服务费的万分之五向甲方支付违约金。</w:t>
      </w:r>
    </w:p>
    <w:p>
      <w:pPr>
        <w:topLinePunct/>
        <w:spacing w:line="360" w:lineRule="auto"/>
        <w:ind w:firstLine="480" w:firstLineChars="200"/>
        <w:contextualSpacing/>
        <w:rPr>
          <w:sz w:val="24"/>
          <w:szCs w:val="24"/>
        </w:rPr>
      </w:pPr>
      <w:r>
        <w:rPr>
          <w:snapToGrid w:val="0"/>
          <w:kern w:val="0"/>
          <w:sz w:val="24"/>
          <w:szCs w:val="24"/>
        </w:rPr>
        <w:t>10.3 如果甲</w:t>
      </w:r>
      <w:r>
        <w:rPr>
          <w:sz w:val="24"/>
          <w:szCs w:val="24"/>
        </w:rPr>
        <w:t>方未履行本合同规定的付款以外的义务，致使乙方无法履行相应的义务的，除项目服务期限相应顺延外，由此产生的后果由甲方承担，乙方对此免责。</w:t>
      </w:r>
    </w:p>
    <w:p>
      <w:pPr>
        <w:topLinePunct/>
        <w:spacing w:line="360" w:lineRule="auto"/>
        <w:ind w:firstLine="480" w:firstLineChars="200"/>
        <w:contextualSpacing/>
        <w:rPr>
          <w:snapToGrid w:val="0"/>
          <w:kern w:val="0"/>
          <w:sz w:val="24"/>
          <w:szCs w:val="24"/>
        </w:rPr>
      </w:pPr>
      <w:r>
        <w:rPr>
          <w:sz w:val="24"/>
          <w:szCs w:val="24"/>
        </w:rPr>
        <w:t>10.4若</w:t>
      </w:r>
      <w:r>
        <w:rPr>
          <w:snapToGrid w:val="0"/>
          <w:kern w:val="0"/>
          <w:sz w:val="24"/>
          <w:szCs w:val="24"/>
        </w:rPr>
        <w:t>乙方未能完成甲方委托的咨询任务，则承担本合同总额20%的违约金，并返还甲方已支付的费用。</w:t>
      </w:r>
    </w:p>
    <w:p>
      <w:pPr>
        <w:topLinePunct/>
        <w:spacing w:line="360" w:lineRule="auto"/>
        <w:ind w:firstLine="480" w:firstLineChars="200"/>
        <w:contextualSpacing/>
        <w:rPr>
          <w:snapToGrid w:val="0"/>
          <w:kern w:val="0"/>
          <w:sz w:val="24"/>
          <w:szCs w:val="24"/>
        </w:rPr>
      </w:pPr>
      <w:r>
        <w:rPr>
          <w:snapToGrid w:val="0"/>
          <w:kern w:val="0"/>
          <w:sz w:val="24"/>
          <w:szCs w:val="24"/>
        </w:rPr>
        <w:t>10.5乙方将甲方支付的咨询费用用于履行合同以外的目的，甲方有权制止并要求其纠正。如因此造成本合同项目停滞、延误或失败的，乙方应当承担给甲方造成的损失赔偿责任。</w:t>
      </w:r>
    </w:p>
    <w:p>
      <w:pPr>
        <w:topLinePunct/>
        <w:spacing w:line="360" w:lineRule="auto"/>
        <w:ind w:firstLine="480" w:firstLineChars="200"/>
        <w:contextualSpacing/>
        <w:rPr>
          <w:snapToGrid w:val="0"/>
          <w:kern w:val="0"/>
          <w:sz w:val="24"/>
          <w:szCs w:val="24"/>
        </w:rPr>
      </w:pPr>
      <w:r>
        <w:rPr>
          <w:snapToGrid w:val="0"/>
          <w:kern w:val="0"/>
          <w:sz w:val="24"/>
          <w:szCs w:val="24"/>
        </w:rPr>
        <w:t>10.6除本条及附件3《服务水平协议（SLA）》另有约定外，乙方违反本合同任一条款的，应向甲方支付合同总额5%的违约金并赔偿甲方产生的损失。</w:t>
      </w:r>
    </w:p>
    <w:p>
      <w:pPr>
        <w:topLinePunct/>
        <w:spacing w:line="360" w:lineRule="auto"/>
        <w:ind w:firstLine="480" w:firstLineChars="200"/>
        <w:contextualSpacing/>
        <w:rPr>
          <w:sz w:val="24"/>
          <w:szCs w:val="24"/>
        </w:rPr>
      </w:pPr>
      <w:r>
        <w:rPr>
          <w:snapToGrid w:val="0"/>
          <w:kern w:val="0"/>
          <w:sz w:val="24"/>
          <w:szCs w:val="24"/>
        </w:rPr>
        <w:t>10.7本合同</w:t>
      </w:r>
      <w:r>
        <w:rPr>
          <w:sz w:val="24"/>
          <w:szCs w:val="24"/>
        </w:rPr>
        <w:t>项下乙方应支付的违约金、赔偿金等，甲方均有权从应支付给乙方的款项中优先扣除，若有不足，乙方应另行筹措资金补足。</w:t>
      </w:r>
    </w:p>
    <w:p>
      <w:pPr>
        <w:pStyle w:val="11"/>
        <w:tabs>
          <w:tab w:val="right" w:pos="0"/>
        </w:tabs>
        <w:adjustRightInd w:val="0"/>
        <w:snapToGrid w:val="0"/>
        <w:spacing w:line="520" w:lineRule="exact"/>
        <w:ind w:left="560" w:right="16" w:firstLine="480" w:firstLineChars="200"/>
        <w:rPr>
          <w:sz w:val="24"/>
        </w:rPr>
      </w:pPr>
    </w:p>
    <w:p>
      <w:pPr>
        <w:pStyle w:val="11"/>
        <w:tabs>
          <w:tab w:val="right" w:pos="0"/>
        </w:tabs>
        <w:adjustRightInd w:val="0"/>
        <w:snapToGrid w:val="0"/>
        <w:spacing w:line="520" w:lineRule="exact"/>
        <w:ind w:left="560" w:right="16" w:firstLine="482" w:firstLineChars="200"/>
        <w:rPr>
          <w:b/>
          <w:sz w:val="24"/>
        </w:rPr>
      </w:pPr>
      <w:r>
        <w:rPr>
          <w:b/>
          <w:sz w:val="24"/>
        </w:rPr>
        <w:t>第十一条  不可抗力</w:t>
      </w:r>
    </w:p>
    <w:p>
      <w:pPr>
        <w:topLinePunct/>
        <w:spacing w:line="360" w:lineRule="auto"/>
        <w:ind w:firstLine="480" w:firstLineChars="200"/>
        <w:contextualSpacing/>
        <w:rPr>
          <w:snapToGrid w:val="0"/>
          <w:kern w:val="0"/>
          <w:sz w:val="24"/>
          <w:szCs w:val="24"/>
        </w:rPr>
      </w:pPr>
      <w:r>
        <w:rPr>
          <w:kern w:val="0"/>
          <w:sz w:val="24"/>
          <w:szCs w:val="24"/>
        </w:rPr>
        <w:t xml:space="preserve">11.1 </w:t>
      </w:r>
      <w:r>
        <w:rPr>
          <w:snapToGrid w:val="0"/>
          <w:kern w:val="0"/>
          <w:sz w:val="24"/>
          <w:szCs w:val="24"/>
        </w:rPr>
        <w:t>不可抗力是指本合同生效后，发生不能预见并且对其发生和后果不能防止或避免的事件，如地震、台风、水灾、火灾、战争、传染病等，致使直接影响本合同的履行或不能按约定的条件履行。</w:t>
      </w:r>
    </w:p>
    <w:p>
      <w:pPr>
        <w:topLinePunct/>
        <w:spacing w:line="360" w:lineRule="auto"/>
        <w:ind w:firstLine="480" w:firstLineChars="200"/>
        <w:contextualSpacing/>
        <w:rPr>
          <w:snapToGrid w:val="0"/>
          <w:kern w:val="0"/>
          <w:sz w:val="24"/>
          <w:szCs w:val="24"/>
        </w:rPr>
      </w:pPr>
      <w:r>
        <w:rPr>
          <w:snapToGrid w:val="0"/>
          <w:kern w:val="0"/>
          <w:sz w:val="24"/>
          <w:szCs w:val="24"/>
        </w:rPr>
        <w:t>11.2 发生不可抗力的一方应立即通知对方，并在十五天内提供不可抗力的详情及将有关证明文件送交对方。</w:t>
      </w:r>
    </w:p>
    <w:p>
      <w:pPr>
        <w:topLinePunct/>
        <w:spacing w:line="360" w:lineRule="auto"/>
        <w:ind w:firstLine="480" w:firstLineChars="200"/>
        <w:contextualSpacing/>
        <w:rPr>
          <w:snapToGrid w:val="0"/>
          <w:kern w:val="0"/>
          <w:sz w:val="24"/>
          <w:szCs w:val="24"/>
        </w:rPr>
      </w:pPr>
      <w:r>
        <w:rPr>
          <w:snapToGrid w:val="0"/>
          <w:kern w:val="0"/>
          <w:sz w:val="24"/>
          <w:szCs w:val="24"/>
        </w:rPr>
        <w:t>11.3 发生不可抗力事件时，甲乙双方应协商以寻找一个合理的解决方法，并尽一切努力减轻不可抗力产生的后果。</w:t>
      </w:r>
    </w:p>
    <w:p>
      <w:pPr>
        <w:topLinePunct/>
        <w:spacing w:line="360" w:lineRule="auto"/>
        <w:ind w:firstLine="480" w:firstLineChars="200"/>
        <w:contextualSpacing/>
        <w:rPr>
          <w:sz w:val="24"/>
          <w:szCs w:val="24"/>
        </w:rPr>
      </w:pPr>
      <w:r>
        <w:rPr>
          <w:snapToGrid w:val="0"/>
          <w:kern w:val="0"/>
          <w:sz w:val="24"/>
          <w:szCs w:val="24"/>
        </w:rPr>
        <w:t>11.4 如不可抗力事件持续三十天时，甲乙双方应友好协商解决本合同是否继续履行或终</w:t>
      </w:r>
      <w:r>
        <w:rPr>
          <w:sz w:val="24"/>
          <w:szCs w:val="24"/>
        </w:rPr>
        <w:t>止的问题。</w:t>
      </w:r>
    </w:p>
    <w:p>
      <w:pPr>
        <w:pStyle w:val="11"/>
        <w:tabs>
          <w:tab w:val="right" w:pos="0"/>
        </w:tabs>
        <w:adjustRightInd w:val="0"/>
        <w:snapToGrid w:val="0"/>
        <w:spacing w:line="520" w:lineRule="exact"/>
        <w:ind w:left="560" w:right="16" w:firstLine="482" w:firstLineChars="200"/>
        <w:rPr>
          <w:b/>
          <w:sz w:val="24"/>
        </w:rPr>
      </w:pPr>
      <w:r>
        <w:rPr>
          <w:b/>
          <w:sz w:val="24"/>
        </w:rPr>
        <w:t>第十二条  争议解决</w:t>
      </w:r>
    </w:p>
    <w:p>
      <w:pPr>
        <w:topLinePunct/>
        <w:spacing w:line="360" w:lineRule="auto"/>
        <w:ind w:firstLine="480" w:firstLineChars="200"/>
        <w:contextualSpacing/>
        <w:rPr>
          <w:sz w:val="24"/>
          <w:szCs w:val="24"/>
        </w:rPr>
      </w:pPr>
      <w:r>
        <w:rPr>
          <w:sz w:val="24"/>
          <w:szCs w:val="24"/>
        </w:rPr>
        <w:t>本合同的</w:t>
      </w:r>
      <w:r>
        <w:rPr>
          <w:snapToGrid w:val="0"/>
          <w:kern w:val="0"/>
          <w:sz w:val="24"/>
          <w:szCs w:val="24"/>
        </w:rPr>
        <w:t>解释、效力、履行及其他事项，均适用中华人民共和国法律、法规，如无法律、法规规定，适用有关行政管理部门规章。本合同履行中双方发生任何争议，应协商解决，协商不成的，任何一方均可向本合同首部载明的甲方地址所在地有</w:t>
      </w:r>
      <w:r>
        <w:rPr>
          <w:sz w:val="24"/>
          <w:szCs w:val="24"/>
          <w:lang w:val="zh-CN"/>
        </w:rPr>
        <w:t>管辖权的人民法院起诉</w:t>
      </w:r>
      <w:r>
        <w:rPr>
          <w:sz w:val="24"/>
          <w:szCs w:val="24"/>
        </w:rPr>
        <w:t>。</w:t>
      </w:r>
    </w:p>
    <w:p>
      <w:pPr>
        <w:pStyle w:val="11"/>
        <w:tabs>
          <w:tab w:val="right" w:pos="0"/>
        </w:tabs>
        <w:adjustRightInd w:val="0"/>
        <w:snapToGrid w:val="0"/>
        <w:spacing w:line="520" w:lineRule="exact"/>
        <w:ind w:left="560" w:right="16" w:firstLine="522"/>
        <w:rPr>
          <w:sz w:val="24"/>
        </w:rPr>
      </w:pPr>
    </w:p>
    <w:p>
      <w:pPr>
        <w:pStyle w:val="11"/>
        <w:tabs>
          <w:tab w:val="right" w:pos="0"/>
        </w:tabs>
        <w:snapToGrid w:val="0"/>
        <w:spacing w:line="520" w:lineRule="exact"/>
        <w:ind w:left="560" w:right="16" w:firstLine="522"/>
        <w:rPr>
          <w:b/>
          <w:sz w:val="24"/>
        </w:rPr>
      </w:pPr>
      <w:r>
        <w:rPr>
          <w:b/>
          <w:sz w:val="24"/>
        </w:rPr>
        <w:t>第十三条 通知与送达</w:t>
      </w:r>
    </w:p>
    <w:p>
      <w:pPr>
        <w:topLinePunct/>
        <w:spacing w:line="360" w:lineRule="auto"/>
        <w:ind w:firstLine="480" w:firstLineChars="200"/>
        <w:contextualSpacing/>
        <w:rPr>
          <w:sz w:val="24"/>
          <w:szCs w:val="24"/>
        </w:rPr>
      </w:pPr>
      <w:r>
        <w:rPr>
          <w:sz w:val="24"/>
          <w:szCs w:val="24"/>
        </w:rPr>
        <w:t>除双方另有约定，本合同项下的所有通知均应通过书面形式，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pPr>
        <w:topLinePunct/>
        <w:spacing w:line="360" w:lineRule="auto"/>
        <w:ind w:firstLine="480" w:firstLineChars="200"/>
        <w:contextualSpacing/>
        <w:rPr>
          <w:sz w:val="24"/>
          <w:szCs w:val="24"/>
        </w:rPr>
      </w:pPr>
      <w:r>
        <w:rPr>
          <w:sz w:val="24"/>
          <w:szCs w:val="24"/>
        </w:rPr>
        <w:t>发生纠纷的，本合同首部载明的地址为司法送达地址，法院、仲裁机构等有权</w:t>
      </w:r>
      <w:r>
        <w:rPr>
          <w:snapToGrid w:val="0"/>
          <w:kern w:val="0"/>
          <w:sz w:val="24"/>
          <w:szCs w:val="24"/>
        </w:rPr>
        <w:t>机关</w:t>
      </w:r>
      <w:r>
        <w:rPr>
          <w:sz w:val="24"/>
          <w:szCs w:val="24"/>
        </w:rPr>
        <w:t>依照前述地址邮寄的传票、证据、通知、裁定、判决等诉讼（仲裁）文书及执行阶段法律文书资料，无论是否签收，均视为送达，当事人承担法律责任。</w:t>
      </w:r>
    </w:p>
    <w:p>
      <w:pPr>
        <w:pStyle w:val="11"/>
        <w:tabs>
          <w:tab w:val="right" w:pos="0"/>
        </w:tabs>
        <w:adjustRightInd w:val="0"/>
        <w:snapToGrid w:val="0"/>
        <w:spacing w:line="520" w:lineRule="exact"/>
        <w:ind w:left="560" w:right="16" w:firstLine="482" w:firstLineChars="200"/>
        <w:rPr>
          <w:b/>
          <w:sz w:val="24"/>
        </w:rPr>
      </w:pPr>
      <w:r>
        <w:rPr>
          <w:b/>
          <w:sz w:val="24"/>
        </w:rPr>
        <w:t>第十四条  合同的补充和变更</w:t>
      </w:r>
    </w:p>
    <w:p>
      <w:pPr>
        <w:topLinePunct/>
        <w:spacing w:line="360" w:lineRule="auto"/>
        <w:ind w:firstLine="480" w:firstLineChars="200"/>
        <w:contextualSpacing/>
        <w:rPr>
          <w:sz w:val="24"/>
          <w:szCs w:val="24"/>
        </w:rPr>
      </w:pPr>
      <w:r>
        <w:rPr>
          <w:sz w:val="24"/>
          <w:szCs w:val="24"/>
        </w:rPr>
        <w:t>14.1 本合同的未尽事宜，由甲乙双方友好协商，以签署补充协议约定。</w:t>
      </w:r>
    </w:p>
    <w:p>
      <w:pPr>
        <w:topLinePunct/>
        <w:spacing w:line="360" w:lineRule="auto"/>
        <w:ind w:firstLine="480" w:firstLineChars="200"/>
        <w:contextualSpacing/>
        <w:rPr>
          <w:sz w:val="24"/>
          <w:szCs w:val="24"/>
        </w:rPr>
      </w:pPr>
      <w:r>
        <w:rPr>
          <w:sz w:val="24"/>
          <w:szCs w:val="24"/>
        </w:rPr>
        <w:t xml:space="preserve">14.2 </w:t>
      </w:r>
      <w:r>
        <w:rPr>
          <w:snapToGrid w:val="0"/>
          <w:kern w:val="0"/>
          <w:sz w:val="24"/>
          <w:szCs w:val="24"/>
        </w:rPr>
        <w:t>双方</w:t>
      </w:r>
      <w:r>
        <w:rPr>
          <w:sz w:val="24"/>
          <w:szCs w:val="24"/>
        </w:rPr>
        <w:t>协商一致可以对本合同进行变更。双方就变更以书面形式确认后，变更即可生效。变更后的条款替代本合同原有条款，构成本合同不可分割的一部分。</w:t>
      </w:r>
    </w:p>
    <w:p>
      <w:pPr>
        <w:pStyle w:val="11"/>
        <w:tabs>
          <w:tab w:val="right" w:pos="0"/>
        </w:tabs>
        <w:adjustRightInd w:val="0"/>
        <w:snapToGrid w:val="0"/>
        <w:spacing w:line="520" w:lineRule="exact"/>
        <w:ind w:left="560" w:right="16" w:firstLine="482" w:firstLineChars="200"/>
        <w:rPr>
          <w:b/>
          <w:sz w:val="24"/>
        </w:rPr>
      </w:pPr>
      <w:r>
        <w:rPr>
          <w:b/>
          <w:sz w:val="24"/>
        </w:rPr>
        <w:t>第十五条  合同的生效</w:t>
      </w:r>
    </w:p>
    <w:p>
      <w:pPr>
        <w:topLinePunct/>
        <w:spacing w:line="360" w:lineRule="auto"/>
        <w:ind w:firstLine="480" w:firstLineChars="200"/>
        <w:contextualSpacing/>
        <w:rPr>
          <w:sz w:val="24"/>
          <w:szCs w:val="24"/>
        </w:rPr>
      </w:pPr>
      <w:r>
        <w:rPr>
          <w:sz w:val="24"/>
          <w:szCs w:val="24"/>
        </w:rPr>
        <w:t>甲乙双方对本合同及其全部附件内容达成一致并加盖公章后生效。</w:t>
      </w:r>
    </w:p>
    <w:p>
      <w:pPr>
        <w:pStyle w:val="11"/>
        <w:tabs>
          <w:tab w:val="right" w:pos="0"/>
        </w:tabs>
        <w:adjustRightInd w:val="0"/>
        <w:snapToGrid w:val="0"/>
        <w:spacing w:line="520" w:lineRule="exact"/>
        <w:ind w:left="560" w:right="16" w:firstLine="480" w:firstLineChars="200"/>
        <w:rPr>
          <w:sz w:val="24"/>
        </w:rPr>
      </w:pPr>
    </w:p>
    <w:p>
      <w:pPr>
        <w:pStyle w:val="11"/>
        <w:tabs>
          <w:tab w:val="right" w:pos="0"/>
        </w:tabs>
        <w:adjustRightInd w:val="0"/>
        <w:snapToGrid w:val="0"/>
        <w:spacing w:line="520" w:lineRule="exact"/>
        <w:ind w:left="560" w:right="16" w:firstLine="482" w:firstLineChars="200"/>
        <w:rPr>
          <w:b/>
          <w:sz w:val="24"/>
        </w:rPr>
      </w:pPr>
      <w:r>
        <w:rPr>
          <w:b/>
          <w:sz w:val="24"/>
        </w:rPr>
        <w:t>第十六条  合同附件</w:t>
      </w:r>
    </w:p>
    <w:p>
      <w:pPr>
        <w:topLinePunct/>
        <w:spacing w:line="360" w:lineRule="auto"/>
        <w:ind w:firstLine="480" w:firstLineChars="200"/>
        <w:contextualSpacing/>
        <w:rPr>
          <w:sz w:val="24"/>
          <w:szCs w:val="24"/>
        </w:rPr>
      </w:pPr>
      <w:r>
        <w:rPr>
          <w:sz w:val="24"/>
          <w:szCs w:val="24"/>
        </w:rPr>
        <w:t>本合同的</w:t>
      </w:r>
      <w:r>
        <w:rPr>
          <w:snapToGrid w:val="0"/>
          <w:kern w:val="0"/>
          <w:sz w:val="24"/>
          <w:szCs w:val="24"/>
        </w:rPr>
        <w:t>附件</w:t>
      </w:r>
      <w:r>
        <w:rPr>
          <w:sz w:val="24"/>
          <w:szCs w:val="24"/>
        </w:rPr>
        <w:t>与合同正本具有同等法律效力，主合同与附件如有冲突，以主合同为准。本合同附件如下：</w:t>
      </w:r>
    </w:p>
    <w:p>
      <w:pPr>
        <w:snapToGrid w:val="0"/>
        <w:spacing w:line="520" w:lineRule="exact"/>
        <w:ind w:firstLine="480" w:firstLineChars="200"/>
        <w:rPr>
          <w:sz w:val="24"/>
          <w:szCs w:val="24"/>
        </w:rPr>
      </w:pPr>
      <w:r>
        <w:rPr>
          <w:sz w:val="24"/>
          <w:szCs w:val="24"/>
        </w:rPr>
        <w:t>附件1：工作说明书</w:t>
      </w:r>
    </w:p>
    <w:p>
      <w:pPr>
        <w:snapToGrid w:val="0"/>
        <w:spacing w:line="520" w:lineRule="exact"/>
        <w:ind w:firstLine="480" w:firstLineChars="200"/>
        <w:rPr>
          <w:sz w:val="24"/>
          <w:szCs w:val="24"/>
        </w:rPr>
      </w:pPr>
      <w:r>
        <w:rPr>
          <w:sz w:val="24"/>
          <w:szCs w:val="24"/>
        </w:rPr>
        <w:t>附件2：项目最终验收表</w:t>
      </w:r>
    </w:p>
    <w:p>
      <w:pPr>
        <w:snapToGrid w:val="0"/>
        <w:spacing w:line="520" w:lineRule="exact"/>
        <w:ind w:firstLine="480" w:firstLineChars="200"/>
        <w:rPr>
          <w:sz w:val="24"/>
          <w:szCs w:val="24"/>
        </w:rPr>
      </w:pPr>
      <w:r>
        <w:rPr>
          <w:sz w:val="24"/>
          <w:szCs w:val="24"/>
        </w:rPr>
        <w:t>附件3：服务水平协议</w:t>
      </w:r>
    </w:p>
    <w:p>
      <w:pPr>
        <w:snapToGrid w:val="0"/>
        <w:spacing w:line="520" w:lineRule="exact"/>
        <w:ind w:firstLine="480" w:firstLineChars="200"/>
        <w:rPr>
          <w:sz w:val="24"/>
          <w:szCs w:val="24"/>
        </w:rPr>
      </w:pPr>
      <w:r>
        <w:rPr>
          <w:sz w:val="24"/>
          <w:szCs w:val="24"/>
        </w:rPr>
        <w:t>附件4：服务连续性预案</w:t>
      </w:r>
    </w:p>
    <w:p>
      <w:pPr>
        <w:snapToGrid w:val="0"/>
        <w:spacing w:line="520" w:lineRule="exact"/>
        <w:ind w:firstLine="480" w:firstLineChars="200"/>
        <w:rPr>
          <w:sz w:val="24"/>
          <w:szCs w:val="24"/>
        </w:rPr>
      </w:pPr>
    </w:p>
    <w:p>
      <w:pPr>
        <w:pStyle w:val="11"/>
        <w:tabs>
          <w:tab w:val="right" w:pos="0"/>
        </w:tabs>
        <w:adjustRightInd w:val="0"/>
        <w:snapToGrid w:val="0"/>
        <w:spacing w:line="520" w:lineRule="exact"/>
        <w:ind w:left="560" w:right="16" w:firstLine="482" w:firstLineChars="200"/>
        <w:rPr>
          <w:b/>
          <w:sz w:val="24"/>
        </w:rPr>
      </w:pPr>
      <w:r>
        <w:rPr>
          <w:b/>
          <w:sz w:val="24"/>
        </w:rPr>
        <w:t>第十七条  其它</w:t>
      </w:r>
    </w:p>
    <w:p>
      <w:pPr>
        <w:topLinePunct/>
        <w:spacing w:line="360" w:lineRule="auto"/>
        <w:ind w:firstLine="480" w:firstLineChars="200"/>
        <w:contextualSpacing/>
        <w:rPr>
          <w:sz w:val="24"/>
          <w:szCs w:val="24"/>
        </w:rPr>
      </w:pPr>
      <w:r>
        <w:rPr>
          <w:sz w:val="24"/>
          <w:szCs w:val="24"/>
        </w:rPr>
        <w:t>17.1 未经另一方的事先书面同意，任何一方不得将在本合同项下的部分或全部义务进行转让、分许可、分包。</w:t>
      </w:r>
    </w:p>
    <w:p>
      <w:pPr>
        <w:topLinePunct/>
        <w:spacing w:line="360" w:lineRule="auto"/>
        <w:ind w:firstLine="480" w:firstLineChars="200"/>
        <w:contextualSpacing/>
        <w:rPr>
          <w:sz w:val="24"/>
          <w:szCs w:val="24"/>
        </w:rPr>
      </w:pPr>
      <w:r>
        <w:rPr>
          <w:sz w:val="24"/>
          <w:szCs w:val="24"/>
        </w:rPr>
        <w:t xml:space="preserve">17.2 </w:t>
      </w:r>
      <w:r>
        <w:rPr>
          <w:snapToGrid w:val="0"/>
          <w:kern w:val="0"/>
          <w:sz w:val="24"/>
          <w:szCs w:val="24"/>
        </w:rPr>
        <w:t>双方</w:t>
      </w:r>
      <w:r>
        <w:rPr>
          <w:sz w:val="24"/>
          <w:szCs w:val="24"/>
        </w:rPr>
        <w:t>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同其他条款或内容的合法性、有效性和可执行性不受影响。</w:t>
      </w:r>
    </w:p>
    <w:p>
      <w:pPr>
        <w:topLinePunct/>
        <w:spacing w:line="360" w:lineRule="auto"/>
        <w:ind w:firstLine="480" w:firstLineChars="200"/>
        <w:contextualSpacing/>
        <w:rPr>
          <w:sz w:val="24"/>
          <w:szCs w:val="24"/>
        </w:rPr>
      </w:pPr>
      <w:r>
        <w:rPr>
          <w:sz w:val="24"/>
          <w:szCs w:val="24"/>
        </w:rPr>
        <w:t>17.3 本合同一式肆份，双方各持贰份，具有同等法律效力。</w:t>
      </w:r>
    </w:p>
    <w:p>
      <w:pPr>
        <w:topLinePunct/>
        <w:spacing w:line="360" w:lineRule="auto"/>
        <w:ind w:firstLine="480" w:firstLineChars="200"/>
        <w:contextualSpacing/>
        <w:rPr>
          <w:sz w:val="24"/>
          <w:szCs w:val="24"/>
        </w:rPr>
      </w:pPr>
      <w:r>
        <w:rPr>
          <w:sz w:val="24"/>
          <w:szCs w:val="24"/>
        </w:rPr>
        <w:t>（以下无正文）</w:t>
      </w:r>
    </w:p>
    <w:p>
      <w:pPr>
        <w:snapToGrid w:val="0"/>
        <w:spacing w:line="520" w:lineRule="exact"/>
        <w:ind w:right="-288" w:firstLine="522"/>
        <w:rPr>
          <w:b/>
          <w:snapToGrid w:val="0"/>
          <w:sz w:val="24"/>
          <w:szCs w:val="24"/>
        </w:rPr>
      </w:pPr>
      <w:r>
        <w:rPr>
          <w:b/>
          <w:sz w:val="24"/>
          <w:szCs w:val="24"/>
        </w:rPr>
        <w:br w:type="page"/>
      </w:r>
      <w:r>
        <w:rPr>
          <w:b/>
          <w:sz w:val="24"/>
          <w:szCs w:val="24"/>
        </w:rPr>
        <w:t>（本页无正文，为编号XXXXXXXX《XXX合同》的签署页）</w:t>
      </w:r>
    </w:p>
    <w:p>
      <w:pPr>
        <w:snapToGrid w:val="0"/>
        <w:spacing w:line="520" w:lineRule="exact"/>
        <w:ind w:right="-288"/>
        <w:rPr>
          <w:b/>
          <w:snapToGrid w:val="0"/>
          <w:sz w:val="24"/>
          <w:szCs w:val="24"/>
        </w:rPr>
      </w:pPr>
      <w:r>
        <w:rPr>
          <w:b/>
          <w:snapToGrid w:val="0"/>
          <w:sz w:val="24"/>
          <w:szCs w:val="24"/>
        </w:rPr>
        <w:t>甲方：重庆三峡银行股份有限公司         乙方：XXXXXXXXX</w:t>
      </w:r>
    </w:p>
    <w:p>
      <w:pPr>
        <w:snapToGrid w:val="0"/>
        <w:spacing w:line="520" w:lineRule="exact"/>
        <w:ind w:right="-288" w:firstLine="522"/>
        <w:rPr>
          <w:b/>
          <w:snapToGrid w:val="0"/>
          <w:sz w:val="24"/>
          <w:szCs w:val="24"/>
        </w:rPr>
      </w:pPr>
    </w:p>
    <w:p>
      <w:pPr>
        <w:snapToGrid w:val="0"/>
        <w:spacing w:line="520" w:lineRule="exact"/>
        <w:ind w:right="-429"/>
        <w:rPr>
          <w:snapToGrid w:val="0"/>
          <w:sz w:val="24"/>
          <w:szCs w:val="24"/>
          <w:u w:val="single"/>
        </w:rPr>
      </w:pPr>
      <w:r>
        <w:rPr>
          <w:snapToGrid w:val="0"/>
          <w:sz w:val="24"/>
          <w:szCs w:val="24"/>
        </w:rPr>
        <w:t xml:space="preserve"> (盖章)：_____________                （盖章）：</w:t>
      </w:r>
      <w:r>
        <w:rPr>
          <w:snapToGrid w:val="0"/>
          <w:sz w:val="24"/>
          <w:szCs w:val="24"/>
          <w:u w:val="single"/>
        </w:rPr>
        <w:t xml:space="preserve">            </w:t>
      </w:r>
    </w:p>
    <w:p>
      <w:pPr>
        <w:snapToGrid w:val="0"/>
        <w:spacing w:line="520" w:lineRule="exact"/>
        <w:ind w:right="-429"/>
        <w:rPr>
          <w:snapToGrid w:val="0"/>
          <w:sz w:val="24"/>
          <w:szCs w:val="24"/>
          <w:u w:val="single"/>
        </w:rPr>
      </w:pPr>
    </w:p>
    <w:p>
      <w:pPr>
        <w:snapToGrid w:val="0"/>
        <w:spacing w:line="520" w:lineRule="exact"/>
        <w:ind w:right="-429"/>
        <w:rPr>
          <w:snapToGrid w:val="0"/>
          <w:sz w:val="24"/>
          <w:szCs w:val="24"/>
        </w:rPr>
      </w:pPr>
      <w:r>
        <w:rPr>
          <w:snapToGrid w:val="0"/>
          <w:sz w:val="24"/>
          <w:szCs w:val="24"/>
        </w:rPr>
        <w:t>日期：                                 日期：</w:t>
      </w:r>
    </w:p>
    <w:p>
      <w:pPr>
        <w:pStyle w:val="21"/>
        <w:snapToGrid w:val="0"/>
        <w:spacing w:before="0" w:after="0" w:line="520" w:lineRule="exact"/>
        <w:jc w:val="left"/>
        <w:outlineLvl w:val="9"/>
        <w:rPr>
          <w:snapToGrid w:val="0"/>
          <w:sz w:val="24"/>
          <w:szCs w:val="24"/>
        </w:rPr>
      </w:pPr>
      <w:r>
        <w:rPr>
          <w:snapToGrid w:val="0"/>
          <w:sz w:val="24"/>
          <w:szCs w:val="24"/>
        </w:rPr>
        <w:br w:type="page"/>
      </w:r>
      <w:bookmarkStart w:id="102" w:name="_Toc75573128"/>
      <w:r>
        <w:rPr>
          <w:snapToGrid w:val="0"/>
          <w:sz w:val="24"/>
          <w:szCs w:val="24"/>
        </w:rPr>
        <w:t>附件1</w:t>
      </w:r>
      <w:bookmarkEnd w:id="102"/>
    </w:p>
    <w:p>
      <w:pPr>
        <w:pStyle w:val="21"/>
        <w:snapToGrid w:val="0"/>
        <w:spacing w:before="0" w:after="0" w:line="520" w:lineRule="exact"/>
        <w:outlineLvl w:val="9"/>
        <w:rPr>
          <w:b w:val="0"/>
          <w:snapToGrid w:val="0"/>
          <w:sz w:val="24"/>
          <w:szCs w:val="24"/>
        </w:rPr>
      </w:pPr>
      <w:bookmarkStart w:id="103" w:name="_Toc75573129"/>
      <w:r>
        <w:rPr>
          <w:b w:val="0"/>
          <w:snapToGrid w:val="0"/>
          <w:sz w:val="24"/>
          <w:szCs w:val="24"/>
        </w:rPr>
        <w:t>工作说明书</w:t>
      </w:r>
      <w:bookmarkEnd w:id="103"/>
    </w:p>
    <w:p>
      <w:pPr>
        <w:keepNext/>
        <w:keepLines/>
        <w:numPr>
          <w:ilvl w:val="0"/>
          <w:numId w:val="2"/>
        </w:numPr>
        <w:spacing w:line="360" w:lineRule="auto"/>
        <w:ind w:left="0" w:firstLine="0"/>
        <w:jc w:val="left"/>
        <w:rPr>
          <w:bCs/>
          <w:sz w:val="24"/>
          <w:szCs w:val="24"/>
        </w:rPr>
      </w:pPr>
      <w:bookmarkStart w:id="104" w:name="_Toc422127535"/>
      <w:r>
        <w:rPr>
          <w:bCs/>
          <w:sz w:val="24"/>
          <w:szCs w:val="24"/>
        </w:rPr>
        <w:t>项目目标</w:t>
      </w:r>
    </w:p>
    <w:p>
      <w:pPr>
        <w:topLinePunct/>
        <w:spacing w:line="360" w:lineRule="auto"/>
        <w:ind w:firstLine="480" w:firstLineChars="200"/>
        <w:contextualSpacing/>
        <w:rPr>
          <w:snapToGrid w:val="0"/>
          <w:kern w:val="0"/>
          <w:sz w:val="24"/>
          <w:szCs w:val="24"/>
        </w:rPr>
      </w:pPr>
      <w:r>
        <w:rPr>
          <w:sz w:val="24"/>
          <w:szCs w:val="24"/>
        </w:rPr>
        <w:t>通过实施</w:t>
      </w:r>
      <w:r>
        <w:rPr>
          <w:snapToGrid w:val="0"/>
          <w:kern w:val="0"/>
          <w:sz w:val="24"/>
          <w:szCs w:val="24"/>
        </w:rPr>
        <w:t>CMMI 3认证评估，能进一步规范研发流程，提高研发人员专业技能，提升研发制度标准化水平，主要体现在以下5个方面：</w:t>
      </w:r>
    </w:p>
    <w:p>
      <w:pPr>
        <w:topLinePunct/>
        <w:spacing w:line="360" w:lineRule="auto"/>
        <w:ind w:firstLine="480" w:firstLineChars="200"/>
        <w:contextualSpacing/>
        <w:rPr>
          <w:snapToGrid w:val="0"/>
          <w:kern w:val="0"/>
          <w:sz w:val="24"/>
          <w:szCs w:val="24"/>
        </w:rPr>
      </w:pPr>
      <w:r>
        <w:rPr>
          <w:snapToGrid w:val="0"/>
          <w:kern w:val="0"/>
          <w:sz w:val="24"/>
          <w:szCs w:val="24"/>
        </w:rPr>
        <w:t>一是对标CMMI 3标准，对现有软件研发的流程、制度、技术、工具、团队等方面进行诊断分析，形成差距分析报告，确定软件研发能力提升的方向目标、优化路径和具体措施。</w:t>
      </w:r>
    </w:p>
    <w:p>
      <w:pPr>
        <w:topLinePunct/>
        <w:spacing w:line="360" w:lineRule="auto"/>
        <w:ind w:firstLine="480" w:firstLineChars="200"/>
        <w:contextualSpacing/>
        <w:rPr>
          <w:snapToGrid w:val="0"/>
          <w:kern w:val="0"/>
          <w:sz w:val="24"/>
          <w:szCs w:val="24"/>
        </w:rPr>
      </w:pPr>
      <w:r>
        <w:rPr>
          <w:snapToGrid w:val="0"/>
          <w:kern w:val="0"/>
          <w:sz w:val="24"/>
          <w:szCs w:val="24"/>
        </w:rPr>
        <w:t>二是通过开展CMMI 3专题培训，推动员工深入学习CMMI 3过程体系和最佳实践，提升员工能力水平，为人才队伍培养形成知识沉淀。</w:t>
      </w:r>
    </w:p>
    <w:p>
      <w:pPr>
        <w:topLinePunct/>
        <w:spacing w:line="360" w:lineRule="auto"/>
        <w:ind w:firstLine="480" w:firstLineChars="200"/>
        <w:contextualSpacing/>
        <w:rPr>
          <w:sz w:val="24"/>
          <w:szCs w:val="24"/>
        </w:rPr>
      </w:pPr>
      <w:r>
        <w:rPr>
          <w:snapToGrid w:val="0"/>
          <w:kern w:val="0"/>
          <w:sz w:val="24"/>
          <w:szCs w:val="24"/>
        </w:rPr>
        <w:t>三是对标CMMI 标准，基于差距分析报告，针对需求管理、项目管理、研发管理、配置管理、质量管理、风险管理、外包商管理等领域形成具体的方针、手册、规程、指南、模板等，定义更为先进、科学、适用的CMMI流程体系基线，提升流程体系的标准</w:t>
      </w:r>
      <w:r>
        <w:rPr>
          <w:sz w:val="24"/>
          <w:szCs w:val="24"/>
        </w:rPr>
        <w:t>化程度和规范化水平。</w:t>
      </w:r>
    </w:p>
    <w:p>
      <w:pPr>
        <w:tabs>
          <w:tab w:val="left" w:pos="360"/>
          <w:tab w:val="left" w:pos="862"/>
        </w:tabs>
        <w:adjustRightInd w:val="0"/>
        <w:snapToGrid w:val="0"/>
        <w:spacing w:line="360" w:lineRule="auto"/>
        <w:ind w:firstLine="480" w:firstLineChars="200"/>
        <w:rPr>
          <w:sz w:val="24"/>
          <w:szCs w:val="24"/>
        </w:rPr>
      </w:pPr>
      <w:r>
        <w:rPr>
          <w:sz w:val="24"/>
          <w:szCs w:val="24"/>
        </w:rPr>
        <w:t>四是基于“先试点，再推广”的模式，先通过试点项目对已建立的流程体系进行指导实施、效果检查和优化调整，再根据实施效果推广应用，保障CMMI高水平流程体系的落地固化和可靠执行。</w:t>
      </w:r>
    </w:p>
    <w:p>
      <w:pPr>
        <w:tabs>
          <w:tab w:val="left" w:pos="360"/>
          <w:tab w:val="left" w:pos="862"/>
        </w:tabs>
        <w:adjustRightInd w:val="0"/>
        <w:snapToGrid w:val="0"/>
        <w:spacing w:line="360" w:lineRule="auto"/>
        <w:ind w:firstLine="480" w:firstLineChars="200"/>
        <w:rPr>
          <w:sz w:val="24"/>
          <w:szCs w:val="24"/>
        </w:rPr>
      </w:pPr>
      <w:r>
        <w:rPr>
          <w:sz w:val="24"/>
          <w:szCs w:val="24"/>
        </w:rPr>
        <w:t>五是通过CMMI的评估机制，发现和消除流程的瓶颈堵点和风险漏洞，实现以评促思、以评促学、以评促改，推动科技能力的持续提升，进一步提高交付质效，减少成本和风险，从而更好地支持业务发展。</w:t>
      </w:r>
    </w:p>
    <w:p>
      <w:pPr>
        <w:keepNext/>
        <w:keepLines/>
        <w:numPr>
          <w:ilvl w:val="0"/>
          <w:numId w:val="2"/>
        </w:numPr>
        <w:spacing w:line="360" w:lineRule="auto"/>
        <w:ind w:left="0" w:firstLine="0"/>
        <w:jc w:val="left"/>
        <w:rPr>
          <w:bCs/>
          <w:sz w:val="24"/>
          <w:szCs w:val="24"/>
        </w:rPr>
      </w:pPr>
      <w:r>
        <w:rPr>
          <w:bCs/>
          <w:sz w:val="24"/>
          <w:szCs w:val="24"/>
        </w:rPr>
        <w:t>项目</w:t>
      </w:r>
      <w:bookmarkEnd w:id="104"/>
      <w:r>
        <w:rPr>
          <w:bCs/>
          <w:sz w:val="24"/>
          <w:szCs w:val="24"/>
        </w:rPr>
        <w:t>范围</w:t>
      </w:r>
    </w:p>
    <w:p>
      <w:pPr>
        <w:tabs>
          <w:tab w:val="left" w:pos="360"/>
          <w:tab w:val="left" w:pos="862"/>
        </w:tabs>
        <w:adjustRightInd w:val="0"/>
        <w:snapToGrid w:val="0"/>
        <w:spacing w:line="360" w:lineRule="auto"/>
        <w:rPr>
          <w:sz w:val="24"/>
          <w:szCs w:val="24"/>
        </w:rPr>
      </w:pPr>
      <w:r>
        <w:rPr>
          <w:sz w:val="24"/>
          <w:szCs w:val="24"/>
        </w:rPr>
        <w:t>2.1本项目中乙方主要工作范围包括：</w:t>
      </w:r>
    </w:p>
    <w:p>
      <w:pPr>
        <w:spacing w:line="360" w:lineRule="auto"/>
        <w:ind w:firstLine="482" w:firstLineChars="200"/>
        <w:jc w:val="left"/>
        <w:rPr>
          <w:b/>
          <w:snapToGrid w:val="0"/>
          <w:kern w:val="0"/>
          <w:sz w:val="24"/>
          <w:szCs w:val="24"/>
        </w:rPr>
      </w:pPr>
      <w:r>
        <w:rPr>
          <w:b/>
          <w:snapToGrid w:val="0"/>
          <w:kern w:val="0"/>
          <w:sz w:val="24"/>
          <w:szCs w:val="24"/>
        </w:rPr>
        <w:t>（一）差距分析</w:t>
      </w:r>
    </w:p>
    <w:p>
      <w:pPr>
        <w:topLinePunct/>
        <w:spacing w:line="360" w:lineRule="auto"/>
        <w:ind w:firstLine="480" w:firstLineChars="200"/>
        <w:contextualSpacing/>
        <w:rPr>
          <w:sz w:val="24"/>
          <w:szCs w:val="24"/>
        </w:rPr>
      </w:pPr>
      <w:r>
        <w:rPr>
          <w:sz w:val="24"/>
          <w:szCs w:val="24"/>
        </w:rPr>
        <w:t>参选人基于比选人现行组织结构、岗位设置、系统架构、研发管理体系实施现状，协助</w:t>
      </w:r>
      <w:r>
        <w:rPr>
          <w:snapToGrid w:val="0"/>
          <w:kern w:val="0"/>
          <w:sz w:val="24"/>
          <w:szCs w:val="24"/>
        </w:rPr>
        <w:t>比选人</w:t>
      </w:r>
      <w:r>
        <w:rPr>
          <w:sz w:val="24"/>
          <w:szCs w:val="24"/>
        </w:rPr>
        <w:t>建立CMMI 3认证服务项目的实施计划。根据CMMI 3级及以上标准和比选人实际情况进行比较，借助文档检查和访谈等方式，结合同行业的最佳实践和模型要求，深入分析现存的管理问题以及薄弱环节，通过量化的方式展现目前各领域的现状，梳理差距，识别差距并形成差距分析报告。</w:t>
      </w:r>
    </w:p>
    <w:p>
      <w:pPr>
        <w:topLinePunct/>
        <w:spacing w:line="360" w:lineRule="auto"/>
        <w:ind w:firstLine="480" w:firstLineChars="200"/>
        <w:contextualSpacing/>
        <w:rPr>
          <w:sz w:val="24"/>
          <w:szCs w:val="24"/>
        </w:rPr>
      </w:pPr>
      <w:r>
        <w:rPr>
          <w:sz w:val="24"/>
          <w:szCs w:val="24"/>
        </w:rPr>
        <w:t>随后根据差距分析中管理层提出的重点问题，分析问题与CMMI模型实践域的映射关系，并建立问题与过程的关联关系，根据问题优先级确定CMMI模型实施的重点，同时也为比选人建立专业的度量管理体系收集重要信息。</w:t>
      </w:r>
    </w:p>
    <w:p>
      <w:pPr>
        <w:pStyle w:val="31"/>
        <w:snapToGrid w:val="0"/>
        <w:spacing w:line="360" w:lineRule="auto"/>
        <w:ind w:left="560" w:firstLine="482"/>
        <w:rPr>
          <w:rFonts w:ascii="Times New Roman" w:hAnsi="Times New Roman" w:eastAsia="宋体" w:cs="Times New Roman"/>
          <w:b/>
          <w:snapToGrid w:val="0"/>
          <w:kern w:val="0"/>
          <w:sz w:val="24"/>
          <w:szCs w:val="24"/>
        </w:rPr>
      </w:pPr>
      <w:r>
        <w:rPr>
          <w:rFonts w:ascii="Times New Roman" w:hAnsi="Times New Roman" w:eastAsia="宋体" w:cs="Times New Roman"/>
          <w:b/>
          <w:snapToGrid w:val="0"/>
          <w:kern w:val="0"/>
          <w:sz w:val="24"/>
          <w:szCs w:val="24"/>
        </w:rPr>
        <w:t>（二）研发过程改进</w:t>
      </w:r>
    </w:p>
    <w:p>
      <w:pPr>
        <w:topLinePunct/>
        <w:spacing w:line="360" w:lineRule="auto"/>
        <w:ind w:firstLine="480" w:firstLineChars="200"/>
        <w:contextualSpacing/>
        <w:rPr>
          <w:snapToGrid w:val="0"/>
          <w:kern w:val="0"/>
          <w:sz w:val="24"/>
          <w:szCs w:val="24"/>
        </w:rPr>
      </w:pPr>
      <w:r>
        <w:rPr>
          <w:sz w:val="24"/>
          <w:szCs w:val="24"/>
        </w:rPr>
        <w:t>1</w:t>
      </w:r>
      <w:r>
        <w:rPr>
          <w:snapToGrid w:val="0"/>
          <w:kern w:val="0"/>
          <w:sz w:val="24"/>
          <w:szCs w:val="24"/>
        </w:rPr>
        <w:t>、项目启动</w:t>
      </w:r>
    </w:p>
    <w:p>
      <w:pPr>
        <w:topLinePunct/>
        <w:spacing w:line="360" w:lineRule="auto"/>
        <w:ind w:firstLine="480" w:firstLineChars="200"/>
        <w:contextualSpacing/>
        <w:rPr>
          <w:snapToGrid w:val="0"/>
          <w:kern w:val="0"/>
          <w:sz w:val="24"/>
          <w:szCs w:val="24"/>
        </w:rPr>
      </w:pPr>
      <w:r>
        <w:rPr>
          <w:snapToGrid w:val="0"/>
          <w:kern w:val="0"/>
          <w:sz w:val="24"/>
          <w:szCs w:val="24"/>
        </w:rPr>
        <w:t>在差距分析报告得到确认的基础上，参选人和比选人一道准备和开展项目启动工作。项目启动的主要内容包括：确定项目实施目标和进度计划，明确项目需要的各种角色及其相应的职责，准备并召开项目启动会等。项目启动活动主要包含三个方面，分别是确定项目计划、准备项目启动材料、召开启动会。</w:t>
      </w:r>
    </w:p>
    <w:p>
      <w:pPr>
        <w:topLinePunct/>
        <w:spacing w:line="360" w:lineRule="auto"/>
        <w:ind w:firstLine="480" w:firstLineChars="200"/>
        <w:contextualSpacing/>
        <w:rPr>
          <w:snapToGrid w:val="0"/>
          <w:kern w:val="0"/>
          <w:sz w:val="24"/>
          <w:szCs w:val="24"/>
        </w:rPr>
      </w:pPr>
      <w:r>
        <w:rPr>
          <w:snapToGrid w:val="0"/>
          <w:kern w:val="0"/>
          <w:sz w:val="24"/>
          <w:szCs w:val="24"/>
        </w:rPr>
        <w:t>2、专题培训</w:t>
      </w:r>
    </w:p>
    <w:p>
      <w:pPr>
        <w:topLinePunct/>
        <w:spacing w:line="360" w:lineRule="auto"/>
        <w:ind w:firstLine="480" w:firstLineChars="200"/>
        <w:contextualSpacing/>
        <w:rPr>
          <w:sz w:val="24"/>
          <w:szCs w:val="24"/>
        </w:rPr>
      </w:pPr>
      <w:r>
        <w:rPr>
          <w:snapToGrid w:val="0"/>
          <w:kern w:val="0"/>
          <w:sz w:val="24"/>
          <w:szCs w:val="24"/>
        </w:rPr>
        <w:t>参选人按</w:t>
      </w:r>
      <w:r>
        <w:rPr>
          <w:rFonts w:hint="eastAsia"/>
          <w:snapToGrid w:val="0"/>
          <w:kern w:val="0"/>
          <w:sz w:val="24"/>
          <w:szCs w:val="24"/>
        </w:rPr>
        <w:t>比选</w:t>
      </w:r>
      <w:r>
        <w:rPr>
          <w:snapToGrid w:val="0"/>
          <w:kern w:val="0"/>
          <w:sz w:val="24"/>
          <w:szCs w:val="24"/>
        </w:rPr>
        <w:t>期间承诺的培训范围和内容、培训人数、培训时长承诺（当参选文件中承诺内容与最</w:t>
      </w:r>
      <w:r>
        <w:rPr>
          <w:sz w:val="24"/>
          <w:szCs w:val="24"/>
        </w:rPr>
        <w:t>终合同冲突时，以最终合同为准），对比选人的单位员工和在场外包员工进行相关培训。通过培训提升研发人员对各项工作技能的掌握，并让相关人员建立起正确的工作习惯和工作意识。实施培训的场所由比选人指定和提供。</w:t>
      </w:r>
    </w:p>
    <w:p>
      <w:pPr>
        <w:topLinePunct/>
        <w:spacing w:line="360" w:lineRule="auto"/>
        <w:ind w:firstLine="480" w:firstLineChars="200"/>
        <w:contextualSpacing/>
        <w:rPr>
          <w:snapToGrid w:val="0"/>
          <w:kern w:val="0"/>
          <w:sz w:val="24"/>
          <w:szCs w:val="24"/>
        </w:rPr>
      </w:pPr>
      <w:r>
        <w:rPr>
          <w:snapToGrid w:val="0"/>
          <w:kern w:val="0"/>
          <w:sz w:val="24"/>
          <w:szCs w:val="24"/>
        </w:rPr>
        <w:t>3、流程优化</w:t>
      </w:r>
    </w:p>
    <w:p>
      <w:pPr>
        <w:topLinePunct/>
        <w:spacing w:line="360" w:lineRule="auto"/>
        <w:ind w:firstLine="480" w:firstLineChars="200"/>
        <w:contextualSpacing/>
        <w:rPr>
          <w:snapToGrid w:val="0"/>
          <w:kern w:val="0"/>
          <w:sz w:val="24"/>
          <w:szCs w:val="24"/>
        </w:rPr>
      </w:pPr>
      <w:r>
        <w:rPr>
          <w:snapToGrid w:val="0"/>
          <w:kern w:val="0"/>
          <w:sz w:val="24"/>
          <w:szCs w:val="24"/>
        </w:rPr>
        <w:t>参选人在咨询中将与过程改进团队确定总体方案、梳理流程图以及各过程的流程文件和模板，确保流程一致性、规范性、可行性和有效性。</w:t>
      </w:r>
    </w:p>
    <w:p>
      <w:pPr>
        <w:topLinePunct/>
        <w:spacing w:line="360" w:lineRule="auto"/>
        <w:ind w:firstLine="480" w:firstLineChars="200"/>
        <w:contextualSpacing/>
        <w:rPr>
          <w:snapToGrid w:val="0"/>
          <w:kern w:val="0"/>
          <w:sz w:val="24"/>
          <w:szCs w:val="24"/>
        </w:rPr>
      </w:pPr>
      <w:r>
        <w:rPr>
          <w:snapToGrid w:val="0"/>
          <w:kern w:val="0"/>
          <w:sz w:val="24"/>
          <w:szCs w:val="24"/>
        </w:rPr>
        <w:t>基于评审后的研发体系，双方共同选取不少于6个研发项目进行试点。参选人负责试点项目的启动前</w:t>
      </w:r>
      <w:r>
        <w:rPr>
          <w:sz w:val="24"/>
          <w:szCs w:val="24"/>
        </w:rPr>
        <w:t>培训、研发中审计和纠错、文档审查和试点总结改进工作，确</w:t>
      </w:r>
      <w:r>
        <w:rPr>
          <w:snapToGrid w:val="0"/>
          <w:kern w:val="0"/>
          <w:sz w:val="24"/>
          <w:szCs w:val="24"/>
        </w:rPr>
        <w:t>保试点项目流程及文档符合 CMMI 3级及以上标准。试点完成后总结试点经验，进一步完善和改进研发体系。</w:t>
      </w:r>
    </w:p>
    <w:p>
      <w:pPr>
        <w:topLinePunct/>
        <w:spacing w:line="360" w:lineRule="auto"/>
        <w:ind w:firstLine="480" w:firstLineChars="200"/>
        <w:contextualSpacing/>
        <w:rPr>
          <w:snapToGrid w:val="0"/>
          <w:kern w:val="0"/>
          <w:sz w:val="24"/>
          <w:szCs w:val="24"/>
        </w:rPr>
      </w:pPr>
      <w:r>
        <w:rPr>
          <w:snapToGrid w:val="0"/>
          <w:kern w:val="0"/>
          <w:sz w:val="24"/>
          <w:szCs w:val="24"/>
        </w:rPr>
        <w:t>4、数据分析</w:t>
      </w:r>
    </w:p>
    <w:p>
      <w:pPr>
        <w:topLinePunct/>
        <w:spacing w:line="360" w:lineRule="auto"/>
        <w:ind w:firstLine="480" w:firstLineChars="200"/>
        <w:contextualSpacing/>
        <w:rPr>
          <w:snapToGrid w:val="0"/>
          <w:kern w:val="0"/>
          <w:sz w:val="24"/>
          <w:szCs w:val="24"/>
        </w:rPr>
      </w:pPr>
      <w:r>
        <w:rPr>
          <w:snapToGrid w:val="0"/>
          <w:kern w:val="0"/>
          <w:sz w:val="24"/>
          <w:szCs w:val="24"/>
        </w:rPr>
        <w:t>参选人帮助比选人建立度量管理体系，度量体系反映管理人员的关注点及比选人的重点过程，并且能够较客观地反应各过程各团队的能力。在指导比选人建立度量体系时将根据改进目标和关键流程等信息协助确定度量项。</w:t>
      </w:r>
    </w:p>
    <w:p>
      <w:pPr>
        <w:topLinePunct/>
        <w:spacing w:line="360" w:lineRule="auto"/>
        <w:ind w:firstLine="480" w:firstLineChars="200"/>
        <w:contextualSpacing/>
        <w:rPr>
          <w:sz w:val="24"/>
          <w:szCs w:val="24"/>
        </w:rPr>
      </w:pPr>
      <w:r>
        <w:rPr>
          <w:snapToGrid w:val="0"/>
          <w:kern w:val="0"/>
          <w:sz w:val="24"/>
          <w:szCs w:val="24"/>
        </w:rPr>
        <w:t>通过分析关键过程的影响因素，协助比选人抽象出可量化影响因素并作为度量项，通过一定时间及一定量的数据收集，分析并判断过程的稳定性和能力。选择合适的分析</w:t>
      </w:r>
      <w:r>
        <w:rPr>
          <w:sz w:val="24"/>
          <w:szCs w:val="24"/>
        </w:rPr>
        <w:t>方法来对数据进行分析，确保收集数据和对应的分析可对企业的管理起到实质性的作用。</w:t>
      </w:r>
    </w:p>
    <w:p>
      <w:pPr>
        <w:topLinePunct/>
        <w:spacing w:line="360" w:lineRule="auto"/>
        <w:ind w:firstLine="480" w:firstLineChars="200"/>
        <w:contextualSpacing/>
        <w:rPr>
          <w:sz w:val="24"/>
          <w:szCs w:val="24"/>
        </w:rPr>
      </w:pPr>
      <w:r>
        <w:rPr>
          <w:sz w:val="24"/>
          <w:szCs w:val="24"/>
        </w:rPr>
        <w:t>5、预评估与优化</w:t>
      </w:r>
    </w:p>
    <w:p>
      <w:pPr>
        <w:topLinePunct/>
        <w:spacing w:line="360" w:lineRule="auto"/>
        <w:ind w:firstLine="436" w:firstLineChars="200"/>
        <w:contextualSpacing/>
        <w:rPr>
          <w:snapToGrid w:val="0"/>
          <w:kern w:val="0"/>
          <w:sz w:val="24"/>
          <w:szCs w:val="24"/>
        </w:rPr>
      </w:pPr>
      <w:r>
        <w:rPr>
          <w:spacing w:val="-11"/>
          <w:kern w:val="0"/>
          <w:sz w:val="24"/>
          <w:szCs w:val="24"/>
        </w:rPr>
        <w:t>参选人按照</w:t>
      </w:r>
      <w:r>
        <w:rPr>
          <w:sz w:val="24"/>
          <w:szCs w:val="24"/>
        </w:rPr>
        <w:t>CMMI评估的要求，对比选人CMMI实施情况按照预评估要求进行内部</w:t>
      </w:r>
      <w:r>
        <w:rPr>
          <w:snapToGrid w:val="0"/>
          <w:kern w:val="0"/>
          <w:sz w:val="24"/>
          <w:szCs w:val="24"/>
        </w:rPr>
        <w:t>评估，并记录发现的不符合项。参选人对内部评估发现的不符合项共同商讨解决方案并指导比选人对不符合项进行解决。</w:t>
      </w:r>
    </w:p>
    <w:p>
      <w:pPr>
        <w:topLinePunct/>
        <w:spacing w:line="360" w:lineRule="auto"/>
        <w:ind w:firstLine="480" w:firstLineChars="200"/>
        <w:contextualSpacing/>
        <w:rPr>
          <w:sz w:val="24"/>
          <w:szCs w:val="24"/>
        </w:rPr>
      </w:pPr>
      <w:r>
        <w:rPr>
          <w:snapToGrid w:val="0"/>
          <w:kern w:val="0"/>
          <w:sz w:val="24"/>
          <w:szCs w:val="24"/>
        </w:rPr>
        <w:t>参选人需确定评估师，并指导制定评估计划和填写证据收集表。比选人需要为评估计划提供必要信息，安排人员填写证据收集表，参选人对评估计划和证据收集表进行评审。参选人对预评估发现的不符合项共同商讨解决方案并指导比选人不符合项的解决。在不符合项解决</w:t>
      </w:r>
      <w:r>
        <w:rPr>
          <w:sz w:val="24"/>
          <w:szCs w:val="24"/>
        </w:rPr>
        <w:t>完成后，参选人邀请评估师对比选人开展CMMI 正式评估工作。</w:t>
      </w:r>
    </w:p>
    <w:p>
      <w:pPr>
        <w:spacing w:line="360" w:lineRule="auto"/>
        <w:ind w:firstLine="482" w:firstLineChars="200"/>
        <w:jc w:val="left"/>
        <w:rPr>
          <w:b/>
          <w:snapToGrid w:val="0"/>
          <w:kern w:val="0"/>
          <w:sz w:val="24"/>
          <w:szCs w:val="24"/>
        </w:rPr>
      </w:pPr>
      <w:r>
        <w:rPr>
          <w:b/>
          <w:snapToGrid w:val="0"/>
          <w:kern w:val="0"/>
          <w:sz w:val="24"/>
          <w:szCs w:val="24"/>
        </w:rPr>
        <w:t>（三）认证评估</w:t>
      </w:r>
    </w:p>
    <w:p>
      <w:pPr>
        <w:topLinePunct/>
        <w:spacing w:line="360" w:lineRule="auto"/>
        <w:ind w:firstLine="480" w:firstLineChars="200"/>
        <w:contextualSpacing/>
        <w:rPr>
          <w:snapToGrid w:val="0"/>
          <w:kern w:val="0"/>
          <w:sz w:val="24"/>
          <w:szCs w:val="24"/>
        </w:rPr>
      </w:pPr>
      <w:r>
        <w:rPr>
          <w:snapToGrid w:val="0"/>
          <w:kern w:val="0"/>
          <w:sz w:val="24"/>
          <w:szCs w:val="24"/>
        </w:rPr>
        <w:t>正式评估是评估师对比选人的CMMI实施状况进行的正式评估活动。正式评估依据CMMI评估要求开展，并对比选人CMMI实施情况进行定级。正式评估由CMMI评估师进行评估。</w:t>
      </w:r>
    </w:p>
    <w:p>
      <w:pPr>
        <w:topLinePunct/>
        <w:spacing w:line="360" w:lineRule="auto"/>
        <w:ind w:firstLine="480" w:firstLineChars="200"/>
        <w:contextualSpacing/>
        <w:rPr>
          <w:snapToGrid w:val="0"/>
          <w:kern w:val="0"/>
          <w:sz w:val="24"/>
          <w:szCs w:val="24"/>
        </w:rPr>
      </w:pPr>
      <w:r>
        <w:rPr>
          <w:snapToGrid w:val="0"/>
          <w:kern w:val="0"/>
          <w:sz w:val="24"/>
          <w:szCs w:val="24"/>
        </w:rPr>
        <w:t>参选人负责整理所需的各项材料，确保评估通过，并使比选人取得由 CMMI研究所颁发的CMMI 3级认证证书，CMMI研究所官网列出比选人通过认证的信息。</w:t>
      </w:r>
    </w:p>
    <w:p>
      <w:pPr>
        <w:topLinePunct/>
        <w:spacing w:line="360" w:lineRule="auto"/>
        <w:ind w:firstLine="480" w:firstLineChars="200"/>
        <w:contextualSpacing/>
        <w:rPr>
          <w:snapToGrid w:val="0"/>
          <w:kern w:val="0"/>
          <w:sz w:val="24"/>
          <w:szCs w:val="24"/>
        </w:rPr>
      </w:pPr>
      <w:r>
        <w:rPr>
          <w:snapToGrid w:val="0"/>
          <w:kern w:val="0"/>
          <w:sz w:val="24"/>
          <w:szCs w:val="24"/>
        </w:rPr>
        <w:t>2.2 项目实施地点</w:t>
      </w:r>
    </w:p>
    <w:p>
      <w:pPr>
        <w:topLinePunct/>
        <w:spacing w:line="360" w:lineRule="auto"/>
        <w:ind w:firstLine="480" w:firstLineChars="200"/>
        <w:contextualSpacing/>
        <w:rPr>
          <w:snapToGrid w:val="0"/>
          <w:kern w:val="0"/>
          <w:sz w:val="24"/>
          <w:szCs w:val="24"/>
        </w:rPr>
      </w:pPr>
      <w:r>
        <w:rPr>
          <w:snapToGrid w:val="0"/>
          <w:kern w:val="0"/>
          <w:sz w:val="24"/>
          <w:szCs w:val="24"/>
        </w:rPr>
        <w:t>重庆三峡银行职场(总行、西永信息科技部职场)</w:t>
      </w:r>
    </w:p>
    <w:p>
      <w:pPr>
        <w:topLinePunct/>
        <w:spacing w:line="360" w:lineRule="auto"/>
        <w:ind w:firstLine="480" w:firstLineChars="200"/>
        <w:contextualSpacing/>
        <w:rPr>
          <w:snapToGrid w:val="0"/>
          <w:kern w:val="0"/>
          <w:sz w:val="24"/>
          <w:szCs w:val="24"/>
        </w:rPr>
      </w:pPr>
      <w:r>
        <w:rPr>
          <w:snapToGrid w:val="0"/>
          <w:kern w:val="0"/>
          <w:sz w:val="24"/>
          <w:szCs w:val="24"/>
        </w:rPr>
        <w:t>2.3 项目实施方式</w:t>
      </w:r>
    </w:p>
    <w:p>
      <w:pPr>
        <w:topLinePunct/>
        <w:spacing w:line="360" w:lineRule="auto"/>
        <w:ind w:firstLine="480" w:firstLineChars="200"/>
        <w:contextualSpacing/>
        <w:rPr>
          <w:snapToGrid w:val="0"/>
          <w:kern w:val="0"/>
          <w:sz w:val="24"/>
          <w:szCs w:val="24"/>
        </w:rPr>
      </w:pPr>
      <w:r>
        <w:rPr>
          <w:snapToGrid w:val="0"/>
          <w:kern w:val="0"/>
          <w:sz w:val="24"/>
          <w:szCs w:val="24"/>
        </w:rPr>
        <w:t>项目采用现场和远程交替的方式实施。</w:t>
      </w:r>
    </w:p>
    <w:p>
      <w:pPr>
        <w:topLinePunct/>
        <w:spacing w:line="360" w:lineRule="auto"/>
        <w:ind w:firstLine="480" w:firstLineChars="200"/>
        <w:contextualSpacing/>
        <w:rPr>
          <w:snapToGrid w:val="0"/>
          <w:kern w:val="0"/>
          <w:sz w:val="24"/>
          <w:szCs w:val="24"/>
        </w:rPr>
      </w:pPr>
      <w:r>
        <w:rPr>
          <w:snapToGrid w:val="0"/>
          <w:kern w:val="0"/>
          <w:sz w:val="24"/>
          <w:szCs w:val="24"/>
        </w:rPr>
        <w:t>预评估、最后评估和培训需在现场实施。</w:t>
      </w:r>
    </w:p>
    <w:p>
      <w:pPr>
        <w:keepNext/>
        <w:keepLines/>
        <w:numPr>
          <w:ilvl w:val="0"/>
          <w:numId w:val="2"/>
        </w:numPr>
        <w:spacing w:line="360" w:lineRule="auto"/>
        <w:ind w:left="0" w:firstLine="0"/>
        <w:jc w:val="left"/>
        <w:rPr>
          <w:bCs/>
          <w:sz w:val="24"/>
          <w:szCs w:val="24"/>
        </w:rPr>
      </w:pPr>
      <w:bookmarkStart w:id="105" w:name="_Toc422127542"/>
      <w:r>
        <w:rPr>
          <w:bCs/>
          <w:sz w:val="24"/>
          <w:szCs w:val="24"/>
        </w:rPr>
        <w:t>主要工作任务</w:t>
      </w:r>
      <w:bookmarkEnd w:id="105"/>
    </w:p>
    <w:p>
      <w:pPr>
        <w:spacing w:line="360" w:lineRule="auto"/>
        <w:ind w:firstLine="424" w:firstLineChars="177"/>
        <w:rPr>
          <w:bCs/>
          <w:sz w:val="24"/>
          <w:szCs w:val="24"/>
        </w:rPr>
      </w:pPr>
    </w:p>
    <w:p>
      <w:pPr>
        <w:keepNext/>
        <w:keepLines/>
        <w:numPr>
          <w:ilvl w:val="0"/>
          <w:numId w:val="2"/>
        </w:numPr>
        <w:spacing w:line="360" w:lineRule="auto"/>
        <w:ind w:left="0" w:firstLine="0"/>
        <w:jc w:val="left"/>
        <w:rPr>
          <w:bCs/>
          <w:sz w:val="24"/>
          <w:szCs w:val="24"/>
        </w:rPr>
      </w:pPr>
      <w:bookmarkStart w:id="106" w:name="_Toc422127550"/>
      <w:r>
        <w:rPr>
          <w:bCs/>
          <w:sz w:val="24"/>
          <w:szCs w:val="24"/>
        </w:rPr>
        <w:t>项目组织结构</w:t>
      </w:r>
      <w:bookmarkEnd w:id="106"/>
    </w:p>
    <w:tbl>
      <w:tblPr>
        <w:tblStyle w:val="25"/>
        <w:tblW w:w="8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51"/>
        <w:gridCol w:w="4521"/>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b/>
                <w:sz w:val="24"/>
                <w:szCs w:val="24"/>
              </w:rPr>
            </w:pPr>
            <w:r>
              <w:rPr>
                <w:b/>
                <w:sz w:val="24"/>
                <w:szCs w:val="24"/>
              </w:rPr>
              <w:t>序号</w:t>
            </w:r>
          </w:p>
        </w:tc>
        <w:tc>
          <w:tcPr>
            <w:tcW w:w="1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b/>
                <w:sz w:val="24"/>
                <w:szCs w:val="24"/>
              </w:rPr>
            </w:pPr>
            <w:r>
              <w:rPr>
                <w:b/>
                <w:sz w:val="24"/>
                <w:szCs w:val="24"/>
              </w:rPr>
              <w:t>项目角色</w:t>
            </w:r>
          </w:p>
        </w:tc>
        <w:tc>
          <w:tcPr>
            <w:tcW w:w="45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b/>
                <w:sz w:val="24"/>
                <w:szCs w:val="24"/>
              </w:rPr>
            </w:pPr>
            <w:r>
              <w:rPr>
                <w:b/>
                <w:sz w:val="24"/>
                <w:szCs w:val="24"/>
              </w:rPr>
              <w:t>职务说明</w:t>
            </w:r>
          </w:p>
        </w:tc>
        <w:tc>
          <w:tcPr>
            <w:tcW w:w="14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b/>
                <w:sz w:val="24"/>
                <w:szCs w:val="24"/>
              </w:rPr>
            </w:pPr>
            <w:r>
              <w:rPr>
                <w:b/>
                <w:sz w:val="24"/>
                <w:szCs w:val="24"/>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ind w:firstLine="0" w:firstLineChars="0"/>
              <w:jc w:val="center"/>
              <w:textAlignment w:val="auto"/>
              <w:rPr>
                <w:sz w:val="24"/>
                <w:szCs w:val="24"/>
              </w:rPr>
            </w:pPr>
          </w:p>
        </w:tc>
        <w:tc>
          <w:tcPr>
            <w:tcW w:w="1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sz w:val="24"/>
                <w:szCs w:val="24"/>
              </w:rPr>
            </w:pPr>
            <w:r>
              <w:rPr>
                <w:sz w:val="24"/>
                <w:szCs w:val="24"/>
              </w:rPr>
              <w:t>项目经理</w:t>
            </w:r>
          </w:p>
        </w:tc>
        <w:tc>
          <w:tcPr>
            <w:tcW w:w="45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sz w:val="24"/>
                <w:szCs w:val="24"/>
              </w:rPr>
            </w:pPr>
            <w:r>
              <w:rPr>
                <w:sz w:val="24"/>
                <w:szCs w:val="24"/>
              </w:rPr>
              <w:t>项目协调、需求调研、项目整体进度把控、项目总负责</w:t>
            </w:r>
          </w:p>
        </w:tc>
        <w:tc>
          <w:tcPr>
            <w:tcW w:w="14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ind w:firstLine="0" w:firstLineChars="0"/>
              <w:jc w:val="center"/>
              <w:textAlignment w:val="auto"/>
              <w:rPr>
                <w:sz w:val="24"/>
                <w:szCs w:val="24"/>
              </w:rPr>
            </w:pPr>
          </w:p>
        </w:tc>
        <w:tc>
          <w:tcPr>
            <w:tcW w:w="1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sz w:val="24"/>
                <w:szCs w:val="24"/>
              </w:rPr>
            </w:pPr>
            <w:r>
              <w:rPr>
                <w:sz w:val="24"/>
                <w:szCs w:val="24"/>
              </w:rPr>
              <w:t>主任评估师</w:t>
            </w:r>
          </w:p>
        </w:tc>
        <w:tc>
          <w:tcPr>
            <w:tcW w:w="45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sz w:val="24"/>
                <w:szCs w:val="24"/>
              </w:rPr>
            </w:pPr>
          </w:p>
        </w:tc>
        <w:tc>
          <w:tcPr>
            <w:tcW w:w="14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ind w:firstLine="0" w:firstLineChars="0"/>
              <w:jc w:val="center"/>
              <w:textAlignment w:val="auto"/>
              <w:rPr>
                <w:sz w:val="24"/>
                <w:szCs w:val="24"/>
              </w:rPr>
            </w:pPr>
          </w:p>
        </w:tc>
        <w:tc>
          <w:tcPr>
            <w:tcW w:w="1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sz w:val="24"/>
                <w:szCs w:val="24"/>
              </w:rPr>
            </w:pPr>
            <w:r>
              <w:rPr>
                <w:sz w:val="24"/>
                <w:szCs w:val="24"/>
              </w:rPr>
              <w:t>咨询师</w:t>
            </w:r>
          </w:p>
        </w:tc>
        <w:tc>
          <w:tcPr>
            <w:tcW w:w="45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sz w:val="24"/>
                <w:szCs w:val="24"/>
              </w:rPr>
            </w:pPr>
          </w:p>
        </w:tc>
        <w:tc>
          <w:tcPr>
            <w:tcW w:w="14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ind w:firstLine="0" w:firstLineChars="0"/>
              <w:jc w:val="center"/>
              <w:textAlignment w:val="auto"/>
              <w:rPr>
                <w:sz w:val="24"/>
                <w:szCs w:val="24"/>
              </w:rPr>
            </w:pPr>
          </w:p>
        </w:tc>
        <w:tc>
          <w:tcPr>
            <w:tcW w:w="1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sz w:val="24"/>
                <w:szCs w:val="24"/>
              </w:rPr>
            </w:pPr>
            <w:r>
              <w:rPr>
                <w:sz w:val="24"/>
                <w:szCs w:val="24"/>
              </w:rPr>
              <w:t>辅助咨询师</w:t>
            </w:r>
          </w:p>
        </w:tc>
        <w:tc>
          <w:tcPr>
            <w:tcW w:w="45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sz w:val="24"/>
                <w:szCs w:val="24"/>
              </w:rPr>
            </w:pPr>
          </w:p>
        </w:tc>
        <w:tc>
          <w:tcPr>
            <w:tcW w:w="14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sz w:val="24"/>
                <w:szCs w:val="24"/>
              </w:rPr>
            </w:pPr>
          </w:p>
        </w:tc>
      </w:tr>
    </w:tbl>
    <w:p>
      <w:pPr>
        <w:rPr>
          <w:sz w:val="24"/>
          <w:szCs w:val="24"/>
        </w:rPr>
      </w:pPr>
    </w:p>
    <w:p>
      <w:pPr>
        <w:keepNext/>
        <w:keepLines/>
        <w:numPr>
          <w:ilvl w:val="0"/>
          <w:numId w:val="2"/>
        </w:numPr>
        <w:spacing w:line="360" w:lineRule="auto"/>
        <w:ind w:left="0" w:firstLine="0"/>
        <w:jc w:val="left"/>
        <w:rPr>
          <w:bCs/>
          <w:sz w:val="24"/>
          <w:szCs w:val="24"/>
        </w:rPr>
      </w:pPr>
      <w:bookmarkStart w:id="107" w:name="_Toc422127553"/>
      <w:r>
        <w:rPr>
          <w:bCs/>
          <w:sz w:val="24"/>
          <w:szCs w:val="24"/>
        </w:rPr>
        <w:t>项目实施进度计划</w:t>
      </w:r>
      <w:bookmarkEnd w:id="107"/>
    </w:p>
    <w:p>
      <w:pPr>
        <w:adjustRightInd w:val="0"/>
        <w:snapToGrid w:val="0"/>
        <w:spacing w:line="360" w:lineRule="auto"/>
        <w:rPr>
          <w:sz w:val="24"/>
          <w:szCs w:val="24"/>
        </w:rPr>
      </w:pPr>
    </w:p>
    <w:p>
      <w:pPr>
        <w:keepNext/>
        <w:keepLines/>
        <w:numPr>
          <w:ilvl w:val="0"/>
          <w:numId w:val="2"/>
        </w:numPr>
        <w:spacing w:line="360" w:lineRule="auto"/>
        <w:ind w:left="0" w:firstLine="0"/>
        <w:jc w:val="left"/>
        <w:rPr>
          <w:bCs/>
          <w:sz w:val="24"/>
          <w:szCs w:val="24"/>
        </w:rPr>
      </w:pPr>
      <w:bookmarkStart w:id="108" w:name="_Toc422127554"/>
      <w:r>
        <w:rPr>
          <w:bCs/>
          <w:sz w:val="24"/>
          <w:szCs w:val="24"/>
        </w:rPr>
        <w:t>项目交付成果</w:t>
      </w:r>
      <w:bookmarkEnd w:id="108"/>
      <w:bookmarkStart w:id="109" w:name="_Toc422127556"/>
    </w:p>
    <w:p>
      <w:pPr>
        <w:topLinePunct/>
        <w:spacing w:line="360" w:lineRule="auto"/>
        <w:ind w:firstLine="480" w:firstLineChars="200"/>
        <w:contextualSpacing/>
        <w:rPr>
          <w:snapToGrid w:val="0"/>
          <w:kern w:val="0"/>
          <w:sz w:val="24"/>
          <w:szCs w:val="24"/>
        </w:rPr>
      </w:pPr>
      <w:r>
        <w:rPr>
          <w:snapToGrid w:val="0"/>
          <w:kern w:val="0"/>
          <w:sz w:val="24"/>
          <w:szCs w:val="24"/>
        </w:rPr>
        <w:t>乙方按合同约定完成各项服务工作，为甲方提供CMMI DEV3.0-ML3的咨询评估认证服务，建立CMMI L3级体系，提升甲方软件研发交付质量和效能优化开发过程，向甲方提交各项交付物并通过甲方审核。</w:t>
      </w:r>
    </w:p>
    <w:p>
      <w:pPr>
        <w:topLinePunct/>
        <w:spacing w:line="360" w:lineRule="auto"/>
        <w:ind w:firstLine="480" w:firstLineChars="200"/>
        <w:contextualSpacing/>
        <w:rPr>
          <w:snapToGrid w:val="0"/>
          <w:kern w:val="0"/>
          <w:sz w:val="24"/>
          <w:szCs w:val="24"/>
        </w:rPr>
      </w:pPr>
      <w:r>
        <w:rPr>
          <w:snapToGrid w:val="0"/>
          <w:kern w:val="0"/>
          <w:sz w:val="24"/>
          <w:szCs w:val="24"/>
        </w:rPr>
        <w:t>乙方按合同约定，完成各项培训工作，并交付培训过程中的培训资料和其他的辅助参考材料。</w:t>
      </w:r>
    </w:p>
    <w:bookmarkEnd w:id="109"/>
    <w:p>
      <w:pPr>
        <w:keepNext/>
        <w:keepLines/>
        <w:numPr>
          <w:ilvl w:val="0"/>
          <w:numId w:val="2"/>
        </w:numPr>
        <w:spacing w:line="360" w:lineRule="auto"/>
        <w:ind w:left="0" w:firstLine="0"/>
        <w:jc w:val="left"/>
        <w:rPr>
          <w:bCs/>
          <w:sz w:val="24"/>
          <w:szCs w:val="24"/>
        </w:rPr>
      </w:pPr>
      <w:bookmarkStart w:id="110" w:name="_Toc422127563"/>
      <w:r>
        <w:rPr>
          <w:bCs/>
          <w:sz w:val="24"/>
          <w:szCs w:val="24"/>
        </w:rPr>
        <w:t>项目验收</w:t>
      </w:r>
      <w:bookmarkEnd w:id="110"/>
    </w:p>
    <w:p>
      <w:pPr>
        <w:spacing w:line="360" w:lineRule="auto"/>
        <w:ind w:firstLine="424" w:firstLineChars="177"/>
        <w:rPr>
          <w:sz w:val="24"/>
          <w:szCs w:val="24"/>
        </w:rPr>
      </w:pPr>
      <w:r>
        <w:rPr>
          <w:snapToGrid w:val="0"/>
          <w:kern w:val="0"/>
          <w:sz w:val="24"/>
          <w:szCs w:val="24"/>
        </w:rPr>
        <w:t>乙方帮助甲方顺利通过CMMI DEV3.0-ML3认证正式评估，并取得真实、合法、有效的CMMI DEV3.0-ML3认证证书，证书须能在CMMI研究院官网上查询，以此作为项目的终验交付物。</w:t>
      </w:r>
      <w:r>
        <w:rPr>
          <w:snapToGrid w:val="0"/>
          <w:sz w:val="24"/>
          <w:szCs w:val="24"/>
        </w:rPr>
        <w:br w:type="page"/>
      </w:r>
      <w:r>
        <w:rPr>
          <w:snapToGrid w:val="0"/>
          <w:sz w:val="24"/>
          <w:szCs w:val="24"/>
        </w:rPr>
        <w:t>附件2</w:t>
      </w:r>
    </w:p>
    <w:tbl>
      <w:tblPr>
        <w:tblStyle w:val="25"/>
        <w:tblW w:w="9498" w:type="dxa"/>
        <w:tblInd w:w="-459" w:type="dxa"/>
        <w:tblLayout w:type="fixed"/>
        <w:tblCellMar>
          <w:top w:w="0" w:type="dxa"/>
          <w:left w:w="108" w:type="dxa"/>
          <w:bottom w:w="0" w:type="dxa"/>
          <w:right w:w="108" w:type="dxa"/>
        </w:tblCellMar>
      </w:tblPr>
      <w:tblGrid>
        <w:gridCol w:w="1026"/>
        <w:gridCol w:w="390"/>
        <w:gridCol w:w="2696"/>
        <w:gridCol w:w="643"/>
        <w:gridCol w:w="1906"/>
        <w:gridCol w:w="2726"/>
        <w:gridCol w:w="111"/>
      </w:tblGrid>
      <w:tr>
        <w:tblPrEx>
          <w:tblCellMar>
            <w:top w:w="0" w:type="dxa"/>
            <w:left w:w="108" w:type="dxa"/>
            <w:bottom w:w="0" w:type="dxa"/>
            <w:right w:w="108" w:type="dxa"/>
          </w:tblCellMar>
        </w:tblPrEx>
        <w:trPr>
          <w:gridBefore w:val="1"/>
          <w:gridAfter w:val="1"/>
          <w:wBefore w:w="1026" w:type="dxa"/>
          <w:wAfter w:w="111" w:type="dxa"/>
          <w:trHeight w:val="300" w:hRule="atLeast"/>
        </w:trPr>
        <w:tc>
          <w:tcPr>
            <w:tcW w:w="8361" w:type="dxa"/>
            <w:gridSpan w:val="5"/>
            <w:tcBorders>
              <w:top w:val="nil"/>
              <w:left w:val="nil"/>
              <w:bottom w:val="nil"/>
              <w:right w:val="nil"/>
            </w:tcBorders>
            <w:vAlign w:val="center"/>
          </w:tcPr>
          <w:p>
            <w:pPr>
              <w:keepNext w:val="0"/>
              <w:keepLines w:val="0"/>
              <w:pageBreakBefore w:val="0"/>
              <w:widowControl/>
              <w:kinsoku/>
              <w:wordWrap/>
              <w:overflowPunct/>
              <w:topLinePunct w:val="0"/>
              <w:autoSpaceDE w:val="0"/>
              <w:autoSpaceDN w:val="0"/>
              <w:bidi w:val="0"/>
              <w:adjustRightInd/>
              <w:snapToGrid/>
              <w:spacing w:line="360" w:lineRule="auto"/>
              <w:ind w:left="0" w:right="0" w:firstLine="0" w:firstLineChars="0"/>
              <w:jc w:val="center"/>
              <w:textAlignment w:val="auto"/>
              <w:rPr>
                <w:kern w:val="0"/>
                <w:sz w:val="24"/>
                <w:szCs w:val="24"/>
              </w:rPr>
            </w:pPr>
            <w:r>
              <w:rPr>
                <w:b/>
                <w:bCs/>
                <w:snapToGrid w:val="0"/>
                <w:sz w:val="24"/>
                <w:szCs w:val="24"/>
              </w:rPr>
              <w:t>项目最终验收表</w:t>
            </w:r>
          </w:p>
        </w:tc>
      </w:tr>
      <w:tr>
        <w:tblPrEx>
          <w:tblCellMar>
            <w:top w:w="0" w:type="dxa"/>
            <w:left w:w="108" w:type="dxa"/>
            <w:bottom w:w="0" w:type="dxa"/>
            <w:right w:w="108" w:type="dxa"/>
          </w:tblCellMar>
        </w:tblPrEx>
        <w:trPr>
          <w:trHeight w:val="1181" w:hRule="atLeast"/>
        </w:trPr>
        <w:tc>
          <w:tcPr>
            <w:tcW w:w="141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center"/>
              <w:textAlignment w:val="auto"/>
              <w:rPr>
                <w:sz w:val="24"/>
                <w:szCs w:val="24"/>
              </w:rPr>
            </w:pPr>
            <w:r>
              <w:rPr>
                <w:sz w:val="24"/>
                <w:szCs w:val="24"/>
              </w:rPr>
              <w:t>项目名称</w:t>
            </w:r>
          </w:p>
        </w:tc>
        <w:tc>
          <w:tcPr>
            <w:tcW w:w="808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left"/>
              <w:textAlignment w:val="auto"/>
              <w:rPr>
                <w:sz w:val="24"/>
                <w:szCs w:val="24"/>
              </w:rPr>
            </w:pPr>
            <w:r>
              <w:rPr>
                <w:sz w:val="24"/>
                <w:szCs w:val="24"/>
              </w:rPr>
              <w:t>CMMI 3认证评估服务项目</w:t>
            </w:r>
          </w:p>
        </w:tc>
      </w:tr>
      <w:tr>
        <w:tblPrEx>
          <w:tblCellMar>
            <w:top w:w="0" w:type="dxa"/>
            <w:left w:w="108" w:type="dxa"/>
            <w:bottom w:w="0" w:type="dxa"/>
            <w:right w:w="108" w:type="dxa"/>
          </w:tblCellMar>
        </w:tblPrEx>
        <w:trPr>
          <w:trHeight w:val="842" w:hRule="atLeast"/>
        </w:trPr>
        <w:tc>
          <w:tcPr>
            <w:tcW w:w="141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center"/>
              <w:textAlignment w:val="auto"/>
              <w:rPr>
                <w:sz w:val="24"/>
                <w:szCs w:val="24"/>
              </w:rPr>
            </w:pPr>
            <w:r>
              <w:rPr>
                <w:sz w:val="24"/>
                <w:szCs w:val="24"/>
              </w:rPr>
              <w:t>服务提供商</w:t>
            </w:r>
          </w:p>
        </w:tc>
        <w:tc>
          <w:tcPr>
            <w:tcW w:w="8082" w:type="dxa"/>
            <w:gridSpan w:val="5"/>
            <w:tcBorders>
              <w:top w:val="single" w:color="auto" w:sz="4" w:space="0"/>
              <w:left w:val="single" w:color="auto" w:sz="4" w:space="0"/>
              <w:bottom w:val="single" w:color="auto" w:sz="4" w:space="0"/>
              <w:right w:val="single" w:color="auto" w:sz="4" w:space="0"/>
            </w:tcBorders>
            <w:vAlign w:val="bottom"/>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textAlignment w:val="auto"/>
              <w:rPr>
                <w:sz w:val="24"/>
                <w:szCs w:val="24"/>
              </w:rPr>
            </w:pPr>
          </w:p>
        </w:tc>
      </w:tr>
      <w:tr>
        <w:tblPrEx>
          <w:tblCellMar>
            <w:top w:w="0" w:type="dxa"/>
            <w:left w:w="108" w:type="dxa"/>
            <w:bottom w:w="0" w:type="dxa"/>
            <w:right w:w="108" w:type="dxa"/>
          </w:tblCellMar>
        </w:tblPrEx>
        <w:trPr>
          <w:trHeight w:val="888" w:hRule="atLeast"/>
        </w:trPr>
        <w:tc>
          <w:tcPr>
            <w:tcW w:w="141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textAlignment w:val="auto"/>
              <w:rPr>
                <w:sz w:val="24"/>
                <w:szCs w:val="24"/>
              </w:rPr>
            </w:pPr>
            <w:r>
              <w:rPr>
                <w:sz w:val="24"/>
                <w:szCs w:val="24"/>
              </w:rPr>
              <w:t>验收时间</w:t>
            </w:r>
          </w:p>
        </w:tc>
        <w:tc>
          <w:tcPr>
            <w:tcW w:w="808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textAlignment w:val="auto"/>
              <w:rPr>
                <w:sz w:val="24"/>
                <w:szCs w:val="24"/>
              </w:rPr>
            </w:pPr>
          </w:p>
        </w:tc>
      </w:tr>
      <w:tr>
        <w:tblPrEx>
          <w:tblCellMar>
            <w:top w:w="0" w:type="dxa"/>
            <w:left w:w="108" w:type="dxa"/>
            <w:bottom w:w="0" w:type="dxa"/>
            <w:right w:w="108" w:type="dxa"/>
          </w:tblCellMar>
        </w:tblPrEx>
        <w:trPr>
          <w:trHeight w:val="829" w:hRule="atLeast"/>
        </w:trPr>
        <w:tc>
          <w:tcPr>
            <w:tcW w:w="141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textAlignment w:val="auto"/>
              <w:rPr>
                <w:sz w:val="24"/>
                <w:szCs w:val="24"/>
              </w:rPr>
            </w:pPr>
            <w:r>
              <w:rPr>
                <w:sz w:val="24"/>
                <w:szCs w:val="24"/>
              </w:rPr>
              <w:t>验收地点</w:t>
            </w:r>
          </w:p>
        </w:tc>
        <w:tc>
          <w:tcPr>
            <w:tcW w:w="26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textAlignment w:val="auto"/>
              <w:rPr>
                <w:sz w:val="24"/>
                <w:szCs w:val="24"/>
              </w:rPr>
            </w:pPr>
          </w:p>
        </w:tc>
        <w:tc>
          <w:tcPr>
            <w:tcW w:w="25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textAlignment w:val="auto"/>
              <w:rPr>
                <w:sz w:val="24"/>
                <w:szCs w:val="24"/>
              </w:rPr>
            </w:pPr>
            <w:r>
              <w:rPr>
                <w:sz w:val="24"/>
                <w:szCs w:val="24"/>
              </w:rPr>
              <w:t>项目经理</w:t>
            </w:r>
          </w:p>
        </w:tc>
        <w:tc>
          <w:tcPr>
            <w:tcW w:w="283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textAlignment w:val="auto"/>
              <w:rPr>
                <w:sz w:val="24"/>
                <w:szCs w:val="24"/>
              </w:rPr>
            </w:pPr>
          </w:p>
        </w:tc>
      </w:tr>
      <w:tr>
        <w:tblPrEx>
          <w:tblCellMar>
            <w:top w:w="0" w:type="dxa"/>
            <w:left w:w="108" w:type="dxa"/>
            <w:bottom w:w="0" w:type="dxa"/>
            <w:right w:w="108" w:type="dxa"/>
          </w:tblCellMar>
        </w:tblPrEx>
        <w:trPr>
          <w:trHeight w:val="1461" w:hRule="atLeast"/>
        </w:trPr>
        <w:tc>
          <w:tcPr>
            <w:tcW w:w="141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center"/>
              <w:textAlignment w:val="auto"/>
              <w:rPr>
                <w:sz w:val="24"/>
                <w:szCs w:val="24"/>
              </w:rPr>
            </w:pPr>
            <w:r>
              <w:rPr>
                <w:sz w:val="24"/>
                <w:szCs w:val="24"/>
              </w:rPr>
              <w:t>是否实现项目目标</w:t>
            </w:r>
          </w:p>
        </w:tc>
        <w:tc>
          <w:tcPr>
            <w:tcW w:w="26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textAlignment w:val="auto"/>
              <w:rPr>
                <w:sz w:val="24"/>
                <w:szCs w:val="24"/>
              </w:rPr>
            </w:pPr>
            <w:r>
              <w:rPr>
                <w:sz w:val="24"/>
                <w:szCs w:val="24"/>
              </w:rPr>
              <w:t>□是     □否</w:t>
            </w:r>
          </w:p>
        </w:tc>
        <w:tc>
          <w:tcPr>
            <w:tcW w:w="25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textAlignment w:val="auto"/>
              <w:rPr>
                <w:sz w:val="24"/>
                <w:szCs w:val="24"/>
              </w:rPr>
            </w:pPr>
            <w:r>
              <w:rPr>
                <w:sz w:val="24"/>
                <w:szCs w:val="24"/>
              </w:rPr>
              <w:t>交付物是否齐全</w:t>
            </w:r>
          </w:p>
        </w:tc>
        <w:tc>
          <w:tcPr>
            <w:tcW w:w="283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textAlignment w:val="auto"/>
              <w:rPr>
                <w:sz w:val="24"/>
                <w:szCs w:val="24"/>
              </w:rPr>
            </w:pPr>
            <w:r>
              <w:rPr>
                <w:sz w:val="24"/>
                <w:szCs w:val="24"/>
              </w:rPr>
              <w:t>□是     □否</w:t>
            </w:r>
          </w:p>
        </w:tc>
      </w:tr>
      <w:tr>
        <w:tblPrEx>
          <w:tblCellMar>
            <w:top w:w="0" w:type="dxa"/>
            <w:left w:w="108" w:type="dxa"/>
            <w:bottom w:w="0" w:type="dxa"/>
            <w:right w:w="108" w:type="dxa"/>
          </w:tblCellMar>
        </w:tblPrEx>
        <w:trPr>
          <w:trHeight w:val="1461" w:hRule="atLeast"/>
        </w:trPr>
        <w:tc>
          <w:tcPr>
            <w:tcW w:w="141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center"/>
              <w:textAlignment w:val="auto"/>
              <w:rPr>
                <w:sz w:val="24"/>
                <w:szCs w:val="24"/>
              </w:rPr>
            </w:pPr>
            <w:r>
              <w:rPr>
                <w:sz w:val="24"/>
                <w:szCs w:val="24"/>
              </w:rPr>
              <w:t>有无遗留</w:t>
            </w:r>
          </w:p>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center"/>
              <w:textAlignment w:val="auto"/>
              <w:rPr>
                <w:sz w:val="24"/>
                <w:szCs w:val="24"/>
              </w:rPr>
            </w:pPr>
            <w:r>
              <w:rPr>
                <w:sz w:val="24"/>
                <w:szCs w:val="24"/>
              </w:rPr>
              <w:t>问题</w:t>
            </w:r>
          </w:p>
        </w:tc>
        <w:tc>
          <w:tcPr>
            <w:tcW w:w="808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textAlignment w:val="auto"/>
              <w:rPr>
                <w:sz w:val="24"/>
                <w:szCs w:val="24"/>
              </w:rPr>
            </w:pPr>
          </w:p>
        </w:tc>
      </w:tr>
      <w:tr>
        <w:tblPrEx>
          <w:tblCellMar>
            <w:top w:w="0" w:type="dxa"/>
            <w:left w:w="108" w:type="dxa"/>
            <w:bottom w:w="0" w:type="dxa"/>
            <w:right w:w="108" w:type="dxa"/>
          </w:tblCellMar>
        </w:tblPrEx>
        <w:trPr>
          <w:trHeight w:val="2477" w:hRule="atLeast"/>
        </w:trPr>
        <w:tc>
          <w:tcPr>
            <w:tcW w:w="141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jc w:val="center"/>
              <w:textAlignment w:val="auto"/>
              <w:rPr>
                <w:sz w:val="24"/>
                <w:szCs w:val="24"/>
              </w:rPr>
            </w:pPr>
            <w:r>
              <w:rPr>
                <w:sz w:val="24"/>
                <w:szCs w:val="24"/>
              </w:rPr>
              <w:t>最终验收评审结论</w:t>
            </w:r>
          </w:p>
        </w:tc>
        <w:tc>
          <w:tcPr>
            <w:tcW w:w="808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textAlignment w:val="auto"/>
              <w:rPr>
                <w:sz w:val="24"/>
                <w:szCs w:val="24"/>
              </w:rPr>
            </w:pPr>
          </w:p>
        </w:tc>
      </w:tr>
      <w:tr>
        <w:tblPrEx>
          <w:tblCellMar>
            <w:top w:w="0" w:type="dxa"/>
            <w:left w:w="108" w:type="dxa"/>
            <w:bottom w:w="0" w:type="dxa"/>
            <w:right w:w="108" w:type="dxa"/>
          </w:tblCellMar>
        </w:tblPrEx>
        <w:trPr>
          <w:trHeight w:val="2204" w:hRule="atLeast"/>
        </w:trPr>
        <w:tc>
          <w:tcPr>
            <w:tcW w:w="4755" w:type="dxa"/>
            <w:gridSpan w:val="4"/>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val="0"/>
              <w:autoSpaceDN w:val="0"/>
              <w:bidi w:val="0"/>
              <w:adjustRightInd/>
              <w:snapToGrid/>
              <w:spacing w:line="360" w:lineRule="auto"/>
              <w:ind w:left="0" w:right="0" w:firstLine="0" w:firstLineChars="0"/>
              <w:textAlignment w:val="auto"/>
              <w:rPr>
                <w:sz w:val="24"/>
                <w:szCs w:val="24"/>
              </w:rPr>
            </w:pPr>
          </w:p>
          <w:p>
            <w:pPr>
              <w:keepNext w:val="0"/>
              <w:keepLines w:val="0"/>
              <w:pageBreakBefore w:val="0"/>
              <w:kinsoku/>
              <w:wordWrap/>
              <w:overflowPunct/>
              <w:topLinePunct w:val="0"/>
              <w:autoSpaceDE w:val="0"/>
              <w:autoSpaceDN w:val="0"/>
              <w:bidi w:val="0"/>
              <w:adjustRightInd/>
              <w:snapToGrid/>
              <w:spacing w:line="360" w:lineRule="auto"/>
              <w:ind w:left="0" w:right="0" w:firstLine="0" w:firstLineChars="0"/>
              <w:textAlignment w:val="auto"/>
              <w:rPr>
                <w:sz w:val="24"/>
                <w:szCs w:val="24"/>
              </w:rPr>
            </w:pPr>
            <w:r>
              <w:rPr>
                <w:sz w:val="24"/>
                <w:szCs w:val="24"/>
              </w:rPr>
              <w:t>参验人员：</w:t>
            </w:r>
          </w:p>
          <w:p>
            <w:pPr>
              <w:keepNext w:val="0"/>
              <w:keepLines w:val="0"/>
              <w:pageBreakBefore w:val="0"/>
              <w:kinsoku/>
              <w:wordWrap/>
              <w:overflowPunct/>
              <w:topLinePunct w:val="0"/>
              <w:autoSpaceDE w:val="0"/>
              <w:autoSpaceDN w:val="0"/>
              <w:bidi w:val="0"/>
              <w:adjustRightInd/>
              <w:snapToGrid/>
              <w:spacing w:line="360" w:lineRule="auto"/>
              <w:ind w:left="0" w:right="0" w:firstLine="0" w:firstLineChars="0"/>
              <w:textAlignment w:val="auto"/>
              <w:rPr>
                <w:sz w:val="24"/>
                <w:szCs w:val="24"/>
              </w:rPr>
            </w:pPr>
          </w:p>
          <w:p>
            <w:pPr>
              <w:keepNext w:val="0"/>
              <w:keepLines w:val="0"/>
              <w:pageBreakBefore w:val="0"/>
              <w:kinsoku/>
              <w:wordWrap/>
              <w:overflowPunct/>
              <w:topLinePunct w:val="0"/>
              <w:autoSpaceDE w:val="0"/>
              <w:autoSpaceDN w:val="0"/>
              <w:bidi w:val="0"/>
              <w:adjustRightInd/>
              <w:snapToGrid/>
              <w:spacing w:line="360" w:lineRule="auto"/>
              <w:ind w:left="0" w:right="0" w:firstLine="0" w:firstLineChars="0"/>
              <w:textAlignment w:val="auto"/>
              <w:rPr>
                <w:sz w:val="24"/>
                <w:szCs w:val="24"/>
              </w:rPr>
            </w:pPr>
          </w:p>
          <w:p>
            <w:pPr>
              <w:keepNext w:val="0"/>
              <w:keepLines w:val="0"/>
              <w:pageBreakBefore w:val="0"/>
              <w:kinsoku/>
              <w:wordWrap/>
              <w:overflowPunct/>
              <w:topLinePunct w:val="0"/>
              <w:autoSpaceDE w:val="0"/>
              <w:autoSpaceDN w:val="0"/>
              <w:bidi w:val="0"/>
              <w:adjustRightInd/>
              <w:snapToGrid/>
              <w:spacing w:line="360" w:lineRule="auto"/>
              <w:ind w:left="0" w:right="0" w:firstLine="0" w:firstLineChars="0"/>
              <w:textAlignment w:val="auto"/>
              <w:rPr>
                <w:sz w:val="24"/>
                <w:szCs w:val="24"/>
              </w:rPr>
            </w:pPr>
            <w:r>
              <w:rPr>
                <w:sz w:val="24"/>
                <w:szCs w:val="24"/>
              </w:rPr>
              <w:t xml:space="preserve">                      年  月  日</w:t>
            </w:r>
          </w:p>
        </w:tc>
        <w:tc>
          <w:tcPr>
            <w:tcW w:w="4743"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val="0"/>
              <w:autoSpaceDN w:val="0"/>
              <w:bidi w:val="0"/>
              <w:adjustRightInd/>
              <w:snapToGrid/>
              <w:spacing w:line="360" w:lineRule="auto"/>
              <w:ind w:left="0" w:right="0" w:firstLine="0" w:firstLineChars="0"/>
              <w:jc w:val="left"/>
              <w:textAlignment w:val="auto"/>
              <w:rPr>
                <w:sz w:val="24"/>
                <w:szCs w:val="24"/>
              </w:rPr>
            </w:pPr>
          </w:p>
          <w:p>
            <w:pPr>
              <w:keepNext w:val="0"/>
              <w:keepLines w:val="0"/>
              <w:pageBreakBefore w:val="0"/>
              <w:widowControl/>
              <w:kinsoku/>
              <w:wordWrap/>
              <w:overflowPunct/>
              <w:topLinePunct w:val="0"/>
              <w:autoSpaceDE w:val="0"/>
              <w:autoSpaceDN w:val="0"/>
              <w:bidi w:val="0"/>
              <w:adjustRightInd/>
              <w:snapToGrid/>
              <w:spacing w:line="360" w:lineRule="auto"/>
              <w:ind w:left="0" w:right="0" w:firstLine="0" w:firstLineChars="0"/>
              <w:jc w:val="left"/>
              <w:textAlignment w:val="auto"/>
              <w:rPr>
                <w:sz w:val="24"/>
                <w:szCs w:val="24"/>
              </w:rPr>
            </w:pPr>
            <w:r>
              <w:rPr>
                <w:sz w:val="24"/>
                <w:szCs w:val="24"/>
              </w:rPr>
              <w:t>部门负责人：</w:t>
            </w:r>
          </w:p>
          <w:p>
            <w:pPr>
              <w:keepNext w:val="0"/>
              <w:keepLines w:val="0"/>
              <w:pageBreakBefore w:val="0"/>
              <w:widowControl/>
              <w:kinsoku/>
              <w:wordWrap/>
              <w:overflowPunct/>
              <w:topLinePunct w:val="0"/>
              <w:autoSpaceDE w:val="0"/>
              <w:autoSpaceDN w:val="0"/>
              <w:bidi w:val="0"/>
              <w:adjustRightInd/>
              <w:snapToGrid/>
              <w:spacing w:line="360" w:lineRule="auto"/>
              <w:ind w:left="0" w:right="0" w:firstLine="0" w:firstLineChars="0"/>
              <w:jc w:val="left"/>
              <w:textAlignment w:val="auto"/>
              <w:rPr>
                <w:sz w:val="24"/>
                <w:szCs w:val="24"/>
              </w:rPr>
            </w:pPr>
          </w:p>
          <w:p>
            <w:pPr>
              <w:keepNext w:val="0"/>
              <w:keepLines w:val="0"/>
              <w:pageBreakBefore w:val="0"/>
              <w:widowControl/>
              <w:kinsoku/>
              <w:wordWrap/>
              <w:overflowPunct/>
              <w:topLinePunct w:val="0"/>
              <w:autoSpaceDE w:val="0"/>
              <w:autoSpaceDN w:val="0"/>
              <w:bidi w:val="0"/>
              <w:adjustRightInd/>
              <w:snapToGrid/>
              <w:spacing w:line="360" w:lineRule="auto"/>
              <w:ind w:left="0" w:right="0" w:firstLine="0" w:firstLineChars="0"/>
              <w:jc w:val="left"/>
              <w:textAlignment w:val="auto"/>
              <w:rPr>
                <w:sz w:val="24"/>
                <w:szCs w:val="24"/>
              </w:rPr>
            </w:pPr>
          </w:p>
          <w:p>
            <w:pPr>
              <w:keepNext w:val="0"/>
              <w:keepLines w:val="0"/>
              <w:pageBreakBefore w:val="0"/>
              <w:widowControl/>
              <w:kinsoku/>
              <w:wordWrap/>
              <w:overflowPunct/>
              <w:topLinePunct w:val="0"/>
              <w:autoSpaceDE w:val="0"/>
              <w:autoSpaceDN w:val="0"/>
              <w:bidi w:val="0"/>
              <w:adjustRightInd/>
              <w:snapToGrid/>
              <w:spacing w:line="360" w:lineRule="auto"/>
              <w:ind w:left="0" w:right="0" w:firstLine="0" w:firstLineChars="0"/>
              <w:jc w:val="left"/>
              <w:textAlignment w:val="auto"/>
              <w:rPr>
                <w:sz w:val="24"/>
                <w:szCs w:val="24"/>
              </w:rPr>
            </w:pPr>
          </w:p>
          <w:p>
            <w:pPr>
              <w:keepNext w:val="0"/>
              <w:keepLines w:val="0"/>
              <w:pageBreakBefore w:val="0"/>
              <w:kinsoku/>
              <w:wordWrap/>
              <w:overflowPunct/>
              <w:topLinePunct w:val="0"/>
              <w:autoSpaceDE w:val="0"/>
              <w:autoSpaceDN w:val="0"/>
              <w:bidi w:val="0"/>
              <w:adjustRightInd/>
              <w:snapToGrid/>
              <w:spacing w:line="360" w:lineRule="auto"/>
              <w:ind w:left="0" w:right="0" w:firstLine="0" w:firstLineChars="0"/>
              <w:textAlignment w:val="auto"/>
              <w:rPr>
                <w:sz w:val="24"/>
                <w:szCs w:val="24"/>
              </w:rPr>
            </w:pPr>
            <w:r>
              <w:rPr>
                <w:sz w:val="24"/>
                <w:szCs w:val="24"/>
              </w:rPr>
              <w:t>年  月  日</w:t>
            </w:r>
          </w:p>
        </w:tc>
      </w:tr>
    </w:tbl>
    <w:p>
      <w:pPr>
        <w:rPr>
          <w:b/>
          <w:sz w:val="24"/>
          <w:szCs w:val="24"/>
        </w:rPr>
      </w:pPr>
      <w:r>
        <w:rPr>
          <w:b/>
          <w:sz w:val="24"/>
          <w:szCs w:val="24"/>
        </w:rPr>
        <w:t xml:space="preserve"> </w:t>
      </w:r>
    </w:p>
    <w:p>
      <w:pPr>
        <w:pStyle w:val="21"/>
        <w:snapToGrid w:val="0"/>
        <w:spacing w:before="0" w:after="0" w:line="520" w:lineRule="exact"/>
        <w:jc w:val="left"/>
        <w:outlineLvl w:val="9"/>
        <w:rPr>
          <w:snapToGrid w:val="0"/>
          <w:sz w:val="24"/>
          <w:szCs w:val="24"/>
        </w:rPr>
      </w:pPr>
      <w:r>
        <w:rPr>
          <w:snapToGrid w:val="0"/>
          <w:sz w:val="24"/>
          <w:szCs w:val="24"/>
        </w:rPr>
        <w:br w:type="page"/>
      </w:r>
      <w:bookmarkStart w:id="111" w:name="_Toc75573130"/>
      <w:r>
        <w:rPr>
          <w:snapToGrid w:val="0"/>
          <w:sz w:val="24"/>
          <w:szCs w:val="24"/>
        </w:rPr>
        <w:t>附件3</w:t>
      </w:r>
      <w:bookmarkEnd w:id="111"/>
    </w:p>
    <w:p>
      <w:pPr>
        <w:pStyle w:val="21"/>
        <w:snapToGrid w:val="0"/>
        <w:spacing w:before="0" w:after="0" w:line="520" w:lineRule="exact"/>
        <w:outlineLvl w:val="9"/>
        <w:rPr>
          <w:snapToGrid w:val="0"/>
          <w:sz w:val="24"/>
          <w:szCs w:val="24"/>
        </w:rPr>
      </w:pPr>
      <w:bookmarkStart w:id="112" w:name="_Toc75573131"/>
      <w:r>
        <w:rPr>
          <w:snapToGrid w:val="0"/>
          <w:sz w:val="24"/>
          <w:szCs w:val="24"/>
        </w:rPr>
        <w:t>服务水平协议</w:t>
      </w:r>
      <w:bookmarkEnd w:id="112"/>
    </w:p>
    <w:p>
      <w:pPr>
        <w:snapToGrid w:val="0"/>
        <w:spacing w:line="520" w:lineRule="exact"/>
        <w:rPr>
          <w:b/>
          <w:bCs/>
          <w:kern w:val="32"/>
          <w:sz w:val="24"/>
          <w:szCs w:val="24"/>
        </w:rPr>
      </w:pPr>
      <w:r>
        <w:rPr>
          <w:b/>
          <w:bCs/>
          <w:kern w:val="32"/>
          <w:sz w:val="24"/>
          <w:szCs w:val="24"/>
        </w:rPr>
        <w:t>1.目标</w:t>
      </w:r>
    </w:p>
    <w:p>
      <w:pPr>
        <w:snapToGrid w:val="0"/>
        <w:spacing w:line="520" w:lineRule="exact"/>
        <w:ind w:firstLine="480" w:firstLineChars="200"/>
        <w:rPr>
          <w:sz w:val="24"/>
          <w:szCs w:val="24"/>
        </w:rPr>
      </w:pPr>
      <w:r>
        <w:rPr>
          <w:sz w:val="24"/>
          <w:szCs w:val="24"/>
        </w:rPr>
        <w:t>本服务水平协议（SLA）的目标是为了清晰地定义由xxxxxx公司（乙方）在本项目中为重庆三峡银行（甲方）提供的服务水平，本SLA主要：</w:t>
      </w:r>
    </w:p>
    <w:p>
      <w:pPr>
        <w:widowControl/>
        <w:numPr>
          <w:ilvl w:val="0"/>
          <w:numId w:val="4"/>
        </w:numPr>
        <w:snapToGrid w:val="0"/>
        <w:spacing w:line="520" w:lineRule="exact"/>
        <w:jc w:val="left"/>
        <w:rPr>
          <w:sz w:val="24"/>
          <w:szCs w:val="24"/>
        </w:rPr>
      </w:pPr>
      <w:r>
        <w:rPr>
          <w:sz w:val="24"/>
          <w:szCs w:val="24"/>
        </w:rPr>
        <w:t>明确甲方对外包乙方所提供服务水平的期望</w:t>
      </w:r>
    </w:p>
    <w:p>
      <w:pPr>
        <w:widowControl/>
        <w:numPr>
          <w:ilvl w:val="0"/>
          <w:numId w:val="4"/>
        </w:numPr>
        <w:snapToGrid w:val="0"/>
        <w:spacing w:line="520" w:lineRule="exact"/>
        <w:jc w:val="left"/>
        <w:rPr>
          <w:sz w:val="24"/>
          <w:szCs w:val="24"/>
        </w:rPr>
      </w:pPr>
      <w:r>
        <w:rPr>
          <w:sz w:val="24"/>
          <w:szCs w:val="24"/>
        </w:rPr>
        <w:t>规范和加强甲方对乙方所提供服务水平的控制</w:t>
      </w:r>
    </w:p>
    <w:p>
      <w:pPr>
        <w:snapToGrid w:val="0"/>
        <w:spacing w:line="520" w:lineRule="exact"/>
        <w:ind w:firstLine="480" w:firstLineChars="200"/>
        <w:rPr>
          <w:sz w:val="24"/>
          <w:szCs w:val="24"/>
        </w:rPr>
      </w:pPr>
      <w:r>
        <w:rPr>
          <w:sz w:val="24"/>
          <w:szCs w:val="24"/>
        </w:rPr>
        <w:t>双方将针对本项目制定明确的职责分工表用来确定计划和管理服务水平协议的角色和职责。</w:t>
      </w:r>
    </w:p>
    <w:p>
      <w:pPr>
        <w:snapToGrid w:val="0"/>
        <w:spacing w:line="520" w:lineRule="exact"/>
        <w:rPr>
          <w:b/>
          <w:bCs/>
          <w:kern w:val="32"/>
          <w:sz w:val="24"/>
          <w:szCs w:val="24"/>
        </w:rPr>
      </w:pPr>
      <w:bookmarkStart w:id="113" w:name="_Toc254884641"/>
      <w:r>
        <w:rPr>
          <w:b/>
          <w:bCs/>
          <w:kern w:val="32"/>
          <w:sz w:val="24"/>
          <w:szCs w:val="24"/>
        </w:rPr>
        <w:t>2. 双方职责</w:t>
      </w:r>
      <w:bookmarkEnd w:id="113"/>
    </w:p>
    <w:p>
      <w:pPr>
        <w:snapToGrid w:val="0"/>
        <w:spacing w:line="520" w:lineRule="exact"/>
        <w:rPr>
          <w:b/>
          <w:bCs/>
          <w:kern w:val="32"/>
          <w:sz w:val="24"/>
          <w:szCs w:val="24"/>
        </w:rPr>
      </w:pPr>
      <w:bookmarkStart w:id="114" w:name="_Toc254884642"/>
      <w:r>
        <w:rPr>
          <w:b/>
          <w:bCs/>
          <w:kern w:val="32"/>
          <w:sz w:val="24"/>
          <w:szCs w:val="24"/>
        </w:rPr>
        <w:t>2.1乙方</w:t>
      </w:r>
      <w:bookmarkEnd w:id="114"/>
    </w:p>
    <w:p>
      <w:pPr>
        <w:snapToGrid w:val="0"/>
        <w:spacing w:line="520" w:lineRule="exact"/>
        <w:ind w:firstLine="480" w:firstLineChars="200"/>
        <w:rPr>
          <w:sz w:val="24"/>
          <w:szCs w:val="24"/>
        </w:rPr>
      </w:pPr>
      <w:r>
        <w:rPr>
          <w:sz w:val="24"/>
          <w:szCs w:val="24"/>
        </w:rPr>
        <w:t>除本协议第4章节描述的服务水平衡量和目标外，乙方还应：</w:t>
      </w:r>
    </w:p>
    <w:p>
      <w:pPr>
        <w:widowControl/>
        <w:numPr>
          <w:ilvl w:val="0"/>
          <w:numId w:val="4"/>
        </w:numPr>
        <w:spacing w:line="360" w:lineRule="auto"/>
        <w:jc w:val="left"/>
        <w:rPr>
          <w:sz w:val="24"/>
          <w:szCs w:val="24"/>
        </w:rPr>
      </w:pPr>
      <w:r>
        <w:rPr>
          <w:sz w:val="24"/>
          <w:szCs w:val="24"/>
        </w:rPr>
        <w:t>尽快向甲方管理层汇报发现的问题；</w:t>
      </w:r>
    </w:p>
    <w:p>
      <w:pPr>
        <w:widowControl/>
        <w:numPr>
          <w:ilvl w:val="0"/>
          <w:numId w:val="4"/>
        </w:numPr>
        <w:spacing w:line="360" w:lineRule="auto"/>
        <w:jc w:val="left"/>
        <w:rPr>
          <w:sz w:val="24"/>
          <w:szCs w:val="24"/>
        </w:rPr>
      </w:pPr>
      <w:r>
        <w:rPr>
          <w:sz w:val="24"/>
          <w:szCs w:val="24"/>
        </w:rPr>
        <w:t>任何可能影响SLA中规定服务的服务能力的事件，乙方应尽早向甲方提供预警信息，以及可能的影响和处置措施。事件包括：</w:t>
      </w:r>
    </w:p>
    <w:p>
      <w:pPr>
        <w:widowControl/>
        <w:numPr>
          <w:ilvl w:val="0"/>
          <w:numId w:val="5"/>
        </w:numPr>
        <w:spacing w:line="360" w:lineRule="auto"/>
        <w:jc w:val="left"/>
        <w:rPr>
          <w:sz w:val="24"/>
          <w:szCs w:val="24"/>
        </w:rPr>
      </w:pPr>
      <w:r>
        <w:rPr>
          <w:sz w:val="24"/>
          <w:szCs w:val="24"/>
        </w:rPr>
        <w:t>组织架构变更</w:t>
      </w:r>
    </w:p>
    <w:p>
      <w:pPr>
        <w:widowControl/>
        <w:numPr>
          <w:ilvl w:val="0"/>
          <w:numId w:val="5"/>
        </w:numPr>
        <w:spacing w:line="360" w:lineRule="auto"/>
        <w:jc w:val="left"/>
        <w:rPr>
          <w:sz w:val="24"/>
          <w:szCs w:val="24"/>
        </w:rPr>
      </w:pPr>
      <w:r>
        <w:rPr>
          <w:sz w:val="24"/>
          <w:szCs w:val="24"/>
        </w:rPr>
        <w:t>技术变更</w:t>
      </w:r>
    </w:p>
    <w:p>
      <w:pPr>
        <w:widowControl/>
        <w:numPr>
          <w:ilvl w:val="0"/>
          <w:numId w:val="5"/>
        </w:numPr>
        <w:spacing w:line="360" w:lineRule="auto"/>
        <w:jc w:val="left"/>
        <w:rPr>
          <w:sz w:val="24"/>
          <w:szCs w:val="24"/>
        </w:rPr>
      </w:pPr>
      <w:r>
        <w:rPr>
          <w:sz w:val="24"/>
          <w:szCs w:val="24"/>
        </w:rPr>
        <w:t>职能变更</w:t>
      </w:r>
    </w:p>
    <w:p>
      <w:pPr>
        <w:widowControl/>
        <w:numPr>
          <w:ilvl w:val="0"/>
          <w:numId w:val="5"/>
        </w:numPr>
        <w:spacing w:line="360" w:lineRule="auto"/>
        <w:jc w:val="left"/>
        <w:rPr>
          <w:sz w:val="24"/>
          <w:szCs w:val="24"/>
        </w:rPr>
      </w:pPr>
      <w:r>
        <w:rPr>
          <w:sz w:val="24"/>
          <w:szCs w:val="24"/>
        </w:rPr>
        <w:t>其他可能影响对甲方服务的突发事件</w:t>
      </w:r>
    </w:p>
    <w:p>
      <w:pPr>
        <w:widowControl/>
        <w:numPr>
          <w:ilvl w:val="0"/>
          <w:numId w:val="4"/>
        </w:numPr>
        <w:spacing w:line="360" w:lineRule="auto"/>
        <w:ind w:left="709" w:hanging="229"/>
        <w:jc w:val="left"/>
        <w:rPr>
          <w:sz w:val="24"/>
          <w:szCs w:val="24"/>
        </w:rPr>
      </w:pPr>
      <w:r>
        <w:rPr>
          <w:sz w:val="24"/>
          <w:szCs w:val="24"/>
        </w:rPr>
        <w:t xml:space="preserve"> 协助甲方及时解决生产事件。当问题产生时，应尽快采取适当的措施识别并修复问题。</w:t>
      </w:r>
    </w:p>
    <w:p>
      <w:pPr>
        <w:snapToGrid w:val="0"/>
        <w:spacing w:line="520" w:lineRule="exact"/>
        <w:rPr>
          <w:b/>
          <w:bCs/>
          <w:kern w:val="32"/>
          <w:sz w:val="24"/>
          <w:szCs w:val="24"/>
        </w:rPr>
      </w:pPr>
      <w:r>
        <w:rPr>
          <w:b/>
          <w:bCs/>
          <w:kern w:val="32"/>
          <w:sz w:val="24"/>
          <w:szCs w:val="24"/>
        </w:rPr>
        <w:t>2.2甲方</w:t>
      </w:r>
    </w:p>
    <w:p>
      <w:pPr>
        <w:widowControl/>
        <w:numPr>
          <w:ilvl w:val="0"/>
          <w:numId w:val="4"/>
        </w:numPr>
        <w:snapToGrid w:val="0"/>
        <w:spacing w:line="520" w:lineRule="exact"/>
        <w:ind w:left="709" w:hanging="229"/>
        <w:jc w:val="left"/>
        <w:rPr>
          <w:sz w:val="24"/>
          <w:szCs w:val="24"/>
        </w:rPr>
      </w:pPr>
      <w:r>
        <w:rPr>
          <w:sz w:val="24"/>
          <w:szCs w:val="24"/>
        </w:rPr>
        <w:t>甲方将尽快将问题汇报给乙方管理层；</w:t>
      </w:r>
    </w:p>
    <w:p>
      <w:pPr>
        <w:widowControl/>
        <w:numPr>
          <w:ilvl w:val="0"/>
          <w:numId w:val="4"/>
        </w:numPr>
        <w:snapToGrid w:val="0"/>
        <w:spacing w:line="520" w:lineRule="exact"/>
        <w:ind w:left="709" w:hanging="229"/>
        <w:jc w:val="left"/>
        <w:rPr>
          <w:sz w:val="24"/>
          <w:szCs w:val="24"/>
        </w:rPr>
      </w:pPr>
      <w:r>
        <w:rPr>
          <w:sz w:val="24"/>
          <w:szCs w:val="24"/>
        </w:rPr>
        <w:t>提供任何可能影响乙方向甲方提供SLA中规定服务的服务能力的事件信息，包括：</w:t>
      </w:r>
    </w:p>
    <w:p>
      <w:pPr>
        <w:widowControl/>
        <w:numPr>
          <w:ilvl w:val="0"/>
          <w:numId w:val="5"/>
        </w:numPr>
        <w:snapToGrid w:val="0"/>
        <w:spacing w:line="520" w:lineRule="exact"/>
        <w:jc w:val="left"/>
        <w:rPr>
          <w:sz w:val="24"/>
          <w:szCs w:val="24"/>
        </w:rPr>
      </w:pPr>
      <w:r>
        <w:rPr>
          <w:sz w:val="24"/>
          <w:szCs w:val="24"/>
        </w:rPr>
        <w:t>组织架构变更</w:t>
      </w:r>
    </w:p>
    <w:p>
      <w:pPr>
        <w:widowControl/>
        <w:numPr>
          <w:ilvl w:val="0"/>
          <w:numId w:val="5"/>
        </w:numPr>
        <w:snapToGrid w:val="0"/>
        <w:spacing w:line="520" w:lineRule="exact"/>
        <w:jc w:val="left"/>
        <w:rPr>
          <w:sz w:val="24"/>
          <w:szCs w:val="24"/>
        </w:rPr>
      </w:pPr>
      <w:r>
        <w:rPr>
          <w:sz w:val="24"/>
          <w:szCs w:val="24"/>
        </w:rPr>
        <w:t>技术变更</w:t>
      </w:r>
    </w:p>
    <w:p>
      <w:pPr>
        <w:widowControl/>
        <w:numPr>
          <w:ilvl w:val="0"/>
          <w:numId w:val="5"/>
        </w:numPr>
        <w:snapToGrid w:val="0"/>
        <w:spacing w:line="520" w:lineRule="exact"/>
        <w:jc w:val="left"/>
        <w:rPr>
          <w:sz w:val="24"/>
          <w:szCs w:val="24"/>
        </w:rPr>
      </w:pPr>
      <w:r>
        <w:rPr>
          <w:sz w:val="24"/>
          <w:szCs w:val="24"/>
        </w:rPr>
        <w:t>职能变更</w:t>
      </w:r>
    </w:p>
    <w:p>
      <w:pPr>
        <w:snapToGrid w:val="0"/>
        <w:spacing w:line="520" w:lineRule="exact"/>
        <w:rPr>
          <w:b/>
          <w:bCs/>
          <w:kern w:val="32"/>
          <w:sz w:val="24"/>
          <w:szCs w:val="24"/>
        </w:rPr>
      </w:pPr>
      <w:bookmarkStart w:id="115" w:name="_Toc254884648"/>
      <w:r>
        <w:rPr>
          <w:b/>
          <w:bCs/>
          <w:kern w:val="32"/>
          <w:sz w:val="24"/>
          <w:szCs w:val="24"/>
        </w:rPr>
        <w:t>3.联络表</w:t>
      </w:r>
      <w:bookmarkEnd w:id="115"/>
    </w:p>
    <w:tbl>
      <w:tblPr>
        <w:tblStyle w:val="25"/>
        <w:tblW w:w="8028" w:type="dxa"/>
        <w:tblInd w:w="675" w:type="dxa"/>
        <w:tblLayout w:type="fixed"/>
        <w:tblCellMar>
          <w:top w:w="0" w:type="dxa"/>
          <w:left w:w="108" w:type="dxa"/>
          <w:bottom w:w="0" w:type="dxa"/>
          <w:right w:w="108" w:type="dxa"/>
        </w:tblCellMar>
      </w:tblPr>
      <w:tblGrid>
        <w:gridCol w:w="2382"/>
        <w:gridCol w:w="2451"/>
        <w:gridCol w:w="3195"/>
      </w:tblGrid>
      <w:tr>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val="0"/>
              <w:spacing w:line="520" w:lineRule="exact"/>
              <w:ind w:firstLine="0" w:firstLineChars="0"/>
              <w:jc w:val="center"/>
              <w:textAlignment w:val="auto"/>
              <w:rPr>
                <w:sz w:val="21"/>
                <w:szCs w:val="21"/>
              </w:rPr>
            </w:pPr>
            <w:r>
              <w:rPr>
                <w:b/>
                <w:sz w:val="21"/>
                <w:szCs w:val="21"/>
              </w:rPr>
              <w:t xml:space="preserve">乙方 </w:t>
            </w:r>
          </w:p>
        </w:tc>
        <w:tc>
          <w:tcPr>
            <w:tcW w:w="245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val="0"/>
              <w:spacing w:line="520" w:lineRule="exact"/>
              <w:ind w:firstLine="0" w:firstLineChars="0"/>
              <w:jc w:val="center"/>
              <w:textAlignment w:val="auto"/>
              <w:rPr>
                <w:b/>
                <w:sz w:val="21"/>
                <w:szCs w:val="21"/>
              </w:rPr>
            </w:pPr>
            <w:r>
              <w:rPr>
                <w:b/>
                <w:sz w:val="21"/>
                <w:szCs w:val="21"/>
              </w:rPr>
              <w:t>职务</w:t>
            </w:r>
          </w:p>
        </w:tc>
        <w:tc>
          <w:tcPr>
            <w:tcW w:w="319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val="0"/>
              <w:spacing w:line="520" w:lineRule="exact"/>
              <w:ind w:firstLine="0" w:firstLineChars="0"/>
              <w:jc w:val="center"/>
              <w:textAlignment w:val="auto"/>
              <w:rPr>
                <w:b/>
                <w:sz w:val="21"/>
                <w:szCs w:val="21"/>
              </w:rPr>
            </w:pPr>
            <w:r>
              <w:rPr>
                <w:b/>
                <w:sz w:val="21"/>
                <w:szCs w:val="21"/>
              </w:rPr>
              <w:t>电话</w:t>
            </w:r>
          </w:p>
        </w:tc>
      </w:tr>
      <w:tr>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val="0"/>
              <w:spacing w:line="520" w:lineRule="exact"/>
              <w:ind w:firstLine="0" w:firstLineChars="0"/>
              <w:jc w:val="center"/>
              <w:textAlignment w:val="auto"/>
              <w:rPr>
                <w:sz w:val="21"/>
                <w:szCs w:val="21"/>
              </w:rPr>
            </w:pPr>
          </w:p>
        </w:tc>
        <w:tc>
          <w:tcPr>
            <w:tcW w:w="245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val="0"/>
              <w:spacing w:line="520" w:lineRule="exact"/>
              <w:ind w:firstLine="0" w:firstLineChars="0"/>
              <w:jc w:val="center"/>
              <w:textAlignment w:val="auto"/>
              <w:rPr>
                <w:sz w:val="21"/>
                <w:szCs w:val="21"/>
              </w:rPr>
            </w:pPr>
            <w:r>
              <w:rPr>
                <w:sz w:val="21"/>
                <w:szCs w:val="21"/>
              </w:rPr>
              <w:t>商务代表</w:t>
            </w:r>
          </w:p>
        </w:tc>
        <w:tc>
          <w:tcPr>
            <w:tcW w:w="319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val="0"/>
              <w:spacing w:line="520" w:lineRule="exact"/>
              <w:ind w:firstLine="0" w:firstLineChars="0"/>
              <w:jc w:val="center"/>
              <w:textAlignment w:val="auto"/>
              <w:rPr>
                <w:sz w:val="21"/>
                <w:szCs w:val="21"/>
              </w:rPr>
            </w:pPr>
          </w:p>
        </w:tc>
      </w:tr>
      <w:tr>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val="0"/>
              <w:spacing w:line="520" w:lineRule="exact"/>
              <w:ind w:firstLine="0" w:firstLineChars="0"/>
              <w:jc w:val="center"/>
              <w:textAlignment w:val="auto"/>
              <w:rPr>
                <w:sz w:val="21"/>
                <w:szCs w:val="21"/>
              </w:rPr>
            </w:pPr>
          </w:p>
        </w:tc>
        <w:tc>
          <w:tcPr>
            <w:tcW w:w="245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val="0"/>
              <w:spacing w:line="520" w:lineRule="exact"/>
              <w:ind w:firstLine="0" w:firstLineChars="0"/>
              <w:jc w:val="center"/>
              <w:textAlignment w:val="auto"/>
              <w:rPr>
                <w:sz w:val="21"/>
                <w:szCs w:val="21"/>
              </w:rPr>
            </w:pPr>
            <w:r>
              <w:rPr>
                <w:sz w:val="21"/>
                <w:szCs w:val="21"/>
              </w:rPr>
              <w:t>项目经理</w:t>
            </w:r>
          </w:p>
        </w:tc>
        <w:tc>
          <w:tcPr>
            <w:tcW w:w="319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val="0"/>
              <w:spacing w:line="520" w:lineRule="exact"/>
              <w:ind w:firstLine="0" w:firstLineChars="0"/>
              <w:jc w:val="center"/>
              <w:textAlignment w:val="auto"/>
              <w:rPr>
                <w:sz w:val="21"/>
                <w:szCs w:val="21"/>
              </w:rPr>
            </w:pPr>
          </w:p>
        </w:tc>
      </w:tr>
      <w:tr>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val="0"/>
              <w:spacing w:line="520" w:lineRule="exact"/>
              <w:ind w:firstLine="0" w:firstLineChars="0"/>
              <w:jc w:val="center"/>
              <w:textAlignment w:val="auto"/>
              <w:rPr>
                <w:sz w:val="21"/>
                <w:szCs w:val="21"/>
              </w:rPr>
            </w:pPr>
          </w:p>
        </w:tc>
        <w:tc>
          <w:tcPr>
            <w:tcW w:w="245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val="0"/>
              <w:spacing w:line="520" w:lineRule="exact"/>
              <w:ind w:firstLine="0" w:firstLineChars="0"/>
              <w:jc w:val="center"/>
              <w:textAlignment w:val="auto"/>
              <w:rPr>
                <w:sz w:val="21"/>
                <w:szCs w:val="21"/>
              </w:rPr>
            </w:pPr>
            <w:r>
              <w:rPr>
                <w:sz w:val="21"/>
                <w:szCs w:val="21"/>
              </w:rPr>
              <w:t>项目总监</w:t>
            </w:r>
          </w:p>
        </w:tc>
        <w:tc>
          <w:tcPr>
            <w:tcW w:w="319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val="0"/>
              <w:spacing w:line="520" w:lineRule="exact"/>
              <w:ind w:firstLine="0" w:firstLineChars="0"/>
              <w:jc w:val="center"/>
              <w:textAlignment w:val="auto"/>
              <w:rPr>
                <w:sz w:val="21"/>
                <w:szCs w:val="21"/>
              </w:rPr>
            </w:pPr>
          </w:p>
        </w:tc>
      </w:tr>
    </w:tbl>
    <w:p>
      <w:pPr>
        <w:snapToGrid w:val="0"/>
        <w:spacing w:line="520" w:lineRule="exact"/>
        <w:rPr>
          <w:sz w:val="24"/>
          <w:szCs w:val="24"/>
        </w:rPr>
      </w:pPr>
    </w:p>
    <w:p>
      <w:pPr>
        <w:snapToGrid w:val="0"/>
        <w:spacing w:line="520" w:lineRule="exact"/>
        <w:rPr>
          <w:b/>
          <w:bCs/>
          <w:kern w:val="32"/>
          <w:sz w:val="24"/>
          <w:szCs w:val="24"/>
        </w:rPr>
      </w:pPr>
      <w:r>
        <w:rPr>
          <w:b/>
          <w:bCs/>
          <w:kern w:val="32"/>
          <w:sz w:val="24"/>
          <w:szCs w:val="24"/>
        </w:rPr>
        <w:t>4.服务水平和指标</w:t>
      </w:r>
    </w:p>
    <w:p>
      <w:pPr>
        <w:pStyle w:val="11"/>
        <w:tabs>
          <w:tab w:val="right" w:pos="0"/>
        </w:tabs>
        <w:adjustRightInd w:val="0"/>
        <w:snapToGrid w:val="0"/>
        <w:spacing w:after="0" w:line="360" w:lineRule="auto"/>
        <w:ind w:left="0" w:leftChars="0" w:firstLine="480" w:firstLineChars="200"/>
        <w:rPr>
          <w:sz w:val="24"/>
        </w:rPr>
      </w:pPr>
      <w:r>
        <w:rPr>
          <w:sz w:val="24"/>
        </w:rPr>
        <w:t>甲方将定期对乙方进行考评，乙方提供的服务必须满足以下服务水平和指标要求，否则按违约金标准收取相应金额违约金。合计金额按主合同违约责任约定限定，扣除金额以人民币计算，由甲方直接扣除合同款项。乙方签订本合同即认可其派驻的项目经理被赋予项目管理的签字权，对其签字内容承担相应的违约责任。</w:t>
      </w:r>
    </w:p>
    <w:tbl>
      <w:tblPr>
        <w:tblStyle w:val="25"/>
        <w:tblW w:w="8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710"/>
        <w:gridCol w:w="1134"/>
        <w:gridCol w:w="1426"/>
        <w:gridCol w:w="1350"/>
        <w:gridCol w:w="1219"/>
        <w:gridCol w:w="1118"/>
        <w:gridCol w:w="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7" w:type="dxa"/>
            <w:vAlign w:val="center"/>
          </w:tcPr>
          <w:p>
            <w:pPr>
              <w:keepNext w:val="0"/>
              <w:keepLines w:val="0"/>
              <w:pageBreakBefore w:val="0"/>
              <w:widowControl/>
              <w:kinsoku/>
              <w:wordWrap/>
              <w:overflowPunct/>
              <w:topLinePunct w:val="0"/>
              <w:autoSpaceDE w:val="0"/>
              <w:autoSpaceDN w:val="0"/>
              <w:bidi w:val="0"/>
              <w:adjustRightInd/>
              <w:snapToGrid w:val="0"/>
              <w:ind w:left="0" w:firstLine="0" w:firstLineChars="0"/>
              <w:jc w:val="center"/>
              <w:textAlignment w:val="auto"/>
              <w:rPr>
                <w:b/>
                <w:sz w:val="21"/>
                <w:szCs w:val="21"/>
              </w:rPr>
            </w:pPr>
            <w:r>
              <w:rPr>
                <w:b/>
                <w:sz w:val="21"/>
                <w:szCs w:val="21"/>
              </w:rPr>
              <w:t>序号</w:t>
            </w:r>
          </w:p>
        </w:tc>
        <w:tc>
          <w:tcPr>
            <w:tcW w:w="710" w:type="dxa"/>
            <w:vAlign w:val="center"/>
          </w:tcPr>
          <w:p>
            <w:pPr>
              <w:keepNext w:val="0"/>
              <w:keepLines w:val="0"/>
              <w:pageBreakBefore w:val="0"/>
              <w:widowControl/>
              <w:kinsoku/>
              <w:wordWrap/>
              <w:overflowPunct/>
              <w:topLinePunct w:val="0"/>
              <w:autoSpaceDE w:val="0"/>
              <w:autoSpaceDN w:val="0"/>
              <w:bidi w:val="0"/>
              <w:adjustRightInd/>
              <w:snapToGrid w:val="0"/>
              <w:ind w:left="0" w:firstLine="0" w:firstLineChars="0"/>
              <w:jc w:val="center"/>
              <w:textAlignment w:val="auto"/>
              <w:rPr>
                <w:b/>
                <w:sz w:val="21"/>
                <w:szCs w:val="21"/>
              </w:rPr>
            </w:pPr>
            <w:r>
              <w:rPr>
                <w:b/>
                <w:sz w:val="21"/>
                <w:szCs w:val="21"/>
              </w:rPr>
              <w:t>服务内容</w:t>
            </w:r>
          </w:p>
        </w:tc>
        <w:tc>
          <w:tcPr>
            <w:tcW w:w="1134" w:type="dxa"/>
            <w:vAlign w:val="center"/>
          </w:tcPr>
          <w:p>
            <w:pPr>
              <w:keepNext w:val="0"/>
              <w:keepLines w:val="0"/>
              <w:pageBreakBefore w:val="0"/>
              <w:widowControl/>
              <w:kinsoku/>
              <w:wordWrap/>
              <w:overflowPunct/>
              <w:topLinePunct w:val="0"/>
              <w:autoSpaceDE w:val="0"/>
              <w:autoSpaceDN w:val="0"/>
              <w:bidi w:val="0"/>
              <w:adjustRightInd/>
              <w:snapToGrid w:val="0"/>
              <w:ind w:left="0" w:firstLine="0" w:firstLineChars="0"/>
              <w:jc w:val="center"/>
              <w:textAlignment w:val="auto"/>
              <w:rPr>
                <w:b/>
                <w:sz w:val="21"/>
                <w:szCs w:val="21"/>
              </w:rPr>
            </w:pPr>
            <w:r>
              <w:rPr>
                <w:b/>
                <w:sz w:val="21"/>
                <w:szCs w:val="21"/>
              </w:rPr>
              <w:t>服务定义</w:t>
            </w:r>
          </w:p>
        </w:tc>
        <w:tc>
          <w:tcPr>
            <w:tcW w:w="1426" w:type="dxa"/>
            <w:vAlign w:val="center"/>
          </w:tcPr>
          <w:p>
            <w:pPr>
              <w:keepNext w:val="0"/>
              <w:keepLines w:val="0"/>
              <w:pageBreakBefore w:val="0"/>
              <w:widowControl/>
              <w:kinsoku/>
              <w:wordWrap/>
              <w:overflowPunct/>
              <w:topLinePunct w:val="0"/>
              <w:autoSpaceDE w:val="0"/>
              <w:autoSpaceDN w:val="0"/>
              <w:bidi w:val="0"/>
              <w:adjustRightInd/>
              <w:snapToGrid w:val="0"/>
              <w:ind w:left="0" w:firstLine="0" w:firstLineChars="0"/>
              <w:jc w:val="center"/>
              <w:textAlignment w:val="auto"/>
              <w:rPr>
                <w:b/>
                <w:sz w:val="21"/>
                <w:szCs w:val="21"/>
              </w:rPr>
            </w:pPr>
            <w:r>
              <w:rPr>
                <w:b/>
                <w:sz w:val="21"/>
                <w:szCs w:val="21"/>
              </w:rPr>
              <w:t>服务标准</w:t>
            </w:r>
          </w:p>
        </w:tc>
        <w:tc>
          <w:tcPr>
            <w:tcW w:w="1350" w:type="dxa"/>
            <w:vAlign w:val="center"/>
          </w:tcPr>
          <w:p>
            <w:pPr>
              <w:keepNext w:val="0"/>
              <w:keepLines w:val="0"/>
              <w:pageBreakBefore w:val="0"/>
              <w:widowControl/>
              <w:kinsoku/>
              <w:wordWrap/>
              <w:overflowPunct/>
              <w:topLinePunct w:val="0"/>
              <w:autoSpaceDE w:val="0"/>
              <w:autoSpaceDN w:val="0"/>
              <w:bidi w:val="0"/>
              <w:adjustRightInd/>
              <w:snapToGrid w:val="0"/>
              <w:ind w:left="0" w:firstLine="0" w:firstLineChars="0"/>
              <w:jc w:val="center"/>
              <w:textAlignment w:val="auto"/>
              <w:rPr>
                <w:b/>
                <w:sz w:val="21"/>
                <w:szCs w:val="21"/>
              </w:rPr>
            </w:pPr>
            <w:r>
              <w:rPr>
                <w:b/>
                <w:sz w:val="21"/>
                <w:szCs w:val="21"/>
              </w:rPr>
              <w:t>指标计算</w:t>
            </w:r>
          </w:p>
        </w:tc>
        <w:tc>
          <w:tcPr>
            <w:tcW w:w="1219" w:type="dxa"/>
            <w:vAlign w:val="center"/>
          </w:tcPr>
          <w:p>
            <w:pPr>
              <w:keepNext w:val="0"/>
              <w:keepLines w:val="0"/>
              <w:pageBreakBefore w:val="0"/>
              <w:widowControl/>
              <w:kinsoku/>
              <w:wordWrap/>
              <w:overflowPunct/>
              <w:topLinePunct w:val="0"/>
              <w:autoSpaceDE w:val="0"/>
              <w:autoSpaceDN w:val="0"/>
              <w:bidi w:val="0"/>
              <w:adjustRightInd/>
              <w:snapToGrid w:val="0"/>
              <w:ind w:left="0" w:firstLine="0" w:firstLineChars="0"/>
              <w:jc w:val="center"/>
              <w:textAlignment w:val="auto"/>
              <w:rPr>
                <w:b/>
                <w:sz w:val="21"/>
                <w:szCs w:val="21"/>
              </w:rPr>
            </w:pPr>
            <w:r>
              <w:rPr>
                <w:b/>
                <w:sz w:val="21"/>
                <w:szCs w:val="21"/>
              </w:rPr>
              <w:t>服务水平要求</w:t>
            </w:r>
          </w:p>
        </w:tc>
        <w:tc>
          <w:tcPr>
            <w:tcW w:w="1118" w:type="dxa"/>
            <w:vAlign w:val="center"/>
          </w:tcPr>
          <w:p>
            <w:pPr>
              <w:keepNext w:val="0"/>
              <w:keepLines w:val="0"/>
              <w:pageBreakBefore w:val="0"/>
              <w:widowControl/>
              <w:kinsoku/>
              <w:wordWrap/>
              <w:overflowPunct/>
              <w:topLinePunct w:val="0"/>
              <w:autoSpaceDE w:val="0"/>
              <w:autoSpaceDN w:val="0"/>
              <w:bidi w:val="0"/>
              <w:adjustRightInd/>
              <w:snapToGrid w:val="0"/>
              <w:ind w:left="0" w:firstLine="0" w:firstLineChars="0"/>
              <w:jc w:val="center"/>
              <w:textAlignment w:val="auto"/>
              <w:rPr>
                <w:b/>
                <w:sz w:val="21"/>
                <w:szCs w:val="21"/>
              </w:rPr>
            </w:pPr>
            <w:r>
              <w:rPr>
                <w:b/>
                <w:sz w:val="21"/>
                <w:szCs w:val="21"/>
              </w:rPr>
              <w:t>违约金标准</w:t>
            </w:r>
          </w:p>
        </w:tc>
        <w:tc>
          <w:tcPr>
            <w:tcW w:w="807" w:type="dxa"/>
          </w:tcPr>
          <w:p>
            <w:pPr>
              <w:keepNext w:val="0"/>
              <w:keepLines w:val="0"/>
              <w:pageBreakBefore w:val="0"/>
              <w:widowControl/>
              <w:kinsoku/>
              <w:wordWrap/>
              <w:overflowPunct/>
              <w:topLinePunct w:val="0"/>
              <w:autoSpaceDE w:val="0"/>
              <w:autoSpaceDN w:val="0"/>
              <w:bidi w:val="0"/>
              <w:adjustRightInd/>
              <w:snapToGrid w:val="0"/>
              <w:ind w:left="0" w:firstLine="0" w:firstLineChars="0"/>
              <w:jc w:val="center"/>
              <w:textAlignment w:val="auto"/>
              <w:rPr>
                <w:b/>
                <w:sz w:val="21"/>
                <w:szCs w:val="21"/>
              </w:rPr>
            </w:pPr>
            <w:r>
              <w:rPr>
                <w:b/>
                <w:sz w:val="21"/>
                <w:szCs w:val="21"/>
              </w:rPr>
              <w:t>是否满意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567"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center"/>
              <w:textAlignment w:val="auto"/>
              <w:rPr>
                <w:sz w:val="21"/>
                <w:szCs w:val="21"/>
              </w:rPr>
            </w:pPr>
            <w:r>
              <w:rPr>
                <w:sz w:val="21"/>
                <w:szCs w:val="21"/>
              </w:rPr>
              <w:t>1</w:t>
            </w:r>
          </w:p>
        </w:tc>
        <w:tc>
          <w:tcPr>
            <w:tcW w:w="710"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任务响应</w:t>
            </w:r>
          </w:p>
        </w:tc>
        <w:tc>
          <w:tcPr>
            <w:tcW w:w="1134"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衡量乙方在需求与问题响应方面的能力</w:t>
            </w:r>
          </w:p>
        </w:tc>
        <w:tc>
          <w:tcPr>
            <w:tcW w:w="1426"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乙方在收到甲方任务后2个工作日内，向甲方反馈确认任务的实施方案、计划和工作量等</w:t>
            </w:r>
          </w:p>
        </w:tc>
        <w:tc>
          <w:tcPr>
            <w:tcW w:w="1350"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甲方应当明确任务提出时间，乙方应当向甲方发出一个确认任务响应信息</w:t>
            </w:r>
          </w:p>
        </w:tc>
        <w:tc>
          <w:tcPr>
            <w:tcW w:w="1219"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乙方不得违反承诺响应时间</w:t>
            </w:r>
          </w:p>
        </w:tc>
        <w:tc>
          <w:tcPr>
            <w:tcW w:w="1118"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如违反承诺的响应时间要求，每次扣除1000元违约金</w:t>
            </w:r>
          </w:p>
        </w:tc>
        <w:tc>
          <w:tcPr>
            <w:tcW w:w="807" w:type="dxa"/>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67"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center"/>
              <w:textAlignment w:val="auto"/>
              <w:rPr>
                <w:sz w:val="21"/>
                <w:szCs w:val="21"/>
              </w:rPr>
            </w:pPr>
            <w:r>
              <w:rPr>
                <w:sz w:val="21"/>
                <w:szCs w:val="21"/>
              </w:rPr>
              <w:t>2</w:t>
            </w:r>
          </w:p>
        </w:tc>
        <w:tc>
          <w:tcPr>
            <w:tcW w:w="710"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任务完成情况</w:t>
            </w:r>
          </w:p>
        </w:tc>
        <w:tc>
          <w:tcPr>
            <w:tcW w:w="1134"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衡量乙方按计划完成任务的能力</w:t>
            </w:r>
          </w:p>
        </w:tc>
        <w:tc>
          <w:tcPr>
            <w:tcW w:w="1426"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乙方应当在双方确认的时间内完成任务</w:t>
            </w:r>
          </w:p>
        </w:tc>
        <w:tc>
          <w:tcPr>
            <w:tcW w:w="1350"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shd w:val="solid" w:color="FFFF00" w:fill="FFFFFF"/>
              </w:rPr>
            </w:pPr>
            <w:r>
              <w:rPr>
                <w:sz w:val="21"/>
                <w:szCs w:val="21"/>
              </w:rPr>
              <w:t>任务完成及时率＝（规定时间内完成任务的次数/总任务数）×100%</w:t>
            </w:r>
          </w:p>
        </w:tc>
        <w:tc>
          <w:tcPr>
            <w:tcW w:w="1219"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任务完成及时率≥90%</w:t>
            </w:r>
          </w:p>
        </w:tc>
        <w:tc>
          <w:tcPr>
            <w:tcW w:w="1118"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p>
        </w:tc>
        <w:tc>
          <w:tcPr>
            <w:tcW w:w="807" w:type="dxa"/>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567"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center"/>
              <w:textAlignment w:val="auto"/>
              <w:rPr>
                <w:sz w:val="21"/>
                <w:szCs w:val="21"/>
              </w:rPr>
            </w:pPr>
            <w:r>
              <w:rPr>
                <w:sz w:val="21"/>
                <w:szCs w:val="21"/>
              </w:rPr>
              <w:t>3</w:t>
            </w:r>
          </w:p>
        </w:tc>
        <w:tc>
          <w:tcPr>
            <w:tcW w:w="710"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项目延期</w:t>
            </w:r>
          </w:p>
        </w:tc>
        <w:tc>
          <w:tcPr>
            <w:tcW w:w="1134"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衡量乙方对项目整体实施进度的控制能力</w:t>
            </w:r>
          </w:p>
        </w:tc>
        <w:tc>
          <w:tcPr>
            <w:tcW w:w="1426"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乙方原因导致的项目进度偏差</w:t>
            </w:r>
          </w:p>
        </w:tc>
        <w:tc>
          <w:tcPr>
            <w:tcW w:w="1350"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按项目计划为基准计算进度偏差天数</w:t>
            </w:r>
          </w:p>
        </w:tc>
        <w:tc>
          <w:tcPr>
            <w:tcW w:w="1219"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进度偏差率=进度偏差天数/项目计划中进度天数（进度偏差率≤20%）</w:t>
            </w:r>
          </w:p>
        </w:tc>
        <w:tc>
          <w:tcPr>
            <w:tcW w:w="1118"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20%＜进度偏差率≤30%，每偏差一天按合同金额的0.1%罚款，进度偏差率＞30%并且延期3个月以上，罚款合同金额的10%</w:t>
            </w:r>
          </w:p>
        </w:tc>
        <w:tc>
          <w:tcPr>
            <w:tcW w:w="807" w:type="dxa"/>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567"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center"/>
              <w:textAlignment w:val="auto"/>
              <w:rPr>
                <w:sz w:val="21"/>
                <w:szCs w:val="21"/>
              </w:rPr>
            </w:pPr>
            <w:r>
              <w:rPr>
                <w:sz w:val="21"/>
                <w:szCs w:val="21"/>
              </w:rPr>
              <w:t>4</w:t>
            </w:r>
          </w:p>
        </w:tc>
        <w:tc>
          <w:tcPr>
            <w:tcW w:w="710"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驻场时间</w:t>
            </w:r>
          </w:p>
        </w:tc>
        <w:tc>
          <w:tcPr>
            <w:tcW w:w="1134"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衡量乙方关键咨询专家驻场服务时间</w:t>
            </w:r>
          </w:p>
        </w:tc>
        <w:tc>
          <w:tcPr>
            <w:tcW w:w="1426"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乙方专家实际驻场时间应与合同约定时间一致</w:t>
            </w:r>
          </w:p>
        </w:tc>
        <w:tc>
          <w:tcPr>
            <w:tcW w:w="1350"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按实际天数与合同约定天数对比</w:t>
            </w:r>
          </w:p>
        </w:tc>
        <w:tc>
          <w:tcPr>
            <w:tcW w:w="1219"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乙方不得违反承诺驻场时间</w:t>
            </w:r>
          </w:p>
        </w:tc>
        <w:tc>
          <w:tcPr>
            <w:tcW w:w="1118"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实际驻场天数与合同约定天数每偏差1天，扣除合同金额5000元</w:t>
            </w:r>
          </w:p>
        </w:tc>
        <w:tc>
          <w:tcPr>
            <w:tcW w:w="807" w:type="dxa"/>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67"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center"/>
              <w:textAlignment w:val="auto"/>
              <w:rPr>
                <w:sz w:val="21"/>
                <w:szCs w:val="21"/>
              </w:rPr>
            </w:pPr>
            <w:r>
              <w:rPr>
                <w:sz w:val="21"/>
                <w:szCs w:val="21"/>
              </w:rPr>
              <w:t>5</w:t>
            </w:r>
          </w:p>
        </w:tc>
        <w:tc>
          <w:tcPr>
            <w:tcW w:w="710"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交付文档数量及质量</w:t>
            </w:r>
          </w:p>
        </w:tc>
        <w:tc>
          <w:tcPr>
            <w:tcW w:w="1134"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衡量甲方内部人员对乙方所提供文档的满意情况</w:t>
            </w:r>
          </w:p>
        </w:tc>
        <w:tc>
          <w:tcPr>
            <w:tcW w:w="1426"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交付文档数量及质量满足甲方要求</w:t>
            </w:r>
          </w:p>
        </w:tc>
        <w:tc>
          <w:tcPr>
            <w:tcW w:w="1350"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甲方根据乙方实际交付的文档数量及文档质量计算</w:t>
            </w:r>
          </w:p>
        </w:tc>
        <w:tc>
          <w:tcPr>
            <w:tcW w:w="1219"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文档实际交付数量不少于甲方要求数量（文档实际交付数量是指文档交付甲方后甲方确认文档质量并实际接收的文档数量）</w:t>
            </w:r>
          </w:p>
        </w:tc>
        <w:tc>
          <w:tcPr>
            <w:tcW w:w="1118"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文档每缺少一个扣除合同金额2000元；每有一个文档质量不合格扣除合同金额2000元</w:t>
            </w:r>
          </w:p>
        </w:tc>
        <w:tc>
          <w:tcPr>
            <w:tcW w:w="807" w:type="dxa"/>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center"/>
              <w:textAlignment w:val="auto"/>
              <w:rPr>
                <w:sz w:val="21"/>
                <w:szCs w:val="21"/>
              </w:rPr>
            </w:pPr>
            <w:r>
              <w:rPr>
                <w:sz w:val="21"/>
                <w:szCs w:val="21"/>
              </w:rPr>
              <w:t>6</w:t>
            </w:r>
          </w:p>
        </w:tc>
        <w:tc>
          <w:tcPr>
            <w:tcW w:w="710"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人力资源投入及人员稳定性</w:t>
            </w:r>
          </w:p>
        </w:tc>
        <w:tc>
          <w:tcPr>
            <w:tcW w:w="1134"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衡量乙方人员服务的符合度及人员稳定性</w:t>
            </w:r>
          </w:p>
        </w:tc>
        <w:tc>
          <w:tcPr>
            <w:tcW w:w="1426"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投入人员情况符合参选文件或合同要求，乙方项目组人员变动比例不得高于30%</w:t>
            </w:r>
          </w:p>
        </w:tc>
        <w:tc>
          <w:tcPr>
            <w:tcW w:w="1350"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甲方按合同要求判定乙方人员投入及变动情况</w:t>
            </w:r>
          </w:p>
        </w:tc>
        <w:tc>
          <w:tcPr>
            <w:tcW w:w="1219"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人员数量差异=承诺人数-实际人数</w:t>
            </w:r>
          </w:p>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人员变动率=人员变动人数/原项目组人员总人数（人员数量差异≤2；人咨询骨干专家不得变动；咨询人员变动率≤30%）</w:t>
            </w:r>
          </w:p>
        </w:tc>
        <w:tc>
          <w:tcPr>
            <w:tcW w:w="1118"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咨询专家变动扣除专家人月单价（至少不低于5万元），咨询人员变动高于超过30%，扣除合同金额10%</w:t>
            </w:r>
          </w:p>
        </w:tc>
        <w:tc>
          <w:tcPr>
            <w:tcW w:w="807" w:type="dxa"/>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center"/>
              <w:textAlignment w:val="auto"/>
              <w:rPr>
                <w:sz w:val="21"/>
                <w:szCs w:val="21"/>
              </w:rPr>
            </w:pPr>
            <w:r>
              <w:rPr>
                <w:sz w:val="21"/>
                <w:szCs w:val="21"/>
              </w:rPr>
              <w:t>7</w:t>
            </w:r>
          </w:p>
        </w:tc>
        <w:tc>
          <w:tcPr>
            <w:tcW w:w="710"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人员异常退出</w:t>
            </w:r>
          </w:p>
        </w:tc>
        <w:tc>
          <w:tcPr>
            <w:tcW w:w="1134"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衡量乙方人员是否提供持续服务</w:t>
            </w:r>
          </w:p>
        </w:tc>
        <w:tc>
          <w:tcPr>
            <w:tcW w:w="1426"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未经甲方同意，乙方人员辞职和离职或无计划的调离项目组</w:t>
            </w:r>
          </w:p>
        </w:tc>
        <w:tc>
          <w:tcPr>
            <w:tcW w:w="1350"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甲方根据乙方人员退出的具体时间和原因测算</w:t>
            </w:r>
          </w:p>
        </w:tc>
        <w:tc>
          <w:tcPr>
            <w:tcW w:w="1219"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人员异常退出次数=0</w:t>
            </w:r>
          </w:p>
        </w:tc>
        <w:tc>
          <w:tcPr>
            <w:tcW w:w="1118"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每次人员异常退出扣除乙方金额人民币1000元</w:t>
            </w:r>
          </w:p>
        </w:tc>
        <w:tc>
          <w:tcPr>
            <w:tcW w:w="807" w:type="dxa"/>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67"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center"/>
              <w:textAlignment w:val="auto"/>
              <w:rPr>
                <w:sz w:val="21"/>
                <w:szCs w:val="21"/>
              </w:rPr>
            </w:pPr>
            <w:r>
              <w:rPr>
                <w:sz w:val="21"/>
                <w:szCs w:val="21"/>
              </w:rPr>
              <w:t>8</w:t>
            </w:r>
          </w:p>
        </w:tc>
        <w:tc>
          <w:tcPr>
            <w:tcW w:w="710"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人员纪律性</w:t>
            </w:r>
          </w:p>
        </w:tc>
        <w:tc>
          <w:tcPr>
            <w:tcW w:w="1134"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衡量乙方人员是否遵守甲方的日常规章和操作规范</w:t>
            </w:r>
          </w:p>
        </w:tc>
        <w:tc>
          <w:tcPr>
            <w:tcW w:w="1426"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乙方人员不得违反甲方的各项规章制度和操作规范</w:t>
            </w:r>
          </w:p>
        </w:tc>
        <w:tc>
          <w:tcPr>
            <w:tcW w:w="1350"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甲方根据自身检查及其他管理部门的检查结果为依据统计乙方人员违规次数。</w:t>
            </w:r>
          </w:p>
        </w:tc>
        <w:tc>
          <w:tcPr>
            <w:tcW w:w="1219"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人员违规次数=0次</w:t>
            </w:r>
          </w:p>
        </w:tc>
        <w:tc>
          <w:tcPr>
            <w:tcW w:w="1118"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乙方人员违规每次扣除乙方金额人民币500元</w:t>
            </w:r>
          </w:p>
        </w:tc>
        <w:tc>
          <w:tcPr>
            <w:tcW w:w="807" w:type="dxa"/>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67"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center"/>
              <w:textAlignment w:val="auto"/>
              <w:rPr>
                <w:sz w:val="21"/>
                <w:szCs w:val="21"/>
              </w:rPr>
            </w:pPr>
            <w:r>
              <w:rPr>
                <w:sz w:val="21"/>
                <w:szCs w:val="21"/>
              </w:rPr>
              <w:t>9</w:t>
            </w:r>
          </w:p>
        </w:tc>
        <w:tc>
          <w:tcPr>
            <w:tcW w:w="710" w:type="dxa"/>
            <w:vAlign w:val="center"/>
          </w:tcPr>
          <w:p>
            <w:pPr>
              <w:keepNext w:val="0"/>
              <w:keepLines w:val="0"/>
              <w:pageBreakBefore w:val="0"/>
              <w:widowControl/>
              <w:kinsoku/>
              <w:wordWrap/>
              <w:overflowPunct/>
              <w:topLinePunct w:val="0"/>
              <w:autoSpaceDE w:val="0"/>
              <w:autoSpaceDN w:val="0"/>
              <w:bidi w:val="0"/>
              <w:adjustRightInd/>
              <w:ind w:left="0" w:firstLine="0" w:firstLineChars="0"/>
              <w:jc w:val="left"/>
              <w:textAlignment w:val="auto"/>
              <w:rPr>
                <w:sz w:val="21"/>
                <w:szCs w:val="21"/>
              </w:rPr>
            </w:pPr>
            <w:r>
              <w:rPr>
                <w:sz w:val="21"/>
                <w:szCs w:val="21"/>
              </w:rPr>
              <w:t>网络安全事件</w:t>
            </w:r>
          </w:p>
        </w:tc>
        <w:tc>
          <w:tcPr>
            <w:tcW w:w="1134" w:type="dxa"/>
            <w:vAlign w:val="center"/>
          </w:tcPr>
          <w:p>
            <w:pPr>
              <w:keepNext w:val="0"/>
              <w:keepLines w:val="0"/>
              <w:pageBreakBefore w:val="0"/>
              <w:widowControl/>
              <w:kinsoku/>
              <w:wordWrap/>
              <w:overflowPunct/>
              <w:topLinePunct w:val="0"/>
              <w:autoSpaceDE w:val="0"/>
              <w:autoSpaceDN w:val="0"/>
              <w:bidi w:val="0"/>
              <w:adjustRightInd/>
              <w:ind w:left="0" w:firstLine="0" w:firstLineChars="0"/>
              <w:jc w:val="left"/>
              <w:textAlignment w:val="auto"/>
              <w:rPr>
                <w:sz w:val="21"/>
                <w:szCs w:val="21"/>
              </w:rPr>
            </w:pPr>
            <w:r>
              <w:rPr>
                <w:sz w:val="21"/>
                <w:szCs w:val="21"/>
              </w:rPr>
              <w:t>控制网络安全风险</w:t>
            </w:r>
          </w:p>
        </w:tc>
        <w:tc>
          <w:tcPr>
            <w:tcW w:w="1426" w:type="dxa"/>
            <w:vAlign w:val="center"/>
          </w:tcPr>
          <w:p>
            <w:pPr>
              <w:keepNext w:val="0"/>
              <w:keepLines w:val="0"/>
              <w:pageBreakBefore w:val="0"/>
              <w:widowControl/>
              <w:kinsoku/>
              <w:wordWrap/>
              <w:overflowPunct/>
              <w:topLinePunct w:val="0"/>
              <w:autoSpaceDE w:val="0"/>
              <w:autoSpaceDN w:val="0"/>
              <w:bidi w:val="0"/>
              <w:adjustRightInd/>
              <w:ind w:left="0" w:firstLine="0" w:firstLineChars="0"/>
              <w:jc w:val="left"/>
              <w:textAlignment w:val="auto"/>
              <w:rPr>
                <w:sz w:val="21"/>
                <w:szCs w:val="21"/>
              </w:rPr>
            </w:pPr>
            <w:r>
              <w:rPr>
                <w:sz w:val="21"/>
                <w:szCs w:val="21"/>
              </w:rPr>
              <w:t>不得因乙方原因（含乙方合作的第三方）导致甲方发生网络安全事件</w:t>
            </w:r>
          </w:p>
        </w:tc>
        <w:tc>
          <w:tcPr>
            <w:tcW w:w="1350" w:type="dxa"/>
            <w:vAlign w:val="center"/>
          </w:tcPr>
          <w:p>
            <w:pPr>
              <w:keepNext w:val="0"/>
              <w:keepLines w:val="0"/>
              <w:pageBreakBefore w:val="0"/>
              <w:widowControl/>
              <w:kinsoku/>
              <w:wordWrap/>
              <w:overflowPunct/>
              <w:topLinePunct w:val="0"/>
              <w:autoSpaceDE w:val="0"/>
              <w:autoSpaceDN w:val="0"/>
              <w:bidi w:val="0"/>
              <w:adjustRightInd/>
              <w:ind w:left="0" w:firstLine="0" w:firstLineChars="0"/>
              <w:jc w:val="left"/>
              <w:textAlignment w:val="auto"/>
              <w:rPr>
                <w:sz w:val="21"/>
                <w:szCs w:val="21"/>
              </w:rPr>
            </w:pPr>
            <w:r>
              <w:rPr>
                <w:sz w:val="21"/>
                <w:szCs w:val="21"/>
              </w:rPr>
              <w:t>甲方根据监管及本行要求及事件危害程度判定。</w:t>
            </w:r>
          </w:p>
        </w:tc>
        <w:tc>
          <w:tcPr>
            <w:tcW w:w="1219" w:type="dxa"/>
            <w:vAlign w:val="center"/>
          </w:tcPr>
          <w:p>
            <w:pPr>
              <w:keepNext w:val="0"/>
              <w:keepLines w:val="0"/>
              <w:pageBreakBefore w:val="0"/>
              <w:widowControl/>
              <w:kinsoku/>
              <w:wordWrap/>
              <w:overflowPunct/>
              <w:topLinePunct w:val="0"/>
              <w:autoSpaceDE w:val="0"/>
              <w:autoSpaceDN w:val="0"/>
              <w:bidi w:val="0"/>
              <w:adjustRightInd/>
              <w:ind w:left="0" w:firstLine="0" w:firstLineChars="0"/>
              <w:jc w:val="left"/>
              <w:textAlignment w:val="auto"/>
              <w:rPr>
                <w:sz w:val="21"/>
                <w:szCs w:val="21"/>
              </w:rPr>
            </w:pPr>
            <w:r>
              <w:rPr>
                <w:sz w:val="21"/>
                <w:szCs w:val="21"/>
              </w:rPr>
              <w:t>网络安全事件=0</w:t>
            </w:r>
          </w:p>
        </w:tc>
        <w:tc>
          <w:tcPr>
            <w:tcW w:w="1118" w:type="dxa"/>
            <w:vAlign w:val="center"/>
          </w:tcPr>
          <w:p>
            <w:pPr>
              <w:keepNext w:val="0"/>
              <w:keepLines w:val="0"/>
              <w:pageBreakBefore w:val="0"/>
              <w:widowControl/>
              <w:kinsoku/>
              <w:wordWrap/>
              <w:overflowPunct/>
              <w:topLinePunct w:val="0"/>
              <w:autoSpaceDE w:val="0"/>
              <w:autoSpaceDN w:val="0"/>
              <w:bidi w:val="0"/>
              <w:adjustRightInd/>
              <w:ind w:left="0" w:firstLine="0" w:firstLineChars="0"/>
              <w:jc w:val="left"/>
              <w:textAlignment w:val="auto"/>
              <w:rPr>
                <w:sz w:val="21"/>
                <w:szCs w:val="21"/>
              </w:rPr>
            </w:pPr>
            <w:r>
              <w:rPr>
                <w:sz w:val="21"/>
                <w:szCs w:val="21"/>
              </w:rPr>
              <w:t>每发生一次网络安全事件扣除乙方合同金额不低于3%,并要求乙方赔偿实际损失。</w:t>
            </w:r>
          </w:p>
        </w:tc>
        <w:tc>
          <w:tcPr>
            <w:tcW w:w="807" w:type="dxa"/>
            <w:vAlign w:val="center"/>
          </w:tcPr>
          <w:p>
            <w:pPr>
              <w:keepNext w:val="0"/>
              <w:keepLines w:val="0"/>
              <w:pageBreakBefore w:val="0"/>
              <w:widowControl/>
              <w:kinsoku/>
              <w:wordWrap/>
              <w:overflowPunct/>
              <w:topLinePunct w:val="0"/>
              <w:autoSpaceDE w:val="0"/>
              <w:autoSpaceDN w:val="0"/>
              <w:bidi w:val="0"/>
              <w:adjustRightInd/>
              <w:ind w:left="0" w:firstLine="0" w:firstLineChars="0"/>
              <w:jc w:val="lef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67" w:type="dxa"/>
            <w:noWrap/>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center"/>
              <w:textAlignment w:val="auto"/>
              <w:rPr>
                <w:sz w:val="21"/>
                <w:szCs w:val="21"/>
              </w:rPr>
            </w:pPr>
            <w:r>
              <w:rPr>
                <w:sz w:val="21"/>
                <w:szCs w:val="21"/>
              </w:rPr>
              <w:t>10</w:t>
            </w:r>
          </w:p>
        </w:tc>
        <w:tc>
          <w:tcPr>
            <w:tcW w:w="710"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外包安全事件</w:t>
            </w:r>
          </w:p>
        </w:tc>
        <w:tc>
          <w:tcPr>
            <w:tcW w:w="1134"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控制外包操作风险</w:t>
            </w:r>
          </w:p>
        </w:tc>
        <w:tc>
          <w:tcPr>
            <w:tcW w:w="1426"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乙方不得出现危害甲方生产运行安全、数据安全等外包安全事件。</w:t>
            </w:r>
          </w:p>
        </w:tc>
        <w:tc>
          <w:tcPr>
            <w:tcW w:w="1350"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甲方根据监管要求及时间的危害程度判定</w:t>
            </w:r>
          </w:p>
        </w:tc>
        <w:tc>
          <w:tcPr>
            <w:tcW w:w="1219"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根据甲方监管要求定义的安全事件，包括造成办公环境物理安全隐患，破坏测试环境数据，在生产运营系统上违反规定进行数据操作或在实施过程中留下信息系统后门等行为。（外包安全事件=0）</w:t>
            </w:r>
          </w:p>
        </w:tc>
        <w:tc>
          <w:tcPr>
            <w:tcW w:w="1118" w:type="dxa"/>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每次事件扣除乙方金额不低于人民币1000元，并要求乙方赔偿实际损失。</w:t>
            </w:r>
          </w:p>
        </w:tc>
        <w:tc>
          <w:tcPr>
            <w:tcW w:w="807" w:type="dxa"/>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567" w:type="dxa"/>
            <w:noWrap/>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center"/>
              <w:textAlignment w:val="auto"/>
              <w:rPr>
                <w:sz w:val="21"/>
                <w:szCs w:val="21"/>
              </w:rPr>
            </w:pPr>
            <w:r>
              <w:rPr>
                <w:sz w:val="21"/>
                <w:szCs w:val="21"/>
              </w:rPr>
              <w:t>合计</w:t>
            </w:r>
          </w:p>
        </w:tc>
        <w:tc>
          <w:tcPr>
            <w:tcW w:w="710" w:type="dxa"/>
            <w:noWrap/>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SLA满足率</w:t>
            </w:r>
          </w:p>
        </w:tc>
        <w:tc>
          <w:tcPr>
            <w:tcW w:w="1134" w:type="dxa"/>
            <w:noWrap/>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此数据是衡量满足要求的SLA个数与整体SLA个数的百分之整体的比率</w:t>
            </w:r>
          </w:p>
        </w:tc>
        <w:tc>
          <w:tcPr>
            <w:tcW w:w="1426" w:type="dxa"/>
            <w:noWrap/>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衡量乙方达到要求的SLA占全部SLA的百分比。</w:t>
            </w:r>
          </w:p>
        </w:tc>
        <w:tc>
          <w:tcPr>
            <w:tcW w:w="1350" w:type="dxa"/>
            <w:noWrap/>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为了这个度量报告，需要持续汇报SOW中所有SLA情况。</w:t>
            </w:r>
          </w:p>
        </w:tc>
        <w:tc>
          <w:tcPr>
            <w:tcW w:w="1219" w:type="dxa"/>
            <w:noWrap/>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SLA满足率＝（满足SLA的个数/总体SLA的个数）×100%（SLA满足率≥70%）</w:t>
            </w:r>
          </w:p>
        </w:tc>
        <w:tc>
          <w:tcPr>
            <w:tcW w:w="1118" w:type="dxa"/>
            <w:noWrap/>
            <w:vAlign w:val="center"/>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r>
              <w:rPr>
                <w:sz w:val="21"/>
                <w:szCs w:val="21"/>
              </w:rPr>
              <w:t>SLA满足率每低于标准5%，扣除合同金额的1%</w:t>
            </w:r>
          </w:p>
        </w:tc>
        <w:tc>
          <w:tcPr>
            <w:tcW w:w="807" w:type="dxa"/>
          </w:tcPr>
          <w:p>
            <w:pPr>
              <w:keepNext w:val="0"/>
              <w:keepLines w:val="0"/>
              <w:pageBreakBefore w:val="0"/>
              <w:widowControl/>
              <w:kinsoku/>
              <w:wordWrap/>
              <w:overflowPunct/>
              <w:topLinePunct w:val="0"/>
              <w:autoSpaceDE w:val="0"/>
              <w:autoSpaceDN w:val="0"/>
              <w:bidi w:val="0"/>
              <w:adjustRightInd/>
              <w:snapToGrid w:val="0"/>
              <w:spacing w:line="320" w:lineRule="exact"/>
              <w:ind w:left="0" w:firstLine="0" w:firstLineChars="0"/>
              <w:jc w:val="lef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8331" w:type="dxa"/>
            <w:gridSpan w:val="8"/>
            <w:noWrap/>
            <w:vAlign w:val="bottom"/>
          </w:tcPr>
          <w:p>
            <w:pPr>
              <w:keepNext w:val="0"/>
              <w:keepLines w:val="0"/>
              <w:pageBreakBefore w:val="0"/>
              <w:widowControl/>
              <w:kinsoku/>
              <w:wordWrap/>
              <w:overflowPunct/>
              <w:topLinePunct w:val="0"/>
              <w:autoSpaceDE w:val="0"/>
              <w:autoSpaceDN w:val="0"/>
              <w:bidi w:val="0"/>
              <w:adjustRightInd/>
              <w:snapToGrid w:val="0"/>
              <w:spacing w:line="520" w:lineRule="exact"/>
              <w:ind w:left="0" w:firstLine="0" w:firstLineChars="0"/>
              <w:textAlignment w:val="auto"/>
              <w:rPr>
                <w:sz w:val="21"/>
                <w:szCs w:val="21"/>
              </w:rPr>
            </w:pPr>
            <w:r>
              <w:rPr>
                <w:sz w:val="21"/>
                <w:szCs w:val="21"/>
              </w:rPr>
              <w:t>综合评价：</w:t>
            </w:r>
          </w:p>
          <w:p>
            <w:pPr>
              <w:keepNext w:val="0"/>
              <w:keepLines w:val="0"/>
              <w:pageBreakBefore w:val="0"/>
              <w:widowControl/>
              <w:kinsoku/>
              <w:wordWrap/>
              <w:overflowPunct/>
              <w:topLinePunct w:val="0"/>
              <w:autoSpaceDE w:val="0"/>
              <w:autoSpaceDN w:val="0"/>
              <w:bidi w:val="0"/>
              <w:adjustRightInd/>
              <w:snapToGrid w:val="0"/>
              <w:spacing w:line="520" w:lineRule="exact"/>
              <w:ind w:left="0" w:firstLine="0" w:firstLineChars="0"/>
              <w:textAlignment w:val="auto"/>
              <w:rPr>
                <w:sz w:val="21"/>
                <w:szCs w:val="21"/>
              </w:rPr>
            </w:pPr>
          </w:p>
          <w:p>
            <w:pPr>
              <w:keepNext w:val="0"/>
              <w:keepLines w:val="0"/>
              <w:pageBreakBefore w:val="0"/>
              <w:widowControl/>
              <w:kinsoku/>
              <w:wordWrap/>
              <w:overflowPunct/>
              <w:topLinePunct w:val="0"/>
              <w:autoSpaceDE w:val="0"/>
              <w:autoSpaceDN w:val="0"/>
              <w:bidi w:val="0"/>
              <w:adjustRightInd/>
              <w:snapToGrid w:val="0"/>
              <w:spacing w:line="520" w:lineRule="exact"/>
              <w:ind w:left="0" w:firstLine="0" w:firstLineChars="0"/>
              <w:textAlignment w:val="auto"/>
              <w:rPr>
                <w:sz w:val="21"/>
                <w:szCs w:val="21"/>
              </w:rPr>
            </w:pPr>
          </w:p>
          <w:p>
            <w:pPr>
              <w:keepNext w:val="0"/>
              <w:keepLines w:val="0"/>
              <w:pageBreakBefore w:val="0"/>
              <w:widowControl/>
              <w:kinsoku/>
              <w:wordWrap/>
              <w:overflowPunct/>
              <w:topLinePunct w:val="0"/>
              <w:autoSpaceDE w:val="0"/>
              <w:autoSpaceDN w:val="0"/>
              <w:bidi w:val="0"/>
              <w:adjustRightInd/>
              <w:snapToGrid w:val="0"/>
              <w:spacing w:line="520" w:lineRule="exact"/>
              <w:ind w:left="0" w:firstLine="0" w:firstLineChars="0"/>
              <w:textAlignment w:val="auto"/>
              <w:rPr>
                <w:sz w:val="21"/>
                <w:szCs w:val="21"/>
              </w:rPr>
            </w:pPr>
            <w:r>
              <w:rPr>
                <w:sz w:val="21"/>
                <w:szCs w:val="21"/>
              </w:rPr>
              <w:t xml:space="preserve">评价人： </w:t>
            </w:r>
          </w:p>
        </w:tc>
      </w:tr>
    </w:tbl>
    <w:p>
      <w:pPr>
        <w:pStyle w:val="21"/>
        <w:snapToGrid w:val="0"/>
        <w:spacing w:before="0" w:after="0" w:line="520" w:lineRule="exact"/>
        <w:jc w:val="left"/>
        <w:outlineLvl w:val="9"/>
        <w:rPr>
          <w:snapToGrid w:val="0"/>
          <w:sz w:val="21"/>
          <w:szCs w:val="21"/>
        </w:rPr>
      </w:pPr>
    </w:p>
    <w:p>
      <w:pPr>
        <w:rPr>
          <w:sz w:val="24"/>
          <w:szCs w:val="24"/>
        </w:rPr>
      </w:pPr>
    </w:p>
    <w:p>
      <w:pPr>
        <w:rPr>
          <w:sz w:val="24"/>
          <w:szCs w:val="24"/>
        </w:rPr>
      </w:pPr>
    </w:p>
    <w:p>
      <w:pPr>
        <w:pStyle w:val="21"/>
        <w:snapToGrid w:val="0"/>
        <w:spacing w:before="0" w:after="0" w:line="520" w:lineRule="exact"/>
        <w:jc w:val="left"/>
        <w:outlineLvl w:val="9"/>
        <w:rPr>
          <w:snapToGrid w:val="0"/>
          <w:sz w:val="24"/>
          <w:szCs w:val="24"/>
        </w:rPr>
      </w:pPr>
      <w:bookmarkStart w:id="116" w:name="_Toc75573132"/>
      <w:r>
        <w:rPr>
          <w:snapToGrid w:val="0"/>
          <w:sz w:val="24"/>
          <w:szCs w:val="24"/>
        </w:rPr>
        <w:br w:type="page"/>
      </w:r>
      <w:r>
        <w:rPr>
          <w:snapToGrid w:val="0"/>
          <w:sz w:val="24"/>
          <w:szCs w:val="24"/>
        </w:rPr>
        <w:t>附件4</w:t>
      </w:r>
      <w:bookmarkEnd w:id="116"/>
    </w:p>
    <w:p>
      <w:pPr>
        <w:pStyle w:val="21"/>
        <w:snapToGrid w:val="0"/>
        <w:spacing w:before="0" w:after="0" w:line="520" w:lineRule="exact"/>
        <w:outlineLvl w:val="9"/>
        <w:rPr>
          <w:snapToGrid w:val="0"/>
          <w:sz w:val="24"/>
          <w:szCs w:val="24"/>
        </w:rPr>
      </w:pPr>
      <w:bookmarkStart w:id="117" w:name="_Toc75573133"/>
      <w:r>
        <w:rPr>
          <w:rStyle w:val="44"/>
          <w:kern w:val="0"/>
          <w:sz w:val="24"/>
          <w:szCs w:val="24"/>
        </w:rPr>
        <w:t>服务连续性预案</w:t>
      </w:r>
      <w:bookmarkEnd w:id="117"/>
    </w:p>
    <w:p>
      <w:pPr>
        <w:jc w:val="center"/>
        <w:rPr>
          <w:rFonts w:eastAsia="方正小标宋_GBK"/>
          <w:sz w:val="24"/>
        </w:rPr>
      </w:pPr>
      <w:r>
        <w:rPr>
          <w:rFonts w:eastAsia="方正小标宋_GBK"/>
          <w:sz w:val="24"/>
        </w:rPr>
        <w:t>（应考虑供应链风险产生的影响）</w:t>
      </w:r>
    </w:p>
    <w:p>
      <w:pPr>
        <w:widowControl/>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br w:type="page"/>
      </w:r>
    </w:p>
    <w:p>
      <w:pPr>
        <w:spacing w:line="360" w:lineRule="auto"/>
        <w:ind w:firstLine="480" w:firstLineChars="200"/>
        <w:rPr>
          <w:rFonts w:ascii="Times New Roman" w:hAnsi="Times New Roman" w:cs="Times New Roman"/>
          <w:snapToGrid w:val="0"/>
          <w:kern w:val="0"/>
          <w:sz w:val="24"/>
          <w:szCs w:val="24"/>
        </w:rPr>
      </w:pPr>
    </w:p>
    <w:p>
      <w:pPr>
        <w:spacing w:line="360" w:lineRule="auto"/>
        <w:ind w:firstLine="480" w:firstLineChars="200"/>
        <w:rPr>
          <w:rFonts w:ascii="Times New Roman" w:hAnsi="Times New Roman" w:cs="Times New Roman"/>
          <w:snapToGrid w:val="0"/>
          <w:kern w:val="0"/>
          <w:sz w:val="24"/>
          <w:szCs w:val="24"/>
        </w:rPr>
      </w:pPr>
    </w:p>
    <w:p>
      <w:pPr>
        <w:pStyle w:val="3"/>
        <w:spacing w:before="0"/>
        <w:ind w:right="0" w:rightChars="0"/>
        <w:rPr>
          <w:rFonts w:ascii="Times New Roman" w:hAnsi="Times New Roman" w:cs="Times New Roman"/>
        </w:rPr>
      </w:pPr>
      <w:bookmarkStart w:id="118" w:name="_Toc155270553"/>
      <w:r>
        <w:rPr>
          <w:rFonts w:ascii="Times New Roman" w:hAnsi="Times New Roman" w:cs="Times New Roman"/>
        </w:rPr>
        <w:t>第</w:t>
      </w:r>
      <w:r>
        <w:rPr>
          <w:rFonts w:hint="eastAsia" w:ascii="Times New Roman" w:hAnsi="Times New Roman" w:cs="Times New Roman"/>
        </w:rPr>
        <w:t>八</w:t>
      </w:r>
      <w:r>
        <w:rPr>
          <w:rFonts w:ascii="Times New Roman" w:hAnsi="Times New Roman" w:cs="Times New Roman"/>
        </w:rPr>
        <w:t>章参选文件</w:t>
      </w:r>
      <w:bookmarkEnd w:id="99"/>
      <w:bookmarkEnd w:id="100"/>
      <w:bookmarkStart w:id="119" w:name="_Toc303066035"/>
      <w:r>
        <w:rPr>
          <w:rFonts w:ascii="Times New Roman" w:hAnsi="Times New Roman" w:cs="Times New Roman"/>
        </w:rPr>
        <w:t>格式</w:t>
      </w:r>
      <w:bookmarkEnd w:id="118"/>
    </w:p>
    <w:bookmarkEnd w:id="119"/>
    <w:p>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right="0" w:rightChars="0" w:firstLine="0" w:firstLineChars="0"/>
        <w:jc w:val="center"/>
        <w:textAlignment w:val="auto"/>
        <w:rPr>
          <w:rFonts w:ascii="宋体" w:hAnsi="宋体"/>
          <w:b/>
          <w:kern w:val="0"/>
          <w:sz w:val="40"/>
        </w:rPr>
      </w:pPr>
    </w:p>
    <w:p>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right="0" w:rightChars="0" w:firstLine="0" w:firstLineChars="0"/>
        <w:jc w:val="center"/>
        <w:textAlignment w:val="auto"/>
        <w:rPr>
          <w:rFonts w:ascii="宋体" w:hAnsi="宋体"/>
          <w:b/>
          <w:kern w:val="0"/>
          <w:sz w:val="40"/>
        </w:rPr>
      </w:pPr>
      <w:r>
        <w:rPr>
          <w:rFonts w:ascii="宋体" w:hAnsi="宋体"/>
          <w:b/>
          <w:kern w:val="0"/>
          <w:sz w:val="40"/>
        </w:rPr>
        <w:t>CMMI3</w:t>
      </w:r>
      <w:r>
        <w:rPr>
          <w:rFonts w:hint="eastAsia" w:ascii="宋体" w:hAnsi="宋体"/>
          <w:b/>
          <w:kern w:val="0"/>
          <w:sz w:val="40"/>
        </w:rPr>
        <w:t>认证评估服务项目</w:t>
      </w: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right="0" w:rightChars="0" w:firstLine="0" w:firstLineChars="0"/>
        <w:textAlignment w:val="auto"/>
        <w:rPr>
          <w:rFonts w:ascii="Times New Roman" w:hAnsi="Times New Roman" w:cs="Times New Roman"/>
          <w:kern w:val="0"/>
          <w:sz w:val="44"/>
        </w:rPr>
      </w:pP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right="0" w:rightChars="0" w:firstLine="0" w:firstLineChars="0"/>
        <w:textAlignment w:val="auto"/>
        <w:rPr>
          <w:rFonts w:ascii="Times New Roman" w:hAnsi="Times New Roman" w:cs="Times New Roman"/>
          <w:kern w:val="0"/>
          <w:sz w:val="44"/>
        </w:rPr>
      </w:pP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right="0" w:rightChars="0" w:firstLine="0" w:firstLineChars="0"/>
        <w:textAlignment w:val="auto"/>
        <w:rPr>
          <w:rFonts w:ascii="Times New Roman" w:hAnsi="Times New Roman" w:cs="Times New Roman"/>
          <w:kern w:val="0"/>
          <w:sz w:val="44"/>
        </w:rPr>
      </w:pP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right="0" w:rightChars="0" w:firstLine="0" w:firstLineChars="0"/>
        <w:jc w:val="center"/>
        <w:textAlignment w:val="auto"/>
        <w:rPr>
          <w:rFonts w:ascii="宋体"/>
          <w:b/>
          <w:kern w:val="0"/>
          <w:sz w:val="84"/>
        </w:rPr>
      </w:pPr>
      <w:r>
        <w:rPr>
          <w:rFonts w:hint="eastAsia" w:ascii="宋体"/>
          <w:b/>
          <w:kern w:val="0"/>
          <w:sz w:val="84"/>
        </w:rPr>
        <w:t>参  选  文  件</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0" w:firstLineChars="0"/>
        <w:textAlignment w:val="auto"/>
        <w:rPr>
          <w:rFonts w:ascii="宋体"/>
          <w:kern w:val="0"/>
          <w:sz w:val="16"/>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0" w:firstLineChars="0"/>
        <w:textAlignment w:val="auto"/>
        <w:rPr>
          <w:rFonts w:ascii="宋体"/>
          <w:b/>
          <w:kern w:val="0"/>
          <w:sz w:val="20"/>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0" w:firstLineChars="0"/>
        <w:textAlignment w:val="auto"/>
        <w:rPr>
          <w:rFonts w:ascii="宋体"/>
          <w:b/>
          <w:kern w:val="0"/>
          <w:sz w:val="20"/>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0" w:firstLineChars="0"/>
        <w:textAlignment w:val="auto"/>
        <w:rPr>
          <w:rFonts w:ascii="宋体"/>
          <w:b/>
          <w:kern w:val="0"/>
          <w:sz w:val="20"/>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0" w:firstLineChars="0"/>
        <w:textAlignment w:val="auto"/>
        <w:rPr>
          <w:rFonts w:ascii="宋体"/>
          <w:b/>
          <w:kern w:val="0"/>
          <w:sz w:val="20"/>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0" w:firstLineChars="0"/>
        <w:textAlignment w:val="auto"/>
        <w:rPr>
          <w:rFonts w:ascii="宋体"/>
          <w:b/>
          <w:kern w:val="0"/>
          <w:sz w:val="20"/>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0" w:firstLineChars="0"/>
        <w:textAlignment w:val="auto"/>
        <w:rPr>
          <w:rFonts w:ascii="宋体"/>
          <w:b/>
          <w:kern w:val="0"/>
          <w:sz w:val="20"/>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0" w:firstLineChars="0"/>
        <w:textAlignment w:val="auto"/>
        <w:rPr>
          <w:rFonts w:ascii="宋体"/>
          <w:b/>
          <w:kern w:val="0"/>
          <w:sz w:val="20"/>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0" w:firstLineChars="0"/>
        <w:textAlignment w:val="auto"/>
        <w:rPr>
          <w:rFonts w:ascii="宋体"/>
          <w:b/>
          <w:kern w:val="0"/>
          <w:sz w:val="20"/>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0" w:firstLineChars="0"/>
        <w:textAlignment w:val="auto"/>
        <w:rPr>
          <w:rFonts w:ascii="宋体"/>
          <w:b/>
          <w:kern w:val="0"/>
          <w:sz w:val="20"/>
        </w:rPr>
      </w:pPr>
    </w:p>
    <w:p>
      <w:pPr>
        <w:keepNext w:val="0"/>
        <w:keepLines w:val="0"/>
        <w:pageBreakBefore w:val="0"/>
        <w:widowControl w:val="0"/>
        <w:kinsoku/>
        <w:wordWrap/>
        <w:overflowPunct/>
        <w:topLinePunct w:val="0"/>
        <w:autoSpaceDE w:val="0"/>
        <w:autoSpaceDN w:val="0"/>
        <w:bidi w:val="0"/>
        <w:spacing w:line="360" w:lineRule="auto"/>
        <w:ind w:right="0" w:rightChars="0" w:firstLine="0" w:firstLineChars="0"/>
        <w:jc w:val="center"/>
        <w:textAlignment w:val="auto"/>
        <w:rPr>
          <w:b/>
          <w:bCs/>
        </w:rPr>
      </w:pPr>
      <w:r>
        <w:rPr>
          <w:rFonts w:hint="eastAsia"/>
          <w:b/>
          <w:bCs/>
        </w:rPr>
        <w:t>参选人：</w:t>
      </w:r>
      <w:r>
        <w:rPr>
          <w:rFonts w:hint="eastAsia"/>
          <w:b/>
          <w:bCs/>
          <w:u w:val="single"/>
        </w:rPr>
        <w:t xml:space="preserve"> 　　　　 　　</w:t>
      </w:r>
      <w:r>
        <w:rPr>
          <w:rFonts w:hint="eastAsia"/>
          <w:b/>
          <w:bCs/>
        </w:rPr>
        <w:t>（盖单位公章）</w:t>
      </w:r>
    </w:p>
    <w:p>
      <w:pPr>
        <w:keepNext w:val="0"/>
        <w:keepLines w:val="0"/>
        <w:pageBreakBefore w:val="0"/>
        <w:widowControl w:val="0"/>
        <w:kinsoku/>
        <w:wordWrap/>
        <w:overflowPunct/>
        <w:topLinePunct w:val="0"/>
        <w:autoSpaceDE w:val="0"/>
        <w:autoSpaceDN w:val="0"/>
        <w:bidi w:val="0"/>
        <w:spacing w:line="360" w:lineRule="auto"/>
        <w:ind w:right="0" w:rightChars="0" w:firstLine="0" w:firstLineChars="0"/>
        <w:jc w:val="center"/>
        <w:textAlignment w:val="auto"/>
        <w:rPr>
          <w:b/>
          <w:bCs/>
        </w:rPr>
      </w:pPr>
      <w:r>
        <w:rPr>
          <w:rFonts w:hint="eastAsia"/>
          <w:b/>
          <w:bCs/>
        </w:rPr>
        <w:t>法定代表人或其委托代理人：</w:t>
      </w:r>
      <w:r>
        <w:rPr>
          <w:rFonts w:hint="eastAsia"/>
          <w:b/>
          <w:bCs/>
          <w:u w:val="single"/>
        </w:rPr>
        <w:t xml:space="preserve"> 　　 　</w:t>
      </w:r>
      <w:r>
        <w:rPr>
          <w:rFonts w:hint="eastAsia"/>
          <w:b/>
          <w:bCs/>
        </w:rPr>
        <w:t>（签字）</w:t>
      </w:r>
    </w:p>
    <w:p>
      <w:pPr>
        <w:keepNext w:val="0"/>
        <w:keepLines w:val="0"/>
        <w:pageBreakBefore w:val="0"/>
        <w:widowControl w:val="0"/>
        <w:kinsoku/>
        <w:wordWrap/>
        <w:overflowPunct/>
        <w:topLinePunct w:val="0"/>
        <w:autoSpaceDE w:val="0"/>
        <w:autoSpaceDN w:val="0"/>
        <w:bidi w:val="0"/>
        <w:spacing w:line="360" w:lineRule="auto"/>
        <w:ind w:right="0" w:rightChars="0" w:firstLine="0" w:firstLineChars="0"/>
        <w:jc w:val="center"/>
        <w:textAlignment w:val="auto"/>
        <w:rPr>
          <w:b/>
          <w:bCs/>
        </w:rPr>
      </w:pPr>
      <w:r>
        <w:rPr>
          <w:rFonts w:hint="eastAsia"/>
          <w:b/>
          <w:bCs/>
        </w:rPr>
        <w:t>年</w:t>
      </w:r>
      <w:r>
        <w:rPr>
          <w:rFonts w:hint="eastAsia"/>
          <w:b/>
          <w:bCs/>
          <w:lang w:val="en-US" w:eastAsia="zh-CN"/>
        </w:rPr>
        <w:t xml:space="preserve">    </w:t>
      </w:r>
      <w:r>
        <w:rPr>
          <w:rFonts w:hint="eastAsia"/>
          <w:b/>
          <w:bCs/>
        </w:rPr>
        <w:t>月</w:t>
      </w:r>
      <w:r>
        <w:rPr>
          <w:rFonts w:hint="eastAsia"/>
          <w:b/>
          <w:bCs/>
          <w:lang w:val="en-US" w:eastAsia="zh-CN"/>
        </w:rPr>
        <w:t xml:space="preserve">    </w:t>
      </w:r>
      <w:r>
        <w:rPr>
          <w:rFonts w:hint="eastAsia"/>
          <w:b/>
          <w:bCs/>
        </w:rPr>
        <w:t>日</w:t>
      </w:r>
    </w:p>
    <w:p>
      <w:pPr>
        <w:keepNext w:val="0"/>
        <w:keepLines w:val="0"/>
        <w:pageBreakBefore w:val="0"/>
        <w:widowControl w:val="0"/>
        <w:tabs>
          <w:tab w:val="left" w:pos="6300"/>
        </w:tabs>
        <w:kinsoku/>
        <w:wordWrap/>
        <w:overflowPunct/>
        <w:topLinePunct w:val="0"/>
        <w:autoSpaceDE w:val="0"/>
        <w:autoSpaceDN w:val="0"/>
        <w:bidi w:val="0"/>
        <w:snapToGrid w:val="0"/>
        <w:spacing w:line="360" w:lineRule="auto"/>
        <w:ind w:right="0" w:rightChars="0" w:firstLine="0" w:firstLineChars="0"/>
        <w:jc w:val="center"/>
        <w:textAlignment w:val="auto"/>
        <w:rPr>
          <w:rFonts w:ascii="Times New Roman" w:hAnsi="Times New Roman" w:cs="Times New Roman"/>
          <w:snapToGrid w:val="0"/>
          <w:kern w:val="0"/>
          <w:szCs w:val="28"/>
        </w:rPr>
      </w:pPr>
    </w:p>
    <w:p>
      <w:pPr>
        <w:keepNext w:val="0"/>
        <w:keepLines w:val="0"/>
        <w:pageBreakBefore w:val="0"/>
        <w:widowControl w:val="0"/>
        <w:tabs>
          <w:tab w:val="left" w:pos="6300"/>
        </w:tabs>
        <w:kinsoku/>
        <w:wordWrap/>
        <w:overflowPunct/>
        <w:topLinePunct w:val="0"/>
        <w:autoSpaceDE w:val="0"/>
        <w:autoSpaceDN w:val="0"/>
        <w:bidi w:val="0"/>
        <w:snapToGrid w:val="0"/>
        <w:spacing w:line="360" w:lineRule="auto"/>
        <w:ind w:right="0" w:rightChars="0" w:firstLine="0" w:firstLineChars="0"/>
        <w:jc w:val="center"/>
        <w:textAlignment w:val="auto"/>
        <w:rPr>
          <w:rFonts w:ascii="Times New Roman" w:hAnsi="Times New Roman" w:cs="Times New Roman"/>
          <w:snapToGrid w:val="0"/>
          <w:kern w:val="0"/>
          <w:szCs w:val="28"/>
        </w:rPr>
      </w:pPr>
    </w:p>
    <w:p>
      <w:pPr>
        <w:tabs>
          <w:tab w:val="left" w:pos="6300"/>
        </w:tabs>
        <w:snapToGrid w:val="0"/>
        <w:spacing w:line="360" w:lineRule="auto"/>
        <w:jc w:val="center"/>
        <w:rPr>
          <w:rFonts w:ascii="Times New Roman" w:hAnsi="Times New Roman" w:cs="Times New Roman"/>
          <w:snapToGrid w:val="0"/>
          <w:kern w:val="0"/>
          <w:szCs w:val="28"/>
        </w:rPr>
        <w:sectPr>
          <w:pgSz w:w="11906" w:h="16838"/>
          <w:pgMar w:top="1440" w:right="1800" w:bottom="1440" w:left="1800" w:header="851" w:footer="992" w:gutter="0"/>
          <w:cols w:space="720" w:num="1"/>
          <w:docGrid w:type="lines" w:linePitch="312" w:charSpace="0"/>
        </w:sectPr>
      </w:pPr>
    </w:p>
    <w:p>
      <w:pPr>
        <w:pStyle w:val="4"/>
        <w:bidi w:val="0"/>
        <w:jc w:val="center"/>
        <w:rPr>
          <w:sz w:val="28"/>
          <w:szCs w:val="28"/>
        </w:rPr>
      </w:pPr>
      <w:r>
        <w:rPr>
          <w:sz w:val="28"/>
          <w:szCs w:val="28"/>
        </w:rPr>
        <w:t>目</w:t>
      </w:r>
      <w:r>
        <w:rPr>
          <w:rFonts w:hint="eastAsia"/>
          <w:sz w:val="28"/>
          <w:szCs w:val="28"/>
          <w:lang w:val="en-US" w:eastAsia="zh-CN"/>
        </w:rPr>
        <w:t xml:space="preserve">  </w:t>
      </w:r>
      <w:r>
        <w:rPr>
          <w:sz w:val="28"/>
          <w:szCs w:val="28"/>
        </w:rPr>
        <w:t>录</w:t>
      </w:r>
    </w:p>
    <w:p>
      <w:pPr>
        <w:bidi w:val="0"/>
        <w:spacing w:line="360" w:lineRule="auto"/>
        <w:ind w:firstLine="0" w:firstLineChars="0"/>
      </w:pPr>
    </w:p>
    <w:p>
      <w:pPr>
        <w:bidi w:val="0"/>
        <w:spacing w:line="360" w:lineRule="auto"/>
        <w:ind w:firstLine="0" w:firstLineChars="0"/>
      </w:pPr>
      <w:r>
        <w:rPr>
          <w:lang w:val="en-US" w:eastAsia="zh-CN"/>
        </w:rPr>
        <w:t>一、</w:t>
      </w:r>
      <w:r>
        <w:t>参选函</w:t>
      </w:r>
    </w:p>
    <w:p>
      <w:pPr>
        <w:bidi w:val="0"/>
        <w:spacing w:line="360" w:lineRule="auto"/>
        <w:ind w:firstLine="0" w:firstLineChars="0"/>
      </w:pPr>
      <w:r>
        <w:rPr>
          <w:rFonts w:hint="eastAsia"/>
          <w:lang w:val="en-US" w:eastAsia="zh-CN"/>
        </w:rPr>
        <w:t>二、</w:t>
      </w:r>
      <w:r>
        <w:t>报价一览表</w:t>
      </w:r>
    </w:p>
    <w:p>
      <w:pPr>
        <w:bidi w:val="0"/>
        <w:spacing w:line="360" w:lineRule="auto"/>
        <w:ind w:firstLine="0" w:firstLineChars="0"/>
      </w:pPr>
      <w:r>
        <w:rPr>
          <w:rFonts w:hint="eastAsia"/>
          <w:lang w:val="en-US" w:eastAsia="zh-CN"/>
        </w:rPr>
        <w:t>三</w:t>
      </w:r>
      <w:r>
        <w:rPr>
          <w:lang w:val="en-US" w:eastAsia="zh-CN"/>
        </w:rPr>
        <w:t>、</w:t>
      </w:r>
      <w:r>
        <w:t>分项报价明细表</w:t>
      </w:r>
    </w:p>
    <w:p>
      <w:pPr>
        <w:bidi w:val="0"/>
        <w:spacing w:line="360" w:lineRule="auto"/>
        <w:ind w:firstLine="0" w:firstLineChars="0"/>
      </w:pPr>
      <w:r>
        <w:rPr>
          <w:rFonts w:hint="eastAsia"/>
          <w:lang w:val="en-US" w:eastAsia="zh-CN"/>
        </w:rPr>
        <w:t>四、资格性文件</w:t>
      </w:r>
    </w:p>
    <w:p>
      <w:pPr>
        <w:bidi w:val="0"/>
        <w:spacing w:line="360" w:lineRule="auto"/>
        <w:ind w:firstLine="0" w:firstLineChars="0"/>
      </w:pPr>
      <w:r>
        <w:rPr>
          <w:rFonts w:hint="eastAsia"/>
          <w:lang w:eastAsia="zh-CN"/>
        </w:rPr>
        <w:t>（</w:t>
      </w:r>
      <w:r>
        <w:rPr>
          <w:rFonts w:hint="eastAsia"/>
          <w:lang w:val="en-US" w:eastAsia="zh-CN"/>
        </w:rPr>
        <w:t>一</w:t>
      </w:r>
      <w:r>
        <w:rPr>
          <w:rFonts w:hint="eastAsia"/>
          <w:lang w:eastAsia="zh-CN"/>
        </w:rPr>
        <w:t>）</w:t>
      </w:r>
      <w:r>
        <w:t>参选人基本情况介绍</w:t>
      </w:r>
    </w:p>
    <w:p>
      <w:pPr>
        <w:spacing w:line="360" w:lineRule="auto"/>
        <w:ind w:firstLine="0" w:firstLineChars="0"/>
        <w:rPr>
          <w:rFonts w:hint="default" w:eastAsia="宋体"/>
          <w:lang w:val="en-US" w:eastAsia="zh-CN"/>
        </w:rPr>
      </w:pPr>
      <w:r>
        <w:rPr>
          <w:rFonts w:hint="default"/>
          <w:lang w:eastAsia="zh-CN"/>
        </w:rPr>
        <w:t>（</w:t>
      </w:r>
      <w:r>
        <w:rPr>
          <w:rFonts w:hint="default"/>
          <w:lang w:val="en-US" w:eastAsia="zh-CN"/>
        </w:rPr>
        <w:t>二</w:t>
      </w:r>
      <w:r>
        <w:rPr>
          <w:rFonts w:hint="default"/>
          <w:lang w:eastAsia="zh-CN"/>
        </w:rPr>
        <w:t>）</w:t>
      </w:r>
      <w:r>
        <w:t>参选人资质证明</w:t>
      </w:r>
      <w:r>
        <w:rPr>
          <w:rFonts w:hint="default"/>
          <w:lang w:val="en-US" w:eastAsia="zh-CN"/>
        </w:rPr>
        <w:t>材料</w:t>
      </w:r>
    </w:p>
    <w:p>
      <w:pPr>
        <w:spacing w:line="360" w:lineRule="auto"/>
        <w:ind w:firstLine="0" w:firstLineChars="0"/>
      </w:pPr>
      <w:r>
        <w:rPr>
          <w:rFonts w:hint="default"/>
          <w:lang w:eastAsia="zh-CN"/>
        </w:rPr>
        <w:t>（</w:t>
      </w:r>
      <w:r>
        <w:rPr>
          <w:rFonts w:hint="default"/>
          <w:lang w:val="en-US" w:eastAsia="zh-CN"/>
        </w:rPr>
        <w:t>三</w:t>
      </w:r>
      <w:r>
        <w:rPr>
          <w:rFonts w:hint="default"/>
          <w:lang w:eastAsia="zh-CN"/>
        </w:rPr>
        <w:t>）国内银行业CMMI3级及其以上级别实施案例</w:t>
      </w:r>
    </w:p>
    <w:p>
      <w:pPr>
        <w:bidi w:val="0"/>
        <w:spacing w:line="360" w:lineRule="auto"/>
        <w:ind w:firstLine="0" w:firstLineChars="0"/>
      </w:pPr>
      <w:r>
        <w:rPr>
          <w:rFonts w:hint="eastAsia"/>
          <w:lang w:eastAsia="zh-CN"/>
        </w:rPr>
        <w:t>（</w:t>
      </w:r>
      <w:r>
        <w:rPr>
          <w:rFonts w:hint="eastAsia"/>
          <w:lang w:val="en-US" w:eastAsia="zh-CN"/>
        </w:rPr>
        <w:t>四</w:t>
      </w:r>
      <w:r>
        <w:rPr>
          <w:rFonts w:hint="eastAsia"/>
          <w:lang w:eastAsia="zh-CN"/>
        </w:rPr>
        <w:t>）</w:t>
      </w:r>
      <w:r>
        <w:t>法定代表人身份证明及授权委托书</w:t>
      </w:r>
    </w:p>
    <w:p>
      <w:pPr>
        <w:bidi w:val="0"/>
        <w:spacing w:line="360" w:lineRule="auto"/>
        <w:ind w:firstLine="0" w:firstLineChars="0"/>
      </w:pPr>
      <w:r>
        <w:rPr>
          <w:rFonts w:hint="eastAsia"/>
          <w:lang w:val="en-US" w:eastAsia="zh-CN"/>
        </w:rPr>
        <w:t>（五）</w:t>
      </w:r>
      <w:r>
        <w:t>书面声明</w:t>
      </w:r>
    </w:p>
    <w:p>
      <w:pPr>
        <w:bidi w:val="0"/>
        <w:spacing w:line="360" w:lineRule="auto"/>
        <w:ind w:firstLine="0" w:firstLineChars="0"/>
      </w:pPr>
      <w:r>
        <w:rPr>
          <w:rFonts w:hint="default"/>
        </w:rPr>
        <w:t>（</w:t>
      </w:r>
      <w:r>
        <w:rPr>
          <w:rFonts w:hint="eastAsia"/>
          <w:lang w:val="en-US" w:eastAsia="zh-CN"/>
        </w:rPr>
        <w:t>六</w:t>
      </w:r>
      <w:r>
        <w:rPr>
          <w:rFonts w:hint="default"/>
        </w:rPr>
        <w:t>）中国执行信息公开网截图</w:t>
      </w:r>
    </w:p>
    <w:p>
      <w:pPr>
        <w:bidi w:val="0"/>
        <w:spacing w:line="360" w:lineRule="auto"/>
        <w:ind w:firstLine="0" w:firstLineChars="0"/>
      </w:pPr>
      <w:r>
        <w:rPr>
          <w:rFonts w:hint="eastAsia"/>
          <w:lang w:val="en-US" w:eastAsia="zh-CN"/>
        </w:rPr>
        <w:t>（七）</w:t>
      </w:r>
      <w:r>
        <w:t>参选保证金</w:t>
      </w:r>
    </w:p>
    <w:p>
      <w:pPr>
        <w:bidi w:val="0"/>
        <w:spacing w:line="360" w:lineRule="auto"/>
        <w:ind w:firstLine="0" w:firstLineChars="0"/>
        <w:rPr>
          <w:rFonts w:hint="default"/>
          <w:lang w:val="en-US" w:eastAsia="zh-CN"/>
        </w:rPr>
      </w:pPr>
      <w:r>
        <w:rPr>
          <w:rFonts w:hint="eastAsia"/>
          <w:lang w:val="en-US" w:eastAsia="zh-CN"/>
        </w:rPr>
        <w:t>五、服务承诺函</w:t>
      </w:r>
    </w:p>
    <w:p>
      <w:pPr>
        <w:bidi w:val="0"/>
        <w:spacing w:line="360" w:lineRule="auto"/>
        <w:ind w:firstLine="0" w:firstLineChars="0"/>
        <w:rPr>
          <w:rFonts w:hint="eastAsia"/>
          <w:lang w:val="en-US" w:eastAsia="zh-CN"/>
        </w:rPr>
      </w:pPr>
      <w:r>
        <w:rPr>
          <w:rFonts w:hint="eastAsia"/>
          <w:lang w:val="en-US" w:eastAsia="zh-CN"/>
        </w:rPr>
        <w:t>六、响应承诺函</w:t>
      </w:r>
    </w:p>
    <w:p>
      <w:pPr>
        <w:bidi w:val="0"/>
        <w:spacing w:line="360" w:lineRule="auto"/>
        <w:ind w:firstLine="0" w:firstLineChars="0"/>
        <w:rPr>
          <w:rFonts w:hint="eastAsia"/>
          <w:lang w:val="en-US" w:eastAsia="zh-CN"/>
        </w:rPr>
      </w:pPr>
      <w:r>
        <w:rPr>
          <w:rFonts w:hint="eastAsia"/>
          <w:lang w:val="en-US" w:eastAsia="zh-CN"/>
        </w:rPr>
        <w:t>七、项目需求理解方案</w:t>
      </w:r>
    </w:p>
    <w:p>
      <w:pPr>
        <w:bidi w:val="0"/>
        <w:spacing w:line="360" w:lineRule="auto"/>
        <w:ind w:firstLine="0" w:firstLineChars="0"/>
        <w:rPr>
          <w:rFonts w:hint="default"/>
          <w:lang w:val="en-US" w:eastAsia="zh-CN"/>
        </w:rPr>
      </w:pPr>
      <w:r>
        <w:rPr>
          <w:rFonts w:hint="eastAsia"/>
          <w:lang w:val="en-US" w:eastAsia="zh-CN"/>
        </w:rPr>
        <w:t>八、项目实施方案</w:t>
      </w:r>
    </w:p>
    <w:p>
      <w:pPr>
        <w:bidi w:val="0"/>
        <w:spacing w:line="360" w:lineRule="auto"/>
        <w:ind w:firstLine="0" w:firstLineChars="0"/>
      </w:pPr>
      <w:r>
        <w:rPr>
          <w:rFonts w:hint="eastAsia"/>
          <w:lang w:val="en-US" w:eastAsia="zh-CN"/>
        </w:rPr>
        <w:t>九、</w:t>
      </w:r>
      <w:r>
        <w:t>参选人业绩证明文件复印件</w:t>
      </w:r>
    </w:p>
    <w:p>
      <w:pPr>
        <w:bidi w:val="0"/>
        <w:spacing w:line="360" w:lineRule="auto"/>
        <w:ind w:firstLine="0" w:firstLineChars="0"/>
      </w:pPr>
      <w:r>
        <w:rPr>
          <w:rFonts w:hint="eastAsia"/>
          <w:lang w:val="en-US" w:eastAsia="zh-CN"/>
        </w:rPr>
        <w:t>十</w:t>
      </w:r>
      <w:r>
        <w:rPr>
          <w:lang w:val="en-US" w:eastAsia="zh-CN"/>
        </w:rPr>
        <w:t>、</w:t>
      </w:r>
      <w:r>
        <w:t>项目人员名单表</w:t>
      </w:r>
    </w:p>
    <w:p>
      <w:pPr>
        <w:bidi w:val="0"/>
        <w:spacing w:line="360" w:lineRule="auto"/>
        <w:ind w:firstLine="0" w:firstLineChars="0"/>
      </w:pPr>
      <w:r>
        <w:rPr>
          <w:rFonts w:hint="eastAsia"/>
          <w:lang w:val="en-US" w:eastAsia="zh-CN"/>
        </w:rPr>
        <w:t>十一</w:t>
      </w:r>
      <w:r>
        <w:rPr>
          <w:lang w:val="en-US" w:eastAsia="zh-CN"/>
        </w:rPr>
        <w:t>、</w:t>
      </w:r>
      <w:r>
        <w:t>服务内容及要求偏离表</w:t>
      </w:r>
    </w:p>
    <w:p>
      <w:pPr>
        <w:bidi w:val="0"/>
        <w:spacing w:line="360" w:lineRule="auto"/>
        <w:ind w:firstLine="0" w:firstLineChars="0"/>
      </w:pPr>
      <w:r>
        <w:rPr>
          <w:rFonts w:hint="eastAsia"/>
          <w:lang w:val="en-US" w:eastAsia="zh-CN"/>
        </w:rPr>
        <w:t>十二</w:t>
      </w:r>
      <w:r>
        <w:rPr>
          <w:lang w:val="en-US" w:eastAsia="zh-CN"/>
        </w:rPr>
        <w:t>、</w:t>
      </w:r>
      <w:r>
        <w:t>商务条款偏离表</w:t>
      </w:r>
    </w:p>
    <w:p>
      <w:pPr>
        <w:bidi w:val="0"/>
        <w:spacing w:line="360" w:lineRule="auto"/>
        <w:ind w:firstLine="0" w:firstLineChars="0"/>
      </w:pPr>
      <w:r>
        <w:rPr>
          <w:rFonts w:hint="eastAsia"/>
          <w:lang w:val="en-US" w:eastAsia="zh-CN"/>
        </w:rPr>
        <w:t>十三</w:t>
      </w:r>
      <w:r>
        <w:rPr>
          <w:lang w:val="en-US" w:eastAsia="zh-CN"/>
        </w:rPr>
        <w:t>、</w:t>
      </w:r>
      <w:r>
        <w:t>服务水平协议（SLA）</w:t>
      </w:r>
    </w:p>
    <w:p>
      <w:pPr>
        <w:bidi w:val="0"/>
        <w:spacing w:line="360" w:lineRule="auto"/>
        <w:ind w:firstLine="0" w:firstLineChars="0"/>
      </w:pPr>
      <w:r>
        <w:rPr>
          <w:lang w:val="en-US" w:eastAsia="zh-CN"/>
        </w:rPr>
        <w:t>十</w:t>
      </w:r>
      <w:r>
        <w:rPr>
          <w:rFonts w:hint="eastAsia"/>
          <w:lang w:val="en-US" w:eastAsia="zh-CN"/>
        </w:rPr>
        <w:t>四</w:t>
      </w:r>
      <w:r>
        <w:rPr>
          <w:lang w:val="en-US" w:eastAsia="zh-CN"/>
        </w:rPr>
        <w:t>、</w:t>
      </w:r>
      <w:r>
        <w:rPr>
          <w:rFonts w:hint="eastAsia"/>
        </w:rPr>
        <w:t>服务连续性预案</w:t>
      </w:r>
    </w:p>
    <w:p>
      <w:pPr>
        <w:bidi w:val="0"/>
        <w:spacing w:line="360" w:lineRule="auto"/>
        <w:ind w:firstLine="0" w:firstLineChars="0"/>
        <w:rPr>
          <w:rFonts w:hint="eastAsia"/>
          <w:lang w:val="en-US" w:eastAsia="zh-CN"/>
        </w:rPr>
      </w:pPr>
      <w:r>
        <w:rPr>
          <w:rFonts w:hint="eastAsia"/>
          <w:lang w:val="en-US" w:eastAsia="zh-CN"/>
        </w:rPr>
        <w:t>十五、其他（如有）</w:t>
      </w:r>
    </w:p>
    <w:p>
      <w:pPr>
        <w:bidi w:val="0"/>
        <w:rPr>
          <w:lang w:val="en-US" w:eastAsia="zh-CN"/>
        </w:rPr>
      </w:pPr>
    </w:p>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outlineLvl w:val="1"/>
        <w:rPr>
          <w:rStyle w:val="56"/>
        </w:rPr>
      </w:pPr>
      <w:r>
        <w:br w:type="page"/>
      </w:r>
      <w:r>
        <w:rPr>
          <w:rStyle w:val="56"/>
          <w:rFonts w:hint="eastAsia"/>
          <w:lang w:val="en-US" w:eastAsia="zh-CN"/>
        </w:rPr>
        <w:t>一、</w:t>
      </w:r>
      <w:r>
        <w:rPr>
          <w:rStyle w:val="56"/>
        </w:rPr>
        <w:t>参选函</w:t>
      </w:r>
    </w:p>
    <w:p>
      <w:pPr>
        <w:tabs>
          <w:tab w:val="left" w:pos="6300"/>
        </w:tabs>
        <w:snapToGrid w:val="0"/>
        <w:spacing w:line="360" w:lineRule="auto"/>
        <w:ind w:right="-34" w:rightChars="-14"/>
        <w:rPr>
          <w:rFonts w:ascii="Times New Roman" w:hAnsi="Times New Roman" w:cs="Times New Roman"/>
          <w:snapToGrid w:val="0"/>
          <w:kern w:val="0"/>
          <w:sz w:val="24"/>
          <w:szCs w:val="24"/>
          <w:u w:val="single"/>
        </w:rPr>
      </w:pPr>
    </w:p>
    <w:p>
      <w:pPr>
        <w:tabs>
          <w:tab w:val="left" w:pos="6300"/>
        </w:tabs>
        <w:snapToGrid w:val="0"/>
        <w:spacing w:line="360" w:lineRule="auto"/>
        <w:ind w:right="-34" w:rightChars="-14"/>
        <w:rPr>
          <w:rFonts w:ascii="Times New Roman" w:hAnsi="Times New Roman" w:cs="Times New Roman"/>
          <w:snapToGrid w:val="0"/>
          <w:kern w:val="0"/>
          <w:sz w:val="24"/>
          <w:szCs w:val="24"/>
        </w:rPr>
      </w:pPr>
      <w:r>
        <w:rPr>
          <w:rFonts w:ascii="Times New Roman" w:hAnsi="Times New Roman" w:cs="Times New Roman"/>
          <w:snapToGrid w:val="0"/>
          <w:kern w:val="0"/>
          <w:sz w:val="24"/>
          <w:szCs w:val="24"/>
          <w:u w:val="single"/>
        </w:rPr>
        <w:t>重庆三峡银行股份有限公司</w:t>
      </w:r>
      <w:r>
        <w:rPr>
          <w:rFonts w:ascii="Times New Roman" w:hAnsi="Times New Roman" w:cs="Times New Roman"/>
          <w:snapToGrid w:val="0"/>
          <w:kern w:val="0"/>
          <w:sz w:val="24"/>
          <w:szCs w:val="24"/>
        </w:rPr>
        <w:t>：</w:t>
      </w:r>
    </w:p>
    <w:p>
      <w:pPr>
        <w:tabs>
          <w:tab w:val="left" w:pos="6300"/>
        </w:tabs>
        <w:snapToGrid w:val="0"/>
        <w:spacing w:line="360" w:lineRule="auto"/>
        <w:ind w:right="-34" w:rightChars="-14" w:firstLine="57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我方收到</w:t>
      </w:r>
      <w:r>
        <w:rPr>
          <w:rFonts w:ascii="Times New Roman" w:hAnsi="Times New Roman" w:cs="Times New Roman"/>
          <w:snapToGrid w:val="0"/>
          <w:kern w:val="0"/>
          <w:sz w:val="24"/>
          <w:szCs w:val="24"/>
          <w:u w:val="single"/>
        </w:rPr>
        <w:t>___________________</w:t>
      </w:r>
      <w:r>
        <w:rPr>
          <w:rFonts w:ascii="Times New Roman" w:hAnsi="Times New Roman" w:cs="Times New Roman"/>
          <w:snapToGrid w:val="0"/>
          <w:kern w:val="0"/>
          <w:sz w:val="24"/>
          <w:szCs w:val="24"/>
        </w:rPr>
        <w:t>比选文件，经详细研究，决定参加该比选项目的参选。</w:t>
      </w:r>
    </w:p>
    <w:p>
      <w:pPr>
        <w:tabs>
          <w:tab w:val="left" w:pos="6300"/>
        </w:tabs>
        <w:autoSpaceDE w:val="0"/>
        <w:snapToGrid w:val="0"/>
        <w:spacing w:line="360" w:lineRule="auto"/>
        <w:ind w:right="-34" w:rightChars="-14" w:firstLine="573"/>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1、愿意按照比选文件中的一切要求，以人民币小写：，人民币大写：的参选总价承担和完成本项目。</w:t>
      </w:r>
    </w:p>
    <w:p>
      <w:pPr>
        <w:tabs>
          <w:tab w:val="left" w:pos="6300"/>
        </w:tabs>
        <w:snapToGrid w:val="0"/>
        <w:spacing w:line="360" w:lineRule="auto"/>
        <w:ind w:right="-34" w:rightChars="-14" w:firstLine="57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2、我方现提交的参选文件为：</w:t>
      </w:r>
      <w:r>
        <w:rPr>
          <w:rFonts w:hint="eastAsia" w:ascii="宋体" w:cs="Cambria"/>
          <w:snapToGrid w:val="0"/>
          <w:kern w:val="0"/>
          <w:sz w:val="24"/>
          <w:szCs w:val="24"/>
        </w:rPr>
        <w:t>参选</w:t>
      </w:r>
      <w:r>
        <w:rPr>
          <w:rFonts w:hint="eastAsia" w:ascii="宋体"/>
          <w:snapToGrid w:val="0"/>
          <w:kern w:val="0"/>
          <w:sz w:val="24"/>
          <w:szCs w:val="24"/>
        </w:rPr>
        <w:t>文件正本一份，副本一份，电子文件一份</w:t>
      </w:r>
      <w:r>
        <w:rPr>
          <w:rFonts w:hint="eastAsia" w:ascii="宋体" w:hAnsi="宋体"/>
          <w:snapToGrid w:val="0"/>
          <w:kern w:val="0"/>
          <w:sz w:val="24"/>
          <w:szCs w:val="24"/>
        </w:rPr>
        <w:t>。</w:t>
      </w:r>
    </w:p>
    <w:p>
      <w:pPr>
        <w:tabs>
          <w:tab w:val="left" w:pos="6300"/>
        </w:tabs>
        <w:snapToGrid w:val="0"/>
        <w:spacing w:line="360" w:lineRule="auto"/>
        <w:ind w:right="-34" w:rightChars="-14" w:firstLine="57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3、如果我方参选文件被接受，我方将履行比选文件中规定的各项要求，按相关法律法规和合同约定条款承担我方的责任。</w:t>
      </w:r>
    </w:p>
    <w:p>
      <w:pPr>
        <w:tabs>
          <w:tab w:val="left" w:pos="6300"/>
        </w:tabs>
        <w:snapToGrid w:val="0"/>
        <w:spacing w:line="360" w:lineRule="auto"/>
        <w:ind w:right="-34" w:rightChars="-14" w:firstLine="57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4、我方愿意提供比选文件中要求的所有资料，并对其真实性负责。</w:t>
      </w:r>
    </w:p>
    <w:p>
      <w:pPr>
        <w:tabs>
          <w:tab w:val="left" w:pos="6300"/>
        </w:tabs>
        <w:snapToGrid w:val="0"/>
        <w:spacing w:line="360" w:lineRule="auto"/>
        <w:ind w:right="-34" w:rightChars="-14" w:firstLine="57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5、我方理解最低价格不是中选的唯一条件。</w:t>
      </w:r>
    </w:p>
    <w:p>
      <w:pPr>
        <w:tabs>
          <w:tab w:val="left" w:pos="6300"/>
        </w:tabs>
        <w:snapToGrid w:val="0"/>
        <w:spacing w:line="360" w:lineRule="auto"/>
        <w:ind w:right="-34" w:rightChars="-14" w:firstLine="570"/>
        <w:rPr>
          <w:rFonts w:ascii="宋体" w:hAnsi="宋体"/>
          <w:snapToGrid w:val="0"/>
          <w:kern w:val="0"/>
          <w:sz w:val="24"/>
          <w:szCs w:val="24"/>
        </w:rPr>
      </w:pPr>
      <w:r>
        <w:rPr>
          <w:rFonts w:hint="eastAsia" w:ascii="宋体" w:hAnsi="宋体"/>
          <w:snapToGrid w:val="0"/>
          <w:kern w:val="0"/>
          <w:sz w:val="24"/>
          <w:szCs w:val="24"/>
        </w:rPr>
        <w:t>6、</w:t>
      </w:r>
      <w:r>
        <w:rPr>
          <w:rFonts w:hint="eastAsia" w:ascii="宋体" w:hAnsi="宋体" w:cs="Cambria"/>
          <w:snapToGrid w:val="0"/>
          <w:kern w:val="0"/>
          <w:sz w:val="24"/>
          <w:szCs w:val="24"/>
        </w:rPr>
        <w:t>参选</w:t>
      </w:r>
      <w:r>
        <w:rPr>
          <w:rFonts w:hint="eastAsia" w:ascii="宋体" w:hAnsi="宋体"/>
          <w:snapToGrid w:val="0"/>
          <w:kern w:val="0"/>
          <w:sz w:val="24"/>
          <w:szCs w:val="24"/>
        </w:rPr>
        <w:t>有效期为</w:t>
      </w:r>
      <w:r>
        <w:rPr>
          <w:rFonts w:hint="eastAsia" w:ascii="宋体" w:hAnsi="宋体" w:cs="Cambria"/>
          <w:snapToGrid w:val="0"/>
          <w:kern w:val="0"/>
          <w:sz w:val="24"/>
          <w:szCs w:val="24"/>
        </w:rPr>
        <w:t>参选</w:t>
      </w:r>
      <w:r>
        <w:rPr>
          <w:rFonts w:hint="eastAsia" w:ascii="宋体" w:hAnsi="宋体"/>
          <w:snapToGrid w:val="0"/>
          <w:kern w:val="0"/>
          <w:sz w:val="24"/>
          <w:szCs w:val="24"/>
        </w:rPr>
        <w:t>截止日期后90天内。</w:t>
      </w:r>
    </w:p>
    <w:p>
      <w:pPr>
        <w:tabs>
          <w:tab w:val="left" w:pos="6300"/>
        </w:tabs>
        <w:snapToGrid w:val="0"/>
        <w:spacing w:line="360" w:lineRule="auto"/>
        <w:ind w:right="-34" w:rightChars="-14" w:firstLine="570"/>
        <w:rPr>
          <w:rFonts w:ascii="Times New Roman" w:hAnsi="Times New Roman" w:cs="Times New Roman"/>
          <w:snapToGrid w:val="0"/>
          <w:kern w:val="0"/>
          <w:sz w:val="24"/>
          <w:szCs w:val="24"/>
        </w:rPr>
      </w:pPr>
    </w:p>
    <w:p>
      <w:pPr>
        <w:tabs>
          <w:tab w:val="left" w:pos="6300"/>
        </w:tabs>
        <w:snapToGrid w:val="0"/>
        <w:spacing w:line="360" w:lineRule="auto"/>
        <w:ind w:right="-34" w:rightChars="-14"/>
        <w:rPr>
          <w:rFonts w:ascii="Times New Roman" w:hAnsi="Times New Roman" w:cs="Times New Roman"/>
          <w:snapToGrid w:val="0"/>
          <w:kern w:val="0"/>
          <w:sz w:val="24"/>
          <w:szCs w:val="24"/>
        </w:rPr>
      </w:pPr>
    </w:p>
    <w:p>
      <w:pPr>
        <w:tabs>
          <w:tab w:val="left" w:pos="6300"/>
        </w:tabs>
        <w:snapToGrid w:val="0"/>
        <w:spacing w:line="360" w:lineRule="auto"/>
        <w:ind w:right="-34" w:rightChars="-14" w:firstLine="57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参选人（公章）：</w:t>
      </w:r>
    </w:p>
    <w:p>
      <w:pPr>
        <w:tabs>
          <w:tab w:val="left" w:pos="6300"/>
        </w:tabs>
        <w:snapToGrid w:val="0"/>
        <w:spacing w:line="360" w:lineRule="auto"/>
        <w:ind w:right="-34" w:rightChars="-14" w:firstLine="57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地址：</w:t>
      </w:r>
    </w:p>
    <w:p>
      <w:pPr>
        <w:tabs>
          <w:tab w:val="left" w:pos="6300"/>
        </w:tabs>
        <w:snapToGrid w:val="0"/>
        <w:spacing w:line="360" w:lineRule="auto"/>
        <w:ind w:right="-34" w:rightChars="-14" w:firstLine="57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电话：传真：</w:t>
      </w:r>
    </w:p>
    <w:p>
      <w:pPr>
        <w:tabs>
          <w:tab w:val="left" w:pos="6300"/>
        </w:tabs>
        <w:snapToGrid w:val="0"/>
        <w:spacing w:line="360" w:lineRule="auto"/>
        <w:ind w:right="-34" w:rightChars="-14" w:firstLine="57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网址：</w:t>
      </w:r>
    </w:p>
    <w:p>
      <w:pPr>
        <w:tabs>
          <w:tab w:val="left" w:pos="6300"/>
        </w:tabs>
        <w:snapToGrid w:val="0"/>
        <w:spacing w:line="360" w:lineRule="auto"/>
        <w:ind w:right="-34" w:rightChars="-14" w:firstLine="6540" w:firstLineChars="2725"/>
        <w:rPr>
          <w:rFonts w:ascii="Times New Roman" w:hAnsi="Times New Roman" w:cs="Times New Roman"/>
          <w:snapToGrid w:val="0"/>
          <w:kern w:val="0"/>
          <w:sz w:val="24"/>
          <w:szCs w:val="24"/>
        </w:rPr>
      </w:pPr>
    </w:p>
    <w:p>
      <w:pPr>
        <w:tabs>
          <w:tab w:val="left" w:pos="6300"/>
        </w:tabs>
        <w:snapToGrid w:val="0"/>
        <w:spacing w:line="360" w:lineRule="auto"/>
        <w:ind w:right="-34" w:rightChars="-14" w:firstLine="5400" w:firstLineChars="2250"/>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年</w:t>
      </w:r>
      <w:r>
        <w:rPr>
          <w:rFonts w:hint="eastAsia" w:ascii="Times New Roman" w:hAnsi="Times New Roman" w:cs="Times New Roman"/>
          <w:snapToGrid w:val="0"/>
          <w:kern w:val="0"/>
          <w:sz w:val="24"/>
          <w:szCs w:val="24"/>
          <w:lang w:val="en-US" w:eastAsia="zh-CN"/>
        </w:rPr>
        <w:t xml:space="preserve">   </w:t>
      </w:r>
      <w:r>
        <w:rPr>
          <w:rFonts w:ascii="Times New Roman" w:hAnsi="Times New Roman" w:cs="Times New Roman"/>
          <w:snapToGrid w:val="0"/>
          <w:kern w:val="0"/>
          <w:sz w:val="24"/>
          <w:szCs w:val="24"/>
        </w:rPr>
        <w:t>月</w:t>
      </w:r>
      <w:r>
        <w:rPr>
          <w:rFonts w:hint="eastAsia" w:ascii="Times New Roman" w:hAnsi="Times New Roman" w:cs="Times New Roman"/>
          <w:snapToGrid w:val="0"/>
          <w:kern w:val="0"/>
          <w:sz w:val="24"/>
          <w:szCs w:val="24"/>
          <w:lang w:val="en-US" w:eastAsia="zh-CN"/>
        </w:rPr>
        <w:t xml:space="preserve">   </w:t>
      </w:r>
      <w:r>
        <w:rPr>
          <w:rFonts w:ascii="Times New Roman" w:hAnsi="Times New Roman" w:cs="Times New Roman"/>
          <w:snapToGrid w:val="0"/>
          <w:kern w:val="0"/>
          <w:sz w:val="24"/>
          <w:szCs w:val="24"/>
        </w:rPr>
        <w:t>日</w:t>
      </w:r>
    </w:p>
    <w:p>
      <w:pPr>
        <w:widowControl/>
        <w:spacing w:line="360" w:lineRule="auto"/>
        <w:jc w:val="left"/>
        <w:rPr>
          <w:rFonts w:ascii="Times New Roman" w:hAnsi="Times New Roman" w:cs="Times New Roman"/>
          <w:snapToGrid w:val="0"/>
          <w:kern w:val="0"/>
          <w:sz w:val="24"/>
          <w:szCs w:val="24"/>
        </w:rPr>
      </w:pPr>
    </w:p>
    <w:p>
      <w:pPr>
        <w:tabs>
          <w:tab w:val="left" w:pos="6300"/>
        </w:tabs>
        <w:snapToGrid w:val="0"/>
        <w:spacing w:line="360" w:lineRule="auto"/>
        <w:rPr>
          <w:rFonts w:ascii="Times New Roman" w:hAnsi="Times New Roman" w:cs="Times New Roman"/>
          <w:snapToGrid w:val="0"/>
          <w:kern w:val="0"/>
          <w:sz w:val="24"/>
          <w:szCs w:val="24"/>
        </w:rPr>
      </w:pPr>
    </w:p>
    <w:p>
      <w:pPr>
        <w:widowControl/>
        <w:spacing w:line="360" w:lineRule="auto"/>
        <w:jc w:val="left"/>
        <w:rPr>
          <w:rFonts w:ascii="Times New Roman" w:hAnsi="Times New Roman" w:cs="Times New Roman"/>
          <w:snapToGrid w:val="0"/>
          <w:kern w:val="0"/>
          <w:sz w:val="24"/>
          <w:szCs w:val="24"/>
        </w:rPr>
      </w:pPr>
    </w:p>
    <w:p>
      <w:pPr>
        <w:widowControl/>
        <w:spacing w:line="360" w:lineRule="auto"/>
        <w:jc w:val="left"/>
        <w:rPr>
          <w:rFonts w:ascii="Times New Roman" w:hAnsi="Times New Roman" w:cs="Times New Roman"/>
          <w:snapToGrid w:val="0"/>
          <w:kern w:val="0"/>
          <w:sz w:val="24"/>
          <w:szCs w:val="24"/>
        </w:rPr>
      </w:pPr>
    </w:p>
    <w:p>
      <w:pPr>
        <w:widowControl/>
        <w:spacing w:line="360" w:lineRule="auto"/>
        <w:jc w:val="left"/>
        <w:rPr>
          <w:rFonts w:ascii="Times New Roman" w:hAnsi="Times New Roman" w:cs="Times New Roman"/>
          <w:snapToGrid w:val="0"/>
          <w:kern w:val="0"/>
          <w:sz w:val="24"/>
          <w:szCs w:val="24"/>
        </w:rPr>
      </w:pPr>
    </w:p>
    <w:p>
      <w:pPr>
        <w:widowControl/>
        <w:spacing w:line="360" w:lineRule="auto"/>
        <w:jc w:val="left"/>
        <w:rPr>
          <w:rFonts w:ascii="Times New Roman" w:hAnsi="Times New Roman" w:cs="Times New Roman"/>
          <w:snapToGrid w:val="0"/>
          <w:kern w:val="0"/>
          <w:sz w:val="24"/>
          <w:szCs w:val="24"/>
        </w:rPr>
      </w:pPr>
    </w:p>
    <w:p>
      <w:pPr>
        <w:pStyle w:val="4"/>
        <w:numPr>
          <w:ilvl w:val="0"/>
          <w:numId w:val="0"/>
        </w:numPr>
        <w:ind w:left="420" w:leftChars="0" w:hanging="420" w:firstLineChars="0"/>
        <w:jc w:val="center"/>
        <w:rPr>
          <w:rStyle w:val="56"/>
          <w:b/>
          <w:bCs/>
        </w:rPr>
      </w:pPr>
      <w:r>
        <w:rPr>
          <w:rFonts w:ascii="Times New Roman" w:hAnsi="Times New Roman" w:cs="Times New Roman"/>
          <w:kern w:val="0"/>
        </w:rPr>
        <w:br w:type="page"/>
      </w:r>
      <w:r>
        <w:rPr>
          <w:rStyle w:val="56"/>
          <w:rFonts w:hint="eastAsia"/>
          <w:b/>
          <w:bCs/>
          <w:lang w:val="en-US" w:eastAsia="zh-CN"/>
        </w:rPr>
        <w:t>二、</w:t>
      </w:r>
      <w:r>
        <w:rPr>
          <w:rStyle w:val="56"/>
          <w:b/>
          <w:bCs/>
        </w:rPr>
        <w:t>报价一览表</w:t>
      </w:r>
    </w:p>
    <w:p>
      <w:pPr>
        <w:tabs>
          <w:tab w:val="left" w:pos="6300"/>
        </w:tabs>
        <w:snapToGrid w:val="0"/>
        <w:spacing w:line="360" w:lineRule="auto"/>
        <w:jc w:val="center"/>
        <w:rPr>
          <w:rFonts w:ascii="Times New Roman" w:hAnsi="Times New Roman" w:cs="Times New Roman"/>
          <w:b/>
          <w:snapToGrid w:val="0"/>
          <w:kern w:val="0"/>
          <w:sz w:val="36"/>
          <w:szCs w:val="28"/>
        </w:rPr>
      </w:pPr>
    </w:p>
    <w:tbl>
      <w:tblPr>
        <w:tblStyle w:val="25"/>
        <w:tblW w:w="9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3"/>
        <w:gridCol w:w="3472"/>
        <w:gridCol w:w="2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305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napToGrid w:val="0"/>
                <w:kern w:val="0"/>
                <w:sz w:val="24"/>
                <w:szCs w:val="24"/>
              </w:rPr>
            </w:pPr>
            <w:bookmarkStart w:id="120" w:name="_Hlk59456849"/>
            <w:r>
              <w:rPr>
                <w:rFonts w:ascii="Times New Roman" w:hAnsi="Times New Roman" w:cs="Times New Roman"/>
                <w:snapToGrid w:val="0"/>
                <w:kern w:val="0"/>
                <w:sz w:val="24"/>
                <w:szCs w:val="24"/>
              </w:rPr>
              <w:t>参选人全称</w:t>
            </w:r>
          </w:p>
        </w:tc>
        <w:tc>
          <w:tcPr>
            <w:tcW w:w="6339"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3053" w:type="dxa"/>
            <w:tcBorders>
              <w:top w:val="single" w:color="auto" w:sz="4" w:space="0"/>
              <w:left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1"/>
                <w:szCs w:val="21"/>
              </w:rPr>
            </w:pPr>
            <w:r>
              <w:rPr>
                <w:rFonts w:ascii="Times New Roman" w:hAnsi="Times New Roman" w:cs="Times New Roman"/>
                <w:sz w:val="24"/>
                <w:szCs w:val="24"/>
              </w:rPr>
              <w:t>比选项目名称</w:t>
            </w:r>
          </w:p>
        </w:tc>
        <w:tc>
          <w:tcPr>
            <w:tcW w:w="6339" w:type="dxa"/>
            <w:gridSpan w:val="2"/>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9392" w:type="dxa"/>
            <w:gridSpan w:val="3"/>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项目报价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305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项目不含税价</w:t>
            </w:r>
          </w:p>
        </w:tc>
        <w:tc>
          <w:tcPr>
            <w:tcW w:w="34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default" w:ascii="Times New Roman" w:hAnsi="Times New Roman" w:eastAsia="宋体" w:cs="Times New Roman"/>
                <w:snapToGrid w:val="0"/>
                <w:kern w:val="0"/>
                <w:sz w:val="24"/>
                <w:szCs w:val="24"/>
                <w:lang w:val="en-US" w:eastAsia="zh-CN"/>
              </w:rPr>
            </w:pPr>
            <w:r>
              <w:rPr>
                <w:rFonts w:ascii="Times New Roman" w:hAnsi="Times New Roman" w:cs="Times New Roman"/>
                <w:snapToGrid w:val="0"/>
                <w:kern w:val="0"/>
                <w:sz w:val="24"/>
                <w:szCs w:val="24"/>
              </w:rPr>
              <w:t>增值税税率</w:t>
            </w:r>
            <w:r>
              <w:rPr>
                <w:rFonts w:hint="eastAsia" w:ascii="Times New Roman" w:hAnsi="Times New Roman" w:cs="Times New Roman"/>
                <w:snapToGrid w:val="0"/>
                <w:kern w:val="0"/>
                <w:sz w:val="24"/>
                <w:szCs w:val="24"/>
                <w:lang w:val="en-US" w:eastAsia="zh-CN"/>
              </w:rPr>
              <w:t>6%</w:t>
            </w:r>
          </w:p>
        </w:tc>
        <w:tc>
          <w:tcPr>
            <w:tcW w:w="286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含税价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305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小写：</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大写：</w:t>
            </w:r>
          </w:p>
        </w:tc>
        <w:tc>
          <w:tcPr>
            <w:tcW w:w="34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ascii="Times New Roman" w:hAnsi="Times New Roman" w:cs="Times New Roman"/>
                <w:snapToGrid w:val="0"/>
                <w:kern w:val="0"/>
                <w:sz w:val="24"/>
                <w:szCs w:val="24"/>
              </w:rPr>
            </w:pPr>
          </w:p>
        </w:tc>
        <w:tc>
          <w:tcPr>
            <w:tcW w:w="286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小写：</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9392" w:type="dxa"/>
            <w:gridSpan w:val="3"/>
            <w:tcBorders>
              <w:top w:val="single" w:color="auto" w:sz="4" w:space="0"/>
              <w:left w:val="single" w:color="auto" w:sz="4" w:space="0"/>
              <w:bottom w:val="single" w:color="auto" w:sz="4" w:space="0"/>
              <w:right w:val="single" w:color="auto" w:sz="4" w:space="0"/>
              <w:tl2br w:val="nil"/>
              <w:tr2bl w:val="nil"/>
            </w:tcBorders>
          </w:tcPr>
          <w:p>
            <w:pPr>
              <w:pStyle w:val="14"/>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snapToGrid w:val="0"/>
                <w:kern w:val="0"/>
                <w:sz w:val="24"/>
                <w:szCs w:val="24"/>
              </w:rPr>
            </w:pPr>
          </w:p>
          <w:p>
            <w:pPr>
              <w:pStyle w:val="14"/>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snapToGrid w:val="0"/>
                <w:kern w:val="0"/>
                <w:sz w:val="24"/>
                <w:szCs w:val="24"/>
              </w:rPr>
            </w:pPr>
            <w:r>
              <w:rPr>
                <w:snapToGrid w:val="0"/>
                <w:kern w:val="0"/>
                <w:sz w:val="24"/>
                <w:szCs w:val="24"/>
              </w:rPr>
              <w:t>备注：</w:t>
            </w:r>
          </w:p>
        </w:tc>
      </w:tr>
    </w:tbl>
    <w:p>
      <w:pPr>
        <w:spacing w:line="360" w:lineRule="auto"/>
        <w:ind w:right="-34" w:rightChars="-14"/>
        <w:rPr>
          <w:rFonts w:ascii="Times New Roman" w:hAnsi="Times New Roman" w:cs="Times New Roman"/>
          <w:sz w:val="24"/>
          <w:szCs w:val="28"/>
        </w:rPr>
      </w:pPr>
    </w:p>
    <w:p>
      <w:pPr>
        <w:spacing w:line="360" w:lineRule="auto"/>
        <w:ind w:right="-34" w:rightChars="-14"/>
        <w:rPr>
          <w:rFonts w:ascii="Times New Roman" w:hAnsi="Times New Roman" w:cs="Times New Roman"/>
          <w:sz w:val="24"/>
          <w:szCs w:val="28"/>
        </w:rPr>
      </w:pPr>
      <w:r>
        <w:rPr>
          <w:rFonts w:ascii="Times New Roman" w:hAnsi="Times New Roman" w:cs="Times New Roman"/>
          <w:sz w:val="24"/>
          <w:szCs w:val="28"/>
        </w:rPr>
        <w:t>注：若含有多种税率，请注明各自金额比重，否则统一按低税率核算价格得分。若遇国家税率调整，则保持不含税价不变，重新计算含税价格。</w:t>
      </w:r>
    </w:p>
    <w:bookmarkEnd w:id="120"/>
    <w:p>
      <w:pPr>
        <w:spacing w:line="360" w:lineRule="auto"/>
        <w:ind w:right="-34" w:rightChars="-14"/>
        <w:rPr>
          <w:rFonts w:ascii="Times New Roman" w:hAnsi="Times New Roman" w:cs="Times New Roman"/>
          <w:sz w:val="24"/>
          <w:szCs w:val="28"/>
        </w:rPr>
      </w:pPr>
    </w:p>
    <w:p>
      <w:pPr>
        <w:spacing w:line="360" w:lineRule="auto"/>
        <w:ind w:right="-34" w:rightChars="-14"/>
        <w:rPr>
          <w:rFonts w:ascii="Times New Roman" w:hAnsi="Times New Roman" w:cs="Times New Roman"/>
          <w:sz w:val="24"/>
          <w:szCs w:val="28"/>
        </w:rPr>
      </w:pPr>
    </w:p>
    <w:p>
      <w:pPr>
        <w:spacing w:line="360" w:lineRule="auto"/>
        <w:ind w:right="-34" w:rightChars="-14"/>
        <w:rPr>
          <w:rFonts w:ascii="Times New Roman" w:hAnsi="Times New Roman" w:cs="Times New Roman"/>
          <w:sz w:val="24"/>
          <w:szCs w:val="28"/>
        </w:rPr>
      </w:pPr>
    </w:p>
    <w:p>
      <w:pPr>
        <w:spacing w:line="360" w:lineRule="auto"/>
        <w:ind w:right="-34" w:rightChars="-14"/>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参选人：法人授权代表：</w:t>
      </w:r>
    </w:p>
    <w:p>
      <w:pPr>
        <w:spacing w:line="360" w:lineRule="auto"/>
        <w:ind w:right="-34" w:rightChars="-14"/>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（公章）（签章）</w:t>
      </w:r>
    </w:p>
    <w:p>
      <w:pPr>
        <w:spacing w:line="360" w:lineRule="auto"/>
        <w:ind w:right="-34" w:rightChars="-14"/>
        <w:jc w:val="righ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年月日</w:t>
      </w:r>
    </w:p>
    <w:p>
      <w:pPr>
        <w:snapToGrid w:val="0"/>
        <w:spacing w:line="360" w:lineRule="auto"/>
        <w:rPr>
          <w:rFonts w:ascii="Times New Roman" w:hAnsi="Times New Roman" w:cs="Times New Roman"/>
          <w:snapToGrid w:val="0"/>
          <w:kern w:val="0"/>
          <w:sz w:val="24"/>
          <w:szCs w:val="24"/>
        </w:rPr>
      </w:pPr>
    </w:p>
    <w:p>
      <w:pPr>
        <w:snapToGrid w:val="0"/>
        <w:spacing w:line="360" w:lineRule="auto"/>
        <w:rPr>
          <w:rFonts w:ascii="Times New Roman" w:hAnsi="Times New Roman" w:cs="Times New Roman"/>
          <w:snapToGrid w:val="0"/>
          <w:kern w:val="0"/>
          <w:sz w:val="24"/>
          <w:szCs w:val="24"/>
        </w:rPr>
      </w:pPr>
    </w:p>
    <w:p>
      <w:pPr>
        <w:snapToGrid w:val="0"/>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有关说明：</w:t>
      </w:r>
    </w:p>
    <w:p>
      <w:pPr>
        <w:snapToGrid w:val="0"/>
        <w:spacing w:line="360" w:lineRule="auto"/>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报价一览表在开标大会上当众宣读，务必填写清楚，准确无误。表格可扩展。</w:t>
      </w:r>
    </w:p>
    <w:p>
      <w:pPr>
        <w:snapToGrid w:val="0"/>
        <w:spacing w:line="360" w:lineRule="auto"/>
        <w:jc w:val="left"/>
        <w:rPr>
          <w:rFonts w:ascii="Times New Roman" w:hAnsi="Times New Roman" w:cs="Times New Roman"/>
          <w:snapToGrid w:val="0"/>
          <w:kern w:val="0"/>
          <w:sz w:val="24"/>
          <w:szCs w:val="24"/>
        </w:rPr>
      </w:pPr>
    </w:p>
    <w:p>
      <w:pPr>
        <w:pStyle w:val="4"/>
        <w:numPr>
          <w:ilvl w:val="0"/>
          <w:numId w:val="0"/>
        </w:numPr>
        <w:ind w:left="420" w:leftChars="0" w:hanging="420" w:firstLineChars="0"/>
        <w:jc w:val="center"/>
        <w:rPr>
          <w:rFonts w:ascii="Times New Roman" w:hAnsi="Times New Roman" w:cs="Times New Roman"/>
          <w:kern w:val="0"/>
        </w:rPr>
        <w:sectPr>
          <w:pgSz w:w="11906" w:h="16838"/>
          <w:pgMar w:top="1440" w:right="1800" w:bottom="1440" w:left="1800" w:header="851" w:footer="992" w:gutter="0"/>
          <w:cols w:space="720" w:num="1"/>
          <w:docGrid w:type="lines" w:linePitch="312" w:charSpace="0"/>
        </w:sectPr>
      </w:pPr>
    </w:p>
    <w:p>
      <w:pPr>
        <w:pStyle w:val="6"/>
        <w:bidi w:val="0"/>
        <w:jc w:val="center"/>
      </w:pPr>
      <w:r>
        <w:rPr>
          <w:rFonts w:hint="eastAsia"/>
          <w:lang w:val="en-US" w:eastAsia="zh-CN"/>
        </w:rPr>
        <w:t>三</w:t>
      </w:r>
      <w:r>
        <w:rPr>
          <w:lang w:val="en-US" w:eastAsia="zh-CN"/>
        </w:rPr>
        <w:t>、</w:t>
      </w:r>
      <w:r>
        <w:t>分项报价明细表</w:t>
      </w:r>
    </w:p>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(自定义表格形式)</w:t>
      </w:r>
    </w:p>
    <w:p>
      <w:pPr>
        <w:rPr>
          <w:rFonts w:ascii="Times New Roman" w:hAnsi="Times New Roman" w:cs="Times New Roman"/>
        </w:rPr>
      </w:pPr>
    </w:p>
    <w:p>
      <w:pPr>
        <w:widowControl/>
        <w:jc w:val="left"/>
        <w:rPr>
          <w:rFonts w:ascii="Times New Roman" w:hAnsi="Times New Roman" w:cs="Times New Roman"/>
        </w:rPr>
      </w:pPr>
      <w:r>
        <w:rPr>
          <w:rFonts w:ascii="Times New Roman" w:hAnsi="Times New Roman" w:cs="Times New Roman"/>
        </w:rPr>
        <w:br w:type="page"/>
      </w:r>
    </w:p>
    <w:p>
      <w:pPr>
        <w:pStyle w:val="6"/>
        <w:bidi w:val="0"/>
        <w:jc w:val="center"/>
      </w:pPr>
      <w:r>
        <w:rPr>
          <w:rFonts w:hint="eastAsia"/>
          <w:lang w:val="en-US" w:eastAsia="zh-CN"/>
        </w:rPr>
        <w:t>四、资格性文件</w:t>
      </w:r>
    </w:p>
    <w:p>
      <w:pPr>
        <w:pStyle w:val="6"/>
        <w:bidi w:val="0"/>
        <w:jc w:val="center"/>
      </w:pPr>
      <w:r>
        <w:rPr>
          <w:rFonts w:hint="eastAsia"/>
          <w:lang w:eastAsia="zh-CN"/>
        </w:rPr>
        <w:t>（</w:t>
      </w:r>
      <w:r>
        <w:rPr>
          <w:rFonts w:hint="eastAsia"/>
          <w:lang w:val="en-US" w:eastAsia="zh-CN"/>
        </w:rPr>
        <w:t>一</w:t>
      </w:r>
      <w:r>
        <w:rPr>
          <w:rFonts w:hint="eastAsia"/>
          <w:lang w:eastAsia="zh-CN"/>
        </w:rPr>
        <w:t>）</w:t>
      </w:r>
      <w:r>
        <w:t>参选人基本情况介绍</w:t>
      </w:r>
    </w:p>
    <w:tbl>
      <w:tblPr>
        <w:tblStyle w:val="25"/>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r>
              <w:rPr>
                <w:rFonts w:ascii="Times New Roman" w:hAnsi="Times New Roman" w:cs="Times New Roman"/>
                <w:sz w:val="22"/>
                <w:szCs w:val="24"/>
              </w:rPr>
              <w:t>参选人名称</w:t>
            </w:r>
          </w:p>
        </w:tc>
        <w:tc>
          <w:tcPr>
            <w:tcW w:w="7336" w:type="dxa"/>
            <w:gridSpan w:val="8"/>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r>
              <w:rPr>
                <w:rFonts w:ascii="Times New Roman" w:hAnsi="Times New Roman" w:cs="Times New Roman"/>
                <w:sz w:val="22"/>
                <w:szCs w:val="24"/>
              </w:rPr>
              <w:t>注册地址</w:t>
            </w:r>
          </w:p>
        </w:tc>
        <w:tc>
          <w:tcPr>
            <w:tcW w:w="4132" w:type="dxa"/>
            <w:gridSpan w:val="4"/>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p>
        </w:tc>
        <w:tc>
          <w:tcPr>
            <w:tcW w:w="1325"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r>
              <w:rPr>
                <w:rFonts w:ascii="Times New Roman" w:hAnsi="Times New Roman" w:cs="Times New Roman"/>
                <w:sz w:val="22"/>
                <w:szCs w:val="24"/>
              </w:rPr>
              <w:t>邮政编码</w:t>
            </w:r>
          </w:p>
        </w:tc>
        <w:tc>
          <w:tcPr>
            <w:tcW w:w="1879" w:type="dxa"/>
            <w:gridSpan w:val="3"/>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r>
              <w:rPr>
                <w:rFonts w:ascii="Times New Roman" w:hAnsi="Times New Roman" w:cs="Times New Roman"/>
                <w:sz w:val="22"/>
                <w:szCs w:val="24"/>
              </w:rPr>
              <w:t>联系方式</w:t>
            </w:r>
          </w:p>
        </w:tc>
        <w:tc>
          <w:tcPr>
            <w:tcW w:w="1077"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r>
              <w:rPr>
                <w:rFonts w:ascii="Times New Roman" w:hAnsi="Times New Roman" w:cs="Times New Roman"/>
                <w:sz w:val="22"/>
                <w:szCs w:val="24"/>
              </w:rPr>
              <w:t>联系人</w:t>
            </w:r>
          </w:p>
        </w:tc>
        <w:tc>
          <w:tcPr>
            <w:tcW w:w="3055" w:type="dxa"/>
            <w:gridSpan w:val="3"/>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p>
        </w:tc>
        <w:tc>
          <w:tcPr>
            <w:tcW w:w="1325"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r>
              <w:rPr>
                <w:rFonts w:ascii="Times New Roman" w:hAnsi="Times New Roman" w:cs="Times New Roman"/>
                <w:sz w:val="22"/>
                <w:szCs w:val="24"/>
              </w:rPr>
              <w:t>电话</w:t>
            </w:r>
          </w:p>
        </w:tc>
        <w:tc>
          <w:tcPr>
            <w:tcW w:w="1879" w:type="dxa"/>
            <w:gridSpan w:val="3"/>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pPr>
          </w:p>
        </w:tc>
        <w:tc>
          <w:tcPr>
            <w:tcW w:w="1077"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r>
              <w:rPr>
                <w:rFonts w:ascii="Times New Roman" w:hAnsi="Times New Roman" w:cs="Times New Roman"/>
                <w:sz w:val="22"/>
                <w:szCs w:val="24"/>
              </w:rPr>
              <w:t>传真</w:t>
            </w:r>
          </w:p>
        </w:tc>
        <w:tc>
          <w:tcPr>
            <w:tcW w:w="3055" w:type="dxa"/>
            <w:gridSpan w:val="3"/>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p>
        </w:tc>
        <w:tc>
          <w:tcPr>
            <w:tcW w:w="1325"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r>
              <w:rPr>
                <w:rFonts w:ascii="Times New Roman" w:hAnsi="Times New Roman" w:cs="Times New Roman"/>
                <w:sz w:val="22"/>
                <w:szCs w:val="24"/>
              </w:rPr>
              <w:t>网址</w:t>
            </w:r>
          </w:p>
        </w:tc>
        <w:tc>
          <w:tcPr>
            <w:tcW w:w="1879" w:type="dxa"/>
            <w:gridSpan w:val="3"/>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r>
              <w:rPr>
                <w:rFonts w:ascii="Times New Roman" w:hAnsi="Times New Roman" w:cs="Times New Roman"/>
                <w:sz w:val="22"/>
                <w:szCs w:val="24"/>
              </w:rPr>
              <w:t>组织结构</w:t>
            </w:r>
          </w:p>
        </w:tc>
        <w:tc>
          <w:tcPr>
            <w:tcW w:w="7336" w:type="dxa"/>
            <w:gridSpan w:val="8"/>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r>
              <w:rPr>
                <w:rFonts w:ascii="Times New Roman" w:hAnsi="Times New Roman" w:cs="Times New Roman"/>
                <w:sz w:val="22"/>
                <w:szCs w:val="24"/>
              </w:rPr>
              <w:t>法定代表人</w:t>
            </w:r>
          </w:p>
        </w:tc>
        <w:tc>
          <w:tcPr>
            <w:tcW w:w="1077"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r>
              <w:rPr>
                <w:rFonts w:ascii="Times New Roman" w:hAnsi="Times New Roman" w:cs="Times New Roman"/>
                <w:sz w:val="22"/>
                <w:szCs w:val="24"/>
              </w:rPr>
              <w:t>姓名</w:t>
            </w:r>
          </w:p>
        </w:tc>
        <w:tc>
          <w:tcPr>
            <w:tcW w:w="1803" w:type="dxa"/>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p>
        </w:tc>
        <w:tc>
          <w:tcPr>
            <w:tcW w:w="1252"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r>
              <w:rPr>
                <w:rFonts w:ascii="Times New Roman" w:hAnsi="Times New Roman" w:cs="Times New Roman"/>
                <w:sz w:val="22"/>
                <w:szCs w:val="24"/>
              </w:rPr>
              <w:t>技术职称</w:t>
            </w:r>
          </w:p>
        </w:tc>
        <w:tc>
          <w:tcPr>
            <w:tcW w:w="1501"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p>
        </w:tc>
        <w:tc>
          <w:tcPr>
            <w:tcW w:w="723"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r>
              <w:rPr>
                <w:rFonts w:ascii="Times New Roman" w:hAnsi="Times New Roman" w:cs="Times New Roman"/>
                <w:sz w:val="22"/>
                <w:szCs w:val="24"/>
              </w:rPr>
              <w:t>电话</w:t>
            </w:r>
          </w:p>
        </w:tc>
        <w:tc>
          <w:tcPr>
            <w:tcW w:w="980" w:type="dxa"/>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r>
              <w:rPr>
                <w:rFonts w:ascii="Times New Roman" w:hAnsi="Times New Roman" w:cs="Times New Roman"/>
                <w:sz w:val="22"/>
                <w:szCs w:val="24"/>
              </w:rPr>
              <w:t>技术负责人</w:t>
            </w:r>
          </w:p>
        </w:tc>
        <w:tc>
          <w:tcPr>
            <w:tcW w:w="1077"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r>
              <w:rPr>
                <w:rFonts w:ascii="Times New Roman" w:hAnsi="Times New Roman" w:cs="Times New Roman"/>
                <w:sz w:val="22"/>
                <w:szCs w:val="24"/>
              </w:rPr>
              <w:t>姓名</w:t>
            </w:r>
          </w:p>
        </w:tc>
        <w:tc>
          <w:tcPr>
            <w:tcW w:w="1803" w:type="dxa"/>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p>
        </w:tc>
        <w:tc>
          <w:tcPr>
            <w:tcW w:w="1252"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r>
              <w:rPr>
                <w:rFonts w:ascii="Times New Roman" w:hAnsi="Times New Roman" w:cs="Times New Roman"/>
                <w:sz w:val="22"/>
                <w:szCs w:val="24"/>
              </w:rPr>
              <w:t>技术职称</w:t>
            </w:r>
          </w:p>
        </w:tc>
        <w:tc>
          <w:tcPr>
            <w:tcW w:w="1501"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p>
        </w:tc>
        <w:tc>
          <w:tcPr>
            <w:tcW w:w="723"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r>
              <w:rPr>
                <w:rFonts w:ascii="Times New Roman" w:hAnsi="Times New Roman" w:cs="Times New Roman"/>
                <w:sz w:val="22"/>
                <w:szCs w:val="24"/>
              </w:rPr>
              <w:t>电话</w:t>
            </w:r>
          </w:p>
        </w:tc>
        <w:tc>
          <w:tcPr>
            <w:tcW w:w="980" w:type="dxa"/>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r>
              <w:rPr>
                <w:rFonts w:ascii="Times New Roman" w:hAnsi="Times New Roman" w:cs="Times New Roman"/>
                <w:sz w:val="22"/>
                <w:szCs w:val="24"/>
              </w:rPr>
              <w:t>成立时间</w:t>
            </w:r>
          </w:p>
        </w:tc>
        <w:tc>
          <w:tcPr>
            <w:tcW w:w="2880" w:type="dxa"/>
            <w:gridSpan w:val="2"/>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p>
        </w:tc>
        <w:tc>
          <w:tcPr>
            <w:tcW w:w="4456" w:type="dxa"/>
            <w:gridSpan w:val="6"/>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r>
              <w:rPr>
                <w:rFonts w:ascii="Times New Roman" w:hAnsi="Times New Roman" w:cs="Times New Roman"/>
                <w:sz w:val="22"/>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r>
              <w:rPr>
                <w:rFonts w:ascii="Times New Roman" w:hAnsi="Times New Roman" w:cs="Times New Roman"/>
                <w:sz w:val="22"/>
                <w:szCs w:val="24"/>
              </w:rPr>
              <w:t>企业资质等级</w:t>
            </w:r>
          </w:p>
        </w:tc>
        <w:tc>
          <w:tcPr>
            <w:tcW w:w="2880" w:type="dxa"/>
            <w:gridSpan w:val="2"/>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p>
        </w:tc>
        <w:tc>
          <w:tcPr>
            <w:tcW w:w="714"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r>
              <w:rPr>
                <w:rFonts w:ascii="Times New Roman" w:hAnsi="Times New Roman" w:cs="Times New Roman"/>
                <w:sz w:val="22"/>
                <w:szCs w:val="24"/>
              </w:rPr>
              <w:t>其中</w:t>
            </w:r>
          </w:p>
        </w:tc>
        <w:tc>
          <w:tcPr>
            <w:tcW w:w="2039"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r>
              <w:rPr>
                <w:rFonts w:ascii="Times New Roman" w:hAnsi="Times New Roman" w:cs="Times New Roman"/>
                <w:sz w:val="22"/>
                <w:szCs w:val="24"/>
              </w:rPr>
              <w:t>项目经理</w:t>
            </w:r>
          </w:p>
        </w:tc>
        <w:tc>
          <w:tcPr>
            <w:tcW w:w="1703" w:type="dxa"/>
            <w:gridSpan w:val="2"/>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r>
              <w:rPr>
                <w:rFonts w:ascii="Times New Roman" w:hAnsi="Times New Roman" w:cs="Times New Roman"/>
                <w:sz w:val="22"/>
                <w:szCs w:val="24"/>
              </w:rPr>
              <w:t>营业执照号</w:t>
            </w:r>
          </w:p>
        </w:tc>
        <w:tc>
          <w:tcPr>
            <w:tcW w:w="2880" w:type="dxa"/>
            <w:gridSpan w:val="2"/>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p>
        </w:tc>
        <w:tc>
          <w:tcPr>
            <w:tcW w:w="714" w:type="dxa"/>
            <w:vMerge w:val="continue"/>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pPr>
          </w:p>
        </w:tc>
        <w:tc>
          <w:tcPr>
            <w:tcW w:w="2039"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r>
              <w:rPr>
                <w:rFonts w:ascii="Times New Roman" w:hAnsi="Times New Roman" w:cs="Times New Roman"/>
                <w:sz w:val="22"/>
                <w:szCs w:val="24"/>
              </w:rPr>
              <w:t>高级职称人员</w:t>
            </w:r>
          </w:p>
        </w:tc>
        <w:tc>
          <w:tcPr>
            <w:tcW w:w="1703" w:type="dxa"/>
            <w:gridSpan w:val="2"/>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r>
              <w:rPr>
                <w:rFonts w:ascii="Times New Roman" w:hAnsi="Times New Roman" w:cs="Times New Roman"/>
                <w:sz w:val="22"/>
                <w:szCs w:val="24"/>
              </w:rPr>
              <w:t>注册资金</w:t>
            </w:r>
          </w:p>
        </w:tc>
        <w:tc>
          <w:tcPr>
            <w:tcW w:w="2880" w:type="dxa"/>
            <w:gridSpan w:val="2"/>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p>
        </w:tc>
        <w:tc>
          <w:tcPr>
            <w:tcW w:w="714" w:type="dxa"/>
            <w:vMerge w:val="continue"/>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pPr>
          </w:p>
        </w:tc>
        <w:tc>
          <w:tcPr>
            <w:tcW w:w="2039"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r>
              <w:rPr>
                <w:rFonts w:ascii="Times New Roman" w:hAnsi="Times New Roman" w:cs="Times New Roman"/>
                <w:sz w:val="22"/>
                <w:szCs w:val="24"/>
              </w:rPr>
              <w:t>中级职称人员</w:t>
            </w:r>
          </w:p>
        </w:tc>
        <w:tc>
          <w:tcPr>
            <w:tcW w:w="1703" w:type="dxa"/>
            <w:gridSpan w:val="2"/>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r>
              <w:rPr>
                <w:rFonts w:ascii="Times New Roman" w:hAnsi="Times New Roman" w:cs="Times New Roman"/>
                <w:sz w:val="22"/>
                <w:szCs w:val="24"/>
              </w:rPr>
              <w:t>开户银行</w:t>
            </w:r>
          </w:p>
        </w:tc>
        <w:tc>
          <w:tcPr>
            <w:tcW w:w="2880" w:type="dxa"/>
            <w:gridSpan w:val="2"/>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p>
        </w:tc>
        <w:tc>
          <w:tcPr>
            <w:tcW w:w="714" w:type="dxa"/>
            <w:vMerge w:val="continue"/>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pPr>
          </w:p>
        </w:tc>
        <w:tc>
          <w:tcPr>
            <w:tcW w:w="2039"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r>
              <w:rPr>
                <w:rFonts w:ascii="Times New Roman" w:hAnsi="Times New Roman" w:cs="Times New Roman"/>
                <w:sz w:val="22"/>
                <w:szCs w:val="24"/>
              </w:rPr>
              <w:t>初级职称人员</w:t>
            </w:r>
          </w:p>
        </w:tc>
        <w:tc>
          <w:tcPr>
            <w:tcW w:w="1703" w:type="dxa"/>
            <w:gridSpan w:val="2"/>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r>
              <w:rPr>
                <w:rFonts w:ascii="Times New Roman" w:hAnsi="Times New Roman" w:cs="Times New Roman"/>
                <w:sz w:val="22"/>
                <w:szCs w:val="24"/>
              </w:rPr>
              <w:t>账号</w:t>
            </w:r>
          </w:p>
        </w:tc>
        <w:tc>
          <w:tcPr>
            <w:tcW w:w="2880" w:type="dxa"/>
            <w:gridSpan w:val="2"/>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p>
        </w:tc>
        <w:tc>
          <w:tcPr>
            <w:tcW w:w="714" w:type="dxa"/>
            <w:vMerge w:val="continue"/>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pPr>
          </w:p>
        </w:tc>
        <w:tc>
          <w:tcPr>
            <w:tcW w:w="2039"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r>
              <w:rPr>
                <w:rFonts w:ascii="Times New Roman" w:hAnsi="Times New Roman" w:cs="Times New Roman"/>
                <w:sz w:val="22"/>
                <w:szCs w:val="24"/>
              </w:rPr>
              <w:t>技工</w:t>
            </w:r>
          </w:p>
        </w:tc>
        <w:tc>
          <w:tcPr>
            <w:tcW w:w="1703" w:type="dxa"/>
            <w:gridSpan w:val="2"/>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r>
              <w:rPr>
                <w:rFonts w:ascii="Times New Roman" w:hAnsi="Times New Roman" w:cs="Times New Roman"/>
                <w:sz w:val="22"/>
                <w:szCs w:val="24"/>
              </w:rPr>
              <w:t>经营范围</w:t>
            </w:r>
          </w:p>
        </w:tc>
        <w:tc>
          <w:tcPr>
            <w:tcW w:w="7336" w:type="dxa"/>
            <w:gridSpan w:val="8"/>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r>
              <w:rPr>
                <w:rFonts w:ascii="Times New Roman" w:hAnsi="Times New Roman" w:cs="Times New Roman"/>
                <w:sz w:val="22"/>
                <w:szCs w:val="24"/>
              </w:rPr>
              <w:t>备注</w:t>
            </w:r>
          </w:p>
        </w:tc>
        <w:tc>
          <w:tcPr>
            <w:tcW w:w="7336" w:type="dxa"/>
            <w:gridSpan w:val="8"/>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Times New Roman" w:hAnsi="Times New Roman" w:cs="Times New Roman"/>
                <w:sz w:val="22"/>
                <w:szCs w:val="24"/>
              </w:rPr>
            </w:pPr>
          </w:p>
        </w:tc>
      </w:tr>
    </w:tbl>
    <w:p>
      <w:pPr>
        <w:pStyle w:val="19"/>
        <w:rPr>
          <w:rFonts w:ascii="Times New Roman" w:hAnsi="Times New Roman" w:cs="Times New Roman"/>
          <w:sz w:val="20"/>
          <w:szCs w:val="21"/>
        </w:rPr>
      </w:pPr>
    </w:p>
    <w:p>
      <w:pPr>
        <w:sectPr>
          <w:pgSz w:w="11906" w:h="16838"/>
          <w:pgMar w:top="1440" w:right="1800" w:bottom="1440" w:left="1800" w:header="851" w:footer="992" w:gutter="0"/>
          <w:cols w:space="720" w:num="1"/>
          <w:docGrid w:type="lines" w:linePitch="312" w:charSpace="0"/>
        </w:sectPr>
      </w:pPr>
    </w:p>
    <w:p>
      <w:pPr>
        <w:pStyle w:val="6"/>
        <w:bidi w:val="0"/>
        <w:jc w:val="center"/>
        <w:rPr>
          <w:rFonts w:hint="default" w:eastAsia="宋体"/>
          <w:lang w:val="en-US" w:eastAsia="zh-CN"/>
        </w:rPr>
      </w:pPr>
      <w:bookmarkStart w:id="121" w:name="_Toc478054435"/>
      <w:bookmarkStart w:id="122" w:name="_Toc472780356"/>
      <w:bookmarkStart w:id="123" w:name="_Toc478053903"/>
      <w:bookmarkStart w:id="124" w:name="_Toc378234584"/>
      <w:bookmarkStart w:id="125" w:name="_Toc378234770"/>
      <w:r>
        <w:rPr>
          <w:rFonts w:hint="eastAsia"/>
          <w:lang w:eastAsia="zh-CN"/>
        </w:rPr>
        <w:t>（</w:t>
      </w:r>
      <w:r>
        <w:rPr>
          <w:rFonts w:hint="eastAsia"/>
          <w:lang w:val="en-US" w:eastAsia="zh-CN"/>
        </w:rPr>
        <w:t>二</w:t>
      </w:r>
      <w:r>
        <w:rPr>
          <w:rFonts w:hint="eastAsia"/>
          <w:lang w:eastAsia="zh-CN"/>
        </w:rPr>
        <w:t>）</w:t>
      </w:r>
      <w:r>
        <w:t>参选人资质证明</w:t>
      </w:r>
      <w:r>
        <w:rPr>
          <w:rFonts w:hint="eastAsia"/>
          <w:lang w:val="en-US" w:eastAsia="zh-CN"/>
        </w:rPr>
        <w:t>材料</w:t>
      </w:r>
    </w:p>
    <w:p>
      <w:pPr>
        <w:widowControl/>
        <w:spacing w:line="600" w:lineRule="exact"/>
        <w:jc w:val="left"/>
      </w:pPr>
      <w:r>
        <w:t>注：资质证明</w:t>
      </w:r>
      <w:r>
        <w:rPr>
          <w:rFonts w:hint="eastAsia"/>
          <w:lang w:val="en-US" w:eastAsia="zh-CN"/>
        </w:rPr>
        <w:t>包含第六章：</w:t>
      </w:r>
      <w:r>
        <w:t>企业CMMI资质</w:t>
      </w:r>
      <w:r>
        <w:rPr>
          <w:rFonts w:hint="eastAsia"/>
          <w:lang w:eastAsia="zh-CN"/>
        </w:rPr>
        <w:t>、</w:t>
      </w:r>
      <w:r>
        <w:t>主任评估师资源</w:t>
      </w:r>
      <w:r>
        <w:rPr>
          <w:rFonts w:hint="eastAsia"/>
          <w:lang w:eastAsia="zh-CN"/>
        </w:rPr>
        <w:t>、</w:t>
      </w:r>
      <w:r>
        <w:t>项目实施团队资质</w:t>
      </w:r>
      <w:r>
        <w:rPr>
          <w:rFonts w:hint="eastAsia"/>
          <w:lang w:val="en-US" w:eastAsia="zh-CN"/>
        </w:rPr>
        <w:t>等证明材料；</w:t>
      </w:r>
      <w:r>
        <w:t>附营业执照（副本）、</w:t>
      </w:r>
      <w:r>
        <w:rPr>
          <w:rFonts w:hint="eastAsia"/>
          <w:lang w:val="en-US" w:eastAsia="zh-CN"/>
        </w:rPr>
        <w:t>总公司授权委托书、</w:t>
      </w:r>
      <w:r>
        <w:t>资质证明复印件等。加盖鲜章。</w:t>
      </w:r>
    </w:p>
    <w:p>
      <w:pPr>
        <w:spacing w:line="600" w:lineRule="exact"/>
      </w:pPr>
    </w:p>
    <w:p>
      <w:pPr>
        <w:spacing w:line="600" w:lineRule="exact"/>
        <w:sectPr>
          <w:pgSz w:w="11906" w:h="16838"/>
          <w:pgMar w:top="1440" w:right="1800" w:bottom="1440" w:left="1800" w:header="851" w:footer="992" w:gutter="0"/>
          <w:cols w:space="720" w:num="1"/>
          <w:docGrid w:type="lines" w:linePitch="312" w:charSpace="0"/>
        </w:sectPr>
      </w:pPr>
    </w:p>
    <w:p>
      <w:pPr>
        <w:pStyle w:val="6"/>
        <w:bidi w:val="0"/>
        <w:jc w:val="center"/>
      </w:pPr>
      <w:r>
        <w:rPr>
          <w:rFonts w:hint="eastAsia"/>
          <w:lang w:eastAsia="zh-CN"/>
        </w:rPr>
        <w:t>（</w:t>
      </w:r>
      <w:r>
        <w:rPr>
          <w:rFonts w:hint="eastAsia"/>
          <w:lang w:val="en-US" w:eastAsia="zh-CN"/>
        </w:rPr>
        <w:t>三</w:t>
      </w:r>
      <w:r>
        <w:rPr>
          <w:rFonts w:hint="eastAsia"/>
          <w:lang w:eastAsia="zh-CN"/>
        </w:rPr>
        <w:t>）国内银行业CMMI3级及其以上级别实施案例</w:t>
      </w:r>
    </w:p>
    <w:p>
      <w:pPr>
        <w:pStyle w:val="19"/>
        <w:rPr>
          <w:rFonts w:ascii="Times New Roman" w:hAnsi="Times New Roman" w:cs="Times New Roman"/>
          <w:sz w:val="20"/>
          <w:szCs w:val="21"/>
        </w:rPr>
      </w:pPr>
    </w:p>
    <w:p>
      <w:pPr>
        <w:sectPr>
          <w:pgSz w:w="11906" w:h="16838"/>
          <w:pgMar w:top="1440" w:right="1800" w:bottom="1440" w:left="1800" w:header="851" w:footer="992" w:gutter="0"/>
          <w:cols w:space="720" w:num="1"/>
          <w:docGrid w:type="lines" w:linePitch="312" w:charSpace="0"/>
        </w:sectPr>
      </w:pPr>
    </w:p>
    <w:p>
      <w:pPr>
        <w:pStyle w:val="6"/>
        <w:bidi w:val="0"/>
        <w:jc w:val="center"/>
      </w:pPr>
      <w:r>
        <w:rPr>
          <w:rFonts w:hint="eastAsia"/>
          <w:lang w:eastAsia="zh-CN"/>
        </w:rPr>
        <w:t>（</w:t>
      </w:r>
      <w:r>
        <w:rPr>
          <w:rFonts w:hint="eastAsia"/>
          <w:lang w:val="en-US" w:eastAsia="zh-CN"/>
        </w:rPr>
        <w:t>四</w:t>
      </w:r>
      <w:r>
        <w:rPr>
          <w:rFonts w:hint="eastAsia"/>
          <w:lang w:eastAsia="zh-CN"/>
        </w:rPr>
        <w:t>）</w:t>
      </w:r>
      <w:r>
        <w:t>法定代表人身份证明及授权委托书</w:t>
      </w:r>
      <w:bookmarkEnd w:id="121"/>
      <w:bookmarkEnd w:id="122"/>
      <w:bookmarkEnd w:id="123"/>
      <w:bookmarkEnd w:id="124"/>
      <w:bookmarkEnd w:id="125"/>
    </w:p>
    <w:p>
      <w:pPr>
        <w:jc w:val="center"/>
        <w:rPr>
          <w:rFonts w:ascii="Times New Roman" w:hAnsi="Times New Roman" w:cs="Times New Roman"/>
          <w:b/>
          <w:bCs/>
          <w:snapToGrid w:val="0"/>
        </w:rPr>
      </w:pPr>
      <w:r>
        <w:rPr>
          <w:rFonts w:ascii="Times New Roman" w:hAnsi="Times New Roman" w:cs="Times New Roman"/>
          <w:b/>
          <w:bCs/>
          <w:snapToGrid w:val="0"/>
        </w:rPr>
        <w:t>法定代表人身份证明书</w:t>
      </w:r>
    </w:p>
    <w:p>
      <w:pPr>
        <w:tabs>
          <w:tab w:val="left" w:pos="6300"/>
        </w:tabs>
        <w:snapToGrid w:val="0"/>
        <w:spacing w:line="360" w:lineRule="auto"/>
        <w:ind w:firstLine="570"/>
        <w:rPr>
          <w:rFonts w:ascii="Times New Roman" w:hAnsi="Times New Roman" w:cs="Times New Roman"/>
          <w:snapToGrid w:val="0"/>
          <w:kern w:val="0"/>
          <w:sz w:val="24"/>
        </w:rPr>
      </w:pPr>
    </w:p>
    <w:p>
      <w:pPr>
        <w:tabs>
          <w:tab w:val="left" w:pos="6300"/>
        </w:tabs>
        <w:snapToGrid w:val="0"/>
        <w:spacing w:line="360" w:lineRule="auto"/>
        <w:ind w:firstLine="570"/>
        <w:rPr>
          <w:rFonts w:ascii="Times New Roman" w:hAnsi="Times New Roman" w:cs="Times New Roman"/>
          <w:snapToGrid w:val="0"/>
          <w:kern w:val="0"/>
          <w:sz w:val="24"/>
        </w:rPr>
      </w:pPr>
      <w:r>
        <w:rPr>
          <w:rFonts w:ascii="Times New Roman" w:hAnsi="Times New Roman" w:cs="Times New Roman"/>
          <w:snapToGrid w:val="0"/>
          <w:kern w:val="0"/>
          <w:sz w:val="24"/>
        </w:rPr>
        <w:t>项目名称：</w:t>
      </w:r>
      <w:r>
        <w:rPr>
          <w:rFonts w:ascii="Times New Roman" w:hAnsi="Times New Roman" w:cs="Times New Roman"/>
          <w:snapToGrid w:val="0"/>
          <w:kern w:val="0"/>
          <w:sz w:val="24"/>
          <w:u w:val="single"/>
        </w:rPr>
        <w:t>____________________</w:t>
      </w:r>
    </w:p>
    <w:p>
      <w:pPr>
        <w:tabs>
          <w:tab w:val="left" w:pos="6300"/>
        </w:tabs>
        <w:snapToGrid w:val="0"/>
        <w:spacing w:line="360" w:lineRule="auto"/>
        <w:ind w:firstLine="570"/>
        <w:rPr>
          <w:rFonts w:ascii="Times New Roman" w:hAnsi="Times New Roman" w:cs="Times New Roman"/>
          <w:snapToGrid w:val="0"/>
          <w:kern w:val="0"/>
          <w:sz w:val="24"/>
        </w:rPr>
      </w:pPr>
    </w:p>
    <w:p>
      <w:pPr>
        <w:tabs>
          <w:tab w:val="left" w:pos="6300"/>
        </w:tabs>
        <w:snapToGrid w:val="0"/>
        <w:spacing w:line="360" w:lineRule="auto"/>
        <w:ind w:firstLine="570"/>
        <w:rPr>
          <w:rFonts w:ascii="Times New Roman" w:hAnsi="Times New Roman" w:cs="Times New Roman"/>
          <w:snapToGrid w:val="0"/>
          <w:kern w:val="0"/>
          <w:sz w:val="24"/>
        </w:rPr>
      </w:pPr>
      <w:r>
        <w:rPr>
          <w:rFonts w:ascii="Times New Roman" w:hAnsi="Times New Roman" w:cs="Times New Roman"/>
          <w:snapToGrid w:val="0"/>
          <w:kern w:val="0"/>
          <w:sz w:val="24"/>
        </w:rPr>
        <w:t>致：</w:t>
      </w:r>
      <w:r>
        <w:rPr>
          <w:rFonts w:ascii="Times New Roman" w:hAnsi="Times New Roman" w:cs="Times New Roman"/>
          <w:snapToGrid w:val="0"/>
          <w:kern w:val="0"/>
          <w:sz w:val="24"/>
          <w:u w:val="single"/>
        </w:rPr>
        <w:t>重庆三峡银行股份有限公司</w:t>
      </w:r>
      <w:r>
        <w:rPr>
          <w:rFonts w:ascii="Times New Roman" w:hAnsi="Times New Roman" w:cs="Times New Roman"/>
          <w:snapToGrid w:val="0"/>
          <w:kern w:val="0"/>
          <w:sz w:val="24"/>
        </w:rPr>
        <w:t>：</w:t>
      </w:r>
    </w:p>
    <w:p>
      <w:pPr>
        <w:tabs>
          <w:tab w:val="left" w:pos="6300"/>
        </w:tabs>
        <w:snapToGrid w:val="0"/>
        <w:spacing w:line="360" w:lineRule="auto"/>
        <w:ind w:firstLine="570"/>
        <w:rPr>
          <w:rFonts w:ascii="Times New Roman" w:hAnsi="Times New Roman" w:cs="Times New Roman"/>
          <w:snapToGrid w:val="0"/>
          <w:kern w:val="0"/>
          <w:sz w:val="24"/>
        </w:rPr>
      </w:pPr>
      <w:r>
        <w:rPr>
          <w:rFonts w:ascii="Times New Roman" w:hAnsi="Times New Roman" w:cs="Times New Roman"/>
          <w:snapToGrid w:val="0"/>
          <w:kern w:val="0"/>
          <w:sz w:val="24"/>
        </w:rPr>
        <w:t>（法定代表人姓名）在（</w:t>
      </w:r>
      <w:r>
        <w:rPr>
          <w:rFonts w:ascii="Times New Roman" w:hAnsi="Times New Roman" w:cs="Times New Roman"/>
          <w:snapToGrid w:val="0"/>
          <w:kern w:val="0"/>
          <w:sz w:val="24"/>
          <w:szCs w:val="24"/>
        </w:rPr>
        <w:t>参选</w:t>
      </w:r>
      <w:r>
        <w:rPr>
          <w:rFonts w:ascii="Times New Roman" w:hAnsi="Times New Roman" w:cs="Times New Roman"/>
          <w:snapToGrid w:val="0"/>
          <w:kern w:val="0"/>
          <w:sz w:val="24"/>
        </w:rPr>
        <w:t>人名称）任（职务名称）职务，是（</w:t>
      </w:r>
      <w:r>
        <w:rPr>
          <w:rFonts w:ascii="Times New Roman" w:hAnsi="Times New Roman" w:cs="Times New Roman"/>
          <w:snapToGrid w:val="0"/>
          <w:kern w:val="0"/>
          <w:sz w:val="24"/>
          <w:szCs w:val="24"/>
        </w:rPr>
        <w:t>参选</w:t>
      </w:r>
      <w:r>
        <w:rPr>
          <w:rFonts w:ascii="Times New Roman" w:hAnsi="Times New Roman" w:cs="Times New Roman"/>
          <w:snapToGrid w:val="0"/>
          <w:kern w:val="0"/>
          <w:sz w:val="24"/>
        </w:rPr>
        <w:t>人名称）的法定代表人。</w:t>
      </w:r>
    </w:p>
    <w:p>
      <w:pPr>
        <w:tabs>
          <w:tab w:val="left" w:pos="6300"/>
        </w:tabs>
        <w:snapToGrid w:val="0"/>
        <w:spacing w:line="360" w:lineRule="auto"/>
        <w:ind w:firstLine="570"/>
        <w:rPr>
          <w:rFonts w:ascii="Times New Roman" w:hAnsi="Times New Roman" w:cs="Times New Roman"/>
          <w:snapToGrid w:val="0"/>
          <w:kern w:val="0"/>
          <w:sz w:val="24"/>
        </w:rPr>
      </w:pPr>
    </w:p>
    <w:p>
      <w:pPr>
        <w:tabs>
          <w:tab w:val="left" w:pos="6300"/>
        </w:tabs>
        <w:snapToGrid w:val="0"/>
        <w:spacing w:line="360" w:lineRule="auto"/>
        <w:ind w:firstLine="570"/>
        <w:rPr>
          <w:rFonts w:ascii="Times New Roman" w:hAnsi="Times New Roman" w:cs="Times New Roman"/>
          <w:snapToGrid w:val="0"/>
          <w:kern w:val="0"/>
          <w:sz w:val="24"/>
        </w:rPr>
      </w:pPr>
      <w:r>
        <w:rPr>
          <w:rFonts w:ascii="Times New Roman" w:hAnsi="Times New Roman" w:cs="Times New Roman"/>
          <w:snapToGrid w:val="0"/>
          <w:kern w:val="0"/>
          <w:sz w:val="24"/>
        </w:rPr>
        <w:t>特此证明。</w:t>
      </w:r>
    </w:p>
    <w:p>
      <w:pPr>
        <w:tabs>
          <w:tab w:val="left" w:pos="6300"/>
        </w:tabs>
        <w:snapToGrid w:val="0"/>
        <w:spacing w:line="360" w:lineRule="auto"/>
        <w:ind w:firstLine="570"/>
        <w:rPr>
          <w:rFonts w:ascii="Times New Roman" w:hAnsi="Times New Roman" w:cs="Times New Roman"/>
          <w:snapToGrid w:val="0"/>
          <w:kern w:val="0"/>
          <w:sz w:val="24"/>
        </w:rPr>
      </w:pPr>
    </w:p>
    <w:p>
      <w:pPr>
        <w:tabs>
          <w:tab w:val="left" w:pos="6300"/>
        </w:tabs>
        <w:snapToGrid w:val="0"/>
        <w:spacing w:line="360" w:lineRule="auto"/>
        <w:ind w:firstLine="570"/>
        <w:rPr>
          <w:rFonts w:ascii="Times New Roman" w:hAnsi="Times New Roman" w:cs="Times New Roman"/>
          <w:snapToGrid w:val="0"/>
          <w:kern w:val="0"/>
          <w:sz w:val="24"/>
        </w:rPr>
      </w:pPr>
    </w:p>
    <w:p>
      <w:pPr>
        <w:tabs>
          <w:tab w:val="left" w:pos="6300"/>
        </w:tabs>
        <w:snapToGrid w:val="0"/>
        <w:spacing w:line="360" w:lineRule="auto"/>
        <w:ind w:firstLine="570"/>
        <w:rPr>
          <w:rFonts w:ascii="Times New Roman" w:hAnsi="Times New Roman" w:cs="Times New Roman"/>
          <w:snapToGrid w:val="0"/>
          <w:kern w:val="0"/>
          <w:sz w:val="24"/>
        </w:rPr>
      </w:pPr>
    </w:p>
    <w:p>
      <w:pPr>
        <w:tabs>
          <w:tab w:val="left" w:pos="6300"/>
        </w:tabs>
        <w:snapToGrid w:val="0"/>
        <w:spacing w:line="360" w:lineRule="auto"/>
        <w:ind w:firstLine="570"/>
        <w:jc w:val="right"/>
        <w:rPr>
          <w:rFonts w:ascii="Times New Roman" w:hAnsi="Times New Roman" w:cs="Times New Roman"/>
          <w:snapToGrid w:val="0"/>
          <w:kern w:val="0"/>
          <w:sz w:val="24"/>
        </w:rPr>
      </w:pPr>
      <w:r>
        <w:rPr>
          <w:rFonts w:ascii="Times New Roman" w:hAnsi="Times New Roman" w:cs="Times New Roman"/>
          <w:snapToGrid w:val="0"/>
          <w:kern w:val="0"/>
          <w:sz w:val="24"/>
        </w:rPr>
        <w:t>（</w:t>
      </w:r>
      <w:r>
        <w:rPr>
          <w:rFonts w:ascii="Times New Roman" w:hAnsi="Times New Roman" w:cs="Times New Roman"/>
          <w:snapToGrid w:val="0"/>
          <w:kern w:val="0"/>
          <w:sz w:val="24"/>
          <w:szCs w:val="24"/>
        </w:rPr>
        <w:t>参选</w:t>
      </w:r>
      <w:r>
        <w:rPr>
          <w:rFonts w:ascii="Times New Roman" w:hAnsi="Times New Roman" w:cs="Times New Roman"/>
          <w:snapToGrid w:val="0"/>
          <w:kern w:val="0"/>
          <w:sz w:val="24"/>
        </w:rPr>
        <w:t>人公章）</w:t>
      </w:r>
    </w:p>
    <w:p>
      <w:pPr>
        <w:tabs>
          <w:tab w:val="left" w:pos="6300"/>
        </w:tabs>
        <w:snapToGrid w:val="0"/>
        <w:spacing w:line="360" w:lineRule="auto"/>
        <w:ind w:firstLine="570"/>
        <w:rPr>
          <w:rFonts w:ascii="Times New Roman" w:hAnsi="Times New Roman" w:cs="Times New Roman"/>
          <w:snapToGrid w:val="0"/>
          <w:kern w:val="0"/>
          <w:sz w:val="24"/>
        </w:rPr>
      </w:pPr>
    </w:p>
    <w:p>
      <w:pPr>
        <w:tabs>
          <w:tab w:val="left" w:pos="6300"/>
        </w:tabs>
        <w:snapToGrid w:val="0"/>
        <w:spacing w:line="360" w:lineRule="auto"/>
        <w:ind w:firstLine="570"/>
        <w:jc w:val="right"/>
        <w:rPr>
          <w:rFonts w:ascii="Times New Roman" w:hAnsi="Times New Roman" w:cs="Times New Roman"/>
          <w:snapToGrid w:val="0"/>
          <w:kern w:val="0"/>
          <w:sz w:val="24"/>
        </w:rPr>
      </w:pPr>
      <w:r>
        <w:rPr>
          <w:rFonts w:ascii="Times New Roman" w:hAnsi="Times New Roman" w:cs="Times New Roman"/>
          <w:snapToGrid w:val="0"/>
          <w:kern w:val="0"/>
          <w:sz w:val="24"/>
        </w:rPr>
        <w:t>年</w:t>
      </w:r>
      <w:r>
        <w:rPr>
          <w:rFonts w:hint="eastAsia" w:ascii="Times New Roman" w:hAnsi="Times New Roman" w:cs="Times New Roman"/>
          <w:snapToGrid w:val="0"/>
          <w:kern w:val="0"/>
          <w:sz w:val="24"/>
          <w:lang w:val="en-US" w:eastAsia="zh-CN"/>
        </w:rPr>
        <w:t xml:space="preserve">   </w:t>
      </w:r>
      <w:r>
        <w:rPr>
          <w:rFonts w:ascii="Times New Roman" w:hAnsi="Times New Roman" w:cs="Times New Roman"/>
          <w:snapToGrid w:val="0"/>
          <w:kern w:val="0"/>
          <w:sz w:val="24"/>
        </w:rPr>
        <w:t>月</w:t>
      </w:r>
      <w:r>
        <w:rPr>
          <w:rFonts w:hint="eastAsia" w:ascii="Times New Roman" w:hAnsi="Times New Roman" w:cs="Times New Roman"/>
          <w:snapToGrid w:val="0"/>
          <w:kern w:val="0"/>
          <w:sz w:val="24"/>
          <w:lang w:val="en-US" w:eastAsia="zh-CN"/>
        </w:rPr>
        <w:t xml:space="preserve">   </w:t>
      </w:r>
      <w:r>
        <w:rPr>
          <w:rFonts w:ascii="Times New Roman" w:hAnsi="Times New Roman" w:cs="Times New Roman"/>
          <w:snapToGrid w:val="0"/>
          <w:kern w:val="0"/>
          <w:sz w:val="24"/>
        </w:rPr>
        <w:t>日</w:t>
      </w:r>
    </w:p>
    <w:p>
      <w:pPr>
        <w:tabs>
          <w:tab w:val="left" w:pos="6300"/>
        </w:tabs>
        <w:snapToGrid w:val="0"/>
        <w:spacing w:line="360" w:lineRule="auto"/>
        <w:ind w:firstLine="570"/>
        <w:rPr>
          <w:rFonts w:ascii="Times New Roman" w:hAnsi="Times New Roman" w:cs="Times New Roman"/>
          <w:snapToGrid w:val="0"/>
          <w:kern w:val="0"/>
          <w:sz w:val="24"/>
        </w:rPr>
      </w:pPr>
    </w:p>
    <w:p>
      <w:pPr>
        <w:tabs>
          <w:tab w:val="left" w:pos="6300"/>
        </w:tabs>
        <w:snapToGrid w:val="0"/>
        <w:spacing w:line="360" w:lineRule="auto"/>
        <w:ind w:firstLine="570"/>
        <w:rPr>
          <w:rFonts w:ascii="Times New Roman" w:hAnsi="Times New Roman" w:cs="Times New Roman"/>
          <w:snapToGrid w:val="0"/>
          <w:kern w:val="0"/>
          <w:sz w:val="24"/>
        </w:rPr>
      </w:pPr>
      <w:r>
        <w:rPr>
          <w:rFonts w:ascii="Times New Roman" w:hAnsi="Times New Roman" w:cs="Times New Roman"/>
          <w:snapToGrid w:val="0"/>
          <w:kern w:val="0"/>
          <w:sz w:val="24"/>
        </w:rPr>
        <w:t>（附：法定代表人身份证正反面复印件）</w:t>
      </w:r>
    </w:p>
    <w:p>
      <w:pPr>
        <w:tabs>
          <w:tab w:val="left" w:pos="6300"/>
        </w:tabs>
        <w:snapToGrid w:val="0"/>
        <w:spacing w:line="360" w:lineRule="auto"/>
        <w:ind w:firstLine="570"/>
        <w:rPr>
          <w:rFonts w:ascii="Times New Roman" w:hAnsi="Times New Roman" w:cs="Times New Roman"/>
          <w:snapToGrid w:val="0"/>
          <w:kern w:val="0"/>
          <w:sz w:val="24"/>
        </w:rPr>
      </w:pPr>
    </w:p>
    <w:p>
      <w:pPr>
        <w:tabs>
          <w:tab w:val="left" w:pos="6300"/>
        </w:tabs>
        <w:snapToGrid w:val="0"/>
        <w:spacing w:line="360" w:lineRule="auto"/>
        <w:ind w:firstLine="570"/>
        <w:rPr>
          <w:rFonts w:ascii="Times New Roman" w:hAnsi="Times New Roman" w:cs="Times New Roman"/>
          <w:snapToGrid w:val="0"/>
          <w:kern w:val="0"/>
          <w:sz w:val="24"/>
        </w:rPr>
      </w:pPr>
    </w:p>
    <w:p>
      <w:pPr>
        <w:tabs>
          <w:tab w:val="left" w:pos="6300"/>
        </w:tabs>
        <w:snapToGrid w:val="0"/>
        <w:spacing w:line="360" w:lineRule="auto"/>
        <w:ind w:firstLine="570"/>
        <w:rPr>
          <w:rFonts w:ascii="Times New Roman" w:hAnsi="Times New Roman" w:cs="Times New Roman"/>
          <w:snapToGrid w:val="0"/>
          <w:kern w:val="0"/>
          <w:sz w:val="24"/>
        </w:rPr>
      </w:pPr>
    </w:p>
    <w:p>
      <w:pPr>
        <w:jc w:val="center"/>
        <w:rPr>
          <w:rFonts w:ascii="Times New Roman" w:hAnsi="Times New Roman" w:cs="Times New Roman"/>
          <w:b/>
          <w:bCs/>
          <w:snapToGrid w:val="0"/>
          <w:kern w:val="0"/>
          <w:sz w:val="24"/>
        </w:rPr>
      </w:pPr>
      <w:r>
        <w:rPr>
          <w:rFonts w:ascii="Times New Roman" w:hAnsi="Times New Roman" w:cs="Times New Roman"/>
          <w:snapToGrid w:val="0"/>
          <w:kern w:val="0"/>
        </w:rPr>
        <w:br w:type="column"/>
      </w:r>
      <w:r>
        <w:rPr>
          <w:rFonts w:ascii="Times New Roman" w:hAnsi="Times New Roman" w:cs="Times New Roman"/>
          <w:b/>
          <w:bCs/>
          <w:snapToGrid w:val="0"/>
        </w:rPr>
        <w:t>法定代表人授权委托书</w:t>
      </w:r>
    </w:p>
    <w:p>
      <w:pPr>
        <w:tabs>
          <w:tab w:val="left" w:pos="6300"/>
        </w:tabs>
        <w:snapToGrid w:val="0"/>
        <w:spacing w:line="360" w:lineRule="auto"/>
        <w:ind w:firstLine="570"/>
        <w:rPr>
          <w:rFonts w:ascii="Times New Roman" w:hAnsi="Times New Roman" w:cs="Times New Roman"/>
          <w:snapToGrid w:val="0"/>
          <w:kern w:val="0"/>
          <w:sz w:val="24"/>
        </w:rPr>
      </w:pPr>
    </w:p>
    <w:p>
      <w:pPr>
        <w:tabs>
          <w:tab w:val="left" w:pos="6300"/>
        </w:tabs>
        <w:snapToGrid w:val="0"/>
        <w:spacing w:line="360" w:lineRule="auto"/>
        <w:ind w:firstLine="480" w:firstLineChars="200"/>
        <w:rPr>
          <w:rFonts w:ascii="Times New Roman" w:hAnsi="Times New Roman" w:cs="Times New Roman"/>
          <w:snapToGrid w:val="0"/>
          <w:kern w:val="0"/>
          <w:sz w:val="24"/>
        </w:rPr>
      </w:pPr>
      <w:r>
        <w:rPr>
          <w:rFonts w:ascii="Times New Roman" w:hAnsi="Times New Roman" w:cs="Times New Roman"/>
          <w:snapToGrid w:val="0"/>
          <w:kern w:val="0"/>
          <w:sz w:val="24"/>
          <w:szCs w:val="28"/>
        </w:rPr>
        <w:t>项目名称</w:t>
      </w:r>
      <w:r>
        <w:rPr>
          <w:rFonts w:ascii="Times New Roman" w:hAnsi="Times New Roman" w:cs="Times New Roman"/>
          <w:snapToGrid w:val="0"/>
          <w:kern w:val="0"/>
          <w:sz w:val="24"/>
        </w:rPr>
        <w:t>：</w:t>
      </w:r>
      <w:r>
        <w:rPr>
          <w:rFonts w:ascii="Times New Roman" w:hAnsi="Times New Roman" w:cs="Times New Roman"/>
          <w:snapToGrid w:val="0"/>
          <w:kern w:val="0"/>
          <w:sz w:val="24"/>
          <w:szCs w:val="24"/>
          <w:u w:val="single"/>
        </w:rPr>
        <w:t>___________________</w:t>
      </w:r>
    </w:p>
    <w:p>
      <w:pPr>
        <w:tabs>
          <w:tab w:val="left" w:pos="6300"/>
        </w:tabs>
        <w:snapToGrid w:val="0"/>
        <w:spacing w:line="360" w:lineRule="auto"/>
        <w:ind w:firstLine="570"/>
        <w:rPr>
          <w:rFonts w:ascii="Times New Roman" w:hAnsi="Times New Roman" w:cs="Times New Roman"/>
          <w:snapToGrid w:val="0"/>
          <w:kern w:val="0"/>
          <w:sz w:val="24"/>
        </w:rPr>
      </w:pPr>
    </w:p>
    <w:p>
      <w:pPr>
        <w:tabs>
          <w:tab w:val="left" w:pos="6300"/>
        </w:tabs>
        <w:snapToGrid w:val="0"/>
        <w:spacing w:line="360" w:lineRule="auto"/>
        <w:ind w:firstLine="480" w:firstLineChars="200"/>
        <w:rPr>
          <w:rFonts w:ascii="Times New Roman" w:hAnsi="Times New Roman" w:cs="Times New Roman"/>
          <w:snapToGrid w:val="0"/>
          <w:kern w:val="0"/>
          <w:sz w:val="24"/>
        </w:rPr>
      </w:pPr>
      <w:r>
        <w:rPr>
          <w:rFonts w:ascii="Times New Roman" w:hAnsi="Times New Roman" w:cs="Times New Roman"/>
          <w:snapToGrid w:val="0"/>
          <w:kern w:val="0"/>
          <w:sz w:val="24"/>
        </w:rPr>
        <w:t>致：</w:t>
      </w:r>
      <w:r>
        <w:rPr>
          <w:rFonts w:ascii="Times New Roman" w:hAnsi="Times New Roman" w:cs="Times New Roman"/>
          <w:snapToGrid w:val="0"/>
          <w:kern w:val="0"/>
          <w:sz w:val="24"/>
          <w:u w:val="single"/>
        </w:rPr>
        <w:t>重庆三峡银行股份有限公司</w:t>
      </w:r>
      <w:r>
        <w:rPr>
          <w:rFonts w:ascii="Times New Roman" w:hAnsi="Times New Roman" w:cs="Times New Roman"/>
          <w:snapToGrid w:val="0"/>
          <w:kern w:val="0"/>
          <w:sz w:val="24"/>
        </w:rPr>
        <w:t>：</w:t>
      </w:r>
    </w:p>
    <w:p>
      <w:pPr>
        <w:tabs>
          <w:tab w:val="left" w:pos="6300"/>
        </w:tabs>
        <w:snapToGrid w:val="0"/>
        <w:spacing w:line="360" w:lineRule="auto"/>
        <w:ind w:firstLine="480" w:firstLineChars="200"/>
        <w:rPr>
          <w:rFonts w:ascii="Times New Roman" w:hAnsi="Times New Roman" w:cs="Times New Roman"/>
          <w:snapToGrid w:val="0"/>
          <w:kern w:val="0"/>
          <w:sz w:val="24"/>
        </w:rPr>
      </w:pPr>
      <w:r>
        <w:rPr>
          <w:rFonts w:ascii="Times New Roman" w:hAnsi="Times New Roman" w:cs="Times New Roman"/>
          <w:snapToGrid w:val="0"/>
          <w:kern w:val="0"/>
          <w:sz w:val="24"/>
        </w:rPr>
        <w:t>（</w:t>
      </w:r>
      <w:r>
        <w:rPr>
          <w:rFonts w:ascii="Times New Roman" w:hAnsi="Times New Roman" w:cs="Times New Roman"/>
          <w:snapToGrid w:val="0"/>
          <w:kern w:val="0"/>
          <w:sz w:val="24"/>
          <w:szCs w:val="24"/>
        </w:rPr>
        <w:t>参选</w:t>
      </w:r>
      <w:r>
        <w:rPr>
          <w:rFonts w:ascii="Times New Roman" w:hAnsi="Times New Roman" w:cs="Times New Roman"/>
          <w:snapToGrid w:val="0"/>
          <w:kern w:val="0"/>
          <w:sz w:val="24"/>
        </w:rPr>
        <w:t>人法定代表人名称）是（</w:t>
      </w:r>
      <w:r>
        <w:rPr>
          <w:rFonts w:ascii="Times New Roman" w:hAnsi="Times New Roman" w:cs="Times New Roman"/>
          <w:snapToGrid w:val="0"/>
          <w:kern w:val="0"/>
          <w:sz w:val="24"/>
          <w:szCs w:val="24"/>
        </w:rPr>
        <w:t>参选</w:t>
      </w:r>
      <w:r>
        <w:rPr>
          <w:rFonts w:ascii="Times New Roman" w:hAnsi="Times New Roman" w:cs="Times New Roman"/>
          <w:snapToGrid w:val="0"/>
          <w:kern w:val="0"/>
          <w:sz w:val="24"/>
        </w:rPr>
        <w:t>人名称）的法定代表人，特授权（被授权人姓名及身份证代码）代表我单位全权办理上述项目的</w:t>
      </w:r>
      <w:r>
        <w:rPr>
          <w:rFonts w:ascii="Times New Roman" w:hAnsi="Times New Roman" w:cs="Times New Roman"/>
          <w:snapToGrid w:val="0"/>
          <w:kern w:val="0"/>
          <w:sz w:val="24"/>
          <w:szCs w:val="24"/>
        </w:rPr>
        <w:t>参选</w:t>
      </w:r>
      <w:r>
        <w:rPr>
          <w:rFonts w:ascii="Times New Roman" w:hAnsi="Times New Roman" w:cs="Times New Roman"/>
          <w:snapToGrid w:val="0"/>
          <w:kern w:val="0"/>
          <w:sz w:val="24"/>
        </w:rPr>
        <w:t>、谈判、签约等具体工作，并签署全部有关文件、协议及合同。</w:t>
      </w:r>
    </w:p>
    <w:p>
      <w:pPr>
        <w:tabs>
          <w:tab w:val="left" w:pos="6300"/>
        </w:tabs>
        <w:snapToGrid w:val="0"/>
        <w:spacing w:line="360" w:lineRule="auto"/>
        <w:ind w:firstLine="480" w:firstLineChars="200"/>
        <w:rPr>
          <w:rFonts w:ascii="Times New Roman" w:hAnsi="Times New Roman" w:cs="Times New Roman"/>
          <w:snapToGrid w:val="0"/>
          <w:kern w:val="0"/>
          <w:sz w:val="24"/>
        </w:rPr>
      </w:pPr>
      <w:r>
        <w:rPr>
          <w:rFonts w:ascii="Times New Roman" w:hAnsi="Times New Roman" w:cs="Times New Roman"/>
          <w:snapToGrid w:val="0"/>
          <w:kern w:val="0"/>
          <w:sz w:val="24"/>
        </w:rPr>
        <w:t>我单位对被授权人的签字负全部责任。</w:t>
      </w:r>
    </w:p>
    <w:p>
      <w:pPr>
        <w:tabs>
          <w:tab w:val="left" w:pos="6300"/>
        </w:tabs>
        <w:snapToGrid w:val="0"/>
        <w:spacing w:line="360" w:lineRule="auto"/>
        <w:ind w:firstLine="480" w:firstLineChars="200"/>
        <w:rPr>
          <w:rFonts w:ascii="Times New Roman" w:hAnsi="Times New Roman" w:cs="Times New Roman"/>
          <w:snapToGrid w:val="0"/>
          <w:kern w:val="0"/>
          <w:sz w:val="24"/>
        </w:rPr>
      </w:pPr>
      <w:r>
        <w:rPr>
          <w:rFonts w:ascii="Times New Roman" w:hAnsi="Times New Roman" w:cs="Times New Roman"/>
          <w:snapToGrid w:val="0"/>
          <w:kern w:val="0"/>
          <w:sz w:val="24"/>
        </w:rPr>
        <w:t>在撤消授权的书面通知以前，本授权书一直有效。被授权人在授权书有效期内签署的所有文件不因授权的撤消而失效。</w:t>
      </w:r>
    </w:p>
    <w:p>
      <w:pPr>
        <w:tabs>
          <w:tab w:val="left" w:pos="6300"/>
        </w:tabs>
        <w:snapToGrid w:val="0"/>
        <w:spacing w:line="360" w:lineRule="auto"/>
        <w:ind w:firstLine="570"/>
        <w:rPr>
          <w:rFonts w:ascii="Times New Roman" w:hAnsi="Times New Roman" w:cs="Times New Roman"/>
          <w:snapToGrid w:val="0"/>
          <w:kern w:val="0"/>
          <w:sz w:val="24"/>
        </w:rPr>
      </w:pPr>
    </w:p>
    <w:p>
      <w:pPr>
        <w:tabs>
          <w:tab w:val="left" w:pos="6300"/>
        </w:tabs>
        <w:snapToGrid w:val="0"/>
        <w:spacing w:line="360" w:lineRule="auto"/>
        <w:ind w:firstLine="570"/>
        <w:rPr>
          <w:rFonts w:ascii="Times New Roman" w:hAnsi="Times New Roman" w:cs="Times New Roman"/>
          <w:snapToGrid w:val="0"/>
          <w:kern w:val="0"/>
          <w:sz w:val="24"/>
        </w:rPr>
      </w:pPr>
    </w:p>
    <w:p>
      <w:pPr>
        <w:tabs>
          <w:tab w:val="left" w:pos="6300"/>
        </w:tabs>
        <w:snapToGrid w:val="0"/>
        <w:spacing w:line="360" w:lineRule="auto"/>
        <w:ind w:firstLine="570"/>
        <w:rPr>
          <w:rFonts w:ascii="Times New Roman" w:hAnsi="Times New Roman" w:cs="Times New Roman"/>
          <w:snapToGrid w:val="0"/>
          <w:kern w:val="0"/>
          <w:sz w:val="24"/>
        </w:rPr>
      </w:pPr>
      <w:r>
        <w:rPr>
          <w:rFonts w:ascii="Times New Roman" w:hAnsi="Times New Roman" w:cs="Times New Roman"/>
          <w:snapToGrid w:val="0"/>
          <w:kern w:val="0"/>
          <w:sz w:val="24"/>
        </w:rPr>
        <w:t>被授权人：</w:t>
      </w:r>
      <w:r>
        <w:rPr>
          <w:rFonts w:ascii="Times New Roman" w:hAnsi="Times New Roman" w:cs="Times New Roman"/>
          <w:snapToGrid w:val="0"/>
          <w:kern w:val="0"/>
          <w:sz w:val="24"/>
          <w:szCs w:val="24"/>
        </w:rPr>
        <w:t>参选</w:t>
      </w:r>
      <w:r>
        <w:rPr>
          <w:rFonts w:ascii="Times New Roman" w:hAnsi="Times New Roman" w:cs="Times New Roman"/>
          <w:snapToGrid w:val="0"/>
          <w:kern w:val="0"/>
          <w:sz w:val="24"/>
        </w:rPr>
        <w:t>人法定代表人：</w:t>
      </w:r>
    </w:p>
    <w:p>
      <w:pPr>
        <w:tabs>
          <w:tab w:val="left" w:pos="6300"/>
        </w:tabs>
        <w:snapToGrid w:val="0"/>
        <w:spacing w:line="360" w:lineRule="auto"/>
        <w:ind w:firstLine="570"/>
        <w:rPr>
          <w:rFonts w:ascii="Times New Roman" w:hAnsi="Times New Roman" w:cs="Times New Roman"/>
          <w:snapToGrid w:val="0"/>
          <w:kern w:val="0"/>
          <w:sz w:val="24"/>
          <w:szCs w:val="28"/>
        </w:rPr>
      </w:pPr>
      <w:r>
        <w:rPr>
          <w:rFonts w:ascii="Times New Roman" w:hAnsi="Times New Roman" w:cs="Times New Roman"/>
          <w:snapToGrid w:val="0"/>
          <w:kern w:val="0"/>
          <w:sz w:val="24"/>
          <w:szCs w:val="28"/>
        </w:rPr>
        <w:t>（签字或盖章）（签字或盖章）</w:t>
      </w:r>
    </w:p>
    <w:p>
      <w:pPr>
        <w:tabs>
          <w:tab w:val="left" w:pos="6300"/>
        </w:tabs>
        <w:snapToGrid w:val="0"/>
        <w:spacing w:line="360" w:lineRule="auto"/>
        <w:ind w:firstLine="570"/>
        <w:rPr>
          <w:rFonts w:ascii="Times New Roman" w:hAnsi="Times New Roman" w:cs="Times New Roman"/>
          <w:snapToGrid w:val="0"/>
          <w:kern w:val="0"/>
          <w:sz w:val="24"/>
          <w:szCs w:val="28"/>
        </w:rPr>
      </w:pPr>
    </w:p>
    <w:p>
      <w:pPr>
        <w:tabs>
          <w:tab w:val="left" w:pos="6300"/>
        </w:tabs>
        <w:snapToGrid w:val="0"/>
        <w:spacing w:line="360" w:lineRule="auto"/>
        <w:ind w:firstLine="570"/>
        <w:rPr>
          <w:rFonts w:ascii="Times New Roman" w:hAnsi="Times New Roman" w:cs="Times New Roman"/>
          <w:snapToGrid w:val="0"/>
          <w:kern w:val="0"/>
          <w:sz w:val="24"/>
        </w:rPr>
      </w:pPr>
    </w:p>
    <w:p>
      <w:pPr>
        <w:tabs>
          <w:tab w:val="left" w:pos="6300"/>
        </w:tabs>
        <w:snapToGrid w:val="0"/>
        <w:spacing w:line="360" w:lineRule="auto"/>
        <w:ind w:firstLine="570"/>
        <w:rPr>
          <w:rFonts w:ascii="Times New Roman" w:hAnsi="Times New Roman" w:cs="Times New Roman"/>
          <w:snapToGrid w:val="0"/>
          <w:kern w:val="0"/>
          <w:sz w:val="24"/>
        </w:rPr>
      </w:pPr>
      <w:r>
        <w:rPr>
          <w:rFonts w:ascii="Times New Roman" w:hAnsi="Times New Roman" w:cs="Times New Roman"/>
          <w:snapToGrid w:val="0"/>
          <w:kern w:val="0"/>
          <w:sz w:val="24"/>
        </w:rPr>
        <w:t>（附：被授权人身份证正反面复印件）</w:t>
      </w:r>
    </w:p>
    <w:p>
      <w:pPr>
        <w:tabs>
          <w:tab w:val="left" w:pos="6300"/>
        </w:tabs>
        <w:snapToGrid w:val="0"/>
        <w:spacing w:line="360" w:lineRule="auto"/>
        <w:ind w:firstLine="570"/>
        <w:rPr>
          <w:rFonts w:ascii="Times New Roman" w:hAnsi="Times New Roman" w:cs="Times New Roman"/>
          <w:snapToGrid w:val="0"/>
          <w:kern w:val="0"/>
          <w:sz w:val="24"/>
        </w:rPr>
      </w:pPr>
    </w:p>
    <w:p>
      <w:pPr>
        <w:tabs>
          <w:tab w:val="left" w:pos="6300"/>
        </w:tabs>
        <w:snapToGrid w:val="0"/>
        <w:spacing w:line="360" w:lineRule="auto"/>
        <w:ind w:firstLine="570"/>
        <w:rPr>
          <w:rFonts w:ascii="Times New Roman" w:hAnsi="Times New Roman" w:cs="Times New Roman"/>
          <w:snapToGrid w:val="0"/>
          <w:kern w:val="0"/>
          <w:sz w:val="24"/>
        </w:rPr>
      </w:pPr>
    </w:p>
    <w:p>
      <w:pPr>
        <w:tabs>
          <w:tab w:val="left" w:pos="6300"/>
        </w:tabs>
        <w:snapToGrid w:val="0"/>
        <w:spacing w:line="360" w:lineRule="auto"/>
        <w:ind w:firstLine="570"/>
        <w:rPr>
          <w:rFonts w:ascii="Times New Roman" w:hAnsi="Times New Roman" w:cs="Times New Roman"/>
          <w:snapToGrid w:val="0"/>
          <w:kern w:val="0"/>
          <w:sz w:val="24"/>
        </w:rPr>
      </w:pPr>
    </w:p>
    <w:p>
      <w:pPr>
        <w:tabs>
          <w:tab w:val="left" w:pos="6300"/>
        </w:tabs>
        <w:snapToGrid w:val="0"/>
        <w:spacing w:line="360" w:lineRule="auto"/>
        <w:ind w:right="480" w:firstLine="570"/>
        <w:jc w:val="right"/>
        <w:rPr>
          <w:rFonts w:ascii="Times New Roman" w:hAnsi="Times New Roman" w:cs="Times New Roman"/>
          <w:snapToGrid w:val="0"/>
          <w:kern w:val="0"/>
          <w:sz w:val="24"/>
        </w:rPr>
      </w:pPr>
      <w:r>
        <w:rPr>
          <w:rFonts w:ascii="Times New Roman" w:hAnsi="Times New Roman" w:cs="Times New Roman"/>
          <w:snapToGrid w:val="0"/>
          <w:kern w:val="0"/>
          <w:sz w:val="24"/>
        </w:rPr>
        <w:t>（</w:t>
      </w:r>
      <w:r>
        <w:rPr>
          <w:rFonts w:ascii="Times New Roman" w:hAnsi="Times New Roman" w:cs="Times New Roman"/>
          <w:snapToGrid w:val="0"/>
          <w:kern w:val="0"/>
          <w:sz w:val="24"/>
          <w:szCs w:val="24"/>
        </w:rPr>
        <w:t>参选</w:t>
      </w:r>
      <w:r>
        <w:rPr>
          <w:rFonts w:ascii="Times New Roman" w:hAnsi="Times New Roman" w:cs="Times New Roman"/>
          <w:snapToGrid w:val="0"/>
          <w:kern w:val="0"/>
          <w:sz w:val="24"/>
        </w:rPr>
        <w:t>人公章）</w:t>
      </w:r>
    </w:p>
    <w:p>
      <w:pPr>
        <w:tabs>
          <w:tab w:val="left" w:pos="6300"/>
        </w:tabs>
        <w:snapToGrid w:val="0"/>
        <w:spacing w:line="360" w:lineRule="auto"/>
        <w:ind w:right="480" w:firstLine="570"/>
        <w:jc w:val="right"/>
        <w:rPr>
          <w:rFonts w:ascii="Times New Roman" w:hAnsi="Times New Roman" w:cs="Times New Roman"/>
          <w:snapToGrid w:val="0"/>
          <w:kern w:val="0"/>
          <w:sz w:val="24"/>
        </w:rPr>
      </w:pPr>
      <w:r>
        <w:rPr>
          <w:rFonts w:ascii="Times New Roman" w:hAnsi="Times New Roman" w:cs="Times New Roman"/>
          <w:snapToGrid w:val="0"/>
          <w:kern w:val="0"/>
          <w:sz w:val="24"/>
        </w:rPr>
        <w:t>年</w:t>
      </w:r>
      <w:r>
        <w:rPr>
          <w:rFonts w:hint="eastAsia" w:ascii="Times New Roman" w:hAnsi="Times New Roman" w:cs="Times New Roman"/>
          <w:snapToGrid w:val="0"/>
          <w:kern w:val="0"/>
          <w:sz w:val="24"/>
          <w:lang w:val="en-US" w:eastAsia="zh-CN"/>
        </w:rPr>
        <w:t xml:space="preserve">   </w:t>
      </w:r>
      <w:r>
        <w:rPr>
          <w:rFonts w:ascii="Times New Roman" w:hAnsi="Times New Roman" w:cs="Times New Roman"/>
          <w:snapToGrid w:val="0"/>
          <w:kern w:val="0"/>
          <w:sz w:val="24"/>
        </w:rPr>
        <w:t>月</w:t>
      </w:r>
      <w:r>
        <w:rPr>
          <w:rFonts w:hint="eastAsia" w:ascii="Times New Roman" w:hAnsi="Times New Roman" w:cs="Times New Roman"/>
          <w:snapToGrid w:val="0"/>
          <w:kern w:val="0"/>
          <w:sz w:val="24"/>
          <w:lang w:val="en-US" w:eastAsia="zh-CN"/>
        </w:rPr>
        <w:t xml:space="preserve">   </w:t>
      </w:r>
      <w:r>
        <w:rPr>
          <w:rFonts w:ascii="Times New Roman" w:hAnsi="Times New Roman" w:cs="Times New Roman"/>
          <w:snapToGrid w:val="0"/>
          <w:kern w:val="0"/>
          <w:sz w:val="24"/>
        </w:rPr>
        <w:t>日</w:t>
      </w:r>
    </w:p>
    <w:p>
      <w:pPr>
        <w:widowControl/>
        <w:spacing w:line="360" w:lineRule="auto"/>
        <w:jc w:val="left"/>
        <w:rPr>
          <w:rFonts w:ascii="Times New Roman" w:hAnsi="Times New Roman" w:cs="Times New Roman"/>
          <w:snapToGrid w:val="0"/>
          <w:kern w:val="0"/>
          <w:sz w:val="24"/>
          <w:szCs w:val="24"/>
        </w:rPr>
      </w:pPr>
    </w:p>
    <w:p>
      <w:pPr>
        <w:widowControl/>
        <w:jc w:val="left"/>
        <w:rPr>
          <w:rFonts w:ascii="Times New Roman" w:hAnsi="Times New Roman" w:cs="Times New Roman"/>
        </w:rPr>
      </w:pPr>
      <w:r>
        <w:rPr>
          <w:rFonts w:ascii="Times New Roman" w:hAnsi="Times New Roman" w:cs="Times New Roman"/>
          <w:kern w:val="0"/>
        </w:rPr>
        <w:br w:type="page"/>
      </w:r>
    </w:p>
    <w:p>
      <w:pPr>
        <w:pStyle w:val="6"/>
        <w:bidi w:val="0"/>
        <w:jc w:val="center"/>
      </w:pPr>
      <w:r>
        <w:rPr>
          <w:rFonts w:hint="eastAsia"/>
          <w:lang w:val="en-US" w:eastAsia="zh-CN"/>
        </w:rPr>
        <w:t>（五）</w:t>
      </w:r>
      <w:r>
        <w:t>书面声明</w:t>
      </w:r>
    </w:p>
    <w:p>
      <w:pPr>
        <w:tabs>
          <w:tab w:val="left" w:pos="6300"/>
        </w:tabs>
        <w:snapToGrid w:val="0"/>
        <w:spacing w:line="360" w:lineRule="auto"/>
        <w:ind w:firstLine="570"/>
        <w:rPr>
          <w:rFonts w:ascii="Times New Roman" w:hAnsi="Times New Roman" w:cs="Times New Roman"/>
          <w:sz w:val="24"/>
        </w:rPr>
      </w:pPr>
    </w:p>
    <w:p>
      <w:pPr>
        <w:tabs>
          <w:tab w:val="left" w:pos="6300"/>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szCs w:val="28"/>
        </w:rPr>
        <w:t>项目名称</w:t>
      </w:r>
      <w:r>
        <w:rPr>
          <w:rFonts w:ascii="Times New Roman" w:hAnsi="Times New Roman" w:cs="Times New Roman"/>
          <w:sz w:val="24"/>
        </w:rPr>
        <w:t>：</w:t>
      </w:r>
      <w:r>
        <w:rPr>
          <w:rFonts w:ascii="Times New Roman" w:hAnsi="Times New Roman" w:cs="Times New Roman"/>
          <w:snapToGrid w:val="0"/>
          <w:kern w:val="0"/>
          <w:sz w:val="24"/>
          <w:szCs w:val="24"/>
          <w:u w:val="single"/>
        </w:rPr>
        <w:t>__________________</w:t>
      </w:r>
    </w:p>
    <w:p>
      <w:pPr>
        <w:tabs>
          <w:tab w:val="left" w:pos="6300"/>
        </w:tabs>
        <w:snapToGrid w:val="0"/>
        <w:spacing w:line="360" w:lineRule="auto"/>
        <w:ind w:firstLine="570"/>
        <w:rPr>
          <w:rFonts w:ascii="Times New Roman" w:hAnsi="Times New Roman" w:cs="Times New Roman"/>
          <w:sz w:val="24"/>
        </w:rPr>
      </w:pPr>
    </w:p>
    <w:p>
      <w:pPr>
        <w:tabs>
          <w:tab w:val="left" w:pos="6300"/>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致：</w:t>
      </w:r>
      <w:r>
        <w:rPr>
          <w:rFonts w:ascii="Times New Roman" w:hAnsi="Times New Roman" w:cs="Times New Roman"/>
          <w:snapToGrid w:val="0"/>
          <w:kern w:val="0"/>
          <w:sz w:val="24"/>
          <w:u w:val="single"/>
        </w:rPr>
        <w:t>重庆三峡银行股份有限公司</w:t>
      </w:r>
      <w:r>
        <w:rPr>
          <w:rFonts w:ascii="Times New Roman" w:hAnsi="Times New Roman" w:cs="Times New Roman"/>
          <w:sz w:val="24"/>
        </w:rPr>
        <w:t>：</w:t>
      </w:r>
    </w:p>
    <w:p>
      <w:pPr>
        <w:tabs>
          <w:tab w:val="left" w:pos="6300"/>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napToGrid w:val="0"/>
          <w:kern w:val="0"/>
          <w:sz w:val="24"/>
          <w:szCs w:val="24"/>
        </w:rPr>
        <w:t>参选</w:t>
      </w:r>
      <w:r>
        <w:rPr>
          <w:rFonts w:ascii="Times New Roman" w:hAnsi="Times New Roman" w:cs="Times New Roman"/>
          <w:sz w:val="24"/>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ascii="Times New Roman" w:hAnsi="Times New Roman" w:cs="Times New Roman"/>
          <w:snapToGrid w:val="0"/>
          <w:kern w:val="0"/>
          <w:sz w:val="24"/>
          <w:szCs w:val="24"/>
        </w:rPr>
        <w:t>参选</w:t>
      </w:r>
      <w:r>
        <w:rPr>
          <w:rFonts w:ascii="Times New Roman" w:hAnsi="Times New Roman" w:cs="Times New Roman"/>
          <w:sz w:val="24"/>
        </w:rPr>
        <w:t>人资格条件。我方对以上声明负全部法律责任。</w:t>
      </w:r>
    </w:p>
    <w:p>
      <w:pPr>
        <w:tabs>
          <w:tab w:val="left" w:pos="6300"/>
        </w:tabs>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特此声明。</w:t>
      </w:r>
    </w:p>
    <w:p>
      <w:pPr>
        <w:tabs>
          <w:tab w:val="left" w:pos="6300"/>
        </w:tabs>
        <w:snapToGrid w:val="0"/>
        <w:spacing w:line="360" w:lineRule="auto"/>
        <w:ind w:firstLine="570"/>
        <w:rPr>
          <w:rFonts w:ascii="Times New Roman" w:hAnsi="Times New Roman" w:cs="Times New Roman"/>
          <w:sz w:val="24"/>
        </w:rPr>
      </w:pPr>
    </w:p>
    <w:p>
      <w:pPr>
        <w:tabs>
          <w:tab w:val="left" w:pos="6300"/>
        </w:tabs>
        <w:snapToGrid w:val="0"/>
        <w:spacing w:line="360" w:lineRule="auto"/>
        <w:ind w:firstLine="570"/>
        <w:rPr>
          <w:rFonts w:ascii="Times New Roman" w:hAnsi="Times New Roman" w:cs="Times New Roman"/>
          <w:sz w:val="24"/>
        </w:rPr>
      </w:pPr>
    </w:p>
    <w:p>
      <w:pPr>
        <w:tabs>
          <w:tab w:val="left" w:pos="6300"/>
        </w:tabs>
        <w:snapToGrid w:val="0"/>
        <w:spacing w:line="360" w:lineRule="auto"/>
        <w:ind w:firstLine="570"/>
        <w:rPr>
          <w:rFonts w:ascii="Times New Roman" w:hAnsi="Times New Roman" w:cs="Times New Roman"/>
          <w:sz w:val="24"/>
        </w:rPr>
      </w:pPr>
    </w:p>
    <w:p>
      <w:pPr>
        <w:tabs>
          <w:tab w:val="left" w:pos="6300"/>
        </w:tabs>
        <w:snapToGrid w:val="0"/>
        <w:spacing w:line="360" w:lineRule="auto"/>
        <w:ind w:right="424" w:firstLine="570"/>
        <w:jc w:val="right"/>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napToGrid w:val="0"/>
          <w:kern w:val="0"/>
          <w:sz w:val="24"/>
          <w:szCs w:val="24"/>
        </w:rPr>
        <w:t>参选</w:t>
      </w:r>
      <w:r>
        <w:rPr>
          <w:rFonts w:ascii="Times New Roman" w:hAnsi="Times New Roman" w:cs="Times New Roman"/>
          <w:sz w:val="24"/>
        </w:rPr>
        <w:t>人公章）</w:t>
      </w:r>
    </w:p>
    <w:p>
      <w:pPr>
        <w:tabs>
          <w:tab w:val="left" w:pos="6300"/>
        </w:tabs>
        <w:snapToGrid w:val="0"/>
        <w:spacing w:line="360" w:lineRule="auto"/>
        <w:ind w:right="480" w:firstLine="570"/>
        <w:jc w:val="right"/>
        <w:rPr>
          <w:rFonts w:ascii="Times New Roman" w:hAnsi="Times New Roman" w:cs="Times New Roman"/>
          <w:sz w:val="24"/>
        </w:rPr>
      </w:pPr>
      <w:r>
        <w:rPr>
          <w:rFonts w:ascii="Times New Roman" w:hAnsi="Times New Roman" w:cs="Times New Roman"/>
          <w:sz w:val="24"/>
        </w:rPr>
        <w:t>年</w:t>
      </w:r>
      <w:r>
        <w:rPr>
          <w:rFonts w:hint="eastAsia" w:ascii="Times New Roman" w:hAnsi="Times New Roman" w:cs="Times New Roman"/>
          <w:sz w:val="24"/>
          <w:lang w:val="en-US" w:eastAsia="zh-CN"/>
        </w:rPr>
        <w:t xml:space="preserve">   </w:t>
      </w:r>
      <w:r>
        <w:rPr>
          <w:rFonts w:ascii="Times New Roman" w:hAnsi="Times New Roman" w:cs="Times New Roman"/>
          <w:sz w:val="24"/>
        </w:rPr>
        <w:t>月</w:t>
      </w:r>
      <w:r>
        <w:rPr>
          <w:rFonts w:hint="eastAsia" w:ascii="Times New Roman" w:hAnsi="Times New Roman" w:cs="Times New Roman"/>
          <w:sz w:val="24"/>
          <w:lang w:val="en-US" w:eastAsia="zh-CN"/>
        </w:rPr>
        <w:t xml:space="preserve">   </w:t>
      </w:r>
      <w:r>
        <w:rPr>
          <w:rFonts w:ascii="Times New Roman" w:hAnsi="Times New Roman" w:cs="Times New Roman"/>
          <w:sz w:val="24"/>
        </w:rPr>
        <w:t>日</w:t>
      </w:r>
    </w:p>
    <w:p>
      <w:pPr>
        <w:spacing w:line="360" w:lineRule="auto"/>
        <w:jc w:val="left"/>
        <w:rPr>
          <w:rFonts w:ascii="Times New Roman" w:hAnsi="Times New Roman" w:cs="Times New Roman"/>
          <w:snapToGrid w:val="0"/>
          <w:kern w:val="0"/>
          <w:sz w:val="24"/>
          <w:szCs w:val="24"/>
        </w:rPr>
      </w:pPr>
    </w:p>
    <w:p>
      <w:pPr>
        <w:spacing w:line="360" w:lineRule="auto"/>
        <w:jc w:val="left"/>
        <w:rPr>
          <w:rFonts w:ascii="Times New Roman" w:hAnsi="Times New Roman" w:cs="Times New Roman"/>
          <w:snapToGrid w:val="0"/>
          <w:kern w:val="0"/>
          <w:sz w:val="24"/>
          <w:szCs w:val="24"/>
        </w:rPr>
      </w:pPr>
    </w:p>
    <w:p>
      <w:pPr>
        <w:spacing w:line="360" w:lineRule="auto"/>
        <w:jc w:val="left"/>
        <w:rPr>
          <w:rFonts w:ascii="Times New Roman" w:hAnsi="Times New Roman" w:cs="Times New Roman"/>
          <w:snapToGrid w:val="0"/>
          <w:kern w:val="0"/>
          <w:sz w:val="24"/>
          <w:szCs w:val="24"/>
        </w:rPr>
      </w:pPr>
    </w:p>
    <w:p>
      <w:pPr>
        <w:spacing w:line="360" w:lineRule="auto"/>
        <w:jc w:val="left"/>
        <w:rPr>
          <w:rFonts w:ascii="Times New Roman" w:hAnsi="Times New Roman" w:cs="Times New Roman"/>
          <w:snapToGrid w:val="0"/>
          <w:kern w:val="0"/>
          <w:sz w:val="24"/>
          <w:szCs w:val="24"/>
        </w:rPr>
      </w:pPr>
    </w:p>
    <w:p>
      <w:pPr>
        <w:spacing w:line="360" w:lineRule="auto"/>
        <w:jc w:val="left"/>
        <w:rPr>
          <w:rFonts w:ascii="Times New Roman" w:hAnsi="Times New Roman" w:cs="Times New Roman"/>
          <w:snapToGrid w:val="0"/>
          <w:kern w:val="0"/>
          <w:sz w:val="24"/>
          <w:szCs w:val="24"/>
        </w:rPr>
      </w:pPr>
    </w:p>
    <w:p>
      <w:pPr>
        <w:spacing w:line="360" w:lineRule="auto"/>
        <w:jc w:val="left"/>
        <w:rPr>
          <w:rFonts w:ascii="Times New Roman" w:hAnsi="Times New Roman" w:cs="Times New Roman"/>
          <w:snapToGrid w:val="0"/>
          <w:kern w:val="0"/>
          <w:sz w:val="24"/>
          <w:szCs w:val="24"/>
        </w:rPr>
      </w:pPr>
    </w:p>
    <w:p>
      <w:pPr>
        <w:spacing w:line="360" w:lineRule="auto"/>
        <w:jc w:val="left"/>
        <w:rPr>
          <w:rFonts w:ascii="Times New Roman" w:hAnsi="Times New Roman" w:cs="Times New Roman"/>
          <w:snapToGrid w:val="0"/>
          <w:kern w:val="0"/>
          <w:sz w:val="24"/>
          <w:szCs w:val="24"/>
        </w:rPr>
      </w:pPr>
    </w:p>
    <w:p>
      <w:pPr>
        <w:pStyle w:val="6"/>
        <w:jc w:val="center"/>
      </w:pPr>
      <w:r>
        <w:rPr>
          <w:rFonts w:ascii="Times New Roman" w:hAnsi="Times New Roman" w:cs="Times New Roman"/>
          <w:kern w:val="0"/>
        </w:rPr>
        <w:br w:type="page"/>
      </w:r>
      <w:r>
        <w:rPr>
          <w:rFonts w:hint="default"/>
        </w:rPr>
        <w:t>（</w:t>
      </w:r>
      <w:r>
        <w:rPr>
          <w:rFonts w:hint="eastAsia"/>
          <w:lang w:val="en-US" w:eastAsia="zh-CN"/>
        </w:rPr>
        <w:t>六</w:t>
      </w:r>
      <w:r>
        <w:rPr>
          <w:rFonts w:hint="default"/>
        </w:rPr>
        <w:t>）中国执行信息公开网截图</w:t>
      </w:r>
    </w:p>
    <w:p>
      <w:pPr>
        <w:spacing w:line="360" w:lineRule="auto"/>
        <w:jc w:val="left"/>
        <w:rPr>
          <w:rFonts w:ascii="宋体" w:cs="等线 Light"/>
          <w:snapToGrid w:val="0"/>
          <w:color w:val="000000"/>
          <w:kern w:val="0"/>
          <w:sz w:val="24"/>
          <w:szCs w:val="24"/>
        </w:rPr>
      </w:pPr>
    </w:p>
    <w:p>
      <w:pPr>
        <w:spacing w:line="360" w:lineRule="auto"/>
        <w:jc w:val="left"/>
        <w:rPr>
          <w:rFonts w:ascii="宋体" w:cs="等线 Light"/>
          <w:snapToGrid w:val="0"/>
          <w:color w:val="000000"/>
          <w:kern w:val="0"/>
          <w:sz w:val="24"/>
          <w:szCs w:val="24"/>
        </w:rPr>
      </w:pPr>
    </w:p>
    <w:p>
      <w:pPr>
        <w:spacing w:line="360" w:lineRule="auto"/>
        <w:jc w:val="left"/>
        <w:rPr>
          <w:rFonts w:ascii="宋体" w:cs="等线 Light"/>
          <w:snapToGrid w:val="0"/>
          <w:color w:val="000000"/>
          <w:kern w:val="0"/>
          <w:sz w:val="24"/>
          <w:szCs w:val="24"/>
        </w:rPr>
      </w:pPr>
    </w:p>
    <w:p>
      <w:pPr>
        <w:spacing w:line="360" w:lineRule="auto"/>
        <w:jc w:val="left"/>
        <w:rPr>
          <w:rFonts w:ascii="宋体" w:cs="等线 Light"/>
          <w:snapToGrid w:val="0"/>
          <w:color w:val="000000"/>
          <w:kern w:val="0"/>
          <w:sz w:val="24"/>
          <w:szCs w:val="24"/>
        </w:rPr>
      </w:pPr>
    </w:p>
    <w:p>
      <w:pPr>
        <w:spacing w:line="360" w:lineRule="auto"/>
        <w:jc w:val="left"/>
        <w:rPr>
          <w:rFonts w:ascii="宋体" w:cs="等线 Light"/>
          <w:snapToGrid w:val="0"/>
          <w:color w:val="000000"/>
          <w:kern w:val="0"/>
          <w:sz w:val="24"/>
          <w:szCs w:val="24"/>
        </w:rPr>
      </w:pPr>
    </w:p>
    <w:p>
      <w:pPr>
        <w:numPr>
          <w:ilvl w:val="0"/>
          <w:numId w:val="0"/>
        </w:numPr>
        <w:ind w:left="420" w:hanging="420" w:firstLineChars="0"/>
        <w:jc w:val="center"/>
        <w:rPr>
          <w:b w:val="0"/>
          <w:color w:val="000000"/>
          <w:kern w:val="0"/>
          <w:sz w:val="32"/>
        </w:rPr>
      </w:pPr>
      <w:r>
        <w:rPr>
          <w:rFonts w:hint="eastAsia" w:cs="等线 Light"/>
          <w:color w:val="000000"/>
          <w:kern w:val="0"/>
        </w:rPr>
        <w:br w:type="page"/>
      </w:r>
    </w:p>
    <w:p>
      <w:pPr>
        <w:pStyle w:val="6"/>
        <w:bidi w:val="0"/>
        <w:jc w:val="center"/>
      </w:pPr>
      <w:r>
        <w:rPr>
          <w:rFonts w:hint="eastAsia"/>
          <w:lang w:val="en-US" w:eastAsia="zh-CN"/>
        </w:rPr>
        <w:t>（七）</w:t>
      </w:r>
      <w:r>
        <w:t>参选保证金</w:t>
      </w: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spacing w:line="360" w:lineRule="auto"/>
        <w:rPr>
          <w:rFonts w:ascii="Times New Roman" w:hAnsi="Times New Roman" w:cs="Times New Roman"/>
        </w:rPr>
      </w:pPr>
    </w:p>
    <w:p>
      <w:pPr>
        <w:autoSpaceDE w:val="0"/>
        <w:autoSpaceDN w:val="0"/>
        <w:adjustRightInd w:val="0"/>
        <w:snapToGrid w:val="0"/>
        <w:spacing w:line="360" w:lineRule="auto"/>
        <w:jc w:val="left"/>
        <w:rPr>
          <w:rFonts w:ascii="Times New Roman" w:hAnsi="Times New Roman" w:cs="Times New Roman"/>
          <w:kern w:val="0"/>
        </w:rPr>
      </w:pP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236220</wp:posOffset>
                </wp:positionV>
                <wp:extent cx="2828925" cy="0"/>
                <wp:effectExtent l="0" t="4445" r="0" b="5080"/>
                <wp:wrapNone/>
                <wp:docPr id="1" name="直接连接符 1 2"/>
                <wp:cNvGraphicFramePr/>
                <a:graphic xmlns:a="http://schemas.openxmlformats.org/drawingml/2006/main">
                  <a:graphicData uri="http://schemas.microsoft.com/office/word/2010/wordprocessingShape">
                    <wps:wsp>
                      <wps:cNvCnPr/>
                      <wps:spPr>
                        <a:xfrm>
                          <a:off x="0" y="0"/>
                          <a:ext cx="2828925"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接连接符 1 2" o:spid="_x0000_s1026" o:spt="20" style="position:absolute;left:0pt;margin-left:-2.25pt;margin-top:18.6pt;height:0pt;width:222.75pt;z-index:251659264;mso-width-relative:page;mso-height-relative:page;" filled="f" stroked="t" coordsize="21600,21600" o:gfxdata="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oDnGPYAAAACAEAAA8AAAAAAAAAAQAgAAAAIgAAAGRycy9kb3ducmV2LnhtbFBL&#10;AQIUABQAAAAIAIdO4kA7y/Za9gEAAOYDAAAOAAAAAAAAAAEAIAAAACcBAABkcnMvZTJvRG9jLnht&#10;bFBLBQYAAAAABgAGAFkBAACPBQAAAAA=&#10;">
                <v:fill on="f" focussize="0,0"/>
                <v:stroke weight="0.25pt" color="#000000" joinstyle="round"/>
                <v:imagedata o:title=""/>
                <o:lock v:ext="edit" aspectratio="f"/>
              </v:line>
            </w:pict>
          </mc:Fallback>
        </mc:AlternateContent>
      </w:r>
    </w:p>
    <w:p>
      <w:pPr>
        <w:tabs>
          <w:tab w:val="left" w:pos="6300"/>
        </w:tabs>
        <w:snapToGrid w:val="0"/>
        <w:spacing w:line="360" w:lineRule="auto"/>
        <w:ind w:firstLine="570"/>
        <w:rPr>
          <w:rFonts w:ascii="Times New Roman" w:hAnsi="Times New Roman" w:cs="Times New Roman"/>
          <w:snapToGrid w:val="0"/>
          <w:kern w:val="0"/>
          <w:sz w:val="24"/>
        </w:rPr>
      </w:pPr>
      <w:r>
        <w:rPr>
          <w:rFonts w:ascii="Times New Roman" w:hAnsi="Times New Roman" w:cs="Times New Roman"/>
          <w:snapToGrid w:val="0"/>
          <w:kern w:val="0"/>
          <w:sz w:val="24"/>
        </w:rPr>
        <w:t>注：附</w:t>
      </w:r>
      <w:r>
        <w:rPr>
          <w:rFonts w:ascii="Times New Roman" w:hAnsi="Times New Roman" w:cs="Times New Roman"/>
          <w:snapToGrid w:val="0"/>
          <w:kern w:val="0"/>
          <w:sz w:val="24"/>
          <w:szCs w:val="24"/>
        </w:rPr>
        <w:t>参选</w:t>
      </w:r>
      <w:r>
        <w:rPr>
          <w:rFonts w:ascii="Times New Roman" w:hAnsi="Times New Roman" w:cs="Times New Roman"/>
          <w:snapToGrid w:val="0"/>
          <w:kern w:val="0"/>
          <w:sz w:val="24"/>
        </w:rPr>
        <w:t>保证金交款凭据复印件</w:t>
      </w:r>
    </w:p>
    <w:p>
      <w:pPr>
        <w:pStyle w:val="4"/>
        <w:numPr>
          <w:ilvl w:val="0"/>
          <w:numId w:val="0"/>
        </w:numPr>
        <w:ind w:left="420" w:leftChars="0" w:hanging="420" w:firstLineChars="0"/>
        <w:jc w:val="center"/>
        <w:rPr>
          <w:rFonts w:ascii="Times New Roman" w:hAnsi="Times New Roman" w:eastAsia="宋体" w:cs="Times New Roman"/>
          <w:b/>
          <w:bCs w:val="0"/>
          <w:snapToGrid/>
          <w:kern w:val="2"/>
          <w:sz w:val="28"/>
          <w:szCs w:val="32"/>
          <w:lang w:val="en-US" w:eastAsia="zh-CN" w:bidi="ar-SA"/>
        </w:rPr>
        <w:sectPr>
          <w:pgSz w:w="11906" w:h="16838"/>
          <w:pgMar w:top="1440" w:right="1800" w:bottom="1440" w:left="1800" w:header="851" w:footer="992" w:gutter="0"/>
          <w:cols w:space="720" w:num="1"/>
          <w:docGrid w:type="lines" w:linePitch="312" w:charSpace="0"/>
        </w:sectPr>
      </w:pPr>
    </w:p>
    <w:p>
      <w:pPr>
        <w:pStyle w:val="6"/>
        <w:bidi w:val="0"/>
        <w:jc w:val="center"/>
        <w:rPr>
          <w:rFonts w:hint="default"/>
          <w:lang w:val="en-US" w:eastAsia="zh-CN"/>
        </w:rPr>
      </w:pPr>
      <w:r>
        <w:rPr>
          <w:rFonts w:hint="eastAsia"/>
          <w:lang w:val="en-US" w:eastAsia="zh-CN"/>
        </w:rPr>
        <w:t>五、服务承诺函</w:t>
      </w:r>
    </w:p>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lang w:val="en-US" w:eastAsia="zh-CN"/>
        </w:rPr>
      </w:pPr>
      <w:r>
        <w:rPr>
          <w:rFonts w:hint="eastAsia"/>
          <w:lang w:val="en-US" w:eastAsia="zh-CN"/>
        </w:rPr>
        <w:t>包含比选文件第四章专题培训、第六章实施承诺、培训内容承诺、增值服务等相关内容。格式自理</w:t>
      </w:r>
    </w:p>
    <w:p/>
    <w:p>
      <w:pPr>
        <w:rPr>
          <w:rFonts w:ascii="Times New Roman" w:hAnsi="Times New Roman" w:cs="Times New Roman"/>
          <w:kern w:val="0"/>
        </w:rPr>
        <w:sectPr>
          <w:pgSz w:w="11906" w:h="16838"/>
          <w:pgMar w:top="1440" w:right="1800" w:bottom="1440" w:left="1800" w:header="851" w:footer="992" w:gutter="0"/>
          <w:cols w:space="720" w:num="1"/>
          <w:docGrid w:type="lines" w:linePitch="312" w:charSpace="0"/>
        </w:sectPr>
      </w:pPr>
    </w:p>
    <w:p>
      <w:pPr>
        <w:pStyle w:val="6"/>
        <w:bidi w:val="0"/>
        <w:jc w:val="center"/>
        <w:rPr>
          <w:rFonts w:hint="default"/>
          <w:lang w:val="en-US" w:eastAsia="zh-CN"/>
        </w:rPr>
      </w:pPr>
      <w:r>
        <w:rPr>
          <w:rFonts w:hint="eastAsia"/>
          <w:lang w:val="en-US" w:eastAsia="zh-CN"/>
        </w:rPr>
        <w:t>六、响应承诺函</w:t>
      </w:r>
    </w:p>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lang w:val="en-US" w:eastAsia="zh-CN"/>
        </w:rPr>
      </w:pPr>
      <w:r>
        <w:rPr>
          <w:rFonts w:hint="eastAsia"/>
          <w:lang w:val="en-US" w:eastAsia="zh-CN"/>
        </w:rPr>
        <w:t>参选人根据比选文件第三章、第四章、第五章内容做出响应承诺，格式自理</w:t>
      </w:r>
    </w:p>
    <w:p/>
    <w:p>
      <w:pPr>
        <w:rPr>
          <w:rFonts w:ascii="Times New Roman" w:hAnsi="Times New Roman" w:cs="Times New Roman"/>
          <w:kern w:val="0"/>
        </w:rPr>
        <w:sectPr>
          <w:pgSz w:w="11906" w:h="16838"/>
          <w:pgMar w:top="1440" w:right="1800" w:bottom="1440" w:left="1800" w:header="851" w:footer="992" w:gutter="0"/>
          <w:cols w:space="720" w:num="1"/>
          <w:docGrid w:type="lines" w:linePitch="312" w:charSpace="0"/>
        </w:sectPr>
      </w:pPr>
    </w:p>
    <w:p>
      <w:pPr>
        <w:pStyle w:val="6"/>
        <w:bidi w:val="0"/>
        <w:jc w:val="center"/>
        <w:rPr>
          <w:rFonts w:hint="default"/>
          <w:lang w:val="en-US" w:eastAsia="zh-CN"/>
        </w:rPr>
      </w:pPr>
      <w:r>
        <w:rPr>
          <w:rFonts w:hint="eastAsia"/>
          <w:lang w:val="en-US" w:eastAsia="zh-CN"/>
        </w:rPr>
        <w:t>七、项目需求理解方案</w:t>
      </w:r>
    </w:p>
    <w:p/>
    <w:p>
      <w:pPr>
        <w:rPr>
          <w:rFonts w:ascii="Times New Roman" w:hAnsi="Times New Roman" w:cs="Times New Roman"/>
          <w:kern w:val="0"/>
        </w:rPr>
        <w:sectPr>
          <w:pgSz w:w="11906" w:h="16838"/>
          <w:pgMar w:top="1440" w:right="1800" w:bottom="1440" w:left="1800" w:header="851" w:footer="992" w:gutter="0"/>
          <w:cols w:space="720" w:num="1"/>
          <w:docGrid w:type="lines" w:linePitch="312" w:charSpace="0"/>
        </w:sectPr>
      </w:pPr>
    </w:p>
    <w:p>
      <w:pPr>
        <w:pStyle w:val="6"/>
        <w:bidi w:val="0"/>
        <w:jc w:val="center"/>
        <w:rPr>
          <w:rFonts w:hint="eastAsia"/>
          <w:lang w:val="en-US" w:eastAsia="zh-CN"/>
        </w:rPr>
      </w:pPr>
      <w:r>
        <w:rPr>
          <w:rFonts w:hint="eastAsia"/>
          <w:lang w:val="en-US" w:eastAsia="zh-CN"/>
        </w:rPr>
        <w:t>八、项目实施方案</w:t>
      </w:r>
    </w:p>
    <w:p>
      <w:pPr>
        <w:tabs>
          <w:tab w:val="left" w:pos="6300"/>
        </w:tabs>
        <w:snapToGrid w:val="0"/>
        <w:spacing w:line="360" w:lineRule="auto"/>
        <w:jc w:val="center"/>
        <w:rPr>
          <w:rFonts w:ascii="Times New Roman" w:hAnsi="Times New Roman" w:cs="Times New Roman"/>
        </w:rPr>
      </w:pPr>
      <w:r>
        <w:rPr>
          <w:rFonts w:ascii="Times New Roman" w:hAnsi="Times New Roman" w:cs="Times New Roman"/>
          <w:snapToGrid w:val="0"/>
          <w:kern w:val="0"/>
          <w:sz w:val="24"/>
          <w:szCs w:val="24"/>
        </w:rPr>
        <w:t>（实施方案包括履行合同的时间计划、提交资料、人员安排等）</w:t>
      </w:r>
    </w:p>
    <w:p>
      <w:pPr>
        <w:rPr>
          <w:rFonts w:hint="default"/>
          <w:lang w:val="en-US" w:eastAsia="zh-CN"/>
        </w:rPr>
      </w:pPr>
    </w:p>
    <w:p/>
    <w:p>
      <w:pPr>
        <w:rPr>
          <w:rFonts w:ascii="Times New Roman" w:hAnsi="Times New Roman" w:cs="Times New Roman"/>
          <w:kern w:val="0"/>
        </w:rPr>
        <w:sectPr>
          <w:pgSz w:w="11906" w:h="16838"/>
          <w:pgMar w:top="1440" w:right="1800" w:bottom="1440" w:left="1800" w:header="851" w:footer="992" w:gutter="0"/>
          <w:cols w:space="720" w:num="1"/>
          <w:docGrid w:type="lines" w:linePitch="312" w:charSpace="0"/>
        </w:sectPr>
      </w:pPr>
    </w:p>
    <w:p>
      <w:pPr>
        <w:pStyle w:val="6"/>
        <w:bidi w:val="0"/>
        <w:jc w:val="center"/>
      </w:pPr>
      <w:r>
        <w:rPr>
          <w:rFonts w:hint="eastAsia"/>
          <w:lang w:val="en-US" w:eastAsia="zh-CN"/>
        </w:rPr>
        <w:t>九、</w:t>
      </w:r>
      <w:r>
        <w:t>参选人业绩证明文件复印件</w:t>
      </w:r>
    </w:p>
    <w:p>
      <w:pPr>
        <w:tabs>
          <w:tab w:val="left" w:pos="6300"/>
        </w:tabs>
        <w:snapToGrid w:val="0"/>
        <w:spacing w:line="360" w:lineRule="auto"/>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（中选通知书、合同等）</w:t>
      </w:r>
    </w:p>
    <w:p>
      <w:pPr>
        <w:pStyle w:val="19"/>
        <w:rPr>
          <w:rFonts w:ascii="Times New Roman" w:hAnsi="Times New Roman" w:cs="Times New Roman"/>
          <w:snapToGrid w:val="0"/>
          <w:kern w:val="0"/>
          <w:sz w:val="24"/>
          <w:szCs w:val="24"/>
        </w:rPr>
      </w:pPr>
    </w:p>
    <w:p/>
    <w:p>
      <w:pPr>
        <w:rPr>
          <w:rFonts w:ascii="Times New Roman" w:hAnsi="Times New Roman" w:cs="Times New Roman"/>
          <w:kern w:val="0"/>
        </w:rPr>
        <w:sectPr>
          <w:pgSz w:w="11906" w:h="16838"/>
          <w:pgMar w:top="1440" w:right="1800" w:bottom="1440" w:left="1800" w:header="851" w:footer="992" w:gutter="0"/>
          <w:cols w:space="720" w:num="1"/>
          <w:docGrid w:type="lines" w:linePitch="312" w:charSpace="0"/>
        </w:sectPr>
      </w:pPr>
    </w:p>
    <w:p>
      <w:pPr>
        <w:pStyle w:val="6"/>
        <w:bidi w:val="0"/>
        <w:jc w:val="center"/>
      </w:pPr>
      <w:r>
        <w:rPr>
          <w:rFonts w:hint="eastAsia"/>
          <w:lang w:val="en-US" w:eastAsia="zh-CN"/>
        </w:rPr>
        <w:t>十</w:t>
      </w:r>
      <w:r>
        <w:rPr>
          <w:lang w:val="en-US" w:eastAsia="zh-CN"/>
        </w:rPr>
        <w:t>、</w:t>
      </w:r>
      <w:r>
        <w:t>项目人员名单表</w:t>
      </w:r>
    </w:p>
    <w:p>
      <w:pPr>
        <w:spacing w:line="360" w:lineRule="auto"/>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参选人须列出项目组成员名单以及简历，如下表：</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6"/>
        <w:gridCol w:w="1163"/>
        <w:gridCol w:w="1387"/>
        <w:gridCol w:w="2084"/>
        <w:gridCol w:w="1390"/>
        <w:gridCol w:w="2081"/>
        <w:gridCol w:w="2498"/>
        <w:gridCol w:w="1441"/>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404" w:type="pct"/>
            <w:tcBorders>
              <w:tl2br w:val="nil"/>
              <w:tr2bl w:val="nil"/>
            </w:tcBorders>
            <w:vAlign w:val="center"/>
          </w:tcPr>
          <w:p>
            <w:pPr>
              <w:pStyle w:val="34"/>
              <w:keepNext w:val="0"/>
              <w:keepLines w:val="0"/>
              <w:pageBreakBefore w:val="0"/>
              <w:widowControl w:val="0"/>
              <w:kinsoku/>
              <w:wordWrap/>
              <w:overflowPunct/>
              <w:topLinePunct w:val="0"/>
              <w:autoSpaceDE w:val="0"/>
              <w:autoSpaceDN w:val="0"/>
              <w:bidi w:val="0"/>
              <w:adjustRightInd w:val="0"/>
              <w:snapToGrid w:val="0"/>
              <w:spacing w:line="480" w:lineRule="auto"/>
              <w:jc w:val="center"/>
              <w:textAlignment w:val="auto"/>
              <w:rPr>
                <w:rFonts w:ascii="Times New Roman" w:hAnsi="Times New Roman" w:eastAsia="宋体" w:cs="Times New Roman"/>
                <w:b/>
                <w:bCs/>
                <w:snapToGrid w:val="0"/>
                <w:color w:val="auto"/>
              </w:rPr>
            </w:pPr>
            <w:r>
              <w:rPr>
                <w:rFonts w:ascii="Times New Roman" w:hAnsi="Times New Roman" w:eastAsia="宋体" w:cs="Times New Roman"/>
                <w:b/>
                <w:bCs/>
                <w:snapToGrid w:val="0"/>
                <w:color w:val="auto"/>
              </w:rPr>
              <w:t>姓名</w:t>
            </w:r>
          </w:p>
        </w:tc>
        <w:tc>
          <w:tcPr>
            <w:tcW w:w="410" w:type="pct"/>
            <w:tcBorders>
              <w:tl2br w:val="nil"/>
              <w:tr2bl w:val="nil"/>
            </w:tcBorders>
            <w:vAlign w:val="center"/>
          </w:tcPr>
          <w:p>
            <w:pPr>
              <w:pStyle w:val="34"/>
              <w:keepNext w:val="0"/>
              <w:keepLines w:val="0"/>
              <w:pageBreakBefore w:val="0"/>
              <w:widowControl w:val="0"/>
              <w:kinsoku/>
              <w:wordWrap/>
              <w:overflowPunct/>
              <w:topLinePunct w:val="0"/>
              <w:autoSpaceDE w:val="0"/>
              <w:autoSpaceDN w:val="0"/>
              <w:bidi w:val="0"/>
              <w:adjustRightInd w:val="0"/>
              <w:snapToGrid w:val="0"/>
              <w:spacing w:line="480" w:lineRule="auto"/>
              <w:jc w:val="center"/>
              <w:textAlignment w:val="auto"/>
              <w:rPr>
                <w:rFonts w:ascii="Times New Roman" w:hAnsi="Times New Roman" w:eastAsia="宋体" w:cs="Times New Roman"/>
                <w:b/>
                <w:bCs/>
                <w:snapToGrid w:val="0"/>
                <w:color w:val="auto"/>
              </w:rPr>
            </w:pPr>
            <w:r>
              <w:rPr>
                <w:rFonts w:ascii="Times New Roman" w:hAnsi="Times New Roman" w:eastAsia="宋体" w:cs="Times New Roman"/>
                <w:b/>
                <w:bCs/>
                <w:snapToGrid w:val="0"/>
                <w:color w:val="auto"/>
              </w:rPr>
              <w:t>性别</w:t>
            </w:r>
          </w:p>
        </w:tc>
        <w:tc>
          <w:tcPr>
            <w:tcW w:w="489" w:type="pct"/>
            <w:tcBorders>
              <w:tl2br w:val="nil"/>
              <w:tr2bl w:val="nil"/>
            </w:tcBorders>
            <w:vAlign w:val="center"/>
          </w:tcPr>
          <w:p>
            <w:pPr>
              <w:pStyle w:val="34"/>
              <w:keepNext w:val="0"/>
              <w:keepLines w:val="0"/>
              <w:pageBreakBefore w:val="0"/>
              <w:widowControl w:val="0"/>
              <w:kinsoku/>
              <w:wordWrap/>
              <w:overflowPunct/>
              <w:topLinePunct w:val="0"/>
              <w:autoSpaceDE w:val="0"/>
              <w:autoSpaceDN w:val="0"/>
              <w:bidi w:val="0"/>
              <w:adjustRightInd w:val="0"/>
              <w:snapToGrid w:val="0"/>
              <w:spacing w:line="480" w:lineRule="auto"/>
              <w:jc w:val="center"/>
              <w:textAlignment w:val="auto"/>
              <w:rPr>
                <w:rFonts w:ascii="Times New Roman" w:hAnsi="Times New Roman" w:eastAsia="宋体" w:cs="Times New Roman"/>
                <w:b/>
                <w:bCs/>
                <w:snapToGrid w:val="0"/>
                <w:color w:val="auto"/>
              </w:rPr>
            </w:pPr>
            <w:r>
              <w:rPr>
                <w:rFonts w:ascii="Times New Roman" w:hAnsi="Times New Roman" w:eastAsia="宋体" w:cs="Times New Roman"/>
                <w:b/>
                <w:bCs/>
                <w:snapToGrid w:val="0"/>
                <w:color w:val="auto"/>
              </w:rPr>
              <w:t>学历</w:t>
            </w:r>
          </w:p>
        </w:tc>
        <w:tc>
          <w:tcPr>
            <w:tcW w:w="735" w:type="pct"/>
            <w:tcBorders>
              <w:tl2br w:val="nil"/>
              <w:tr2bl w:val="nil"/>
            </w:tcBorders>
            <w:vAlign w:val="center"/>
          </w:tcPr>
          <w:p>
            <w:pPr>
              <w:pStyle w:val="34"/>
              <w:keepNext w:val="0"/>
              <w:keepLines w:val="0"/>
              <w:pageBreakBefore w:val="0"/>
              <w:widowControl w:val="0"/>
              <w:kinsoku/>
              <w:wordWrap/>
              <w:overflowPunct/>
              <w:topLinePunct w:val="0"/>
              <w:autoSpaceDE w:val="0"/>
              <w:autoSpaceDN w:val="0"/>
              <w:bidi w:val="0"/>
              <w:adjustRightInd w:val="0"/>
              <w:snapToGrid w:val="0"/>
              <w:spacing w:line="480" w:lineRule="auto"/>
              <w:jc w:val="center"/>
              <w:textAlignment w:val="auto"/>
              <w:rPr>
                <w:rFonts w:ascii="Times New Roman" w:hAnsi="Times New Roman" w:eastAsia="宋体" w:cs="Times New Roman"/>
                <w:b/>
                <w:bCs/>
                <w:snapToGrid w:val="0"/>
                <w:color w:val="auto"/>
              </w:rPr>
            </w:pPr>
            <w:r>
              <w:rPr>
                <w:rFonts w:ascii="Times New Roman" w:hAnsi="Times New Roman" w:eastAsia="宋体" w:cs="Times New Roman"/>
                <w:b/>
                <w:bCs/>
                <w:snapToGrid w:val="0"/>
                <w:color w:val="auto"/>
              </w:rPr>
              <w:t>参与相关项目工作经验时间</w:t>
            </w:r>
          </w:p>
        </w:tc>
        <w:tc>
          <w:tcPr>
            <w:tcW w:w="490" w:type="pct"/>
            <w:tcBorders>
              <w:tl2br w:val="nil"/>
              <w:tr2bl w:val="nil"/>
            </w:tcBorders>
            <w:vAlign w:val="center"/>
          </w:tcPr>
          <w:p>
            <w:pPr>
              <w:pStyle w:val="34"/>
              <w:keepNext w:val="0"/>
              <w:keepLines w:val="0"/>
              <w:pageBreakBefore w:val="0"/>
              <w:widowControl w:val="0"/>
              <w:kinsoku/>
              <w:wordWrap/>
              <w:overflowPunct/>
              <w:topLinePunct w:val="0"/>
              <w:autoSpaceDE w:val="0"/>
              <w:autoSpaceDN w:val="0"/>
              <w:bidi w:val="0"/>
              <w:adjustRightInd w:val="0"/>
              <w:snapToGrid w:val="0"/>
              <w:spacing w:line="480" w:lineRule="auto"/>
              <w:jc w:val="center"/>
              <w:textAlignment w:val="auto"/>
              <w:rPr>
                <w:rFonts w:ascii="Times New Roman" w:hAnsi="Times New Roman" w:eastAsia="宋体" w:cs="Times New Roman"/>
                <w:b/>
                <w:bCs/>
                <w:snapToGrid w:val="0"/>
                <w:color w:val="auto"/>
              </w:rPr>
            </w:pPr>
            <w:r>
              <w:rPr>
                <w:rFonts w:ascii="Times New Roman" w:hAnsi="Times New Roman" w:eastAsia="宋体" w:cs="Times New Roman"/>
                <w:b/>
                <w:bCs/>
                <w:snapToGrid w:val="0"/>
                <w:color w:val="auto"/>
              </w:rPr>
              <w:t>职务/职称</w:t>
            </w:r>
          </w:p>
        </w:tc>
        <w:tc>
          <w:tcPr>
            <w:tcW w:w="734" w:type="pct"/>
            <w:tcBorders>
              <w:tl2br w:val="nil"/>
              <w:tr2bl w:val="nil"/>
            </w:tcBorders>
            <w:vAlign w:val="center"/>
          </w:tcPr>
          <w:p>
            <w:pPr>
              <w:pStyle w:val="34"/>
              <w:keepNext w:val="0"/>
              <w:keepLines w:val="0"/>
              <w:pageBreakBefore w:val="0"/>
              <w:widowControl w:val="0"/>
              <w:kinsoku/>
              <w:wordWrap/>
              <w:overflowPunct/>
              <w:topLinePunct w:val="0"/>
              <w:autoSpaceDE w:val="0"/>
              <w:autoSpaceDN w:val="0"/>
              <w:bidi w:val="0"/>
              <w:adjustRightInd w:val="0"/>
              <w:snapToGrid w:val="0"/>
              <w:spacing w:line="480" w:lineRule="auto"/>
              <w:jc w:val="center"/>
              <w:textAlignment w:val="auto"/>
              <w:rPr>
                <w:rFonts w:ascii="Times New Roman" w:hAnsi="Times New Roman" w:eastAsia="宋体" w:cs="Times New Roman"/>
                <w:b/>
                <w:bCs/>
                <w:snapToGrid w:val="0"/>
                <w:color w:val="auto"/>
              </w:rPr>
            </w:pPr>
            <w:r>
              <w:rPr>
                <w:rFonts w:ascii="Times New Roman" w:hAnsi="Times New Roman" w:eastAsia="宋体" w:cs="Times New Roman"/>
                <w:b/>
                <w:bCs/>
                <w:snapToGrid w:val="0"/>
                <w:color w:val="auto"/>
              </w:rPr>
              <w:t>在本项目中的分工</w:t>
            </w:r>
          </w:p>
        </w:tc>
        <w:tc>
          <w:tcPr>
            <w:tcW w:w="881" w:type="pct"/>
            <w:tcBorders>
              <w:tl2br w:val="nil"/>
              <w:tr2bl w:val="nil"/>
            </w:tcBorders>
            <w:vAlign w:val="center"/>
          </w:tcPr>
          <w:p>
            <w:pPr>
              <w:pStyle w:val="34"/>
              <w:keepNext w:val="0"/>
              <w:keepLines w:val="0"/>
              <w:pageBreakBefore w:val="0"/>
              <w:widowControl w:val="0"/>
              <w:kinsoku/>
              <w:wordWrap/>
              <w:overflowPunct/>
              <w:topLinePunct w:val="0"/>
              <w:autoSpaceDE w:val="0"/>
              <w:autoSpaceDN w:val="0"/>
              <w:bidi w:val="0"/>
              <w:adjustRightInd w:val="0"/>
              <w:snapToGrid w:val="0"/>
              <w:spacing w:line="480" w:lineRule="auto"/>
              <w:jc w:val="center"/>
              <w:textAlignment w:val="auto"/>
              <w:rPr>
                <w:rFonts w:ascii="Times New Roman" w:hAnsi="Times New Roman" w:eastAsia="宋体" w:cs="Times New Roman"/>
                <w:b/>
                <w:bCs/>
                <w:snapToGrid w:val="0"/>
                <w:color w:val="auto"/>
              </w:rPr>
            </w:pPr>
            <w:r>
              <w:rPr>
                <w:rFonts w:ascii="Times New Roman" w:hAnsi="Times New Roman" w:eastAsia="宋体" w:cs="Times New Roman"/>
                <w:b/>
                <w:bCs/>
                <w:snapToGrid w:val="0"/>
                <w:color w:val="auto"/>
              </w:rPr>
              <w:t>工作经历（参与过的相关项目经历）</w:t>
            </w:r>
          </w:p>
        </w:tc>
        <w:tc>
          <w:tcPr>
            <w:tcW w:w="508" w:type="pct"/>
            <w:tcBorders>
              <w:tl2br w:val="nil"/>
              <w:tr2bl w:val="nil"/>
            </w:tcBorders>
            <w:vAlign w:val="center"/>
          </w:tcPr>
          <w:p>
            <w:pPr>
              <w:pStyle w:val="34"/>
              <w:keepNext w:val="0"/>
              <w:keepLines w:val="0"/>
              <w:pageBreakBefore w:val="0"/>
              <w:widowControl w:val="0"/>
              <w:kinsoku/>
              <w:wordWrap/>
              <w:overflowPunct/>
              <w:topLinePunct w:val="0"/>
              <w:autoSpaceDE w:val="0"/>
              <w:autoSpaceDN w:val="0"/>
              <w:bidi w:val="0"/>
              <w:adjustRightInd w:val="0"/>
              <w:snapToGrid w:val="0"/>
              <w:spacing w:line="480" w:lineRule="auto"/>
              <w:jc w:val="center"/>
              <w:textAlignment w:val="auto"/>
              <w:rPr>
                <w:rFonts w:ascii="Times New Roman" w:hAnsi="Times New Roman" w:eastAsia="宋体" w:cs="Times New Roman"/>
                <w:b/>
                <w:bCs/>
                <w:snapToGrid w:val="0"/>
                <w:color w:val="auto"/>
              </w:rPr>
            </w:pPr>
            <w:r>
              <w:rPr>
                <w:rFonts w:ascii="Times New Roman" w:hAnsi="Times New Roman" w:eastAsia="宋体" w:cs="Times New Roman"/>
                <w:b/>
                <w:bCs/>
                <w:snapToGrid w:val="0"/>
                <w:color w:val="auto"/>
              </w:rPr>
              <w:t>相关认证</w:t>
            </w:r>
          </w:p>
        </w:tc>
        <w:tc>
          <w:tcPr>
            <w:tcW w:w="345" w:type="pct"/>
            <w:tcBorders>
              <w:tl2br w:val="nil"/>
              <w:tr2bl w:val="nil"/>
            </w:tcBorders>
            <w:vAlign w:val="center"/>
          </w:tcPr>
          <w:p>
            <w:pPr>
              <w:pStyle w:val="34"/>
              <w:keepNext w:val="0"/>
              <w:keepLines w:val="0"/>
              <w:pageBreakBefore w:val="0"/>
              <w:widowControl w:val="0"/>
              <w:kinsoku/>
              <w:wordWrap/>
              <w:overflowPunct/>
              <w:topLinePunct w:val="0"/>
              <w:autoSpaceDE w:val="0"/>
              <w:autoSpaceDN w:val="0"/>
              <w:bidi w:val="0"/>
              <w:adjustRightInd w:val="0"/>
              <w:snapToGrid w:val="0"/>
              <w:spacing w:line="480" w:lineRule="auto"/>
              <w:jc w:val="center"/>
              <w:textAlignment w:val="auto"/>
              <w:rPr>
                <w:rFonts w:ascii="Times New Roman" w:hAnsi="Times New Roman" w:eastAsia="宋体" w:cs="Times New Roman"/>
                <w:b/>
                <w:bCs/>
                <w:snapToGrid w:val="0"/>
                <w:color w:val="auto"/>
              </w:rPr>
            </w:pPr>
            <w:r>
              <w:rPr>
                <w:rFonts w:ascii="Times New Roman" w:hAnsi="Times New Roman" w:eastAsia="宋体" w:cs="Times New Roman"/>
                <w:b/>
                <w:bCs/>
                <w:snapToGrid w:val="0"/>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04" w:type="pct"/>
            <w:tcBorders>
              <w:tl2br w:val="nil"/>
              <w:tr2bl w:val="nil"/>
            </w:tcBorders>
            <w:vAlign w:val="center"/>
          </w:tcPr>
          <w:p>
            <w:pPr>
              <w:pStyle w:val="34"/>
              <w:keepNext w:val="0"/>
              <w:keepLines w:val="0"/>
              <w:pageBreakBefore w:val="0"/>
              <w:widowControl w:val="0"/>
              <w:kinsoku/>
              <w:wordWrap/>
              <w:overflowPunct/>
              <w:topLinePunct w:val="0"/>
              <w:autoSpaceDE w:val="0"/>
              <w:autoSpaceDN w:val="0"/>
              <w:bidi w:val="0"/>
              <w:adjustRightInd w:val="0"/>
              <w:snapToGrid w:val="0"/>
              <w:spacing w:line="480" w:lineRule="auto"/>
              <w:jc w:val="center"/>
              <w:textAlignment w:val="auto"/>
              <w:rPr>
                <w:rFonts w:ascii="Times New Roman" w:hAnsi="Times New Roman" w:eastAsia="宋体" w:cs="Times New Roman"/>
                <w:snapToGrid w:val="0"/>
                <w:color w:val="auto"/>
              </w:rPr>
            </w:pPr>
          </w:p>
        </w:tc>
        <w:tc>
          <w:tcPr>
            <w:tcW w:w="410" w:type="pct"/>
            <w:tcBorders>
              <w:tl2br w:val="nil"/>
              <w:tr2bl w:val="nil"/>
            </w:tcBorders>
            <w:vAlign w:val="center"/>
          </w:tcPr>
          <w:p>
            <w:pPr>
              <w:pStyle w:val="34"/>
              <w:keepNext w:val="0"/>
              <w:keepLines w:val="0"/>
              <w:pageBreakBefore w:val="0"/>
              <w:widowControl w:val="0"/>
              <w:kinsoku/>
              <w:wordWrap/>
              <w:overflowPunct/>
              <w:topLinePunct w:val="0"/>
              <w:autoSpaceDE w:val="0"/>
              <w:autoSpaceDN w:val="0"/>
              <w:bidi w:val="0"/>
              <w:adjustRightInd w:val="0"/>
              <w:snapToGrid w:val="0"/>
              <w:spacing w:line="480" w:lineRule="auto"/>
              <w:jc w:val="center"/>
              <w:textAlignment w:val="auto"/>
              <w:rPr>
                <w:rFonts w:ascii="Times New Roman" w:hAnsi="Times New Roman" w:eastAsia="宋体" w:cs="Times New Roman"/>
                <w:snapToGrid w:val="0"/>
                <w:color w:val="auto"/>
              </w:rPr>
            </w:pPr>
          </w:p>
        </w:tc>
        <w:tc>
          <w:tcPr>
            <w:tcW w:w="489" w:type="pct"/>
            <w:tcBorders>
              <w:tl2br w:val="nil"/>
              <w:tr2bl w:val="nil"/>
            </w:tcBorders>
            <w:vAlign w:val="center"/>
          </w:tcPr>
          <w:p>
            <w:pPr>
              <w:pStyle w:val="34"/>
              <w:keepNext w:val="0"/>
              <w:keepLines w:val="0"/>
              <w:pageBreakBefore w:val="0"/>
              <w:widowControl w:val="0"/>
              <w:kinsoku/>
              <w:wordWrap/>
              <w:overflowPunct/>
              <w:topLinePunct w:val="0"/>
              <w:autoSpaceDE w:val="0"/>
              <w:autoSpaceDN w:val="0"/>
              <w:bidi w:val="0"/>
              <w:adjustRightInd w:val="0"/>
              <w:snapToGrid w:val="0"/>
              <w:spacing w:line="480" w:lineRule="auto"/>
              <w:jc w:val="center"/>
              <w:textAlignment w:val="auto"/>
              <w:rPr>
                <w:rFonts w:ascii="Times New Roman" w:hAnsi="Times New Roman" w:eastAsia="宋体" w:cs="Times New Roman"/>
                <w:snapToGrid w:val="0"/>
                <w:color w:val="auto"/>
              </w:rPr>
            </w:pPr>
          </w:p>
        </w:tc>
        <w:tc>
          <w:tcPr>
            <w:tcW w:w="735" w:type="pct"/>
            <w:tcBorders>
              <w:tl2br w:val="nil"/>
              <w:tr2bl w:val="nil"/>
            </w:tcBorders>
            <w:vAlign w:val="center"/>
          </w:tcPr>
          <w:p>
            <w:pPr>
              <w:pStyle w:val="34"/>
              <w:keepNext w:val="0"/>
              <w:keepLines w:val="0"/>
              <w:pageBreakBefore w:val="0"/>
              <w:widowControl w:val="0"/>
              <w:kinsoku/>
              <w:wordWrap/>
              <w:overflowPunct/>
              <w:topLinePunct w:val="0"/>
              <w:autoSpaceDE w:val="0"/>
              <w:autoSpaceDN w:val="0"/>
              <w:bidi w:val="0"/>
              <w:adjustRightInd w:val="0"/>
              <w:snapToGrid w:val="0"/>
              <w:spacing w:line="480" w:lineRule="auto"/>
              <w:jc w:val="center"/>
              <w:textAlignment w:val="auto"/>
              <w:rPr>
                <w:rFonts w:ascii="Times New Roman" w:hAnsi="Times New Roman" w:eastAsia="宋体" w:cs="Times New Roman"/>
                <w:snapToGrid w:val="0"/>
                <w:color w:val="auto"/>
              </w:rPr>
            </w:pPr>
          </w:p>
        </w:tc>
        <w:tc>
          <w:tcPr>
            <w:tcW w:w="490" w:type="pct"/>
            <w:tcBorders>
              <w:tl2br w:val="nil"/>
              <w:tr2bl w:val="nil"/>
            </w:tcBorders>
            <w:vAlign w:val="center"/>
          </w:tcPr>
          <w:p>
            <w:pPr>
              <w:pStyle w:val="34"/>
              <w:keepNext w:val="0"/>
              <w:keepLines w:val="0"/>
              <w:pageBreakBefore w:val="0"/>
              <w:widowControl w:val="0"/>
              <w:kinsoku/>
              <w:wordWrap/>
              <w:overflowPunct/>
              <w:topLinePunct w:val="0"/>
              <w:autoSpaceDE w:val="0"/>
              <w:autoSpaceDN w:val="0"/>
              <w:bidi w:val="0"/>
              <w:adjustRightInd w:val="0"/>
              <w:snapToGrid w:val="0"/>
              <w:spacing w:line="480" w:lineRule="auto"/>
              <w:jc w:val="center"/>
              <w:textAlignment w:val="auto"/>
              <w:rPr>
                <w:rFonts w:ascii="Times New Roman" w:hAnsi="Times New Roman" w:eastAsia="宋体" w:cs="Times New Roman"/>
                <w:snapToGrid w:val="0"/>
                <w:color w:val="auto"/>
              </w:rPr>
            </w:pPr>
          </w:p>
        </w:tc>
        <w:tc>
          <w:tcPr>
            <w:tcW w:w="734" w:type="pct"/>
            <w:tcBorders>
              <w:tl2br w:val="nil"/>
              <w:tr2bl w:val="nil"/>
            </w:tcBorders>
            <w:vAlign w:val="center"/>
          </w:tcPr>
          <w:p>
            <w:pPr>
              <w:pStyle w:val="34"/>
              <w:keepNext w:val="0"/>
              <w:keepLines w:val="0"/>
              <w:pageBreakBefore w:val="0"/>
              <w:widowControl w:val="0"/>
              <w:kinsoku/>
              <w:wordWrap/>
              <w:overflowPunct/>
              <w:topLinePunct w:val="0"/>
              <w:autoSpaceDE w:val="0"/>
              <w:autoSpaceDN w:val="0"/>
              <w:bidi w:val="0"/>
              <w:adjustRightInd w:val="0"/>
              <w:snapToGrid w:val="0"/>
              <w:spacing w:line="480" w:lineRule="auto"/>
              <w:jc w:val="center"/>
              <w:textAlignment w:val="auto"/>
              <w:rPr>
                <w:rFonts w:ascii="Times New Roman" w:hAnsi="Times New Roman" w:eastAsia="宋体" w:cs="Times New Roman"/>
                <w:snapToGrid w:val="0"/>
                <w:color w:val="auto"/>
              </w:rPr>
            </w:pPr>
          </w:p>
        </w:tc>
        <w:tc>
          <w:tcPr>
            <w:tcW w:w="881" w:type="pct"/>
            <w:tcBorders>
              <w:tl2br w:val="nil"/>
              <w:tr2bl w:val="nil"/>
            </w:tcBorders>
            <w:vAlign w:val="center"/>
          </w:tcPr>
          <w:p>
            <w:pPr>
              <w:pStyle w:val="34"/>
              <w:keepNext w:val="0"/>
              <w:keepLines w:val="0"/>
              <w:pageBreakBefore w:val="0"/>
              <w:widowControl w:val="0"/>
              <w:kinsoku/>
              <w:wordWrap/>
              <w:overflowPunct/>
              <w:topLinePunct w:val="0"/>
              <w:autoSpaceDE w:val="0"/>
              <w:autoSpaceDN w:val="0"/>
              <w:bidi w:val="0"/>
              <w:adjustRightInd w:val="0"/>
              <w:snapToGrid w:val="0"/>
              <w:spacing w:line="480" w:lineRule="auto"/>
              <w:jc w:val="center"/>
              <w:textAlignment w:val="auto"/>
              <w:rPr>
                <w:rFonts w:ascii="Times New Roman" w:hAnsi="Times New Roman" w:eastAsia="宋体" w:cs="Times New Roman"/>
                <w:snapToGrid w:val="0"/>
                <w:color w:val="auto"/>
              </w:rPr>
            </w:pPr>
          </w:p>
        </w:tc>
        <w:tc>
          <w:tcPr>
            <w:tcW w:w="508" w:type="pct"/>
            <w:tcBorders>
              <w:tl2br w:val="nil"/>
              <w:tr2bl w:val="nil"/>
            </w:tcBorders>
            <w:vAlign w:val="center"/>
          </w:tcPr>
          <w:p>
            <w:pPr>
              <w:pStyle w:val="34"/>
              <w:keepNext w:val="0"/>
              <w:keepLines w:val="0"/>
              <w:pageBreakBefore w:val="0"/>
              <w:widowControl w:val="0"/>
              <w:kinsoku/>
              <w:wordWrap/>
              <w:overflowPunct/>
              <w:topLinePunct w:val="0"/>
              <w:autoSpaceDE w:val="0"/>
              <w:autoSpaceDN w:val="0"/>
              <w:bidi w:val="0"/>
              <w:adjustRightInd w:val="0"/>
              <w:snapToGrid w:val="0"/>
              <w:spacing w:line="480" w:lineRule="auto"/>
              <w:jc w:val="center"/>
              <w:textAlignment w:val="auto"/>
              <w:rPr>
                <w:rFonts w:ascii="Times New Roman" w:hAnsi="Times New Roman" w:eastAsia="宋体" w:cs="Times New Roman"/>
                <w:snapToGrid w:val="0"/>
                <w:color w:val="auto"/>
              </w:rPr>
            </w:pPr>
          </w:p>
        </w:tc>
        <w:tc>
          <w:tcPr>
            <w:tcW w:w="345" w:type="pct"/>
            <w:tcBorders>
              <w:tl2br w:val="nil"/>
              <w:tr2bl w:val="nil"/>
            </w:tcBorders>
            <w:vAlign w:val="center"/>
          </w:tcPr>
          <w:p>
            <w:pPr>
              <w:pStyle w:val="34"/>
              <w:keepNext w:val="0"/>
              <w:keepLines w:val="0"/>
              <w:pageBreakBefore w:val="0"/>
              <w:widowControl w:val="0"/>
              <w:kinsoku/>
              <w:wordWrap/>
              <w:overflowPunct/>
              <w:topLinePunct w:val="0"/>
              <w:autoSpaceDE w:val="0"/>
              <w:autoSpaceDN w:val="0"/>
              <w:bidi w:val="0"/>
              <w:adjustRightInd w:val="0"/>
              <w:snapToGrid w:val="0"/>
              <w:spacing w:line="480" w:lineRule="auto"/>
              <w:jc w:val="center"/>
              <w:textAlignment w:val="auto"/>
              <w:rPr>
                <w:rFonts w:ascii="Times New Roman" w:hAnsi="Times New Roman" w:eastAsia="宋体" w:cs="Times New Roman"/>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04" w:type="pct"/>
            <w:tcBorders>
              <w:tl2br w:val="nil"/>
              <w:tr2bl w:val="nil"/>
            </w:tcBorders>
            <w:vAlign w:val="center"/>
          </w:tcPr>
          <w:p>
            <w:pPr>
              <w:pStyle w:val="34"/>
              <w:keepNext w:val="0"/>
              <w:keepLines w:val="0"/>
              <w:pageBreakBefore w:val="0"/>
              <w:widowControl w:val="0"/>
              <w:kinsoku/>
              <w:wordWrap/>
              <w:overflowPunct/>
              <w:topLinePunct w:val="0"/>
              <w:autoSpaceDE w:val="0"/>
              <w:autoSpaceDN w:val="0"/>
              <w:bidi w:val="0"/>
              <w:adjustRightInd w:val="0"/>
              <w:snapToGrid w:val="0"/>
              <w:spacing w:line="480" w:lineRule="auto"/>
              <w:jc w:val="center"/>
              <w:textAlignment w:val="auto"/>
              <w:rPr>
                <w:rFonts w:ascii="Times New Roman" w:hAnsi="Times New Roman" w:eastAsia="宋体" w:cs="Times New Roman"/>
                <w:snapToGrid w:val="0"/>
                <w:color w:val="auto"/>
              </w:rPr>
            </w:pPr>
          </w:p>
        </w:tc>
        <w:tc>
          <w:tcPr>
            <w:tcW w:w="410" w:type="pct"/>
            <w:tcBorders>
              <w:tl2br w:val="nil"/>
              <w:tr2bl w:val="nil"/>
            </w:tcBorders>
            <w:vAlign w:val="center"/>
          </w:tcPr>
          <w:p>
            <w:pPr>
              <w:pStyle w:val="34"/>
              <w:keepNext w:val="0"/>
              <w:keepLines w:val="0"/>
              <w:pageBreakBefore w:val="0"/>
              <w:widowControl w:val="0"/>
              <w:kinsoku/>
              <w:wordWrap/>
              <w:overflowPunct/>
              <w:topLinePunct w:val="0"/>
              <w:autoSpaceDE w:val="0"/>
              <w:autoSpaceDN w:val="0"/>
              <w:bidi w:val="0"/>
              <w:adjustRightInd w:val="0"/>
              <w:snapToGrid w:val="0"/>
              <w:spacing w:line="480" w:lineRule="auto"/>
              <w:jc w:val="center"/>
              <w:textAlignment w:val="auto"/>
              <w:rPr>
                <w:rFonts w:ascii="Times New Roman" w:hAnsi="Times New Roman" w:eastAsia="宋体" w:cs="Times New Roman"/>
                <w:snapToGrid w:val="0"/>
                <w:color w:val="auto"/>
              </w:rPr>
            </w:pPr>
          </w:p>
        </w:tc>
        <w:tc>
          <w:tcPr>
            <w:tcW w:w="489" w:type="pct"/>
            <w:tcBorders>
              <w:tl2br w:val="nil"/>
              <w:tr2bl w:val="nil"/>
            </w:tcBorders>
            <w:vAlign w:val="center"/>
          </w:tcPr>
          <w:p>
            <w:pPr>
              <w:pStyle w:val="34"/>
              <w:keepNext w:val="0"/>
              <w:keepLines w:val="0"/>
              <w:pageBreakBefore w:val="0"/>
              <w:widowControl w:val="0"/>
              <w:kinsoku/>
              <w:wordWrap/>
              <w:overflowPunct/>
              <w:topLinePunct w:val="0"/>
              <w:autoSpaceDE w:val="0"/>
              <w:autoSpaceDN w:val="0"/>
              <w:bidi w:val="0"/>
              <w:adjustRightInd w:val="0"/>
              <w:snapToGrid w:val="0"/>
              <w:spacing w:line="480" w:lineRule="auto"/>
              <w:jc w:val="center"/>
              <w:textAlignment w:val="auto"/>
              <w:rPr>
                <w:rFonts w:ascii="Times New Roman" w:hAnsi="Times New Roman" w:eastAsia="宋体" w:cs="Times New Roman"/>
                <w:snapToGrid w:val="0"/>
                <w:color w:val="auto"/>
              </w:rPr>
            </w:pPr>
          </w:p>
        </w:tc>
        <w:tc>
          <w:tcPr>
            <w:tcW w:w="735" w:type="pct"/>
            <w:tcBorders>
              <w:tl2br w:val="nil"/>
              <w:tr2bl w:val="nil"/>
            </w:tcBorders>
            <w:vAlign w:val="center"/>
          </w:tcPr>
          <w:p>
            <w:pPr>
              <w:pStyle w:val="34"/>
              <w:keepNext w:val="0"/>
              <w:keepLines w:val="0"/>
              <w:pageBreakBefore w:val="0"/>
              <w:widowControl w:val="0"/>
              <w:kinsoku/>
              <w:wordWrap/>
              <w:overflowPunct/>
              <w:topLinePunct w:val="0"/>
              <w:autoSpaceDE w:val="0"/>
              <w:autoSpaceDN w:val="0"/>
              <w:bidi w:val="0"/>
              <w:adjustRightInd w:val="0"/>
              <w:snapToGrid w:val="0"/>
              <w:spacing w:line="480" w:lineRule="auto"/>
              <w:jc w:val="center"/>
              <w:textAlignment w:val="auto"/>
              <w:rPr>
                <w:rFonts w:ascii="Times New Roman" w:hAnsi="Times New Roman" w:eastAsia="宋体" w:cs="Times New Roman"/>
                <w:snapToGrid w:val="0"/>
                <w:color w:val="auto"/>
              </w:rPr>
            </w:pPr>
          </w:p>
        </w:tc>
        <w:tc>
          <w:tcPr>
            <w:tcW w:w="490" w:type="pct"/>
            <w:tcBorders>
              <w:tl2br w:val="nil"/>
              <w:tr2bl w:val="nil"/>
            </w:tcBorders>
            <w:vAlign w:val="center"/>
          </w:tcPr>
          <w:p>
            <w:pPr>
              <w:pStyle w:val="34"/>
              <w:keepNext w:val="0"/>
              <w:keepLines w:val="0"/>
              <w:pageBreakBefore w:val="0"/>
              <w:widowControl w:val="0"/>
              <w:kinsoku/>
              <w:wordWrap/>
              <w:overflowPunct/>
              <w:topLinePunct w:val="0"/>
              <w:autoSpaceDE w:val="0"/>
              <w:autoSpaceDN w:val="0"/>
              <w:bidi w:val="0"/>
              <w:adjustRightInd w:val="0"/>
              <w:snapToGrid w:val="0"/>
              <w:spacing w:line="480" w:lineRule="auto"/>
              <w:jc w:val="center"/>
              <w:textAlignment w:val="auto"/>
              <w:rPr>
                <w:rFonts w:ascii="Times New Roman" w:hAnsi="Times New Roman" w:eastAsia="宋体" w:cs="Times New Roman"/>
                <w:snapToGrid w:val="0"/>
                <w:color w:val="auto"/>
              </w:rPr>
            </w:pPr>
          </w:p>
        </w:tc>
        <w:tc>
          <w:tcPr>
            <w:tcW w:w="734" w:type="pct"/>
            <w:tcBorders>
              <w:tl2br w:val="nil"/>
              <w:tr2bl w:val="nil"/>
            </w:tcBorders>
            <w:vAlign w:val="center"/>
          </w:tcPr>
          <w:p>
            <w:pPr>
              <w:pStyle w:val="34"/>
              <w:keepNext w:val="0"/>
              <w:keepLines w:val="0"/>
              <w:pageBreakBefore w:val="0"/>
              <w:widowControl w:val="0"/>
              <w:kinsoku/>
              <w:wordWrap/>
              <w:overflowPunct/>
              <w:topLinePunct w:val="0"/>
              <w:autoSpaceDE w:val="0"/>
              <w:autoSpaceDN w:val="0"/>
              <w:bidi w:val="0"/>
              <w:adjustRightInd w:val="0"/>
              <w:snapToGrid w:val="0"/>
              <w:spacing w:line="480" w:lineRule="auto"/>
              <w:jc w:val="center"/>
              <w:textAlignment w:val="auto"/>
              <w:rPr>
                <w:rFonts w:ascii="Times New Roman" w:hAnsi="Times New Roman" w:eastAsia="宋体" w:cs="Times New Roman"/>
                <w:snapToGrid w:val="0"/>
                <w:color w:val="auto"/>
              </w:rPr>
            </w:pPr>
          </w:p>
        </w:tc>
        <w:tc>
          <w:tcPr>
            <w:tcW w:w="881" w:type="pct"/>
            <w:tcBorders>
              <w:tl2br w:val="nil"/>
              <w:tr2bl w:val="nil"/>
            </w:tcBorders>
            <w:vAlign w:val="center"/>
          </w:tcPr>
          <w:p>
            <w:pPr>
              <w:pStyle w:val="34"/>
              <w:keepNext w:val="0"/>
              <w:keepLines w:val="0"/>
              <w:pageBreakBefore w:val="0"/>
              <w:widowControl w:val="0"/>
              <w:kinsoku/>
              <w:wordWrap/>
              <w:overflowPunct/>
              <w:topLinePunct w:val="0"/>
              <w:autoSpaceDE w:val="0"/>
              <w:autoSpaceDN w:val="0"/>
              <w:bidi w:val="0"/>
              <w:adjustRightInd w:val="0"/>
              <w:snapToGrid w:val="0"/>
              <w:spacing w:line="480" w:lineRule="auto"/>
              <w:jc w:val="center"/>
              <w:textAlignment w:val="auto"/>
              <w:rPr>
                <w:rFonts w:ascii="Times New Roman" w:hAnsi="Times New Roman" w:eastAsia="宋体" w:cs="Times New Roman"/>
                <w:snapToGrid w:val="0"/>
                <w:color w:val="auto"/>
              </w:rPr>
            </w:pPr>
          </w:p>
        </w:tc>
        <w:tc>
          <w:tcPr>
            <w:tcW w:w="508" w:type="pct"/>
            <w:tcBorders>
              <w:tl2br w:val="nil"/>
              <w:tr2bl w:val="nil"/>
            </w:tcBorders>
            <w:vAlign w:val="center"/>
          </w:tcPr>
          <w:p>
            <w:pPr>
              <w:pStyle w:val="34"/>
              <w:keepNext w:val="0"/>
              <w:keepLines w:val="0"/>
              <w:pageBreakBefore w:val="0"/>
              <w:widowControl w:val="0"/>
              <w:kinsoku/>
              <w:wordWrap/>
              <w:overflowPunct/>
              <w:topLinePunct w:val="0"/>
              <w:autoSpaceDE w:val="0"/>
              <w:autoSpaceDN w:val="0"/>
              <w:bidi w:val="0"/>
              <w:adjustRightInd w:val="0"/>
              <w:snapToGrid w:val="0"/>
              <w:spacing w:line="480" w:lineRule="auto"/>
              <w:jc w:val="center"/>
              <w:textAlignment w:val="auto"/>
              <w:rPr>
                <w:rFonts w:ascii="Times New Roman" w:hAnsi="Times New Roman" w:eastAsia="宋体" w:cs="Times New Roman"/>
                <w:snapToGrid w:val="0"/>
                <w:color w:val="auto"/>
              </w:rPr>
            </w:pPr>
          </w:p>
        </w:tc>
        <w:tc>
          <w:tcPr>
            <w:tcW w:w="345" w:type="pct"/>
            <w:tcBorders>
              <w:tl2br w:val="nil"/>
              <w:tr2bl w:val="nil"/>
            </w:tcBorders>
            <w:vAlign w:val="center"/>
          </w:tcPr>
          <w:p>
            <w:pPr>
              <w:pStyle w:val="34"/>
              <w:keepNext w:val="0"/>
              <w:keepLines w:val="0"/>
              <w:pageBreakBefore w:val="0"/>
              <w:widowControl w:val="0"/>
              <w:kinsoku/>
              <w:wordWrap/>
              <w:overflowPunct/>
              <w:topLinePunct w:val="0"/>
              <w:autoSpaceDE w:val="0"/>
              <w:autoSpaceDN w:val="0"/>
              <w:bidi w:val="0"/>
              <w:adjustRightInd w:val="0"/>
              <w:snapToGrid w:val="0"/>
              <w:spacing w:line="480" w:lineRule="auto"/>
              <w:jc w:val="center"/>
              <w:textAlignment w:val="auto"/>
              <w:rPr>
                <w:rFonts w:ascii="Times New Roman" w:hAnsi="Times New Roman" w:eastAsia="宋体" w:cs="Times New Roman"/>
                <w:snapToGrid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04" w:type="pct"/>
            <w:tcBorders>
              <w:tl2br w:val="nil"/>
              <w:tr2bl w:val="nil"/>
            </w:tcBorders>
            <w:vAlign w:val="center"/>
          </w:tcPr>
          <w:p>
            <w:pPr>
              <w:pStyle w:val="34"/>
              <w:keepNext w:val="0"/>
              <w:keepLines w:val="0"/>
              <w:pageBreakBefore w:val="0"/>
              <w:widowControl w:val="0"/>
              <w:kinsoku/>
              <w:wordWrap/>
              <w:overflowPunct/>
              <w:topLinePunct w:val="0"/>
              <w:autoSpaceDE w:val="0"/>
              <w:autoSpaceDN w:val="0"/>
              <w:bidi w:val="0"/>
              <w:adjustRightInd w:val="0"/>
              <w:snapToGrid w:val="0"/>
              <w:spacing w:line="480" w:lineRule="auto"/>
              <w:jc w:val="center"/>
              <w:textAlignment w:val="auto"/>
              <w:rPr>
                <w:rFonts w:ascii="Times New Roman" w:hAnsi="Times New Roman" w:eastAsia="宋体" w:cs="Times New Roman"/>
                <w:snapToGrid w:val="0"/>
                <w:color w:val="auto"/>
              </w:rPr>
            </w:pPr>
          </w:p>
        </w:tc>
        <w:tc>
          <w:tcPr>
            <w:tcW w:w="410" w:type="pct"/>
            <w:tcBorders>
              <w:tl2br w:val="nil"/>
              <w:tr2bl w:val="nil"/>
            </w:tcBorders>
            <w:vAlign w:val="center"/>
          </w:tcPr>
          <w:p>
            <w:pPr>
              <w:pStyle w:val="34"/>
              <w:keepNext w:val="0"/>
              <w:keepLines w:val="0"/>
              <w:pageBreakBefore w:val="0"/>
              <w:widowControl w:val="0"/>
              <w:kinsoku/>
              <w:wordWrap/>
              <w:overflowPunct/>
              <w:topLinePunct w:val="0"/>
              <w:autoSpaceDE w:val="0"/>
              <w:autoSpaceDN w:val="0"/>
              <w:bidi w:val="0"/>
              <w:adjustRightInd w:val="0"/>
              <w:snapToGrid w:val="0"/>
              <w:spacing w:line="480" w:lineRule="auto"/>
              <w:jc w:val="center"/>
              <w:textAlignment w:val="auto"/>
              <w:rPr>
                <w:rFonts w:ascii="Times New Roman" w:hAnsi="Times New Roman" w:eastAsia="宋体" w:cs="Times New Roman"/>
                <w:snapToGrid w:val="0"/>
                <w:color w:val="auto"/>
              </w:rPr>
            </w:pPr>
          </w:p>
        </w:tc>
        <w:tc>
          <w:tcPr>
            <w:tcW w:w="489" w:type="pct"/>
            <w:tcBorders>
              <w:tl2br w:val="nil"/>
              <w:tr2bl w:val="nil"/>
            </w:tcBorders>
            <w:vAlign w:val="center"/>
          </w:tcPr>
          <w:p>
            <w:pPr>
              <w:pStyle w:val="34"/>
              <w:keepNext w:val="0"/>
              <w:keepLines w:val="0"/>
              <w:pageBreakBefore w:val="0"/>
              <w:widowControl w:val="0"/>
              <w:kinsoku/>
              <w:wordWrap/>
              <w:overflowPunct/>
              <w:topLinePunct w:val="0"/>
              <w:autoSpaceDE w:val="0"/>
              <w:autoSpaceDN w:val="0"/>
              <w:bidi w:val="0"/>
              <w:adjustRightInd w:val="0"/>
              <w:snapToGrid w:val="0"/>
              <w:spacing w:line="480" w:lineRule="auto"/>
              <w:jc w:val="center"/>
              <w:textAlignment w:val="auto"/>
              <w:rPr>
                <w:rFonts w:ascii="Times New Roman" w:hAnsi="Times New Roman" w:eastAsia="宋体" w:cs="Times New Roman"/>
                <w:snapToGrid w:val="0"/>
                <w:color w:val="auto"/>
              </w:rPr>
            </w:pPr>
          </w:p>
        </w:tc>
        <w:tc>
          <w:tcPr>
            <w:tcW w:w="735" w:type="pct"/>
            <w:tcBorders>
              <w:tl2br w:val="nil"/>
              <w:tr2bl w:val="nil"/>
            </w:tcBorders>
            <w:vAlign w:val="center"/>
          </w:tcPr>
          <w:p>
            <w:pPr>
              <w:pStyle w:val="34"/>
              <w:keepNext w:val="0"/>
              <w:keepLines w:val="0"/>
              <w:pageBreakBefore w:val="0"/>
              <w:widowControl w:val="0"/>
              <w:kinsoku/>
              <w:wordWrap/>
              <w:overflowPunct/>
              <w:topLinePunct w:val="0"/>
              <w:autoSpaceDE w:val="0"/>
              <w:autoSpaceDN w:val="0"/>
              <w:bidi w:val="0"/>
              <w:adjustRightInd w:val="0"/>
              <w:snapToGrid w:val="0"/>
              <w:spacing w:line="480" w:lineRule="auto"/>
              <w:jc w:val="center"/>
              <w:textAlignment w:val="auto"/>
              <w:rPr>
                <w:rFonts w:ascii="Times New Roman" w:hAnsi="Times New Roman" w:eastAsia="宋体" w:cs="Times New Roman"/>
                <w:snapToGrid w:val="0"/>
                <w:color w:val="auto"/>
              </w:rPr>
            </w:pPr>
          </w:p>
        </w:tc>
        <w:tc>
          <w:tcPr>
            <w:tcW w:w="490" w:type="pct"/>
            <w:tcBorders>
              <w:tl2br w:val="nil"/>
              <w:tr2bl w:val="nil"/>
            </w:tcBorders>
            <w:vAlign w:val="center"/>
          </w:tcPr>
          <w:p>
            <w:pPr>
              <w:pStyle w:val="34"/>
              <w:keepNext w:val="0"/>
              <w:keepLines w:val="0"/>
              <w:pageBreakBefore w:val="0"/>
              <w:widowControl w:val="0"/>
              <w:kinsoku/>
              <w:wordWrap/>
              <w:overflowPunct/>
              <w:topLinePunct w:val="0"/>
              <w:autoSpaceDE w:val="0"/>
              <w:autoSpaceDN w:val="0"/>
              <w:bidi w:val="0"/>
              <w:adjustRightInd w:val="0"/>
              <w:snapToGrid w:val="0"/>
              <w:spacing w:line="480" w:lineRule="auto"/>
              <w:jc w:val="center"/>
              <w:textAlignment w:val="auto"/>
              <w:rPr>
                <w:rFonts w:ascii="Times New Roman" w:hAnsi="Times New Roman" w:eastAsia="宋体" w:cs="Times New Roman"/>
                <w:snapToGrid w:val="0"/>
                <w:color w:val="auto"/>
              </w:rPr>
            </w:pPr>
          </w:p>
        </w:tc>
        <w:tc>
          <w:tcPr>
            <w:tcW w:w="734" w:type="pct"/>
            <w:tcBorders>
              <w:tl2br w:val="nil"/>
              <w:tr2bl w:val="nil"/>
            </w:tcBorders>
            <w:vAlign w:val="center"/>
          </w:tcPr>
          <w:p>
            <w:pPr>
              <w:pStyle w:val="34"/>
              <w:keepNext w:val="0"/>
              <w:keepLines w:val="0"/>
              <w:pageBreakBefore w:val="0"/>
              <w:widowControl w:val="0"/>
              <w:kinsoku/>
              <w:wordWrap/>
              <w:overflowPunct/>
              <w:topLinePunct w:val="0"/>
              <w:autoSpaceDE w:val="0"/>
              <w:autoSpaceDN w:val="0"/>
              <w:bidi w:val="0"/>
              <w:adjustRightInd w:val="0"/>
              <w:snapToGrid w:val="0"/>
              <w:spacing w:line="480" w:lineRule="auto"/>
              <w:jc w:val="center"/>
              <w:textAlignment w:val="auto"/>
              <w:rPr>
                <w:rFonts w:ascii="Times New Roman" w:hAnsi="Times New Roman" w:eastAsia="宋体" w:cs="Times New Roman"/>
                <w:snapToGrid w:val="0"/>
                <w:color w:val="auto"/>
              </w:rPr>
            </w:pPr>
          </w:p>
        </w:tc>
        <w:tc>
          <w:tcPr>
            <w:tcW w:w="881" w:type="pct"/>
            <w:tcBorders>
              <w:tl2br w:val="nil"/>
              <w:tr2bl w:val="nil"/>
            </w:tcBorders>
            <w:vAlign w:val="center"/>
          </w:tcPr>
          <w:p>
            <w:pPr>
              <w:pStyle w:val="34"/>
              <w:keepNext w:val="0"/>
              <w:keepLines w:val="0"/>
              <w:pageBreakBefore w:val="0"/>
              <w:widowControl w:val="0"/>
              <w:kinsoku/>
              <w:wordWrap/>
              <w:overflowPunct/>
              <w:topLinePunct w:val="0"/>
              <w:autoSpaceDE w:val="0"/>
              <w:autoSpaceDN w:val="0"/>
              <w:bidi w:val="0"/>
              <w:adjustRightInd w:val="0"/>
              <w:snapToGrid w:val="0"/>
              <w:spacing w:line="480" w:lineRule="auto"/>
              <w:jc w:val="center"/>
              <w:textAlignment w:val="auto"/>
              <w:rPr>
                <w:rFonts w:ascii="Times New Roman" w:hAnsi="Times New Roman" w:eastAsia="宋体" w:cs="Times New Roman"/>
                <w:snapToGrid w:val="0"/>
                <w:color w:val="auto"/>
              </w:rPr>
            </w:pPr>
          </w:p>
        </w:tc>
        <w:tc>
          <w:tcPr>
            <w:tcW w:w="508" w:type="pct"/>
            <w:tcBorders>
              <w:tl2br w:val="nil"/>
              <w:tr2bl w:val="nil"/>
            </w:tcBorders>
            <w:vAlign w:val="center"/>
          </w:tcPr>
          <w:p>
            <w:pPr>
              <w:pStyle w:val="34"/>
              <w:keepNext w:val="0"/>
              <w:keepLines w:val="0"/>
              <w:pageBreakBefore w:val="0"/>
              <w:widowControl w:val="0"/>
              <w:kinsoku/>
              <w:wordWrap/>
              <w:overflowPunct/>
              <w:topLinePunct w:val="0"/>
              <w:autoSpaceDE w:val="0"/>
              <w:autoSpaceDN w:val="0"/>
              <w:bidi w:val="0"/>
              <w:adjustRightInd w:val="0"/>
              <w:snapToGrid w:val="0"/>
              <w:spacing w:line="480" w:lineRule="auto"/>
              <w:jc w:val="center"/>
              <w:textAlignment w:val="auto"/>
              <w:rPr>
                <w:rFonts w:ascii="Times New Roman" w:hAnsi="Times New Roman" w:eastAsia="宋体" w:cs="Times New Roman"/>
                <w:snapToGrid w:val="0"/>
                <w:color w:val="auto"/>
              </w:rPr>
            </w:pPr>
          </w:p>
        </w:tc>
        <w:tc>
          <w:tcPr>
            <w:tcW w:w="345" w:type="pct"/>
            <w:tcBorders>
              <w:tl2br w:val="nil"/>
              <w:tr2bl w:val="nil"/>
            </w:tcBorders>
            <w:vAlign w:val="center"/>
          </w:tcPr>
          <w:p>
            <w:pPr>
              <w:pStyle w:val="34"/>
              <w:keepNext w:val="0"/>
              <w:keepLines w:val="0"/>
              <w:pageBreakBefore w:val="0"/>
              <w:widowControl w:val="0"/>
              <w:kinsoku/>
              <w:wordWrap/>
              <w:overflowPunct/>
              <w:topLinePunct w:val="0"/>
              <w:autoSpaceDE w:val="0"/>
              <w:autoSpaceDN w:val="0"/>
              <w:bidi w:val="0"/>
              <w:adjustRightInd w:val="0"/>
              <w:snapToGrid w:val="0"/>
              <w:spacing w:line="480" w:lineRule="auto"/>
              <w:jc w:val="center"/>
              <w:textAlignment w:val="auto"/>
              <w:rPr>
                <w:rFonts w:ascii="Times New Roman" w:hAnsi="Times New Roman" w:eastAsia="宋体" w:cs="Times New Roman"/>
                <w:snapToGrid w:val="0"/>
                <w:color w:val="auto"/>
              </w:rPr>
            </w:pPr>
          </w:p>
        </w:tc>
      </w:tr>
    </w:tbl>
    <w:p>
      <w:pPr>
        <w:spacing w:line="360" w:lineRule="auto"/>
        <w:ind w:firstLine="440" w:firstLineChars="200"/>
        <w:rPr>
          <w:rFonts w:ascii="Times New Roman" w:hAnsi="Times New Roman" w:cs="Times New Roman"/>
          <w:snapToGrid w:val="0"/>
          <w:kern w:val="0"/>
          <w:sz w:val="22"/>
          <w:szCs w:val="22"/>
        </w:rPr>
      </w:pPr>
      <w:r>
        <w:rPr>
          <w:rFonts w:ascii="Times New Roman" w:hAnsi="Times New Roman" w:cs="Times New Roman"/>
          <w:snapToGrid w:val="0"/>
          <w:kern w:val="0"/>
          <w:sz w:val="22"/>
          <w:szCs w:val="22"/>
        </w:rPr>
        <w:t>说明：</w:t>
      </w:r>
    </w:p>
    <w:p>
      <w:pPr>
        <w:spacing w:line="360" w:lineRule="auto"/>
        <w:ind w:firstLine="440" w:firstLineChars="200"/>
        <w:rPr>
          <w:rFonts w:ascii="Times New Roman" w:hAnsi="Times New Roman" w:cs="Times New Roman"/>
          <w:snapToGrid w:val="0"/>
          <w:kern w:val="0"/>
          <w:sz w:val="22"/>
          <w:szCs w:val="22"/>
        </w:rPr>
      </w:pPr>
      <w:r>
        <w:rPr>
          <w:rFonts w:ascii="Times New Roman" w:hAnsi="Times New Roman" w:cs="Times New Roman"/>
          <w:snapToGrid w:val="0"/>
          <w:kern w:val="0"/>
          <w:sz w:val="22"/>
          <w:szCs w:val="22"/>
        </w:rPr>
        <w:t>（1）此表所列人员应为项目组成员，参选人应承诺未征得我行同意，不得更换上述成员。</w:t>
      </w:r>
    </w:p>
    <w:p>
      <w:pPr>
        <w:spacing w:line="360" w:lineRule="auto"/>
        <w:ind w:firstLine="440" w:firstLineChars="200"/>
        <w:rPr>
          <w:rFonts w:ascii="Times New Roman" w:hAnsi="Times New Roman" w:cs="Times New Roman"/>
          <w:snapToGrid w:val="0"/>
          <w:kern w:val="0"/>
          <w:sz w:val="22"/>
          <w:szCs w:val="22"/>
        </w:rPr>
      </w:pPr>
      <w:r>
        <w:rPr>
          <w:rFonts w:ascii="Times New Roman" w:hAnsi="Times New Roman" w:cs="Times New Roman"/>
          <w:snapToGrid w:val="0"/>
          <w:kern w:val="0"/>
          <w:sz w:val="22"/>
          <w:szCs w:val="22"/>
        </w:rPr>
        <w:t>（2）“在本项目中的分工”一栏中应说明项目中的角色和承担的职责，若为项目关键实施人员的，需注明。</w:t>
      </w:r>
    </w:p>
    <w:p>
      <w:pPr>
        <w:ind w:firstLine="440" w:firstLineChars="200"/>
        <w:rPr>
          <w:rFonts w:ascii="Times New Roman" w:hAnsi="Times New Roman" w:cs="Times New Roman"/>
          <w:snapToGrid w:val="0"/>
          <w:kern w:val="0"/>
          <w:sz w:val="22"/>
          <w:szCs w:val="22"/>
        </w:rPr>
      </w:pPr>
      <w:r>
        <w:rPr>
          <w:rFonts w:ascii="Times New Roman" w:hAnsi="Times New Roman" w:cs="Times New Roman"/>
          <w:snapToGrid w:val="0"/>
          <w:kern w:val="0"/>
          <w:sz w:val="22"/>
          <w:szCs w:val="22"/>
        </w:rPr>
        <w:t>（3）“备注”栏说明所列人员的工作比重或具体时长。</w:t>
      </w:r>
    </w:p>
    <w:p>
      <w:pPr>
        <w:rPr>
          <w:rFonts w:ascii="Times New Roman" w:hAnsi="Times New Roman" w:cs="Times New Roman"/>
          <w:snapToGrid w:val="0"/>
          <w:kern w:val="0"/>
          <w:sz w:val="22"/>
          <w:szCs w:val="22"/>
        </w:rPr>
      </w:pPr>
    </w:p>
    <w:p>
      <w:pPr>
        <w:spacing w:line="360" w:lineRule="auto"/>
        <w:rPr>
          <w:rFonts w:ascii="Times New Roman" w:hAnsi="Times New Roman" w:cs="Times New Roman"/>
          <w:kern w:val="0"/>
        </w:rPr>
      </w:pPr>
      <w:r>
        <w:rPr>
          <w:rFonts w:ascii="Times New Roman" w:hAnsi="Times New Roman" w:cs="Times New Roman"/>
          <w:snapToGrid w:val="0"/>
          <w:kern w:val="0"/>
          <w:sz w:val="22"/>
          <w:szCs w:val="22"/>
        </w:rPr>
        <w:t>附：项目组各成员具体简历信息（简历中至少包含学历证书证明材料、相关认证证书证明材料、实施案例证明材料及劳动合同关键信息等）</w:t>
      </w:r>
    </w:p>
    <w:p>
      <w:pPr>
        <w:pStyle w:val="19"/>
        <w:rPr>
          <w:rFonts w:ascii="Times New Roman" w:hAnsi="Times New Roman" w:cs="Times New Roman"/>
          <w:kern w:val="0"/>
        </w:rPr>
      </w:pPr>
    </w:p>
    <w:p>
      <w:pPr>
        <w:sectPr>
          <w:pgSz w:w="16838" w:h="11906" w:orient="landscape"/>
          <w:pgMar w:top="1800" w:right="1440" w:bottom="1800" w:left="1440" w:header="851" w:footer="992" w:gutter="0"/>
          <w:cols w:space="720" w:num="1"/>
          <w:docGrid w:type="lines" w:linePitch="312" w:charSpace="0"/>
        </w:sectPr>
      </w:pPr>
    </w:p>
    <w:p>
      <w:pPr>
        <w:pStyle w:val="6"/>
        <w:bidi w:val="0"/>
        <w:jc w:val="center"/>
      </w:pPr>
      <w:r>
        <w:rPr>
          <w:rFonts w:hint="eastAsia"/>
          <w:lang w:val="en-US" w:eastAsia="zh-CN"/>
        </w:rPr>
        <w:t>十一</w:t>
      </w:r>
      <w:r>
        <w:rPr>
          <w:lang w:val="en-US" w:eastAsia="zh-CN"/>
        </w:rPr>
        <w:t>、</w:t>
      </w:r>
      <w:r>
        <w:t>服务内容及要求偏离表</w:t>
      </w:r>
    </w:p>
    <w:tbl>
      <w:tblPr>
        <w:tblStyle w:val="25"/>
        <w:tblW w:w="896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980"/>
        <w:gridCol w:w="1940"/>
        <w:gridCol w:w="2410"/>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80"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序号</w:t>
            </w:r>
          </w:p>
        </w:tc>
        <w:tc>
          <w:tcPr>
            <w:tcW w:w="1980"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比选文件条目号</w:t>
            </w:r>
          </w:p>
        </w:tc>
        <w:tc>
          <w:tcPr>
            <w:tcW w:w="1940"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比选文件服务条款</w:t>
            </w:r>
          </w:p>
        </w:tc>
        <w:tc>
          <w:tcPr>
            <w:tcW w:w="2410"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参选文件对应服务条款</w:t>
            </w:r>
          </w:p>
        </w:tc>
        <w:tc>
          <w:tcPr>
            <w:tcW w:w="155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98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94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241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559"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98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94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241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559"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98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94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241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559"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98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94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241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559"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98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94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241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559"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98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94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241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559"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98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94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241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559"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98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94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241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559"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98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94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241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559"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98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94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241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559"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98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94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241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559"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98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94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241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559"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98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94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241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559"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r>
    </w:tbl>
    <w:p>
      <w:pPr>
        <w:spacing w:line="360" w:lineRule="auto"/>
        <w:rPr>
          <w:rFonts w:ascii="Times New Roman" w:hAnsi="Times New Roman" w:cs="Times New Roman"/>
          <w:b/>
          <w:snapToGrid w:val="0"/>
          <w:kern w:val="0"/>
          <w:sz w:val="24"/>
          <w:szCs w:val="24"/>
        </w:rPr>
      </w:pPr>
    </w:p>
    <w:p>
      <w:pPr>
        <w:spacing w:line="360" w:lineRule="auto"/>
        <w:rPr>
          <w:rFonts w:ascii="Times New Roman" w:hAnsi="Times New Roman" w:cs="Times New Roman"/>
          <w:snapToGrid w:val="0"/>
          <w:kern w:val="0"/>
          <w:sz w:val="24"/>
          <w:szCs w:val="24"/>
        </w:rPr>
      </w:pPr>
    </w:p>
    <w:p>
      <w:pPr>
        <w:pStyle w:val="2"/>
        <w:rPr>
          <w:rFonts w:hint="default" w:eastAsia="宋体"/>
          <w:lang w:val="en-US" w:eastAsia="zh-CN"/>
        </w:rPr>
      </w:pPr>
      <w:r>
        <w:rPr>
          <w:rFonts w:hint="eastAsia"/>
          <w:lang w:val="en-US" w:eastAsia="zh-CN"/>
        </w:rPr>
        <w:t>注：根据比选文件第四章内容，逐一填写说明与响应。</w:t>
      </w:r>
    </w:p>
    <w:p>
      <w:pPr>
        <w:spacing w:line="360" w:lineRule="auto"/>
        <w:ind w:firstLine="2400"/>
        <w:rPr>
          <w:rFonts w:ascii="Times New Roman" w:hAnsi="Times New Roman" w:cs="Times New Roman"/>
          <w:sz w:val="21"/>
          <w:szCs w:val="21"/>
        </w:rPr>
      </w:pPr>
    </w:p>
    <w:p>
      <w:pPr>
        <w:spacing w:line="360" w:lineRule="auto"/>
        <w:rPr>
          <w:rFonts w:ascii="Times New Roman" w:hAnsi="Times New Roman" w:cs="Times New Roman"/>
          <w:sz w:val="22"/>
          <w:szCs w:val="21"/>
        </w:rPr>
        <w:sectPr>
          <w:pgSz w:w="11906" w:h="16838"/>
          <w:pgMar w:top="1440" w:right="1800" w:bottom="1440" w:left="1800" w:header="851" w:footer="992" w:gutter="0"/>
          <w:cols w:space="720" w:num="1"/>
          <w:docGrid w:type="lines" w:linePitch="312" w:charSpace="0"/>
        </w:sectPr>
      </w:pPr>
      <w:bookmarkStart w:id="126" w:name="_Hlk24116190"/>
    </w:p>
    <w:p>
      <w:pPr>
        <w:pStyle w:val="6"/>
        <w:bidi w:val="0"/>
        <w:jc w:val="center"/>
      </w:pPr>
      <w:r>
        <w:rPr>
          <w:rFonts w:hint="eastAsia"/>
          <w:lang w:val="en-US" w:eastAsia="zh-CN"/>
        </w:rPr>
        <w:t>十二</w:t>
      </w:r>
      <w:r>
        <w:rPr>
          <w:lang w:val="en-US" w:eastAsia="zh-CN"/>
        </w:rPr>
        <w:t>、</w:t>
      </w:r>
      <w:r>
        <w:t>商务条款偏离表</w:t>
      </w:r>
    </w:p>
    <w:bookmarkEnd w:id="126"/>
    <w:tbl>
      <w:tblPr>
        <w:tblStyle w:val="25"/>
        <w:tblW w:w="882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980"/>
        <w:gridCol w:w="1940"/>
        <w:gridCol w:w="241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80"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序号</w:t>
            </w:r>
          </w:p>
        </w:tc>
        <w:tc>
          <w:tcPr>
            <w:tcW w:w="1980"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比选文件条目号</w:t>
            </w:r>
          </w:p>
        </w:tc>
        <w:tc>
          <w:tcPr>
            <w:tcW w:w="1940"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比选文件商务条款</w:t>
            </w:r>
          </w:p>
        </w:tc>
        <w:tc>
          <w:tcPr>
            <w:tcW w:w="2410"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参选文件对应商务条款</w:t>
            </w:r>
          </w:p>
        </w:tc>
        <w:tc>
          <w:tcPr>
            <w:tcW w:w="141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exact"/>
              <w:ind w:firstLine="0" w:firstLineChars="0"/>
              <w:jc w:val="center"/>
              <w:textAlignment w:val="auto"/>
              <w:rPr>
                <w:rFonts w:ascii="Times New Roman" w:hAnsi="Times New Roman" w:cs="Times New Roman"/>
                <w:sz w:val="21"/>
                <w:szCs w:val="21"/>
              </w:rPr>
            </w:pPr>
            <w:r>
              <w:rPr>
                <w:rFonts w:ascii="Times New Roman" w:hAnsi="Times New Roman" w:cs="Times New Roman"/>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98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94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241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417"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98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94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241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417"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98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94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241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417"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98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94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241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417"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98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94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241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417"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98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94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241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417"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98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94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241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417"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98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94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241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417"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98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94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241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417"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98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94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241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417"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98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94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241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417"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98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94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241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417"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98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94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2410"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c>
          <w:tcPr>
            <w:tcW w:w="1417" w:type="dxa"/>
            <w:vAlign w:val="center"/>
          </w:tcPr>
          <w:p>
            <w:pPr>
              <w:keepNext w:val="0"/>
              <w:keepLines w:val="0"/>
              <w:pageBreakBefore w:val="0"/>
              <w:widowControl w:val="0"/>
              <w:kinsoku/>
              <w:wordWrap/>
              <w:overflowPunct/>
              <w:topLinePunct w:val="0"/>
              <w:autoSpaceDE w:val="0"/>
              <w:autoSpaceDN w:val="0"/>
              <w:bidi w:val="0"/>
              <w:spacing w:line="480" w:lineRule="auto"/>
              <w:ind w:firstLine="0" w:firstLineChars="0"/>
              <w:jc w:val="center"/>
              <w:textAlignment w:val="auto"/>
              <w:rPr>
                <w:rFonts w:ascii="Times New Roman" w:hAnsi="Times New Roman" w:cs="Times New Roman"/>
                <w:sz w:val="21"/>
                <w:szCs w:val="21"/>
              </w:rPr>
            </w:pPr>
          </w:p>
        </w:tc>
      </w:tr>
    </w:tbl>
    <w:p>
      <w:pPr>
        <w:widowControl/>
        <w:spacing w:line="360" w:lineRule="auto"/>
        <w:jc w:val="center"/>
        <w:rPr>
          <w:rFonts w:ascii="Times New Roman" w:hAnsi="Times New Roman" w:cs="Times New Roman"/>
          <w:b/>
          <w:snapToGrid w:val="0"/>
          <w:kern w:val="0"/>
          <w:szCs w:val="28"/>
        </w:rPr>
      </w:pPr>
    </w:p>
    <w:p>
      <w:pPr>
        <w:pStyle w:val="2"/>
        <w:rPr>
          <w:rFonts w:hint="default" w:eastAsia="宋体"/>
          <w:lang w:val="en-US" w:eastAsia="zh-CN"/>
        </w:rPr>
      </w:pPr>
      <w:r>
        <w:rPr>
          <w:rFonts w:hint="eastAsia"/>
          <w:lang w:val="en-US" w:eastAsia="zh-CN"/>
        </w:rPr>
        <w:t>注：根据比选文件第五章内容，逐一填写说明与响应。</w:t>
      </w:r>
    </w:p>
    <w:p>
      <w:pPr>
        <w:widowControl/>
        <w:spacing w:line="360" w:lineRule="auto"/>
        <w:ind w:left="0" w:leftChars="0" w:firstLine="0" w:firstLineChars="0"/>
        <w:jc w:val="both"/>
        <w:rPr>
          <w:rFonts w:ascii="Times New Roman" w:hAnsi="Times New Roman" w:cs="Times New Roman"/>
          <w:b/>
          <w:snapToGrid w:val="0"/>
          <w:kern w:val="0"/>
          <w:szCs w:val="28"/>
        </w:rPr>
      </w:pPr>
    </w:p>
    <w:p>
      <w:pPr>
        <w:widowControl/>
        <w:spacing w:line="360" w:lineRule="auto"/>
        <w:jc w:val="center"/>
        <w:rPr>
          <w:rFonts w:ascii="Times New Roman" w:hAnsi="Times New Roman" w:cs="Times New Roman"/>
          <w:b/>
          <w:snapToGrid w:val="0"/>
          <w:kern w:val="0"/>
          <w:szCs w:val="28"/>
        </w:rPr>
      </w:pPr>
    </w:p>
    <w:p>
      <w:pPr>
        <w:widowControl/>
        <w:spacing w:line="360" w:lineRule="auto"/>
        <w:jc w:val="center"/>
        <w:rPr>
          <w:rFonts w:ascii="Times New Roman" w:hAnsi="Times New Roman" w:cs="Times New Roman"/>
          <w:b/>
          <w:snapToGrid w:val="0"/>
          <w:kern w:val="0"/>
          <w:szCs w:val="28"/>
        </w:rPr>
      </w:pPr>
    </w:p>
    <w:p>
      <w:pPr>
        <w:widowControl/>
        <w:spacing w:line="360" w:lineRule="auto"/>
        <w:jc w:val="center"/>
        <w:rPr>
          <w:rFonts w:ascii="Times New Roman" w:hAnsi="Times New Roman" w:cs="Times New Roman"/>
          <w:b/>
          <w:snapToGrid w:val="0"/>
          <w:kern w:val="0"/>
          <w:szCs w:val="28"/>
        </w:rPr>
        <w:sectPr>
          <w:pgSz w:w="11906" w:h="16838"/>
          <w:pgMar w:top="1440" w:right="1800" w:bottom="1440" w:left="1800" w:header="851" w:footer="992" w:gutter="0"/>
          <w:cols w:space="720" w:num="1"/>
          <w:docGrid w:type="lines" w:linePitch="312" w:charSpace="0"/>
        </w:sectPr>
      </w:pPr>
    </w:p>
    <w:p>
      <w:pPr>
        <w:pStyle w:val="6"/>
        <w:bidi w:val="0"/>
        <w:jc w:val="center"/>
      </w:pPr>
      <w:r>
        <w:rPr>
          <w:rFonts w:hint="eastAsia"/>
          <w:lang w:val="en-US" w:eastAsia="zh-CN"/>
        </w:rPr>
        <w:t>十三</w:t>
      </w:r>
      <w:r>
        <w:rPr>
          <w:lang w:val="en-US" w:eastAsia="zh-CN"/>
        </w:rPr>
        <w:t>、</w:t>
      </w:r>
      <w:r>
        <w:t>服务水平协议（SLA）</w:t>
      </w:r>
    </w:p>
    <w:p>
      <w:pPr>
        <w:rPr>
          <w:rFonts w:ascii="Times New Roman" w:hAnsi="Times New Roman" w:cs="Times New Roman"/>
          <w:snapToGrid w:val="0"/>
          <w:kern w:val="0"/>
          <w:sz w:val="24"/>
          <w:szCs w:val="24"/>
        </w:rPr>
      </w:pPr>
    </w:p>
    <w:p>
      <w:pPr>
        <w:widowControl/>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br w:type="page"/>
      </w:r>
    </w:p>
    <w:p>
      <w:pPr>
        <w:pStyle w:val="6"/>
        <w:bidi w:val="0"/>
        <w:jc w:val="center"/>
      </w:pPr>
      <w:r>
        <w:rPr>
          <w:lang w:val="en-US" w:eastAsia="zh-CN"/>
        </w:rPr>
        <w:t>十</w:t>
      </w:r>
      <w:r>
        <w:rPr>
          <w:rFonts w:hint="eastAsia"/>
          <w:lang w:val="en-US" w:eastAsia="zh-CN"/>
        </w:rPr>
        <w:t>四</w:t>
      </w:r>
      <w:r>
        <w:rPr>
          <w:lang w:val="en-US" w:eastAsia="zh-CN"/>
        </w:rPr>
        <w:t>、</w:t>
      </w:r>
      <w:r>
        <w:rPr>
          <w:rFonts w:hint="eastAsia"/>
        </w:rPr>
        <w:t>服务连续性预案</w:t>
      </w:r>
    </w:p>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ascii="方正小标宋_GBK" w:eastAsia="方正小标宋_GBK"/>
          <w:sz w:val="24"/>
        </w:rPr>
      </w:pPr>
      <w:r>
        <w:rPr>
          <w:rFonts w:hint="eastAsia" w:ascii="方正小标宋_GBK" w:eastAsia="方正小标宋_GBK"/>
          <w:sz w:val="24"/>
        </w:rPr>
        <w:t>（应考虑供应链风险产生的影响）</w:t>
      </w:r>
    </w:p>
    <w:p/>
    <w:p>
      <w:pPr>
        <w:pStyle w:val="19"/>
      </w:pPr>
    </w:p>
    <w:p>
      <w:pPr>
        <w:sectPr>
          <w:pgSz w:w="11906" w:h="16838"/>
          <w:pgMar w:top="1440" w:right="1800" w:bottom="1440" w:left="1800" w:header="851" w:footer="992" w:gutter="0"/>
          <w:cols w:space="720" w:num="1"/>
          <w:docGrid w:type="lines" w:linePitch="312" w:charSpace="0"/>
        </w:sectPr>
      </w:pPr>
    </w:p>
    <w:p>
      <w:pPr>
        <w:pStyle w:val="6"/>
        <w:bidi w:val="0"/>
        <w:jc w:val="center"/>
        <w:rPr>
          <w:rFonts w:hint="eastAsia"/>
          <w:lang w:val="en-US" w:eastAsia="zh-CN"/>
        </w:rPr>
      </w:pPr>
      <w:r>
        <w:rPr>
          <w:rFonts w:hint="eastAsia"/>
          <w:lang w:val="en-US" w:eastAsia="zh-CN"/>
        </w:rPr>
        <w:t>十五、其他（如有）</w:t>
      </w:r>
    </w:p>
    <w:p>
      <w:pPr>
        <w:rPr>
          <w:rFonts w:hint="default"/>
          <w:lang w:val="en-US" w:eastAsia="zh-CN"/>
        </w:rPr>
      </w:pPr>
    </w:p>
    <w:p>
      <w:pPr>
        <w:pStyle w:val="19"/>
      </w:pPr>
    </w:p>
    <w:sectPr>
      <w:pgSz w:w="11906" w:h="16838"/>
      <w:pgMar w:top="1440" w:right="1800" w:bottom="1440" w:left="1800"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roman"/>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Sim Sun">
    <w:altName w:val="微软雅黑"/>
    <w:panose1 w:val="00000000000000000000"/>
    <w:charset w:val="86"/>
    <w:family w:val="swiss"/>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2">
    <w:nsid w:val="3218117D"/>
    <w:multiLevelType w:val="multilevel"/>
    <w:tmpl w:val="3218117D"/>
    <w:lvl w:ilvl="0" w:tentative="0">
      <w:start w:val="1"/>
      <w:numFmt w:val="decimal"/>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abstractNum w:abstractNumId="4">
    <w:nsid w:val="45FC24A8"/>
    <w:multiLevelType w:val="multilevel"/>
    <w:tmpl w:val="45FC24A8"/>
    <w:lvl w:ilvl="0" w:tentative="0">
      <w:start w:val="1"/>
      <w:numFmt w:val="japaneseCounting"/>
      <w:lvlText w:val="第%1条"/>
      <w:lvlJc w:val="left"/>
      <w:pPr>
        <w:ind w:left="1284" w:hanging="1284"/>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4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5ZmY1ODA0NTUyNTIzOGU4NGRmM2JhYjg3Y2Q0YjMifQ=="/>
  </w:docVars>
  <w:rsids>
    <w:rsidRoot w:val="00CF77C1"/>
    <w:rsid w:val="00017677"/>
    <w:rsid w:val="00020F2B"/>
    <w:rsid w:val="00057AF3"/>
    <w:rsid w:val="00067FE3"/>
    <w:rsid w:val="0007172D"/>
    <w:rsid w:val="000851AE"/>
    <w:rsid w:val="00085E7C"/>
    <w:rsid w:val="00090C8B"/>
    <w:rsid w:val="00096F84"/>
    <w:rsid w:val="000A2B0E"/>
    <w:rsid w:val="000A4462"/>
    <w:rsid w:val="000C0C90"/>
    <w:rsid w:val="000C2508"/>
    <w:rsid w:val="000D379D"/>
    <w:rsid w:val="000D49C4"/>
    <w:rsid w:val="000E3A11"/>
    <w:rsid w:val="000F3763"/>
    <w:rsid w:val="00101BD4"/>
    <w:rsid w:val="00103A24"/>
    <w:rsid w:val="001242FA"/>
    <w:rsid w:val="0013004A"/>
    <w:rsid w:val="00130281"/>
    <w:rsid w:val="0013584E"/>
    <w:rsid w:val="001424E2"/>
    <w:rsid w:val="001452F3"/>
    <w:rsid w:val="0014751F"/>
    <w:rsid w:val="00166B46"/>
    <w:rsid w:val="00167E28"/>
    <w:rsid w:val="0017028D"/>
    <w:rsid w:val="001709DB"/>
    <w:rsid w:val="00180AEA"/>
    <w:rsid w:val="001900B2"/>
    <w:rsid w:val="00190160"/>
    <w:rsid w:val="00193EC3"/>
    <w:rsid w:val="00195205"/>
    <w:rsid w:val="001A07AF"/>
    <w:rsid w:val="001C21A0"/>
    <w:rsid w:val="001C3E4E"/>
    <w:rsid w:val="001D662B"/>
    <w:rsid w:val="001E60CE"/>
    <w:rsid w:val="001F3F2C"/>
    <w:rsid w:val="00201223"/>
    <w:rsid w:val="0020552F"/>
    <w:rsid w:val="002069DE"/>
    <w:rsid w:val="00207728"/>
    <w:rsid w:val="002104F8"/>
    <w:rsid w:val="00215F2D"/>
    <w:rsid w:val="0023378C"/>
    <w:rsid w:val="00242880"/>
    <w:rsid w:val="002512C3"/>
    <w:rsid w:val="00262436"/>
    <w:rsid w:val="00270D62"/>
    <w:rsid w:val="002771D2"/>
    <w:rsid w:val="00287922"/>
    <w:rsid w:val="00290625"/>
    <w:rsid w:val="00295335"/>
    <w:rsid w:val="002B58AE"/>
    <w:rsid w:val="002B6BD7"/>
    <w:rsid w:val="002B6EF9"/>
    <w:rsid w:val="002C078E"/>
    <w:rsid w:val="002C6B4C"/>
    <w:rsid w:val="002D6022"/>
    <w:rsid w:val="002D7F1A"/>
    <w:rsid w:val="002E283B"/>
    <w:rsid w:val="002E3E29"/>
    <w:rsid w:val="002E7178"/>
    <w:rsid w:val="002E7A36"/>
    <w:rsid w:val="002F0880"/>
    <w:rsid w:val="00325CDD"/>
    <w:rsid w:val="0033107A"/>
    <w:rsid w:val="00335A5B"/>
    <w:rsid w:val="00335D16"/>
    <w:rsid w:val="00336876"/>
    <w:rsid w:val="003419A1"/>
    <w:rsid w:val="00344F35"/>
    <w:rsid w:val="00347821"/>
    <w:rsid w:val="003531DC"/>
    <w:rsid w:val="00361BD4"/>
    <w:rsid w:val="0036458F"/>
    <w:rsid w:val="00372BBC"/>
    <w:rsid w:val="0038585F"/>
    <w:rsid w:val="003A40F6"/>
    <w:rsid w:val="003B3732"/>
    <w:rsid w:val="003C7510"/>
    <w:rsid w:val="003D1A4C"/>
    <w:rsid w:val="003F3D19"/>
    <w:rsid w:val="003F5AA5"/>
    <w:rsid w:val="00413B24"/>
    <w:rsid w:val="00433A30"/>
    <w:rsid w:val="004342F5"/>
    <w:rsid w:val="004345F2"/>
    <w:rsid w:val="00437E95"/>
    <w:rsid w:val="004549A4"/>
    <w:rsid w:val="00470C45"/>
    <w:rsid w:val="0047498F"/>
    <w:rsid w:val="00474BD3"/>
    <w:rsid w:val="004924A7"/>
    <w:rsid w:val="004D4142"/>
    <w:rsid w:val="004D4660"/>
    <w:rsid w:val="004F08AB"/>
    <w:rsid w:val="00502A05"/>
    <w:rsid w:val="0051496D"/>
    <w:rsid w:val="00521AE8"/>
    <w:rsid w:val="00532CB2"/>
    <w:rsid w:val="00534B48"/>
    <w:rsid w:val="00540E12"/>
    <w:rsid w:val="005435AE"/>
    <w:rsid w:val="00560BF8"/>
    <w:rsid w:val="0056378F"/>
    <w:rsid w:val="005A35E9"/>
    <w:rsid w:val="005D1EE4"/>
    <w:rsid w:val="005D4C47"/>
    <w:rsid w:val="005E6FD0"/>
    <w:rsid w:val="005F316B"/>
    <w:rsid w:val="0060240F"/>
    <w:rsid w:val="006042B1"/>
    <w:rsid w:val="00611508"/>
    <w:rsid w:val="006159AC"/>
    <w:rsid w:val="00620FDD"/>
    <w:rsid w:val="00626639"/>
    <w:rsid w:val="00635BE8"/>
    <w:rsid w:val="006425C6"/>
    <w:rsid w:val="0064509F"/>
    <w:rsid w:val="006525D6"/>
    <w:rsid w:val="006551BA"/>
    <w:rsid w:val="00660381"/>
    <w:rsid w:val="00661293"/>
    <w:rsid w:val="00694CD0"/>
    <w:rsid w:val="006A696A"/>
    <w:rsid w:val="006A7ECA"/>
    <w:rsid w:val="006B3C6F"/>
    <w:rsid w:val="006B5130"/>
    <w:rsid w:val="006B57A0"/>
    <w:rsid w:val="006C1EE1"/>
    <w:rsid w:val="006D2E34"/>
    <w:rsid w:val="006D3A80"/>
    <w:rsid w:val="006E20A0"/>
    <w:rsid w:val="006F62D2"/>
    <w:rsid w:val="00707F39"/>
    <w:rsid w:val="007123C8"/>
    <w:rsid w:val="00725968"/>
    <w:rsid w:val="0073162D"/>
    <w:rsid w:val="00744389"/>
    <w:rsid w:val="00744E5D"/>
    <w:rsid w:val="00751ACF"/>
    <w:rsid w:val="00765577"/>
    <w:rsid w:val="00784EFD"/>
    <w:rsid w:val="007A4332"/>
    <w:rsid w:val="007B0224"/>
    <w:rsid w:val="007D6B4A"/>
    <w:rsid w:val="007E35D2"/>
    <w:rsid w:val="007F27AB"/>
    <w:rsid w:val="00801E38"/>
    <w:rsid w:val="008055EB"/>
    <w:rsid w:val="0082423B"/>
    <w:rsid w:val="00842300"/>
    <w:rsid w:val="00842670"/>
    <w:rsid w:val="00854B09"/>
    <w:rsid w:val="00866650"/>
    <w:rsid w:val="00873C04"/>
    <w:rsid w:val="008774AB"/>
    <w:rsid w:val="00886321"/>
    <w:rsid w:val="0089440F"/>
    <w:rsid w:val="008A0701"/>
    <w:rsid w:val="008A0E20"/>
    <w:rsid w:val="008B14AD"/>
    <w:rsid w:val="008B1DAB"/>
    <w:rsid w:val="008B72D4"/>
    <w:rsid w:val="008C1751"/>
    <w:rsid w:val="008C3351"/>
    <w:rsid w:val="008C612F"/>
    <w:rsid w:val="008E4E4F"/>
    <w:rsid w:val="008F2375"/>
    <w:rsid w:val="008F69AA"/>
    <w:rsid w:val="00902826"/>
    <w:rsid w:val="00903384"/>
    <w:rsid w:val="00922EDC"/>
    <w:rsid w:val="0093360E"/>
    <w:rsid w:val="0094133E"/>
    <w:rsid w:val="009502B8"/>
    <w:rsid w:val="009548B5"/>
    <w:rsid w:val="009631D0"/>
    <w:rsid w:val="00963684"/>
    <w:rsid w:val="00973D76"/>
    <w:rsid w:val="00985093"/>
    <w:rsid w:val="009863D2"/>
    <w:rsid w:val="009A3DCE"/>
    <w:rsid w:val="009B2BCF"/>
    <w:rsid w:val="009C5DBD"/>
    <w:rsid w:val="009C77B6"/>
    <w:rsid w:val="009D714D"/>
    <w:rsid w:val="009F7038"/>
    <w:rsid w:val="00A1661D"/>
    <w:rsid w:val="00A1691B"/>
    <w:rsid w:val="00A3156B"/>
    <w:rsid w:val="00A45E0A"/>
    <w:rsid w:val="00A66A05"/>
    <w:rsid w:val="00A711E7"/>
    <w:rsid w:val="00A775AD"/>
    <w:rsid w:val="00A82F2A"/>
    <w:rsid w:val="00A9108D"/>
    <w:rsid w:val="00AA3C61"/>
    <w:rsid w:val="00AA40A3"/>
    <w:rsid w:val="00AA6F96"/>
    <w:rsid w:val="00AA7494"/>
    <w:rsid w:val="00AB2078"/>
    <w:rsid w:val="00AB41FE"/>
    <w:rsid w:val="00AB4692"/>
    <w:rsid w:val="00AC24FB"/>
    <w:rsid w:val="00AC6572"/>
    <w:rsid w:val="00AD1BC6"/>
    <w:rsid w:val="00AD4404"/>
    <w:rsid w:val="00AF0FF2"/>
    <w:rsid w:val="00B13101"/>
    <w:rsid w:val="00B20D47"/>
    <w:rsid w:val="00B34CFA"/>
    <w:rsid w:val="00B57DA4"/>
    <w:rsid w:val="00B60734"/>
    <w:rsid w:val="00B67DA4"/>
    <w:rsid w:val="00B73F27"/>
    <w:rsid w:val="00B73F50"/>
    <w:rsid w:val="00B74BE6"/>
    <w:rsid w:val="00B757BC"/>
    <w:rsid w:val="00B7787E"/>
    <w:rsid w:val="00B8193A"/>
    <w:rsid w:val="00B86AA0"/>
    <w:rsid w:val="00BA40ED"/>
    <w:rsid w:val="00BC6F31"/>
    <w:rsid w:val="00BC72AA"/>
    <w:rsid w:val="00BD057F"/>
    <w:rsid w:val="00BD355C"/>
    <w:rsid w:val="00BE5731"/>
    <w:rsid w:val="00BE649E"/>
    <w:rsid w:val="00C00A53"/>
    <w:rsid w:val="00C1536B"/>
    <w:rsid w:val="00C1589A"/>
    <w:rsid w:val="00C2135D"/>
    <w:rsid w:val="00C24B1B"/>
    <w:rsid w:val="00C278AA"/>
    <w:rsid w:val="00C32CDB"/>
    <w:rsid w:val="00C433CC"/>
    <w:rsid w:val="00C54303"/>
    <w:rsid w:val="00C55174"/>
    <w:rsid w:val="00C75842"/>
    <w:rsid w:val="00C75847"/>
    <w:rsid w:val="00C76DAA"/>
    <w:rsid w:val="00C82657"/>
    <w:rsid w:val="00C83926"/>
    <w:rsid w:val="00C96BB4"/>
    <w:rsid w:val="00CB5FC6"/>
    <w:rsid w:val="00CC4B5E"/>
    <w:rsid w:val="00CD3333"/>
    <w:rsid w:val="00CD6FC0"/>
    <w:rsid w:val="00CE3748"/>
    <w:rsid w:val="00CF1942"/>
    <w:rsid w:val="00CF77C1"/>
    <w:rsid w:val="00D07185"/>
    <w:rsid w:val="00D1164C"/>
    <w:rsid w:val="00D26E33"/>
    <w:rsid w:val="00D2710A"/>
    <w:rsid w:val="00D33AF8"/>
    <w:rsid w:val="00D3689B"/>
    <w:rsid w:val="00D4080E"/>
    <w:rsid w:val="00D502AB"/>
    <w:rsid w:val="00D63019"/>
    <w:rsid w:val="00D6669C"/>
    <w:rsid w:val="00D667A4"/>
    <w:rsid w:val="00D71574"/>
    <w:rsid w:val="00D7625B"/>
    <w:rsid w:val="00D767C8"/>
    <w:rsid w:val="00D859D1"/>
    <w:rsid w:val="00D9639E"/>
    <w:rsid w:val="00DA24C0"/>
    <w:rsid w:val="00DB5628"/>
    <w:rsid w:val="00DC0E52"/>
    <w:rsid w:val="00DD18F3"/>
    <w:rsid w:val="00DD628A"/>
    <w:rsid w:val="00DD664D"/>
    <w:rsid w:val="00E00A24"/>
    <w:rsid w:val="00E03BFC"/>
    <w:rsid w:val="00E12A69"/>
    <w:rsid w:val="00E20F6A"/>
    <w:rsid w:val="00E2120E"/>
    <w:rsid w:val="00E32C70"/>
    <w:rsid w:val="00E471CC"/>
    <w:rsid w:val="00E5030B"/>
    <w:rsid w:val="00E554BE"/>
    <w:rsid w:val="00E57ECB"/>
    <w:rsid w:val="00E67759"/>
    <w:rsid w:val="00E7277F"/>
    <w:rsid w:val="00E75EFA"/>
    <w:rsid w:val="00E775DB"/>
    <w:rsid w:val="00E80C81"/>
    <w:rsid w:val="00E8770A"/>
    <w:rsid w:val="00EA72EC"/>
    <w:rsid w:val="00EC3E06"/>
    <w:rsid w:val="00EC7288"/>
    <w:rsid w:val="00ED0124"/>
    <w:rsid w:val="00ED787A"/>
    <w:rsid w:val="00F00F21"/>
    <w:rsid w:val="00F02F73"/>
    <w:rsid w:val="00F06E0A"/>
    <w:rsid w:val="00F110E6"/>
    <w:rsid w:val="00F12EFA"/>
    <w:rsid w:val="00F21B5F"/>
    <w:rsid w:val="00F351D7"/>
    <w:rsid w:val="00F37F25"/>
    <w:rsid w:val="00F424A4"/>
    <w:rsid w:val="00F561E9"/>
    <w:rsid w:val="00F601EB"/>
    <w:rsid w:val="00F65321"/>
    <w:rsid w:val="00F65A9F"/>
    <w:rsid w:val="00F73637"/>
    <w:rsid w:val="00F832B2"/>
    <w:rsid w:val="00F97A4B"/>
    <w:rsid w:val="00F97B84"/>
    <w:rsid w:val="00FB131A"/>
    <w:rsid w:val="00FB3025"/>
    <w:rsid w:val="00FB5E01"/>
    <w:rsid w:val="00FE6247"/>
    <w:rsid w:val="00FF5B60"/>
    <w:rsid w:val="10480B37"/>
    <w:rsid w:val="46A028CC"/>
    <w:rsid w:val="4B235635"/>
    <w:rsid w:val="4B4E603D"/>
    <w:rsid w:val="513E2D22"/>
    <w:rsid w:val="599353F5"/>
    <w:rsid w:val="7CC823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spacing w:line="600" w:lineRule="exact"/>
      <w:ind w:firstLine="1044" w:firstLineChars="200"/>
      <w:jc w:val="both"/>
    </w:pPr>
    <w:rPr>
      <w:rFonts w:ascii="Cambria Math" w:hAnsi="Cambria Math" w:eastAsia="宋体" w:cs="Cambria Math"/>
      <w:kern w:val="2"/>
      <w:sz w:val="24"/>
      <w:szCs w:val="20"/>
      <w:lang w:val="en-US" w:eastAsia="zh-CN" w:bidi="ar-SA"/>
    </w:rPr>
  </w:style>
  <w:style w:type="paragraph" w:styleId="3">
    <w:name w:val="heading 1"/>
    <w:basedOn w:val="1"/>
    <w:next w:val="1"/>
    <w:link w:val="45"/>
    <w:autoRedefine/>
    <w:qFormat/>
    <w:uiPriority w:val="0"/>
    <w:pPr>
      <w:tabs>
        <w:tab w:val="left" w:pos="3360"/>
      </w:tabs>
      <w:snapToGrid w:val="0"/>
      <w:spacing w:before="0" w:line="600" w:lineRule="exact"/>
      <w:ind w:right="0" w:rightChars="0" w:firstLine="0" w:firstLineChars="0"/>
      <w:jc w:val="center"/>
      <w:outlineLvl w:val="0"/>
    </w:pPr>
    <w:rPr>
      <w:rFonts w:ascii="宋体" w:hAnsi="宋体" w:eastAsia="宋体" w:cs="等线 Light"/>
      <w:b/>
      <w:snapToGrid w:val="0"/>
      <w:kern w:val="0"/>
      <w:sz w:val="44"/>
      <w:szCs w:val="44"/>
    </w:rPr>
  </w:style>
  <w:style w:type="paragraph" w:styleId="4">
    <w:name w:val="heading 2"/>
    <w:basedOn w:val="1"/>
    <w:next w:val="1"/>
    <w:link w:val="49"/>
    <w:autoRedefine/>
    <w:unhideWhenUsed/>
    <w:qFormat/>
    <w:uiPriority w:val="9"/>
    <w:pPr>
      <w:spacing w:line="600" w:lineRule="exact"/>
      <w:ind w:firstLine="0" w:firstLineChars="0"/>
      <w:outlineLvl w:val="1"/>
    </w:pPr>
    <w:rPr>
      <w:rFonts w:ascii="宋体" w:hAnsi="宋体" w:cstheme="majorBidi"/>
      <w:b/>
      <w:bCs/>
      <w:snapToGrid w:val="0"/>
      <w:szCs w:val="24"/>
    </w:rPr>
  </w:style>
  <w:style w:type="paragraph" w:styleId="5">
    <w:name w:val="heading 3"/>
    <w:basedOn w:val="1"/>
    <w:next w:val="1"/>
    <w:link w:val="53"/>
    <w:autoRedefine/>
    <w:unhideWhenUsed/>
    <w:qFormat/>
    <w:uiPriority w:val="9"/>
    <w:pPr>
      <w:keepNext w:val="0"/>
      <w:keepLines w:val="0"/>
      <w:spacing w:before="0" w:after="0" w:line="600" w:lineRule="exact"/>
      <w:outlineLvl w:val="2"/>
    </w:pPr>
    <w:rPr>
      <w:bCs/>
      <w:sz w:val="24"/>
      <w:szCs w:val="32"/>
    </w:rPr>
  </w:style>
  <w:style w:type="paragraph" w:styleId="6">
    <w:name w:val="heading 4"/>
    <w:basedOn w:val="1"/>
    <w:next w:val="1"/>
    <w:link w:val="56"/>
    <w:autoRedefine/>
    <w:qFormat/>
    <w:uiPriority w:val="0"/>
    <w:pPr>
      <w:keepNext w:val="0"/>
      <w:keepLines w:val="0"/>
      <w:spacing w:line="600" w:lineRule="exact"/>
      <w:ind w:firstLine="0" w:firstLineChars="0"/>
      <w:outlineLvl w:val="1"/>
    </w:pPr>
    <w:rPr>
      <w:rFonts w:ascii="Calibri Light" w:hAnsi="Calibri Light" w:eastAsia="宋体" w:cs="Times New Roman"/>
      <w:b/>
      <w:bCs/>
      <w:sz w:val="28"/>
      <w:szCs w:val="28"/>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39"/>
    <w:autoRedefine/>
    <w:semiHidden/>
    <w:unhideWhenUsed/>
    <w:qFormat/>
    <w:uiPriority w:val="99"/>
    <w:pPr>
      <w:spacing w:before="100" w:beforeAutospacing="1" w:after="120"/>
    </w:pPr>
  </w:style>
  <w:style w:type="paragraph" w:styleId="7">
    <w:name w:val="Normal Indent"/>
    <w:next w:val="8"/>
    <w:autoRedefine/>
    <w:qFormat/>
    <w:uiPriority w:val="0"/>
    <w:pPr>
      <w:widowControl w:val="0"/>
      <w:ind w:firstLine="420"/>
      <w:jc w:val="both"/>
    </w:pPr>
    <w:rPr>
      <w:rFonts w:ascii="Cambria Math" w:hAnsi="Cambria Math" w:eastAsia="等线 Light" w:cs="Cambria Math"/>
      <w:kern w:val="2"/>
      <w:sz w:val="21"/>
      <w:szCs w:val="20"/>
      <w:lang w:val="en-US" w:eastAsia="zh-CN" w:bidi="ar-SA"/>
    </w:rPr>
  </w:style>
  <w:style w:type="paragraph" w:styleId="8">
    <w:name w:val="Normal (Web)"/>
    <w:basedOn w:val="1"/>
    <w:autoRedefine/>
    <w:semiHidden/>
    <w:unhideWhenUsed/>
    <w:qFormat/>
    <w:uiPriority w:val="99"/>
    <w:rPr>
      <w:rFonts w:ascii="Times New Roman" w:hAnsi="Times New Roman" w:cs="Times New Roman"/>
      <w:sz w:val="24"/>
      <w:szCs w:val="24"/>
    </w:rPr>
  </w:style>
  <w:style w:type="paragraph" w:styleId="9">
    <w:name w:val="Document Map"/>
    <w:basedOn w:val="1"/>
    <w:link w:val="54"/>
    <w:autoRedefine/>
    <w:semiHidden/>
    <w:unhideWhenUsed/>
    <w:qFormat/>
    <w:uiPriority w:val="99"/>
    <w:rPr>
      <w:rFonts w:ascii="宋体"/>
      <w:sz w:val="18"/>
      <w:szCs w:val="18"/>
    </w:rPr>
  </w:style>
  <w:style w:type="paragraph" w:styleId="10">
    <w:name w:val="annotation text"/>
    <w:basedOn w:val="1"/>
    <w:link w:val="47"/>
    <w:autoRedefine/>
    <w:unhideWhenUsed/>
    <w:qFormat/>
    <w:uiPriority w:val="99"/>
    <w:pPr>
      <w:jc w:val="left"/>
    </w:pPr>
  </w:style>
  <w:style w:type="paragraph" w:styleId="11">
    <w:name w:val="Body Text Indent"/>
    <w:basedOn w:val="1"/>
    <w:autoRedefine/>
    <w:unhideWhenUsed/>
    <w:qFormat/>
    <w:uiPriority w:val="99"/>
    <w:pPr>
      <w:spacing w:after="120"/>
      <w:ind w:left="420" w:leftChars="200"/>
    </w:pPr>
  </w:style>
  <w:style w:type="paragraph" w:styleId="12">
    <w:name w:val="toc 3"/>
    <w:basedOn w:val="1"/>
    <w:next w:val="1"/>
    <w:autoRedefine/>
    <w:qFormat/>
    <w:uiPriority w:val="0"/>
    <w:pPr>
      <w:ind w:left="840"/>
    </w:pPr>
  </w:style>
  <w:style w:type="paragraph" w:styleId="13">
    <w:name w:val="Plain Text"/>
    <w:basedOn w:val="1"/>
    <w:autoRedefine/>
    <w:qFormat/>
    <w:uiPriority w:val="0"/>
    <w:rPr>
      <w:rFonts w:ascii="宋体" w:hAnsi="Times New Roman" w:cs="Times New Roman"/>
      <w:sz w:val="21"/>
      <w:szCs w:val="21"/>
    </w:rPr>
  </w:style>
  <w:style w:type="paragraph" w:styleId="14">
    <w:name w:val="Date"/>
    <w:basedOn w:val="1"/>
    <w:next w:val="1"/>
    <w:link w:val="52"/>
    <w:autoRedefine/>
    <w:qFormat/>
    <w:uiPriority w:val="0"/>
    <w:rPr>
      <w:rFonts w:ascii="Times New Roman" w:hAnsi="Times New Roman" w:cs="Times New Roman"/>
    </w:rPr>
  </w:style>
  <w:style w:type="paragraph" w:styleId="15">
    <w:name w:val="Body Text Indent 2"/>
    <w:basedOn w:val="1"/>
    <w:link w:val="41"/>
    <w:autoRedefine/>
    <w:qFormat/>
    <w:uiPriority w:val="0"/>
    <w:pPr>
      <w:spacing w:after="120" w:afterLines="0" w:afterAutospacing="0" w:line="480" w:lineRule="auto"/>
      <w:ind w:left="420" w:leftChars="200"/>
    </w:pPr>
  </w:style>
  <w:style w:type="paragraph" w:styleId="16">
    <w:name w:val="Balloon Text"/>
    <w:basedOn w:val="1"/>
    <w:next w:val="12"/>
    <w:link w:val="46"/>
    <w:autoRedefine/>
    <w:qFormat/>
    <w:uiPriority w:val="0"/>
    <w:rPr>
      <w:sz w:val="18"/>
      <w:szCs w:val="18"/>
    </w:rPr>
  </w:style>
  <w:style w:type="paragraph" w:styleId="17">
    <w:name w:val="footer"/>
    <w:basedOn w:val="1"/>
    <w:link w:val="51"/>
    <w:autoRedefine/>
    <w:unhideWhenUsed/>
    <w:qFormat/>
    <w:uiPriority w:val="99"/>
    <w:pPr>
      <w:tabs>
        <w:tab w:val="center" w:pos="4153"/>
        <w:tab w:val="right" w:pos="8306"/>
      </w:tabs>
      <w:snapToGrid w:val="0"/>
      <w:jc w:val="left"/>
    </w:pPr>
    <w:rPr>
      <w:sz w:val="18"/>
      <w:szCs w:val="18"/>
    </w:rPr>
  </w:style>
  <w:style w:type="paragraph" w:styleId="18">
    <w:name w:val="header"/>
    <w:basedOn w:val="1"/>
    <w:link w:val="5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39"/>
    <w:pPr>
      <w:tabs>
        <w:tab w:val="left" w:pos="1260"/>
        <w:tab w:val="left" w:pos="1685"/>
        <w:tab w:val="right" w:leader="dot" w:pos="8400"/>
      </w:tabs>
      <w:spacing w:line="480" w:lineRule="auto"/>
      <w:ind w:firstLine="100" w:firstLineChars="100"/>
    </w:pPr>
    <w:rPr>
      <w:szCs w:val="44"/>
    </w:rPr>
  </w:style>
  <w:style w:type="paragraph" w:styleId="20">
    <w:name w:val="toc 2"/>
    <w:basedOn w:val="1"/>
    <w:next w:val="1"/>
    <w:autoRedefine/>
    <w:unhideWhenUsed/>
    <w:qFormat/>
    <w:uiPriority w:val="39"/>
    <w:pPr>
      <w:ind w:left="420" w:leftChars="200"/>
    </w:pPr>
  </w:style>
  <w:style w:type="paragraph" w:styleId="21">
    <w:name w:val="Title"/>
    <w:basedOn w:val="1"/>
    <w:link w:val="42"/>
    <w:autoRedefine/>
    <w:qFormat/>
    <w:uiPriority w:val="0"/>
    <w:pPr>
      <w:spacing w:before="240" w:beforeLines="0" w:beforeAutospacing="0" w:after="60" w:afterLines="0" w:afterAutospacing="0"/>
      <w:jc w:val="center"/>
      <w:outlineLvl w:val="0"/>
    </w:pPr>
    <w:rPr>
      <w:rFonts w:ascii="Arial" w:hAnsi="Arial"/>
      <w:b/>
      <w:sz w:val="32"/>
    </w:rPr>
  </w:style>
  <w:style w:type="paragraph" w:styleId="22">
    <w:name w:val="annotation subject"/>
    <w:basedOn w:val="10"/>
    <w:next w:val="10"/>
    <w:link w:val="48"/>
    <w:autoRedefine/>
    <w:semiHidden/>
    <w:unhideWhenUsed/>
    <w:qFormat/>
    <w:uiPriority w:val="99"/>
    <w:rPr>
      <w:b/>
      <w:bCs/>
    </w:rPr>
  </w:style>
  <w:style w:type="paragraph" w:styleId="23">
    <w:name w:val="Body Text First Indent"/>
    <w:basedOn w:val="2"/>
    <w:next w:val="16"/>
    <w:link w:val="40"/>
    <w:autoRedefine/>
    <w:semiHidden/>
    <w:unhideWhenUsed/>
    <w:qFormat/>
    <w:uiPriority w:val="99"/>
    <w:pPr>
      <w:spacing w:before="0" w:beforeAutospacing="0"/>
      <w:ind w:firstLine="420" w:firstLineChars="100"/>
    </w:pPr>
  </w:style>
  <w:style w:type="paragraph" w:styleId="24">
    <w:name w:val="Body Text First Indent 2"/>
    <w:basedOn w:val="11"/>
    <w:autoRedefine/>
    <w:unhideWhenUsed/>
    <w:qFormat/>
    <w:uiPriority w:val="0"/>
    <w:pPr>
      <w:widowControl/>
      <w:suppressAutoHyphens w:val="0"/>
      <w:spacing w:line="247" w:lineRule="auto"/>
      <w:ind w:right="1695" w:firstLine="420" w:firstLineChars="200"/>
      <w:textAlignment w:val="auto"/>
    </w:pPr>
    <w:rPr>
      <w:rFonts w:ascii="微软雅黑" w:hAnsi="微软雅黑" w:eastAsia="微软雅黑" w:cs="微软雅黑"/>
      <w:color w:val="000000"/>
      <w:kern w:val="0"/>
      <w:sz w:val="22"/>
      <w:szCs w:val="22"/>
      <w:lang w:eastAsia="en-US"/>
    </w:rPr>
  </w:style>
  <w:style w:type="table" w:styleId="26">
    <w:name w:val="Table Grid"/>
    <w:basedOn w:val="25"/>
    <w:autoRedefine/>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Hyperlink"/>
    <w:basedOn w:val="27"/>
    <w:autoRedefine/>
    <w:unhideWhenUsed/>
    <w:qFormat/>
    <w:uiPriority w:val="99"/>
    <w:rPr>
      <w:color w:val="0000FF" w:themeColor="hyperlink"/>
      <w:u w:val="single"/>
      <w14:textFill>
        <w14:solidFill>
          <w14:schemeClr w14:val="hlink"/>
        </w14:solidFill>
      </w14:textFill>
    </w:rPr>
  </w:style>
  <w:style w:type="character" w:styleId="29">
    <w:name w:val="annotation reference"/>
    <w:basedOn w:val="27"/>
    <w:autoRedefine/>
    <w:unhideWhenUsed/>
    <w:qFormat/>
    <w:uiPriority w:val="99"/>
    <w:rPr>
      <w:sz w:val="21"/>
      <w:szCs w:val="21"/>
    </w:rPr>
  </w:style>
  <w:style w:type="paragraph" w:customStyle="1" w:styleId="30">
    <w:name w:val="样式 正文缩进 + 小四 左侧:  2 字符"/>
    <w:next w:val="16"/>
    <w:autoRedefine/>
    <w:qFormat/>
    <w:uiPriority w:val="0"/>
    <w:pPr>
      <w:widowControl w:val="0"/>
      <w:adjustRightInd w:val="0"/>
      <w:spacing w:before="60" w:after="60"/>
      <w:ind w:left="420" w:firstLine="225" w:firstLineChars="225"/>
      <w:jc w:val="both"/>
    </w:pPr>
    <w:rPr>
      <w:rFonts w:ascii="Cambria Math" w:hAnsi="Cambria Math" w:eastAsia="等线 Light" w:cs="Cambria Math"/>
      <w:kern w:val="2"/>
      <w:sz w:val="20"/>
      <w:szCs w:val="20"/>
      <w:lang w:val="en-US" w:eastAsia="zh-CN" w:bidi="ar-SA"/>
    </w:rPr>
  </w:style>
  <w:style w:type="paragraph" w:customStyle="1" w:styleId="31">
    <w:name w:val="列表段落1"/>
    <w:next w:val="16"/>
    <w:autoRedefine/>
    <w:qFormat/>
    <w:uiPriority w:val="0"/>
    <w:pPr>
      <w:widowControl w:val="0"/>
      <w:ind w:firstLine="200" w:firstLineChars="200"/>
      <w:jc w:val="both"/>
    </w:pPr>
    <w:rPr>
      <w:rFonts w:ascii="Cambria Math" w:hAnsi="Cambria Math" w:eastAsia="等线 Light" w:cs="Cambria Math"/>
      <w:kern w:val="2"/>
      <w:sz w:val="28"/>
      <w:szCs w:val="20"/>
      <w:lang w:val="en-US" w:eastAsia="zh-CN" w:bidi="ar-SA"/>
    </w:rPr>
  </w:style>
  <w:style w:type="paragraph" w:styleId="32">
    <w:name w:val="List Paragraph"/>
    <w:basedOn w:val="1"/>
    <w:autoRedefine/>
    <w:qFormat/>
    <w:uiPriority w:val="34"/>
    <w:pPr>
      <w:ind w:firstLine="420" w:firstLineChars="200"/>
    </w:pPr>
  </w:style>
  <w:style w:type="paragraph" w:customStyle="1" w:styleId="33">
    <w:name w:val="TOC Heading"/>
    <w:basedOn w:val="3"/>
    <w:next w:val="1"/>
    <w:autoRedefine/>
    <w:unhideWhenUsed/>
    <w:qFormat/>
    <w:uiPriority w:val="39"/>
    <w:pPr>
      <w:keepNext/>
      <w:keepLines/>
      <w:widowControl/>
      <w:tabs>
        <w:tab w:val="clear" w:pos="3360"/>
      </w:tabs>
      <w:snapToGrid/>
      <w:spacing w:before="240" w:line="259" w:lineRule="auto"/>
      <w:ind w:right="0" w:rightChars="0"/>
      <w:jc w:val="left"/>
      <w:outlineLvl w:val="9"/>
    </w:pPr>
    <w:rPr>
      <w:rFonts w:asciiTheme="majorHAnsi" w:hAnsiTheme="majorHAnsi" w:eastAsiaTheme="majorEastAsia" w:cstheme="majorBidi"/>
      <w:b w:val="0"/>
      <w:snapToGrid/>
      <w:color w:val="376092" w:themeColor="accent1" w:themeShade="BF"/>
      <w:sz w:val="32"/>
      <w:szCs w:val="32"/>
    </w:rPr>
  </w:style>
  <w:style w:type="paragraph" w:customStyle="1" w:styleId="34">
    <w:name w:val="Default"/>
    <w:autoRedefine/>
    <w:qFormat/>
    <w:uiPriority w:val="0"/>
    <w:pPr>
      <w:widowControl w:val="0"/>
      <w:autoSpaceDE w:val="0"/>
      <w:autoSpaceDN w:val="0"/>
      <w:adjustRightInd w:val="0"/>
    </w:pPr>
    <w:rPr>
      <w:rFonts w:ascii="Sim Sun" w:hAnsi="Sim Sun" w:eastAsia="Sim Sun" w:cs="Sim Sun"/>
      <w:color w:val="000000"/>
      <w:sz w:val="24"/>
      <w:szCs w:val="24"/>
      <w:lang w:val="en-US" w:eastAsia="zh-CN" w:bidi="ar-SA"/>
    </w:rPr>
  </w:style>
  <w:style w:type="paragraph" w:customStyle="1" w:styleId="35">
    <w:name w:val="修订1"/>
    <w:autoRedefine/>
    <w:qFormat/>
    <w:uiPriority w:val="0"/>
    <w:rPr>
      <w:rFonts w:ascii="Cambria Math" w:hAnsi="Cambria Math" w:eastAsia="宋体" w:cs="Cambria Math"/>
      <w:kern w:val="2"/>
      <w:sz w:val="28"/>
      <w:lang w:val="en-US" w:eastAsia="zh-CN" w:bidi="ar-SA"/>
    </w:rPr>
  </w:style>
  <w:style w:type="character" w:customStyle="1" w:styleId="36">
    <w:name w:val="批注框文本 字符"/>
    <w:link w:val="16"/>
    <w:autoRedefine/>
    <w:qFormat/>
    <w:uiPriority w:val="0"/>
    <w:rPr>
      <w:sz w:val="18"/>
      <w:szCs w:val="18"/>
    </w:rPr>
  </w:style>
  <w:style w:type="character" w:customStyle="1" w:styleId="37">
    <w:name w:val="批注文字 字符"/>
    <w:link w:val="10"/>
    <w:autoRedefine/>
    <w:qFormat/>
    <w:uiPriority w:val="99"/>
  </w:style>
  <w:style w:type="character" w:customStyle="1" w:styleId="38">
    <w:name w:val="文档结构图 字符"/>
    <w:link w:val="9"/>
    <w:autoRedefine/>
    <w:semiHidden/>
    <w:qFormat/>
    <w:uiPriority w:val="99"/>
    <w:rPr>
      <w:rFonts w:ascii="宋体"/>
      <w:sz w:val="18"/>
      <w:szCs w:val="18"/>
    </w:rPr>
  </w:style>
  <w:style w:type="character" w:customStyle="1" w:styleId="39">
    <w:name w:val="正文文本 字符"/>
    <w:link w:val="2"/>
    <w:autoRedefine/>
    <w:semiHidden/>
    <w:qFormat/>
    <w:uiPriority w:val="99"/>
  </w:style>
  <w:style w:type="character" w:customStyle="1" w:styleId="40">
    <w:name w:val="正文文本首行缩进 字符"/>
    <w:link w:val="23"/>
    <w:autoRedefine/>
    <w:semiHidden/>
    <w:qFormat/>
    <w:uiPriority w:val="99"/>
  </w:style>
  <w:style w:type="character" w:customStyle="1" w:styleId="41">
    <w:name w:val="正文文本缩进 2 字符"/>
    <w:link w:val="15"/>
    <w:autoRedefine/>
    <w:semiHidden/>
    <w:qFormat/>
    <w:uiPriority w:val="99"/>
  </w:style>
  <w:style w:type="character" w:customStyle="1" w:styleId="42">
    <w:name w:val="标题 字符"/>
    <w:link w:val="21"/>
    <w:autoRedefine/>
    <w:qFormat/>
    <w:uiPriority w:val="0"/>
    <w:rPr>
      <w:rFonts w:ascii="Arial" w:hAnsi="Arial"/>
      <w:b/>
      <w:sz w:val="32"/>
    </w:rPr>
  </w:style>
  <w:style w:type="paragraph" w:customStyle="1" w:styleId="43">
    <w:name w:val="a14"/>
    <w:basedOn w:val="1"/>
    <w:autoRedefine/>
    <w:qFormat/>
    <w:uiPriority w:val="0"/>
    <w:pPr>
      <w:widowControl/>
      <w:spacing w:before="100" w:beforeLines="50" w:beforeAutospacing="1" w:after="100" w:afterAutospacing="1" w:line="300" w:lineRule="atLeast"/>
      <w:ind w:firstLine="200" w:firstLineChars="200"/>
      <w:jc w:val="left"/>
    </w:pPr>
    <w:rPr>
      <w:rFonts w:ascii="宋体" w:hAnsi="Times New Roman" w:cs="Times New Roman"/>
      <w:kern w:val="0"/>
      <w:sz w:val="24"/>
      <w:szCs w:val="21"/>
    </w:rPr>
  </w:style>
  <w:style w:type="character" w:customStyle="1" w:styleId="44">
    <w:name w:val="font_text_1"/>
    <w:autoRedefine/>
    <w:qFormat/>
    <w:uiPriority w:val="0"/>
  </w:style>
  <w:style w:type="character" w:customStyle="1" w:styleId="45">
    <w:name w:val="标题 1 Char"/>
    <w:basedOn w:val="27"/>
    <w:link w:val="3"/>
    <w:autoRedefine/>
    <w:qFormat/>
    <w:uiPriority w:val="0"/>
    <w:rPr>
      <w:rFonts w:ascii="宋体" w:hAnsi="宋体" w:eastAsia="宋体" w:cs="等线 Light"/>
      <w:b/>
      <w:snapToGrid w:val="0"/>
      <w:kern w:val="0"/>
      <w:sz w:val="44"/>
      <w:szCs w:val="44"/>
    </w:rPr>
  </w:style>
  <w:style w:type="character" w:customStyle="1" w:styleId="46">
    <w:name w:val="批注框文本 Char"/>
    <w:basedOn w:val="27"/>
    <w:link w:val="16"/>
    <w:autoRedefine/>
    <w:qFormat/>
    <w:uiPriority w:val="0"/>
    <w:rPr>
      <w:sz w:val="18"/>
      <w:szCs w:val="18"/>
    </w:rPr>
  </w:style>
  <w:style w:type="character" w:customStyle="1" w:styleId="47">
    <w:name w:val="批注文字 Char"/>
    <w:basedOn w:val="27"/>
    <w:link w:val="10"/>
    <w:autoRedefine/>
    <w:qFormat/>
    <w:uiPriority w:val="99"/>
  </w:style>
  <w:style w:type="character" w:customStyle="1" w:styleId="48">
    <w:name w:val="批注主题 Char"/>
    <w:basedOn w:val="47"/>
    <w:link w:val="22"/>
    <w:autoRedefine/>
    <w:semiHidden/>
    <w:qFormat/>
    <w:uiPriority w:val="99"/>
    <w:rPr>
      <w:b/>
      <w:bCs/>
    </w:rPr>
  </w:style>
  <w:style w:type="character" w:customStyle="1" w:styleId="49">
    <w:name w:val="标题 2 Char"/>
    <w:basedOn w:val="27"/>
    <w:link w:val="4"/>
    <w:autoRedefine/>
    <w:qFormat/>
    <w:uiPriority w:val="9"/>
    <w:rPr>
      <w:rFonts w:ascii="宋体" w:hAnsi="宋体" w:cstheme="majorBidi"/>
      <w:b/>
      <w:bCs/>
      <w:snapToGrid w:val="0"/>
      <w:szCs w:val="24"/>
    </w:rPr>
  </w:style>
  <w:style w:type="character" w:customStyle="1" w:styleId="50">
    <w:name w:val="页眉 Char"/>
    <w:basedOn w:val="27"/>
    <w:link w:val="18"/>
    <w:autoRedefine/>
    <w:qFormat/>
    <w:uiPriority w:val="99"/>
    <w:rPr>
      <w:sz w:val="18"/>
      <w:szCs w:val="18"/>
    </w:rPr>
  </w:style>
  <w:style w:type="character" w:customStyle="1" w:styleId="51">
    <w:name w:val="页脚 Char"/>
    <w:basedOn w:val="27"/>
    <w:link w:val="17"/>
    <w:autoRedefine/>
    <w:qFormat/>
    <w:uiPriority w:val="99"/>
    <w:rPr>
      <w:sz w:val="18"/>
      <w:szCs w:val="18"/>
    </w:rPr>
  </w:style>
  <w:style w:type="character" w:customStyle="1" w:styleId="52">
    <w:name w:val="日期 Char"/>
    <w:basedOn w:val="27"/>
    <w:link w:val="14"/>
    <w:autoRedefine/>
    <w:qFormat/>
    <w:uiPriority w:val="0"/>
    <w:rPr>
      <w:rFonts w:ascii="Times New Roman" w:hAnsi="Times New Roman" w:cs="Times New Roman"/>
    </w:rPr>
  </w:style>
  <w:style w:type="character" w:customStyle="1" w:styleId="53">
    <w:name w:val="标题 3 Char"/>
    <w:basedOn w:val="27"/>
    <w:link w:val="5"/>
    <w:autoRedefine/>
    <w:qFormat/>
    <w:uiPriority w:val="9"/>
    <w:rPr>
      <w:bCs/>
      <w:sz w:val="24"/>
      <w:szCs w:val="32"/>
    </w:rPr>
  </w:style>
  <w:style w:type="character" w:customStyle="1" w:styleId="54">
    <w:name w:val="文档结构图 Char"/>
    <w:basedOn w:val="27"/>
    <w:link w:val="9"/>
    <w:autoRedefine/>
    <w:semiHidden/>
    <w:qFormat/>
    <w:uiPriority w:val="99"/>
    <w:rPr>
      <w:rFonts w:ascii="宋体"/>
      <w:sz w:val="18"/>
      <w:szCs w:val="18"/>
    </w:rPr>
  </w:style>
  <w:style w:type="table" w:customStyle="1" w:styleId="55">
    <w:name w:val="网格型5"/>
    <w:basedOn w:val="25"/>
    <w:autoRedefine/>
    <w:qFormat/>
    <w:uiPriority w:val="39"/>
    <w:rPr>
      <w:rFonts w:ascii="Times New Roman" w:hAnsi="Times New Roman" w:eastAsia="宋体" w:cs="Times New Roman"/>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6">
    <w:name w:val="标题 4 Char"/>
    <w:link w:val="6"/>
    <w:autoRedefine/>
    <w:qFormat/>
    <w:uiPriority w:val="0"/>
    <w:rPr>
      <w:rFonts w:ascii="Calibri Light" w:hAnsi="Calibri Light" w:eastAsia="宋体" w:cs="Times New Roman"/>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75DA62-50A2-49C5-8335-E6073D55E838}">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65</Pages>
  <Words>4372</Words>
  <Characters>24927</Characters>
  <Lines>207</Lines>
  <Paragraphs>58</Paragraphs>
  <TotalTime>12</TotalTime>
  <ScaleCrop>false</ScaleCrop>
  <LinksUpToDate>false</LinksUpToDate>
  <CharactersWithSpaces>29241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2022-02-25T08:56:00Z</dcterms:created>
  <dc:creator>Rachel Chen</dc:creator>
  <cp:lastModifiedBy>企业用户_429880187</cp:lastModifiedBy>
  <cp:lastPrinted>2024-01-15T09:38:00Z</cp:lastPrinted>
  <dcterms:modified xsi:type="dcterms:W3CDTF">2024-01-17T02:04:52Z</dcterms:modified>
  <cp:revision>380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4F62763287164FD395FD70406D703A91_13</vt:lpwstr>
  </property>
</Properties>
</file>