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Cambria"/>
          <w:b/>
          <w:snapToGrid w:val="0"/>
          <w:color w:val="auto"/>
          <w:kern w:val="0"/>
          <w:sz w:val="52"/>
          <w:szCs w:val="84"/>
          <w:highlight w:val="none"/>
        </w:rPr>
      </w:pPr>
    </w:p>
    <w:p>
      <w:pPr>
        <w:autoSpaceDE w:val="0"/>
        <w:autoSpaceDN w:val="0"/>
        <w:rPr>
          <w:rFonts w:ascii="宋体" w:hAnsi="宋体" w:cs="Cambria"/>
          <w:b/>
          <w:snapToGrid w:val="0"/>
          <w:color w:val="auto"/>
          <w:kern w:val="0"/>
          <w:sz w:val="52"/>
          <w:szCs w:val="84"/>
          <w:highlight w:val="none"/>
        </w:rPr>
      </w:pPr>
    </w:p>
    <w:p>
      <w:pPr>
        <w:autoSpaceDE w:val="0"/>
        <w:autoSpaceDN w:val="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pPr>
        <w:autoSpaceDE w:val="0"/>
        <w:autoSpaceDN w:val="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2023至2024年度全行科技保障服务项目</w:t>
      </w:r>
    </w:p>
    <w:p>
      <w:pPr>
        <w:autoSpaceDE w:val="0"/>
        <w:autoSpaceDN w:val="0"/>
        <w:jc w:val="left"/>
        <w:rPr>
          <w:rFonts w:ascii="Times New Roman" w:hAnsi="Times New Roman" w:cs="Times New Roman"/>
          <w:snapToGrid w:val="0"/>
          <w:color w:val="auto"/>
          <w:kern w:val="0"/>
          <w:sz w:val="18"/>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left"/>
        <w:rPr>
          <w:rFonts w:ascii="Times New Roman" w:hAnsi="Times New Roman" w:cs="Times New Roman"/>
          <w:snapToGrid w:val="0"/>
          <w:color w:val="auto"/>
          <w:kern w:val="0"/>
          <w:sz w:val="20"/>
          <w:highlight w:val="none"/>
        </w:rPr>
      </w:pPr>
    </w:p>
    <w:p>
      <w:pPr>
        <w:autoSpaceDE w:val="0"/>
        <w:autoSpaceDN w:val="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84"/>
          <w:szCs w:val="84"/>
          <w:highlight w:val="none"/>
          <w:lang w:eastAsia="zh-CN"/>
        </w:rPr>
        <w:t>比选</w:t>
      </w:r>
      <w:r>
        <w:rPr>
          <w:rFonts w:ascii="Times New Roman" w:hAnsi="Times New Roman" w:cs="Times New Roman"/>
          <w:b/>
          <w:snapToGrid w:val="0"/>
          <w:color w:val="auto"/>
          <w:kern w:val="0"/>
          <w:sz w:val="84"/>
          <w:szCs w:val="84"/>
          <w:highlight w:val="none"/>
        </w:rPr>
        <w:t>文件</w:t>
      </w:r>
    </w:p>
    <w:p>
      <w:pPr>
        <w:autoSpaceDE w:val="0"/>
        <w:autoSpaceDN w:val="0"/>
        <w:jc w:val="center"/>
        <w:rPr>
          <w:rFonts w:ascii="Times New Roman" w:hAnsi="Times New Roman" w:cs="Times New Roman"/>
          <w:b/>
          <w:snapToGrid w:val="0"/>
          <w:color w:val="auto"/>
          <w:kern w:val="0"/>
          <w:szCs w:val="28"/>
          <w:highlight w:val="none"/>
        </w:rPr>
      </w:pPr>
    </w:p>
    <w:p>
      <w:pPr>
        <w:autoSpaceDE w:val="0"/>
        <w:autoSpaceDN w:val="0"/>
        <w:jc w:val="center"/>
        <w:rPr>
          <w:rFonts w:ascii="Times New Roman" w:hAnsi="Times New Roman" w:cs="Times New Roman"/>
          <w:b/>
          <w:snapToGrid w:val="0"/>
          <w:color w:val="auto"/>
          <w:kern w:val="0"/>
          <w:szCs w:val="28"/>
          <w:highlight w:val="none"/>
        </w:rPr>
      </w:pPr>
    </w:p>
    <w:p>
      <w:pPr>
        <w:autoSpaceDE w:val="0"/>
        <w:autoSpaceDN w:val="0"/>
        <w:jc w:val="center"/>
        <w:rPr>
          <w:rFonts w:ascii="Times New Roman" w:hAnsi="Times New Roman" w:cs="Times New Roman"/>
          <w:b/>
          <w:snapToGrid w:val="0"/>
          <w:color w:val="auto"/>
          <w:kern w:val="0"/>
          <w:szCs w:val="28"/>
          <w:highlight w:val="none"/>
        </w:rPr>
      </w:pPr>
    </w:p>
    <w:p>
      <w:pPr>
        <w:autoSpaceDE w:val="0"/>
        <w:autoSpaceDN w:val="0"/>
        <w:jc w:val="center"/>
        <w:rPr>
          <w:rFonts w:ascii="Times New Roman" w:hAnsi="Times New Roman" w:cs="Times New Roman"/>
          <w:b/>
          <w:snapToGrid w:val="0"/>
          <w:color w:val="auto"/>
          <w:kern w:val="0"/>
          <w:szCs w:val="28"/>
          <w:highlight w:val="none"/>
        </w:rPr>
      </w:pPr>
    </w:p>
    <w:p>
      <w:pPr>
        <w:autoSpaceDE w:val="0"/>
        <w:autoSpaceDN w:val="0"/>
        <w:jc w:val="center"/>
        <w:rPr>
          <w:rFonts w:ascii="Times New Roman" w:hAnsi="Times New Roman" w:cs="Times New Roman"/>
          <w:b/>
          <w:snapToGrid w:val="0"/>
          <w:color w:val="auto"/>
          <w:kern w:val="0"/>
          <w:szCs w:val="28"/>
          <w:highlight w:val="none"/>
        </w:rPr>
      </w:pPr>
    </w:p>
    <w:p>
      <w:pPr>
        <w:autoSpaceDE w:val="0"/>
        <w:autoSpaceDN w:val="0"/>
        <w:ind w:firstLine="964" w:firstLineChars="300"/>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   选   人：重庆三峡银行股份有限公司</w:t>
      </w:r>
    </w:p>
    <w:p>
      <w:pPr>
        <w:autoSpaceDE w:val="0"/>
        <w:autoSpaceDN w:val="0"/>
        <w:jc w:val="center"/>
        <w:rPr>
          <w:rFonts w:ascii="Times New Roman" w:hAnsi="Times New Roman" w:cs="Times New Roman"/>
          <w:b/>
          <w:snapToGrid w:val="0"/>
          <w:color w:val="auto"/>
          <w:kern w:val="0"/>
          <w:sz w:val="32"/>
          <w:szCs w:val="28"/>
          <w:highlight w:val="none"/>
        </w:rPr>
      </w:pPr>
      <w:r>
        <w:rPr>
          <w:rFonts w:ascii="Times New Roman" w:hAnsi="Times New Roman" w:cs="Times New Roman"/>
          <w:b/>
          <w:snapToGrid w:val="0"/>
          <w:color w:val="auto"/>
          <w:kern w:val="0"/>
          <w:sz w:val="32"/>
          <w:szCs w:val="28"/>
          <w:highlight w:val="none"/>
        </w:rPr>
        <w:t>202</w:t>
      </w:r>
      <w:r>
        <w:rPr>
          <w:rFonts w:hint="eastAsia" w:ascii="Times New Roman" w:hAnsi="Times New Roman" w:cs="Times New Roman"/>
          <w:b/>
          <w:snapToGrid w:val="0"/>
          <w:color w:val="auto"/>
          <w:kern w:val="0"/>
          <w:sz w:val="32"/>
          <w:szCs w:val="28"/>
          <w:highlight w:val="none"/>
          <w:lang w:val="en-US" w:eastAsia="zh-CN"/>
        </w:rPr>
        <w:t>4</w:t>
      </w:r>
      <w:r>
        <w:rPr>
          <w:rFonts w:ascii="Times New Roman" w:hAnsi="Times New Roman" w:cs="Times New Roman"/>
          <w:b/>
          <w:snapToGrid w:val="0"/>
          <w:color w:val="auto"/>
          <w:kern w:val="0"/>
          <w:sz w:val="32"/>
          <w:szCs w:val="28"/>
          <w:highlight w:val="none"/>
        </w:rPr>
        <w:t>年</w:t>
      </w:r>
      <w:r>
        <w:rPr>
          <w:rFonts w:hint="eastAsia" w:ascii="Times New Roman" w:hAnsi="Times New Roman" w:cs="Times New Roman"/>
          <w:b/>
          <w:snapToGrid w:val="0"/>
          <w:color w:val="auto"/>
          <w:kern w:val="0"/>
          <w:sz w:val="32"/>
          <w:szCs w:val="28"/>
          <w:highlight w:val="none"/>
          <w:lang w:val="en-US" w:eastAsia="zh-CN"/>
        </w:rPr>
        <w:t>1</w:t>
      </w:r>
      <w:r>
        <w:rPr>
          <w:rFonts w:ascii="Times New Roman" w:hAnsi="Times New Roman" w:cs="Times New Roman"/>
          <w:b/>
          <w:snapToGrid w:val="0"/>
          <w:color w:val="auto"/>
          <w:kern w:val="0"/>
          <w:sz w:val="32"/>
          <w:szCs w:val="28"/>
          <w:highlight w:val="none"/>
        </w:rPr>
        <w:t>月</w:t>
      </w:r>
    </w:p>
    <w:p>
      <w:pPr>
        <w:snapToGrid w:val="0"/>
        <w:jc w:val="center"/>
        <w:rPr>
          <w:rFonts w:ascii="宋体" w:hAnsi="宋体"/>
          <w:b/>
          <w:snapToGrid w:val="0"/>
          <w:color w:val="auto"/>
          <w:kern w:val="0"/>
          <w:sz w:val="44"/>
          <w:szCs w:val="44"/>
          <w:highlight w:val="none"/>
        </w:rPr>
      </w:pPr>
      <w:r>
        <w:rPr>
          <w:rFonts w:ascii="宋体" w:hAnsi="宋体"/>
          <w:snapToGrid w:val="0"/>
          <w:color w:val="auto"/>
          <w:kern w:val="0"/>
          <w:sz w:val="24"/>
          <w:szCs w:val="24"/>
          <w:highlight w:val="none"/>
        </w:rPr>
        <w:br w:type="page"/>
      </w:r>
      <w:r>
        <w:rPr>
          <w:rFonts w:hint="eastAsia" w:ascii="宋体" w:hAnsi="宋体"/>
          <w:b/>
          <w:snapToGrid w:val="0"/>
          <w:color w:val="auto"/>
          <w:kern w:val="0"/>
          <w:sz w:val="44"/>
          <w:szCs w:val="44"/>
          <w:highlight w:val="none"/>
        </w:rPr>
        <w:t>目录</w:t>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_Toc21611 </w:instrText>
      </w:r>
      <w:r>
        <w:rPr>
          <w:rFonts w:ascii="宋体" w:hAnsi="宋体"/>
          <w:snapToGrid w:val="0"/>
          <w:color w:val="auto"/>
          <w:kern w:val="0"/>
          <w:szCs w:val="24"/>
          <w:highlight w:val="none"/>
        </w:rPr>
        <w:fldChar w:fldCharType="separate"/>
      </w:r>
      <w:r>
        <w:rPr>
          <w:rFonts w:hint="eastAsia"/>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_Toc21611 \h </w:instrText>
      </w:r>
      <w:r>
        <w:rPr>
          <w:color w:val="auto"/>
          <w:highlight w:val="none"/>
        </w:rPr>
        <w:fldChar w:fldCharType="separate"/>
      </w:r>
      <w:r>
        <w:rPr>
          <w:color w:val="auto"/>
          <w:highlight w:val="none"/>
        </w:rPr>
        <w:t>3</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_Toc5428 </w:instrText>
      </w:r>
      <w:r>
        <w:rPr>
          <w:rFonts w:ascii="宋体" w:hAnsi="宋体"/>
          <w:snapToGrid w:val="0"/>
          <w:color w:val="auto"/>
          <w:kern w:val="0"/>
          <w:szCs w:val="24"/>
          <w:highlight w:val="none"/>
        </w:rPr>
        <w:fldChar w:fldCharType="separate"/>
      </w:r>
      <w:r>
        <w:rPr>
          <w:rFonts w:hint="eastAsia"/>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_Toc5428 \h </w:instrText>
      </w:r>
      <w:r>
        <w:rPr>
          <w:color w:val="auto"/>
          <w:highlight w:val="none"/>
        </w:rPr>
        <w:fldChar w:fldCharType="separate"/>
      </w:r>
      <w:r>
        <w:rPr>
          <w:color w:val="auto"/>
          <w:highlight w:val="none"/>
        </w:rPr>
        <w:t>6</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_Toc10616 </w:instrText>
      </w:r>
      <w:r>
        <w:rPr>
          <w:rFonts w:ascii="宋体" w:hAnsi="宋体"/>
          <w:snapToGrid w:val="0"/>
          <w:color w:val="auto"/>
          <w:kern w:val="0"/>
          <w:szCs w:val="24"/>
          <w:highlight w:val="none"/>
        </w:rPr>
        <w:fldChar w:fldCharType="separate"/>
      </w:r>
      <w:r>
        <w:rPr>
          <w:rFonts w:hint="eastAsia"/>
          <w:color w:val="auto"/>
          <w:highlight w:val="none"/>
        </w:rPr>
        <w:t>第三章</w:t>
      </w:r>
      <w:r>
        <w:rPr>
          <w:rFonts w:hint="eastAsia"/>
          <w:color w:val="auto"/>
          <w:highlight w:val="none"/>
          <w:lang w:val="en-US" w:eastAsia="zh-CN"/>
        </w:rPr>
        <w:t xml:space="preserve"> </w:t>
      </w:r>
      <w:r>
        <w:rPr>
          <w:rFonts w:hint="eastAsia"/>
          <w:color w:val="auto"/>
          <w:highlight w:val="none"/>
        </w:rPr>
        <w:t>服务内容、期限及服务要求</w:t>
      </w:r>
      <w:r>
        <w:rPr>
          <w:color w:val="auto"/>
          <w:highlight w:val="none"/>
        </w:rPr>
        <w:tab/>
      </w:r>
      <w:r>
        <w:rPr>
          <w:color w:val="auto"/>
          <w:highlight w:val="none"/>
        </w:rPr>
        <w:fldChar w:fldCharType="begin"/>
      </w:r>
      <w:r>
        <w:rPr>
          <w:color w:val="auto"/>
          <w:highlight w:val="none"/>
        </w:rPr>
        <w:instrText xml:space="preserve"> PAGEREF _Toc10616 \h </w:instrText>
      </w:r>
      <w:r>
        <w:rPr>
          <w:color w:val="auto"/>
          <w:highlight w:val="none"/>
        </w:rPr>
        <w:fldChar w:fldCharType="separate"/>
      </w:r>
      <w:r>
        <w:rPr>
          <w:color w:val="auto"/>
          <w:highlight w:val="none"/>
        </w:rPr>
        <w:t>13</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_Toc3394 </w:instrText>
      </w:r>
      <w:r>
        <w:rPr>
          <w:rFonts w:ascii="宋体" w:hAnsi="宋体"/>
          <w:snapToGrid w:val="0"/>
          <w:color w:val="auto"/>
          <w:kern w:val="0"/>
          <w:szCs w:val="24"/>
          <w:highlight w:val="none"/>
        </w:rPr>
        <w:fldChar w:fldCharType="separate"/>
      </w:r>
      <w:r>
        <w:rPr>
          <w:rFonts w:hint="eastAsia"/>
          <w:color w:val="auto"/>
          <w:highlight w:val="none"/>
        </w:rPr>
        <w:t>第四章 商务条款</w:t>
      </w:r>
      <w:r>
        <w:rPr>
          <w:color w:val="auto"/>
          <w:highlight w:val="none"/>
        </w:rPr>
        <w:tab/>
      </w:r>
      <w:r>
        <w:rPr>
          <w:color w:val="auto"/>
          <w:highlight w:val="none"/>
        </w:rPr>
        <w:fldChar w:fldCharType="begin"/>
      </w:r>
      <w:r>
        <w:rPr>
          <w:color w:val="auto"/>
          <w:highlight w:val="none"/>
        </w:rPr>
        <w:instrText xml:space="preserve"> PAGEREF _Toc3394 \h </w:instrText>
      </w:r>
      <w:r>
        <w:rPr>
          <w:color w:val="auto"/>
          <w:highlight w:val="none"/>
        </w:rPr>
        <w:fldChar w:fldCharType="separate"/>
      </w:r>
      <w:r>
        <w:rPr>
          <w:color w:val="auto"/>
          <w:highlight w:val="none"/>
        </w:rPr>
        <w:t>20</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_Toc21204 </w:instrText>
      </w:r>
      <w:r>
        <w:rPr>
          <w:rFonts w:ascii="宋体" w:hAnsi="宋体"/>
          <w:snapToGrid w:val="0"/>
          <w:color w:val="auto"/>
          <w:kern w:val="0"/>
          <w:szCs w:val="24"/>
          <w:highlight w:val="none"/>
        </w:rPr>
        <w:fldChar w:fldCharType="separate"/>
      </w:r>
      <w:r>
        <w:rPr>
          <w:rFonts w:hint="eastAsia"/>
          <w:color w:val="auto"/>
          <w:highlight w:val="none"/>
        </w:rPr>
        <w:t xml:space="preserve">第五章 </w:t>
      </w:r>
      <w:r>
        <w:rPr>
          <w:rFonts w:hint="eastAsia"/>
          <w:color w:val="auto"/>
          <w:highlight w:val="none"/>
          <w:lang w:eastAsia="zh-CN"/>
        </w:rPr>
        <w:t>评审</w:t>
      </w:r>
      <w:r>
        <w:rPr>
          <w:rFonts w:hint="eastAsia"/>
          <w:color w:val="auto"/>
          <w:highlight w:val="none"/>
        </w:rPr>
        <w:t>方法、</w:t>
      </w:r>
      <w:r>
        <w:rPr>
          <w:rFonts w:hint="eastAsia"/>
          <w:color w:val="auto"/>
          <w:highlight w:val="none"/>
          <w:lang w:eastAsia="zh-CN"/>
        </w:rPr>
        <w:t>评审</w:t>
      </w:r>
      <w:r>
        <w:rPr>
          <w:rFonts w:hint="eastAsia"/>
          <w:color w:val="auto"/>
          <w:highlight w:val="none"/>
        </w:rPr>
        <w:t>标准和参选无效条款</w:t>
      </w:r>
      <w:r>
        <w:rPr>
          <w:color w:val="auto"/>
          <w:highlight w:val="none"/>
        </w:rPr>
        <w:tab/>
      </w:r>
      <w:r>
        <w:rPr>
          <w:color w:val="auto"/>
          <w:highlight w:val="none"/>
        </w:rPr>
        <w:fldChar w:fldCharType="begin"/>
      </w:r>
      <w:r>
        <w:rPr>
          <w:color w:val="auto"/>
          <w:highlight w:val="none"/>
        </w:rPr>
        <w:instrText xml:space="preserve"> PAGEREF _Toc21204 \h </w:instrText>
      </w:r>
      <w:r>
        <w:rPr>
          <w:color w:val="auto"/>
          <w:highlight w:val="none"/>
        </w:rPr>
        <w:fldChar w:fldCharType="separate"/>
      </w:r>
      <w:r>
        <w:rPr>
          <w:color w:val="auto"/>
          <w:highlight w:val="none"/>
        </w:rPr>
        <w:t>22</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_Toc30524 </w:instrText>
      </w:r>
      <w:r>
        <w:rPr>
          <w:rFonts w:ascii="宋体" w:hAnsi="宋体"/>
          <w:snapToGrid w:val="0"/>
          <w:color w:val="auto"/>
          <w:kern w:val="0"/>
          <w:szCs w:val="24"/>
          <w:highlight w:val="none"/>
        </w:rPr>
        <w:fldChar w:fldCharType="separate"/>
      </w:r>
      <w:r>
        <w:rPr>
          <w:rFonts w:hint="eastAsia"/>
          <w:color w:val="auto"/>
          <w:highlight w:val="none"/>
        </w:rPr>
        <w:t>第六章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_Toc30524 \h </w:instrText>
      </w:r>
      <w:r>
        <w:rPr>
          <w:color w:val="auto"/>
          <w:highlight w:val="none"/>
        </w:rPr>
        <w:fldChar w:fldCharType="separate"/>
      </w:r>
      <w:r>
        <w:rPr>
          <w:color w:val="auto"/>
          <w:highlight w:val="none"/>
        </w:rPr>
        <w:t>27</w:t>
      </w:r>
      <w:r>
        <w:rPr>
          <w:color w:val="auto"/>
          <w:highlight w:val="none"/>
        </w:rPr>
        <w:fldChar w:fldCharType="end"/>
      </w:r>
      <w:r>
        <w:rPr>
          <w:rFonts w:ascii="宋体" w:hAnsi="宋体"/>
          <w:snapToGrid w:val="0"/>
          <w:color w:val="auto"/>
          <w:kern w:val="0"/>
          <w:szCs w:val="24"/>
          <w:highlight w:val="none"/>
        </w:rPr>
        <w:fldChar w:fldCharType="end"/>
      </w:r>
    </w:p>
    <w:p>
      <w:pPr>
        <w:pStyle w:val="16"/>
        <w:tabs>
          <w:tab w:val="right" w:leader="dot" w:pos="8306"/>
          <w:tab w:val="clear" w:pos="1260"/>
          <w:tab w:val="clear" w:pos="1685"/>
          <w:tab w:val="clear" w:pos="8400"/>
        </w:tabs>
        <w:rPr>
          <w:color w:val="auto"/>
          <w:highlight w:val="none"/>
        </w:rPr>
      </w:pPr>
      <w:r>
        <w:rPr>
          <w:rFonts w:ascii="宋体" w:hAnsi="宋体"/>
          <w:snapToGrid w:val="0"/>
          <w:color w:val="auto"/>
          <w:kern w:val="0"/>
          <w:szCs w:val="24"/>
          <w:highlight w:val="none"/>
        </w:rPr>
        <w:fldChar w:fldCharType="begin"/>
      </w:r>
      <w:r>
        <w:rPr>
          <w:rFonts w:ascii="宋体" w:hAnsi="宋体"/>
          <w:snapToGrid w:val="0"/>
          <w:color w:val="auto"/>
          <w:kern w:val="0"/>
          <w:szCs w:val="24"/>
          <w:highlight w:val="none"/>
        </w:rPr>
        <w:instrText xml:space="preserve"> HYPERLINK \l _Toc1967 </w:instrText>
      </w:r>
      <w:r>
        <w:rPr>
          <w:rFonts w:ascii="宋体" w:hAnsi="宋体"/>
          <w:snapToGrid w:val="0"/>
          <w:color w:val="auto"/>
          <w:kern w:val="0"/>
          <w:szCs w:val="24"/>
          <w:highlight w:val="none"/>
        </w:rPr>
        <w:fldChar w:fldCharType="separate"/>
      </w:r>
      <w:r>
        <w:rPr>
          <w:rFonts w:hint="eastAsia"/>
          <w:color w:val="auto"/>
          <w:highlight w:val="none"/>
        </w:rPr>
        <w:t>第七章 参选文件格式</w:t>
      </w:r>
      <w:r>
        <w:rPr>
          <w:color w:val="auto"/>
          <w:highlight w:val="none"/>
        </w:rPr>
        <w:tab/>
      </w:r>
      <w:r>
        <w:rPr>
          <w:color w:val="auto"/>
          <w:highlight w:val="none"/>
        </w:rPr>
        <w:fldChar w:fldCharType="begin"/>
      </w:r>
      <w:r>
        <w:rPr>
          <w:color w:val="auto"/>
          <w:highlight w:val="none"/>
        </w:rPr>
        <w:instrText xml:space="preserve"> PAGEREF _Toc1967 \h </w:instrText>
      </w:r>
      <w:r>
        <w:rPr>
          <w:color w:val="auto"/>
          <w:highlight w:val="none"/>
        </w:rPr>
        <w:fldChar w:fldCharType="separate"/>
      </w:r>
      <w:r>
        <w:rPr>
          <w:color w:val="auto"/>
          <w:highlight w:val="none"/>
        </w:rPr>
        <w:t>39</w:t>
      </w:r>
      <w:r>
        <w:rPr>
          <w:color w:val="auto"/>
          <w:highlight w:val="none"/>
        </w:rPr>
        <w:fldChar w:fldCharType="end"/>
      </w: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pPr>
        <w:widowControl/>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br w:type="page"/>
      </w:r>
    </w:p>
    <w:p>
      <w:pPr>
        <w:pStyle w:val="3"/>
        <w:rPr>
          <w:color w:val="auto"/>
          <w:highlight w:val="none"/>
        </w:rPr>
      </w:pPr>
      <w:bookmarkStart w:id="0" w:name="_Toc440628903"/>
      <w:bookmarkStart w:id="1" w:name="_Toc21611"/>
      <w:bookmarkStart w:id="2" w:name="_Toc469574661"/>
      <w:bookmarkStart w:id="3" w:name="_Toc6745"/>
      <w:r>
        <w:rPr>
          <w:rFonts w:hint="eastAsia"/>
          <w:color w:val="auto"/>
          <w:highlight w:val="none"/>
        </w:rPr>
        <w:t>第一章</w:t>
      </w:r>
      <w:bookmarkEnd w:id="0"/>
      <w:r>
        <w:rPr>
          <w:rFonts w:hint="eastAsia"/>
          <w:color w:val="auto"/>
          <w:highlight w:val="none"/>
        </w:rPr>
        <w:t xml:space="preserve"> 比选公告</w:t>
      </w:r>
      <w:bookmarkEnd w:id="1"/>
      <w:bookmarkEnd w:id="2"/>
      <w:bookmarkEnd w:id="3"/>
    </w:p>
    <w:p>
      <w:pPr>
        <w:pStyle w:val="29"/>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color w:val="auto"/>
          <w:highlight w:val="none"/>
        </w:rPr>
      </w:pPr>
      <w:bookmarkStart w:id="4" w:name="_Toc89675127"/>
      <w:bookmarkStart w:id="5" w:name="_Toc55379218"/>
      <w:r>
        <w:rPr>
          <w:rFonts w:hint="eastAsia" w:ascii="宋体" w:hAnsi="宋体" w:eastAsia="宋体" w:cs="Cambria Math"/>
          <w:color w:val="auto"/>
          <w:kern w:val="2"/>
          <w:sz w:val="24"/>
          <w:szCs w:val="24"/>
          <w:highlight w:val="none"/>
          <w:lang w:val="en-US" w:eastAsia="zh-CN" w:bidi="ar-SA"/>
        </w:rPr>
        <w:t>随着我行信息化建设的逐步深入，各分支机构在信息系统、科技设备方面的配置规模不断扩大，科技支撑的难度也持续攀升，通过采购全行科技保障服务，以提升我行各</w:t>
      </w:r>
      <w:r>
        <w:rPr>
          <w:rFonts w:ascii="宋体" w:hAnsi="宋体" w:eastAsia="宋体" w:cs="Cambria Math"/>
          <w:color w:val="auto"/>
          <w:kern w:val="2"/>
          <w:sz w:val="24"/>
          <w:szCs w:val="24"/>
          <w:highlight w:val="none"/>
          <w:lang w:eastAsia="zh-CN" w:bidi="ar-SA"/>
        </w:rPr>
        <w:t>分支机构</w:t>
      </w:r>
      <w:r>
        <w:rPr>
          <w:rFonts w:hint="eastAsia" w:ascii="宋体" w:hAnsi="宋体" w:eastAsia="宋体" w:cs="Cambria Math"/>
          <w:color w:val="auto"/>
          <w:kern w:val="2"/>
          <w:sz w:val="24"/>
          <w:szCs w:val="24"/>
          <w:highlight w:val="none"/>
          <w:lang w:val="en-US" w:eastAsia="zh-CN" w:bidi="ar-SA"/>
        </w:rPr>
        <w:t>的科技服务、应急能力，主要服务内容：一是科技设备的日常维护，含终端设备（办公电脑、生产终端、视频会议设备等）及配套外设的软硬件维护；二是推广我行新系统、新硬件，指导分支机构正确使用各类科技设备；三是技术保障，分支机构装修、搬迁等技术协助等；四是突发事件应急处置。</w:t>
      </w:r>
      <w:r>
        <w:rPr>
          <w:rFonts w:ascii="Times New Roman" w:hAnsi="Times New Roman" w:eastAsia="宋体" w:cs="Times New Roman"/>
          <w:snapToGrid w:val="0"/>
          <w:color w:val="auto"/>
          <w:kern w:val="0"/>
          <w:sz w:val="24"/>
          <w:szCs w:val="24"/>
          <w:highlight w:val="none"/>
        </w:rPr>
        <w:t>特邀请有</w:t>
      </w:r>
      <w:bookmarkStart w:id="6" w:name="_Hlk59455120"/>
      <w:r>
        <w:rPr>
          <w:rFonts w:ascii="Times New Roman" w:hAnsi="Times New Roman" w:eastAsia="宋体" w:cs="Times New Roman"/>
          <w:snapToGrid w:val="0"/>
          <w:color w:val="auto"/>
          <w:kern w:val="0"/>
          <w:sz w:val="24"/>
          <w:szCs w:val="24"/>
          <w:highlight w:val="none"/>
        </w:rPr>
        <w:t>意向</w:t>
      </w:r>
      <w:bookmarkEnd w:id="6"/>
      <w:r>
        <w:rPr>
          <w:rFonts w:ascii="Times New Roman" w:hAnsi="Times New Roman" w:eastAsia="宋体" w:cs="Times New Roman"/>
          <w:snapToGrid w:val="0"/>
          <w:color w:val="auto"/>
          <w:kern w:val="0"/>
          <w:sz w:val="24"/>
          <w:szCs w:val="24"/>
          <w:highlight w:val="none"/>
        </w:rPr>
        <w:t>的潜在</w:t>
      </w:r>
      <w:r>
        <w:rPr>
          <w:rFonts w:hint="eastAsia" w:ascii="Times New Roman" w:hAnsi="Times New Roman" w:eastAsia="宋体" w:cs="Times New Roman"/>
          <w:snapToGrid w:val="0"/>
          <w:color w:val="auto"/>
          <w:kern w:val="0"/>
          <w:sz w:val="24"/>
          <w:szCs w:val="24"/>
          <w:highlight w:val="none"/>
          <w:lang w:eastAsia="zh-CN"/>
        </w:rPr>
        <w:t>参选</w:t>
      </w:r>
      <w:r>
        <w:rPr>
          <w:rFonts w:ascii="Times New Roman" w:hAnsi="Times New Roman" w:eastAsia="宋体" w:cs="Times New Roman"/>
          <w:snapToGrid w:val="0"/>
          <w:color w:val="auto"/>
          <w:kern w:val="0"/>
          <w:sz w:val="24"/>
          <w:szCs w:val="24"/>
          <w:highlight w:val="none"/>
        </w:rPr>
        <w:t>人进行</w:t>
      </w:r>
      <w:r>
        <w:rPr>
          <w:rFonts w:hint="eastAsia" w:ascii="Times New Roman" w:hAnsi="Times New Roman" w:eastAsia="宋体" w:cs="Times New Roman"/>
          <w:snapToGrid w:val="0"/>
          <w:color w:val="auto"/>
          <w:kern w:val="0"/>
          <w:sz w:val="24"/>
          <w:szCs w:val="24"/>
          <w:highlight w:val="none"/>
          <w:lang w:eastAsia="zh-CN"/>
        </w:rPr>
        <w:t>参选</w:t>
      </w:r>
      <w:r>
        <w:rPr>
          <w:rFonts w:ascii="Times New Roman" w:hAnsi="Times New Roman" w:eastAsia="宋体" w:cs="Times New Roman"/>
          <w:snapToGrid w:val="0"/>
          <w:color w:val="auto"/>
          <w:kern w:val="0"/>
          <w:sz w:val="24"/>
          <w:szCs w:val="24"/>
          <w:highlight w:val="none"/>
        </w:rPr>
        <w:t>。</w:t>
      </w:r>
    </w:p>
    <w:p>
      <w:pPr>
        <w:pStyle w:val="4"/>
        <w:rPr>
          <w:color w:val="auto"/>
          <w:highlight w:val="none"/>
        </w:rPr>
      </w:pPr>
      <w:r>
        <w:rPr>
          <w:rFonts w:hint="eastAsia"/>
          <w:color w:val="auto"/>
          <w:highlight w:val="none"/>
        </w:rPr>
        <w:t>一、比选项目内容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keepNext w:val="0"/>
              <w:keepLines w:val="0"/>
              <w:widowControl w:val="0"/>
              <w:suppressLineNumbers w:val="0"/>
              <w:spacing w:before="0" w:beforeAutospacing="0" w:after="0" w:afterAutospacing="0"/>
              <w:ind w:left="0" w:leftChars="0" w:right="0" w:rightChars="0"/>
              <w:jc w:val="center"/>
              <w:rPr>
                <w:rFonts w:ascii="宋体" w:hAnsi="宋体" w:cs="Cambria"/>
                <w:b/>
                <w:snapToGrid w:val="0"/>
                <w:color w:val="auto"/>
                <w:kern w:val="0"/>
                <w:sz w:val="24"/>
                <w:szCs w:val="24"/>
                <w:highlight w:val="none"/>
              </w:rPr>
            </w:pPr>
            <w:r>
              <w:rPr>
                <w:rFonts w:hint="eastAsia" w:ascii="宋体" w:hAnsi="宋体" w:cs="Cambria"/>
                <w:b/>
                <w:snapToGrid w:val="0"/>
                <w:color w:val="auto"/>
                <w:kern w:val="0"/>
                <w:sz w:val="24"/>
                <w:szCs w:val="24"/>
                <w:highlight w:val="none"/>
              </w:rPr>
              <w:t>序号</w:t>
            </w:r>
          </w:p>
        </w:tc>
        <w:tc>
          <w:tcPr>
            <w:tcW w:w="2826" w:type="dxa"/>
            <w:vAlign w:val="center"/>
          </w:tcPr>
          <w:p>
            <w:pPr>
              <w:keepNext w:val="0"/>
              <w:keepLines w:val="0"/>
              <w:widowControl w:val="0"/>
              <w:suppressLineNumbers w:val="0"/>
              <w:spacing w:before="0" w:beforeAutospacing="0" w:after="0" w:afterAutospacing="0"/>
              <w:ind w:left="0" w:leftChars="0" w:right="0" w:rightChars="0"/>
              <w:jc w:val="center"/>
              <w:rPr>
                <w:rFonts w:ascii="宋体" w:hAnsi="宋体" w:cs="Cambria"/>
                <w:b/>
                <w:snapToGrid w:val="0"/>
                <w:color w:val="auto"/>
                <w:kern w:val="0"/>
                <w:sz w:val="24"/>
                <w:szCs w:val="24"/>
                <w:highlight w:val="none"/>
              </w:rPr>
            </w:pPr>
            <w:r>
              <w:rPr>
                <w:rFonts w:hint="eastAsia" w:ascii="宋体" w:hAnsi="宋体" w:cs="Cambria"/>
                <w:b/>
                <w:snapToGrid w:val="0"/>
                <w:color w:val="auto"/>
                <w:kern w:val="0"/>
                <w:sz w:val="24"/>
                <w:szCs w:val="24"/>
                <w:highlight w:val="none"/>
              </w:rPr>
              <w:t>项目名称</w:t>
            </w:r>
          </w:p>
        </w:tc>
        <w:tc>
          <w:tcPr>
            <w:tcW w:w="1646" w:type="dxa"/>
            <w:vAlign w:val="center"/>
          </w:tcPr>
          <w:p>
            <w:pPr>
              <w:keepNext w:val="0"/>
              <w:keepLines w:val="0"/>
              <w:widowControl w:val="0"/>
              <w:suppressLineNumbers w:val="0"/>
              <w:spacing w:before="0" w:beforeAutospacing="0" w:after="0" w:afterAutospacing="0"/>
              <w:ind w:left="0" w:leftChars="0" w:right="0" w:rightChars="0"/>
              <w:jc w:val="center"/>
              <w:rPr>
                <w:rFonts w:ascii="宋体" w:hAnsi="宋体" w:cs="Cambria"/>
                <w:b/>
                <w:snapToGrid w:val="0"/>
                <w:color w:val="auto"/>
                <w:kern w:val="0"/>
                <w:sz w:val="24"/>
                <w:szCs w:val="24"/>
                <w:highlight w:val="none"/>
              </w:rPr>
            </w:pPr>
            <w:r>
              <w:rPr>
                <w:rFonts w:hint="eastAsia" w:ascii="宋体" w:hAnsi="宋体" w:cs="Cambria"/>
                <w:b/>
                <w:snapToGrid w:val="0"/>
                <w:color w:val="auto"/>
                <w:kern w:val="0"/>
                <w:sz w:val="24"/>
                <w:szCs w:val="24"/>
                <w:highlight w:val="none"/>
              </w:rPr>
              <w:t>最高限价</w:t>
            </w:r>
          </w:p>
        </w:tc>
        <w:tc>
          <w:tcPr>
            <w:tcW w:w="1798" w:type="dxa"/>
            <w:vAlign w:val="center"/>
          </w:tcPr>
          <w:p>
            <w:pPr>
              <w:keepNext w:val="0"/>
              <w:keepLines w:val="0"/>
              <w:widowControl w:val="0"/>
              <w:suppressLineNumbers w:val="0"/>
              <w:spacing w:before="0" w:beforeAutospacing="0" w:after="0" w:afterAutospacing="0"/>
              <w:ind w:left="0" w:leftChars="0" w:right="0" w:rightChars="0"/>
              <w:jc w:val="center"/>
              <w:rPr>
                <w:rFonts w:ascii="宋体" w:hAnsi="宋体" w:cs="Cambria"/>
                <w:b/>
                <w:snapToGrid w:val="0"/>
                <w:color w:val="auto"/>
                <w:kern w:val="0"/>
                <w:sz w:val="24"/>
                <w:szCs w:val="24"/>
                <w:highlight w:val="none"/>
              </w:rPr>
            </w:pPr>
            <w:r>
              <w:rPr>
                <w:rFonts w:hint="eastAsia" w:ascii="宋体" w:hAnsi="宋体" w:cs="Cambria"/>
                <w:b/>
                <w:snapToGrid w:val="0"/>
                <w:color w:val="auto"/>
                <w:kern w:val="0"/>
                <w:sz w:val="24"/>
                <w:szCs w:val="24"/>
                <w:highlight w:val="none"/>
                <w:lang w:eastAsia="zh-CN"/>
              </w:rPr>
              <w:t>中选</w:t>
            </w:r>
            <w:r>
              <w:rPr>
                <w:rFonts w:hint="eastAsia" w:ascii="宋体" w:hAnsi="宋体" w:cs="Cambria"/>
                <w:b/>
                <w:snapToGrid w:val="0"/>
                <w:color w:val="auto"/>
                <w:kern w:val="0"/>
                <w:sz w:val="24"/>
                <w:szCs w:val="24"/>
                <w:highlight w:val="none"/>
              </w:rPr>
              <w:t>人数量</w:t>
            </w:r>
          </w:p>
        </w:tc>
        <w:tc>
          <w:tcPr>
            <w:tcW w:w="1798" w:type="dxa"/>
            <w:vAlign w:val="center"/>
          </w:tcPr>
          <w:p>
            <w:pPr>
              <w:keepNext w:val="0"/>
              <w:keepLines w:val="0"/>
              <w:widowControl w:val="0"/>
              <w:suppressLineNumbers w:val="0"/>
              <w:spacing w:before="0" w:beforeAutospacing="0" w:after="0" w:afterAutospacing="0"/>
              <w:ind w:left="0" w:leftChars="0" w:right="0" w:rightChars="0"/>
              <w:jc w:val="center"/>
              <w:rPr>
                <w:rFonts w:ascii="宋体" w:hAnsi="宋体" w:cs="Cambria"/>
                <w:b/>
                <w:snapToGrid w:val="0"/>
                <w:color w:val="auto"/>
                <w:kern w:val="0"/>
                <w:sz w:val="24"/>
                <w:szCs w:val="24"/>
                <w:highlight w:val="none"/>
              </w:rPr>
            </w:pPr>
            <w:r>
              <w:rPr>
                <w:rFonts w:ascii="宋体" w:hAnsi="宋体" w:cs="Cambria"/>
                <w:b/>
                <w:snapToGrid w:val="0"/>
                <w:color w:val="auto"/>
                <w:kern w:val="0"/>
                <w:sz w:val="24"/>
                <w:szCs w:val="24"/>
                <w:highlight w:val="none"/>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1</w:t>
            </w:r>
          </w:p>
        </w:tc>
        <w:tc>
          <w:tcPr>
            <w:tcW w:w="282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cs="Cambria"/>
                <w:snapToGrid w:val="0"/>
                <w:color w:val="auto"/>
                <w:kern w:val="0"/>
                <w:sz w:val="24"/>
                <w:szCs w:val="24"/>
                <w:highlight w:val="none"/>
                <w:lang w:val="en-US" w:eastAsia="zh-CN"/>
              </w:rPr>
            </w:pPr>
            <w:r>
              <w:rPr>
                <w:rFonts w:hint="eastAsia" w:ascii="宋体" w:hAnsi="宋体" w:cs="Cambria"/>
                <w:snapToGrid w:val="0"/>
                <w:color w:val="auto"/>
                <w:kern w:val="0"/>
                <w:sz w:val="24"/>
                <w:szCs w:val="24"/>
                <w:highlight w:val="none"/>
                <w:lang w:val="en-US" w:eastAsia="zh-CN"/>
              </w:rPr>
              <w:t>重庆三峡银行</w:t>
            </w:r>
          </w:p>
          <w:p>
            <w:pPr>
              <w:keepNext w:val="0"/>
              <w:keepLines w:val="0"/>
              <w:widowControl w:val="0"/>
              <w:suppressLineNumbers w:val="0"/>
              <w:spacing w:before="0" w:beforeAutospacing="0" w:after="0" w:afterAutospacing="0"/>
              <w:ind w:left="0" w:leftChars="0" w:right="0" w:rightChars="0"/>
              <w:jc w:val="center"/>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lang w:val="en-US" w:eastAsia="zh-CN"/>
              </w:rPr>
              <w:t>2023至2024</w:t>
            </w:r>
            <w:r>
              <w:rPr>
                <w:rFonts w:ascii="宋体" w:hAnsi="宋体" w:cs="Cambria"/>
                <w:snapToGrid w:val="0"/>
                <w:color w:val="auto"/>
                <w:kern w:val="0"/>
                <w:sz w:val="24"/>
                <w:szCs w:val="24"/>
                <w:highlight w:val="none"/>
                <w:lang w:val="en-US" w:eastAsia="zh-CN"/>
              </w:rPr>
              <w:t>年度</w:t>
            </w:r>
            <w:r>
              <w:rPr>
                <w:rFonts w:hint="eastAsia" w:ascii="宋体" w:hAnsi="宋体" w:cs="Cambria"/>
                <w:snapToGrid w:val="0"/>
                <w:color w:val="auto"/>
                <w:kern w:val="0"/>
                <w:sz w:val="24"/>
                <w:szCs w:val="24"/>
                <w:highlight w:val="none"/>
                <w:lang w:val="en-US" w:eastAsia="zh-CN"/>
              </w:rPr>
              <w:t>全行科技保障服务</w:t>
            </w:r>
            <w:r>
              <w:rPr>
                <w:rFonts w:hint="eastAsia" w:ascii="宋体" w:hAnsi="宋体" w:cs="Cambria"/>
                <w:snapToGrid w:val="0"/>
                <w:color w:val="auto"/>
                <w:kern w:val="0"/>
                <w:sz w:val="24"/>
                <w:szCs w:val="24"/>
                <w:highlight w:val="none"/>
              </w:rPr>
              <w:t>项目</w:t>
            </w:r>
          </w:p>
        </w:tc>
        <w:tc>
          <w:tcPr>
            <w:tcW w:w="1646"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lang w:val="en-US" w:eastAsia="zh-CN"/>
              </w:rPr>
              <w:t>130</w:t>
            </w:r>
            <w:r>
              <w:rPr>
                <w:rFonts w:hint="eastAsia" w:ascii="宋体" w:hAnsi="宋体" w:cs="Cambria"/>
                <w:snapToGrid w:val="0"/>
                <w:color w:val="auto"/>
                <w:kern w:val="0"/>
                <w:sz w:val="24"/>
                <w:szCs w:val="24"/>
                <w:highlight w:val="none"/>
              </w:rPr>
              <w:t>万元</w:t>
            </w:r>
          </w:p>
        </w:tc>
        <w:tc>
          <w:tcPr>
            <w:tcW w:w="179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1</w:t>
            </w:r>
          </w:p>
        </w:tc>
        <w:tc>
          <w:tcPr>
            <w:tcW w:w="1798" w:type="dxa"/>
            <w:vAlign w:val="center"/>
          </w:tcPr>
          <w:p>
            <w:pPr>
              <w:keepNext w:val="0"/>
              <w:keepLines w:val="0"/>
              <w:widowControl w:val="0"/>
              <w:suppressLineNumbers w:val="0"/>
              <w:spacing w:before="0" w:beforeAutospacing="0" w:after="0" w:afterAutospacing="0" w:line="360" w:lineRule="auto"/>
              <w:ind w:left="0" w:leftChars="0" w:right="0" w:rightChars="0"/>
              <w:jc w:val="center"/>
              <w:rPr>
                <w:rFonts w:ascii="宋体" w:hAnsi="宋体" w:cs="Cambria"/>
                <w:snapToGrid w:val="0"/>
                <w:color w:val="auto"/>
                <w:kern w:val="0"/>
                <w:sz w:val="24"/>
                <w:szCs w:val="24"/>
                <w:highlight w:val="none"/>
              </w:rPr>
            </w:pPr>
            <w:r>
              <w:rPr>
                <w:rFonts w:ascii="宋体" w:hAnsi="宋体" w:cs="Cambria"/>
                <w:snapToGrid w:val="0"/>
                <w:color w:val="auto"/>
                <w:kern w:val="0"/>
                <w:sz w:val="24"/>
                <w:szCs w:val="24"/>
                <w:highlight w:val="none"/>
              </w:rPr>
              <w:t>自合同生效起一年内</w:t>
            </w:r>
          </w:p>
        </w:tc>
      </w:tr>
    </w:tbl>
    <w:p>
      <w:pPr>
        <w:pStyle w:val="4"/>
        <w:rPr>
          <w:color w:val="auto"/>
          <w:highlight w:val="none"/>
        </w:rPr>
      </w:pPr>
      <w:bookmarkStart w:id="7" w:name="_Toc55379219"/>
      <w:bookmarkStart w:id="8" w:name="_Toc297817088"/>
      <w:bookmarkStart w:id="9" w:name="_Toc469574664"/>
      <w:bookmarkStart w:id="10" w:name="_Toc89675128"/>
      <w:bookmarkStart w:id="11" w:name="_Toc288224935"/>
      <w:r>
        <w:rPr>
          <w:rFonts w:hint="eastAsia"/>
          <w:color w:val="auto"/>
          <w:highlight w:val="none"/>
        </w:rPr>
        <w:t>二、参选人资格要求</w:t>
      </w:r>
      <w:bookmarkEnd w:id="7"/>
      <w:bookmarkEnd w:id="8"/>
      <w:bookmarkEnd w:id="9"/>
      <w:bookmarkEnd w:id="10"/>
      <w:bookmarkEnd w:id="11"/>
    </w:p>
    <w:p>
      <w:pPr>
        <w:snapToGrid w:val="0"/>
        <w:spacing w:line="360" w:lineRule="auto"/>
        <w:ind w:firstLine="480" w:firstLineChars="200"/>
        <w:rPr>
          <w:rFonts w:ascii="宋体" w:hAnsi="宋体" w:cs="Cambria"/>
          <w:snapToGrid w:val="0"/>
          <w:color w:val="auto"/>
          <w:kern w:val="0"/>
          <w:sz w:val="24"/>
          <w:szCs w:val="24"/>
          <w:highlight w:val="none"/>
        </w:rPr>
      </w:pPr>
      <w:bookmarkStart w:id="12" w:name="_Hlk55488870"/>
      <w:r>
        <w:rPr>
          <w:rFonts w:hint="eastAsia" w:ascii="宋体" w:hAnsi="宋体" w:cs="Cambria"/>
          <w:snapToGrid w:val="0"/>
          <w:color w:val="auto"/>
          <w:kern w:val="0"/>
          <w:sz w:val="24"/>
          <w:szCs w:val="24"/>
          <w:highlight w:val="none"/>
        </w:rPr>
        <w:t>（一）基本资格条件</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具有独立承担民事责任的能力；</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具有良好的商业信誉和健全的财务会计制度；</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具有履行合同所必需的设备和专业技术能力；</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有依法缴纳税收和社会保障金的良好记录；</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三年内在经营活动中没有重大违法记录；</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法人及法定代表人没有被人民法院列为失信被执行人名单；</w:t>
      </w:r>
    </w:p>
    <w:p>
      <w:pPr>
        <w:pStyle w:val="29"/>
        <w:numPr>
          <w:ilvl w:val="0"/>
          <w:numId w:val="1"/>
        </w:numPr>
        <w:snapToGrid w:val="0"/>
        <w:spacing w:line="360" w:lineRule="auto"/>
        <w:ind w:firstLineChars="0"/>
        <w:rPr>
          <w:rFonts w:ascii="宋体" w:hAnsi="宋体" w:eastAsia="宋体" w:cs="Cambria"/>
          <w:snapToGrid w:val="0"/>
          <w:color w:val="auto"/>
          <w:kern w:val="0"/>
          <w:sz w:val="24"/>
          <w:szCs w:val="24"/>
          <w:highlight w:val="none"/>
        </w:rPr>
      </w:pPr>
      <w:r>
        <w:rPr>
          <w:rFonts w:hint="eastAsia" w:ascii="宋体" w:hAnsi="宋体" w:eastAsia="宋体" w:cs="Cambria"/>
          <w:snapToGrid w:val="0"/>
          <w:color w:val="auto"/>
          <w:kern w:val="0"/>
          <w:sz w:val="24"/>
          <w:szCs w:val="24"/>
          <w:highlight w:val="none"/>
        </w:rPr>
        <w:t>法律、行政法规规定的其他条件。</w:t>
      </w:r>
    </w:p>
    <w:p>
      <w:pPr>
        <w:snapToGrid w:val="0"/>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（二）特定资格条件</w:t>
      </w:r>
    </w:p>
    <w:p>
      <w:pPr>
        <w:pStyle w:val="29"/>
        <w:snapToGrid w:val="0"/>
        <w:spacing w:line="360" w:lineRule="auto"/>
        <w:rPr>
          <w:rFonts w:hint="eastAsia" w:eastAsia="宋体"/>
          <w:color w:val="auto"/>
          <w:highlight w:val="none"/>
          <w:lang w:val="en-US" w:eastAsia="zh-CN"/>
        </w:rPr>
      </w:pPr>
      <w:r>
        <w:rPr>
          <w:rFonts w:hint="eastAsia" w:ascii="宋体" w:hAnsi="宋体" w:eastAsia="宋体" w:cs="Cambria"/>
          <w:color w:val="auto"/>
          <w:sz w:val="24"/>
          <w:szCs w:val="24"/>
          <w:highlight w:val="none"/>
        </w:rPr>
        <w:t>1、20</w:t>
      </w:r>
      <w:r>
        <w:rPr>
          <w:rFonts w:hint="eastAsia" w:ascii="宋体" w:hAnsi="宋体" w:eastAsia="宋体" w:cs="Cambria"/>
          <w:color w:val="auto"/>
          <w:sz w:val="24"/>
          <w:szCs w:val="24"/>
          <w:highlight w:val="none"/>
          <w:lang w:val="en-US" w:eastAsia="zh-CN"/>
        </w:rPr>
        <w:t>2</w:t>
      </w:r>
      <w:r>
        <w:rPr>
          <w:rFonts w:ascii="宋体" w:hAnsi="宋体" w:eastAsia="宋体" w:cs="Cambria"/>
          <w:color w:val="auto"/>
          <w:sz w:val="24"/>
          <w:szCs w:val="24"/>
          <w:highlight w:val="none"/>
          <w:lang w:eastAsia="zh-CN"/>
        </w:rPr>
        <w:t>1</w:t>
      </w:r>
      <w:r>
        <w:rPr>
          <w:rFonts w:hint="eastAsia" w:ascii="宋体" w:hAnsi="宋体" w:eastAsia="宋体" w:cs="Cambria"/>
          <w:color w:val="auto"/>
          <w:sz w:val="24"/>
          <w:szCs w:val="24"/>
          <w:highlight w:val="none"/>
        </w:rPr>
        <w:t>年</w:t>
      </w:r>
      <w:r>
        <w:rPr>
          <w:rFonts w:hint="eastAsia" w:ascii="宋体" w:hAnsi="宋体" w:eastAsia="宋体" w:cs="Cambria"/>
          <w:color w:val="auto"/>
          <w:sz w:val="24"/>
          <w:szCs w:val="24"/>
          <w:highlight w:val="none"/>
          <w:lang w:val="en-US" w:eastAsia="zh-CN"/>
        </w:rPr>
        <w:t>1</w:t>
      </w:r>
      <w:r>
        <w:rPr>
          <w:rFonts w:hint="eastAsia" w:ascii="宋体" w:hAnsi="宋体" w:eastAsia="宋体" w:cs="Cambria"/>
          <w:color w:val="auto"/>
          <w:sz w:val="24"/>
          <w:szCs w:val="24"/>
          <w:highlight w:val="none"/>
        </w:rPr>
        <w:t>月1日至今</w:t>
      </w:r>
      <w:r>
        <w:rPr>
          <w:rFonts w:ascii="宋体" w:hAnsi="宋体" w:eastAsia="宋体" w:cs="Cambria"/>
          <w:color w:val="auto"/>
          <w:sz w:val="24"/>
          <w:szCs w:val="24"/>
          <w:highlight w:val="none"/>
        </w:rPr>
        <w:t>，</w:t>
      </w:r>
      <w:r>
        <w:rPr>
          <w:rFonts w:hint="eastAsia" w:ascii="宋体" w:hAnsi="宋体" w:eastAsia="宋体" w:cs="Cambria"/>
          <w:color w:val="auto"/>
          <w:sz w:val="24"/>
          <w:szCs w:val="24"/>
          <w:highlight w:val="none"/>
          <w:lang w:val="en-US" w:eastAsia="zh-CN"/>
        </w:rPr>
        <w:t>具有1例</w:t>
      </w:r>
      <w:r>
        <w:rPr>
          <w:rFonts w:ascii="宋体" w:hAnsi="宋体" w:eastAsia="宋体" w:cs="Cambria"/>
          <w:color w:val="auto"/>
          <w:sz w:val="24"/>
          <w:szCs w:val="24"/>
          <w:highlight w:val="none"/>
          <w:lang w:eastAsia="zh-CN"/>
        </w:rPr>
        <w:t>银行同业</w:t>
      </w:r>
      <w:r>
        <w:rPr>
          <w:rFonts w:hint="eastAsia" w:ascii="宋体" w:hAnsi="宋体" w:eastAsia="宋体" w:cs="Cambria"/>
          <w:color w:val="auto"/>
          <w:sz w:val="24"/>
          <w:szCs w:val="24"/>
          <w:highlight w:val="none"/>
        </w:rPr>
        <w:t>实施案例(需提供合同复印件和</w:t>
      </w:r>
      <w:r>
        <w:rPr>
          <w:rFonts w:hint="eastAsia" w:ascii="宋体" w:hAnsi="宋体" w:eastAsia="宋体" w:cs="Cambria"/>
          <w:color w:val="auto"/>
          <w:sz w:val="24"/>
          <w:szCs w:val="24"/>
          <w:highlight w:val="none"/>
          <w:lang w:val="en-US" w:eastAsia="zh-CN"/>
        </w:rPr>
        <w:t>项目简介、</w:t>
      </w:r>
      <w:r>
        <w:rPr>
          <w:rFonts w:ascii="宋体" w:hAnsi="宋体" w:eastAsia="宋体" w:cs="宋体"/>
          <w:color w:val="auto"/>
          <w:sz w:val="24"/>
          <w:szCs w:val="24"/>
          <w:highlight w:val="none"/>
        </w:rPr>
        <w:t>发票</w:t>
      </w:r>
      <w:r>
        <w:rPr>
          <w:rFonts w:hint="eastAsia" w:ascii="宋体" w:hAnsi="宋体" w:eastAsia="宋体" w:cs="Cambria"/>
          <w:color w:val="auto"/>
          <w:sz w:val="24"/>
          <w:szCs w:val="24"/>
          <w:highlight w:val="none"/>
          <w:lang w:val="en-US" w:eastAsia="zh-CN"/>
        </w:rPr>
        <w:t>等</w:t>
      </w:r>
      <w:r>
        <w:rPr>
          <w:rFonts w:hint="eastAsia" w:ascii="宋体" w:hAnsi="宋体" w:eastAsia="宋体" w:cs="Cambria"/>
          <w:color w:val="auto"/>
          <w:sz w:val="24"/>
          <w:szCs w:val="24"/>
          <w:highlight w:val="none"/>
        </w:rPr>
        <w:t>)。低于</w:t>
      </w:r>
      <w:r>
        <w:rPr>
          <w:rFonts w:hint="eastAsia" w:ascii="宋体" w:hAnsi="宋体" w:eastAsia="宋体" w:cs="Cambria"/>
          <w:color w:val="auto"/>
          <w:sz w:val="24"/>
          <w:szCs w:val="24"/>
          <w:highlight w:val="none"/>
          <w:lang w:val="en-US" w:eastAsia="zh-CN"/>
        </w:rPr>
        <w:t>1</w:t>
      </w:r>
      <w:r>
        <w:rPr>
          <w:rFonts w:hint="eastAsia" w:ascii="宋体" w:hAnsi="宋体" w:eastAsia="宋体" w:cs="Cambria"/>
          <w:color w:val="auto"/>
          <w:sz w:val="24"/>
          <w:szCs w:val="24"/>
          <w:highlight w:val="none"/>
        </w:rPr>
        <w:t>个案例（不含</w:t>
      </w:r>
      <w:r>
        <w:rPr>
          <w:rFonts w:hint="eastAsia" w:ascii="宋体" w:hAnsi="宋体" w:eastAsia="宋体" w:cs="Cambria"/>
          <w:color w:val="auto"/>
          <w:sz w:val="24"/>
          <w:szCs w:val="24"/>
          <w:highlight w:val="none"/>
          <w:lang w:val="en-US" w:eastAsia="zh-CN"/>
        </w:rPr>
        <w:t>1</w:t>
      </w:r>
      <w:r>
        <w:rPr>
          <w:rFonts w:hint="eastAsia" w:ascii="宋体" w:hAnsi="宋体" w:eastAsia="宋体" w:cs="Cambria"/>
          <w:color w:val="auto"/>
          <w:sz w:val="24"/>
          <w:szCs w:val="24"/>
          <w:highlight w:val="none"/>
        </w:rPr>
        <w:t>个）取消</w:t>
      </w:r>
      <w:r>
        <w:rPr>
          <w:rFonts w:hint="eastAsia" w:ascii="宋体" w:hAnsi="宋体" w:eastAsia="宋体" w:cs="Cambria"/>
          <w:color w:val="auto"/>
          <w:sz w:val="24"/>
          <w:szCs w:val="24"/>
          <w:highlight w:val="none"/>
          <w:lang w:eastAsia="zh-CN"/>
        </w:rPr>
        <w:t>参选</w:t>
      </w:r>
      <w:r>
        <w:rPr>
          <w:rFonts w:hint="eastAsia" w:ascii="宋体" w:hAnsi="宋体" w:eastAsia="宋体" w:cs="Cambria"/>
          <w:color w:val="auto"/>
          <w:sz w:val="24"/>
          <w:szCs w:val="24"/>
          <w:highlight w:val="none"/>
        </w:rPr>
        <w:t>资质</w:t>
      </w:r>
      <w:r>
        <w:rPr>
          <w:rFonts w:hint="eastAsia" w:ascii="宋体" w:hAnsi="宋体" w:eastAsia="宋体" w:cs="Cambria"/>
          <w:color w:val="auto"/>
          <w:sz w:val="24"/>
          <w:szCs w:val="24"/>
          <w:highlight w:val="none"/>
          <w:lang w:eastAsia="zh-CN"/>
        </w:rPr>
        <w:t>。</w:t>
      </w:r>
    </w:p>
    <w:p>
      <w:pPr>
        <w:spacing w:line="360" w:lineRule="auto"/>
        <w:ind w:firstLine="480" w:firstLineChars="200"/>
        <w:jc w:val="left"/>
        <w:outlineLvl w:val="1"/>
        <w:rPr>
          <w:rFonts w:hint="eastAsia" w:ascii="宋体" w:hAnsi="宋体"/>
          <w:color w:val="auto"/>
          <w:sz w:val="24"/>
          <w:szCs w:val="24"/>
          <w:highlight w:val="none"/>
        </w:rPr>
      </w:pPr>
      <w:r>
        <w:rPr>
          <w:rFonts w:hint="eastAsia" w:ascii="宋体" w:hAnsi="宋体"/>
          <w:color w:val="auto"/>
          <w:sz w:val="24"/>
          <w:szCs w:val="24"/>
          <w:highlight w:val="none"/>
        </w:rPr>
        <w:t xml:space="preserve">注: </w:t>
      </w:r>
      <w:r>
        <w:rPr>
          <w:rFonts w:hint="eastAsia" w:ascii="宋体" w:hAnsi="宋体" w:cs="Cambria"/>
          <w:snapToGrid w:val="0"/>
          <w:color w:val="auto"/>
          <w:kern w:val="0"/>
          <w:sz w:val="24"/>
          <w:szCs w:val="24"/>
          <w:highlight w:val="none"/>
        </w:rPr>
        <w:t>案</w:t>
      </w:r>
      <w:r>
        <w:rPr>
          <w:rFonts w:hint="eastAsia" w:ascii="宋体" w:hAnsi="宋体" w:cs="Cambria"/>
          <w:snapToGrid w:val="0"/>
          <w:color w:val="auto"/>
          <w:kern w:val="0"/>
          <w:sz w:val="24"/>
          <w:szCs w:val="24"/>
          <w:highlight w:val="none"/>
          <w:lang w:val="en-US" w:eastAsia="zh-CN"/>
        </w:rPr>
        <w:t>例须同时提供合同关键页复印件、合同对应的发票之一和网上税务系统查询该发票截图。（发票开具日期须晚于合同签订日期、发票购买方须与合同买方一致、发票销售方须与合同卖方（参选人）一致）</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ascii="宋体" w:hAnsi="宋体"/>
          <w:color w:val="auto"/>
          <w:sz w:val="24"/>
          <w:szCs w:val="24"/>
          <w:highlight w:val="none"/>
          <w:lang w:eastAsia="zh-CN"/>
        </w:rPr>
        <w:t>承诺</w:t>
      </w:r>
      <w:r>
        <w:rPr>
          <w:rFonts w:hint="eastAsia" w:ascii="宋体" w:hAnsi="宋体"/>
          <w:color w:val="auto"/>
          <w:sz w:val="24"/>
          <w:szCs w:val="24"/>
          <w:highlight w:val="none"/>
          <w:lang w:val="en-US" w:eastAsia="zh-CN"/>
        </w:rPr>
        <w:t>服务标准</w:t>
      </w:r>
      <w:r>
        <w:rPr>
          <w:rFonts w:ascii="宋体" w:hAnsi="宋体"/>
          <w:color w:val="auto"/>
          <w:sz w:val="24"/>
          <w:szCs w:val="24"/>
          <w:highlight w:val="none"/>
          <w:lang w:eastAsia="zh-CN"/>
        </w:rPr>
        <w:t>：响应时间</w:t>
      </w:r>
      <w:r>
        <w:rPr>
          <w:rFonts w:hint="eastAsia" w:ascii="宋体" w:hAnsi="宋体"/>
          <w:color w:val="auto"/>
          <w:sz w:val="24"/>
          <w:szCs w:val="24"/>
          <w:highlight w:val="none"/>
          <w:lang w:val="en-US" w:eastAsia="zh-CN"/>
        </w:rPr>
        <w:t>不</w:t>
      </w:r>
      <w:r>
        <w:rPr>
          <w:rFonts w:ascii="宋体" w:hAnsi="宋体"/>
          <w:color w:val="auto"/>
          <w:sz w:val="24"/>
          <w:szCs w:val="24"/>
          <w:highlight w:val="none"/>
          <w:lang w:eastAsia="zh-CN"/>
        </w:rPr>
        <w:t>超过</w:t>
      </w:r>
      <w:r>
        <w:rPr>
          <w:rFonts w:hint="eastAsia" w:ascii="宋体" w:hAnsi="宋体"/>
          <w:color w:val="auto"/>
          <w:sz w:val="24"/>
          <w:szCs w:val="24"/>
          <w:highlight w:val="none"/>
          <w:lang w:val="en-US" w:eastAsia="zh-CN"/>
        </w:rPr>
        <w:t>10分钟</w:t>
      </w:r>
      <w:r>
        <w:rPr>
          <w:rFonts w:ascii="宋体" w:hAnsi="宋体"/>
          <w:color w:val="auto"/>
          <w:sz w:val="24"/>
          <w:szCs w:val="24"/>
          <w:highlight w:val="none"/>
          <w:lang w:eastAsia="zh-CN"/>
        </w:rPr>
        <w:t>，</w:t>
      </w:r>
      <w:r>
        <w:rPr>
          <w:rFonts w:hint="eastAsia" w:ascii="宋体" w:hAnsi="宋体"/>
          <w:color w:val="auto"/>
          <w:sz w:val="24"/>
          <w:szCs w:val="24"/>
          <w:highlight w:val="none"/>
          <w:lang w:val="en-US" w:eastAsia="zh-CN"/>
        </w:rPr>
        <w:t>主城、万州辖区到达现场</w:t>
      </w:r>
      <w:r>
        <w:rPr>
          <w:rFonts w:ascii="宋体" w:hAnsi="宋体"/>
          <w:color w:val="auto"/>
          <w:sz w:val="24"/>
          <w:szCs w:val="24"/>
          <w:highlight w:val="none"/>
          <w:lang w:eastAsia="zh-CN"/>
        </w:rPr>
        <w:t>时间不超过</w:t>
      </w:r>
      <w:r>
        <w:rPr>
          <w:rFonts w:hint="eastAsia" w:ascii="宋体" w:hAnsi="宋体"/>
          <w:color w:val="auto"/>
          <w:sz w:val="24"/>
          <w:szCs w:val="24"/>
          <w:highlight w:val="none"/>
          <w:lang w:val="en-US" w:eastAsia="zh-CN"/>
        </w:rPr>
        <w:t>3小时，其他区县到达现场</w:t>
      </w:r>
      <w:r>
        <w:rPr>
          <w:rFonts w:ascii="宋体" w:hAnsi="宋体"/>
          <w:color w:val="auto"/>
          <w:sz w:val="24"/>
          <w:szCs w:val="24"/>
          <w:highlight w:val="none"/>
          <w:lang w:eastAsia="zh-CN"/>
        </w:rPr>
        <w:t>不超过</w:t>
      </w:r>
      <w:r>
        <w:rPr>
          <w:rFonts w:hint="eastAsia" w:ascii="宋体" w:hAnsi="宋体"/>
          <w:color w:val="auto"/>
          <w:sz w:val="24"/>
          <w:szCs w:val="24"/>
          <w:highlight w:val="none"/>
          <w:lang w:val="en-US" w:eastAsia="zh-CN"/>
        </w:rPr>
        <w:t>6小时。（</w:t>
      </w:r>
      <w:r>
        <w:rPr>
          <w:rFonts w:ascii="宋体" w:hAnsi="宋体"/>
          <w:color w:val="auto"/>
          <w:sz w:val="24"/>
          <w:szCs w:val="24"/>
          <w:highlight w:val="none"/>
          <w:lang w:val="zh-CN" w:eastAsia="zh-CN"/>
        </w:rPr>
        <w:t>提供书面承诺</w:t>
      </w:r>
      <w:r>
        <w:rPr>
          <w:rFonts w:hint="eastAsia" w:ascii="宋体" w:hAnsi="宋体"/>
          <w:color w:val="auto"/>
          <w:sz w:val="24"/>
          <w:szCs w:val="24"/>
          <w:highlight w:val="none"/>
          <w:lang w:val="zh-CN" w:eastAsia="zh-CN"/>
        </w:rPr>
        <w:t>，</w:t>
      </w:r>
      <w:r>
        <w:rPr>
          <w:rFonts w:hint="eastAsia" w:ascii="宋体" w:hAnsi="宋体"/>
          <w:color w:val="auto"/>
          <w:sz w:val="24"/>
          <w:szCs w:val="24"/>
          <w:highlight w:val="none"/>
          <w:lang w:val="en-US" w:eastAsia="zh-CN"/>
        </w:rPr>
        <w:t>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lang w:eastAsia="zh-CN"/>
        </w:rPr>
      </w:pPr>
      <w:r>
        <w:rPr>
          <w:rFonts w:hint="eastAsia" w:ascii="宋体" w:hAnsi="宋体" w:cs="Cambria Math"/>
          <w:color w:val="auto"/>
          <w:kern w:val="2"/>
          <w:sz w:val="24"/>
          <w:szCs w:val="24"/>
          <w:highlight w:val="none"/>
          <w:lang w:val="en-US" w:eastAsia="zh-CN" w:bidi="ar-SA"/>
        </w:rPr>
        <w:t>3、</w:t>
      </w:r>
      <w:r>
        <w:rPr>
          <w:rFonts w:hint="eastAsia" w:ascii="宋体" w:hAnsi="宋体" w:eastAsia="宋体" w:cs="Cambria Math"/>
          <w:color w:val="auto"/>
          <w:kern w:val="2"/>
          <w:sz w:val="24"/>
          <w:szCs w:val="24"/>
          <w:highlight w:val="none"/>
          <w:lang w:val="en-US" w:eastAsia="zh-CN" w:bidi="ar-SA"/>
        </w:rPr>
        <w:t>参选人需获得以下ISO体系资质认证：ISO9001（质量管理）、ISO20000（服务管理）、ISO27001（信息安全）。（提供体系认证证书复印件）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cs="Cambria"/>
          <w:snapToGrid w:val="0"/>
          <w:color w:val="auto"/>
          <w:kern w:val="0"/>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参选人派出的项目经理</w:t>
      </w:r>
      <w:r>
        <w:rPr>
          <w:rFonts w:ascii="宋体" w:hAnsi="宋体" w:eastAsia="宋体" w:cs="宋体"/>
          <w:color w:val="auto"/>
          <w:kern w:val="2"/>
          <w:sz w:val="24"/>
          <w:szCs w:val="24"/>
          <w:highlight w:val="none"/>
          <w:lang w:val="en-US" w:eastAsia="zh-CN"/>
        </w:rPr>
        <w:t>必需</w:t>
      </w:r>
      <w:r>
        <w:rPr>
          <w:rFonts w:hint="eastAsia" w:ascii="宋体" w:hAnsi="宋体" w:eastAsia="宋体" w:cs="宋体"/>
          <w:color w:val="auto"/>
          <w:kern w:val="2"/>
          <w:sz w:val="24"/>
          <w:szCs w:val="24"/>
          <w:highlight w:val="none"/>
          <w:lang w:val="en-US" w:eastAsia="zh-CN"/>
        </w:rPr>
        <w:t>有2年（含）以上桌面终端设备维护类项目的管理经验。（提供个人简历及参保证明，格式自拟）</w:t>
      </w:r>
    </w:p>
    <w:p>
      <w:pPr>
        <w:pStyle w:val="13"/>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注:以上证明文件若比选人存疑，参选人需提供原件备查，参选文件中须附相关证明文件复印件并逐页加盖公章。</w:t>
      </w:r>
    </w:p>
    <w:p>
      <w:pPr>
        <w:pStyle w:val="13"/>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w:t>
      </w:r>
      <w:r>
        <w:rPr>
          <w:rFonts w:ascii="宋体" w:hAnsi="宋体"/>
          <w:color w:val="auto"/>
          <w:sz w:val="24"/>
          <w:szCs w:val="24"/>
          <w:highlight w:val="none"/>
        </w:rPr>
        <w:t>比选</w:t>
      </w:r>
      <w:r>
        <w:rPr>
          <w:rFonts w:hint="eastAsia" w:ascii="宋体" w:hAnsi="宋体"/>
          <w:color w:val="auto"/>
          <w:sz w:val="24"/>
          <w:szCs w:val="24"/>
          <w:highlight w:val="none"/>
        </w:rPr>
        <w:t>不接受曾因参选人的违约行为与比选人发生过纠纷的参选人；</w:t>
      </w:r>
      <w:r>
        <w:rPr>
          <w:rFonts w:ascii="宋体" w:hAnsi="宋体"/>
          <w:color w:val="auto"/>
          <w:sz w:val="24"/>
          <w:szCs w:val="24"/>
          <w:highlight w:val="none"/>
        </w:rPr>
        <w:t>不接受</w:t>
      </w:r>
      <w:r>
        <w:rPr>
          <w:rFonts w:hint="eastAsia" w:ascii="宋体" w:hAnsi="宋体"/>
          <w:color w:val="auto"/>
          <w:sz w:val="24"/>
          <w:szCs w:val="24"/>
          <w:highlight w:val="none"/>
        </w:rPr>
        <w:t>与比选人合作过程中不遵守比选文件及合同约定的</w:t>
      </w:r>
      <w:r>
        <w:rPr>
          <w:rFonts w:ascii="宋体" w:hAnsi="宋体"/>
          <w:color w:val="auto"/>
          <w:sz w:val="24"/>
          <w:szCs w:val="24"/>
          <w:highlight w:val="none"/>
        </w:rPr>
        <w:t>参选人</w:t>
      </w:r>
      <w:r>
        <w:rPr>
          <w:rFonts w:hint="eastAsia" w:ascii="宋体" w:hAnsi="宋体"/>
          <w:color w:val="auto"/>
          <w:sz w:val="24"/>
          <w:szCs w:val="24"/>
          <w:highlight w:val="none"/>
        </w:rPr>
        <w:t>；</w:t>
      </w:r>
      <w:r>
        <w:rPr>
          <w:rFonts w:ascii="宋体" w:hAnsi="宋体"/>
          <w:color w:val="auto"/>
          <w:sz w:val="24"/>
          <w:szCs w:val="24"/>
          <w:highlight w:val="none"/>
        </w:rPr>
        <w:t>不接受</w:t>
      </w:r>
      <w:r>
        <w:rPr>
          <w:rFonts w:hint="eastAsia" w:ascii="宋体" w:hAnsi="宋体"/>
          <w:color w:val="auto"/>
          <w:sz w:val="24"/>
          <w:szCs w:val="24"/>
          <w:highlight w:val="none"/>
        </w:rPr>
        <w:t>曾在</w:t>
      </w:r>
      <w:r>
        <w:rPr>
          <w:rFonts w:ascii="宋体" w:hAnsi="宋体"/>
          <w:color w:val="auto"/>
          <w:sz w:val="24"/>
          <w:szCs w:val="24"/>
          <w:highlight w:val="none"/>
        </w:rPr>
        <w:t>比选人</w:t>
      </w:r>
      <w:r>
        <w:rPr>
          <w:rFonts w:hint="eastAsia" w:ascii="宋体" w:hAnsi="宋体"/>
          <w:color w:val="auto"/>
          <w:sz w:val="24"/>
          <w:szCs w:val="24"/>
          <w:highlight w:val="none"/>
        </w:rPr>
        <w:t>项目</w:t>
      </w:r>
      <w:r>
        <w:rPr>
          <w:rFonts w:ascii="宋体" w:hAnsi="宋体"/>
          <w:color w:val="auto"/>
          <w:sz w:val="24"/>
          <w:szCs w:val="24"/>
          <w:highlight w:val="none"/>
        </w:rPr>
        <w:t>中存在</w:t>
      </w:r>
      <w:r>
        <w:rPr>
          <w:rFonts w:hint="eastAsia" w:ascii="宋体" w:hAnsi="宋体"/>
          <w:color w:val="auto"/>
          <w:sz w:val="24"/>
          <w:szCs w:val="24"/>
          <w:highlight w:val="none"/>
        </w:rPr>
        <w:t>弄虚作假行为的</w:t>
      </w:r>
      <w:r>
        <w:rPr>
          <w:rFonts w:ascii="宋体" w:hAnsi="宋体"/>
          <w:color w:val="auto"/>
          <w:sz w:val="24"/>
          <w:szCs w:val="24"/>
          <w:highlight w:val="none"/>
        </w:rPr>
        <w:t>参选人。若</w:t>
      </w:r>
      <w:r>
        <w:rPr>
          <w:rFonts w:hint="eastAsia" w:ascii="宋体" w:hAnsi="宋体"/>
          <w:color w:val="auto"/>
          <w:sz w:val="24"/>
          <w:szCs w:val="24"/>
          <w:highlight w:val="none"/>
        </w:rPr>
        <w:t>参选人</w:t>
      </w:r>
      <w:r>
        <w:rPr>
          <w:rFonts w:ascii="宋体" w:hAnsi="宋体"/>
          <w:color w:val="auto"/>
          <w:sz w:val="24"/>
          <w:szCs w:val="24"/>
          <w:highlight w:val="none"/>
        </w:rPr>
        <w:t>存在上述情况，比选人</w:t>
      </w:r>
      <w:r>
        <w:rPr>
          <w:rFonts w:hint="eastAsia" w:ascii="宋体" w:hAnsi="宋体"/>
          <w:color w:val="auto"/>
          <w:sz w:val="24"/>
          <w:szCs w:val="24"/>
          <w:highlight w:val="none"/>
        </w:rPr>
        <w:t>将</w:t>
      </w:r>
      <w:r>
        <w:rPr>
          <w:rFonts w:ascii="宋体" w:hAnsi="宋体"/>
          <w:color w:val="auto"/>
          <w:sz w:val="24"/>
          <w:szCs w:val="24"/>
          <w:highlight w:val="none"/>
        </w:rPr>
        <w:t>有权</w:t>
      </w:r>
      <w:r>
        <w:rPr>
          <w:rFonts w:hint="eastAsia" w:ascii="宋体" w:hAnsi="宋体"/>
          <w:color w:val="auto"/>
          <w:sz w:val="24"/>
          <w:szCs w:val="24"/>
          <w:highlight w:val="none"/>
        </w:rPr>
        <w:t>随时</w:t>
      </w:r>
      <w:r>
        <w:rPr>
          <w:rFonts w:ascii="宋体" w:hAnsi="宋体"/>
          <w:color w:val="auto"/>
          <w:sz w:val="24"/>
          <w:szCs w:val="24"/>
          <w:highlight w:val="none"/>
        </w:rPr>
        <w:t>取消其参选资格或</w:t>
      </w:r>
      <w:r>
        <w:rPr>
          <w:rFonts w:hint="eastAsia" w:ascii="宋体" w:hAnsi="宋体"/>
          <w:color w:val="auto"/>
          <w:sz w:val="24"/>
          <w:szCs w:val="24"/>
          <w:highlight w:val="none"/>
        </w:rPr>
        <w:t>中选</w:t>
      </w:r>
      <w:r>
        <w:rPr>
          <w:rFonts w:ascii="宋体" w:hAnsi="宋体"/>
          <w:color w:val="auto"/>
          <w:sz w:val="24"/>
          <w:szCs w:val="24"/>
          <w:highlight w:val="none"/>
        </w:rPr>
        <w:t>资格（</w:t>
      </w:r>
      <w:r>
        <w:rPr>
          <w:rFonts w:hint="eastAsia" w:ascii="宋体" w:hAnsi="宋体"/>
          <w:color w:val="auto"/>
          <w:sz w:val="24"/>
          <w:szCs w:val="24"/>
          <w:highlight w:val="none"/>
        </w:rPr>
        <w:t>若</w:t>
      </w:r>
      <w:r>
        <w:rPr>
          <w:rFonts w:ascii="宋体" w:hAnsi="宋体"/>
          <w:color w:val="auto"/>
          <w:sz w:val="24"/>
          <w:szCs w:val="24"/>
          <w:highlight w:val="none"/>
        </w:rPr>
        <w:t>签署合同后发现的则有权解除合同）</w:t>
      </w:r>
      <w:r>
        <w:rPr>
          <w:rFonts w:hint="eastAsia" w:ascii="宋体" w:hAnsi="宋体"/>
          <w:color w:val="auto"/>
          <w:sz w:val="24"/>
          <w:szCs w:val="24"/>
          <w:highlight w:val="none"/>
        </w:rPr>
        <w:t>，没收</w:t>
      </w:r>
      <w:r>
        <w:rPr>
          <w:rFonts w:ascii="宋体" w:hAnsi="宋体"/>
          <w:color w:val="auto"/>
          <w:sz w:val="24"/>
          <w:szCs w:val="24"/>
          <w:highlight w:val="none"/>
        </w:rPr>
        <w:t>其</w:t>
      </w:r>
      <w:r>
        <w:rPr>
          <w:rFonts w:hint="eastAsia" w:ascii="宋体" w:hAnsi="宋体"/>
          <w:color w:val="auto"/>
          <w:sz w:val="24"/>
          <w:szCs w:val="24"/>
          <w:highlight w:val="none"/>
        </w:rPr>
        <w:t>参选</w:t>
      </w:r>
      <w:r>
        <w:rPr>
          <w:rFonts w:ascii="宋体" w:hAnsi="宋体"/>
          <w:color w:val="auto"/>
          <w:sz w:val="24"/>
          <w:szCs w:val="24"/>
          <w:highlight w:val="none"/>
        </w:rPr>
        <w:t>保证金，并追究其相应的法律责任。</w:t>
      </w:r>
      <w:r>
        <w:rPr>
          <w:rFonts w:hint="eastAsia" w:ascii="宋体" w:hAnsi="宋体"/>
          <w:color w:val="auto"/>
          <w:sz w:val="24"/>
          <w:szCs w:val="24"/>
          <w:highlight w:val="none"/>
        </w:rPr>
        <w:t>截止</w:t>
      </w:r>
      <w:r>
        <w:rPr>
          <w:rFonts w:ascii="宋体" w:hAnsi="宋体"/>
          <w:color w:val="auto"/>
          <w:sz w:val="24"/>
          <w:szCs w:val="24"/>
          <w:highlight w:val="none"/>
        </w:rPr>
        <w:t>挂网日，</w:t>
      </w:r>
      <w:r>
        <w:rPr>
          <w:rFonts w:hint="eastAsia" w:ascii="宋体" w:hAnsi="宋体"/>
          <w:color w:val="auto"/>
          <w:sz w:val="24"/>
          <w:szCs w:val="24"/>
          <w:highlight w:val="none"/>
        </w:rPr>
        <w:t>存在</w:t>
      </w:r>
      <w:r>
        <w:rPr>
          <w:rFonts w:ascii="宋体" w:hAnsi="宋体"/>
          <w:color w:val="auto"/>
          <w:sz w:val="24"/>
          <w:szCs w:val="24"/>
          <w:highlight w:val="none"/>
        </w:rPr>
        <w:t>上述情况的公司</w:t>
      </w:r>
      <w:r>
        <w:rPr>
          <w:rFonts w:hint="eastAsia" w:ascii="宋体" w:hAnsi="宋体"/>
          <w:color w:val="auto"/>
          <w:sz w:val="24"/>
          <w:szCs w:val="24"/>
          <w:highlight w:val="none"/>
        </w:rPr>
        <w:t>已纳入</w:t>
      </w:r>
      <w:r>
        <w:rPr>
          <w:rFonts w:ascii="宋体" w:hAnsi="宋体"/>
          <w:color w:val="auto"/>
          <w:sz w:val="24"/>
          <w:szCs w:val="24"/>
          <w:highlight w:val="none"/>
        </w:rPr>
        <w:t>下列清单</w:t>
      </w:r>
      <w:r>
        <w:rPr>
          <w:rFonts w:hint="eastAsia" w:ascii="宋体" w:hAnsi="宋体"/>
          <w:color w:val="auto"/>
          <w:sz w:val="24"/>
          <w:szCs w:val="24"/>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pStyle w:val="13"/>
              <w:spacing w:line="360" w:lineRule="auto"/>
              <w:rPr>
                <w:rFonts w:ascii="宋体" w:hAnsi="宋体"/>
                <w:color w:val="auto"/>
                <w:sz w:val="24"/>
                <w:szCs w:val="24"/>
                <w:highlight w:val="none"/>
              </w:rPr>
            </w:pPr>
            <w:r>
              <w:rPr>
                <w:rFonts w:hint="eastAsia" w:ascii="宋体" w:hAnsi="宋体"/>
                <w:color w:val="auto"/>
                <w:sz w:val="24"/>
                <w:szCs w:val="24"/>
                <w:highlight w:val="none"/>
              </w:rPr>
              <w:t>序号</w:t>
            </w:r>
          </w:p>
        </w:tc>
        <w:tc>
          <w:tcPr>
            <w:tcW w:w="4933" w:type="dxa"/>
          </w:tcPr>
          <w:p>
            <w:pPr>
              <w:pStyle w:val="13"/>
              <w:spacing w:line="360" w:lineRule="auto"/>
              <w:rPr>
                <w:rFonts w:ascii="宋体" w:hAnsi="宋体"/>
                <w:color w:val="auto"/>
                <w:sz w:val="24"/>
                <w:szCs w:val="24"/>
                <w:highlight w:val="none"/>
              </w:rPr>
            </w:pPr>
            <w:r>
              <w:rPr>
                <w:rFonts w:hint="eastAsia" w:ascii="宋体" w:hAnsi="宋体"/>
                <w:color w:val="auto"/>
                <w:sz w:val="24"/>
                <w:szCs w:val="24"/>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pStyle w:val="13"/>
              <w:spacing w:line="360" w:lineRule="auto"/>
              <w:rPr>
                <w:rFonts w:ascii="宋体" w:hAnsi="宋体"/>
                <w:color w:val="auto"/>
                <w:sz w:val="24"/>
                <w:szCs w:val="24"/>
                <w:highlight w:val="none"/>
              </w:rPr>
            </w:pPr>
            <w:r>
              <w:rPr>
                <w:rFonts w:hint="eastAsia" w:ascii="宋体" w:hAnsi="宋体"/>
                <w:color w:val="auto"/>
                <w:sz w:val="24"/>
                <w:szCs w:val="24"/>
                <w:highlight w:val="none"/>
              </w:rPr>
              <w:t>1</w:t>
            </w:r>
          </w:p>
        </w:tc>
        <w:tc>
          <w:tcPr>
            <w:tcW w:w="4933" w:type="dxa"/>
          </w:tcPr>
          <w:p>
            <w:pPr>
              <w:pStyle w:val="13"/>
              <w:spacing w:line="360" w:lineRule="auto"/>
              <w:rPr>
                <w:rFonts w:ascii="宋体" w:hAnsi="宋体"/>
                <w:color w:val="auto"/>
                <w:sz w:val="24"/>
                <w:szCs w:val="24"/>
                <w:highlight w:val="none"/>
              </w:rPr>
            </w:pPr>
            <w:r>
              <w:rPr>
                <w:rFonts w:hint="eastAsia" w:ascii="宋体" w:hAnsi="宋体"/>
                <w:color w:val="auto"/>
                <w:sz w:val="24"/>
                <w:szCs w:val="24"/>
                <w:highlight w:val="none"/>
              </w:rPr>
              <w:t>依米康软件</w:t>
            </w:r>
            <w:r>
              <w:rPr>
                <w:rFonts w:ascii="宋体" w:hAnsi="宋体"/>
                <w:color w:val="auto"/>
                <w:sz w:val="24"/>
                <w:szCs w:val="24"/>
                <w:highlight w:val="none"/>
              </w:rPr>
              <w:t>技术（</w:t>
            </w:r>
            <w:r>
              <w:rPr>
                <w:rFonts w:hint="eastAsia" w:ascii="宋体" w:hAnsi="宋体"/>
                <w:color w:val="auto"/>
                <w:sz w:val="24"/>
                <w:szCs w:val="24"/>
                <w:highlight w:val="none"/>
              </w:rPr>
              <w:t>深圳</w:t>
            </w:r>
            <w:r>
              <w:rPr>
                <w:rFonts w:ascii="宋体" w:hAnsi="宋体"/>
                <w:color w:val="auto"/>
                <w:sz w:val="24"/>
                <w:szCs w:val="24"/>
                <w:highlight w:val="none"/>
              </w:rPr>
              <w:t>）</w:t>
            </w:r>
            <w:r>
              <w:rPr>
                <w:rFonts w:hint="eastAsia" w:ascii="宋体" w:hAnsi="宋体"/>
                <w:color w:val="auto"/>
                <w:sz w:val="24"/>
                <w:szCs w:val="24"/>
                <w:highlight w:val="none"/>
              </w:rPr>
              <w:t>有限责任</w:t>
            </w:r>
            <w:r>
              <w:rPr>
                <w:rFonts w:ascii="宋体" w:hAnsi="宋体"/>
                <w:color w:val="auto"/>
                <w:sz w:val="24"/>
                <w:szCs w:val="24"/>
                <w:highlight w:val="none"/>
              </w:rPr>
              <w:t>公司</w:t>
            </w:r>
          </w:p>
        </w:tc>
      </w:tr>
    </w:tbl>
    <w:p>
      <w:pPr>
        <w:pStyle w:val="13"/>
        <w:spacing w:line="360" w:lineRule="auto"/>
        <w:ind w:firstLine="480" w:firstLineChars="200"/>
        <w:rPr>
          <w:rFonts w:ascii="宋体" w:hAnsi="宋体"/>
          <w:color w:val="auto"/>
          <w:sz w:val="24"/>
          <w:szCs w:val="24"/>
          <w:highlight w:val="none"/>
        </w:rPr>
      </w:pPr>
    </w:p>
    <w:bookmarkEnd w:id="12"/>
    <w:p>
      <w:pPr>
        <w:pStyle w:val="4"/>
        <w:rPr>
          <w:color w:val="auto"/>
          <w:highlight w:val="none"/>
        </w:rPr>
      </w:pPr>
      <w:bookmarkStart w:id="13" w:name="_Toc55379220"/>
      <w:bookmarkStart w:id="14" w:name="_Toc469574667"/>
      <w:bookmarkStart w:id="15" w:name="_Toc89675130"/>
      <w:bookmarkStart w:id="16" w:name="_Toc297817090"/>
      <w:r>
        <w:rPr>
          <w:rFonts w:hint="eastAsia"/>
          <w:color w:val="auto"/>
          <w:highlight w:val="none"/>
        </w:rPr>
        <w:t>三、比选文件的获取</w:t>
      </w:r>
      <w:bookmarkEnd w:id="13"/>
    </w:p>
    <w:p>
      <w:pPr>
        <w:pStyle w:val="13"/>
        <w:spacing w:line="360" w:lineRule="auto"/>
        <w:ind w:firstLine="480" w:firstLineChars="200"/>
        <w:jc w:val="left"/>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u w:val="none"/>
        </w:rPr>
        <w:t>获取时间和方式：从</w:t>
      </w:r>
      <w:r>
        <w:rPr>
          <w:rFonts w:hint="eastAsia" w:ascii="宋体" w:cs="Cambria"/>
          <w:snapToGrid w:val="0"/>
          <w:color w:val="auto"/>
          <w:kern w:val="0"/>
          <w:sz w:val="24"/>
          <w:szCs w:val="24"/>
          <w:highlight w:val="none"/>
          <w:u w:val="none"/>
          <w:lang w:val="en-US" w:eastAsia="zh-CN"/>
        </w:rPr>
        <w:t>2024</w:t>
      </w:r>
      <w:r>
        <w:rPr>
          <w:rFonts w:hint="eastAsia" w:ascii="宋体" w:cs="Cambria"/>
          <w:snapToGrid w:val="0"/>
          <w:color w:val="auto"/>
          <w:kern w:val="0"/>
          <w:sz w:val="24"/>
          <w:szCs w:val="24"/>
          <w:highlight w:val="none"/>
          <w:u w:val="none"/>
        </w:rPr>
        <w:t>年</w:t>
      </w:r>
      <w:r>
        <w:rPr>
          <w:rFonts w:hint="eastAsia" w:ascii="宋体" w:cs="Cambria"/>
          <w:snapToGrid w:val="0"/>
          <w:color w:val="auto"/>
          <w:kern w:val="0"/>
          <w:sz w:val="24"/>
          <w:szCs w:val="24"/>
          <w:highlight w:val="none"/>
          <w:u w:val="none"/>
          <w:lang w:val="en-US" w:eastAsia="zh-CN"/>
        </w:rPr>
        <w:t>1</w:t>
      </w:r>
      <w:r>
        <w:rPr>
          <w:rFonts w:hint="eastAsia" w:ascii="宋体" w:cs="Cambria"/>
          <w:snapToGrid w:val="0"/>
          <w:color w:val="auto"/>
          <w:kern w:val="0"/>
          <w:sz w:val="24"/>
          <w:szCs w:val="24"/>
          <w:highlight w:val="none"/>
          <w:u w:val="none"/>
        </w:rPr>
        <w:t>月</w:t>
      </w:r>
      <w:r>
        <w:rPr>
          <w:rFonts w:hint="eastAsia" w:ascii="宋体" w:cs="Cambria"/>
          <w:snapToGrid w:val="0"/>
          <w:color w:val="auto"/>
          <w:kern w:val="0"/>
          <w:sz w:val="24"/>
          <w:szCs w:val="24"/>
          <w:highlight w:val="none"/>
          <w:u w:val="none"/>
          <w:lang w:val="en-US" w:eastAsia="zh-CN"/>
        </w:rPr>
        <w:t>17</w:t>
      </w:r>
      <w:r>
        <w:rPr>
          <w:rFonts w:hint="eastAsia" w:ascii="宋体" w:cs="Cambria"/>
          <w:snapToGrid w:val="0"/>
          <w:color w:val="auto"/>
          <w:kern w:val="0"/>
          <w:sz w:val="24"/>
          <w:szCs w:val="24"/>
          <w:highlight w:val="none"/>
          <w:u w:val="none"/>
        </w:rPr>
        <w:t>日到</w:t>
      </w:r>
      <w:r>
        <w:rPr>
          <w:rFonts w:hint="eastAsia" w:ascii="宋体" w:cs="Cambria"/>
          <w:snapToGrid w:val="0"/>
          <w:color w:val="auto"/>
          <w:kern w:val="0"/>
          <w:sz w:val="24"/>
          <w:szCs w:val="24"/>
          <w:highlight w:val="none"/>
          <w:u w:val="none"/>
          <w:lang w:val="en-US" w:eastAsia="zh-CN"/>
        </w:rPr>
        <w:t>2024</w:t>
      </w:r>
      <w:r>
        <w:rPr>
          <w:rFonts w:hint="eastAsia" w:ascii="宋体" w:cs="Cambria"/>
          <w:snapToGrid w:val="0"/>
          <w:color w:val="auto"/>
          <w:kern w:val="0"/>
          <w:sz w:val="24"/>
          <w:szCs w:val="24"/>
          <w:highlight w:val="none"/>
          <w:u w:val="none"/>
        </w:rPr>
        <w:t>年</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月</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日</w:t>
      </w:r>
      <w:r>
        <w:rPr>
          <w:rFonts w:hint="eastAsia" w:ascii="宋体" w:cs="Cambria"/>
          <w:snapToGrid w:val="0"/>
          <w:color w:val="auto"/>
          <w:kern w:val="0"/>
          <w:sz w:val="24"/>
          <w:szCs w:val="24"/>
          <w:highlight w:val="none"/>
          <w:u w:val="none"/>
          <w:lang w:val="en-US" w:eastAsia="zh-CN"/>
        </w:rPr>
        <w:t>11</w:t>
      </w:r>
      <w:r>
        <w:rPr>
          <w:rFonts w:hint="eastAsia" w:ascii="宋体" w:cs="Cambria"/>
          <w:snapToGrid w:val="0"/>
          <w:color w:val="auto"/>
          <w:kern w:val="0"/>
          <w:sz w:val="24"/>
          <w:szCs w:val="24"/>
          <w:highlight w:val="none"/>
          <w:u w:val="none"/>
        </w:rPr>
        <w:t>时</w:t>
      </w:r>
      <w:r>
        <w:rPr>
          <w:rFonts w:hint="eastAsia" w:ascii="宋体" w:cs="Cambria"/>
          <w:snapToGrid w:val="0"/>
          <w:color w:val="auto"/>
          <w:kern w:val="0"/>
          <w:sz w:val="24"/>
          <w:szCs w:val="24"/>
          <w:highlight w:val="none"/>
          <w:u w:val="none"/>
          <w:lang w:val="en-US" w:eastAsia="zh-CN"/>
        </w:rPr>
        <w:t>0</w:t>
      </w:r>
      <w:r>
        <w:rPr>
          <w:rFonts w:hint="eastAsia" w:ascii="宋体" w:cs="Cambria"/>
          <w:snapToGrid w:val="0"/>
          <w:color w:val="auto"/>
          <w:kern w:val="0"/>
          <w:sz w:val="24"/>
          <w:szCs w:val="24"/>
          <w:highlight w:val="none"/>
          <w:u w:val="none"/>
        </w:rPr>
        <w:t>分（北京</w:t>
      </w:r>
      <w:r>
        <w:rPr>
          <w:rFonts w:hint="eastAsia" w:ascii="宋体" w:cs="Cambria"/>
          <w:snapToGrid w:val="0"/>
          <w:color w:val="auto"/>
          <w:kern w:val="0"/>
          <w:sz w:val="24"/>
          <w:szCs w:val="24"/>
          <w:highlight w:val="none"/>
        </w:rPr>
        <w:t>时间），在重庆市公共资源交易网（www.cqggzy.com）下载比选文件。</w:t>
      </w:r>
    </w:p>
    <w:p>
      <w:pPr>
        <w:pStyle w:val="4"/>
        <w:rPr>
          <w:color w:val="auto"/>
          <w:highlight w:val="none"/>
        </w:rPr>
      </w:pPr>
      <w:bookmarkStart w:id="17" w:name="_Toc55379221"/>
      <w:r>
        <w:rPr>
          <w:rFonts w:hint="eastAsia"/>
          <w:color w:val="auto"/>
          <w:highlight w:val="none"/>
        </w:rPr>
        <w:t>四、比选保证金的递交</w:t>
      </w:r>
      <w:bookmarkEnd w:id="14"/>
      <w:bookmarkEnd w:id="15"/>
      <w:bookmarkEnd w:id="16"/>
      <w:bookmarkEnd w:id="17"/>
    </w:p>
    <w:p>
      <w:pPr>
        <w:snapToGrid w:val="0"/>
        <w:spacing w:line="360" w:lineRule="auto"/>
        <w:ind w:firstLine="480" w:firstLineChars="200"/>
        <w:rPr>
          <w:rFonts w:ascii="宋体" w:hAnsi="宋体" w:cs="Cambria"/>
          <w:snapToGrid w:val="0"/>
          <w:color w:val="auto"/>
          <w:kern w:val="0"/>
          <w:sz w:val="24"/>
          <w:szCs w:val="24"/>
          <w:highlight w:val="none"/>
        </w:rPr>
      </w:pPr>
      <w:bookmarkStart w:id="18" w:name="_Toc55379222"/>
      <w:bookmarkStart w:id="19" w:name="_Toc89675131"/>
      <w:bookmarkStart w:id="20" w:name="_Toc297817091"/>
      <w:bookmarkStart w:id="21" w:name="_Toc469574668"/>
      <w:r>
        <w:rPr>
          <w:rFonts w:hint="eastAsia" w:ascii="宋体" w:hAnsi="宋体" w:cs="Cambria"/>
          <w:snapToGrid w:val="0"/>
          <w:color w:val="auto"/>
          <w:kern w:val="0"/>
          <w:sz w:val="24"/>
          <w:szCs w:val="24"/>
          <w:highlight w:val="none"/>
        </w:rPr>
        <w:t>1、参选保证金的金额：</w:t>
      </w:r>
      <w:r>
        <w:rPr>
          <w:rFonts w:hint="eastAsia" w:ascii="宋体" w:hAnsi="宋体" w:cs="Cambria"/>
          <w:b/>
          <w:bCs/>
          <w:color w:val="auto"/>
          <w:sz w:val="24"/>
          <w:szCs w:val="24"/>
          <w:highlight w:val="none"/>
          <w:lang w:val="en-US" w:eastAsia="zh-CN"/>
        </w:rPr>
        <w:t>26000</w:t>
      </w:r>
      <w:r>
        <w:rPr>
          <w:rFonts w:hint="eastAsia" w:ascii="宋体" w:hAnsi="宋体" w:cs="Cambria"/>
          <w:b/>
          <w:bCs/>
          <w:snapToGrid w:val="0"/>
          <w:color w:val="auto"/>
          <w:kern w:val="0"/>
          <w:sz w:val="24"/>
          <w:szCs w:val="24"/>
          <w:highlight w:val="none"/>
        </w:rPr>
        <w:t>元整（大写：</w:t>
      </w:r>
      <w:r>
        <w:rPr>
          <w:rFonts w:hint="eastAsia" w:ascii="宋体" w:hAnsi="宋体" w:cs="Cambria"/>
          <w:b/>
          <w:bCs/>
          <w:color w:val="auto"/>
          <w:sz w:val="24"/>
          <w:szCs w:val="24"/>
          <w:highlight w:val="none"/>
          <w:lang w:val="en-US" w:eastAsia="zh-CN"/>
        </w:rPr>
        <w:t>贰万陆仟</w:t>
      </w:r>
      <w:r>
        <w:rPr>
          <w:rFonts w:hint="eastAsia" w:ascii="宋体" w:hAnsi="宋体" w:cs="Cambria"/>
          <w:b/>
          <w:bCs/>
          <w:snapToGrid w:val="0"/>
          <w:color w:val="auto"/>
          <w:kern w:val="0"/>
          <w:sz w:val="24"/>
          <w:szCs w:val="24"/>
          <w:highlight w:val="none"/>
        </w:rPr>
        <w:t>元整）</w:t>
      </w:r>
      <w:r>
        <w:rPr>
          <w:rFonts w:hint="eastAsia" w:ascii="宋体" w:hAnsi="宋体" w:cs="Cambria"/>
          <w:snapToGrid w:val="0"/>
          <w:color w:val="auto"/>
          <w:kern w:val="0"/>
          <w:sz w:val="24"/>
          <w:szCs w:val="24"/>
          <w:highlight w:val="none"/>
        </w:rPr>
        <w:t>。</w:t>
      </w:r>
    </w:p>
    <w:p>
      <w:pPr>
        <w:snapToGrid w:val="0"/>
        <w:spacing w:line="360" w:lineRule="auto"/>
        <w:ind w:firstLine="480" w:firstLineChars="200"/>
        <w:rPr>
          <w:rFonts w:hint="eastAsia" w:ascii="宋体" w:hAnsi="宋体" w:eastAsia="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r>
        <w:rPr>
          <w:rFonts w:hint="eastAsia" w:ascii="宋体" w:cs="Cambria"/>
          <w:b/>
          <w:snapToGrid w:val="0"/>
          <w:color w:val="auto"/>
          <w:kern w:val="0"/>
          <w:sz w:val="24"/>
          <w:szCs w:val="24"/>
          <w:highlight w:val="none"/>
        </w:rPr>
        <w:t>参选人必须在付款凭证备注栏中注明</w:t>
      </w:r>
      <w:r>
        <w:rPr>
          <w:rFonts w:hint="eastAsia" w:ascii="宋体" w:cs="Cambria"/>
          <w:b/>
          <w:snapToGrid w:val="0"/>
          <w:color w:val="auto"/>
          <w:kern w:val="0"/>
          <w:sz w:val="24"/>
          <w:szCs w:val="24"/>
          <w:highlight w:val="none"/>
          <w:lang w:val="en-US" w:eastAsia="zh-CN"/>
        </w:rPr>
        <w:t>项目简称</w:t>
      </w:r>
      <w:r>
        <w:rPr>
          <w:rFonts w:hint="eastAsia" w:ascii="宋体" w:hAnsi="宋体" w:eastAsia="宋体" w:cs="Cambria"/>
          <w:snapToGrid w:val="0"/>
          <w:color w:val="auto"/>
          <w:kern w:val="0"/>
          <w:sz w:val="24"/>
          <w:szCs w:val="24"/>
          <w:highlight w:val="none"/>
        </w:rPr>
        <w:t>。可简写成：</w:t>
      </w:r>
      <w:r>
        <w:rPr>
          <w:rFonts w:hint="eastAsia" w:ascii="宋体" w:hAnsi="宋体" w:eastAsia="宋体" w:cs="Cambria"/>
          <w:b/>
          <w:bCs/>
          <w:snapToGrid w:val="0"/>
          <w:color w:val="auto"/>
          <w:kern w:val="0"/>
          <w:sz w:val="24"/>
          <w:szCs w:val="24"/>
          <w:highlight w:val="none"/>
          <w:lang w:eastAsia="zh-CN"/>
        </w:rPr>
        <w:t>全行科技保障服务项目</w:t>
      </w:r>
      <w:r>
        <w:rPr>
          <w:rFonts w:hint="eastAsia" w:ascii="宋体" w:hAnsi="宋体" w:eastAsia="宋体" w:cs="Cambria"/>
          <w:snapToGrid w:val="0"/>
          <w:color w:val="auto"/>
          <w:kern w:val="0"/>
          <w:sz w:val="24"/>
          <w:szCs w:val="24"/>
          <w:highlight w:val="none"/>
        </w:rPr>
        <w:t>。</w:t>
      </w:r>
    </w:p>
    <w:p>
      <w:pPr>
        <w:snapToGrid w:val="0"/>
        <w:spacing w:line="360" w:lineRule="auto"/>
        <w:ind w:firstLine="480" w:firstLineChars="200"/>
        <w:rPr>
          <w:rFonts w:ascii="宋体" w:hAnsi="宋体" w:cs="Cambria"/>
          <w:b/>
          <w:snapToGrid w:val="0"/>
          <w:color w:val="auto"/>
          <w:kern w:val="0"/>
          <w:sz w:val="24"/>
          <w:szCs w:val="24"/>
          <w:highlight w:val="none"/>
          <w:u w:val="none"/>
        </w:rPr>
      </w:pPr>
      <w:r>
        <w:rPr>
          <w:rFonts w:hint="eastAsia" w:ascii="宋体" w:hAnsi="宋体" w:cs="Cambria"/>
          <w:snapToGrid w:val="0"/>
          <w:color w:val="auto"/>
          <w:kern w:val="0"/>
          <w:sz w:val="24"/>
          <w:szCs w:val="24"/>
          <w:highlight w:val="none"/>
        </w:rPr>
        <w:t>3、参选保证金递交的截止时间为</w:t>
      </w:r>
      <w:r>
        <w:rPr>
          <w:rFonts w:hint="eastAsia" w:ascii="宋体" w:cs="Cambria"/>
          <w:snapToGrid w:val="0"/>
          <w:color w:val="auto"/>
          <w:kern w:val="0"/>
          <w:sz w:val="24"/>
          <w:szCs w:val="24"/>
          <w:highlight w:val="none"/>
          <w:u w:val="none"/>
          <w:lang w:val="en-US" w:eastAsia="zh-CN"/>
        </w:rPr>
        <w:t>2024</w:t>
      </w:r>
      <w:r>
        <w:rPr>
          <w:rFonts w:hint="eastAsia" w:ascii="宋体" w:cs="Cambria"/>
          <w:snapToGrid w:val="0"/>
          <w:color w:val="auto"/>
          <w:kern w:val="0"/>
          <w:sz w:val="24"/>
          <w:szCs w:val="24"/>
          <w:highlight w:val="none"/>
          <w:u w:val="none"/>
        </w:rPr>
        <w:t>年</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月</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日</w:t>
      </w:r>
      <w:r>
        <w:rPr>
          <w:rFonts w:hint="eastAsia" w:ascii="宋体" w:cs="Cambria"/>
          <w:snapToGrid w:val="0"/>
          <w:color w:val="auto"/>
          <w:kern w:val="0"/>
          <w:sz w:val="24"/>
          <w:szCs w:val="24"/>
          <w:highlight w:val="none"/>
          <w:u w:val="none"/>
          <w:lang w:val="en-US" w:eastAsia="zh-CN"/>
        </w:rPr>
        <w:t>11</w:t>
      </w:r>
      <w:r>
        <w:rPr>
          <w:rFonts w:hint="eastAsia" w:ascii="宋体" w:cs="Cambria"/>
          <w:snapToGrid w:val="0"/>
          <w:color w:val="auto"/>
          <w:kern w:val="0"/>
          <w:sz w:val="24"/>
          <w:szCs w:val="24"/>
          <w:highlight w:val="none"/>
          <w:u w:val="none"/>
        </w:rPr>
        <w:t>时</w:t>
      </w:r>
      <w:r>
        <w:rPr>
          <w:rFonts w:hint="eastAsia" w:ascii="宋体" w:cs="Cambria"/>
          <w:snapToGrid w:val="0"/>
          <w:color w:val="auto"/>
          <w:kern w:val="0"/>
          <w:sz w:val="24"/>
          <w:szCs w:val="24"/>
          <w:highlight w:val="none"/>
          <w:u w:val="none"/>
          <w:lang w:val="en-US" w:eastAsia="zh-CN"/>
        </w:rPr>
        <w:t>0</w:t>
      </w:r>
      <w:r>
        <w:rPr>
          <w:rFonts w:hint="eastAsia" w:ascii="宋体" w:cs="Cambria"/>
          <w:snapToGrid w:val="0"/>
          <w:color w:val="auto"/>
          <w:kern w:val="0"/>
          <w:sz w:val="24"/>
          <w:szCs w:val="24"/>
          <w:highlight w:val="none"/>
          <w:u w:val="none"/>
        </w:rPr>
        <w:t>分（北京时间）</w:t>
      </w:r>
      <w:r>
        <w:rPr>
          <w:rFonts w:hint="eastAsia" w:ascii="宋体" w:hAnsi="宋体" w:cs="Cambria"/>
          <w:b/>
          <w:snapToGrid w:val="0"/>
          <w:color w:val="auto"/>
          <w:kern w:val="0"/>
          <w:sz w:val="24"/>
          <w:szCs w:val="24"/>
          <w:highlight w:val="none"/>
          <w:u w:val="none"/>
        </w:rPr>
        <w:t>。</w:t>
      </w:r>
    </w:p>
    <w:p>
      <w:pPr>
        <w:snapToGrid w:val="0"/>
        <w:spacing w:line="360" w:lineRule="auto"/>
        <w:ind w:firstLine="480" w:firstLineChars="200"/>
        <w:jc w:val="left"/>
        <w:rPr>
          <w:rFonts w:ascii="宋体" w:cs="Cambria"/>
          <w:snapToGrid w:val="0"/>
          <w:color w:val="auto"/>
          <w:kern w:val="0"/>
          <w:sz w:val="24"/>
          <w:szCs w:val="24"/>
          <w:highlight w:val="none"/>
        </w:rPr>
      </w:pPr>
      <w:r>
        <w:rPr>
          <w:rFonts w:ascii="宋体" w:cs="Cambria"/>
          <w:snapToGrid w:val="0"/>
          <w:color w:val="auto"/>
          <w:kern w:val="0"/>
          <w:sz w:val="24"/>
          <w:szCs w:val="24"/>
          <w:highlight w:val="none"/>
        </w:rPr>
        <w:t>4</w:t>
      </w:r>
      <w:r>
        <w:rPr>
          <w:rFonts w:hint="eastAsia" w:ascii="宋体" w:cs="Cambria"/>
          <w:snapToGrid w:val="0"/>
          <w:color w:val="auto"/>
          <w:kern w:val="0"/>
          <w:sz w:val="24"/>
          <w:szCs w:val="24"/>
          <w:highlight w:val="none"/>
        </w:rPr>
        <w:t>、参选保证金专用账户如下：</w:t>
      </w:r>
    </w:p>
    <w:p>
      <w:pPr>
        <w:snapToGrid w:val="0"/>
        <w:spacing w:line="360" w:lineRule="auto"/>
        <w:ind w:firstLine="480" w:firstLineChars="200"/>
        <w:rPr>
          <w:rFonts w:cs="Cambria"/>
          <w:b/>
          <w:bCs/>
          <w:color w:val="auto"/>
          <w:kern w:val="0"/>
          <w:highlight w:val="none"/>
        </w:rPr>
      </w:pPr>
      <w:r>
        <w:rPr>
          <w:rFonts w:hint="eastAsia" w:ascii="宋体" w:cs="Cambria"/>
          <w:snapToGrid w:val="0"/>
          <w:color w:val="auto"/>
          <w:kern w:val="0"/>
          <w:sz w:val="24"/>
          <w:szCs w:val="24"/>
          <w:highlight w:val="none"/>
        </w:rPr>
        <w:t>详见重庆市公共资源交易网（www.cqggzy.com）对应本项目比选公告信息栏中的保证金信息。</w:t>
      </w:r>
    </w:p>
    <w:p>
      <w:pPr>
        <w:snapToGrid w:val="0"/>
        <w:spacing w:line="360" w:lineRule="auto"/>
        <w:ind w:firstLine="480" w:firstLineChars="200"/>
        <w:rPr>
          <w:rFonts w:ascii="宋体" w:hAnsi="宋体" w:cs="Cambria"/>
          <w:b/>
          <w:snapToGrid w:val="0"/>
          <w:color w:val="auto"/>
          <w:kern w:val="0"/>
          <w:sz w:val="24"/>
          <w:szCs w:val="24"/>
          <w:highlight w:val="none"/>
        </w:rPr>
      </w:pPr>
      <w:r>
        <w:rPr>
          <w:rFonts w:hint="eastAsia" w:ascii="宋体" w:cs="Cambria"/>
          <w:snapToGrid w:val="0"/>
          <w:color w:val="auto"/>
          <w:kern w:val="0"/>
          <w:sz w:val="24"/>
          <w:szCs w:val="24"/>
          <w:highlight w:val="none"/>
        </w:rPr>
        <w:t>参选保证金以重庆市公共资源交易中心比选现场展示的保证金交纳情况为准。</w:t>
      </w:r>
    </w:p>
    <w:bookmarkEnd w:id="18"/>
    <w:bookmarkEnd w:id="19"/>
    <w:bookmarkEnd w:id="20"/>
    <w:bookmarkEnd w:id="21"/>
    <w:p>
      <w:pPr>
        <w:pStyle w:val="4"/>
        <w:rPr>
          <w:color w:val="auto"/>
          <w:highlight w:val="none"/>
        </w:rPr>
      </w:pPr>
      <w:r>
        <w:rPr>
          <w:rFonts w:hint="eastAsia"/>
          <w:color w:val="auto"/>
          <w:highlight w:val="none"/>
        </w:rPr>
        <w:t>五、参选文件的递交</w:t>
      </w:r>
    </w:p>
    <w:p>
      <w:pPr>
        <w:snapToGrid w:val="0"/>
        <w:spacing w:line="360" w:lineRule="auto"/>
        <w:ind w:firstLine="480" w:firstLineChars="200"/>
        <w:rPr>
          <w:rFonts w:cs="Cambria"/>
          <w:b/>
          <w:bCs/>
          <w:color w:val="auto"/>
          <w:kern w:val="0"/>
          <w:highlight w:val="none"/>
        </w:rPr>
      </w:pPr>
      <w:bookmarkStart w:id="22" w:name="_Toc55379223"/>
      <w:bookmarkStart w:id="23" w:name="_Toc469574669"/>
      <w:bookmarkStart w:id="24" w:name="_Toc89675132"/>
      <w:r>
        <w:rPr>
          <w:rFonts w:hint="eastAsia" w:ascii="宋体" w:cs="Cambria"/>
          <w:snapToGrid w:val="0"/>
          <w:color w:val="auto"/>
          <w:kern w:val="0"/>
          <w:sz w:val="24"/>
          <w:szCs w:val="24"/>
          <w:highlight w:val="none"/>
        </w:rPr>
        <w:t>1、参选文件现场递交的开始时间</w:t>
      </w:r>
      <w:r>
        <w:rPr>
          <w:rFonts w:hint="eastAsia" w:ascii="宋体" w:cs="Cambria"/>
          <w:snapToGrid w:val="0"/>
          <w:color w:val="auto"/>
          <w:kern w:val="0"/>
          <w:sz w:val="24"/>
          <w:szCs w:val="24"/>
          <w:highlight w:val="none"/>
          <w:u w:val="none"/>
        </w:rPr>
        <w:t>为</w:t>
      </w:r>
      <w:r>
        <w:rPr>
          <w:rFonts w:hint="eastAsia" w:ascii="宋体" w:cs="Cambria"/>
          <w:snapToGrid w:val="0"/>
          <w:color w:val="auto"/>
          <w:kern w:val="0"/>
          <w:sz w:val="24"/>
          <w:szCs w:val="24"/>
          <w:highlight w:val="none"/>
          <w:u w:val="none"/>
          <w:lang w:val="en-US" w:eastAsia="zh-CN"/>
        </w:rPr>
        <w:t>2024</w:t>
      </w:r>
      <w:r>
        <w:rPr>
          <w:rFonts w:hint="eastAsia" w:ascii="宋体" w:cs="Cambria"/>
          <w:snapToGrid w:val="0"/>
          <w:color w:val="auto"/>
          <w:kern w:val="0"/>
          <w:sz w:val="24"/>
          <w:szCs w:val="24"/>
          <w:highlight w:val="none"/>
          <w:u w:val="none"/>
        </w:rPr>
        <w:t>年</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月</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日</w:t>
      </w:r>
      <w:r>
        <w:rPr>
          <w:rFonts w:hint="eastAsia" w:ascii="宋体" w:cs="Cambria"/>
          <w:snapToGrid w:val="0"/>
          <w:color w:val="auto"/>
          <w:kern w:val="0"/>
          <w:sz w:val="24"/>
          <w:szCs w:val="24"/>
          <w:highlight w:val="none"/>
          <w:u w:val="none"/>
          <w:lang w:val="en-US" w:eastAsia="zh-CN"/>
        </w:rPr>
        <w:t>10</w:t>
      </w:r>
      <w:r>
        <w:rPr>
          <w:rFonts w:hint="eastAsia" w:ascii="宋体" w:cs="Cambria"/>
          <w:snapToGrid w:val="0"/>
          <w:color w:val="auto"/>
          <w:kern w:val="0"/>
          <w:sz w:val="24"/>
          <w:szCs w:val="24"/>
          <w:highlight w:val="none"/>
          <w:u w:val="none"/>
        </w:rPr>
        <w:t>时</w:t>
      </w:r>
      <w:r>
        <w:rPr>
          <w:rFonts w:hint="eastAsia" w:ascii="宋体" w:cs="Cambria"/>
          <w:snapToGrid w:val="0"/>
          <w:color w:val="auto"/>
          <w:kern w:val="0"/>
          <w:sz w:val="24"/>
          <w:szCs w:val="24"/>
          <w:highlight w:val="none"/>
          <w:u w:val="none"/>
          <w:lang w:val="en-US" w:eastAsia="zh-CN"/>
        </w:rPr>
        <w:t>30</w:t>
      </w:r>
      <w:r>
        <w:rPr>
          <w:rFonts w:hint="eastAsia" w:ascii="宋体" w:cs="Cambria"/>
          <w:snapToGrid w:val="0"/>
          <w:color w:val="auto"/>
          <w:kern w:val="0"/>
          <w:sz w:val="24"/>
          <w:szCs w:val="24"/>
          <w:highlight w:val="none"/>
          <w:u w:val="none"/>
        </w:rPr>
        <w:t>分(北京时间)。递交截止时间为</w:t>
      </w:r>
      <w:r>
        <w:rPr>
          <w:rFonts w:hint="eastAsia" w:ascii="宋体" w:cs="Cambria"/>
          <w:snapToGrid w:val="0"/>
          <w:color w:val="auto"/>
          <w:kern w:val="0"/>
          <w:sz w:val="24"/>
          <w:szCs w:val="24"/>
          <w:highlight w:val="none"/>
          <w:u w:val="none"/>
          <w:lang w:val="en-US" w:eastAsia="zh-CN"/>
        </w:rPr>
        <w:t>2024</w:t>
      </w:r>
      <w:r>
        <w:rPr>
          <w:rFonts w:hint="eastAsia" w:ascii="宋体" w:cs="Cambria"/>
          <w:snapToGrid w:val="0"/>
          <w:color w:val="auto"/>
          <w:kern w:val="0"/>
          <w:sz w:val="24"/>
          <w:szCs w:val="24"/>
          <w:highlight w:val="none"/>
          <w:u w:val="none"/>
        </w:rPr>
        <w:t>年</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月</w:t>
      </w:r>
      <w:r>
        <w:rPr>
          <w:rFonts w:hint="eastAsia" w:ascii="宋体" w:cs="Cambria"/>
          <w:snapToGrid w:val="0"/>
          <w:color w:val="auto"/>
          <w:kern w:val="0"/>
          <w:sz w:val="24"/>
          <w:szCs w:val="24"/>
          <w:highlight w:val="none"/>
          <w:u w:val="none"/>
          <w:lang w:val="en-US" w:eastAsia="zh-CN"/>
        </w:rPr>
        <w:t>2</w:t>
      </w:r>
      <w:r>
        <w:rPr>
          <w:rFonts w:hint="eastAsia" w:ascii="宋体" w:cs="Cambria"/>
          <w:snapToGrid w:val="0"/>
          <w:color w:val="auto"/>
          <w:kern w:val="0"/>
          <w:sz w:val="24"/>
          <w:szCs w:val="24"/>
          <w:highlight w:val="none"/>
          <w:u w:val="none"/>
        </w:rPr>
        <w:t>日</w:t>
      </w:r>
      <w:r>
        <w:rPr>
          <w:rFonts w:hint="eastAsia" w:ascii="宋体" w:cs="Cambria"/>
          <w:snapToGrid w:val="0"/>
          <w:color w:val="auto"/>
          <w:kern w:val="0"/>
          <w:sz w:val="24"/>
          <w:szCs w:val="24"/>
          <w:highlight w:val="none"/>
          <w:u w:val="none"/>
          <w:lang w:val="en-US" w:eastAsia="zh-CN"/>
        </w:rPr>
        <w:t>11</w:t>
      </w:r>
      <w:r>
        <w:rPr>
          <w:rFonts w:hint="eastAsia" w:ascii="宋体" w:cs="Cambria"/>
          <w:snapToGrid w:val="0"/>
          <w:color w:val="auto"/>
          <w:kern w:val="0"/>
          <w:sz w:val="24"/>
          <w:szCs w:val="24"/>
          <w:highlight w:val="none"/>
          <w:u w:val="none"/>
        </w:rPr>
        <w:t>时</w:t>
      </w:r>
      <w:r>
        <w:rPr>
          <w:rFonts w:hint="eastAsia" w:ascii="宋体" w:cs="Cambria"/>
          <w:snapToGrid w:val="0"/>
          <w:color w:val="auto"/>
          <w:kern w:val="0"/>
          <w:sz w:val="24"/>
          <w:szCs w:val="24"/>
          <w:highlight w:val="none"/>
          <w:u w:val="none"/>
          <w:lang w:val="en-US" w:eastAsia="zh-CN"/>
        </w:rPr>
        <w:t>0</w:t>
      </w:r>
      <w:r>
        <w:rPr>
          <w:rFonts w:hint="eastAsia" w:ascii="宋体" w:cs="Cambria"/>
          <w:snapToGrid w:val="0"/>
          <w:color w:val="auto"/>
          <w:kern w:val="0"/>
          <w:sz w:val="24"/>
          <w:szCs w:val="24"/>
          <w:highlight w:val="none"/>
          <w:u w:val="none"/>
        </w:rPr>
        <w:t>分（北</w:t>
      </w:r>
      <w:r>
        <w:rPr>
          <w:rFonts w:hint="eastAsia" w:ascii="宋体" w:cs="Cambria"/>
          <w:snapToGrid w:val="0"/>
          <w:color w:val="auto"/>
          <w:kern w:val="0"/>
          <w:sz w:val="24"/>
          <w:szCs w:val="24"/>
          <w:highlight w:val="none"/>
        </w:rPr>
        <w:t>京时间）。</w:t>
      </w:r>
    </w:p>
    <w:p>
      <w:pPr>
        <w:snapToGrid w:val="0"/>
        <w:spacing w:line="360" w:lineRule="auto"/>
        <w:ind w:firstLine="480" w:firstLineChars="200"/>
        <w:rPr>
          <w:rFonts w:cs="Cambria"/>
          <w:b/>
          <w:bCs/>
          <w:color w:val="auto"/>
          <w:kern w:val="0"/>
          <w:highlight w:val="none"/>
        </w:rPr>
      </w:pPr>
      <w:r>
        <w:rPr>
          <w:rFonts w:hint="eastAsia" w:ascii="宋体" w:cs="Cambria"/>
          <w:snapToGrid w:val="0"/>
          <w:color w:val="auto"/>
          <w:kern w:val="0"/>
          <w:sz w:val="24"/>
          <w:szCs w:val="24"/>
          <w:highlight w:val="none"/>
        </w:rPr>
        <w:t>2、递交地点为重庆市公共资源交易中心开标区（具体请登陆重庆市公共资源交易网（www.cqggzy.com）查询或递交文件当日见交易中心大厅电子显示屏）。</w:t>
      </w:r>
    </w:p>
    <w:p>
      <w:pPr>
        <w:snapToGrid w:val="0"/>
        <w:spacing w:line="360" w:lineRule="auto"/>
        <w:ind w:firstLine="480" w:firstLineChars="200"/>
        <w:rPr>
          <w:rFonts w:cs="Cambria"/>
          <w:b/>
          <w:bCs/>
          <w:color w:val="auto"/>
          <w:kern w:val="0"/>
          <w:highlight w:val="none"/>
        </w:rPr>
      </w:pPr>
      <w:r>
        <w:rPr>
          <w:rFonts w:hint="eastAsia" w:ascii="宋体" w:cs="Cambria"/>
          <w:snapToGrid w:val="0"/>
          <w:color w:val="auto"/>
          <w:kern w:val="0"/>
          <w:sz w:val="24"/>
          <w:szCs w:val="24"/>
          <w:highlight w:val="none"/>
        </w:rPr>
        <w:t>3、逾期送达的参选文件，不予接收。</w:t>
      </w:r>
    </w:p>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六、发布公告的媒介</w:t>
      </w:r>
      <w:bookmarkEnd w:id="22"/>
      <w:bookmarkEnd w:id="23"/>
      <w:bookmarkEnd w:id="24"/>
    </w:p>
    <w:p>
      <w:pPr>
        <w:snapToGrid w:val="0"/>
        <w:spacing w:line="360" w:lineRule="auto"/>
        <w:ind w:firstLine="480" w:firstLineChars="200"/>
        <w:rPr>
          <w:rFonts w:ascii="宋体" w:cs="Cambria"/>
          <w:snapToGrid w:val="0"/>
          <w:color w:val="auto"/>
          <w:kern w:val="0"/>
          <w:sz w:val="24"/>
          <w:szCs w:val="24"/>
          <w:highlight w:val="none"/>
        </w:rPr>
      </w:pPr>
      <w:bookmarkStart w:id="25" w:name="_Toc89675133"/>
      <w:bookmarkStart w:id="26" w:name="_Toc55379224"/>
      <w:bookmarkStart w:id="27" w:name="_Toc250565211"/>
      <w:bookmarkStart w:id="28" w:name="_Toc469574670"/>
      <w:r>
        <w:rPr>
          <w:rFonts w:hint="eastAsia" w:ascii="宋体" w:cs="Cambria"/>
          <w:snapToGrid w:val="0"/>
          <w:color w:val="auto"/>
          <w:kern w:val="0"/>
          <w:sz w:val="24"/>
          <w:szCs w:val="24"/>
          <w:highlight w:val="none"/>
        </w:rPr>
        <w:t>本次比选公告同时在《重庆市公共资源交易网（www.cqggzy.com）》《重庆三峡银行官网（https://www.ccqtgb.com）》和《中国</w:t>
      </w:r>
      <w:r>
        <w:rPr>
          <w:rFonts w:hint="eastAsia" w:ascii="宋体" w:cs="Cambria"/>
          <w:snapToGrid w:val="0"/>
          <w:color w:val="auto"/>
          <w:kern w:val="0"/>
          <w:sz w:val="24"/>
          <w:szCs w:val="24"/>
          <w:highlight w:val="none"/>
          <w:lang w:eastAsia="zh-CN"/>
        </w:rPr>
        <w:t>比选参选</w:t>
      </w:r>
      <w:r>
        <w:rPr>
          <w:rFonts w:hint="eastAsia" w:ascii="宋体" w:cs="Cambria"/>
          <w:snapToGrid w:val="0"/>
          <w:color w:val="auto"/>
          <w:kern w:val="0"/>
          <w:sz w:val="24"/>
          <w:szCs w:val="24"/>
          <w:highlight w:val="none"/>
        </w:rPr>
        <w:t>公共服务平台（http://www.cebpubservice.com）》上发布。</w:t>
      </w:r>
    </w:p>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七、联系方式</w:t>
      </w:r>
      <w:bookmarkEnd w:id="25"/>
      <w:bookmarkEnd w:id="26"/>
      <w:bookmarkEnd w:id="27"/>
      <w:bookmarkEnd w:id="28"/>
    </w:p>
    <w:p>
      <w:pPr>
        <w:topLinePunct/>
        <w:snapToGrid w:val="0"/>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比选人：</w:t>
      </w:r>
      <w:r>
        <w:rPr>
          <w:rFonts w:hint="eastAsia" w:ascii="宋体" w:hAnsi="宋体" w:cs="Cambria"/>
          <w:snapToGrid w:val="0"/>
          <w:color w:val="auto"/>
          <w:kern w:val="0"/>
          <w:sz w:val="24"/>
          <w:szCs w:val="24"/>
          <w:highlight w:val="none"/>
          <w:u w:val="single"/>
        </w:rPr>
        <w:t>重庆三峡银行股份有限公司</w:t>
      </w:r>
    </w:p>
    <w:p>
      <w:pPr>
        <w:topLinePunct/>
        <w:snapToGrid w:val="0"/>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地址：</w:t>
      </w:r>
      <w:r>
        <w:rPr>
          <w:rFonts w:hint="eastAsia" w:ascii="宋体" w:hAnsi="宋体" w:cs="Cambria"/>
          <w:snapToGrid w:val="0"/>
          <w:color w:val="auto"/>
          <w:kern w:val="0"/>
          <w:sz w:val="24"/>
          <w:szCs w:val="24"/>
          <w:highlight w:val="none"/>
          <w:u w:val="single"/>
        </w:rPr>
        <w:t>重庆市渝北区嘉州路88号中渝国际都会4号写字楼21层</w:t>
      </w:r>
    </w:p>
    <w:p>
      <w:pPr>
        <w:topLinePunct/>
        <w:spacing w:line="360" w:lineRule="auto"/>
        <w:ind w:firstLine="480" w:firstLineChars="200"/>
        <w:rPr>
          <w:rFonts w:hint="default" w:ascii="宋体" w:hAnsi="宋体" w:eastAsia="宋体" w:cs="Cambria"/>
          <w:snapToGrid w:val="0"/>
          <w:color w:val="auto"/>
          <w:kern w:val="0"/>
          <w:sz w:val="24"/>
          <w:szCs w:val="24"/>
          <w:highlight w:val="none"/>
          <w:lang w:val="en-US" w:eastAsia="zh-CN"/>
        </w:rPr>
      </w:pPr>
      <w:r>
        <w:rPr>
          <w:rFonts w:hint="eastAsia" w:ascii="宋体" w:hAnsi="宋体" w:cs="Cambria"/>
          <w:snapToGrid w:val="0"/>
          <w:color w:val="auto"/>
          <w:kern w:val="0"/>
          <w:sz w:val="24"/>
          <w:szCs w:val="24"/>
          <w:highlight w:val="none"/>
        </w:rPr>
        <w:t>联系人：</w:t>
      </w:r>
      <w:r>
        <w:rPr>
          <w:rFonts w:hint="eastAsia" w:ascii="宋体" w:hAnsi="宋体" w:cs="Cambria"/>
          <w:snapToGrid w:val="0"/>
          <w:color w:val="auto"/>
          <w:kern w:val="0"/>
          <w:sz w:val="24"/>
          <w:szCs w:val="24"/>
          <w:highlight w:val="none"/>
          <w:u w:val="single"/>
        </w:rPr>
        <w:t>敬希</w:t>
      </w:r>
      <w:r>
        <w:rPr>
          <w:rFonts w:hint="eastAsia" w:ascii="宋体" w:hAnsi="宋体" w:cs="Cambria"/>
          <w:snapToGrid w:val="0"/>
          <w:color w:val="auto"/>
          <w:kern w:val="0"/>
          <w:sz w:val="24"/>
          <w:szCs w:val="24"/>
          <w:highlight w:val="none"/>
          <w:u w:val="single"/>
          <w:lang w:eastAsia="zh-CN"/>
        </w:rPr>
        <w:t>、</w:t>
      </w:r>
      <w:r>
        <w:rPr>
          <w:rFonts w:hint="eastAsia" w:ascii="宋体" w:hAnsi="宋体" w:cs="Cambria"/>
          <w:snapToGrid w:val="0"/>
          <w:color w:val="auto"/>
          <w:kern w:val="0"/>
          <w:sz w:val="24"/>
          <w:szCs w:val="24"/>
          <w:highlight w:val="none"/>
          <w:u w:val="single"/>
          <w:lang w:val="en-US" w:eastAsia="zh-CN"/>
        </w:rPr>
        <w:t>朱浩</w:t>
      </w:r>
    </w:p>
    <w:p>
      <w:pPr>
        <w:topLinePunct/>
        <w:spacing w:line="360" w:lineRule="auto"/>
        <w:ind w:firstLine="480" w:firstLineChars="200"/>
        <w:rPr>
          <w:rFonts w:ascii="宋体" w:hAnsi="宋体" w:cs="Cambria"/>
          <w:snapToGrid w:val="0"/>
          <w:color w:val="auto"/>
          <w:kern w:val="0"/>
          <w:sz w:val="24"/>
          <w:szCs w:val="24"/>
          <w:highlight w:val="none"/>
          <w:u w:val="single"/>
        </w:rPr>
      </w:pPr>
      <w:r>
        <w:rPr>
          <w:rFonts w:hint="eastAsia" w:ascii="宋体" w:hAnsi="宋体" w:cs="Cambria"/>
          <w:snapToGrid w:val="0"/>
          <w:color w:val="auto"/>
          <w:kern w:val="0"/>
          <w:sz w:val="24"/>
          <w:szCs w:val="24"/>
          <w:highlight w:val="none"/>
        </w:rPr>
        <w:t>采购咨询电话：</w:t>
      </w:r>
      <w:r>
        <w:rPr>
          <w:rFonts w:hint="eastAsia" w:ascii="宋体" w:hAnsi="宋体" w:cs="Cambria"/>
          <w:snapToGrid w:val="0"/>
          <w:color w:val="auto"/>
          <w:kern w:val="0"/>
          <w:sz w:val="24"/>
          <w:szCs w:val="24"/>
          <w:highlight w:val="none"/>
          <w:u w:val="single"/>
        </w:rPr>
        <w:t>023-88890</w:t>
      </w:r>
      <w:r>
        <w:rPr>
          <w:rFonts w:ascii="宋体" w:hAnsi="宋体" w:cs="Cambria"/>
          <w:snapToGrid w:val="0"/>
          <w:color w:val="auto"/>
          <w:kern w:val="0"/>
          <w:sz w:val="24"/>
          <w:szCs w:val="24"/>
          <w:highlight w:val="none"/>
          <w:u w:val="single"/>
        </w:rPr>
        <w:t>395</w:t>
      </w:r>
    </w:p>
    <w:p>
      <w:pPr>
        <w:widowControl/>
        <w:adjustRightInd w:val="0"/>
        <w:snapToGrid w:val="0"/>
        <w:spacing w:line="276" w:lineRule="auto"/>
        <w:ind w:firstLine="480" w:firstLineChars="200"/>
        <w:jc w:val="left"/>
        <w:rPr>
          <w:rFonts w:hint="default" w:ascii="宋体" w:hAnsi="宋体" w:eastAsia="宋体" w:cs="Cambria"/>
          <w:snapToGrid w:val="0"/>
          <w:color w:val="auto"/>
          <w:kern w:val="0"/>
          <w:sz w:val="24"/>
          <w:szCs w:val="24"/>
          <w:highlight w:val="none"/>
          <w:u w:val="single"/>
          <w:lang w:val="en-US" w:eastAsia="zh-CN"/>
        </w:rPr>
      </w:pPr>
      <w:r>
        <w:rPr>
          <w:rFonts w:hint="eastAsia" w:ascii="宋体" w:hAnsi="宋体" w:cs="Cambria"/>
          <w:snapToGrid w:val="0"/>
          <w:color w:val="auto"/>
          <w:kern w:val="0"/>
          <w:sz w:val="24"/>
          <w:szCs w:val="24"/>
          <w:highlight w:val="none"/>
        </w:rPr>
        <w:t>业务咨询电话：</w:t>
      </w:r>
      <w:r>
        <w:rPr>
          <w:rFonts w:hint="eastAsia" w:ascii="宋体" w:hAnsi="宋体" w:eastAsia="宋体" w:cs="Cambria"/>
          <w:snapToGrid w:val="0"/>
          <w:color w:val="auto"/>
          <w:kern w:val="0"/>
          <w:sz w:val="24"/>
          <w:szCs w:val="24"/>
          <w:highlight w:val="none"/>
          <w:u w:val="single"/>
          <w:lang w:val="en-US" w:eastAsia="zh-CN"/>
        </w:rPr>
        <w:t>023-88170802</w:t>
      </w:r>
    </w:p>
    <w:p>
      <w:pPr>
        <w:topLinePunct/>
        <w:spacing w:line="360" w:lineRule="auto"/>
        <w:ind w:firstLine="480" w:firstLineChars="200"/>
        <w:rPr>
          <w:rStyle w:val="24"/>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邮箱：</w:t>
      </w:r>
      <w:r>
        <w:rPr>
          <w:color w:val="auto"/>
          <w:highlight w:val="none"/>
        </w:rPr>
        <w:fldChar w:fldCharType="begin"/>
      </w:r>
      <w:r>
        <w:rPr>
          <w:color w:val="auto"/>
          <w:highlight w:val="none"/>
        </w:rPr>
        <w:instrText xml:space="preserve"> HYPERLINK "mailto:sx.jcb@ccqtgb.com" </w:instrText>
      </w:r>
      <w:r>
        <w:rPr>
          <w:color w:val="auto"/>
          <w:highlight w:val="none"/>
        </w:rPr>
        <w:fldChar w:fldCharType="separate"/>
      </w:r>
      <w:r>
        <w:rPr>
          <w:rStyle w:val="24"/>
          <w:rFonts w:ascii="宋体" w:hAnsi="宋体" w:cs="Cambria"/>
          <w:snapToGrid w:val="0"/>
          <w:color w:val="auto"/>
          <w:kern w:val="0"/>
          <w:sz w:val="24"/>
          <w:szCs w:val="24"/>
          <w:highlight w:val="none"/>
        </w:rPr>
        <w:t>sx.jcb@ccqtgb.com</w:t>
      </w:r>
      <w:r>
        <w:rPr>
          <w:rStyle w:val="24"/>
          <w:rFonts w:ascii="宋体" w:hAnsi="宋体" w:cs="Cambria"/>
          <w:snapToGrid w:val="0"/>
          <w:color w:val="auto"/>
          <w:kern w:val="0"/>
          <w:sz w:val="24"/>
          <w:szCs w:val="24"/>
          <w:highlight w:val="none"/>
        </w:rPr>
        <w:fldChar w:fldCharType="end"/>
      </w:r>
    </w:p>
    <w:p>
      <w:pPr>
        <w:topLinePunct/>
        <w:spacing w:line="360" w:lineRule="auto"/>
        <w:ind w:firstLine="480" w:firstLineChars="200"/>
        <w:rPr>
          <w:rStyle w:val="24"/>
          <w:rFonts w:ascii="宋体" w:hAnsi="宋体" w:cs="Cambria"/>
          <w:snapToGrid w:val="0"/>
          <w:color w:val="auto"/>
          <w:kern w:val="0"/>
          <w:sz w:val="24"/>
          <w:szCs w:val="24"/>
          <w:highlight w:val="none"/>
        </w:rPr>
      </w:pPr>
    </w:p>
    <w:p>
      <w:pPr>
        <w:topLinePunct/>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平台服务机构：</w:t>
      </w:r>
      <w:r>
        <w:rPr>
          <w:rFonts w:hint="eastAsia" w:ascii="宋体" w:hAnsi="宋体" w:cs="Cambria"/>
          <w:snapToGrid w:val="0"/>
          <w:color w:val="auto"/>
          <w:kern w:val="0"/>
          <w:sz w:val="24"/>
          <w:szCs w:val="24"/>
          <w:highlight w:val="none"/>
          <w:u w:val="single"/>
        </w:rPr>
        <w:t>重庆联合产权交易所集团股份有限公司</w:t>
      </w:r>
    </w:p>
    <w:p>
      <w:pPr>
        <w:topLinePunct/>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平台服务联系人：</w:t>
      </w:r>
      <w:r>
        <w:rPr>
          <w:rFonts w:hint="eastAsia" w:ascii="宋体" w:hAnsi="宋体" w:cs="Cambria"/>
          <w:snapToGrid w:val="0"/>
          <w:color w:val="auto"/>
          <w:kern w:val="0"/>
          <w:sz w:val="24"/>
          <w:szCs w:val="24"/>
          <w:highlight w:val="none"/>
          <w:u w:val="single"/>
        </w:rPr>
        <w:t>杜老师</w:t>
      </w:r>
      <w:r>
        <w:rPr>
          <w:rFonts w:hint="eastAsia" w:ascii="宋体" w:hAnsi="宋体" w:cs="Cambria"/>
          <w:snapToGrid w:val="0"/>
          <w:color w:val="auto"/>
          <w:kern w:val="0"/>
          <w:sz w:val="24"/>
          <w:szCs w:val="24"/>
          <w:highlight w:val="none"/>
        </w:rPr>
        <w:t xml:space="preserve">                                        </w:t>
      </w:r>
    </w:p>
    <w:p>
      <w:pPr>
        <w:topLinePunct/>
        <w:spacing w:line="360" w:lineRule="auto"/>
        <w:ind w:firstLine="480" w:firstLineChars="200"/>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平台服务电话：</w:t>
      </w:r>
      <w:r>
        <w:rPr>
          <w:rFonts w:hint="eastAsia" w:ascii="宋体" w:hAnsi="宋体" w:cs="Cambria"/>
          <w:snapToGrid w:val="0"/>
          <w:color w:val="auto"/>
          <w:kern w:val="0"/>
          <w:sz w:val="24"/>
          <w:szCs w:val="24"/>
          <w:highlight w:val="none"/>
          <w:u w:val="single"/>
        </w:rPr>
        <w:t>023-63621694</w:t>
      </w:r>
    </w:p>
    <w:p>
      <w:pPr>
        <w:topLinePunct/>
        <w:snapToGrid w:val="0"/>
        <w:spacing w:line="360" w:lineRule="auto"/>
        <w:ind w:firstLine="480" w:firstLineChars="200"/>
        <w:rPr>
          <w:rFonts w:ascii="宋体" w:cs="Cambria"/>
          <w:snapToGrid w:val="0"/>
          <w:color w:val="auto"/>
          <w:kern w:val="0"/>
          <w:sz w:val="24"/>
          <w:szCs w:val="24"/>
          <w:highlight w:val="none"/>
          <w:u w:val="single"/>
        </w:rPr>
      </w:pPr>
    </w:p>
    <w:p>
      <w:pPr>
        <w:topLinePunct/>
        <w:snapToGrid w:val="0"/>
        <w:spacing w:line="360" w:lineRule="auto"/>
        <w:ind w:firstLine="480" w:firstLineChars="200"/>
        <w:rPr>
          <w:rFonts w:ascii="宋体" w:cs="Cambria"/>
          <w:snapToGrid w:val="0"/>
          <w:color w:val="auto"/>
          <w:kern w:val="0"/>
          <w:sz w:val="24"/>
          <w:szCs w:val="24"/>
          <w:highlight w:val="none"/>
          <w:u w:val="single"/>
        </w:rPr>
      </w:pPr>
    </w:p>
    <w:p>
      <w:pPr>
        <w:topLinePunct/>
        <w:spacing w:line="360" w:lineRule="auto"/>
        <w:ind w:firstLine="480" w:firstLineChars="200"/>
        <w:jc w:val="right"/>
        <w:rPr>
          <w:rFonts w:ascii="宋体" w:hAnsi="宋体" w:cs="Cambria"/>
          <w:snapToGrid w:val="0"/>
          <w:color w:val="auto"/>
          <w:kern w:val="0"/>
          <w:sz w:val="24"/>
          <w:szCs w:val="24"/>
          <w:highlight w:val="none"/>
        </w:rPr>
      </w:pPr>
      <w:r>
        <w:rPr>
          <w:rFonts w:hint="eastAsia" w:ascii="宋体" w:hAnsi="宋体" w:cs="Cambria"/>
          <w:snapToGrid w:val="0"/>
          <w:color w:val="auto"/>
          <w:kern w:val="0"/>
          <w:sz w:val="24"/>
          <w:szCs w:val="24"/>
          <w:highlight w:val="none"/>
        </w:rPr>
        <w:t>202</w:t>
      </w:r>
      <w:r>
        <w:rPr>
          <w:rFonts w:hint="eastAsia" w:ascii="宋体" w:hAnsi="宋体" w:cs="Cambria"/>
          <w:snapToGrid w:val="0"/>
          <w:color w:val="auto"/>
          <w:kern w:val="0"/>
          <w:sz w:val="24"/>
          <w:szCs w:val="24"/>
          <w:highlight w:val="none"/>
          <w:lang w:val="en-US" w:eastAsia="zh-CN"/>
        </w:rPr>
        <w:t>4</w:t>
      </w:r>
      <w:r>
        <w:rPr>
          <w:rFonts w:hint="eastAsia" w:ascii="宋体" w:hAnsi="宋体" w:cs="Cambria"/>
          <w:snapToGrid w:val="0"/>
          <w:color w:val="auto"/>
          <w:kern w:val="0"/>
          <w:sz w:val="24"/>
          <w:szCs w:val="24"/>
          <w:highlight w:val="none"/>
        </w:rPr>
        <w:t>年</w:t>
      </w:r>
      <w:r>
        <w:rPr>
          <w:rFonts w:hint="eastAsia" w:ascii="宋体" w:hAnsi="宋体" w:cs="Cambria"/>
          <w:snapToGrid w:val="0"/>
          <w:color w:val="auto"/>
          <w:kern w:val="0"/>
          <w:sz w:val="24"/>
          <w:szCs w:val="24"/>
          <w:highlight w:val="none"/>
          <w:lang w:val="en-US" w:eastAsia="zh-CN"/>
        </w:rPr>
        <w:t>1</w:t>
      </w:r>
      <w:r>
        <w:rPr>
          <w:rFonts w:hint="eastAsia" w:ascii="宋体" w:hAnsi="宋体" w:cs="Cambria"/>
          <w:snapToGrid w:val="0"/>
          <w:color w:val="auto"/>
          <w:kern w:val="0"/>
          <w:sz w:val="24"/>
          <w:szCs w:val="24"/>
          <w:highlight w:val="none"/>
        </w:rPr>
        <w:t>月</w:t>
      </w:r>
      <w:r>
        <w:rPr>
          <w:rFonts w:hint="eastAsia" w:ascii="宋体" w:hAnsi="宋体" w:cs="Cambria"/>
          <w:snapToGrid w:val="0"/>
          <w:color w:val="auto"/>
          <w:kern w:val="0"/>
          <w:sz w:val="24"/>
          <w:szCs w:val="24"/>
          <w:highlight w:val="none"/>
          <w:lang w:val="en-US" w:eastAsia="zh-CN"/>
        </w:rPr>
        <w:t>17</w:t>
      </w:r>
      <w:r>
        <w:rPr>
          <w:rFonts w:hint="eastAsia" w:ascii="宋体" w:hAnsi="宋体" w:cs="Cambria"/>
          <w:snapToGrid w:val="0"/>
          <w:color w:val="auto"/>
          <w:kern w:val="0"/>
          <w:sz w:val="24"/>
          <w:szCs w:val="24"/>
          <w:highlight w:val="none"/>
        </w:rPr>
        <w:t>日</w:t>
      </w:r>
    </w:p>
    <w:p>
      <w:pPr>
        <w:widowControl/>
        <w:jc w:val="left"/>
        <w:rPr>
          <w:rFonts w:ascii="宋体" w:hAnsi="宋体" w:cs="Cambria"/>
          <w:snapToGrid w:val="0"/>
          <w:color w:val="auto"/>
          <w:kern w:val="0"/>
          <w:sz w:val="24"/>
          <w:szCs w:val="24"/>
          <w:highlight w:val="none"/>
        </w:rPr>
      </w:pPr>
      <w:r>
        <w:rPr>
          <w:rFonts w:ascii="宋体" w:hAnsi="宋体" w:cs="Cambria"/>
          <w:snapToGrid w:val="0"/>
          <w:color w:val="auto"/>
          <w:kern w:val="0"/>
          <w:sz w:val="24"/>
          <w:szCs w:val="24"/>
          <w:highlight w:val="none"/>
        </w:rPr>
        <w:br w:type="page"/>
      </w:r>
    </w:p>
    <w:p>
      <w:pPr>
        <w:pStyle w:val="3"/>
        <w:spacing w:before="0"/>
        <w:ind w:right="0" w:rightChars="0"/>
        <w:rPr>
          <w:color w:val="auto"/>
          <w:highlight w:val="none"/>
        </w:rPr>
      </w:pPr>
      <w:bookmarkStart w:id="29" w:name="_Toc89675159"/>
      <w:bookmarkStart w:id="30" w:name="_Toc5428"/>
      <w:bookmarkStart w:id="31" w:name="_Toc303066033"/>
      <w:r>
        <w:rPr>
          <w:rFonts w:hint="eastAsia"/>
          <w:color w:val="auto"/>
          <w:highlight w:val="none"/>
        </w:rPr>
        <w:t>第二章 参选人须知</w:t>
      </w:r>
      <w:bookmarkEnd w:id="29"/>
      <w:bookmarkEnd w:id="30"/>
      <w:bookmarkEnd w:id="31"/>
    </w:p>
    <w:p>
      <w:pPr>
        <w:spacing w:line="360" w:lineRule="auto"/>
        <w:rPr>
          <w:rFonts w:ascii="宋体" w:hAnsi="宋体"/>
          <w:color w:val="auto"/>
          <w:highlight w:val="none"/>
        </w:rPr>
      </w:pPr>
    </w:p>
    <w:p>
      <w:pPr>
        <w:widowControl w:val="0"/>
        <w:adjustRightInd w:val="0"/>
        <w:snapToGrid w:val="0"/>
        <w:spacing w:line="360" w:lineRule="auto"/>
        <w:ind w:firstLine="482" w:firstLineChars="200"/>
        <w:jc w:val="both"/>
        <w:outlineLvl w:val="1"/>
        <w:rPr>
          <w:rFonts w:ascii="宋体" w:hAnsi="宋体" w:eastAsia="宋体" w:cs="Arial"/>
          <w:b/>
          <w:bCs/>
          <w:snapToGrid w:val="0"/>
          <w:color w:val="auto"/>
          <w:kern w:val="2"/>
          <w:sz w:val="24"/>
          <w:szCs w:val="24"/>
          <w:highlight w:val="none"/>
          <w:lang w:val="en-US" w:eastAsia="zh-CN" w:bidi="ar-SA"/>
        </w:rPr>
      </w:pPr>
      <w:bookmarkStart w:id="32" w:name="_Toc89675160"/>
      <w:r>
        <w:rPr>
          <w:rFonts w:hint="eastAsia" w:ascii="宋体" w:hAnsi="宋体" w:eastAsia="宋体" w:cs="Arial"/>
          <w:b/>
          <w:bCs/>
          <w:snapToGrid w:val="0"/>
          <w:color w:val="auto"/>
          <w:kern w:val="2"/>
          <w:sz w:val="24"/>
          <w:szCs w:val="24"/>
          <w:highlight w:val="none"/>
          <w:lang w:val="en-US" w:eastAsia="zh-CN" w:bidi="ar-SA"/>
        </w:rPr>
        <w:t>一、项目信息</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（一）项目名称</w:t>
      </w:r>
    </w:p>
    <w:p>
      <w:pPr>
        <w:adjustRightInd w:val="0"/>
        <w:snapToGrid w:val="0"/>
        <w:spacing w:line="360" w:lineRule="auto"/>
        <w:ind w:firstLine="480" w:firstLineChars="200"/>
        <w:rPr>
          <w:color w:val="auto"/>
          <w:sz w:val="24"/>
          <w:szCs w:val="20"/>
          <w:highlight w:val="none"/>
        </w:rPr>
      </w:pPr>
      <w:r>
        <w:rPr>
          <w:rFonts w:hint="eastAsia" w:ascii="宋体" w:hAnsi="宋体" w:cs="Cambria"/>
          <w:snapToGrid w:val="0"/>
          <w:color w:val="auto"/>
          <w:kern w:val="0"/>
          <w:sz w:val="24"/>
          <w:szCs w:val="24"/>
          <w:highlight w:val="none"/>
          <w:lang w:val="en-US" w:eastAsia="zh-CN"/>
        </w:rPr>
        <w:t>重庆三峡银行2023至2024</w:t>
      </w:r>
      <w:r>
        <w:rPr>
          <w:rFonts w:ascii="宋体" w:hAnsi="宋体" w:cs="Cambria"/>
          <w:snapToGrid w:val="0"/>
          <w:color w:val="auto"/>
          <w:kern w:val="0"/>
          <w:sz w:val="24"/>
          <w:szCs w:val="24"/>
          <w:highlight w:val="none"/>
          <w:lang w:val="en-US" w:eastAsia="zh-CN"/>
        </w:rPr>
        <w:t>年度</w:t>
      </w:r>
      <w:r>
        <w:rPr>
          <w:rFonts w:hint="eastAsia" w:ascii="宋体" w:hAnsi="宋体" w:cs="Cambria"/>
          <w:snapToGrid w:val="0"/>
          <w:color w:val="auto"/>
          <w:kern w:val="0"/>
          <w:sz w:val="24"/>
          <w:szCs w:val="24"/>
          <w:highlight w:val="none"/>
          <w:lang w:val="en-US" w:eastAsia="zh-CN"/>
        </w:rPr>
        <w:t>全行科技保障服务</w:t>
      </w:r>
      <w:r>
        <w:rPr>
          <w:rFonts w:hint="eastAsia" w:ascii="宋体" w:hAnsi="宋体" w:cs="Cambria"/>
          <w:snapToGrid w:val="0"/>
          <w:color w:val="auto"/>
          <w:kern w:val="0"/>
          <w:sz w:val="24"/>
          <w:szCs w:val="24"/>
          <w:highlight w:val="none"/>
        </w:rPr>
        <w:t>项目</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（二）比选人</w:t>
      </w:r>
    </w:p>
    <w:p>
      <w:pPr>
        <w:adjustRightInd w:val="0"/>
        <w:snapToGrid w:val="0"/>
        <w:spacing w:line="360" w:lineRule="auto"/>
        <w:ind w:firstLine="480" w:firstLineChars="200"/>
        <w:rPr>
          <w:color w:val="auto"/>
          <w:sz w:val="24"/>
          <w:szCs w:val="20"/>
          <w:highlight w:val="none"/>
        </w:rPr>
      </w:pPr>
      <w:r>
        <w:rPr>
          <w:color w:val="auto"/>
          <w:sz w:val="24"/>
          <w:szCs w:val="20"/>
          <w:highlight w:val="none"/>
        </w:rPr>
        <w:t>重庆三峡银行股份有限公司</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（三）最高限价</w:t>
      </w:r>
    </w:p>
    <w:p>
      <w:pPr>
        <w:adjustRightInd w:val="0"/>
        <w:snapToGrid w:val="0"/>
        <w:spacing w:line="360" w:lineRule="auto"/>
        <w:ind w:firstLine="480" w:firstLineChars="200"/>
        <w:rPr>
          <w:rFonts w:hint="default" w:eastAsia="宋体"/>
          <w:color w:val="auto"/>
          <w:sz w:val="24"/>
          <w:szCs w:val="20"/>
          <w:highlight w:val="none"/>
          <w:lang w:val="en-US" w:eastAsia="zh-CN"/>
        </w:rPr>
      </w:pPr>
      <w:r>
        <w:rPr>
          <w:rFonts w:hint="eastAsia" w:ascii="宋体" w:hAnsi="宋体" w:cs="宋体"/>
          <w:snapToGrid w:val="0"/>
          <w:color w:val="auto"/>
          <w:kern w:val="0"/>
          <w:sz w:val="24"/>
          <w:szCs w:val="24"/>
          <w:highlight w:val="none"/>
        </w:rPr>
        <w:t>本项目最高限价为</w:t>
      </w:r>
      <w:r>
        <w:rPr>
          <w:rFonts w:hint="eastAsia" w:ascii="宋体" w:hAnsi="宋体" w:cs="Cambria"/>
          <w:snapToGrid w:val="0"/>
          <w:color w:val="auto"/>
          <w:kern w:val="0"/>
          <w:sz w:val="24"/>
          <w:szCs w:val="24"/>
          <w:highlight w:val="none"/>
          <w:lang w:val="en-US" w:eastAsia="zh-CN"/>
        </w:rPr>
        <w:t>130</w:t>
      </w:r>
      <w:r>
        <w:rPr>
          <w:rFonts w:hint="eastAsia" w:ascii="宋体" w:hAnsi="宋体" w:cs="Cambria"/>
          <w:snapToGrid w:val="0"/>
          <w:color w:val="auto"/>
          <w:kern w:val="0"/>
          <w:sz w:val="24"/>
          <w:szCs w:val="24"/>
          <w:highlight w:val="none"/>
        </w:rPr>
        <w:t>万元</w:t>
      </w:r>
      <w:r>
        <w:rPr>
          <w:rFonts w:hint="eastAsia" w:ascii="宋体" w:hAnsi="宋体" w:cs="宋体"/>
          <w:snapToGrid w:val="0"/>
          <w:color w:val="auto"/>
          <w:kern w:val="0"/>
          <w:sz w:val="24"/>
          <w:szCs w:val="24"/>
          <w:highlight w:val="none"/>
        </w:rPr>
        <w:t>，人民币大写：</w:t>
      </w:r>
      <w:r>
        <w:rPr>
          <w:rFonts w:hint="eastAsia" w:ascii="宋体" w:hAnsi="宋体" w:cs="宋体"/>
          <w:snapToGrid w:val="0"/>
          <w:color w:val="auto"/>
          <w:kern w:val="0"/>
          <w:sz w:val="24"/>
          <w:szCs w:val="24"/>
          <w:highlight w:val="none"/>
          <w:lang w:val="en-US" w:eastAsia="zh-CN"/>
        </w:rPr>
        <w:t>壹佰叁拾万元整。</w:t>
      </w:r>
    </w:p>
    <w:p>
      <w:pPr>
        <w:widowControl w:val="0"/>
        <w:adjustRightInd w:val="0"/>
        <w:snapToGrid w:val="0"/>
        <w:spacing w:line="360" w:lineRule="auto"/>
        <w:ind w:firstLine="480" w:firstLineChars="200"/>
        <w:jc w:val="both"/>
        <w:outlineLvl w:val="2"/>
        <w:rPr>
          <w:rFonts w:ascii="宋体" w:hAnsi="宋体" w:eastAsia="宋体" w:cs="Times New Roman Regular"/>
          <w:color w:val="auto"/>
          <w:kern w:val="2"/>
          <w:sz w:val="24"/>
          <w:highlight w:val="none"/>
          <w:lang w:val="en-US" w:eastAsia="zh-CN" w:bidi="ar-SA"/>
        </w:rPr>
      </w:pPr>
      <w:r>
        <w:rPr>
          <w:rFonts w:hint="eastAsia" w:ascii="宋体" w:hAnsi="宋体" w:eastAsia="宋体" w:cs="Times New Roman Regular"/>
          <w:color w:val="auto"/>
          <w:kern w:val="2"/>
          <w:sz w:val="24"/>
          <w:highlight w:val="none"/>
          <w:lang w:val="en-US" w:eastAsia="zh-CN" w:bidi="ar-SA"/>
        </w:rPr>
        <w:t>（四）项目内容及要求</w:t>
      </w:r>
    </w:p>
    <w:p>
      <w:pPr>
        <w:adjustRightInd w:val="0"/>
        <w:snapToGrid w:val="0"/>
        <w:spacing w:line="360" w:lineRule="auto"/>
        <w:ind w:firstLine="480" w:firstLineChars="200"/>
        <w:rPr>
          <w:rFonts w:hint="default" w:eastAsia="宋体"/>
          <w:color w:val="auto"/>
          <w:sz w:val="24"/>
          <w:szCs w:val="20"/>
          <w:highlight w:val="none"/>
          <w:lang w:val="en-US" w:eastAsia="zh-CN"/>
        </w:rPr>
      </w:pPr>
      <w:r>
        <w:rPr>
          <w:rFonts w:hint="eastAsia"/>
          <w:color w:val="auto"/>
          <w:sz w:val="24"/>
          <w:szCs w:val="20"/>
          <w:highlight w:val="none"/>
        </w:rPr>
        <w:t>详见第三章</w:t>
      </w:r>
      <w:r>
        <w:rPr>
          <w:rFonts w:hint="eastAsia"/>
          <w:color w:val="auto"/>
          <w:sz w:val="24"/>
          <w:szCs w:val="20"/>
          <w:highlight w:val="none"/>
          <w:lang w:eastAsia="zh-CN"/>
        </w:rPr>
        <w:t>、</w:t>
      </w:r>
      <w:r>
        <w:rPr>
          <w:rFonts w:hint="eastAsia"/>
          <w:color w:val="auto"/>
          <w:sz w:val="24"/>
          <w:szCs w:val="20"/>
          <w:highlight w:val="none"/>
          <w:lang w:val="en-US" w:eastAsia="zh-CN"/>
        </w:rPr>
        <w:t>第四章内容。</w:t>
      </w:r>
    </w:p>
    <w:bookmarkEnd w:id="32"/>
    <w:p>
      <w:pPr>
        <w:pStyle w:val="4"/>
        <w:rPr>
          <w:rFonts w:cs="Cambria"/>
          <w:bCs w:val="0"/>
          <w:snapToGrid/>
          <w:color w:val="auto"/>
          <w:highlight w:val="none"/>
        </w:rPr>
      </w:pPr>
      <w:bookmarkStart w:id="33" w:name="_Toc89675161"/>
      <w:r>
        <w:rPr>
          <w:rFonts w:hint="eastAsia" w:cs="Cambria"/>
          <w:bCs w:val="0"/>
          <w:snapToGrid/>
          <w:color w:val="auto"/>
          <w:highlight w:val="none"/>
        </w:rPr>
        <w:t>二、</w:t>
      </w:r>
      <w:r>
        <w:rPr>
          <w:rFonts w:cs="Cambria"/>
          <w:bCs w:val="0"/>
          <w:snapToGrid/>
          <w:color w:val="auto"/>
          <w:highlight w:val="none"/>
        </w:rPr>
        <w:t>参选</w:t>
      </w:r>
      <w:r>
        <w:rPr>
          <w:rFonts w:hint="eastAsia" w:cs="Cambria"/>
          <w:bCs w:val="0"/>
          <w:snapToGrid/>
          <w:color w:val="auto"/>
          <w:highlight w:val="none"/>
        </w:rPr>
        <w:t>人</w:t>
      </w:r>
      <w:bookmarkEnd w:id="33"/>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1、合格</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人条件</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合格</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人应完全符合比选文件第一章中规定的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人资格条件，并对比选文件作出实质性响应。</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人的风险</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人没有按照比选文件要求提供全部资料，或者</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人没有对比选文件在各方面作出实质性响应，可能导致</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被拒绝或评定为无效</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w:t>
      </w:r>
    </w:p>
    <w:p>
      <w:pPr>
        <w:pStyle w:val="4"/>
        <w:rPr>
          <w:rFonts w:cs="Cambria"/>
          <w:bCs w:val="0"/>
          <w:snapToGrid/>
          <w:color w:val="auto"/>
          <w:highlight w:val="none"/>
        </w:rPr>
      </w:pPr>
      <w:bookmarkStart w:id="34" w:name="_Toc89675162"/>
      <w:r>
        <w:rPr>
          <w:rFonts w:hint="eastAsia" w:cs="Cambria"/>
          <w:bCs w:val="0"/>
          <w:snapToGrid/>
          <w:color w:val="auto"/>
          <w:highlight w:val="none"/>
        </w:rPr>
        <w:t>三、比选文件</w:t>
      </w:r>
      <w:bookmarkEnd w:id="34"/>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比选文件是</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人编制</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文件的依据，是</w:t>
      </w:r>
      <w:r>
        <w:rPr>
          <w:rFonts w:hint="eastAsia" w:ascii="宋体" w:hAnsi="宋体"/>
          <w:snapToGrid w:val="0"/>
          <w:color w:val="auto"/>
          <w:kern w:val="0"/>
          <w:sz w:val="24"/>
          <w:szCs w:val="24"/>
          <w:highlight w:val="none"/>
          <w:lang w:eastAsia="zh-CN"/>
        </w:rPr>
        <w:t>评审</w:t>
      </w:r>
      <w:r>
        <w:rPr>
          <w:rFonts w:hint="eastAsia" w:ascii="宋体" w:hAnsi="宋体"/>
          <w:snapToGrid w:val="0"/>
          <w:color w:val="auto"/>
          <w:kern w:val="0"/>
          <w:sz w:val="24"/>
          <w:szCs w:val="24"/>
          <w:highlight w:val="none"/>
        </w:rPr>
        <w:t>委员会评判依据和标准。比选文件也是比选人与中选人签订合同的基础。</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本行对比选文件所作的一切有效的书面通知、修改及补充，都是比选文件不可分割的部分。</w:t>
      </w:r>
    </w:p>
    <w:p>
      <w:pPr>
        <w:pStyle w:val="4"/>
        <w:rPr>
          <w:rFonts w:cs="Cambria"/>
          <w:bCs w:val="0"/>
          <w:snapToGrid/>
          <w:color w:val="auto"/>
          <w:highlight w:val="none"/>
        </w:rPr>
      </w:pPr>
      <w:bookmarkStart w:id="35" w:name="_Toc89675163"/>
      <w:r>
        <w:rPr>
          <w:rFonts w:hint="eastAsia" w:cs="Cambria"/>
          <w:bCs w:val="0"/>
          <w:snapToGrid/>
          <w:color w:val="auto"/>
          <w:highlight w:val="none"/>
        </w:rPr>
        <w:t>四、</w:t>
      </w:r>
      <w:r>
        <w:rPr>
          <w:rFonts w:cs="Cambria"/>
          <w:bCs w:val="0"/>
          <w:snapToGrid/>
          <w:color w:val="auto"/>
          <w:highlight w:val="none"/>
        </w:rPr>
        <w:t>参选</w:t>
      </w:r>
      <w:bookmarkEnd w:id="35"/>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人应当按照比选文件的要求编制</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文件，并对比选文件提出的要求和条件作出实质性响应。</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文件组成</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人所作的一切有效补充、修改和承诺等文件组成，</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人应按照第</w:t>
      </w:r>
      <w:r>
        <w:rPr>
          <w:rFonts w:hint="eastAsia" w:ascii="宋体" w:hAnsi="宋体"/>
          <w:snapToGrid w:val="0"/>
          <w:color w:val="auto"/>
          <w:kern w:val="0"/>
          <w:sz w:val="24"/>
          <w:szCs w:val="24"/>
          <w:highlight w:val="none"/>
          <w:lang w:val="en-US" w:eastAsia="zh-CN"/>
        </w:rPr>
        <w:t>七</w:t>
      </w:r>
      <w:r>
        <w:rPr>
          <w:rFonts w:hint="eastAsia" w:ascii="宋体" w:hAnsi="宋体"/>
          <w:snapToGrid w:val="0"/>
          <w:color w:val="auto"/>
          <w:kern w:val="0"/>
          <w:sz w:val="24"/>
          <w:szCs w:val="24"/>
          <w:highlight w:val="none"/>
        </w:rPr>
        <w:t>章“</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文件格式”规定的目录顺序组织编写和装订，否则有可能影响</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文件响应程度得分。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（二）联合</w:t>
      </w:r>
      <w:r>
        <w:rPr>
          <w:rFonts w:hint="eastAsia" w:ascii="宋体" w:hAnsi="宋体" w:cs="Cambria"/>
          <w:snapToGrid w:val="0"/>
          <w:color w:val="auto"/>
          <w:kern w:val="0"/>
          <w:sz w:val="24"/>
          <w:szCs w:val="24"/>
          <w:highlight w:val="none"/>
        </w:rPr>
        <w:t>参选</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本比选项目不接受联合</w:t>
      </w:r>
      <w:r>
        <w:rPr>
          <w:rFonts w:hint="eastAsia" w:ascii="宋体" w:hAnsi="宋体" w:cs="Cambria"/>
          <w:snapToGrid w:val="0"/>
          <w:color w:val="auto"/>
          <w:kern w:val="0"/>
          <w:sz w:val="24"/>
          <w:szCs w:val="24"/>
          <w:highlight w:val="none"/>
        </w:rPr>
        <w:t>参选</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（三）</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截止日期后90天内。</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（四）</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人应在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截止时间前，按比选文件第一章规定向比选人缴纳</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的有效约束条件。</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3、参选保证金有效期与参选文件有效期一致。</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保证金币种应与</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报价币种相同。</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5、参选保证金的退还</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snapToGrid w:val="0"/>
          <w:color w:val="auto"/>
          <w:kern w:val="0"/>
          <w:sz w:val="24"/>
          <w:szCs w:val="24"/>
          <w:highlight w:val="none"/>
        </w:rPr>
        <w:t>参选保证金专用账户由重庆市公共资源交易中心制定，关于保证金相关情况的问题请咨询重庆市公共资源交易中心，联系电话023-63621694。</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人有下列情形之一的，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保证金将不予退还：</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有效期内撤回</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过程中弄虚作假，提供虚假材料的；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（3）中选人无正当理由不与比选人签订合同的；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（4）中选人将中选项目转让给他人或者在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文件中未说明且未经比选单位同意，将中选项目分包给他人的；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（5）中选人拒绝履行合同义务的；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（6）其他严重扰乱比选程序的；</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（五）</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文件的份数和签署</w:t>
      </w:r>
    </w:p>
    <w:p>
      <w:pPr>
        <w:snapToGrid w:val="0"/>
        <w:spacing w:line="360" w:lineRule="auto"/>
        <w:ind w:firstLine="480" w:firstLineChars="200"/>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参选文件一式三份，其中正本一份，副本一份，电子文件一份（光盘或U盘），正本和副本的封面上应清楚地标记“正本”或“副本”的字样，副本可为正本的复印件，当副本和正本不一致时，以纸质正本为准。电子文件</w:t>
      </w:r>
      <w:r>
        <w:rPr>
          <w:rFonts w:hint="eastAsia" w:ascii="宋体" w:hAnsi="宋体"/>
          <w:snapToGrid w:val="0"/>
          <w:color w:val="auto"/>
          <w:kern w:val="0"/>
          <w:sz w:val="24"/>
          <w:szCs w:val="24"/>
          <w:highlight w:val="none"/>
          <w:lang w:val="en-US" w:eastAsia="zh-CN"/>
        </w:rPr>
        <w:t>单独</w:t>
      </w:r>
      <w:r>
        <w:rPr>
          <w:rFonts w:hint="eastAsia" w:ascii="宋体" w:hAnsi="宋体"/>
          <w:snapToGrid w:val="0"/>
          <w:color w:val="auto"/>
          <w:kern w:val="0"/>
          <w:sz w:val="24"/>
          <w:szCs w:val="24"/>
          <w:highlight w:val="none"/>
        </w:rPr>
        <w:t>装入信封中</w:t>
      </w:r>
      <w:r>
        <w:rPr>
          <w:rFonts w:hint="eastAsia" w:ascii="宋体" w:hAnsi="宋体"/>
          <w:snapToGrid w:val="0"/>
          <w:color w:val="auto"/>
          <w:kern w:val="0"/>
          <w:sz w:val="24"/>
          <w:szCs w:val="24"/>
          <w:highlight w:val="none"/>
          <w:lang w:val="en-US" w:eastAsia="zh-CN"/>
        </w:rPr>
        <w:t>密封，并在信封</w:t>
      </w:r>
      <w:r>
        <w:rPr>
          <w:rFonts w:hint="eastAsia" w:ascii="宋体" w:hAnsi="宋体"/>
          <w:snapToGrid w:val="0"/>
          <w:color w:val="auto"/>
          <w:kern w:val="0"/>
          <w:sz w:val="24"/>
          <w:szCs w:val="24"/>
          <w:highlight w:val="none"/>
        </w:rPr>
        <w:t>表面加盖鲜章（公章）。</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文件正本中，每一页均应由</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人加盖公章，其中规定格式的文件应当按要求签名和加盖</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3、若</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人对</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文件的错处作必要修改，则应在修改处加盖</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人公章或由法人或法人授权代表签字确认。</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4、电报、电话、传真形式的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文件概不接受。</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（六）</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人应严格按照“</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文件格式”填写报价。</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人的报价为一次性报价，即在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有效期内</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价格固定不变。</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3、本项目只接受一个</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报价，有选择的或有条件的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将不予接受。</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（七）修正错误</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若</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文件出现计算或表达上的错误，修正错误的原则如下：</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1、报价一览表总价与</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报价明细表汇总数不一致的，以报价一览表为准；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文件的大写金额和小写金额不一致的，以大写金额为准；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3、总价金额与按单价汇总金额不一致的，以单价金额计算结果为准；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4、单价金额小数点有明显错位的，应以总价为准，并修正单价；</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5、对不同文字文本</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文件的解释发生异议的，以中文文本为准。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lang w:eastAsia="zh-CN"/>
        </w:rPr>
        <w:t>评审</w:t>
      </w:r>
      <w:r>
        <w:rPr>
          <w:rFonts w:hint="eastAsia" w:ascii="宋体" w:hAnsi="宋体"/>
          <w:snapToGrid w:val="0"/>
          <w:color w:val="auto"/>
          <w:kern w:val="0"/>
          <w:sz w:val="24"/>
          <w:szCs w:val="24"/>
          <w:highlight w:val="none"/>
        </w:rPr>
        <w:t>委员会按上述修正错误的原则及方法调整或修正</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人同意并签字确认后，调整后的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报价对</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人具有约束作用。如果</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人不接受修正后的报价，则其</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将作为无效</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处理。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（八）</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文件的递交</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文件的密封与标记</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参选文件的正本、副本、电子文件装入一个文件大袋进行密封。密封袋上注明项目名称、参选人名称及“不准提前启封”字样。信封的封口须加盖参选人公章或授权代表签字。</w:t>
      </w:r>
    </w:p>
    <w:p>
      <w:pPr>
        <w:autoSpaceDE w:val="0"/>
        <w:autoSpaceDN w:val="0"/>
        <w:spacing w:line="360" w:lineRule="auto"/>
        <w:ind w:firstLine="480" w:firstLineChars="200"/>
        <w:jc w:val="left"/>
        <w:rPr>
          <w:rFonts w:ascii="宋体" w:hAnsi="宋体"/>
          <w:snapToGrid w:val="0"/>
          <w:color w:val="auto"/>
          <w:kern w:val="0"/>
          <w:sz w:val="24"/>
          <w:szCs w:val="24"/>
          <w:highlight w:val="none"/>
        </w:rPr>
      </w:pPr>
      <w:r>
        <w:rPr>
          <w:rFonts w:hint="eastAsia" w:ascii="宋体" w:hAnsi="宋体" w:cs="Cambria"/>
          <w:color w:val="auto"/>
          <w:sz w:val="24"/>
          <w:szCs w:val="24"/>
          <w:highlight w:val="none"/>
        </w:rPr>
        <w:t>如果未按上述规定进行密封和标记，则其</w:t>
      </w:r>
      <w:r>
        <w:rPr>
          <w:rFonts w:hint="eastAsia" w:ascii="宋体" w:hAnsi="宋体" w:cs="Cambria"/>
          <w:snapToGrid w:val="0"/>
          <w:color w:val="auto"/>
          <w:kern w:val="0"/>
          <w:sz w:val="24"/>
          <w:szCs w:val="24"/>
          <w:highlight w:val="none"/>
        </w:rPr>
        <w:t>参选</w:t>
      </w:r>
      <w:r>
        <w:rPr>
          <w:rFonts w:hint="eastAsia" w:ascii="宋体" w:hAnsi="宋体" w:cs="Cambria"/>
          <w:color w:val="auto"/>
          <w:sz w:val="24"/>
          <w:szCs w:val="24"/>
          <w:highlight w:val="none"/>
        </w:rPr>
        <w:t>将作为无效</w:t>
      </w:r>
      <w:r>
        <w:rPr>
          <w:rFonts w:hint="eastAsia" w:ascii="宋体" w:hAnsi="宋体" w:cs="Cambria"/>
          <w:snapToGrid w:val="0"/>
          <w:color w:val="auto"/>
          <w:kern w:val="0"/>
          <w:sz w:val="24"/>
          <w:szCs w:val="24"/>
          <w:highlight w:val="none"/>
        </w:rPr>
        <w:t>参选</w:t>
      </w:r>
      <w:r>
        <w:rPr>
          <w:rFonts w:hint="eastAsia" w:ascii="宋体" w:hAnsi="宋体" w:cs="Cambria"/>
          <w:color w:val="auto"/>
          <w:sz w:val="24"/>
          <w:szCs w:val="24"/>
          <w:highlight w:val="none"/>
        </w:rPr>
        <w:t>处理。</w:t>
      </w:r>
    </w:p>
    <w:p>
      <w:pPr>
        <w:pStyle w:val="4"/>
        <w:tabs>
          <w:tab w:val="left" w:pos="3828"/>
        </w:tabs>
        <w:rPr>
          <w:rFonts w:cs="Cambria"/>
          <w:bCs w:val="0"/>
          <w:snapToGrid/>
          <w:color w:val="auto"/>
          <w:highlight w:val="none"/>
        </w:rPr>
      </w:pPr>
      <w:bookmarkStart w:id="36" w:name="_Toc89675164"/>
      <w:bookmarkStart w:id="37" w:name="_Toc89675166"/>
      <w:r>
        <w:rPr>
          <w:rFonts w:hint="eastAsia" w:cs="Cambria"/>
          <w:bCs w:val="0"/>
          <w:snapToGrid/>
          <w:color w:val="auto"/>
          <w:highlight w:val="none"/>
        </w:rPr>
        <w:t>五、</w:t>
      </w:r>
      <w:bookmarkEnd w:id="36"/>
      <w:r>
        <w:rPr>
          <w:rFonts w:hint="eastAsia" w:cs="Cambria"/>
          <w:bCs w:val="0"/>
          <w:snapToGrid/>
          <w:color w:val="auto"/>
          <w:highlight w:val="none"/>
        </w:rPr>
        <w:t>比选程序</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主持人按下列程序进行比选：</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1</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宣布比选纪律；</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2</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宣布比选人、唱标人、记录人、监</w:t>
      </w:r>
      <w:r>
        <w:rPr>
          <w:rFonts w:hint="eastAsia" w:ascii="宋体"/>
          <w:snapToGrid w:val="0"/>
          <w:color w:val="auto"/>
          <w:kern w:val="0"/>
          <w:sz w:val="24"/>
          <w:szCs w:val="24"/>
          <w:highlight w:val="none"/>
          <w:lang w:val="en-US" w:eastAsia="zh-CN"/>
        </w:rPr>
        <w:t>督</w:t>
      </w:r>
      <w:r>
        <w:rPr>
          <w:rFonts w:hint="eastAsia" w:ascii="宋体"/>
          <w:snapToGrid w:val="0"/>
          <w:color w:val="auto"/>
          <w:kern w:val="0"/>
          <w:sz w:val="24"/>
          <w:szCs w:val="24"/>
          <w:highlight w:val="none"/>
        </w:rPr>
        <w:t>人等有关人员姓名；</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3</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公布在比选截止时间前递交参选文件的参选人名称，并点名确认参选人是否派人到场；</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4</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展示参选保证金，参选保证金缴款不全或有误的，则记录在案交由评审委员会评审；</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5</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封装情况检查：参选人或者其推选的代表检查各参选文件的封装情况并确认；</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6</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设有最高限价的，公布最高限价；</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7</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开启参选文件；</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8</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lang w:val="en-US" w:eastAsia="zh-CN"/>
        </w:rPr>
        <w:t>比</w:t>
      </w:r>
      <w:r>
        <w:rPr>
          <w:rFonts w:hint="eastAsia" w:ascii="宋体"/>
          <w:snapToGrid w:val="0"/>
          <w:color w:val="auto"/>
          <w:kern w:val="0"/>
          <w:sz w:val="24"/>
          <w:szCs w:val="24"/>
          <w:highlight w:val="none"/>
        </w:rPr>
        <w:t>选人代表、参选人代表、监</w:t>
      </w:r>
      <w:r>
        <w:rPr>
          <w:rFonts w:hint="eastAsia" w:ascii="宋体"/>
          <w:snapToGrid w:val="0"/>
          <w:color w:val="auto"/>
          <w:kern w:val="0"/>
          <w:sz w:val="24"/>
          <w:szCs w:val="24"/>
          <w:highlight w:val="none"/>
          <w:lang w:val="en-US" w:eastAsia="zh-CN"/>
        </w:rPr>
        <w:t>督</w:t>
      </w:r>
      <w:r>
        <w:rPr>
          <w:rFonts w:hint="eastAsia" w:ascii="宋体"/>
          <w:snapToGrid w:val="0"/>
          <w:color w:val="auto"/>
          <w:kern w:val="0"/>
          <w:sz w:val="24"/>
          <w:szCs w:val="24"/>
          <w:highlight w:val="none"/>
        </w:rPr>
        <w:t>人、记录人等有关人员在比选记录上签字确认；</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9</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比选结束。</w:t>
      </w:r>
    </w:p>
    <w:p>
      <w:pPr>
        <w:pStyle w:val="4"/>
        <w:tabs>
          <w:tab w:val="left" w:pos="3828"/>
        </w:tabs>
        <w:rPr>
          <w:rFonts w:cs="Cambria"/>
          <w:bCs w:val="0"/>
          <w:snapToGrid/>
          <w:color w:val="auto"/>
          <w:highlight w:val="none"/>
        </w:rPr>
      </w:pPr>
      <w:bookmarkStart w:id="38" w:name="_Toc89675165"/>
      <w:r>
        <w:rPr>
          <w:rFonts w:hint="eastAsia" w:cs="Cambria"/>
          <w:bCs w:val="0"/>
          <w:snapToGrid/>
          <w:color w:val="auto"/>
          <w:highlight w:val="none"/>
        </w:rPr>
        <w:t>六、</w:t>
      </w:r>
      <w:bookmarkEnd w:id="38"/>
      <w:r>
        <w:rPr>
          <w:rFonts w:hint="eastAsia" w:cs="Cambria"/>
          <w:bCs w:val="0"/>
          <w:snapToGrid/>
          <w:color w:val="auto"/>
          <w:highlight w:val="none"/>
        </w:rPr>
        <w:t>评审</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见第五章内容。</w:t>
      </w:r>
    </w:p>
    <w:p>
      <w:pPr>
        <w:pStyle w:val="4"/>
        <w:rPr>
          <w:rFonts w:cs="Cambria"/>
          <w:bCs w:val="0"/>
          <w:snapToGrid/>
          <w:color w:val="auto"/>
          <w:highlight w:val="none"/>
        </w:rPr>
      </w:pPr>
      <w:r>
        <w:rPr>
          <w:rFonts w:hint="eastAsia" w:cs="Cambria"/>
          <w:bCs w:val="0"/>
          <w:snapToGrid/>
          <w:color w:val="auto"/>
          <w:highlight w:val="none"/>
        </w:rPr>
        <w:t>七、定</w:t>
      </w:r>
      <w:r>
        <w:rPr>
          <w:rFonts w:cs="Cambria"/>
          <w:bCs w:val="0"/>
          <w:snapToGrid/>
          <w:color w:val="auto"/>
          <w:highlight w:val="none"/>
        </w:rPr>
        <w:t>选</w:t>
      </w:r>
      <w:bookmarkEnd w:id="37"/>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1、定选原则</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比选人按照</w:t>
      </w:r>
      <w:r>
        <w:rPr>
          <w:rFonts w:hint="eastAsia" w:ascii="宋体" w:hAnsi="宋体"/>
          <w:snapToGrid w:val="0"/>
          <w:color w:val="auto"/>
          <w:kern w:val="0"/>
          <w:sz w:val="24"/>
          <w:szCs w:val="24"/>
          <w:highlight w:val="none"/>
          <w:lang w:eastAsia="zh-CN"/>
        </w:rPr>
        <w:t>评审</w:t>
      </w:r>
      <w:r>
        <w:rPr>
          <w:rFonts w:hint="eastAsia" w:ascii="宋体" w:hAnsi="宋体"/>
          <w:snapToGrid w:val="0"/>
          <w:color w:val="auto"/>
          <w:kern w:val="0"/>
          <w:sz w:val="24"/>
          <w:szCs w:val="24"/>
          <w:highlight w:val="none"/>
        </w:rPr>
        <w:t>报告中推荐的中选候选人排名顺序确定中选人，如中选人因不可抗力或者自身原因不能履行合同的，比选人可以确定依次其后的候选人为中选人，以此类推。</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2、不承诺最低价格中选。</w:t>
      </w:r>
    </w:p>
    <w:p>
      <w:pPr>
        <w:snapToGrid w:val="0"/>
        <w:spacing w:line="360" w:lineRule="auto"/>
        <w:ind w:firstLine="480" w:firstLineChars="200"/>
        <w:rPr>
          <w:rFonts w:ascii="宋体"/>
          <w:snapToGrid w:val="0"/>
          <w:color w:val="auto"/>
          <w:kern w:val="0"/>
          <w:sz w:val="24"/>
          <w:szCs w:val="24"/>
          <w:highlight w:val="none"/>
        </w:rPr>
      </w:pPr>
      <w:r>
        <w:rPr>
          <w:rFonts w:hint="eastAsia" w:ascii="宋体" w:hAnsi="宋体"/>
          <w:snapToGrid w:val="0"/>
          <w:color w:val="auto"/>
          <w:kern w:val="0"/>
          <w:sz w:val="24"/>
          <w:szCs w:val="24"/>
          <w:highlight w:val="none"/>
        </w:rPr>
        <w:t>3、若</w:t>
      </w:r>
      <w:r>
        <w:rPr>
          <w:rFonts w:hint="eastAsia" w:ascii="宋体"/>
          <w:snapToGrid w:val="0"/>
          <w:color w:val="auto"/>
          <w:kern w:val="0"/>
          <w:sz w:val="24"/>
          <w:szCs w:val="24"/>
          <w:highlight w:val="none"/>
        </w:rPr>
        <w:t>中选人参选材料出现造假、不实等与实际查询结果不符或无故弃选的情况，比选人有权选择重新比选或顺延下一中选候选人，由此带来的损失比选人有权通过没收参选保证金等方式进行追溯。</w:t>
      </w:r>
    </w:p>
    <w:p>
      <w:pPr>
        <w:pStyle w:val="4"/>
        <w:rPr>
          <w:rFonts w:cs="Cambria"/>
          <w:bCs w:val="0"/>
          <w:snapToGrid/>
          <w:color w:val="auto"/>
          <w:highlight w:val="none"/>
        </w:rPr>
      </w:pPr>
      <w:bookmarkStart w:id="39" w:name="_Toc89675168"/>
      <w:bookmarkStart w:id="40" w:name="_Toc12245"/>
      <w:r>
        <w:rPr>
          <w:rFonts w:hint="eastAsia" w:cs="Cambria"/>
          <w:bCs w:val="0"/>
          <w:snapToGrid/>
          <w:color w:val="auto"/>
          <w:highlight w:val="none"/>
        </w:rPr>
        <w:t>八、签订合同</w:t>
      </w:r>
      <w:bookmarkEnd w:id="39"/>
      <w:bookmarkEnd w:id="40"/>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rPr>
        <w:t>比选人指定的使用单位将在自中选通知发出之日起，依据比选文件和中选人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文件的约定，按照比选人内部流程与中选人签订书面合同。所签订的合同不得对比选文件和中选人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文件作实质性修改。</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rPr>
        <w:t>比选文件、中选人的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文件及澄清文件等，均为签订合同的依据。</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rPr>
        <w:t>合同生效条款由供需双方约定，法律、行政法规规定应当办理批准、登记等手续后生效的合同，依照其规定。</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w:t>
      </w:r>
      <w:r>
        <w:rPr>
          <w:rFonts w:hint="eastAsia" w:ascii="宋体" w:hAnsi="宋体"/>
          <w:snapToGrid w:val="0"/>
          <w:color w:val="auto"/>
          <w:kern w:val="0"/>
          <w:sz w:val="24"/>
          <w:szCs w:val="24"/>
          <w:highlight w:val="none"/>
          <w:lang w:eastAsia="zh-CN"/>
        </w:rPr>
        <w:t>、</w:t>
      </w:r>
      <w:r>
        <w:rPr>
          <w:rFonts w:hint="eastAsia" w:ascii="宋体" w:hAnsi="宋体"/>
          <w:snapToGrid w:val="0"/>
          <w:color w:val="auto"/>
          <w:kern w:val="0"/>
          <w:sz w:val="24"/>
          <w:szCs w:val="24"/>
          <w:highlight w:val="none"/>
        </w:rPr>
        <w:t>签订合同后，若中选人无法按要求履约，比选人可以废除中选人资格，并可选择按照中选候选人顺位与</w:t>
      </w:r>
      <w:r>
        <w:rPr>
          <w:rFonts w:hint="eastAsia" w:ascii="宋体" w:hAnsi="宋体"/>
          <w:snapToGrid w:val="0"/>
          <w:color w:val="auto"/>
          <w:kern w:val="0"/>
          <w:sz w:val="24"/>
          <w:szCs w:val="24"/>
          <w:highlight w:val="none"/>
          <w:lang w:val="en-US" w:eastAsia="zh-CN"/>
        </w:rPr>
        <w:t>下一</w:t>
      </w:r>
      <w:r>
        <w:rPr>
          <w:rFonts w:hint="eastAsia" w:ascii="宋体" w:hAnsi="宋体"/>
          <w:snapToGrid w:val="0"/>
          <w:color w:val="auto"/>
          <w:kern w:val="0"/>
          <w:sz w:val="24"/>
          <w:szCs w:val="24"/>
          <w:highlight w:val="none"/>
        </w:rPr>
        <w:t>候选人签订合同。</w:t>
      </w:r>
    </w:p>
    <w:p>
      <w:pPr>
        <w:pStyle w:val="4"/>
        <w:rPr>
          <w:rFonts w:cs="Cambria"/>
          <w:bCs w:val="0"/>
          <w:snapToGrid/>
          <w:color w:val="auto"/>
          <w:highlight w:val="none"/>
        </w:rPr>
      </w:pPr>
      <w:r>
        <w:rPr>
          <w:rFonts w:hint="eastAsia" w:cs="Cambria"/>
          <w:bCs w:val="0"/>
          <w:snapToGrid/>
          <w:color w:val="auto"/>
          <w:highlight w:val="none"/>
        </w:rPr>
        <w:t>九、纪律与要求</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参选人不得相互串通</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或者与比选人串通</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，不得向比选人行贿谋取</w:t>
      </w:r>
      <w:r>
        <w:rPr>
          <w:rFonts w:hint="eastAsia" w:ascii="宋体" w:hAnsi="宋体" w:cs="Cambria"/>
          <w:snapToGrid w:val="0"/>
          <w:color w:val="auto"/>
          <w:kern w:val="0"/>
          <w:sz w:val="24"/>
          <w:szCs w:val="24"/>
          <w:highlight w:val="none"/>
        </w:rPr>
        <w:t>中选</w:t>
      </w:r>
      <w:r>
        <w:rPr>
          <w:rFonts w:hint="eastAsia" w:ascii="宋体" w:cs="Cambria"/>
          <w:snapToGrid w:val="0"/>
          <w:color w:val="auto"/>
          <w:kern w:val="0"/>
          <w:sz w:val="24"/>
          <w:szCs w:val="24"/>
          <w:highlight w:val="none"/>
        </w:rPr>
        <w:t>，不得以他人名义</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或者以其他方式弄虚作假骗取</w:t>
      </w:r>
      <w:r>
        <w:rPr>
          <w:rFonts w:hint="eastAsia" w:ascii="宋体" w:hAnsi="宋体" w:cs="Cambria"/>
          <w:snapToGrid w:val="0"/>
          <w:color w:val="auto"/>
          <w:kern w:val="0"/>
          <w:sz w:val="24"/>
          <w:szCs w:val="24"/>
          <w:highlight w:val="none"/>
        </w:rPr>
        <w:t>中选</w:t>
      </w:r>
      <w:r>
        <w:rPr>
          <w:rFonts w:hint="eastAsia" w:ascii="宋体" w:cs="Cambria"/>
          <w:snapToGrid w:val="0"/>
          <w:color w:val="auto"/>
          <w:kern w:val="0"/>
          <w:sz w:val="24"/>
          <w:szCs w:val="24"/>
          <w:highlight w:val="none"/>
        </w:rPr>
        <w:t>；参选人不得以任何方式干扰、影响评标工作。</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1、有下列情形之一的，属于参选人相互串通</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（1）参选人之间协商</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报价等</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文件的实质性内容；</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（2）参选人之间约定中选人；</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（3）参选人之间约定部分参选人放弃</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或者</w:t>
      </w:r>
      <w:r>
        <w:rPr>
          <w:rFonts w:hint="eastAsia" w:ascii="宋体" w:hAnsi="宋体" w:cs="Cambria"/>
          <w:snapToGrid w:val="0"/>
          <w:color w:val="auto"/>
          <w:kern w:val="0"/>
          <w:sz w:val="24"/>
          <w:szCs w:val="24"/>
          <w:highlight w:val="none"/>
        </w:rPr>
        <w:t>中选</w:t>
      </w:r>
      <w:r>
        <w:rPr>
          <w:rFonts w:hint="eastAsia" w:ascii="宋体" w:cs="Cambria"/>
          <w:snapToGrid w:val="0"/>
          <w:color w:val="auto"/>
          <w:kern w:val="0"/>
          <w:sz w:val="24"/>
          <w:szCs w:val="24"/>
          <w:highlight w:val="none"/>
        </w:rPr>
        <w:t>；</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（4）属于同一集团、协会、商会等组织成员的</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人按照该组织要求协同</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（5）参选人之间为谋取</w:t>
      </w:r>
      <w:r>
        <w:rPr>
          <w:rFonts w:hint="eastAsia" w:ascii="宋体" w:hAnsi="宋体" w:cs="Cambria"/>
          <w:snapToGrid w:val="0"/>
          <w:color w:val="auto"/>
          <w:kern w:val="0"/>
          <w:sz w:val="24"/>
          <w:szCs w:val="24"/>
          <w:highlight w:val="none"/>
        </w:rPr>
        <w:t>中选</w:t>
      </w:r>
      <w:r>
        <w:rPr>
          <w:rFonts w:hint="eastAsia" w:ascii="宋体" w:cs="Cambria"/>
          <w:snapToGrid w:val="0"/>
          <w:color w:val="auto"/>
          <w:kern w:val="0"/>
          <w:sz w:val="24"/>
          <w:szCs w:val="24"/>
          <w:highlight w:val="none"/>
        </w:rPr>
        <w:t>或者排斥特定参选人而采取的其他联合行动。</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2、有下列情形之一的，视为参选人相互串通</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（1）不同参选人的参选文件由同一单位或者个人编制；</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（2）不同参选人委托同一单位或者个人办理</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事宜；</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（3）不同参选人的参选文件载明的项目管理成员为同一人；</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4</w:t>
      </w:r>
      <w:r>
        <w:rPr>
          <w:rFonts w:hint="eastAsia" w:ascii="宋体" w:cs="Cambria"/>
          <w:snapToGrid w:val="0"/>
          <w:color w:val="auto"/>
          <w:kern w:val="0"/>
          <w:sz w:val="24"/>
          <w:szCs w:val="24"/>
          <w:highlight w:val="none"/>
        </w:rPr>
        <w:t>）不同参选人的参选文件相互混装；</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5</w:t>
      </w:r>
      <w:r>
        <w:rPr>
          <w:rFonts w:hint="eastAsia" w:ascii="宋体" w:cs="Cambria"/>
          <w:snapToGrid w:val="0"/>
          <w:color w:val="auto"/>
          <w:kern w:val="0"/>
          <w:sz w:val="24"/>
          <w:szCs w:val="24"/>
          <w:highlight w:val="none"/>
        </w:rPr>
        <w:t>）不同参选人的参选保证金从同一单位或者个人的账户转出。</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3、使用通过受让或者租借等方式获取的资格、资质证书</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的，属于以他人名义</w:t>
      </w:r>
      <w:r>
        <w:rPr>
          <w:rFonts w:hint="eastAsia" w:ascii="宋体" w:hAnsi="宋体" w:cs="Cambria"/>
          <w:snapToGrid w:val="0"/>
          <w:color w:val="auto"/>
          <w:kern w:val="0"/>
          <w:sz w:val="24"/>
          <w:szCs w:val="24"/>
          <w:highlight w:val="none"/>
        </w:rPr>
        <w:t>参选</w:t>
      </w:r>
      <w:r>
        <w:rPr>
          <w:rFonts w:hint="eastAsia" w:ascii="宋体" w:cs="Cambria"/>
          <w:snapToGrid w:val="0"/>
          <w:color w:val="auto"/>
          <w:kern w:val="0"/>
          <w:sz w:val="24"/>
          <w:szCs w:val="24"/>
          <w:highlight w:val="none"/>
        </w:rPr>
        <w:t>。</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4、参选人有下列情形之一的，属于其他方式弄虚作假的行为：</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1</w:t>
      </w:r>
      <w:r>
        <w:rPr>
          <w:rFonts w:hint="eastAsia" w:ascii="宋体" w:cs="Cambria"/>
          <w:snapToGrid w:val="0"/>
          <w:color w:val="auto"/>
          <w:kern w:val="0"/>
          <w:sz w:val="24"/>
          <w:szCs w:val="24"/>
          <w:highlight w:val="none"/>
        </w:rPr>
        <w:t>）使用伪造、变造的许可证件；</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2</w:t>
      </w:r>
      <w:r>
        <w:rPr>
          <w:rFonts w:hint="eastAsia" w:ascii="宋体" w:cs="Cambria"/>
          <w:snapToGrid w:val="0"/>
          <w:color w:val="auto"/>
          <w:kern w:val="0"/>
          <w:sz w:val="24"/>
          <w:szCs w:val="24"/>
          <w:highlight w:val="none"/>
        </w:rPr>
        <w:t>）提供虚假的财务状况或者虚假业绩；</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3</w:t>
      </w:r>
      <w:r>
        <w:rPr>
          <w:rFonts w:hint="eastAsia" w:ascii="宋体" w:cs="Cambria"/>
          <w:snapToGrid w:val="0"/>
          <w:color w:val="auto"/>
          <w:kern w:val="0"/>
          <w:sz w:val="24"/>
          <w:szCs w:val="24"/>
          <w:highlight w:val="none"/>
        </w:rPr>
        <w:t>）提供虚假的项目负责人或者主要技术人员简历、劳动关系证明；</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4</w:t>
      </w:r>
      <w:r>
        <w:rPr>
          <w:rFonts w:hint="eastAsia" w:ascii="宋体" w:cs="Cambria"/>
          <w:snapToGrid w:val="0"/>
          <w:color w:val="auto"/>
          <w:kern w:val="0"/>
          <w:sz w:val="24"/>
          <w:szCs w:val="24"/>
          <w:highlight w:val="none"/>
        </w:rPr>
        <w:t>）提供虚假的信用状况；</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w:t>
      </w:r>
      <w:r>
        <w:rPr>
          <w:rFonts w:hint="eastAsia" w:ascii="宋体" w:cs="Cambria"/>
          <w:snapToGrid w:val="0"/>
          <w:color w:val="auto"/>
          <w:kern w:val="0"/>
          <w:sz w:val="24"/>
          <w:szCs w:val="24"/>
          <w:highlight w:val="none"/>
          <w:lang w:val="en-US" w:eastAsia="zh-CN"/>
        </w:rPr>
        <w:t>5</w:t>
      </w:r>
      <w:r>
        <w:rPr>
          <w:rFonts w:hint="eastAsia" w:ascii="宋体" w:cs="Cambria"/>
          <w:snapToGrid w:val="0"/>
          <w:color w:val="auto"/>
          <w:kern w:val="0"/>
          <w:sz w:val="24"/>
          <w:szCs w:val="24"/>
          <w:highlight w:val="none"/>
        </w:rPr>
        <w:t>）其它弄虚作假的行为。</w:t>
      </w:r>
    </w:p>
    <w:p>
      <w:pPr>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针对以上情况，比选人有权没收参选人的参选保证金，并保留进一步追究由此带来损失的权利。</w:t>
      </w:r>
    </w:p>
    <w:p>
      <w:pPr>
        <w:pStyle w:val="4"/>
        <w:rPr>
          <w:rFonts w:cs="Cambria"/>
          <w:b w:val="0"/>
          <w:snapToGrid/>
          <w:color w:val="auto"/>
          <w:highlight w:val="none"/>
        </w:rPr>
      </w:pPr>
      <w:bookmarkStart w:id="41" w:name="_Toc89675169"/>
      <w:r>
        <w:rPr>
          <w:rFonts w:hint="eastAsia" w:cs="Cambria"/>
          <w:bCs w:val="0"/>
          <w:snapToGrid/>
          <w:color w:val="auto"/>
          <w:highlight w:val="none"/>
        </w:rPr>
        <w:t>十、提问、质疑、投诉</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1</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参选人在下载比选文件后，应仔细检查比选文件的所有内容，如有残缺或文字表述不清，以及存在错、碰、漏、缺、概念模糊和有可能出现歧义或理解上的偏差的内容等应在</w:t>
      </w:r>
      <w:r>
        <w:rPr>
          <w:rFonts w:hint="eastAsia" w:ascii="宋体"/>
          <w:snapToGrid w:val="0"/>
          <w:color w:val="auto"/>
          <w:kern w:val="0"/>
          <w:sz w:val="24"/>
          <w:szCs w:val="24"/>
          <w:highlight w:val="none"/>
          <w:u w:val="none"/>
          <w:lang w:val="en-US" w:eastAsia="zh-CN"/>
        </w:rPr>
        <w:t>2024</w:t>
      </w:r>
      <w:r>
        <w:rPr>
          <w:rFonts w:hint="eastAsia" w:ascii="宋体"/>
          <w:snapToGrid w:val="0"/>
          <w:color w:val="auto"/>
          <w:kern w:val="0"/>
          <w:sz w:val="24"/>
          <w:szCs w:val="24"/>
          <w:highlight w:val="none"/>
          <w:u w:val="none"/>
        </w:rPr>
        <w:t>年</w:t>
      </w:r>
      <w:r>
        <w:rPr>
          <w:rFonts w:hint="eastAsia" w:ascii="宋体"/>
          <w:snapToGrid w:val="0"/>
          <w:color w:val="auto"/>
          <w:kern w:val="0"/>
          <w:sz w:val="24"/>
          <w:szCs w:val="24"/>
          <w:highlight w:val="none"/>
          <w:u w:val="none"/>
          <w:lang w:val="en-US" w:eastAsia="zh-CN"/>
        </w:rPr>
        <w:t>1</w:t>
      </w:r>
      <w:r>
        <w:rPr>
          <w:rFonts w:hint="eastAsia" w:ascii="宋体"/>
          <w:snapToGrid w:val="0"/>
          <w:color w:val="auto"/>
          <w:kern w:val="0"/>
          <w:sz w:val="24"/>
          <w:szCs w:val="24"/>
          <w:highlight w:val="none"/>
          <w:u w:val="none"/>
        </w:rPr>
        <w:t>月</w:t>
      </w:r>
      <w:r>
        <w:rPr>
          <w:rFonts w:hint="eastAsia" w:ascii="宋体"/>
          <w:snapToGrid w:val="0"/>
          <w:color w:val="auto"/>
          <w:kern w:val="0"/>
          <w:sz w:val="24"/>
          <w:szCs w:val="24"/>
          <w:highlight w:val="none"/>
          <w:u w:val="none"/>
          <w:lang w:val="en-US" w:eastAsia="zh-CN"/>
        </w:rPr>
        <w:t>20</w:t>
      </w:r>
      <w:r>
        <w:rPr>
          <w:rFonts w:hint="eastAsia" w:ascii="宋体"/>
          <w:snapToGrid w:val="0"/>
          <w:color w:val="auto"/>
          <w:kern w:val="0"/>
          <w:sz w:val="24"/>
          <w:szCs w:val="24"/>
          <w:highlight w:val="none"/>
          <w:u w:val="none"/>
        </w:rPr>
        <w:t>日</w:t>
      </w:r>
      <w:r>
        <w:rPr>
          <w:rFonts w:hint="eastAsia" w:ascii="宋体"/>
          <w:snapToGrid w:val="0"/>
          <w:color w:val="auto"/>
          <w:kern w:val="0"/>
          <w:sz w:val="24"/>
          <w:szCs w:val="24"/>
          <w:highlight w:val="none"/>
          <w:u w:val="none"/>
          <w:lang w:val="en-US" w:eastAsia="zh-CN"/>
        </w:rPr>
        <w:t>17</w:t>
      </w:r>
      <w:r>
        <w:rPr>
          <w:rFonts w:hint="eastAsia" w:ascii="宋体"/>
          <w:snapToGrid w:val="0"/>
          <w:color w:val="auto"/>
          <w:kern w:val="0"/>
          <w:sz w:val="24"/>
          <w:szCs w:val="24"/>
          <w:highlight w:val="none"/>
          <w:u w:val="none"/>
        </w:rPr>
        <w:t>时</w:t>
      </w:r>
      <w:r>
        <w:rPr>
          <w:rFonts w:hint="eastAsia" w:ascii="宋体"/>
          <w:snapToGrid w:val="0"/>
          <w:color w:val="auto"/>
          <w:kern w:val="0"/>
          <w:sz w:val="24"/>
          <w:szCs w:val="24"/>
          <w:highlight w:val="none"/>
          <w:u w:val="none"/>
          <w:lang w:val="en-US" w:eastAsia="zh-CN"/>
        </w:rPr>
        <w:t>0</w:t>
      </w:r>
      <w:r>
        <w:rPr>
          <w:rFonts w:hint="eastAsia" w:ascii="宋体"/>
          <w:snapToGrid w:val="0"/>
          <w:color w:val="auto"/>
          <w:kern w:val="0"/>
          <w:sz w:val="24"/>
          <w:szCs w:val="24"/>
          <w:highlight w:val="none"/>
          <w:u w:val="none"/>
        </w:rPr>
        <w:t>分</w:t>
      </w:r>
      <w:r>
        <w:rPr>
          <w:rFonts w:hint="eastAsia" w:ascii="宋体"/>
          <w:snapToGrid w:val="0"/>
          <w:color w:val="auto"/>
          <w:kern w:val="0"/>
          <w:sz w:val="24"/>
          <w:szCs w:val="24"/>
          <w:highlight w:val="none"/>
        </w:rPr>
        <w:t>（北京时间）前自行在重庆市公共资源交易网（http://www.cqggzy.com/）比选公告的“我要提问”栏目匿名提出。参选人未提出，则视为参选人已全面确认比选文件内容。</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比选人在认为有必要对参选人所提问题进行答复</w:t>
      </w:r>
      <w:bookmarkStart w:id="115" w:name="_GoBack"/>
      <w:bookmarkEnd w:id="115"/>
      <w:r>
        <w:rPr>
          <w:rFonts w:hint="eastAsia" w:ascii="宋体"/>
          <w:snapToGrid w:val="0"/>
          <w:color w:val="auto"/>
          <w:kern w:val="0"/>
          <w:sz w:val="24"/>
          <w:szCs w:val="24"/>
          <w:highlight w:val="none"/>
        </w:rPr>
        <w:t>或对比选文件进行补充时，将于</w:t>
      </w:r>
      <w:r>
        <w:rPr>
          <w:rFonts w:hint="eastAsia" w:ascii="宋体"/>
          <w:snapToGrid w:val="0"/>
          <w:color w:val="auto"/>
          <w:kern w:val="0"/>
          <w:sz w:val="24"/>
          <w:szCs w:val="24"/>
          <w:highlight w:val="none"/>
          <w:u w:val="none"/>
          <w:lang w:val="en-US" w:eastAsia="zh-CN"/>
        </w:rPr>
        <w:t>2024</w:t>
      </w:r>
      <w:r>
        <w:rPr>
          <w:rFonts w:hint="eastAsia" w:ascii="宋体"/>
          <w:snapToGrid w:val="0"/>
          <w:color w:val="auto"/>
          <w:kern w:val="0"/>
          <w:sz w:val="24"/>
          <w:szCs w:val="24"/>
          <w:highlight w:val="none"/>
          <w:u w:val="none"/>
        </w:rPr>
        <w:t>年</w:t>
      </w:r>
      <w:r>
        <w:rPr>
          <w:rFonts w:hint="eastAsia" w:ascii="宋体"/>
          <w:snapToGrid w:val="0"/>
          <w:color w:val="auto"/>
          <w:kern w:val="0"/>
          <w:sz w:val="24"/>
          <w:szCs w:val="24"/>
          <w:highlight w:val="none"/>
          <w:u w:val="none"/>
          <w:lang w:val="en-US" w:eastAsia="zh-CN"/>
        </w:rPr>
        <w:t>1</w:t>
      </w:r>
      <w:r>
        <w:rPr>
          <w:rFonts w:hint="eastAsia" w:ascii="宋体"/>
          <w:snapToGrid w:val="0"/>
          <w:color w:val="auto"/>
          <w:kern w:val="0"/>
          <w:sz w:val="24"/>
          <w:szCs w:val="24"/>
          <w:highlight w:val="none"/>
          <w:u w:val="none"/>
        </w:rPr>
        <w:t>月</w:t>
      </w:r>
      <w:r>
        <w:rPr>
          <w:rFonts w:hint="eastAsia" w:ascii="宋体"/>
          <w:snapToGrid w:val="0"/>
          <w:color w:val="auto"/>
          <w:kern w:val="0"/>
          <w:sz w:val="24"/>
          <w:szCs w:val="24"/>
          <w:highlight w:val="none"/>
          <w:u w:val="none"/>
          <w:lang w:val="en-US" w:eastAsia="zh-CN"/>
        </w:rPr>
        <w:t>23</w:t>
      </w:r>
      <w:r>
        <w:rPr>
          <w:rFonts w:hint="eastAsia" w:ascii="宋体"/>
          <w:snapToGrid w:val="0"/>
          <w:color w:val="auto"/>
          <w:kern w:val="0"/>
          <w:sz w:val="24"/>
          <w:szCs w:val="24"/>
          <w:highlight w:val="none"/>
          <w:u w:val="none"/>
        </w:rPr>
        <w:t>日</w:t>
      </w:r>
      <w:r>
        <w:rPr>
          <w:rFonts w:hint="eastAsia" w:ascii="宋体"/>
          <w:snapToGrid w:val="0"/>
          <w:color w:val="auto"/>
          <w:kern w:val="0"/>
          <w:sz w:val="24"/>
          <w:szCs w:val="24"/>
          <w:highlight w:val="none"/>
          <w:u w:val="none"/>
          <w:lang w:val="en-US" w:eastAsia="zh-CN"/>
        </w:rPr>
        <w:t>17</w:t>
      </w:r>
      <w:r>
        <w:rPr>
          <w:rFonts w:hint="eastAsia" w:ascii="宋体"/>
          <w:snapToGrid w:val="0"/>
          <w:color w:val="auto"/>
          <w:kern w:val="0"/>
          <w:sz w:val="24"/>
          <w:szCs w:val="24"/>
          <w:highlight w:val="none"/>
          <w:u w:val="none"/>
        </w:rPr>
        <w:t>时</w:t>
      </w:r>
      <w:r>
        <w:rPr>
          <w:rFonts w:hint="eastAsia" w:ascii="宋体"/>
          <w:snapToGrid w:val="0"/>
          <w:color w:val="auto"/>
          <w:kern w:val="0"/>
          <w:sz w:val="24"/>
          <w:szCs w:val="24"/>
          <w:highlight w:val="none"/>
          <w:u w:val="none"/>
          <w:lang w:val="en-US" w:eastAsia="zh-CN"/>
        </w:rPr>
        <w:t>0</w:t>
      </w:r>
      <w:r>
        <w:rPr>
          <w:rFonts w:hint="eastAsia" w:ascii="宋体"/>
          <w:snapToGrid w:val="0"/>
          <w:color w:val="auto"/>
          <w:kern w:val="0"/>
          <w:sz w:val="24"/>
          <w:szCs w:val="24"/>
          <w:highlight w:val="none"/>
          <w:u w:val="none"/>
        </w:rPr>
        <w:t>分</w:t>
      </w:r>
      <w:r>
        <w:rPr>
          <w:rFonts w:hint="eastAsia" w:ascii="宋体"/>
          <w:snapToGrid w:val="0"/>
          <w:color w:val="auto"/>
          <w:kern w:val="0"/>
          <w:sz w:val="24"/>
          <w:szCs w:val="24"/>
          <w:highlight w:val="none"/>
        </w:rPr>
        <w:t>（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2</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3</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参选人对公示的中选结果有质疑，参选人需在公示期内以书面形式向比选人提出质疑。本行在公示截止日期前负责书面答复。</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4</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参选人对比选人的答复不满意或者有质疑， 可向本行纪检监察部投诉。</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采购质疑邮箱：</w:t>
      </w:r>
      <w:r>
        <w:rPr>
          <w:rFonts w:ascii="宋体"/>
          <w:snapToGrid w:val="0"/>
          <w:color w:val="auto"/>
          <w:kern w:val="0"/>
          <w:sz w:val="24"/>
          <w:szCs w:val="24"/>
          <w:highlight w:val="none"/>
        </w:rPr>
        <w:t>sx.jcb@ccqtgb.com</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采购投诉邮箱：</w:t>
      </w:r>
      <w:bookmarkStart w:id="42" w:name="_Hlk74215856"/>
      <w:r>
        <w:rPr>
          <w:rFonts w:hint="eastAsia" w:ascii="宋体"/>
          <w:snapToGrid w:val="0"/>
          <w:color w:val="auto"/>
          <w:kern w:val="0"/>
          <w:sz w:val="24"/>
          <w:szCs w:val="24"/>
          <w:highlight w:val="none"/>
        </w:rPr>
        <w:t>sxyhjjz@</w:t>
      </w:r>
      <w:r>
        <w:rPr>
          <w:rFonts w:ascii="宋体"/>
          <w:snapToGrid w:val="0"/>
          <w:color w:val="auto"/>
          <w:kern w:val="0"/>
          <w:sz w:val="24"/>
          <w:szCs w:val="24"/>
          <w:highlight w:val="none"/>
        </w:rPr>
        <w:t>ccqtgb</w:t>
      </w:r>
      <w:r>
        <w:rPr>
          <w:rFonts w:hint="eastAsia" w:ascii="宋体"/>
          <w:snapToGrid w:val="0"/>
          <w:color w:val="auto"/>
          <w:kern w:val="0"/>
          <w:sz w:val="24"/>
          <w:szCs w:val="24"/>
          <w:highlight w:val="none"/>
        </w:rPr>
        <w:t>.com</w:t>
      </w:r>
      <w:bookmarkEnd w:id="42"/>
    </w:p>
    <w:p>
      <w:pPr>
        <w:pStyle w:val="4"/>
        <w:rPr>
          <w:rFonts w:cs="Cambria"/>
          <w:bCs w:val="0"/>
          <w:snapToGrid/>
          <w:color w:val="auto"/>
          <w:highlight w:val="none"/>
        </w:rPr>
      </w:pPr>
      <w:r>
        <w:rPr>
          <w:rFonts w:hint="eastAsia" w:cs="Cambria"/>
          <w:bCs w:val="0"/>
          <w:snapToGrid/>
          <w:color w:val="auto"/>
          <w:highlight w:val="none"/>
        </w:rPr>
        <w:t>十一、终止</w:t>
      </w:r>
      <w:r>
        <w:rPr>
          <w:rFonts w:cs="Cambria"/>
          <w:bCs w:val="0"/>
          <w:snapToGrid/>
          <w:color w:val="auto"/>
          <w:highlight w:val="none"/>
        </w:rPr>
        <w:t>比选</w:t>
      </w:r>
      <w:bookmarkEnd w:id="41"/>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1、因情况发生变化或其他原因造成该项目取消的，本次比选自动终止，双方互不承担责任，比选人无息退还</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w:t>
      </w:r>
    </w:p>
    <w:p>
      <w:pPr>
        <w:spacing w:line="360"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2、签订合同之前，比选人发现中选候选人经营、财务状况发生较大变化或存在违法行为，比选人认为可能影响其履约能力的，比选人可废除中选人或中选候选人资格。</w:t>
      </w:r>
    </w:p>
    <w:p>
      <w:pPr>
        <w:pStyle w:val="4"/>
        <w:rPr>
          <w:rFonts w:cs="Cambria"/>
          <w:bCs w:val="0"/>
          <w:snapToGrid/>
          <w:color w:val="auto"/>
          <w:highlight w:val="none"/>
        </w:rPr>
      </w:pPr>
      <w:r>
        <w:rPr>
          <w:rFonts w:hint="eastAsia" w:cs="Cambria"/>
          <w:bCs w:val="0"/>
          <w:snapToGrid/>
          <w:color w:val="auto"/>
          <w:highlight w:val="none"/>
          <w:lang w:val="en-US" w:eastAsia="zh-CN"/>
        </w:rPr>
        <w:t>十二</w:t>
      </w:r>
      <w:r>
        <w:rPr>
          <w:rFonts w:hint="eastAsia" w:cs="Cambria"/>
          <w:bCs w:val="0"/>
          <w:snapToGrid/>
          <w:color w:val="auto"/>
          <w:highlight w:val="none"/>
        </w:rPr>
        <w:t>、</w:t>
      </w:r>
      <w:r>
        <w:rPr>
          <w:rFonts w:cs="Cambria"/>
          <w:bCs w:val="0"/>
          <w:snapToGrid/>
          <w:color w:val="auto"/>
          <w:highlight w:val="none"/>
        </w:rPr>
        <w:t>参选</w:t>
      </w:r>
      <w:r>
        <w:rPr>
          <w:rFonts w:hint="eastAsia" w:cs="Cambria"/>
          <w:bCs w:val="0"/>
          <w:snapToGrid/>
          <w:color w:val="auto"/>
          <w:highlight w:val="none"/>
        </w:rPr>
        <w:t>费用</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人参与本比选项目时，一切与</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有关的费用均由</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人自理。</w:t>
      </w:r>
    </w:p>
    <w:p>
      <w:pPr>
        <w:snapToGrid w:val="0"/>
        <w:spacing w:line="360" w:lineRule="auto"/>
        <w:ind w:firstLine="480" w:firstLineChars="200"/>
        <w:rPr>
          <w:rFonts w:ascii="宋体" w:hAnsi="宋体"/>
          <w:snapToGrid w:val="0"/>
          <w:color w:val="auto"/>
          <w:kern w:val="0"/>
          <w:sz w:val="24"/>
          <w:szCs w:val="24"/>
          <w:highlight w:val="none"/>
        </w:rPr>
      </w:pPr>
      <w:r>
        <w:rPr>
          <w:rFonts w:hint="eastAsia" w:ascii="宋体"/>
          <w:snapToGrid w:val="0"/>
          <w:color w:val="auto"/>
          <w:kern w:val="0"/>
          <w:sz w:val="24"/>
          <w:szCs w:val="24"/>
          <w:highlight w:val="none"/>
        </w:rPr>
        <w:t>本项目平台服务费为</w:t>
      </w:r>
      <w:r>
        <w:rPr>
          <w:rFonts w:hint="eastAsia" w:ascii="宋体"/>
          <w:snapToGrid w:val="0"/>
          <w:color w:val="auto"/>
          <w:kern w:val="0"/>
          <w:sz w:val="24"/>
          <w:szCs w:val="24"/>
          <w:highlight w:val="none"/>
          <w:lang w:val="en-US" w:eastAsia="zh-CN"/>
        </w:rPr>
        <w:t>15000元</w:t>
      </w:r>
      <w:r>
        <w:rPr>
          <w:rFonts w:hint="eastAsia" w:ascii="宋体"/>
          <w:snapToGrid w:val="0"/>
          <w:color w:val="auto"/>
          <w:kern w:val="0"/>
          <w:sz w:val="24"/>
          <w:szCs w:val="24"/>
          <w:highlight w:val="none"/>
        </w:rPr>
        <w:t>，由中选人向重庆联合产权交易所集团股份有限公司支付。中选人应在领取中选通知书时一次性缴纳。</w:t>
      </w:r>
    </w:p>
    <w:p>
      <w:pPr>
        <w:snapToGrid w:val="0"/>
        <w:spacing w:line="360" w:lineRule="auto"/>
        <w:rPr>
          <w:rFonts w:ascii="宋体" w:hAnsi="宋体" w:cs="Cambria"/>
          <w:snapToGrid w:val="0"/>
          <w:color w:val="auto"/>
          <w:kern w:val="0"/>
          <w:szCs w:val="28"/>
          <w:highlight w:val="none"/>
        </w:rPr>
      </w:pPr>
    </w:p>
    <w:p>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pPr>
        <w:pStyle w:val="3"/>
        <w:spacing w:before="0"/>
        <w:ind w:right="0" w:rightChars="0"/>
        <w:rPr>
          <w:color w:val="auto"/>
          <w:highlight w:val="none"/>
        </w:rPr>
      </w:pPr>
      <w:bookmarkStart w:id="43" w:name="_Toc10616"/>
      <w:r>
        <w:rPr>
          <w:rFonts w:hint="eastAsia"/>
          <w:color w:val="auto"/>
          <w:highlight w:val="none"/>
        </w:rPr>
        <w:t>第三章服务内容、期限及服务要求</w:t>
      </w:r>
      <w:bookmarkEnd w:id="43"/>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eastAsia="宋体"/>
          <w:b/>
          <w:snapToGrid w:val="0"/>
          <w:color w:val="auto"/>
          <w:kern w:val="0"/>
          <w:sz w:val="24"/>
          <w:szCs w:val="24"/>
          <w:highlight w:val="none"/>
          <w:lang w:val="en-US" w:eastAsia="zh-CN"/>
        </w:rPr>
      </w:pPr>
      <w:bookmarkStart w:id="44" w:name="_Toc89675136"/>
      <w:r>
        <w:rPr>
          <w:rFonts w:hint="eastAsia" w:ascii="宋体" w:hAnsi="宋体" w:eastAsia="宋体"/>
          <w:b/>
          <w:snapToGrid w:val="0"/>
          <w:color w:val="auto"/>
          <w:kern w:val="0"/>
          <w:sz w:val="24"/>
          <w:szCs w:val="24"/>
          <w:highlight w:val="none"/>
          <w:lang w:val="en-US" w:eastAsia="zh-CN"/>
        </w:rPr>
        <w:t>一、项目概述</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eastAsia="宋体"/>
          <w:b/>
          <w:snapToGrid w:val="0"/>
          <w:color w:val="auto"/>
          <w:kern w:val="0"/>
          <w:sz w:val="24"/>
          <w:szCs w:val="24"/>
          <w:highlight w:val="none"/>
          <w:lang w:val="en-US" w:eastAsia="zh-CN"/>
        </w:rPr>
      </w:pPr>
      <w:r>
        <w:rPr>
          <w:rFonts w:hint="eastAsia" w:ascii="宋体" w:hAnsi="宋体" w:eastAsia="宋体"/>
          <w:b/>
          <w:snapToGrid w:val="0"/>
          <w:color w:val="auto"/>
          <w:kern w:val="0"/>
          <w:sz w:val="24"/>
          <w:szCs w:val="24"/>
          <w:highlight w:val="none"/>
          <w:lang w:val="en-US" w:eastAsia="zh-CN"/>
        </w:rPr>
        <w:t>（一）项目背景</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随着我行信息化建设的深入推进，各分支</w:t>
      </w:r>
      <w:r>
        <w:rPr>
          <w:rFonts w:ascii="宋体" w:hAnsi="宋体"/>
          <w:color w:val="auto"/>
          <w:sz w:val="24"/>
          <w:szCs w:val="24"/>
          <w:highlight w:val="none"/>
          <w:lang w:eastAsia="zh-CN"/>
        </w:rPr>
        <w:t>机构</w:t>
      </w:r>
      <w:r>
        <w:rPr>
          <w:rFonts w:hint="eastAsia" w:ascii="宋体" w:hAnsi="宋体" w:eastAsia="宋体"/>
          <w:color w:val="auto"/>
          <w:sz w:val="24"/>
          <w:szCs w:val="24"/>
          <w:highlight w:val="none"/>
          <w:lang w:val="en-US" w:eastAsia="zh-CN"/>
        </w:rPr>
        <w:t>在信息系统、科技设备方面的配置规模不断扩大。同时，在数字化转型工作的推进过程中，科技支撑的难度也持续攀升。我行现有维护团队，无法及时、高效满足各支行日益增长的科技服务需求，</w:t>
      </w:r>
      <w:r>
        <w:rPr>
          <w:rFonts w:hint="eastAsia" w:ascii="宋体" w:hAnsi="宋体"/>
          <w:color w:val="auto"/>
          <w:sz w:val="24"/>
          <w:szCs w:val="24"/>
          <w:highlight w:val="none"/>
          <w:lang w:val="en-US" w:eastAsia="zh-CN"/>
        </w:rPr>
        <w:t>亟需</w:t>
      </w:r>
      <w:r>
        <w:rPr>
          <w:rFonts w:hint="eastAsia" w:ascii="宋体" w:hAnsi="宋体" w:eastAsia="宋体"/>
          <w:color w:val="auto"/>
          <w:sz w:val="24"/>
          <w:szCs w:val="24"/>
          <w:highlight w:val="none"/>
          <w:lang w:val="en-US" w:eastAsia="zh-CN"/>
        </w:rPr>
        <w:t>提升我行各营业网点的科技服务能力。</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firstLine="482" w:firstLineChars="200"/>
        <w:textAlignment w:val="auto"/>
        <w:outlineLvl w:val="2"/>
        <w:rPr>
          <w:rFonts w:hint="eastAsia" w:ascii="宋体" w:hAnsi="宋体" w:eastAsia="宋体"/>
          <w:b/>
          <w:bCs/>
          <w:color w:val="auto"/>
          <w:sz w:val="24"/>
          <w:szCs w:val="24"/>
          <w:highlight w:val="none"/>
          <w:lang w:val="en-US" w:eastAsia="zh-CN"/>
        </w:rPr>
      </w:pPr>
      <w:bookmarkStart w:id="45" w:name="_Toc141765030"/>
      <w:bookmarkStart w:id="46" w:name="_Toc445818055"/>
      <w:bookmarkStart w:id="47" w:name="_Toc124240228"/>
      <w:bookmarkStart w:id="48" w:name="_Toc445817996"/>
      <w:r>
        <w:rPr>
          <w:rFonts w:hint="eastAsia" w:ascii="宋体" w:hAnsi="宋体" w:eastAsia="宋体"/>
          <w:b/>
          <w:bCs/>
          <w:color w:val="auto"/>
          <w:sz w:val="24"/>
          <w:szCs w:val="24"/>
          <w:highlight w:val="none"/>
          <w:lang w:val="en-US" w:eastAsia="zh-CN"/>
        </w:rPr>
        <w:t>服务</w:t>
      </w:r>
      <w:bookmarkEnd w:id="45"/>
      <w:bookmarkEnd w:id="46"/>
      <w:bookmarkEnd w:id="47"/>
      <w:bookmarkEnd w:id="48"/>
      <w:r>
        <w:rPr>
          <w:rFonts w:hint="eastAsia" w:ascii="宋体" w:hAnsi="宋体" w:eastAsia="宋体"/>
          <w:b/>
          <w:bCs/>
          <w:color w:val="auto"/>
          <w:sz w:val="24"/>
          <w:szCs w:val="24"/>
          <w:highlight w:val="none"/>
          <w:lang w:val="en-US" w:eastAsia="zh-CN"/>
        </w:rPr>
        <w:t>范围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3"/>
        <w:rPr>
          <w:rFonts w:hint="eastAsia" w:ascii="宋体" w:hAnsi="宋体" w:eastAsia="宋体"/>
          <w:color w:val="auto"/>
          <w:sz w:val="24"/>
          <w:szCs w:val="24"/>
          <w:highlight w:val="none"/>
          <w:lang w:val="en-US" w:eastAsia="zh-CN"/>
        </w:rPr>
      </w:pPr>
      <w:r>
        <w:rPr>
          <w:rFonts w:ascii="宋体" w:hAnsi="宋体"/>
          <w:color w:val="auto"/>
          <w:sz w:val="24"/>
          <w:szCs w:val="24"/>
          <w:highlight w:val="none"/>
          <w:lang w:eastAsia="zh-CN"/>
        </w:rPr>
        <w:t>1</w:t>
      </w:r>
      <w:r>
        <w:rPr>
          <w:rFonts w:hint="eastAsia" w:ascii="宋体" w:hAnsi="宋体" w:eastAsia="宋体"/>
          <w:color w:val="auto"/>
          <w:sz w:val="24"/>
          <w:szCs w:val="24"/>
          <w:highlight w:val="none"/>
          <w:lang w:val="en-US" w:eastAsia="zh-CN"/>
        </w:rPr>
        <w:t>.服务区域</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outlineLvl w:val="9"/>
        <w:rPr>
          <w:color w:val="auto"/>
          <w:highlight w:val="none"/>
          <w:lang w:eastAsia="zh-CN"/>
        </w:rPr>
      </w:pPr>
      <w:r>
        <w:rPr>
          <w:rFonts w:hint="eastAsia" w:ascii="宋体" w:hAnsi="宋体" w:cs="Cambria Math"/>
          <w:color w:val="auto"/>
          <w:kern w:val="2"/>
          <w:sz w:val="24"/>
          <w:szCs w:val="24"/>
          <w:highlight w:val="none"/>
          <w:lang w:eastAsia="zh-CN" w:bidi="ar-SA"/>
        </w:rPr>
        <w:t>参选</w:t>
      </w:r>
      <w:r>
        <w:rPr>
          <w:rFonts w:ascii="宋体" w:hAnsi="宋体" w:cs="Cambria Math"/>
          <w:color w:val="auto"/>
          <w:kern w:val="2"/>
          <w:sz w:val="24"/>
          <w:szCs w:val="24"/>
          <w:highlight w:val="none"/>
          <w:lang w:eastAsia="zh-CN" w:bidi="ar-SA"/>
        </w:rPr>
        <w:t>方</w:t>
      </w:r>
      <w:r>
        <w:rPr>
          <w:rFonts w:hint="eastAsia" w:ascii="宋体" w:hAnsi="宋体" w:cs="Cambria Math"/>
          <w:color w:val="auto"/>
          <w:kern w:val="2"/>
          <w:sz w:val="24"/>
          <w:szCs w:val="24"/>
          <w:highlight w:val="none"/>
          <w:lang w:val="en-US" w:eastAsia="zh-CN" w:bidi="ar-SA"/>
        </w:rPr>
        <w:t>负责</w:t>
      </w:r>
      <w:r>
        <w:rPr>
          <w:rFonts w:hint="eastAsia" w:ascii="宋体" w:hAnsi="宋体" w:eastAsia="宋体" w:cs="Cambria Math"/>
          <w:color w:val="auto"/>
          <w:kern w:val="2"/>
          <w:sz w:val="24"/>
          <w:szCs w:val="24"/>
          <w:highlight w:val="none"/>
          <w:lang w:val="en-US" w:eastAsia="zh-CN" w:bidi="ar-SA"/>
        </w:rPr>
        <w:t>我行总行大楼、西永</w:t>
      </w:r>
      <w:r>
        <w:rPr>
          <w:rFonts w:ascii="宋体" w:hAnsi="宋体" w:cs="Cambria Math"/>
          <w:color w:val="auto"/>
          <w:kern w:val="2"/>
          <w:sz w:val="24"/>
          <w:szCs w:val="24"/>
          <w:highlight w:val="none"/>
          <w:lang w:eastAsia="zh-CN" w:bidi="ar-SA"/>
        </w:rPr>
        <w:t>大楼</w:t>
      </w:r>
      <w:r>
        <w:rPr>
          <w:rFonts w:hint="eastAsia" w:ascii="宋体" w:hAnsi="宋体" w:eastAsia="宋体" w:cs="Cambria Math"/>
          <w:color w:val="auto"/>
          <w:kern w:val="2"/>
          <w:sz w:val="24"/>
          <w:szCs w:val="24"/>
          <w:highlight w:val="none"/>
          <w:lang w:val="en-US" w:eastAsia="zh-CN" w:bidi="ar-SA"/>
        </w:rPr>
        <w:t>、万州分行大楼和重庆地区各分支行营业网点</w:t>
      </w:r>
      <w:r>
        <w:rPr>
          <w:rFonts w:hint="eastAsia" w:ascii="宋体" w:hAnsi="宋体" w:cs="Cambria Math"/>
          <w:color w:val="auto"/>
          <w:kern w:val="2"/>
          <w:sz w:val="24"/>
          <w:szCs w:val="24"/>
          <w:highlight w:val="none"/>
          <w:lang w:val="en-US" w:eastAsia="zh-CN" w:bidi="ar-SA"/>
        </w:rPr>
        <w:t>等区域相关科技服务</w:t>
      </w:r>
      <w:r>
        <w:rPr>
          <w:rFonts w:ascii="宋体" w:hAnsi="宋体" w:cs="Cambria Math"/>
          <w:color w:val="auto"/>
          <w:kern w:val="2"/>
          <w:sz w:val="24"/>
          <w:szCs w:val="24"/>
          <w:highlight w:val="none"/>
          <w:lang w:eastAsia="zh-CN" w:bidi="ar-SA"/>
        </w:rPr>
        <w:t>保障</w:t>
      </w:r>
      <w:r>
        <w:rPr>
          <w:rFonts w:hint="eastAsia" w:ascii="宋体" w:hAnsi="宋体" w:eastAsia="宋体" w:cs="Cambria Math"/>
          <w:color w:val="auto"/>
          <w:kern w:val="2"/>
          <w:sz w:val="24"/>
          <w:szCs w:val="24"/>
          <w:highlight w:val="none"/>
          <w:lang w:val="en-US" w:eastAsia="zh-CN" w:bidi="ar-SA"/>
        </w:rPr>
        <w:t>工作</w:t>
      </w:r>
      <w:r>
        <w:rPr>
          <w:rFonts w:ascii="宋体" w:hAnsi="宋体" w:cs="Cambria Math"/>
          <w:color w:val="auto"/>
          <w:kern w:val="2"/>
          <w:sz w:val="24"/>
          <w:szCs w:val="24"/>
          <w:highlight w:val="none"/>
          <w:lang w:eastAsia="zh-CN" w:bidi="ar-SA"/>
        </w:rPr>
        <w:t>。</w:t>
      </w:r>
    </w:p>
    <w:p>
      <w:pPr>
        <w:pStyle w:val="18"/>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总行大楼维护区域:重庆市渝北区嘉州路88号附1号、2-1号</w:t>
      </w:r>
      <w:r>
        <w:rPr>
          <w:rFonts w:ascii="宋体" w:hAnsi="宋体" w:cs="宋体"/>
          <w:color w:val="auto"/>
          <w:kern w:val="2"/>
          <w:sz w:val="24"/>
          <w:szCs w:val="24"/>
          <w:highlight w:val="none"/>
          <w:lang w:eastAsia="zh-CN"/>
        </w:rPr>
        <w:t>；</w:t>
      </w:r>
    </w:p>
    <w:p>
      <w:pPr>
        <w:pStyle w:val="18"/>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西永</w:t>
      </w:r>
      <w:r>
        <w:rPr>
          <w:rFonts w:ascii="宋体" w:hAnsi="宋体" w:cs="宋体"/>
          <w:color w:val="auto"/>
          <w:kern w:val="2"/>
          <w:sz w:val="24"/>
          <w:szCs w:val="24"/>
          <w:highlight w:val="none"/>
          <w:lang w:eastAsia="zh-CN"/>
        </w:rPr>
        <w:t>大楼</w:t>
      </w:r>
      <w:r>
        <w:rPr>
          <w:rFonts w:hint="eastAsia" w:ascii="宋体" w:hAnsi="宋体" w:eastAsia="宋体" w:cs="宋体"/>
          <w:color w:val="auto"/>
          <w:kern w:val="2"/>
          <w:sz w:val="24"/>
          <w:szCs w:val="24"/>
          <w:highlight w:val="none"/>
          <w:lang w:val="en-US" w:eastAsia="zh-CN"/>
        </w:rPr>
        <w:t>维护区域:重庆市沙坪坝学城大道67号西永软件园2号楼</w:t>
      </w:r>
      <w:r>
        <w:rPr>
          <w:rFonts w:ascii="宋体" w:hAnsi="宋体" w:cs="宋体"/>
          <w:color w:val="auto"/>
          <w:kern w:val="2"/>
          <w:sz w:val="24"/>
          <w:szCs w:val="24"/>
          <w:highlight w:val="none"/>
          <w:lang w:eastAsia="zh-CN"/>
        </w:rPr>
        <w:t>；</w:t>
      </w:r>
    </w:p>
    <w:p>
      <w:pPr>
        <w:pStyle w:val="18"/>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万州</w:t>
      </w:r>
      <w:r>
        <w:rPr>
          <w:rFonts w:ascii="宋体" w:hAnsi="宋体" w:cs="宋体"/>
          <w:color w:val="auto"/>
          <w:kern w:val="2"/>
          <w:sz w:val="24"/>
          <w:szCs w:val="24"/>
          <w:highlight w:val="none"/>
          <w:lang w:eastAsia="zh-CN"/>
        </w:rPr>
        <w:t>分行</w:t>
      </w:r>
      <w:r>
        <w:rPr>
          <w:rFonts w:hint="eastAsia" w:ascii="宋体" w:hAnsi="宋体" w:eastAsia="宋体" w:cs="宋体"/>
          <w:color w:val="auto"/>
          <w:kern w:val="2"/>
          <w:sz w:val="24"/>
          <w:szCs w:val="24"/>
          <w:highlight w:val="none"/>
          <w:lang w:val="en-US" w:eastAsia="zh-CN"/>
        </w:rPr>
        <w:t>大楼维护区域:重庆市万州区江南新区南滨大道1999号1幢B座</w:t>
      </w:r>
      <w:r>
        <w:rPr>
          <w:rFonts w:hint="eastAsia" w:ascii="宋体" w:hAnsi="宋体" w:cs="宋体"/>
          <w:color w:val="auto"/>
          <w:kern w:val="2"/>
          <w:sz w:val="24"/>
          <w:szCs w:val="24"/>
          <w:highlight w:val="none"/>
          <w:lang w:val="en-US" w:eastAsia="zh-CN"/>
        </w:rPr>
        <w:t>；</w:t>
      </w:r>
    </w:p>
    <w:p>
      <w:pPr>
        <w:pStyle w:val="18"/>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Cambria Math"/>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其他:各分支行营业网点和办公场所</w:t>
      </w:r>
      <w:r>
        <w:rPr>
          <w:rFonts w:hint="eastAsia" w:ascii="宋体" w:hAnsi="宋体" w:eastAsia="宋体" w:cs="Cambria Math"/>
          <w:color w:val="auto"/>
          <w:kern w:val="2"/>
          <w:sz w:val="24"/>
          <w:szCs w:val="24"/>
          <w:highlight w:val="none"/>
          <w:lang w:val="en-US" w:eastAsia="zh-CN" w:bidi="ar-SA"/>
        </w:rPr>
        <w:t>。</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24"/>
        <w:gridCol w:w="6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5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重庆三峡银行网点机构表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highlight w:val="none"/>
                <w:u w:val="none"/>
              </w:rPr>
            </w:pPr>
            <w:r>
              <w:rPr>
                <w:rStyle w:val="40"/>
                <w:color w:val="auto"/>
                <w:highlight w:val="none"/>
                <w:lang w:val="en-US" w:eastAsia="zh-CN"/>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highlight w:val="none"/>
                <w:u w:val="none"/>
              </w:rPr>
            </w:pPr>
            <w:r>
              <w:rPr>
                <w:rStyle w:val="40"/>
                <w:color w:val="auto"/>
                <w:highlight w:val="none"/>
                <w:lang w:val="en-US" w:eastAsia="zh-CN"/>
              </w:rPr>
              <w:t>网点机构</w:t>
            </w:r>
          </w:p>
        </w:tc>
        <w:tc>
          <w:tcPr>
            <w:tcW w:w="6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4"/>
                <w:szCs w:val="24"/>
                <w:highlight w:val="none"/>
                <w:u w:val="none"/>
              </w:rPr>
            </w:pPr>
            <w:r>
              <w:rPr>
                <w:rStyle w:val="40"/>
                <w:color w:val="auto"/>
                <w:highlight w:val="none"/>
                <w:lang w:val="en-US"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总行营业部</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重庆市渝北区嘉州路88号附1号、2-1号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科学城支行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重庆市西永微电子园2号楼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江北支行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重庆市江北区洋河东路8号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鱼复支行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重庆市江北区鱼嘴镇永和路51号附2号、附3号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南桥寺支行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重庆市江北区南桥寺福居路12号光华·可乐小镇B区1-42、43、44号及2-40、41、42号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北滨路支行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重庆江北区金源路47号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渝中支行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重庆市渝中区民权路107号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大坪支行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重庆市渝中区长江二路88号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渝北支行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重庆市渝北区双龙湖街道胜利路92号金港国际1/2/3/4幢裙楼幢1-8、1-9、1-10、1-11、2-6、2-7号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红锦支行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重庆市渝北区红金街2号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回兴支行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重庆市渝北区双湖路9号附1、2、3、4号，双湖路9号房屋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冉家坝支行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重庆市渝北区龙山街道百灵路6号兴茂·盛世北辰5幢1层商1、商2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九龙坡支行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重庆市九龙坡区杨家坪西郊三村1号1-1、1-2号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高新支行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重庆市九龙坡区科园二路137号1层19号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二郎支行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重庆市九龙坡区火炬大道99号附1、2、3、负1号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巴国城支行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重庆市九龙坡区创新大道11号附2-1、2-2、2-3、2-4号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黄杨路支行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重庆市九龙坡区谢家湾工农四村58号24幢1-5、1-6、1-7号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巴南支行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重庆市巴南区巴滨路1号8幢1-2、1-3、1-4、1-5号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李家沱支行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重庆市巴南区巴南大道2号附27号、附28号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界石支行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重庆市巴南区界石镇石美大道519号附20号、附21号、附1号、石美大道517号、石美大道521号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南岸支行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重庆市南岸区南坪西路58号（上海城二期AB区裙楼）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弹子石支行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重庆市南岸区腾龙大道56号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回龙湾支行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重庆市经开区青龙路94号附1号、附2号、附3号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茶园支行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重庆市南岸区通江大道89号附27号、附26号2-1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福利社支行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重庆市南岸区南坪东路45号第5-E、5-6、5-7、5-8号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大渡口支行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重庆市大渡口区松青路1005号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北碚支行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重庆北碚区嘉陵风情步行街云清路173、175、177号和163号附1号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两江名居支行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重庆市北碚蔡家蔡顺路76号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沙坪坝支行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重庆市沙坪坝区凤天路29号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陈家湾支行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重庆市沙坪坝区陈家湾渝碚路119号（文星大厦）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两江支行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重庆市北部新区金渝大道85号汉国中心（B座）裙楼商场1-09、2-09、3-09号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龙头寺支行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重庆市北部新区泰山大道东段62号附96号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北部新区支行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重庆市北部新区青枫南路33、35、81、83号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锦江支行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重庆市渝北区洪湖西路18号（上峰上座）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人和支行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重庆市渝北区人和镇龙寿支路40号附1号、53号、55号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鸳鸯支行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重庆市北部新区经开园金开大道1115号11幢1层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经开支行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重庆市渝北区金州大道66号附1号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涪陵支行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重庆市涪陵区体育南路1号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长寿支行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重庆市长寿区桃源大道8号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凤城支行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重庆市长寿区凤城向阳路3号附3号、1号1-3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丰都支行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重庆市丰都县平都大道西段180号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垫江支行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重庆市垫江县桂溪镇凤山西路九中丽苑第1、2层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忠县支行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重庆市忠县忠州镇红星梯道1号附6、7、11号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万州分行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重庆市万州区江南新区南滨大道1999号1幢B座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高笋塘支行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重庆市万州区高笋塘84号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金狮支行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重庆市万州区白岩路265号附4号第一层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太白路支行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重庆市万州区太白路123号门面房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天城支行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重庆市万州区周家坝福建大街79号1层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王牌路支行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重庆市万州区王牌路409号(万宝公寓)1/14-16轴A-C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五桥支行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重庆市万州区（五桥）上海大道189号/幢1层/单元1室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新城路支行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重庆市万州区新城路112号3、4号门面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白岩路支行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重庆市万州区白岩路216号第一层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青羊宫支行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重庆市万州区白岩路3号1层商业房2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未来城支行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重庆市万州区王牌路1444号至1454号、1460号附22号至25号房屋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龙宝支行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重庆市万州区龙都大道218号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江南支行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重庆市万州区江南大道万州区行政中心后勤服务中心底楼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移民广场支行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重庆市万州区静园路775号、777号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北山支行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重庆市万州区北山大道339号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梁平支行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重庆市梁平区双桂街道金桂路5号2#楼1-64、1-65、1-66、1-67、1-68、1-69、3-56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梁山支行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重庆市梁平区梁山街道名豪商贸区29栋1-8号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开州支行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重庆市开州区开州大道（东）1250号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奉节支行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重庆市奉节县永安镇夔州路466号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云阳支行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重庆市云阳县双江镇云江大道1132号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城口支行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重庆市城口县葛城街道东大街16号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巫溪支行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重庆市巫溪县柏杨街道丰益路184号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巫山支行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重庆市巫山县高唐街道广东中路427号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江津支行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重庆市江津区几江街道武城大道138号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白沙支行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重庆市江津区白沙镇滨湖路2号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双福经开支行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重庆市江津区双福街道南北大道北段710号、712号、714号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铜梁支行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重庆市铜梁区东城街道中兴东路621号、623号、625号、629号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和平支行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重庆市铜梁区巴川街道办事处和平路30号1-2层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荣昌支行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重庆市荣昌区昌州街道向阳路170号附2.3.4.5号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璧山支行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重庆市璧山区璧泉街道双星大道66号、68号、70号、72号、74号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潼南支行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重庆市潼南区桂林街道办事处兴潼大道96号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永川支行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重庆市永川区人民大道259、261、263、265、229附20、229附21号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大足支行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重庆市大足区棠香街道办事处五星大道280、282、284、286号和268号东城汽车站1幢裙楼单元2-4号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綦江支行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重庆市綦江区文龙街道通惠大道20号红星美凯龙生活广场2幢附102—110号及2幢93号2-4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南州支行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重庆市綦江区文龙街道开发区九龙大道37号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万盛支行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重庆市万盛经开区万盛大道21号4幢1-4、1-5、1-6、2-1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南川支行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重庆市南川区南园路4号附16、17、18号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合川支行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重庆市合川区南津街523号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石柱支行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重庆市石柱县南宾镇万寿大道99号一、二楼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武隆支行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重庆市武隆区芙蓉西路44号2楼1号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黔江支行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重庆市黔江区城西街道新华大道西段438号、440号、442号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酉阳支行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重庆酉阳县桃花源大道北路6号龙腾盛世生态小区4号楼一、二层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彭水支行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重庆市彭水县汉葭街道文庙街58号10幢附1号、附2号、附3号、10幢2-1号、2-2号、2-3号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秀山支行</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Style w:val="41"/>
                <w:color w:val="auto"/>
                <w:highlight w:val="none"/>
                <w:lang w:val="en-US" w:eastAsia="zh-CN"/>
              </w:rPr>
              <w:t>重庆市秀山县中和街道渝秀大道130号</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hint="eastAsia" w:ascii="宋体" w:hAnsi="宋体"/>
          <w:b w:val="0"/>
          <w:bCs/>
          <w:snapToGrid w:val="0"/>
          <w:color w:val="auto"/>
          <w:kern w:val="0"/>
          <w:sz w:val="24"/>
          <w:szCs w:val="24"/>
          <w:highlight w:val="none"/>
          <w:lang w:val="en-US" w:eastAsia="zh-CN"/>
        </w:rPr>
      </w:pPr>
      <w:r>
        <w:rPr>
          <w:rFonts w:ascii="宋体" w:hAnsi="宋体"/>
          <w:b w:val="0"/>
          <w:bCs/>
          <w:snapToGrid w:val="0"/>
          <w:color w:val="auto"/>
          <w:kern w:val="0"/>
          <w:sz w:val="24"/>
          <w:szCs w:val="24"/>
          <w:highlight w:val="none"/>
          <w:lang w:eastAsia="zh-CN"/>
        </w:rPr>
        <w:t>2.</w:t>
      </w:r>
      <w:r>
        <w:rPr>
          <w:rFonts w:hint="eastAsia" w:ascii="宋体" w:hAnsi="宋体"/>
          <w:b w:val="0"/>
          <w:bCs/>
          <w:snapToGrid w:val="0"/>
          <w:color w:val="auto"/>
          <w:kern w:val="0"/>
          <w:sz w:val="24"/>
          <w:szCs w:val="24"/>
          <w:highlight w:val="none"/>
          <w:lang w:val="en-US" w:eastAsia="zh-CN"/>
        </w:rPr>
        <w:t>服务内容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w:t>
      </w:r>
      <w:r>
        <w:rPr>
          <w:rFonts w:ascii="宋体" w:hAnsi="宋体" w:eastAsia="宋体"/>
          <w:b w:val="0"/>
          <w:bCs/>
          <w:snapToGrid w:val="0"/>
          <w:color w:val="auto"/>
          <w:kern w:val="0"/>
          <w:sz w:val="24"/>
          <w:szCs w:val="24"/>
          <w:highlight w:val="none"/>
          <w:lang w:val="en-US" w:eastAsia="zh-CN"/>
        </w:rPr>
        <w:t>桌面IT设备维护内容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w:t>
      </w:r>
      <w:r>
        <w:rPr>
          <w:rFonts w:ascii="宋体" w:hAnsi="宋体" w:eastAsia="宋体"/>
          <w:b w:val="0"/>
          <w:bCs/>
          <w:snapToGrid w:val="0"/>
          <w:color w:val="auto"/>
          <w:kern w:val="0"/>
          <w:sz w:val="24"/>
          <w:szCs w:val="24"/>
          <w:highlight w:val="none"/>
          <w:lang w:val="en-US" w:eastAsia="zh-CN"/>
        </w:rPr>
        <w:t>PC机、笔记本硬件更新及配件安装、配置及故障处理</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（2）</w:t>
      </w:r>
      <w:r>
        <w:rPr>
          <w:rFonts w:ascii="宋体" w:hAnsi="宋体" w:eastAsia="宋体"/>
          <w:b w:val="0"/>
          <w:bCs/>
          <w:snapToGrid w:val="0"/>
          <w:color w:val="auto"/>
          <w:kern w:val="0"/>
          <w:sz w:val="24"/>
          <w:szCs w:val="24"/>
          <w:highlight w:val="none"/>
          <w:lang w:val="en-US" w:eastAsia="zh-CN"/>
        </w:rPr>
        <w:t>交易类专用设备和外设（密码键盘、刷卡器、IC卡读卡器、指纹仪、高拍仪等）安装、配置及故障处理；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（3）</w:t>
      </w:r>
      <w:r>
        <w:rPr>
          <w:rFonts w:ascii="宋体" w:hAnsi="宋体" w:eastAsia="宋体"/>
          <w:b w:val="0"/>
          <w:bCs/>
          <w:snapToGrid w:val="0"/>
          <w:color w:val="auto"/>
          <w:kern w:val="0"/>
          <w:sz w:val="24"/>
          <w:szCs w:val="24"/>
          <w:highlight w:val="none"/>
          <w:lang w:val="en-US" w:eastAsia="zh-CN"/>
        </w:rPr>
        <w:t>打印输出类设备和外设（激光打印机、针式宽行打印机、高速宽行打印机、打印共享服务器等）安装、配置及常见软故障处理；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（4）</w:t>
      </w:r>
      <w:r>
        <w:rPr>
          <w:rFonts w:ascii="宋体" w:hAnsi="宋体" w:eastAsia="宋体"/>
          <w:b w:val="0"/>
          <w:bCs/>
          <w:snapToGrid w:val="0"/>
          <w:color w:val="auto"/>
          <w:kern w:val="0"/>
          <w:sz w:val="24"/>
          <w:szCs w:val="24"/>
          <w:highlight w:val="none"/>
          <w:lang w:val="en-US" w:eastAsia="zh-CN"/>
        </w:rPr>
        <w:t>办公类设备和外设（扫描仪、手写板、音像设备等）安装、配置及故障处理；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（5）</w:t>
      </w:r>
      <w:r>
        <w:rPr>
          <w:rFonts w:ascii="宋体" w:hAnsi="宋体" w:eastAsia="宋体"/>
          <w:b w:val="0"/>
          <w:bCs/>
          <w:snapToGrid w:val="0"/>
          <w:color w:val="auto"/>
          <w:kern w:val="0"/>
          <w:sz w:val="24"/>
          <w:szCs w:val="24"/>
          <w:highlight w:val="none"/>
          <w:lang w:val="en-US" w:eastAsia="zh-CN"/>
        </w:rPr>
        <w:t>对故障设备部件进行更换。尚在厂商</w:t>
      </w:r>
      <w:r>
        <w:rPr>
          <w:rFonts w:hint="eastAsia" w:ascii="宋体" w:hAnsi="宋体" w:eastAsia="宋体"/>
          <w:b w:val="0"/>
          <w:bCs/>
          <w:snapToGrid w:val="0"/>
          <w:color w:val="auto"/>
          <w:kern w:val="0"/>
          <w:sz w:val="24"/>
          <w:szCs w:val="24"/>
          <w:highlight w:val="none"/>
          <w:lang w:val="en-US" w:eastAsia="zh-CN"/>
        </w:rPr>
        <w:t>维保</w:t>
      </w:r>
      <w:r>
        <w:rPr>
          <w:rFonts w:ascii="宋体" w:hAnsi="宋体" w:eastAsia="宋体"/>
          <w:b w:val="0"/>
          <w:bCs/>
          <w:snapToGrid w:val="0"/>
          <w:color w:val="auto"/>
          <w:kern w:val="0"/>
          <w:sz w:val="24"/>
          <w:szCs w:val="24"/>
          <w:highlight w:val="none"/>
          <w:lang w:val="en-US" w:eastAsia="zh-CN"/>
        </w:rPr>
        <w:t>期内硬件故障部件负责提供必要的送修、报修服务，厂商维保期外硬件故障部件仅有恢复运行建议权利；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（6）</w:t>
      </w:r>
      <w:r>
        <w:rPr>
          <w:rFonts w:ascii="宋体" w:hAnsi="宋体" w:eastAsia="宋体"/>
          <w:b w:val="0"/>
          <w:bCs/>
          <w:snapToGrid w:val="0"/>
          <w:color w:val="auto"/>
          <w:kern w:val="0"/>
          <w:sz w:val="24"/>
          <w:szCs w:val="24"/>
          <w:highlight w:val="none"/>
          <w:lang w:val="en-US" w:eastAsia="zh-CN"/>
        </w:rPr>
        <w:t>维护过程中对硬件设备进行必要的清洁处理；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（7）</w:t>
      </w:r>
      <w:r>
        <w:rPr>
          <w:rFonts w:ascii="宋体" w:hAnsi="宋体" w:eastAsia="宋体"/>
          <w:b w:val="0"/>
          <w:bCs/>
          <w:snapToGrid w:val="0"/>
          <w:color w:val="auto"/>
          <w:kern w:val="0"/>
          <w:sz w:val="24"/>
          <w:szCs w:val="24"/>
          <w:highlight w:val="none"/>
          <w:lang w:val="en-US" w:eastAsia="zh-CN"/>
        </w:rPr>
        <w:t>基础操作系统的故障恢复、配置、故障维护、补丁更新处理及控件的安装（如：WIN7、WIN10</w:t>
      </w:r>
      <w:r>
        <w:rPr>
          <w:rFonts w:ascii="宋体" w:hAnsi="宋体" w:eastAsia="宋体"/>
          <w:b w:val="0"/>
          <w:bCs/>
          <w:snapToGrid w:val="0"/>
          <w:color w:val="auto"/>
          <w:kern w:val="0"/>
          <w:sz w:val="24"/>
          <w:szCs w:val="24"/>
          <w:highlight w:val="none"/>
          <w:lang w:eastAsia="zh-CN"/>
        </w:rPr>
        <w:t>、</w:t>
      </w:r>
      <w:r>
        <w:rPr>
          <w:rFonts w:ascii="宋体" w:hAnsi="宋体"/>
          <w:b w:val="0"/>
          <w:bCs/>
          <w:snapToGrid w:val="0"/>
          <w:color w:val="auto"/>
          <w:kern w:val="0"/>
          <w:sz w:val="24"/>
          <w:szCs w:val="24"/>
          <w:highlight w:val="none"/>
          <w:lang w:eastAsia="zh-CN"/>
        </w:rPr>
        <w:t>麒麟</w:t>
      </w:r>
      <w:r>
        <w:rPr>
          <w:rFonts w:ascii="宋体" w:hAnsi="宋体" w:eastAsia="宋体"/>
          <w:b w:val="0"/>
          <w:bCs/>
          <w:snapToGrid w:val="0"/>
          <w:color w:val="auto"/>
          <w:kern w:val="0"/>
          <w:sz w:val="24"/>
          <w:szCs w:val="24"/>
          <w:highlight w:val="none"/>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（8）</w:t>
      </w:r>
      <w:r>
        <w:rPr>
          <w:rFonts w:ascii="宋体" w:hAnsi="宋体" w:eastAsia="宋体"/>
          <w:b w:val="0"/>
          <w:bCs/>
          <w:snapToGrid w:val="0"/>
          <w:color w:val="auto"/>
          <w:kern w:val="0"/>
          <w:sz w:val="24"/>
          <w:szCs w:val="24"/>
          <w:highlight w:val="none"/>
          <w:lang w:val="en-US" w:eastAsia="zh-CN"/>
        </w:rPr>
        <w:t>办公常用软件的安装和维护（如：office、ie浏览器、PDF浏览器、杀毒软件及桌面安全软件</w:t>
      </w:r>
      <w:r>
        <w:rPr>
          <w:rFonts w:ascii="宋体" w:hAnsi="宋体" w:eastAsia="宋体"/>
          <w:b w:val="0"/>
          <w:bCs/>
          <w:snapToGrid w:val="0"/>
          <w:color w:val="auto"/>
          <w:kern w:val="0"/>
          <w:sz w:val="24"/>
          <w:szCs w:val="24"/>
          <w:highlight w:val="none"/>
          <w:lang w:eastAsia="zh-CN"/>
        </w:rPr>
        <w:t>等</w:t>
      </w:r>
      <w:r>
        <w:rPr>
          <w:rFonts w:ascii="宋体" w:hAnsi="宋体" w:eastAsia="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（9）</w:t>
      </w:r>
      <w:r>
        <w:rPr>
          <w:rFonts w:ascii="宋体" w:hAnsi="宋体" w:eastAsia="宋体"/>
          <w:b w:val="0"/>
          <w:bCs/>
          <w:snapToGrid w:val="0"/>
          <w:color w:val="auto"/>
          <w:kern w:val="0"/>
          <w:sz w:val="24"/>
          <w:szCs w:val="24"/>
          <w:highlight w:val="none"/>
          <w:lang w:val="en-US" w:eastAsia="zh-CN"/>
        </w:rPr>
        <w:t>应用软件（重庆</w:t>
      </w:r>
      <w:r>
        <w:rPr>
          <w:rFonts w:ascii="宋体" w:hAnsi="宋体" w:eastAsia="宋体"/>
          <w:b w:val="0"/>
          <w:bCs/>
          <w:snapToGrid w:val="0"/>
          <w:color w:val="auto"/>
          <w:kern w:val="0"/>
          <w:sz w:val="24"/>
          <w:szCs w:val="24"/>
          <w:highlight w:val="none"/>
          <w:lang w:eastAsia="zh-CN"/>
        </w:rPr>
        <w:t>三峡</w:t>
      </w:r>
      <w:r>
        <w:rPr>
          <w:rFonts w:ascii="宋体" w:hAnsi="宋体" w:eastAsia="宋体"/>
          <w:b w:val="0"/>
          <w:bCs/>
          <w:snapToGrid w:val="0"/>
          <w:color w:val="auto"/>
          <w:kern w:val="0"/>
          <w:sz w:val="24"/>
          <w:szCs w:val="24"/>
          <w:highlight w:val="none"/>
          <w:lang w:val="en-US" w:eastAsia="zh-CN"/>
        </w:rPr>
        <w:t>银行应用软件）的安装、配置、故障维护及控件的安装；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（10）</w:t>
      </w:r>
      <w:r>
        <w:rPr>
          <w:rFonts w:ascii="宋体" w:hAnsi="宋体" w:eastAsia="宋体"/>
          <w:b w:val="0"/>
          <w:bCs/>
          <w:snapToGrid w:val="0"/>
          <w:color w:val="auto"/>
          <w:kern w:val="0"/>
          <w:sz w:val="24"/>
          <w:szCs w:val="24"/>
          <w:highlight w:val="none"/>
          <w:lang w:val="en-US" w:eastAsia="zh-CN"/>
        </w:rPr>
        <w:t>配合原厂进行华为视频会议平板日常故障处理；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（11</w:t>
      </w:r>
      <w:r>
        <w:rPr>
          <w:rFonts w:hint="eastAsia" w:ascii="宋体" w:hAnsi="宋体"/>
          <w:b w:val="0"/>
          <w:bCs/>
          <w:snapToGrid w:val="0"/>
          <w:color w:val="auto"/>
          <w:kern w:val="0"/>
          <w:sz w:val="24"/>
          <w:szCs w:val="24"/>
          <w:highlight w:val="none"/>
          <w:lang w:eastAsia="zh-CN"/>
        </w:rPr>
        <w:t>）</w:t>
      </w:r>
      <w:r>
        <w:rPr>
          <w:rFonts w:ascii="宋体" w:hAnsi="宋体" w:eastAsia="宋体"/>
          <w:b w:val="0"/>
          <w:bCs/>
          <w:snapToGrid w:val="0"/>
          <w:color w:val="auto"/>
          <w:kern w:val="0"/>
          <w:sz w:val="24"/>
          <w:szCs w:val="24"/>
          <w:highlight w:val="none"/>
          <w:lang w:val="en-US" w:eastAsia="zh-CN"/>
        </w:rPr>
        <w:t>配合视频会议现场搭建及保障</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2、</w:t>
      </w:r>
      <w:r>
        <w:rPr>
          <w:rFonts w:ascii="宋体" w:hAnsi="宋体" w:eastAsia="宋体"/>
          <w:b w:val="0"/>
          <w:bCs/>
          <w:snapToGrid w:val="0"/>
          <w:color w:val="auto"/>
          <w:kern w:val="0"/>
          <w:sz w:val="24"/>
          <w:szCs w:val="24"/>
          <w:highlight w:val="none"/>
          <w:lang w:val="en-US" w:eastAsia="zh-CN"/>
        </w:rPr>
        <w:t>网络（通讯）间维护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w:t>
      </w:r>
      <w:r>
        <w:rPr>
          <w:rFonts w:ascii="宋体" w:hAnsi="宋体" w:eastAsia="宋体"/>
          <w:b w:val="0"/>
          <w:bCs/>
          <w:snapToGrid w:val="0"/>
          <w:color w:val="auto"/>
          <w:kern w:val="0"/>
          <w:sz w:val="24"/>
          <w:szCs w:val="24"/>
          <w:highlight w:val="none"/>
          <w:lang w:val="en-US" w:eastAsia="zh-CN"/>
        </w:rPr>
        <w:t>通讯间设备运行状态巡视；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（2）</w:t>
      </w:r>
      <w:r>
        <w:rPr>
          <w:rFonts w:ascii="宋体" w:hAnsi="宋体" w:eastAsia="宋体"/>
          <w:b w:val="0"/>
          <w:bCs/>
          <w:snapToGrid w:val="0"/>
          <w:color w:val="auto"/>
          <w:kern w:val="0"/>
          <w:sz w:val="24"/>
          <w:szCs w:val="24"/>
          <w:highlight w:val="none"/>
          <w:lang w:val="en-US" w:eastAsia="zh-CN"/>
        </w:rPr>
        <w:t>网络（通讯）间宽行打印机、网络共享器等设备维护及故障处理；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（3）</w:t>
      </w:r>
      <w:r>
        <w:rPr>
          <w:rFonts w:ascii="宋体" w:hAnsi="宋体" w:eastAsia="宋体"/>
          <w:b w:val="0"/>
          <w:bCs/>
          <w:snapToGrid w:val="0"/>
          <w:color w:val="auto"/>
          <w:kern w:val="0"/>
          <w:sz w:val="24"/>
          <w:szCs w:val="24"/>
          <w:highlight w:val="none"/>
          <w:lang w:val="en-US" w:eastAsia="zh-CN"/>
        </w:rPr>
        <w:t>配合进行支行路由器、交换机运行故障处理；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（4）</w:t>
      </w:r>
      <w:r>
        <w:rPr>
          <w:rFonts w:ascii="宋体" w:hAnsi="宋体" w:eastAsia="宋体"/>
          <w:b w:val="0"/>
          <w:bCs/>
          <w:snapToGrid w:val="0"/>
          <w:color w:val="auto"/>
          <w:kern w:val="0"/>
          <w:sz w:val="24"/>
          <w:szCs w:val="24"/>
          <w:highlight w:val="none"/>
          <w:lang w:val="en-US" w:eastAsia="zh-CN"/>
        </w:rPr>
        <w:t>配合支行通讯链路级接入设备故障处理；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（5）</w:t>
      </w:r>
      <w:r>
        <w:rPr>
          <w:rFonts w:ascii="宋体" w:hAnsi="宋体" w:eastAsia="宋体"/>
          <w:b w:val="0"/>
          <w:bCs/>
          <w:snapToGrid w:val="0"/>
          <w:color w:val="auto"/>
          <w:kern w:val="0"/>
          <w:sz w:val="24"/>
          <w:szCs w:val="24"/>
          <w:highlight w:val="none"/>
          <w:lang w:val="en-US" w:eastAsia="zh-CN"/>
        </w:rPr>
        <w:t>配合进行设备间网络线缆的维护工作。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3、</w:t>
      </w:r>
      <w:r>
        <w:rPr>
          <w:rFonts w:ascii="宋体" w:hAnsi="宋体" w:eastAsia="宋体"/>
          <w:b w:val="0"/>
          <w:bCs/>
          <w:snapToGrid w:val="0"/>
          <w:color w:val="auto"/>
          <w:kern w:val="0"/>
          <w:sz w:val="24"/>
          <w:szCs w:val="24"/>
          <w:highlight w:val="none"/>
          <w:lang w:val="en-US" w:eastAsia="zh-CN"/>
        </w:rPr>
        <w:t>机构新建及搬迁服务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（1）</w:t>
      </w:r>
      <w:r>
        <w:rPr>
          <w:rFonts w:ascii="宋体" w:hAnsi="宋体" w:eastAsia="宋体"/>
          <w:b w:val="0"/>
          <w:bCs/>
          <w:snapToGrid w:val="0"/>
          <w:color w:val="auto"/>
          <w:kern w:val="0"/>
          <w:sz w:val="24"/>
          <w:szCs w:val="24"/>
          <w:highlight w:val="none"/>
          <w:lang w:val="en-US" w:eastAsia="zh-CN"/>
        </w:rPr>
        <w:t>提供服务区域内每次不少于2人的新建及搬迁网络改造、基础设施变更专业技术支持</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（2）</w:t>
      </w:r>
      <w:r>
        <w:rPr>
          <w:rFonts w:ascii="宋体" w:hAnsi="宋体" w:eastAsia="宋体"/>
          <w:b w:val="0"/>
          <w:bCs/>
          <w:snapToGrid w:val="0"/>
          <w:color w:val="auto"/>
          <w:kern w:val="0"/>
          <w:sz w:val="24"/>
          <w:szCs w:val="24"/>
          <w:highlight w:val="none"/>
          <w:lang w:val="en-US" w:eastAsia="zh-CN"/>
        </w:rPr>
        <w:t>独立完成所有IT设备的安装、调试和网络通讯连接</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hint="eastAsia" w:ascii="宋体" w:hAnsi="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（3</w:t>
      </w:r>
      <w:r>
        <w:rPr>
          <w:rFonts w:hint="eastAsia" w:ascii="宋体" w:hAnsi="宋体"/>
          <w:b w:val="0"/>
          <w:bCs/>
          <w:snapToGrid w:val="0"/>
          <w:color w:val="auto"/>
          <w:kern w:val="0"/>
          <w:sz w:val="24"/>
          <w:szCs w:val="24"/>
          <w:highlight w:val="none"/>
          <w:lang w:eastAsia="zh-CN"/>
        </w:rPr>
        <w:t>）</w:t>
      </w:r>
      <w:r>
        <w:rPr>
          <w:rFonts w:ascii="宋体" w:hAnsi="宋体" w:eastAsia="宋体"/>
          <w:b w:val="0"/>
          <w:bCs/>
          <w:snapToGrid w:val="0"/>
          <w:color w:val="auto"/>
          <w:kern w:val="0"/>
          <w:sz w:val="24"/>
          <w:szCs w:val="24"/>
          <w:highlight w:val="none"/>
          <w:lang w:val="en-US" w:eastAsia="zh-CN"/>
        </w:rPr>
        <w:t>机构新开、搬迁时派出1名网络人员进行现场设备调试支持</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hint="eastAsia" w:ascii="宋体" w:hAnsi="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（4）</w:t>
      </w:r>
      <w:r>
        <w:rPr>
          <w:rFonts w:ascii="宋体" w:hAnsi="宋体" w:eastAsia="宋体"/>
          <w:b w:val="0"/>
          <w:bCs/>
          <w:snapToGrid w:val="0"/>
          <w:color w:val="auto"/>
          <w:kern w:val="0"/>
          <w:sz w:val="24"/>
          <w:szCs w:val="24"/>
          <w:highlight w:val="none"/>
          <w:lang w:val="en-US" w:eastAsia="zh-CN"/>
        </w:rPr>
        <w:t>抢险及应急维护服务:提供因各种设备损坏、自然灾害或各种突发事件等导致的抢修及甲方确定的应急服务</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（5）</w:t>
      </w:r>
      <w:r>
        <w:rPr>
          <w:rFonts w:ascii="宋体" w:hAnsi="宋体" w:eastAsia="宋体"/>
          <w:b w:val="0"/>
          <w:bCs/>
          <w:snapToGrid w:val="0"/>
          <w:color w:val="auto"/>
          <w:kern w:val="0"/>
          <w:sz w:val="24"/>
          <w:szCs w:val="24"/>
          <w:highlight w:val="none"/>
          <w:lang w:val="en-US" w:eastAsia="zh-CN"/>
        </w:rPr>
        <w:t>抢险及应急维护时公司需出动自备交通工具，与我行工作人员一同在规定时间内达到指定地点，相关费用由</w:t>
      </w:r>
      <w:r>
        <w:rPr>
          <w:rFonts w:hint="eastAsia" w:ascii="宋体" w:hAnsi="宋体"/>
          <w:b w:val="0"/>
          <w:bCs/>
          <w:snapToGrid w:val="0"/>
          <w:color w:val="auto"/>
          <w:kern w:val="0"/>
          <w:sz w:val="24"/>
          <w:szCs w:val="24"/>
          <w:highlight w:val="none"/>
          <w:lang w:eastAsia="zh-CN"/>
        </w:rPr>
        <w:t>参选方</w:t>
      </w:r>
      <w:r>
        <w:rPr>
          <w:rFonts w:ascii="宋体" w:hAnsi="宋体" w:eastAsia="宋体"/>
          <w:b w:val="0"/>
          <w:bCs/>
          <w:snapToGrid w:val="0"/>
          <w:color w:val="auto"/>
          <w:kern w:val="0"/>
          <w:sz w:val="24"/>
          <w:szCs w:val="24"/>
          <w:highlight w:val="none"/>
          <w:lang w:val="en-US" w:eastAsia="zh-CN"/>
        </w:rPr>
        <w:t>承担</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（6）</w:t>
      </w:r>
      <w:r>
        <w:rPr>
          <w:rFonts w:ascii="宋体" w:hAnsi="宋体" w:eastAsia="宋体"/>
          <w:b w:val="0"/>
          <w:bCs/>
          <w:snapToGrid w:val="0"/>
          <w:color w:val="auto"/>
          <w:kern w:val="0"/>
          <w:sz w:val="24"/>
          <w:szCs w:val="24"/>
          <w:highlight w:val="none"/>
          <w:lang w:val="en-US" w:eastAsia="zh-CN"/>
        </w:rPr>
        <w:t>协助我行员工对手机、平板电脑的行内管理类的APP（包含不限于：移动工作空间、移动办公、</w:t>
      </w:r>
      <w:r>
        <w:rPr>
          <w:rFonts w:hint="eastAsia" w:ascii="宋体" w:hAnsi="宋体"/>
          <w:b w:val="0"/>
          <w:bCs/>
          <w:snapToGrid w:val="0"/>
          <w:color w:val="auto"/>
          <w:kern w:val="0"/>
          <w:sz w:val="24"/>
          <w:szCs w:val="24"/>
          <w:highlight w:val="none"/>
          <w:lang w:val="en-US" w:eastAsia="zh-CN"/>
        </w:rPr>
        <w:t>E-Mobile7</w:t>
      </w:r>
      <w:r>
        <w:rPr>
          <w:rFonts w:ascii="宋体" w:hAnsi="宋体" w:eastAsia="宋体"/>
          <w:b w:val="0"/>
          <w:bCs/>
          <w:snapToGrid w:val="0"/>
          <w:color w:val="auto"/>
          <w:kern w:val="0"/>
          <w:sz w:val="24"/>
          <w:szCs w:val="24"/>
          <w:highlight w:val="none"/>
          <w:lang w:val="en-US" w:eastAsia="zh-CN"/>
        </w:rPr>
        <w:t>等）进行设置</w:t>
      </w:r>
      <w:r>
        <w:rPr>
          <w:rFonts w:hint="eastAsia" w:ascii="宋体" w:hAnsi="宋体"/>
          <w:b w:val="0"/>
          <w:bCs/>
          <w:snapToGrid w:val="0"/>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eastAsia="zh-CN"/>
        </w:rPr>
        <w:t>（7）</w:t>
      </w:r>
      <w:r>
        <w:rPr>
          <w:rFonts w:ascii="宋体" w:hAnsi="宋体" w:eastAsia="宋体"/>
          <w:b w:val="0"/>
          <w:bCs/>
          <w:snapToGrid w:val="0"/>
          <w:color w:val="auto"/>
          <w:kern w:val="0"/>
          <w:sz w:val="24"/>
          <w:szCs w:val="24"/>
          <w:highlight w:val="none"/>
          <w:lang w:val="en-US" w:eastAsia="zh-CN"/>
        </w:rPr>
        <w:t>协助编写桌面运维的操作手册与培训材料，并协助开展实物演示和操作指导工作。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eastAsia="宋体"/>
          <w:b w:val="0"/>
          <w:bCs/>
          <w:snapToGrid w:val="0"/>
          <w:color w:val="auto"/>
          <w:kern w:val="0"/>
          <w:sz w:val="24"/>
          <w:szCs w:val="24"/>
          <w:highlight w:val="none"/>
          <w:lang w:val="en-US" w:eastAsia="zh-CN"/>
        </w:rPr>
      </w:pPr>
      <w:r>
        <w:rPr>
          <w:rFonts w:ascii="宋体" w:hAnsi="宋体" w:eastAsia="宋体"/>
          <w:b w:val="0"/>
          <w:bCs/>
          <w:snapToGrid w:val="0"/>
          <w:color w:val="auto"/>
          <w:kern w:val="0"/>
          <w:sz w:val="24"/>
          <w:szCs w:val="24"/>
          <w:highlight w:val="none"/>
          <w:lang w:val="en-US" w:eastAsia="zh-CN"/>
        </w:rPr>
        <w:t>4、定期开展巡检工作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hint="eastAsia" w:ascii="宋体" w:hAnsi="宋体" w:eastAsia="宋体" w:cs="Times New Roman"/>
          <w:bCs/>
          <w:snapToGrid w:val="0"/>
          <w:color w:val="auto"/>
          <w:kern w:val="0"/>
          <w:sz w:val="24"/>
          <w:szCs w:val="24"/>
          <w:highlight w:val="none"/>
          <w:lang w:eastAsia="zh-CN"/>
        </w:rPr>
      </w:pPr>
      <w:r>
        <w:rPr>
          <w:rFonts w:ascii="宋体" w:hAnsi="宋体" w:cs="Times New Roman"/>
          <w:bCs/>
          <w:snapToGrid w:val="0"/>
          <w:color w:val="auto"/>
          <w:kern w:val="0"/>
          <w:sz w:val="24"/>
          <w:szCs w:val="24"/>
          <w:highlight w:val="none"/>
        </w:rPr>
        <w:t>（1）主城和万州辖区的行政区、分支行每月开展一次以桌面终端和网络弱电为主的科技巡检工作</w:t>
      </w:r>
      <w:r>
        <w:rPr>
          <w:rFonts w:hint="eastAsia" w:ascii="宋体" w:hAnsi="宋体" w:cs="Times New Roman"/>
          <w:bCs/>
          <w:snapToGrid w:val="0"/>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3"/>
        <w:rPr>
          <w:rFonts w:ascii="宋体" w:hAnsi="宋体" w:cs="Times New Roman"/>
          <w:bCs/>
          <w:snapToGrid w:val="0"/>
          <w:color w:val="auto"/>
          <w:kern w:val="0"/>
          <w:sz w:val="24"/>
          <w:szCs w:val="24"/>
          <w:highlight w:val="none"/>
        </w:rPr>
      </w:pPr>
      <w:r>
        <w:rPr>
          <w:rFonts w:ascii="宋体" w:hAnsi="宋体"/>
          <w:bCs/>
          <w:snapToGrid w:val="0"/>
          <w:color w:val="auto"/>
          <w:kern w:val="0"/>
          <w:sz w:val="24"/>
          <w:szCs w:val="24"/>
          <w:highlight w:val="none"/>
        </w:rPr>
        <w:t>（2）</w:t>
      </w:r>
      <w:r>
        <w:rPr>
          <w:rFonts w:hint="eastAsia" w:ascii="宋体" w:hAnsi="宋体"/>
          <w:bCs/>
          <w:snapToGrid w:val="0"/>
          <w:color w:val="auto"/>
          <w:kern w:val="0"/>
          <w:sz w:val="24"/>
          <w:szCs w:val="24"/>
          <w:highlight w:val="none"/>
        </w:rPr>
        <w:t>除主要行政区域、主城和万州等区域分支行，其余远郊分支行</w:t>
      </w:r>
      <w:r>
        <w:rPr>
          <w:rFonts w:ascii="宋体" w:hAnsi="宋体"/>
          <w:bCs/>
          <w:snapToGrid w:val="0"/>
          <w:color w:val="auto"/>
          <w:kern w:val="0"/>
          <w:sz w:val="24"/>
          <w:szCs w:val="24"/>
          <w:highlight w:val="none"/>
        </w:rPr>
        <w:t>每季度开展一次</w:t>
      </w:r>
      <w:r>
        <w:rPr>
          <w:rFonts w:ascii="宋体" w:hAnsi="宋体" w:cs="Times New Roman"/>
          <w:bCs/>
          <w:snapToGrid w:val="0"/>
          <w:color w:val="auto"/>
          <w:kern w:val="0"/>
          <w:sz w:val="24"/>
          <w:szCs w:val="24"/>
          <w:highlight w:val="none"/>
        </w:rPr>
        <w:t>以桌面终端和网络弱电为主的科技巡检工作。</w:t>
      </w:r>
    </w:p>
    <w:p>
      <w:pPr>
        <w:keepNext w:val="0"/>
        <w:keepLines w:val="0"/>
        <w:pageBreakBefore w:val="0"/>
        <w:kinsoku/>
        <w:wordWrap/>
        <w:overflowPunct/>
        <w:topLinePunct w:val="0"/>
        <w:autoSpaceDN/>
        <w:bidi w:val="0"/>
        <w:adjustRightInd/>
        <w:snapToGrid/>
        <w:spacing w:line="360" w:lineRule="auto"/>
        <w:ind w:left="0" w:leftChars="0" w:firstLine="482" w:firstLineChars="200"/>
        <w:textAlignment w:val="auto"/>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二、</w:t>
      </w:r>
      <w:bookmarkEnd w:id="44"/>
      <w:r>
        <w:rPr>
          <w:rFonts w:hint="eastAsia" w:ascii="宋体" w:hAnsi="宋体"/>
          <w:b/>
          <w:snapToGrid w:val="0"/>
          <w:color w:val="auto"/>
          <w:kern w:val="0"/>
          <w:sz w:val="24"/>
          <w:szCs w:val="24"/>
          <w:highlight w:val="none"/>
        </w:rPr>
        <w:t>技术服务内容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ascii="宋体"/>
          <w:b/>
          <w:bCs/>
          <w:color w:val="auto"/>
          <w:sz w:val="24"/>
          <w:szCs w:val="24"/>
          <w:highlight w:val="none"/>
          <w:lang w:eastAsia="zh-CN"/>
        </w:rPr>
      </w:pPr>
      <w:r>
        <w:rPr>
          <w:rFonts w:hint="eastAsia" w:ascii="宋体"/>
          <w:b/>
          <w:bCs/>
          <w:color w:val="auto"/>
          <w:sz w:val="24"/>
          <w:szCs w:val="24"/>
          <w:highlight w:val="none"/>
          <w:lang w:val="en-US" w:eastAsia="zh-CN"/>
        </w:rPr>
        <w:t>（一）日常服务</w:t>
      </w:r>
      <w:r>
        <w:rPr>
          <w:rFonts w:ascii="宋体"/>
          <w:b/>
          <w:bCs/>
          <w:color w:val="auto"/>
          <w:sz w:val="24"/>
          <w:szCs w:val="24"/>
          <w:highlight w:val="none"/>
          <w:lang w:eastAsia="zh-CN"/>
        </w:rPr>
        <w:t>保障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eastAsia="宋体" w:cs="Cambria Math"/>
          <w:color w:val="auto"/>
          <w:kern w:val="2"/>
          <w:sz w:val="24"/>
          <w:szCs w:val="24"/>
          <w:highlight w:val="none"/>
          <w:lang w:val="en-US" w:eastAsia="zh-CN" w:bidi="ar-SA"/>
        </w:rPr>
      </w:pPr>
      <w:r>
        <w:rPr>
          <w:rFonts w:hint="eastAsia" w:ascii="宋体" w:eastAsia="宋体" w:cs="Cambria Math"/>
          <w:color w:val="auto"/>
          <w:kern w:val="2"/>
          <w:sz w:val="24"/>
          <w:szCs w:val="24"/>
          <w:highlight w:val="none"/>
          <w:lang w:val="en-US" w:eastAsia="zh-CN" w:bidi="ar-SA"/>
        </w:rPr>
        <w:t>维护人员应熟悉掌握桌面计算机类维护技术，了解各分支机构所在位置和基础运行环境，积极响应我行分支机构科技服务</w:t>
      </w:r>
      <w:r>
        <w:rPr>
          <w:rFonts w:ascii="宋体" w:cs="Cambria Math"/>
          <w:color w:val="auto"/>
          <w:kern w:val="2"/>
          <w:sz w:val="24"/>
          <w:szCs w:val="24"/>
          <w:highlight w:val="none"/>
          <w:lang w:eastAsia="zh-CN" w:bidi="ar-SA"/>
        </w:rPr>
        <w:t>保障</w:t>
      </w:r>
      <w:r>
        <w:rPr>
          <w:rFonts w:hint="eastAsia" w:ascii="宋体" w:eastAsia="宋体" w:cs="Cambria Math"/>
          <w:color w:val="auto"/>
          <w:kern w:val="2"/>
          <w:sz w:val="24"/>
          <w:szCs w:val="24"/>
          <w:highlight w:val="none"/>
          <w:lang w:val="en-US" w:eastAsia="zh-CN" w:bidi="ar-SA"/>
        </w:rPr>
        <w:t>需求，定期开展科技巡检工作，及时处理</w:t>
      </w:r>
      <w:r>
        <w:rPr>
          <w:rFonts w:ascii="宋体" w:cs="Cambria Math"/>
          <w:color w:val="auto"/>
          <w:kern w:val="2"/>
          <w:sz w:val="24"/>
          <w:szCs w:val="24"/>
          <w:highlight w:val="none"/>
          <w:lang w:eastAsia="zh-CN" w:bidi="ar-SA"/>
        </w:rPr>
        <w:t>各类</w:t>
      </w:r>
      <w:r>
        <w:rPr>
          <w:rFonts w:hint="eastAsia" w:ascii="宋体" w:eastAsia="宋体" w:cs="Cambria Math"/>
          <w:color w:val="auto"/>
          <w:kern w:val="2"/>
          <w:sz w:val="24"/>
          <w:szCs w:val="24"/>
          <w:highlight w:val="none"/>
          <w:lang w:val="en-US" w:eastAsia="zh-CN" w:bidi="ar-SA"/>
        </w:rPr>
        <w:t>事件。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ascii="宋体" w:eastAsia="宋体"/>
          <w:b/>
          <w:bCs/>
          <w:color w:val="auto"/>
          <w:sz w:val="24"/>
          <w:szCs w:val="24"/>
          <w:highlight w:val="none"/>
          <w:lang w:eastAsia="zh-CN"/>
        </w:rPr>
      </w:pPr>
      <w:r>
        <w:rPr>
          <w:rFonts w:hint="eastAsia" w:ascii="宋体" w:eastAsia="宋体"/>
          <w:b/>
          <w:bCs/>
          <w:color w:val="auto"/>
          <w:sz w:val="24"/>
          <w:szCs w:val="24"/>
          <w:highlight w:val="none"/>
          <w:lang w:val="en-US" w:eastAsia="zh-CN"/>
        </w:rPr>
        <w:t>（二）</w:t>
      </w:r>
      <w:r>
        <w:rPr>
          <w:rFonts w:ascii="宋体"/>
          <w:b/>
          <w:bCs/>
          <w:color w:val="auto"/>
          <w:sz w:val="24"/>
          <w:szCs w:val="24"/>
          <w:highlight w:val="none"/>
          <w:lang w:eastAsia="zh-CN"/>
        </w:rPr>
        <w:t>报修平台使用</w:t>
      </w:r>
    </w:p>
    <w:p>
      <w:pPr>
        <w:keepNext w:val="0"/>
        <w:keepLines w:val="0"/>
        <w:pageBreakBefore w:val="0"/>
        <w:widowControl w:val="0"/>
        <w:kinsoku/>
        <w:wordWrap/>
        <w:overflowPunct/>
        <w:topLinePunct w:val="0"/>
        <w:autoSpaceDN/>
        <w:bidi w:val="0"/>
        <w:adjustRightInd/>
        <w:snapToGrid/>
        <w:spacing w:line="360" w:lineRule="auto"/>
        <w:ind w:left="0" w:leftChars="0" w:firstLine="480" w:firstLineChars="200"/>
        <w:textAlignment w:val="auto"/>
        <w:outlineLvl w:val="9"/>
        <w:rPr>
          <w:rFonts w:ascii="宋体" w:eastAsia="宋体"/>
          <w:color w:val="auto"/>
          <w:sz w:val="24"/>
          <w:szCs w:val="24"/>
          <w:highlight w:val="none"/>
          <w:lang w:eastAsia="zh-CN"/>
        </w:rPr>
      </w:pPr>
      <w:r>
        <w:rPr>
          <w:rFonts w:hint="eastAsia" w:ascii="宋体"/>
          <w:color w:val="auto"/>
          <w:sz w:val="24"/>
          <w:szCs w:val="24"/>
          <w:highlight w:val="none"/>
          <w:lang w:val="en-US" w:eastAsia="zh-CN"/>
        </w:rPr>
        <w:t>针对该项目</w:t>
      </w:r>
      <w:r>
        <w:rPr>
          <w:rFonts w:hint="eastAsia" w:ascii="宋体"/>
          <w:color w:val="auto"/>
          <w:sz w:val="24"/>
          <w:szCs w:val="24"/>
          <w:highlight w:val="none"/>
          <w:lang w:eastAsia="zh-CN"/>
        </w:rPr>
        <w:t>参选方</w:t>
      </w:r>
      <w:r>
        <w:rPr>
          <w:rFonts w:hint="eastAsia" w:ascii="宋体"/>
          <w:color w:val="auto"/>
          <w:sz w:val="24"/>
          <w:szCs w:val="24"/>
          <w:highlight w:val="none"/>
          <w:lang w:val="en-US" w:eastAsia="zh-CN"/>
        </w:rPr>
        <w:t>需负责提供专用的</w:t>
      </w:r>
      <w:r>
        <w:rPr>
          <w:rFonts w:ascii="宋体"/>
          <w:color w:val="auto"/>
          <w:sz w:val="24"/>
          <w:szCs w:val="24"/>
          <w:highlight w:val="none"/>
          <w:lang w:eastAsia="zh-CN"/>
        </w:rPr>
        <w:t>报修平台软件、电话</w:t>
      </w:r>
      <w:r>
        <w:rPr>
          <w:rFonts w:hint="eastAsia" w:ascii="宋体"/>
          <w:color w:val="auto"/>
          <w:sz w:val="24"/>
          <w:szCs w:val="24"/>
          <w:highlight w:val="none"/>
          <w:lang w:val="en-US" w:eastAsia="zh-CN"/>
        </w:rPr>
        <w:t>，同时有相对应的平台信息传递流程及</w:t>
      </w:r>
      <w:r>
        <w:rPr>
          <w:rFonts w:ascii="宋体"/>
          <w:color w:val="auto"/>
          <w:sz w:val="24"/>
          <w:szCs w:val="24"/>
          <w:highlight w:val="none"/>
          <w:lang w:eastAsia="zh-CN"/>
        </w:rPr>
        <w:t>制度</w:t>
      </w:r>
      <w:r>
        <w:rPr>
          <w:rFonts w:hint="eastAsia" w:ascii="宋体"/>
          <w:color w:val="auto"/>
          <w:sz w:val="24"/>
          <w:szCs w:val="24"/>
          <w:highlight w:val="none"/>
          <w:lang w:val="en-US" w:eastAsia="zh-CN"/>
        </w:rPr>
        <w:t>规范。</w:t>
      </w:r>
      <w:r>
        <w:rPr>
          <w:rFonts w:ascii="宋体"/>
          <w:color w:val="auto"/>
          <w:sz w:val="24"/>
          <w:szCs w:val="24"/>
          <w:highlight w:val="none"/>
          <w:lang w:eastAsia="zh-CN"/>
        </w:rPr>
        <w:t>提供的报修</w:t>
      </w:r>
      <w:r>
        <w:rPr>
          <w:rFonts w:hint="eastAsia" w:ascii="宋体"/>
          <w:color w:val="auto"/>
          <w:sz w:val="24"/>
          <w:szCs w:val="24"/>
          <w:highlight w:val="none"/>
          <w:lang w:val="en-US" w:eastAsia="zh-CN"/>
        </w:rPr>
        <w:t>软件能够稳定、高效地传递维护信息，并且可以对维护人员的服务效率和服务质量进行有效的管理。该软件应具备工单建立、查询、派送以及评价、多端登录等功能</w:t>
      </w:r>
      <w:r>
        <w:rPr>
          <w:rFonts w:ascii="宋体"/>
          <w:color w:val="auto"/>
          <w:sz w:val="24"/>
          <w:szCs w:val="24"/>
          <w:highlight w:val="none"/>
          <w:lang w:eastAsia="zh-CN"/>
        </w:rPr>
        <w:t>；</w:t>
      </w:r>
      <w:r>
        <w:rPr>
          <w:rFonts w:ascii="宋体" w:eastAsia="宋体"/>
          <w:color w:val="auto"/>
          <w:sz w:val="24"/>
          <w:szCs w:val="24"/>
          <w:highlight w:val="none"/>
          <w:lang w:val="en-US" w:eastAsia="zh-CN"/>
        </w:rPr>
        <w:t>提供</w:t>
      </w:r>
      <w:r>
        <w:rPr>
          <w:rFonts w:ascii="宋体"/>
          <w:color w:val="auto"/>
          <w:sz w:val="24"/>
          <w:szCs w:val="24"/>
          <w:highlight w:val="none"/>
          <w:lang w:eastAsia="zh-CN"/>
        </w:rPr>
        <w:t>的</w:t>
      </w:r>
      <w:r>
        <w:rPr>
          <w:rFonts w:ascii="宋体" w:eastAsia="宋体"/>
          <w:color w:val="auto"/>
          <w:sz w:val="24"/>
          <w:szCs w:val="24"/>
          <w:highlight w:val="none"/>
          <w:lang w:val="en-US" w:eastAsia="zh-CN"/>
        </w:rPr>
        <w:t>故障报修电话</w:t>
      </w:r>
      <w:r>
        <w:rPr>
          <w:rFonts w:ascii="宋体"/>
          <w:color w:val="auto"/>
          <w:sz w:val="24"/>
          <w:szCs w:val="24"/>
          <w:highlight w:val="none"/>
          <w:lang w:eastAsia="zh-CN"/>
        </w:rPr>
        <w:t>应具备</w:t>
      </w:r>
      <w:r>
        <w:rPr>
          <w:rFonts w:ascii="宋体" w:eastAsia="宋体"/>
          <w:color w:val="auto"/>
          <w:sz w:val="24"/>
          <w:szCs w:val="24"/>
          <w:highlight w:val="none"/>
          <w:lang w:val="en-US" w:eastAsia="zh-CN"/>
        </w:rPr>
        <w:t>至少3路以上中继热线</w:t>
      </w:r>
      <w:r>
        <w:rPr>
          <w:rFonts w:ascii="宋体" w:eastAsia="宋体"/>
          <w:color w:val="auto"/>
          <w:sz w:val="24"/>
          <w:szCs w:val="24"/>
          <w:highlight w:val="none"/>
          <w:lang w:eastAsia="zh-CN"/>
        </w:rPr>
        <w:t>和</w:t>
      </w:r>
      <w:r>
        <w:rPr>
          <w:rFonts w:hint="eastAsia" w:ascii="宋体"/>
          <w:color w:val="auto"/>
          <w:sz w:val="24"/>
          <w:szCs w:val="24"/>
          <w:highlight w:val="none"/>
          <w:lang w:val="en-US" w:eastAsia="zh-CN"/>
        </w:rPr>
        <w:t>6</w:t>
      </w:r>
      <w:r>
        <w:rPr>
          <w:rFonts w:ascii="宋体" w:eastAsia="宋体"/>
          <w:color w:val="auto"/>
          <w:sz w:val="24"/>
          <w:szCs w:val="24"/>
          <w:highlight w:val="none"/>
          <w:lang w:eastAsia="zh-CN"/>
        </w:rPr>
        <w:t>个月内的电话录音功能</w:t>
      </w:r>
      <w:r>
        <w:rPr>
          <w:rFonts w:ascii="宋体" w:eastAsia="宋体"/>
          <w:color w:val="auto"/>
          <w:sz w:val="24"/>
          <w:szCs w:val="24"/>
          <w:highlight w:val="none"/>
          <w:lang w:val="en-US" w:eastAsia="zh-CN"/>
        </w:rPr>
        <w:t>，配备专人负责进行故障信息接收、分派、维护统计、维护人员管理，统一出具维护</w:t>
      </w:r>
      <w:r>
        <w:rPr>
          <w:rFonts w:hint="eastAsia" w:ascii="宋体"/>
          <w:color w:val="auto"/>
          <w:sz w:val="24"/>
          <w:szCs w:val="24"/>
          <w:highlight w:val="none"/>
          <w:lang w:val="en-US" w:eastAsia="zh-CN"/>
        </w:rPr>
        <w:t>季</w:t>
      </w:r>
      <w:r>
        <w:rPr>
          <w:rFonts w:ascii="宋体" w:eastAsia="宋体"/>
          <w:color w:val="auto"/>
          <w:sz w:val="24"/>
          <w:szCs w:val="24"/>
          <w:highlight w:val="none"/>
          <w:lang w:val="en-US" w:eastAsia="zh-CN"/>
        </w:rPr>
        <w:t>报和年报</w:t>
      </w:r>
      <w:r>
        <w:rPr>
          <w:rFonts w:ascii="宋体"/>
          <w:color w:val="auto"/>
          <w:sz w:val="24"/>
          <w:szCs w:val="24"/>
          <w:highlight w:val="none"/>
          <w:lang w:eastAsia="zh-CN"/>
        </w:rPr>
        <w:t>。</w:t>
      </w:r>
    </w:p>
    <w:p>
      <w:pPr>
        <w:keepNext w:val="0"/>
        <w:keepLines w:val="0"/>
        <w:pageBreakBefore w:val="0"/>
        <w:widowControl w:val="0"/>
        <w:kinsoku/>
        <w:wordWrap/>
        <w:overflowPunct/>
        <w:topLinePunct w:val="0"/>
        <w:autoSpaceDN/>
        <w:bidi w:val="0"/>
        <w:adjustRightInd/>
        <w:snapToGrid/>
        <w:spacing w:line="360" w:lineRule="auto"/>
        <w:ind w:left="0" w:leftChars="0" w:firstLine="482" w:firstLineChars="200"/>
        <w:textAlignment w:val="auto"/>
        <w:outlineLvl w:val="1"/>
        <w:rPr>
          <w:rFonts w:ascii="宋体"/>
          <w:b/>
          <w:bCs/>
          <w:color w:val="auto"/>
          <w:sz w:val="24"/>
          <w:szCs w:val="24"/>
          <w:highlight w:val="none"/>
          <w:lang w:val="en-US" w:eastAsia="zh-CN"/>
        </w:rPr>
      </w:pPr>
      <w:r>
        <w:rPr>
          <w:rFonts w:hint="eastAsia" w:ascii="宋体"/>
          <w:b/>
          <w:bCs/>
          <w:color w:val="auto"/>
          <w:sz w:val="24"/>
          <w:szCs w:val="24"/>
          <w:highlight w:val="none"/>
          <w:lang w:val="en-US" w:eastAsia="zh-CN"/>
        </w:rPr>
        <w:t>（三）故障</w:t>
      </w:r>
      <w:r>
        <w:rPr>
          <w:rFonts w:ascii="宋体"/>
          <w:b/>
          <w:bCs/>
          <w:color w:val="auto"/>
          <w:sz w:val="24"/>
          <w:szCs w:val="24"/>
          <w:highlight w:val="none"/>
          <w:lang w:eastAsia="zh-CN"/>
        </w:rPr>
        <w:t>问题</w:t>
      </w:r>
      <w:r>
        <w:rPr>
          <w:rFonts w:hint="eastAsia" w:ascii="宋体"/>
          <w:b/>
          <w:bCs/>
          <w:color w:val="auto"/>
          <w:sz w:val="24"/>
          <w:szCs w:val="24"/>
          <w:highlight w:val="none"/>
          <w:lang w:val="en-US" w:eastAsia="zh-CN"/>
        </w:rPr>
        <w:t>升级</w:t>
      </w:r>
    </w:p>
    <w:p>
      <w:pPr>
        <w:keepNext w:val="0"/>
        <w:keepLines w:val="0"/>
        <w:pageBreakBefore w:val="0"/>
        <w:widowControl w:val="0"/>
        <w:kinsoku/>
        <w:wordWrap/>
        <w:overflowPunct/>
        <w:topLinePunct w:val="0"/>
        <w:autoSpaceDN/>
        <w:bidi w:val="0"/>
        <w:adjustRightInd/>
        <w:snapToGrid/>
        <w:spacing w:line="360" w:lineRule="auto"/>
        <w:ind w:left="0" w:leftChars="0" w:firstLine="480" w:firstLineChars="200"/>
        <w:textAlignment w:val="auto"/>
        <w:outlineLvl w:val="9"/>
        <w:rPr>
          <w:rFonts w:hint="eastAsia" w:ascii="宋体"/>
          <w:color w:val="auto"/>
          <w:sz w:val="24"/>
          <w:szCs w:val="24"/>
          <w:highlight w:val="none"/>
          <w:lang w:val="en-US" w:eastAsia="zh-CN"/>
        </w:rPr>
      </w:pPr>
      <w:r>
        <w:rPr>
          <w:rFonts w:hint="eastAsia" w:ascii="宋体"/>
          <w:color w:val="auto"/>
          <w:sz w:val="24"/>
          <w:szCs w:val="24"/>
          <w:highlight w:val="none"/>
          <w:lang w:val="en-US" w:eastAsia="zh-CN"/>
        </w:rPr>
        <w:t>针对该项目</w:t>
      </w:r>
      <w:r>
        <w:rPr>
          <w:rFonts w:hint="eastAsia" w:ascii="宋体"/>
          <w:color w:val="auto"/>
          <w:sz w:val="24"/>
          <w:szCs w:val="24"/>
          <w:highlight w:val="none"/>
          <w:lang w:eastAsia="zh-CN"/>
        </w:rPr>
        <w:t>参选方</w:t>
      </w:r>
      <w:r>
        <w:rPr>
          <w:rFonts w:hint="eastAsia" w:ascii="宋体"/>
          <w:color w:val="auto"/>
          <w:sz w:val="24"/>
          <w:szCs w:val="24"/>
          <w:highlight w:val="none"/>
          <w:lang w:val="en-US" w:eastAsia="zh-CN"/>
        </w:rPr>
        <w:t>成立专家团队，当维护过程中出现疑难问题不能立即解决时，日常维护人员应将问题升级到更高级别维护专家团队进行响应并及时解决。技术支持响应应包含电话、微信、现场等多种方式。</w:t>
      </w:r>
    </w:p>
    <w:p>
      <w:pPr>
        <w:keepNext w:val="0"/>
        <w:keepLines w:val="0"/>
        <w:pageBreakBefore w:val="0"/>
        <w:widowControl w:val="0"/>
        <w:kinsoku/>
        <w:wordWrap/>
        <w:overflowPunct/>
        <w:topLinePunct w:val="0"/>
        <w:autoSpaceDN/>
        <w:bidi w:val="0"/>
        <w:adjustRightInd/>
        <w:snapToGrid/>
        <w:spacing w:line="360" w:lineRule="auto"/>
        <w:ind w:left="0" w:leftChars="0" w:firstLine="482" w:firstLineChars="200"/>
        <w:textAlignment w:val="auto"/>
        <w:outlineLvl w:val="1"/>
        <w:rPr>
          <w:rFonts w:ascii="宋体"/>
          <w:b/>
          <w:bCs/>
          <w:color w:val="auto"/>
          <w:sz w:val="24"/>
          <w:szCs w:val="24"/>
          <w:highlight w:val="none"/>
          <w:lang w:val="en-US" w:eastAsia="zh-CN"/>
        </w:rPr>
      </w:pPr>
      <w:r>
        <w:rPr>
          <w:rFonts w:hint="eastAsia" w:ascii="宋体"/>
          <w:b/>
          <w:bCs/>
          <w:color w:val="auto"/>
          <w:sz w:val="24"/>
          <w:szCs w:val="24"/>
          <w:highlight w:val="none"/>
          <w:lang w:val="en-US" w:eastAsia="zh-CN"/>
        </w:rPr>
        <w:t>（四）知识技能传递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eastAsia" w:ascii="宋体"/>
          <w:color w:val="auto"/>
          <w:sz w:val="24"/>
          <w:szCs w:val="24"/>
          <w:highlight w:val="none"/>
          <w:lang w:val="en-US" w:eastAsia="zh-CN"/>
        </w:rPr>
      </w:pPr>
      <w:r>
        <w:rPr>
          <w:rFonts w:hint="eastAsia" w:ascii="宋体"/>
          <w:color w:val="auto"/>
          <w:sz w:val="24"/>
          <w:szCs w:val="24"/>
          <w:highlight w:val="none"/>
          <w:lang w:val="en-US" w:eastAsia="zh-CN"/>
        </w:rPr>
        <w:t>针对该项目</w:t>
      </w:r>
      <w:r>
        <w:rPr>
          <w:rFonts w:hint="eastAsia" w:ascii="宋体"/>
          <w:color w:val="auto"/>
          <w:sz w:val="24"/>
          <w:szCs w:val="24"/>
          <w:highlight w:val="none"/>
          <w:lang w:eastAsia="zh-CN"/>
        </w:rPr>
        <w:t>参选方</w:t>
      </w:r>
      <w:r>
        <w:rPr>
          <w:rFonts w:hint="eastAsia" w:ascii="宋体"/>
          <w:color w:val="auto"/>
          <w:sz w:val="24"/>
          <w:szCs w:val="24"/>
          <w:highlight w:val="none"/>
          <w:lang w:val="en-US" w:eastAsia="zh-CN"/>
        </w:rPr>
        <w:t>建立专用知识库，并定期进行故障维修情况的汇总统计，形成书面报告，并提供给</w:t>
      </w:r>
      <w:r>
        <w:rPr>
          <w:rFonts w:hint="eastAsia" w:ascii="宋体"/>
          <w:color w:val="auto"/>
          <w:sz w:val="24"/>
          <w:szCs w:val="24"/>
          <w:highlight w:val="none"/>
          <w:lang w:eastAsia="zh-CN"/>
        </w:rPr>
        <w:t>比选</w:t>
      </w:r>
      <w:r>
        <w:rPr>
          <w:rFonts w:hint="eastAsia" w:ascii="宋体"/>
          <w:color w:val="auto"/>
          <w:sz w:val="24"/>
          <w:szCs w:val="24"/>
          <w:highlight w:val="none"/>
          <w:lang w:val="en-US" w:eastAsia="zh-CN"/>
        </w:rPr>
        <w:t>方</w:t>
      </w:r>
      <w:r>
        <w:rPr>
          <w:rFonts w:ascii="宋体"/>
          <w:color w:val="auto"/>
          <w:sz w:val="24"/>
          <w:szCs w:val="24"/>
          <w:highlight w:val="none"/>
          <w:lang w:eastAsia="zh-CN"/>
        </w:rPr>
        <w:t>（我行）</w:t>
      </w:r>
      <w:r>
        <w:rPr>
          <w:rFonts w:ascii="宋体" w:eastAsia="宋体"/>
          <w:color w:val="auto"/>
          <w:sz w:val="24"/>
          <w:szCs w:val="24"/>
          <w:highlight w:val="none"/>
          <w:lang w:eastAsia="zh-CN"/>
        </w:rPr>
        <w:t>，</w:t>
      </w:r>
      <w:r>
        <w:rPr>
          <w:rFonts w:ascii="宋体" w:eastAsia="宋体"/>
          <w:color w:val="auto"/>
          <w:sz w:val="24"/>
          <w:szCs w:val="24"/>
          <w:highlight w:val="none"/>
          <w:lang w:val="en-US" w:eastAsia="zh-CN"/>
        </w:rPr>
        <w:t>知识库内容版权仅归属</w:t>
      </w:r>
      <w:r>
        <w:rPr>
          <w:rFonts w:hint="eastAsia" w:ascii="宋体" w:eastAsia="宋体"/>
          <w:color w:val="auto"/>
          <w:sz w:val="24"/>
          <w:szCs w:val="24"/>
          <w:highlight w:val="none"/>
          <w:lang w:eastAsia="zh-CN"/>
        </w:rPr>
        <w:t>比选</w:t>
      </w:r>
      <w:r>
        <w:rPr>
          <w:rFonts w:ascii="宋体" w:eastAsia="宋体"/>
          <w:color w:val="auto"/>
          <w:sz w:val="24"/>
          <w:szCs w:val="24"/>
          <w:highlight w:val="none"/>
          <w:lang w:eastAsia="zh-CN"/>
        </w:rPr>
        <w:t>方（我行）</w:t>
      </w:r>
      <w:r>
        <w:rPr>
          <w:rFonts w:ascii="宋体" w:eastAsia="宋体"/>
          <w:color w:val="auto"/>
          <w:sz w:val="24"/>
          <w:szCs w:val="24"/>
          <w:highlight w:val="none"/>
          <w:lang w:val="en-US" w:eastAsia="zh-CN"/>
        </w:rPr>
        <w:t>所有</w:t>
      </w:r>
      <w:r>
        <w:rPr>
          <w:rFonts w:hint="eastAsia" w:ascii="宋体"/>
          <w:color w:val="auto"/>
          <w:sz w:val="24"/>
          <w:szCs w:val="24"/>
          <w:highlight w:val="none"/>
          <w:lang w:val="en-US" w:eastAsia="zh-CN"/>
        </w:rPr>
        <w:t>。</w:t>
      </w:r>
    </w:p>
    <w:p>
      <w:pPr>
        <w:keepNext w:val="0"/>
        <w:keepLines w:val="0"/>
        <w:pageBreakBefore w:val="0"/>
        <w:widowControl w:val="0"/>
        <w:kinsoku/>
        <w:wordWrap/>
        <w:overflowPunct/>
        <w:topLinePunct w:val="0"/>
        <w:autoSpaceDN/>
        <w:bidi w:val="0"/>
        <w:adjustRightInd/>
        <w:snapToGrid/>
        <w:spacing w:line="360" w:lineRule="auto"/>
        <w:ind w:left="0" w:leftChars="0" w:firstLine="480" w:firstLineChars="200"/>
        <w:textAlignment w:val="auto"/>
        <w:rPr>
          <w:rFonts w:ascii="宋体"/>
          <w:color w:val="auto"/>
          <w:sz w:val="24"/>
          <w:szCs w:val="24"/>
          <w:highlight w:val="none"/>
          <w:lang w:val="en-US" w:eastAsia="zh-CN"/>
        </w:rPr>
      </w:pPr>
      <w:r>
        <w:rPr>
          <w:rFonts w:hint="eastAsia" w:ascii="宋体"/>
          <w:color w:val="auto"/>
          <w:sz w:val="24"/>
          <w:szCs w:val="24"/>
          <w:highlight w:val="none"/>
          <w:lang w:val="en-US" w:eastAsia="zh-CN"/>
        </w:rPr>
        <w:t>基于分析报告的结果，</w:t>
      </w:r>
      <w:r>
        <w:rPr>
          <w:rFonts w:hint="eastAsia" w:ascii="宋体"/>
          <w:color w:val="auto"/>
          <w:sz w:val="24"/>
          <w:szCs w:val="24"/>
          <w:highlight w:val="none"/>
          <w:lang w:eastAsia="zh-CN"/>
        </w:rPr>
        <w:t>参选方</w:t>
      </w:r>
      <w:r>
        <w:rPr>
          <w:rFonts w:hint="eastAsia" w:ascii="宋体"/>
          <w:color w:val="auto"/>
          <w:sz w:val="24"/>
          <w:szCs w:val="24"/>
          <w:highlight w:val="none"/>
          <w:lang w:val="en-US" w:eastAsia="zh-CN"/>
        </w:rPr>
        <w:t>将定期组织维护知识交流会，以进行知识库的培训和知识共享。</w:t>
      </w:r>
    </w:p>
    <w:p>
      <w:pPr>
        <w:keepNext w:val="0"/>
        <w:keepLines w:val="0"/>
        <w:pageBreakBefore w:val="0"/>
        <w:widowControl w:val="0"/>
        <w:kinsoku/>
        <w:wordWrap/>
        <w:overflowPunct/>
        <w:topLinePunct w:val="0"/>
        <w:autoSpaceDN/>
        <w:bidi w:val="0"/>
        <w:adjustRightInd/>
        <w:snapToGrid/>
        <w:spacing w:line="360" w:lineRule="auto"/>
        <w:ind w:left="0" w:leftChars="0" w:firstLine="482" w:firstLineChars="200"/>
        <w:textAlignment w:val="auto"/>
        <w:outlineLvl w:val="1"/>
        <w:rPr>
          <w:color w:val="auto"/>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五</w:t>
      </w:r>
      <w:r>
        <w:rPr>
          <w:rFonts w:hint="eastAsia"/>
          <w:b/>
          <w:bCs/>
          <w:color w:val="auto"/>
          <w:sz w:val="24"/>
          <w:szCs w:val="24"/>
          <w:highlight w:val="none"/>
          <w:lang w:eastAsia="zh-CN"/>
        </w:rPr>
        <w:t>）</w:t>
      </w:r>
      <w:r>
        <w:rPr>
          <w:b/>
          <w:bCs/>
          <w:color w:val="auto"/>
          <w:sz w:val="24"/>
          <w:szCs w:val="24"/>
          <w:highlight w:val="none"/>
        </w:rPr>
        <w:t>服务响应管理</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Cambria Math"/>
          <w:color w:val="auto"/>
          <w:kern w:val="2"/>
          <w:sz w:val="24"/>
          <w:szCs w:val="24"/>
          <w:highlight w:val="none"/>
        </w:rPr>
      </w:pPr>
      <w:r>
        <w:rPr>
          <w:rFonts w:hint="eastAsia" w:ascii="宋体" w:hAnsi="宋体" w:cs="宋体"/>
          <w:color w:val="auto"/>
          <w:kern w:val="2"/>
          <w:sz w:val="24"/>
          <w:szCs w:val="24"/>
          <w:highlight w:val="none"/>
          <w:lang w:eastAsia="zh-CN"/>
        </w:rPr>
        <w:t>参选方</w:t>
      </w:r>
      <w:r>
        <w:rPr>
          <w:rFonts w:hint="eastAsia" w:ascii="宋体" w:hAnsi="宋体" w:eastAsia="宋体" w:cs="宋体"/>
          <w:color w:val="auto"/>
          <w:kern w:val="2"/>
          <w:sz w:val="24"/>
          <w:szCs w:val="24"/>
          <w:highlight w:val="none"/>
          <w:lang w:val="en-US" w:eastAsia="zh-CN"/>
        </w:rPr>
        <w:t>根据地理位置区域不同，服务响应相应时限标准如下：</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outlineLvl w:val="2"/>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1.主要</w:t>
      </w:r>
      <w:r>
        <w:rPr>
          <w:rFonts w:ascii="宋体" w:hAnsi="宋体" w:eastAsia="宋体" w:cs="宋体"/>
          <w:color w:val="auto"/>
          <w:kern w:val="2"/>
          <w:sz w:val="24"/>
          <w:szCs w:val="24"/>
          <w:highlight w:val="none"/>
          <w:lang w:eastAsia="zh-CN"/>
        </w:rPr>
        <w:t>行政</w:t>
      </w:r>
      <w:r>
        <w:rPr>
          <w:rFonts w:hint="eastAsia" w:ascii="宋体" w:hAnsi="宋体" w:eastAsia="宋体" w:cs="宋体"/>
          <w:color w:val="auto"/>
          <w:kern w:val="2"/>
          <w:sz w:val="24"/>
          <w:szCs w:val="24"/>
          <w:highlight w:val="none"/>
          <w:lang w:val="en-US" w:eastAsia="zh-CN"/>
        </w:rPr>
        <w:t>区域</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总行大楼、西永</w:t>
      </w:r>
      <w:r>
        <w:rPr>
          <w:rFonts w:ascii="宋体" w:hAnsi="宋体" w:cs="宋体"/>
          <w:color w:val="auto"/>
          <w:kern w:val="2"/>
          <w:sz w:val="24"/>
          <w:szCs w:val="24"/>
          <w:highlight w:val="none"/>
          <w:lang w:eastAsia="zh-CN"/>
        </w:rPr>
        <w:t>大楼</w:t>
      </w:r>
      <w:r>
        <w:rPr>
          <w:rFonts w:hint="eastAsia" w:ascii="宋体" w:hAnsi="宋体" w:eastAsia="宋体" w:cs="宋体"/>
          <w:color w:val="auto"/>
          <w:kern w:val="2"/>
          <w:sz w:val="24"/>
          <w:szCs w:val="24"/>
          <w:highlight w:val="none"/>
          <w:lang w:val="en-US" w:eastAsia="zh-CN"/>
        </w:rPr>
        <w:t>、万州分行大楼区域服务响应：</w:t>
      </w:r>
      <w:r>
        <w:rPr>
          <w:rFonts w:ascii="宋体" w:hAnsi="宋体"/>
          <w:color w:val="auto"/>
          <w:sz w:val="24"/>
          <w:szCs w:val="24"/>
          <w:highlight w:val="none"/>
          <w:lang w:eastAsia="zh-CN"/>
        </w:rPr>
        <w:t>响应时间</w:t>
      </w:r>
      <w:r>
        <w:rPr>
          <w:rFonts w:hint="eastAsia" w:ascii="宋体" w:hAnsi="宋体"/>
          <w:color w:val="auto"/>
          <w:sz w:val="24"/>
          <w:szCs w:val="24"/>
          <w:highlight w:val="none"/>
          <w:lang w:val="en-US" w:eastAsia="zh-CN"/>
        </w:rPr>
        <w:t>不</w:t>
      </w:r>
      <w:r>
        <w:rPr>
          <w:rFonts w:ascii="宋体" w:hAnsi="宋体"/>
          <w:color w:val="auto"/>
          <w:sz w:val="24"/>
          <w:szCs w:val="24"/>
          <w:highlight w:val="none"/>
          <w:lang w:eastAsia="zh-CN"/>
        </w:rPr>
        <w:t>超过</w:t>
      </w:r>
      <w:r>
        <w:rPr>
          <w:rFonts w:hint="eastAsia" w:ascii="宋体" w:hAnsi="宋体"/>
          <w:color w:val="auto"/>
          <w:sz w:val="24"/>
          <w:szCs w:val="24"/>
          <w:highlight w:val="none"/>
          <w:lang w:val="en-US" w:eastAsia="zh-CN"/>
        </w:rPr>
        <w:t>10分钟</w:t>
      </w:r>
      <w:r>
        <w:rPr>
          <w:rFonts w:hint="eastAsia" w:ascii="宋体" w:hAnsi="宋体" w:eastAsia="宋体" w:cs="宋体"/>
          <w:color w:val="auto"/>
          <w:kern w:val="2"/>
          <w:sz w:val="24"/>
          <w:szCs w:val="24"/>
          <w:highlight w:val="none"/>
          <w:lang w:val="en-US" w:eastAsia="zh-CN"/>
        </w:rPr>
        <w:t>，</w:t>
      </w:r>
      <w:r>
        <w:rPr>
          <w:rFonts w:hint="eastAsia" w:ascii="宋体" w:hAnsi="宋体"/>
          <w:color w:val="auto"/>
          <w:sz w:val="24"/>
          <w:szCs w:val="24"/>
          <w:highlight w:val="none"/>
          <w:lang w:val="en-US" w:eastAsia="zh-CN"/>
        </w:rPr>
        <w:t>达现场</w:t>
      </w:r>
      <w:r>
        <w:rPr>
          <w:rFonts w:ascii="宋体" w:hAnsi="宋体"/>
          <w:color w:val="auto"/>
          <w:sz w:val="24"/>
          <w:szCs w:val="24"/>
          <w:highlight w:val="none"/>
          <w:lang w:eastAsia="zh-CN"/>
        </w:rPr>
        <w:t>时间不超过</w:t>
      </w:r>
      <w:r>
        <w:rPr>
          <w:rFonts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小时；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outlineLvl w:val="2"/>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2.主城和万州分支行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重庆主城9区共37家分支行、万州分行及辖区支行共1</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家分支行服务响应：</w:t>
      </w:r>
      <w:r>
        <w:rPr>
          <w:rFonts w:ascii="宋体" w:hAnsi="宋体"/>
          <w:color w:val="auto"/>
          <w:sz w:val="24"/>
          <w:szCs w:val="24"/>
          <w:highlight w:val="none"/>
          <w:lang w:eastAsia="zh-CN"/>
        </w:rPr>
        <w:t>响应时间</w:t>
      </w:r>
      <w:r>
        <w:rPr>
          <w:rFonts w:hint="eastAsia" w:ascii="宋体" w:hAnsi="宋体"/>
          <w:color w:val="auto"/>
          <w:sz w:val="24"/>
          <w:szCs w:val="24"/>
          <w:highlight w:val="none"/>
          <w:lang w:val="en-US" w:eastAsia="zh-CN"/>
        </w:rPr>
        <w:t>不</w:t>
      </w:r>
      <w:r>
        <w:rPr>
          <w:rFonts w:ascii="宋体" w:hAnsi="宋体"/>
          <w:color w:val="auto"/>
          <w:sz w:val="24"/>
          <w:szCs w:val="24"/>
          <w:highlight w:val="none"/>
          <w:lang w:eastAsia="zh-CN"/>
        </w:rPr>
        <w:t>超过</w:t>
      </w:r>
      <w:r>
        <w:rPr>
          <w:rFonts w:hint="eastAsia" w:ascii="宋体" w:hAnsi="宋体"/>
          <w:color w:val="auto"/>
          <w:sz w:val="24"/>
          <w:szCs w:val="24"/>
          <w:highlight w:val="none"/>
          <w:lang w:val="en-US" w:eastAsia="zh-CN"/>
        </w:rPr>
        <w:t>10分钟</w:t>
      </w:r>
      <w:r>
        <w:rPr>
          <w:rFonts w:hint="eastAsia" w:ascii="宋体" w:hAnsi="宋体" w:eastAsia="宋体" w:cs="宋体"/>
          <w:color w:val="auto"/>
          <w:kern w:val="2"/>
          <w:sz w:val="24"/>
          <w:szCs w:val="24"/>
          <w:highlight w:val="none"/>
          <w:lang w:val="en-US" w:eastAsia="zh-CN"/>
        </w:rPr>
        <w:t>，</w:t>
      </w:r>
      <w:r>
        <w:rPr>
          <w:rFonts w:hint="eastAsia" w:ascii="宋体" w:hAnsi="宋体"/>
          <w:color w:val="auto"/>
          <w:sz w:val="24"/>
          <w:szCs w:val="24"/>
          <w:highlight w:val="none"/>
          <w:lang w:val="en-US" w:eastAsia="zh-CN"/>
        </w:rPr>
        <w:t>达现场</w:t>
      </w:r>
      <w:r>
        <w:rPr>
          <w:rFonts w:ascii="宋体" w:hAnsi="宋体"/>
          <w:color w:val="auto"/>
          <w:sz w:val="24"/>
          <w:szCs w:val="24"/>
          <w:highlight w:val="none"/>
          <w:lang w:eastAsia="zh-CN"/>
        </w:rPr>
        <w:t>时间不超过</w:t>
      </w:r>
      <w:r>
        <w:rPr>
          <w:rFonts w:ascii="宋体" w:hAnsi="宋体"/>
          <w:color w:val="auto"/>
          <w:sz w:val="24"/>
          <w:szCs w:val="24"/>
          <w:highlight w:val="none"/>
          <w:lang w:val="en-US" w:eastAsia="zh-CN"/>
        </w:rPr>
        <w:t>3</w:t>
      </w:r>
      <w:r>
        <w:rPr>
          <w:rFonts w:hint="eastAsia" w:ascii="宋体" w:hAnsi="宋体"/>
          <w:color w:val="auto"/>
          <w:sz w:val="24"/>
          <w:szCs w:val="24"/>
          <w:highlight w:val="none"/>
          <w:lang w:val="en-US" w:eastAsia="zh-CN"/>
        </w:rPr>
        <w:t>小时；</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outlineLvl w:val="2"/>
        <w:rPr>
          <w:rFonts w:hint="eastAsia" w:ascii="宋体" w:hAnsi="宋体" w:eastAsia="宋体" w:cs="Cambria Math"/>
          <w:color w:val="auto"/>
          <w:kern w:val="2"/>
          <w:sz w:val="24"/>
          <w:szCs w:val="24"/>
          <w:highlight w:val="none"/>
        </w:rPr>
      </w:pPr>
      <w:r>
        <w:rPr>
          <w:rFonts w:hint="eastAsia" w:ascii="宋体" w:hAnsi="宋体" w:eastAsia="宋体" w:cs="宋体"/>
          <w:color w:val="auto"/>
          <w:kern w:val="2"/>
          <w:sz w:val="24"/>
          <w:szCs w:val="24"/>
          <w:highlight w:val="none"/>
          <w:lang w:val="en-US" w:eastAsia="zh-CN"/>
        </w:rPr>
        <w:t>3.远郊分支行</w:t>
      </w:r>
    </w:p>
    <w:p>
      <w:pPr>
        <w:keepNext w:val="0"/>
        <w:keepLines w:val="0"/>
        <w:pageBreakBefore w:val="0"/>
        <w:kinsoku/>
        <w:wordWrap/>
        <w:overflowPunct/>
        <w:topLinePunct w:val="0"/>
        <w:autoSpaceDN/>
        <w:bidi w:val="0"/>
        <w:adjustRightInd/>
        <w:snapToGrid/>
        <w:spacing w:line="360" w:lineRule="auto"/>
        <w:ind w:left="0" w:leftChars="0" w:firstLine="480" w:firstLineChars="200"/>
        <w:textAlignment w:val="auto"/>
        <w:rPr>
          <w:rFonts w:ascii="宋体" w:hAnsi="宋体"/>
          <w:snapToGrid w:val="0"/>
          <w:color w:val="auto"/>
          <w:kern w:val="0"/>
          <w:sz w:val="24"/>
          <w:szCs w:val="24"/>
          <w:highlight w:val="none"/>
        </w:rPr>
      </w:pPr>
      <w:r>
        <w:rPr>
          <w:rFonts w:hint="eastAsia" w:ascii="宋体" w:hAnsi="宋体" w:cs="宋体"/>
          <w:color w:val="auto"/>
          <w:kern w:val="2"/>
          <w:sz w:val="24"/>
          <w:szCs w:val="24"/>
          <w:highlight w:val="none"/>
          <w:lang w:val="en-US" w:eastAsia="zh-CN"/>
        </w:rPr>
        <w:t>除主要行政区域、</w:t>
      </w:r>
      <w:r>
        <w:rPr>
          <w:rFonts w:hint="eastAsia" w:ascii="宋体" w:hAnsi="宋体" w:eastAsia="宋体" w:cs="宋体"/>
          <w:color w:val="auto"/>
          <w:kern w:val="2"/>
          <w:sz w:val="24"/>
          <w:szCs w:val="24"/>
          <w:highlight w:val="none"/>
          <w:lang w:val="en-US" w:eastAsia="zh-CN"/>
        </w:rPr>
        <w:t>主城和万州</w:t>
      </w:r>
      <w:r>
        <w:rPr>
          <w:rFonts w:hint="eastAsia" w:ascii="宋体" w:hAnsi="宋体" w:cs="宋体"/>
          <w:color w:val="auto"/>
          <w:kern w:val="2"/>
          <w:sz w:val="24"/>
          <w:szCs w:val="24"/>
          <w:highlight w:val="none"/>
          <w:lang w:val="en-US" w:eastAsia="zh-CN"/>
        </w:rPr>
        <w:t>等区域</w:t>
      </w:r>
      <w:r>
        <w:rPr>
          <w:rFonts w:hint="eastAsia" w:ascii="宋体" w:hAnsi="宋体" w:eastAsia="宋体" w:cs="宋体"/>
          <w:color w:val="auto"/>
          <w:kern w:val="2"/>
          <w:sz w:val="24"/>
          <w:szCs w:val="24"/>
          <w:highlight w:val="none"/>
          <w:lang w:val="en-US" w:eastAsia="zh-CN"/>
        </w:rPr>
        <w:t>分支行</w:t>
      </w:r>
      <w:r>
        <w:rPr>
          <w:rFonts w:hint="eastAsia" w:ascii="宋体" w:hAnsi="宋体" w:cs="宋体"/>
          <w:color w:val="auto"/>
          <w:kern w:val="2"/>
          <w:sz w:val="24"/>
          <w:szCs w:val="24"/>
          <w:highlight w:val="none"/>
          <w:lang w:val="en-US" w:eastAsia="zh-CN"/>
        </w:rPr>
        <w:t>，其余35家远郊分支行</w:t>
      </w:r>
      <w:r>
        <w:rPr>
          <w:rFonts w:hint="eastAsia" w:ascii="宋体" w:hAnsi="宋体" w:eastAsia="宋体" w:cs="宋体"/>
          <w:color w:val="auto"/>
          <w:kern w:val="2"/>
          <w:sz w:val="24"/>
          <w:szCs w:val="24"/>
          <w:highlight w:val="none"/>
          <w:lang w:val="en-US" w:eastAsia="zh-CN"/>
        </w:rPr>
        <w:t>服务响应：</w:t>
      </w:r>
      <w:r>
        <w:rPr>
          <w:rFonts w:ascii="宋体" w:hAnsi="宋体"/>
          <w:color w:val="auto"/>
          <w:sz w:val="24"/>
          <w:szCs w:val="24"/>
          <w:highlight w:val="none"/>
          <w:lang w:eastAsia="zh-CN"/>
        </w:rPr>
        <w:t>响应时间</w:t>
      </w:r>
      <w:r>
        <w:rPr>
          <w:rFonts w:hint="eastAsia" w:ascii="宋体" w:hAnsi="宋体"/>
          <w:color w:val="auto"/>
          <w:sz w:val="24"/>
          <w:szCs w:val="24"/>
          <w:highlight w:val="none"/>
          <w:lang w:val="en-US" w:eastAsia="zh-CN"/>
        </w:rPr>
        <w:t>不</w:t>
      </w:r>
      <w:r>
        <w:rPr>
          <w:rFonts w:ascii="宋体" w:hAnsi="宋体"/>
          <w:color w:val="auto"/>
          <w:sz w:val="24"/>
          <w:szCs w:val="24"/>
          <w:highlight w:val="none"/>
          <w:lang w:eastAsia="zh-CN"/>
        </w:rPr>
        <w:t>超过</w:t>
      </w:r>
      <w:r>
        <w:rPr>
          <w:rFonts w:hint="eastAsia" w:ascii="宋体" w:hAnsi="宋体"/>
          <w:color w:val="auto"/>
          <w:sz w:val="24"/>
          <w:szCs w:val="24"/>
          <w:highlight w:val="none"/>
          <w:lang w:val="en-US" w:eastAsia="zh-CN"/>
        </w:rPr>
        <w:t>10分钟</w:t>
      </w:r>
      <w:r>
        <w:rPr>
          <w:rFonts w:hint="eastAsia" w:ascii="宋体" w:hAnsi="宋体" w:eastAsia="宋体" w:cs="宋体"/>
          <w:color w:val="auto"/>
          <w:kern w:val="2"/>
          <w:sz w:val="24"/>
          <w:szCs w:val="24"/>
          <w:highlight w:val="none"/>
          <w:lang w:val="en-US" w:eastAsia="zh-CN"/>
        </w:rPr>
        <w:t>，</w:t>
      </w:r>
      <w:r>
        <w:rPr>
          <w:rFonts w:hint="eastAsia" w:ascii="宋体" w:hAnsi="宋体"/>
          <w:color w:val="auto"/>
          <w:sz w:val="24"/>
          <w:szCs w:val="24"/>
          <w:highlight w:val="none"/>
          <w:lang w:val="en-US" w:eastAsia="zh-CN"/>
        </w:rPr>
        <w:t>达现场</w:t>
      </w:r>
      <w:r>
        <w:rPr>
          <w:rFonts w:ascii="宋体" w:hAnsi="宋体"/>
          <w:color w:val="auto"/>
          <w:sz w:val="24"/>
          <w:szCs w:val="24"/>
          <w:highlight w:val="none"/>
          <w:lang w:eastAsia="zh-CN"/>
        </w:rPr>
        <w:t>时间不超过6</w:t>
      </w:r>
      <w:r>
        <w:rPr>
          <w:rFonts w:hint="eastAsia" w:ascii="宋体" w:hAnsi="宋体"/>
          <w:color w:val="auto"/>
          <w:sz w:val="24"/>
          <w:szCs w:val="24"/>
          <w:highlight w:val="none"/>
          <w:lang w:val="en-US" w:eastAsia="zh-CN"/>
        </w:rPr>
        <w:t>小时</w:t>
      </w:r>
      <w:r>
        <w:rPr>
          <w:rFonts w:hint="eastAsia" w:ascii="宋体" w:hAnsi="宋体" w:eastAsia="宋体" w:cs="宋体"/>
          <w:color w:val="auto"/>
          <w:kern w:val="2"/>
          <w:sz w:val="24"/>
          <w:szCs w:val="24"/>
          <w:highlight w:val="none"/>
          <w:lang w:val="en-US" w:eastAsia="zh-CN"/>
        </w:rPr>
        <w:t>。</w:t>
      </w:r>
    </w:p>
    <w:p>
      <w:pPr>
        <w:rPr>
          <w:rFonts w:hint="eastAsia"/>
          <w:color w:val="auto"/>
          <w:highlight w:val="none"/>
        </w:rPr>
      </w:pPr>
      <w:r>
        <w:rPr>
          <w:rFonts w:hint="eastAsia"/>
          <w:color w:val="auto"/>
          <w:highlight w:val="none"/>
        </w:rPr>
        <w:br w:type="page"/>
      </w:r>
    </w:p>
    <w:p>
      <w:pPr>
        <w:pStyle w:val="3"/>
        <w:spacing w:before="0"/>
        <w:ind w:right="0" w:rightChars="0"/>
        <w:jc w:val="center"/>
        <w:rPr>
          <w:color w:val="auto"/>
          <w:highlight w:val="none"/>
        </w:rPr>
      </w:pPr>
      <w:bookmarkStart w:id="49" w:name="_Toc3394"/>
      <w:r>
        <w:rPr>
          <w:rFonts w:hint="eastAsia"/>
          <w:color w:val="auto"/>
          <w:highlight w:val="none"/>
        </w:rPr>
        <w:t>第四章 商务条款</w:t>
      </w:r>
      <w:bookmarkEnd w:id="49"/>
    </w:p>
    <w:p>
      <w:pPr>
        <w:spacing w:line="360" w:lineRule="auto"/>
        <w:ind w:firstLine="482" w:firstLineChars="200"/>
        <w:jc w:val="left"/>
        <w:outlineLvl w:val="1"/>
        <w:rPr>
          <w:rFonts w:ascii="宋体" w:hAnsi="宋体"/>
          <w:b/>
          <w:snapToGrid w:val="0"/>
          <w:color w:val="auto"/>
          <w:kern w:val="0"/>
          <w:sz w:val="24"/>
          <w:szCs w:val="24"/>
          <w:highlight w:val="none"/>
        </w:rPr>
      </w:pPr>
      <w:bookmarkStart w:id="50" w:name="_Toc89675144"/>
      <w:bookmarkStart w:id="51" w:name="_Toc15059418"/>
      <w:r>
        <w:rPr>
          <w:rFonts w:hint="eastAsia" w:ascii="宋体" w:hAnsi="宋体"/>
          <w:b/>
          <w:snapToGrid w:val="0"/>
          <w:color w:val="auto"/>
          <w:kern w:val="0"/>
          <w:sz w:val="24"/>
          <w:szCs w:val="24"/>
          <w:highlight w:val="none"/>
        </w:rPr>
        <w:t>一、服务时间、地点</w:t>
      </w:r>
      <w:bookmarkEnd w:id="50"/>
      <w:bookmarkEnd w:id="51"/>
    </w:p>
    <w:p>
      <w:pPr>
        <w:keepNext w:val="0"/>
        <w:keepLines w:val="0"/>
        <w:pageBreakBefore w:val="0"/>
        <w:widowControl w:val="0"/>
        <w:kinsoku/>
        <w:wordWrap/>
        <w:overflowPunct/>
        <w:topLinePunct w:val="0"/>
        <w:bidi w:val="0"/>
        <w:spacing w:line="360" w:lineRule="auto"/>
        <w:ind w:firstLine="480" w:firstLineChars="200"/>
        <w:textAlignment w:val="auto"/>
        <w:rPr>
          <w:rFonts w:ascii="宋体" w:eastAsia="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rPr>
        <w:t>（一）服务时间：</w:t>
      </w:r>
      <w:r>
        <w:rPr>
          <w:rFonts w:hint="eastAsia" w:cs="宋体"/>
          <w:color w:val="auto"/>
          <w:sz w:val="24"/>
          <w:szCs w:val="24"/>
          <w:highlight w:val="none"/>
        </w:rPr>
        <w:t>服务</w:t>
      </w:r>
      <w:r>
        <w:rPr>
          <w:rFonts w:cs="宋体"/>
          <w:color w:val="auto"/>
          <w:sz w:val="24"/>
          <w:szCs w:val="24"/>
          <w:highlight w:val="none"/>
        </w:rPr>
        <w:t>合同</w:t>
      </w:r>
      <w:r>
        <w:rPr>
          <w:rFonts w:hint="eastAsia" w:cs="宋体"/>
          <w:color w:val="auto"/>
          <w:sz w:val="24"/>
          <w:szCs w:val="24"/>
          <w:highlight w:val="none"/>
        </w:rPr>
        <w:t>生效之日起一年内</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eastAsia="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rPr>
        <w:t>（二）服务地点：</w:t>
      </w:r>
      <w:r>
        <w:rPr>
          <w:rFonts w:hint="eastAsia" w:ascii="宋体" w:cs="宋体"/>
          <w:snapToGrid w:val="0"/>
          <w:color w:val="auto"/>
          <w:kern w:val="0"/>
          <w:sz w:val="24"/>
          <w:szCs w:val="24"/>
          <w:highlight w:val="none"/>
          <w:lang w:val="en-US" w:eastAsia="zh-CN"/>
        </w:rPr>
        <w:t>重庆市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二、报价要求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snapToGrid w:val="0"/>
          <w:color w:val="auto"/>
          <w:kern w:val="0"/>
          <w:sz w:val="24"/>
          <w:szCs w:val="24"/>
          <w:highlight w:val="none"/>
          <w:lang w:val="en-US" w:eastAsia="zh-CN"/>
        </w:rPr>
      </w:pPr>
      <w:bookmarkStart w:id="52" w:name="_Toc267320051"/>
      <w:bookmarkStart w:id="53" w:name="_Toc11109"/>
      <w:r>
        <w:rPr>
          <w:rFonts w:hint="eastAsia" w:ascii="宋体" w:cs="宋体"/>
          <w:snapToGrid w:val="0"/>
          <w:color w:val="auto"/>
          <w:kern w:val="0"/>
          <w:sz w:val="24"/>
          <w:szCs w:val="24"/>
          <w:highlight w:val="none"/>
          <w:lang w:val="en-US" w:eastAsia="zh-CN"/>
        </w:rPr>
        <w:t>1、参选人应严格按照《参选文件格式》的“报价一览表”和“分项报价明细表”的格式认真填写。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lang w:val="en-US" w:eastAsia="zh-CN"/>
        </w:rPr>
        <w:t>2、报价单上应列明增值税专用发票的税率。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1"/>
        <w:rPr>
          <w:rFonts w:hint="eastAsia" w:ascii="宋体" w:cs="宋体"/>
          <w:snapToGrid w:val="0"/>
          <w:color w:val="auto"/>
          <w:kern w:val="0"/>
          <w:sz w:val="24"/>
          <w:szCs w:val="24"/>
          <w:highlight w:val="none"/>
          <w:lang w:val="en-US" w:eastAsia="zh-CN"/>
        </w:rPr>
      </w:pPr>
      <w:r>
        <w:rPr>
          <w:rFonts w:hint="eastAsia" w:ascii="宋体" w:cs="宋体"/>
          <w:snapToGrid w:val="0"/>
          <w:color w:val="auto"/>
          <w:kern w:val="0"/>
          <w:sz w:val="24"/>
          <w:szCs w:val="24"/>
          <w:highlight w:val="none"/>
          <w:lang w:val="en-US" w:eastAsia="zh-CN"/>
        </w:rPr>
        <w:t>3、</w:t>
      </w:r>
      <w:r>
        <w:rPr>
          <w:rFonts w:hint="eastAsia" w:ascii="宋体" w:cs="宋体"/>
          <w:snapToGrid w:val="0"/>
          <w:color w:val="auto"/>
          <w:kern w:val="0"/>
          <w:sz w:val="24"/>
          <w:szCs w:val="24"/>
          <w:highlight w:val="none"/>
        </w:rPr>
        <w:t>具体要求：项目报价为完成</w:t>
      </w:r>
      <w:r>
        <w:rPr>
          <w:rFonts w:hint="eastAsia" w:ascii="宋体" w:cs="宋体"/>
          <w:snapToGrid w:val="0"/>
          <w:color w:val="auto"/>
          <w:kern w:val="0"/>
          <w:sz w:val="24"/>
          <w:szCs w:val="24"/>
          <w:highlight w:val="none"/>
          <w:lang w:val="en-US" w:eastAsia="zh-CN"/>
        </w:rPr>
        <w:t>保障</w:t>
      </w:r>
      <w:r>
        <w:rPr>
          <w:rFonts w:hint="eastAsia" w:ascii="宋体" w:cs="宋体"/>
          <w:snapToGrid w:val="0"/>
          <w:color w:val="auto"/>
          <w:kern w:val="0"/>
          <w:sz w:val="24"/>
          <w:szCs w:val="24"/>
          <w:highlight w:val="none"/>
        </w:rPr>
        <w:t>服务的整体包干价，应包含完成项目建设所需的人工费、办公设施费、差旅费、第三方软件费及税费等全部相关费用</w:t>
      </w:r>
      <w:r>
        <w:rPr>
          <w:rFonts w:hint="eastAsia" w:ascii="宋体" w:cs="宋体"/>
          <w:snapToGrid w:val="0"/>
          <w:color w:val="auto"/>
          <w:kern w:val="0"/>
          <w:sz w:val="24"/>
          <w:szCs w:val="24"/>
          <w:highlight w:val="none"/>
          <w:lang w:eastAsia="zh-CN"/>
        </w:rPr>
        <w:t>。</w:t>
      </w:r>
      <w:bookmarkEnd w:id="52"/>
      <w:r>
        <w:rPr>
          <w:rFonts w:hint="eastAsia" w:ascii="宋体" w:cs="宋体"/>
          <w:snapToGrid w:val="0"/>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lang w:val="en-US" w:eastAsia="zh-CN"/>
        </w:rPr>
        <w:t>三、</w:t>
      </w:r>
      <w:r>
        <w:rPr>
          <w:rFonts w:hint="eastAsia" w:ascii="宋体" w:hAnsi="宋体"/>
          <w:b/>
          <w:snapToGrid w:val="0"/>
          <w:color w:val="auto"/>
          <w:kern w:val="0"/>
          <w:sz w:val="24"/>
          <w:szCs w:val="24"/>
          <w:highlight w:val="none"/>
        </w:rPr>
        <w:t>付款方式</w:t>
      </w:r>
      <w:bookmarkStart w:id="54" w:name="_Toc267320054"/>
    </w:p>
    <w:p>
      <w:pPr>
        <w:pStyle w:val="11"/>
        <w:tabs>
          <w:tab w:val="left" w:pos="993"/>
        </w:tabs>
        <w:spacing w:line="360" w:lineRule="auto"/>
        <w:ind w:firstLine="480" w:firstLineChars="200"/>
        <w:jc w:val="left"/>
        <w:rPr>
          <w:rFonts w:hint="eastAsia" w:ascii="宋体" w:cs="宋体"/>
          <w:snapToGrid w:val="0"/>
          <w:color w:val="auto"/>
          <w:kern w:val="0"/>
          <w:sz w:val="24"/>
          <w:szCs w:val="24"/>
          <w:highlight w:val="none"/>
        </w:rPr>
      </w:pPr>
      <w:bookmarkStart w:id="55" w:name="_Toc396723953"/>
      <w:bookmarkStart w:id="56" w:name="_Toc267320050"/>
      <w:bookmarkStart w:id="57" w:name="_Toc382919503"/>
      <w:r>
        <w:rPr>
          <w:rFonts w:hint="eastAsia" w:cs="宋体"/>
          <w:snapToGrid w:val="0"/>
          <w:color w:val="auto"/>
          <w:kern w:val="0"/>
          <w:sz w:val="24"/>
          <w:szCs w:val="24"/>
          <w:highlight w:val="none"/>
          <w:lang w:val="en-US" w:eastAsia="zh-CN"/>
        </w:rPr>
        <w:t>1、</w:t>
      </w:r>
      <w:r>
        <w:rPr>
          <w:rFonts w:hint="eastAsia" w:ascii="宋体" w:cs="宋体"/>
          <w:snapToGrid w:val="0"/>
          <w:color w:val="auto"/>
          <w:kern w:val="0"/>
          <w:sz w:val="24"/>
          <w:szCs w:val="24"/>
          <w:highlight w:val="none"/>
        </w:rPr>
        <w:t>从签订合同之日起，</w:t>
      </w:r>
      <w:r>
        <w:rPr>
          <w:rFonts w:hint="eastAsia" w:ascii="宋体" w:cs="宋体"/>
          <w:snapToGrid w:val="0"/>
          <w:color w:val="auto"/>
          <w:kern w:val="0"/>
          <w:sz w:val="24"/>
          <w:szCs w:val="24"/>
          <w:highlight w:val="none"/>
          <w:lang w:val="en-US" w:eastAsia="zh-CN"/>
        </w:rPr>
        <w:t>保障</w:t>
      </w:r>
      <w:r>
        <w:rPr>
          <w:rFonts w:hint="eastAsia" w:ascii="宋体" w:cs="宋体"/>
          <w:snapToGrid w:val="0"/>
          <w:color w:val="auto"/>
          <w:kern w:val="0"/>
          <w:sz w:val="24"/>
          <w:szCs w:val="24"/>
          <w:highlight w:val="none"/>
        </w:rPr>
        <w:t>服务满</w:t>
      </w:r>
      <w:r>
        <w:rPr>
          <w:rFonts w:ascii="宋体" w:cs="宋体"/>
          <w:snapToGrid w:val="0"/>
          <w:color w:val="auto"/>
          <w:kern w:val="0"/>
          <w:sz w:val="24"/>
          <w:szCs w:val="24"/>
          <w:highlight w:val="none"/>
        </w:rPr>
        <w:t>一季度</w:t>
      </w:r>
      <w:r>
        <w:rPr>
          <w:rFonts w:hint="eastAsia" w:ascii="宋体" w:cs="宋体"/>
          <w:snapToGrid w:val="0"/>
          <w:color w:val="auto"/>
          <w:kern w:val="0"/>
          <w:sz w:val="24"/>
          <w:szCs w:val="24"/>
          <w:highlight w:val="none"/>
        </w:rPr>
        <w:t>后，由</w:t>
      </w:r>
      <w:r>
        <w:rPr>
          <w:rFonts w:hint="eastAsia" w:cs="宋体"/>
          <w:snapToGrid w:val="0"/>
          <w:color w:val="auto"/>
          <w:kern w:val="0"/>
          <w:sz w:val="24"/>
          <w:szCs w:val="24"/>
          <w:highlight w:val="none"/>
          <w:lang w:val="en-US" w:eastAsia="zh-CN"/>
        </w:rPr>
        <w:t>中选</w:t>
      </w:r>
      <w:r>
        <w:rPr>
          <w:rFonts w:hint="eastAsia" w:ascii="宋体" w:cs="宋体"/>
          <w:snapToGrid w:val="0"/>
          <w:color w:val="auto"/>
          <w:kern w:val="0"/>
          <w:sz w:val="24"/>
          <w:szCs w:val="24"/>
          <w:highlight w:val="none"/>
          <w:lang w:val="en-US" w:eastAsia="zh-CN"/>
        </w:rPr>
        <w:t>人</w:t>
      </w:r>
      <w:r>
        <w:rPr>
          <w:rFonts w:hint="eastAsia" w:ascii="宋体" w:cs="宋体"/>
          <w:snapToGrid w:val="0"/>
          <w:color w:val="auto"/>
          <w:kern w:val="0"/>
          <w:sz w:val="24"/>
          <w:szCs w:val="24"/>
          <w:highlight w:val="none"/>
        </w:rPr>
        <w:t>提出申请，经过</w:t>
      </w:r>
      <w:r>
        <w:rPr>
          <w:rFonts w:hint="eastAsia" w:cs="宋体"/>
          <w:snapToGrid w:val="0"/>
          <w:color w:val="auto"/>
          <w:kern w:val="0"/>
          <w:sz w:val="24"/>
          <w:szCs w:val="24"/>
          <w:highlight w:val="none"/>
          <w:lang w:val="en-US" w:eastAsia="zh-CN"/>
        </w:rPr>
        <w:t>比选</w:t>
      </w:r>
      <w:r>
        <w:rPr>
          <w:rFonts w:hint="eastAsia" w:ascii="宋体" w:cs="宋体"/>
          <w:snapToGrid w:val="0"/>
          <w:color w:val="auto"/>
          <w:kern w:val="0"/>
          <w:sz w:val="24"/>
          <w:szCs w:val="24"/>
          <w:highlight w:val="none"/>
          <w:lang w:val="en-US" w:eastAsia="zh-CN"/>
        </w:rPr>
        <w:t>人</w:t>
      </w:r>
      <w:r>
        <w:rPr>
          <w:rFonts w:hint="eastAsia" w:ascii="宋体" w:cs="宋体"/>
          <w:snapToGrid w:val="0"/>
          <w:color w:val="auto"/>
          <w:kern w:val="0"/>
          <w:sz w:val="24"/>
          <w:szCs w:val="24"/>
          <w:highlight w:val="none"/>
        </w:rPr>
        <w:t>服务评审，服务质量达到合同约定的要求后30个工作日内，将</w:t>
      </w:r>
      <w:r>
        <w:rPr>
          <w:rFonts w:ascii="宋体" w:cs="宋体"/>
          <w:snapToGrid w:val="0"/>
          <w:color w:val="auto"/>
          <w:kern w:val="0"/>
          <w:sz w:val="24"/>
          <w:szCs w:val="24"/>
          <w:highlight w:val="none"/>
        </w:rPr>
        <w:t>季度</w:t>
      </w:r>
      <w:r>
        <w:rPr>
          <w:rFonts w:hint="eastAsia" w:ascii="宋体" w:cs="宋体"/>
          <w:snapToGrid w:val="0"/>
          <w:color w:val="auto"/>
          <w:kern w:val="0"/>
          <w:sz w:val="24"/>
          <w:szCs w:val="24"/>
          <w:highlight w:val="none"/>
        </w:rPr>
        <w:t>服务费用（</w:t>
      </w:r>
      <w:r>
        <w:rPr>
          <w:rFonts w:hint="eastAsia" w:cs="宋体"/>
          <w:snapToGrid w:val="0"/>
          <w:color w:val="auto"/>
          <w:kern w:val="0"/>
          <w:sz w:val="24"/>
          <w:szCs w:val="24"/>
          <w:highlight w:val="none"/>
          <w:lang w:val="en-US" w:eastAsia="zh-CN"/>
        </w:rPr>
        <w:t>年</w:t>
      </w:r>
      <w:r>
        <w:rPr>
          <w:rFonts w:hint="eastAsia" w:ascii="宋体" w:cs="宋体"/>
          <w:snapToGrid w:val="0"/>
          <w:color w:val="auto"/>
          <w:kern w:val="0"/>
          <w:sz w:val="24"/>
          <w:szCs w:val="24"/>
          <w:highlight w:val="none"/>
        </w:rPr>
        <w:t>服务费的</w:t>
      </w:r>
      <w:r>
        <w:rPr>
          <w:rFonts w:ascii="宋体" w:cs="宋体"/>
          <w:snapToGrid w:val="0"/>
          <w:color w:val="auto"/>
          <w:kern w:val="0"/>
          <w:sz w:val="24"/>
          <w:szCs w:val="24"/>
          <w:highlight w:val="none"/>
        </w:rPr>
        <w:t>25</w:t>
      </w:r>
      <w:r>
        <w:rPr>
          <w:rFonts w:hint="eastAsia" w:ascii="宋体" w:cs="宋体"/>
          <w:snapToGrid w:val="0"/>
          <w:color w:val="auto"/>
          <w:kern w:val="0"/>
          <w:sz w:val="24"/>
          <w:szCs w:val="24"/>
          <w:highlight w:val="none"/>
        </w:rPr>
        <w:t>%）支付给</w:t>
      </w:r>
      <w:r>
        <w:rPr>
          <w:rFonts w:hint="eastAsia" w:cs="宋体"/>
          <w:snapToGrid w:val="0"/>
          <w:color w:val="auto"/>
          <w:kern w:val="0"/>
          <w:sz w:val="24"/>
          <w:szCs w:val="24"/>
          <w:highlight w:val="none"/>
          <w:lang w:val="en-US" w:eastAsia="zh-CN"/>
        </w:rPr>
        <w:t>参选</w:t>
      </w:r>
      <w:r>
        <w:rPr>
          <w:rFonts w:hint="eastAsia" w:ascii="宋体" w:cs="宋体"/>
          <w:snapToGrid w:val="0"/>
          <w:color w:val="auto"/>
          <w:kern w:val="0"/>
          <w:sz w:val="24"/>
          <w:szCs w:val="24"/>
          <w:highlight w:val="none"/>
          <w:lang w:val="en-US" w:eastAsia="zh-CN"/>
        </w:rPr>
        <w:t>人</w:t>
      </w:r>
      <w:r>
        <w:rPr>
          <w:rFonts w:hint="eastAsia" w:ascii="宋体" w:cs="宋体"/>
          <w:snapToGrid w:val="0"/>
          <w:color w:val="auto"/>
          <w:kern w:val="0"/>
          <w:sz w:val="24"/>
          <w:szCs w:val="24"/>
          <w:highlight w:val="none"/>
        </w:rPr>
        <w:t>。</w:t>
      </w:r>
    </w:p>
    <w:p>
      <w:pPr>
        <w:pStyle w:val="11"/>
        <w:tabs>
          <w:tab w:val="left" w:pos="993"/>
        </w:tabs>
        <w:spacing w:line="360" w:lineRule="auto"/>
        <w:ind w:firstLine="480" w:firstLineChars="200"/>
        <w:jc w:val="left"/>
        <w:rPr>
          <w:rFonts w:hint="eastAsia" w:ascii="宋体" w:cs="宋体"/>
          <w:snapToGrid w:val="0"/>
          <w:color w:val="auto"/>
          <w:kern w:val="0"/>
          <w:sz w:val="24"/>
          <w:szCs w:val="24"/>
          <w:highlight w:val="none"/>
        </w:rPr>
      </w:pPr>
      <w:r>
        <w:rPr>
          <w:rFonts w:hint="eastAsia" w:hAnsi="宋体"/>
          <w:color w:val="auto"/>
          <w:sz w:val="24"/>
          <w:szCs w:val="24"/>
          <w:highlight w:val="none"/>
          <w:lang w:val="en-US" w:eastAsia="zh-CN"/>
        </w:rPr>
        <w:t>2、中选</w:t>
      </w:r>
      <w:r>
        <w:rPr>
          <w:rFonts w:hint="eastAsia" w:ascii="宋体" w:hAnsi="宋体"/>
          <w:color w:val="auto"/>
          <w:sz w:val="24"/>
          <w:szCs w:val="24"/>
          <w:highlight w:val="none"/>
          <w:lang w:val="en-US" w:eastAsia="zh-CN"/>
        </w:rPr>
        <w:t>人</w:t>
      </w:r>
      <w:r>
        <w:rPr>
          <w:rFonts w:cs="Arial"/>
          <w:color w:val="auto"/>
          <w:sz w:val="24"/>
          <w:szCs w:val="24"/>
          <w:highlight w:val="none"/>
        </w:rPr>
        <w:t>须开具发票税率为</w:t>
      </w:r>
      <w:r>
        <w:rPr>
          <w:rFonts w:cs="Arial"/>
          <w:b/>
          <w:color w:val="auto"/>
          <w:sz w:val="24"/>
          <w:szCs w:val="24"/>
          <w:highlight w:val="none"/>
          <w:u w:val="single"/>
        </w:rPr>
        <w:t>6%的增值税专用发票</w:t>
      </w:r>
      <w:r>
        <w:rPr>
          <w:rFonts w:cs="Arial"/>
          <w:color w:val="auto"/>
          <w:sz w:val="24"/>
          <w:szCs w:val="24"/>
          <w:highlight w:val="none"/>
        </w:rPr>
        <w:t>。后续</w:t>
      </w:r>
      <w:r>
        <w:rPr>
          <w:rFonts w:hint="eastAsia" w:cs="Arial"/>
          <w:color w:val="auto"/>
          <w:sz w:val="24"/>
          <w:szCs w:val="24"/>
          <w:highlight w:val="none"/>
          <w:lang w:val="en-US" w:eastAsia="zh-CN"/>
        </w:rPr>
        <w:t>季度</w:t>
      </w:r>
      <w:r>
        <w:rPr>
          <w:rFonts w:cs="Arial"/>
          <w:color w:val="auto"/>
          <w:sz w:val="24"/>
          <w:szCs w:val="24"/>
          <w:highlight w:val="none"/>
        </w:rPr>
        <w:t>付款方式与第一个服务</w:t>
      </w:r>
      <w:r>
        <w:rPr>
          <w:rFonts w:hint="eastAsia" w:cs="Arial"/>
          <w:color w:val="auto"/>
          <w:sz w:val="24"/>
          <w:szCs w:val="24"/>
          <w:highlight w:val="none"/>
          <w:lang w:val="en-US" w:eastAsia="zh-CN"/>
        </w:rPr>
        <w:t>季度</w:t>
      </w:r>
      <w:r>
        <w:rPr>
          <w:rFonts w:cs="Arial"/>
          <w:color w:val="auto"/>
          <w:sz w:val="24"/>
          <w:szCs w:val="24"/>
          <w:highlight w:val="none"/>
        </w:rPr>
        <w:t>一致。</w:t>
      </w:r>
    </w:p>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四</w:t>
      </w:r>
      <w:r>
        <w:rPr>
          <w:rFonts w:ascii="宋体" w:hAnsi="宋体"/>
          <w:b/>
          <w:snapToGrid w:val="0"/>
          <w:color w:val="auto"/>
          <w:kern w:val="0"/>
          <w:sz w:val="24"/>
          <w:szCs w:val="24"/>
          <w:highlight w:val="none"/>
        </w:rPr>
        <w:t>、</w:t>
      </w:r>
      <w:bookmarkEnd w:id="55"/>
      <w:bookmarkEnd w:id="56"/>
      <w:bookmarkEnd w:id="57"/>
      <w:r>
        <w:rPr>
          <w:rFonts w:hint="eastAsia" w:ascii="宋体" w:hAnsi="宋体"/>
          <w:b/>
          <w:snapToGrid w:val="0"/>
          <w:color w:val="auto"/>
          <w:kern w:val="0"/>
          <w:sz w:val="24"/>
          <w:szCs w:val="24"/>
          <w:highlight w:val="none"/>
        </w:rPr>
        <w:t>服务要求</w:t>
      </w:r>
    </w:p>
    <w:bookmarkEnd w:id="53"/>
    <w:p>
      <w:pPr>
        <w:pStyle w:val="11"/>
        <w:numPr>
          <w:ilvl w:val="0"/>
          <w:numId w:val="0"/>
        </w:numPr>
        <w:spacing w:line="360" w:lineRule="auto"/>
        <w:ind w:firstLine="480" w:firstLineChars="200"/>
        <w:jc w:val="left"/>
        <w:rPr>
          <w:rFonts w:hint="eastAsia" w:ascii="宋体" w:cs="宋体"/>
          <w:snapToGrid w:val="0"/>
          <w:color w:val="auto"/>
          <w:kern w:val="0"/>
          <w:sz w:val="24"/>
          <w:szCs w:val="24"/>
          <w:highlight w:val="none"/>
          <w:lang w:val="en-US" w:eastAsia="zh-CN"/>
        </w:rPr>
      </w:pPr>
      <w:bookmarkStart w:id="58" w:name="_Toc24684"/>
      <w:bookmarkStart w:id="59" w:name="_Toc451201927"/>
      <w:r>
        <w:rPr>
          <w:rFonts w:hint="eastAsia" w:ascii="宋体" w:cs="宋体"/>
          <w:snapToGrid w:val="0"/>
          <w:color w:val="auto"/>
          <w:kern w:val="0"/>
          <w:sz w:val="24"/>
          <w:szCs w:val="24"/>
          <w:highlight w:val="none"/>
          <w:lang w:val="en-US" w:eastAsia="zh-CN"/>
        </w:rPr>
        <w:t>1、</w:t>
      </w:r>
      <w:r>
        <w:rPr>
          <w:rFonts w:hint="eastAsia" w:hAnsi="宋体"/>
          <w:color w:val="auto"/>
          <w:sz w:val="24"/>
          <w:szCs w:val="24"/>
          <w:highlight w:val="none"/>
          <w:lang w:eastAsia="zh-CN"/>
        </w:rPr>
        <w:t>参选</w:t>
      </w:r>
      <w:r>
        <w:rPr>
          <w:rFonts w:hint="eastAsia" w:ascii="宋体" w:hAnsi="宋体"/>
          <w:color w:val="auto"/>
          <w:sz w:val="24"/>
          <w:szCs w:val="24"/>
          <w:highlight w:val="none"/>
          <w:lang w:eastAsia="zh-CN"/>
        </w:rPr>
        <w:t>人</w:t>
      </w:r>
      <w:r>
        <w:rPr>
          <w:color w:val="auto"/>
          <w:sz w:val="24"/>
          <w:highlight w:val="none"/>
        </w:rPr>
        <w:t>须遵守法律法规及银行业金融机构内部管理制度、贯彻执行相关监管政策。</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cs="宋体"/>
          <w:snapToGrid w:val="0"/>
          <w:color w:val="auto"/>
          <w:kern w:val="0"/>
          <w:sz w:val="24"/>
          <w:szCs w:val="24"/>
          <w:highlight w:val="none"/>
          <w:lang w:val="en-US" w:eastAsia="zh-CN"/>
        </w:rPr>
        <w:t>2、</w:t>
      </w:r>
      <w:r>
        <w:rPr>
          <w:rFonts w:hint="eastAsia" w:hAnsi="宋体"/>
          <w:color w:val="auto"/>
          <w:sz w:val="24"/>
          <w:szCs w:val="24"/>
          <w:highlight w:val="none"/>
          <w:lang w:eastAsia="zh-CN"/>
        </w:rPr>
        <w:t>参选</w:t>
      </w:r>
      <w:r>
        <w:rPr>
          <w:rFonts w:hint="eastAsia" w:ascii="宋体" w:hAnsi="宋体"/>
          <w:color w:val="auto"/>
          <w:sz w:val="24"/>
          <w:szCs w:val="24"/>
          <w:highlight w:val="none"/>
          <w:lang w:eastAsia="zh-CN"/>
        </w:rPr>
        <w:t>人</w:t>
      </w:r>
      <w:r>
        <w:rPr>
          <w:color w:val="auto"/>
          <w:sz w:val="24"/>
          <w:highlight w:val="none"/>
        </w:rPr>
        <w:t>应该定期开展风险管理评估和第三方审计工作，应该接受</w:t>
      </w:r>
      <w:r>
        <w:rPr>
          <w:rFonts w:hint="eastAsia"/>
          <w:color w:val="auto"/>
          <w:sz w:val="24"/>
          <w:highlight w:val="none"/>
          <w:lang w:val="en-US" w:eastAsia="zh-CN"/>
        </w:rPr>
        <w:t>比选人</w:t>
      </w:r>
      <w:r>
        <w:rPr>
          <w:color w:val="auto"/>
          <w:sz w:val="24"/>
          <w:highlight w:val="none"/>
        </w:rPr>
        <w:t>的定期审核和评估，并配合接受来自监管机构的各项检查，配合对监管意见做出相应的管理、服务、基础设施、软硬件等整改。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color w:val="auto"/>
          <w:sz w:val="24"/>
          <w:szCs w:val="24"/>
          <w:highlight w:val="none"/>
          <w:lang w:eastAsia="zh-CN"/>
        </w:rPr>
      </w:pPr>
      <w:r>
        <w:rPr>
          <w:rFonts w:hint="eastAsia" w:ascii="宋体" w:cs="宋体"/>
          <w:snapToGrid w:val="0"/>
          <w:color w:val="auto"/>
          <w:kern w:val="0"/>
          <w:sz w:val="24"/>
          <w:szCs w:val="24"/>
          <w:highlight w:val="none"/>
          <w:lang w:val="en-US" w:eastAsia="zh-CN"/>
        </w:rPr>
        <w:t>3</w:t>
      </w:r>
      <w:r>
        <w:rPr>
          <w:rFonts w:hint="eastAsia" w:ascii="宋体" w:cs="宋体"/>
          <w:snapToGrid w:val="0"/>
          <w:color w:val="auto"/>
          <w:kern w:val="0"/>
          <w:sz w:val="24"/>
          <w:szCs w:val="24"/>
          <w:highlight w:val="none"/>
        </w:rPr>
        <w:t>、</w:t>
      </w:r>
      <w:r>
        <w:rPr>
          <w:rFonts w:hint="eastAsia" w:ascii="宋体" w:cs="宋体"/>
          <w:color w:val="auto"/>
          <w:sz w:val="24"/>
          <w:szCs w:val="24"/>
          <w:highlight w:val="none"/>
        </w:rPr>
        <w:t>为更好地为</w:t>
      </w:r>
      <w:r>
        <w:rPr>
          <w:rFonts w:hint="eastAsia" w:ascii="宋体" w:cs="宋体"/>
          <w:color w:val="auto"/>
          <w:sz w:val="24"/>
          <w:szCs w:val="24"/>
          <w:highlight w:val="none"/>
          <w:lang w:eastAsia="zh-CN"/>
        </w:rPr>
        <w:t>比选人</w:t>
      </w:r>
      <w:r>
        <w:rPr>
          <w:rFonts w:hint="eastAsia" w:ascii="宋体" w:cs="宋体"/>
          <w:color w:val="auto"/>
          <w:sz w:val="24"/>
          <w:szCs w:val="24"/>
          <w:highlight w:val="none"/>
        </w:rPr>
        <w:t>提供优质可靠的</w:t>
      </w:r>
      <w:r>
        <w:rPr>
          <w:rFonts w:hint="eastAsia" w:ascii="宋体" w:cs="宋体"/>
          <w:color w:val="auto"/>
          <w:sz w:val="24"/>
          <w:szCs w:val="24"/>
          <w:highlight w:val="none"/>
          <w:lang w:val="en-US" w:eastAsia="zh-CN"/>
        </w:rPr>
        <w:t>保障</w:t>
      </w:r>
      <w:r>
        <w:rPr>
          <w:rFonts w:hint="eastAsia" w:ascii="宋体" w:cs="宋体"/>
          <w:color w:val="auto"/>
          <w:sz w:val="24"/>
          <w:szCs w:val="24"/>
          <w:highlight w:val="none"/>
        </w:rPr>
        <w:t>服务，</w:t>
      </w:r>
      <w:r>
        <w:rPr>
          <w:rFonts w:hint="eastAsia" w:ascii="宋体" w:cs="宋体"/>
          <w:color w:val="auto"/>
          <w:sz w:val="24"/>
          <w:szCs w:val="24"/>
          <w:highlight w:val="none"/>
          <w:lang w:eastAsia="zh-CN"/>
        </w:rPr>
        <w:t>参选人</w:t>
      </w:r>
      <w:r>
        <w:rPr>
          <w:rFonts w:hint="eastAsia" w:ascii="宋体" w:cs="宋体"/>
          <w:color w:val="auto"/>
          <w:sz w:val="24"/>
          <w:szCs w:val="24"/>
          <w:highlight w:val="none"/>
        </w:rPr>
        <w:t>需提供具有相应资质、经验丰富、有能力独立处理</w:t>
      </w:r>
      <w:r>
        <w:rPr>
          <w:rFonts w:hint="eastAsia" w:ascii="宋体" w:cs="宋体"/>
          <w:color w:val="auto"/>
          <w:sz w:val="24"/>
          <w:szCs w:val="24"/>
          <w:highlight w:val="none"/>
          <w:lang w:val="en-US" w:eastAsia="zh-CN"/>
        </w:rPr>
        <w:t>维护服务问题</w:t>
      </w:r>
      <w:r>
        <w:rPr>
          <w:rFonts w:hint="eastAsia" w:ascii="宋体" w:cs="宋体"/>
          <w:color w:val="auto"/>
          <w:sz w:val="24"/>
          <w:szCs w:val="24"/>
          <w:highlight w:val="none"/>
        </w:rPr>
        <w:t>的</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，于合同签订后五日内，书面将</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的身份证明、联系方式、资质情况及</w:t>
      </w:r>
      <w:r>
        <w:rPr>
          <w:rFonts w:hint="eastAsia" w:ascii="宋体" w:cs="宋体"/>
          <w:color w:val="auto"/>
          <w:sz w:val="24"/>
          <w:szCs w:val="24"/>
          <w:highlight w:val="none"/>
          <w:lang w:eastAsia="zh-CN"/>
        </w:rPr>
        <w:t>参选人</w:t>
      </w:r>
      <w:r>
        <w:rPr>
          <w:rFonts w:hint="eastAsia" w:ascii="宋体" w:cs="宋体"/>
          <w:color w:val="auto"/>
          <w:sz w:val="24"/>
          <w:szCs w:val="24"/>
          <w:highlight w:val="none"/>
        </w:rPr>
        <w:t>为其缴纳社保的证明等文件交</w:t>
      </w:r>
      <w:r>
        <w:rPr>
          <w:rFonts w:hint="eastAsia" w:ascii="宋体" w:cs="宋体"/>
          <w:color w:val="auto"/>
          <w:sz w:val="24"/>
          <w:szCs w:val="24"/>
          <w:highlight w:val="none"/>
          <w:lang w:val="en-US" w:eastAsia="zh-CN"/>
        </w:rPr>
        <w:t>比选人</w:t>
      </w:r>
      <w:r>
        <w:rPr>
          <w:rFonts w:hint="eastAsia" w:ascii="宋体" w:cs="宋体"/>
          <w:color w:val="auto"/>
          <w:sz w:val="24"/>
          <w:szCs w:val="24"/>
          <w:highlight w:val="none"/>
        </w:rPr>
        <w:t>审核，</w:t>
      </w:r>
      <w:r>
        <w:rPr>
          <w:rFonts w:hint="eastAsia" w:ascii="宋体" w:cs="宋体"/>
          <w:color w:val="auto"/>
          <w:sz w:val="24"/>
          <w:szCs w:val="24"/>
          <w:highlight w:val="none"/>
          <w:lang w:val="en-US" w:eastAsia="zh-CN"/>
        </w:rPr>
        <w:t>比选人</w:t>
      </w:r>
      <w:r>
        <w:rPr>
          <w:rFonts w:hint="eastAsia" w:ascii="宋体" w:cs="宋体"/>
          <w:color w:val="auto"/>
          <w:sz w:val="24"/>
          <w:szCs w:val="24"/>
          <w:highlight w:val="none"/>
        </w:rPr>
        <w:t>审核通过后备案</w:t>
      </w:r>
      <w:r>
        <w:rPr>
          <w:rFonts w:hint="eastAsia" w:asci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cs="宋体"/>
          <w:color w:val="auto"/>
          <w:sz w:val="24"/>
          <w:szCs w:val="24"/>
          <w:highlight w:val="none"/>
          <w:lang w:val="en-US" w:eastAsia="zh-CN"/>
        </w:rPr>
      </w:pPr>
      <w:r>
        <w:rPr>
          <w:rFonts w:hint="eastAsia" w:ascii="宋体" w:cs="宋体"/>
          <w:color w:val="auto"/>
          <w:sz w:val="24"/>
          <w:szCs w:val="24"/>
          <w:highlight w:val="none"/>
          <w:lang w:val="en-US" w:eastAsia="zh-CN"/>
        </w:rPr>
        <w:t>4、在服务</w:t>
      </w:r>
      <w:r>
        <w:rPr>
          <w:rFonts w:hint="eastAsia" w:ascii="宋体"/>
          <w:color w:val="auto"/>
          <w:sz w:val="24"/>
          <w:szCs w:val="24"/>
          <w:highlight w:val="none"/>
        </w:rPr>
        <w:t>期内</w:t>
      </w:r>
      <w:r>
        <w:rPr>
          <w:rFonts w:hint="eastAsia" w:ascii="宋体"/>
          <w:color w:val="auto"/>
          <w:sz w:val="24"/>
          <w:szCs w:val="24"/>
          <w:highlight w:val="none"/>
          <w:lang w:eastAsia="zh-CN"/>
        </w:rPr>
        <w:t>，</w:t>
      </w:r>
      <w:r>
        <w:rPr>
          <w:rFonts w:hint="eastAsia" w:ascii="宋体"/>
          <w:color w:val="auto"/>
          <w:sz w:val="24"/>
          <w:szCs w:val="24"/>
          <w:highlight w:val="none"/>
        </w:rPr>
        <w:t>所有派驻</w:t>
      </w:r>
      <w:r>
        <w:rPr>
          <w:rFonts w:hint="eastAsia" w:ascii="宋体"/>
          <w:color w:val="auto"/>
          <w:sz w:val="24"/>
          <w:szCs w:val="24"/>
          <w:highlight w:val="none"/>
          <w:lang w:val="en-US" w:eastAsia="zh-CN"/>
        </w:rPr>
        <w:t>维护</w:t>
      </w:r>
      <w:r>
        <w:rPr>
          <w:rFonts w:hint="eastAsia" w:ascii="宋体"/>
          <w:color w:val="auto"/>
          <w:sz w:val="24"/>
          <w:szCs w:val="24"/>
          <w:highlight w:val="none"/>
        </w:rPr>
        <w:t>人员仅能服务于本项目，</w:t>
      </w:r>
      <w:r>
        <w:rPr>
          <w:rFonts w:hint="eastAsia" w:ascii="宋体"/>
          <w:color w:val="auto"/>
          <w:sz w:val="24"/>
          <w:szCs w:val="24"/>
          <w:highlight w:val="none"/>
          <w:lang w:val="en-US" w:eastAsia="zh-CN"/>
        </w:rPr>
        <w:t>不</w:t>
      </w:r>
      <w:r>
        <w:rPr>
          <w:rFonts w:hint="eastAsia" w:ascii="宋体" w:cs="宋体"/>
          <w:color w:val="auto"/>
          <w:sz w:val="24"/>
          <w:szCs w:val="24"/>
          <w:highlight w:val="none"/>
        </w:rPr>
        <w:t>得擅自调换或撤回已备案</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确需对已备案</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进行调整，</w:t>
      </w:r>
      <w:r>
        <w:rPr>
          <w:rFonts w:hint="eastAsia" w:ascii="宋体" w:cs="宋体"/>
          <w:color w:val="auto"/>
          <w:sz w:val="24"/>
          <w:szCs w:val="24"/>
          <w:highlight w:val="none"/>
          <w:lang w:eastAsia="zh-CN"/>
        </w:rPr>
        <w:t>参选人</w:t>
      </w:r>
      <w:r>
        <w:rPr>
          <w:rFonts w:hint="eastAsia" w:ascii="宋体" w:cs="宋体"/>
          <w:color w:val="auto"/>
          <w:sz w:val="24"/>
          <w:szCs w:val="24"/>
          <w:highlight w:val="none"/>
        </w:rPr>
        <w:t>应提前10天书面来函协调，在取得</w:t>
      </w:r>
      <w:r>
        <w:rPr>
          <w:rFonts w:hint="eastAsia" w:ascii="宋体" w:cs="宋体"/>
          <w:color w:val="auto"/>
          <w:sz w:val="24"/>
          <w:szCs w:val="24"/>
          <w:highlight w:val="none"/>
          <w:lang w:val="en-US" w:eastAsia="zh-CN"/>
        </w:rPr>
        <w:t>比选人</w:t>
      </w:r>
      <w:r>
        <w:rPr>
          <w:rFonts w:hint="eastAsia" w:ascii="宋体" w:cs="宋体"/>
          <w:color w:val="auto"/>
          <w:sz w:val="24"/>
          <w:szCs w:val="24"/>
          <w:highlight w:val="none"/>
        </w:rPr>
        <w:t>许可的前提下方可更换相同资质和经验的</w:t>
      </w:r>
      <w:r>
        <w:rPr>
          <w:rFonts w:hint="eastAsia" w:ascii="宋体" w:cs="宋体"/>
          <w:color w:val="auto"/>
          <w:sz w:val="24"/>
          <w:szCs w:val="24"/>
          <w:highlight w:val="none"/>
          <w:lang w:val="en-US" w:eastAsia="zh-CN"/>
        </w:rPr>
        <w:t>维护人员。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Cambria Math"/>
          <w:color w:val="auto"/>
          <w:kern w:val="2"/>
          <w:sz w:val="24"/>
          <w:szCs w:val="24"/>
          <w:highlight w:val="none"/>
          <w:lang w:val="en-US" w:eastAsia="zh-CN" w:bidi="ar-SA"/>
        </w:rPr>
      </w:pPr>
      <w:r>
        <w:rPr>
          <w:rFonts w:hint="eastAsia" w:ascii="宋体" w:cs="宋体"/>
          <w:color w:val="auto"/>
          <w:sz w:val="24"/>
          <w:szCs w:val="24"/>
          <w:highlight w:val="none"/>
          <w:lang w:val="en-US" w:eastAsia="zh-CN"/>
        </w:rPr>
        <w:t>5、在服务期内，</w:t>
      </w:r>
      <w:r>
        <w:rPr>
          <w:rFonts w:ascii="宋体" w:cs="宋体"/>
          <w:color w:val="auto"/>
          <w:sz w:val="24"/>
          <w:szCs w:val="24"/>
          <w:highlight w:val="none"/>
          <w:lang w:eastAsia="zh-CN"/>
        </w:rPr>
        <w:t>总行</w:t>
      </w:r>
      <w:r>
        <w:rPr>
          <w:rFonts w:hint="eastAsia" w:ascii="宋体" w:hAnsi="宋体" w:eastAsia="宋体" w:cs="Cambria Math"/>
          <w:color w:val="auto"/>
          <w:kern w:val="2"/>
          <w:sz w:val="24"/>
          <w:szCs w:val="24"/>
          <w:highlight w:val="none"/>
          <w:lang w:val="en-US" w:eastAsia="zh-CN" w:bidi="ar-SA"/>
        </w:rPr>
        <w:t>大楼、数据中心、分支行</w:t>
      </w:r>
      <w:r>
        <w:rPr>
          <w:rFonts w:hint="eastAsia" w:ascii="宋体" w:hAnsi="宋体" w:cs="Cambria Math"/>
          <w:color w:val="auto"/>
          <w:kern w:val="2"/>
          <w:sz w:val="24"/>
          <w:szCs w:val="24"/>
          <w:highlight w:val="none"/>
          <w:lang w:val="en-US" w:eastAsia="zh-CN" w:bidi="ar-SA"/>
        </w:rPr>
        <w:t>营业点等</w:t>
      </w:r>
      <w:r>
        <w:rPr>
          <w:rFonts w:hint="eastAsia" w:ascii="宋体" w:hAnsi="宋体" w:eastAsia="宋体" w:cs="Cambria Math"/>
          <w:color w:val="auto"/>
          <w:kern w:val="2"/>
          <w:sz w:val="24"/>
          <w:szCs w:val="24"/>
          <w:highlight w:val="none"/>
          <w:lang w:val="en-US" w:eastAsia="zh-CN" w:bidi="ar-SA"/>
        </w:rPr>
        <w:t>搬迁、新增后的区域</w:t>
      </w:r>
      <w:r>
        <w:rPr>
          <w:rFonts w:hint="eastAsia" w:ascii="宋体" w:hAnsi="宋体" w:cs="Cambria Math"/>
          <w:color w:val="auto"/>
          <w:kern w:val="2"/>
          <w:sz w:val="24"/>
          <w:szCs w:val="24"/>
          <w:highlight w:val="none"/>
          <w:lang w:val="en-US" w:eastAsia="zh-CN" w:bidi="ar-SA"/>
        </w:rPr>
        <w:t>，</w:t>
      </w:r>
      <w:r>
        <w:rPr>
          <w:rFonts w:hint="eastAsia" w:ascii="宋体" w:hAnsi="宋体" w:eastAsia="宋体" w:cs="Cambria Math"/>
          <w:color w:val="auto"/>
          <w:kern w:val="2"/>
          <w:sz w:val="24"/>
          <w:szCs w:val="24"/>
          <w:highlight w:val="none"/>
          <w:lang w:val="en-US" w:eastAsia="zh-CN" w:bidi="ar-SA"/>
        </w:rPr>
        <w:t>自动纳入相应</w:t>
      </w:r>
      <w:r>
        <w:rPr>
          <w:rFonts w:hint="eastAsia" w:ascii="宋体" w:hAnsi="宋体" w:cs="Cambria Math"/>
          <w:color w:val="auto"/>
          <w:kern w:val="2"/>
          <w:sz w:val="24"/>
          <w:szCs w:val="24"/>
          <w:highlight w:val="none"/>
          <w:lang w:val="en-US" w:eastAsia="zh-CN" w:bidi="ar-SA"/>
        </w:rPr>
        <w:t>的</w:t>
      </w:r>
      <w:r>
        <w:rPr>
          <w:rFonts w:hint="eastAsia" w:ascii="宋体" w:hAnsi="宋体" w:eastAsia="宋体" w:cs="Cambria Math"/>
          <w:color w:val="auto"/>
          <w:kern w:val="2"/>
          <w:sz w:val="24"/>
          <w:szCs w:val="24"/>
          <w:highlight w:val="none"/>
          <w:lang w:val="en-US" w:eastAsia="zh-CN" w:bidi="ar-SA"/>
        </w:rPr>
        <w:t>服务</w:t>
      </w:r>
      <w:r>
        <w:rPr>
          <w:rFonts w:hint="eastAsia" w:ascii="宋体" w:hAnsi="宋体" w:cs="Cambria Math"/>
          <w:color w:val="auto"/>
          <w:kern w:val="2"/>
          <w:sz w:val="24"/>
          <w:szCs w:val="24"/>
          <w:highlight w:val="none"/>
          <w:lang w:val="en-US" w:eastAsia="zh-CN" w:bidi="ar-SA"/>
        </w:rPr>
        <w:t>支持</w:t>
      </w:r>
      <w:r>
        <w:rPr>
          <w:rFonts w:hint="eastAsia" w:ascii="宋体" w:hAnsi="宋体" w:eastAsia="宋体" w:cs="Cambria Math"/>
          <w:color w:val="auto"/>
          <w:kern w:val="2"/>
          <w:sz w:val="24"/>
          <w:szCs w:val="24"/>
          <w:highlight w:val="none"/>
          <w:lang w:val="en-US" w:eastAsia="zh-CN" w:bidi="ar-SA"/>
        </w:rPr>
        <w:t>范围</w:t>
      </w:r>
      <w:r>
        <w:rPr>
          <w:rFonts w:hint="eastAsia" w:ascii="宋体" w:hAnsi="宋体" w:cs="Cambria Math"/>
          <w:color w:val="auto"/>
          <w:kern w:val="2"/>
          <w:sz w:val="24"/>
          <w:szCs w:val="24"/>
          <w:highlight w:val="none"/>
          <w:lang w:val="en-US" w:eastAsia="zh-CN" w:bidi="ar-SA"/>
        </w:rPr>
        <w:t>和服务响应标准。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Cambria Math" w:eastAsia="宋体" w:cs="宋体"/>
          <w:b w:val="0"/>
          <w:bCs w:val="0"/>
          <w:color w:val="auto"/>
          <w:kern w:val="2"/>
          <w:sz w:val="24"/>
          <w:szCs w:val="24"/>
          <w:highlight w:val="none"/>
          <w:lang w:val="en-US" w:eastAsia="zh-CN" w:bidi="ar-SA"/>
        </w:rPr>
      </w:pPr>
      <w:r>
        <w:rPr>
          <w:rFonts w:hint="eastAsia" w:ascii="宋体" w:hAnsi="Cambria Math" w:eastAsia="宋体" w:cs="宋体"/>
          <w:b w:val="0"/>
          <w:bCs w:val="0"/>
          <w:color w:val="auto"/>
          <w:kern w:val="2"/>
          <w:sz w:val="24"/>
          <w:szCs w:val="24"/>
          <w:highlight w:val="none"/>
          <w:lang w:val="en-US" w:eastAsia="zh-CN" w:bidi="ar-SA"/>
        </w:rPr>
        <w:t>6</w:t>
      </w:r>
      <w:r>
        <w:rPr>
          <w:rFonts w:hint="eastAsia" w:ascii="宋体" w:cs="宋体"/>
          <w:b w:val="0"/>
          <w:bCs w:val="0"/>
          <w:color w:val="auto"/>
          <w:kern w:val="2"/>
          <w:sz w:val="24"/>
          <w:szCs w:val="24"/>
          <w:highlight w:val="none"/>
          <w:lang w:val="en-US" w:eastAsia="zh-CN" w:bidi="ar-SA"/>
        </w:rPr>
        <w:t>、</w:t>
      </w:r>
      <w:r>
        <w:rPr>
          <w:rFonts w:hint="eastAsia" w:ascii="宋体" w:hAnsi="Cambria Math" w:eastAsia="宋体" w:cs="宋体"/>
          <w:b w:val="0"/>
          <w:bCs w:val="0"/>
          <w:color w:val="auto"/>
          <w:kern w:val="2"/>
          <w:sz w:val="24"/>
          <w:szCs w:val="24"/>
          <w:highlight w:val="none"/>
          <w:lang w:val="en-US" w:eastAsia="zh-CN" w:bidi="ar-SA"/>
        </w:rPr>
        <w:t>未在规定时间内提供相应服务支持，</w:t>
      </w:r>
      <w:r>
        <w:rPr>
          <w:rFonts w:hint="eastAsia" w:ascii="宋体" w:eastAsia="宋体" w:cs="宋体"/>
          <w:b w:val="0"/>
          <w:bCs w:val="0"/>
          <w:color w:val="auto"/>
          <w:kern w:val="2"/>
          <w:sz w:val="24"/>
          <w:szCs w:val="24"/>
          <w:highlight w:val="none"/>
          <w:lang w:val="en-US" w:eastAsia="zh-CN" w:bidi="ar-SA"/>
        </w:rPr>
        <w:t>比选</w:t>
      </w:r>
      <w:r>
        <w:rPr>
          <w:rFonts w:hint="eastAsia" w:ascii="宋体" w:hAnsi="Cambria Math" w:eastAsia="宋体" w:cs="宋体"/>
          <w:b w:val="0"/>
          <w:bCs w:val="0"/>
          <w:color w:val="auto"/>
          <w:kern w:val="2"/>
          <w:sz w:val="24"/>
          <w:szCs w:val="24"/>
          <w:highlight w:val="none"/>
          <w:lang w:val="en-US" w:eastAsia="zh-CN" w:bidi="ar-SA"/>
        </w:rPr>
        <w:t>人有权扣除一定金额</w:t>
      </w:r>
      <w:r>
        <w:rPr>
          <w:rFonts w:ascii="宋体" w:hAnsi="Cambria Math" w:eastAsia="宋体" w:cs="宋体"/>
          <w:b w:val="0"/>
          <w:bCs w:val="0"/>
          <w:color w:val="auto"/>
          <w:kern w:val="2"/>
          <w:sz w:val="24"/>
          <w:szCs w:val="24"/>
          <w:highlight w:val="none"/>
          <w:lang w:val="en-US" w:eastAsia="zh-CN" w:bidi="ar-SA"/>
        </w:rPr>
        <w:t>服务</w:t>
      </w:r>
      <w:r>
        <w:rPr>
          <w:rFonts w:hint="eastAsia" w:ascii="宋体" w:hAnsi="Cambria Math" w:eastAsia="宋体" w:cs="宋体"/>
          <w:b w:val="0"/>
          <w:bCs w:val="0"/>
          <w:color w:val="auto"/>
          <w:kern w:val="2"/>
          <w:sz w:val="24"/>
          <w:szCs w:val="24"/>
          <w:highlight w:val="none"/>
          <w:lang w:val="en-US" w:eastAsia="zh-CN" w:bidi="ar-SA"/>
        </w:rPr>
        <w:t>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eastAsia="宋体" w:cs="宋体"/>
          <w:b w:val="0"/>
          <w:bCs w:val="0"/>
          <w:color w:val="auto"/>
          <w:sz w:val="24"/>
          <w:szCs w:val="24"/>
          <w:highlight w:val="none"/>
          <w:lang w:eastAsia="zh-CN"/>
        </w:rPr>
      </w:pPr>
      <w:r>
        <w:rPr>
          <w:rFonts w:hint="eastAsia" w:ascii="宋体" w:cs="宋体"/>
          <w:b w:val="0"/>
          <w:bCs w:val="0"/>
          <w:color w:val="auto"/>
          <w:sz w:val="24"/>
          <w:szCs w:val="24"/>
          <w:highlight w:val="none"/>
          <w:lang w:val="en-US" w:eastAsia="zh-CN"/>
        </w:rPr>
        <w:t>7、</w:t>
      </w:r>
      <w:r>
        <w:rPr>
          <w:rFonts w:hint="eastAsia" w:ascii="宋体" w:cs="宋体"/>
          <w:b w:val="0"/>
          <w:bCs w:val="0"/>
          <w:color w:val="auto"/>
          <w:sz w:val="24"/>
          <w:szCs w:val="24"/>
          <w:highlight w:val="none"/>
        </w:rPr>
        <w:t>每季度</w:t>
      </w:r>
      <w:r>
        <w:rPr>
          <w:rFonts w:hint="eastAsia" w:ascii="宋体" w:cs="宋体"/>
          <w:b w:val="0"/>
          <w:bCs w:val="0"/>
          <w:color w:val="auto"/>
          <w:sz w:val="24"/>
          <w:szCs w:val="24"/>
          <w:highlight w:val="none"/>
          <w:lang w:val="en-US" w:eastAsia="zh-CN"/>
        </w:rPr>
        <w:t>向比选人提交</w:t>
      </w:r>
      <w:r>
        <w:rPr>
          <w:rFonts w:hint="eastAsia" w:ascii="宋体" w:cs="宋体"/>
          <w:b w:val="0"/>
          <w:bCs w:val="0"/>
          <w:color w:val="auto"/>
          <w:sz w:val="24"/>
          <w:szCs w:val="24"/>
          <w:highlight w:val="none"/>
        </w:rPr>
        <w:t>维护工作书面报告，每年向</w:t>
      </w:r>
      <w:r>
        <w:rPr>
          <w:rFonts w:hint="eastAsia" w:ascii="宋体" w:cs="宋体"/>
          <w:b w:val="0"/>
          <w:bCs w:val="0"/>
          <w:color w:val="auto"/>
          <w:sz w:val="24"/>
          <w:szCs w:val="24"/>
          <w:highlight w:val="none"/>
          <w:lang w:val="en-US" w:eastAsia="zh-CN"/>
        </w:rPr>
        <w:t>比选人</w:t>
      </w:r>
      <w:r>
        <w:rPr>
          <w:rFonts w:hint="eastAsia" w:ascii="宋体" w:cs="宋体"/>
          <w:b w:val="0"/>
          <w:bCs w:val="0"/>
          <w:color w:val="auto"/>
          <w:sz w:val="24"/>
          <w:szCs w:val="24"/>
          <w:highlight w:val="none"/>
        </w:rPr>
        <w:t>提交维护工作年终总结</w:t>
      </w:r>
      <w:r>
        <w:rPr>
          <w:rFonts w:hint="eastAsia" w:ascii="宋体" w:cs="宋体"/>
          <w:b w:val="0"/>
          <w:bCs w:val="0"/>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val="en-US" w:eastAsia="zh-CN"/>
        </w:rPr>
      </w:pPr>
      <w:r>
        <w:rPr>
          <w:rFonts w:hint="eastAsia" w:ascii="宋体" w:cs="宋体"/>
          <w:b w:val="0"/>
          <w:bCs w:val="0"/>
          <w:color w:val="auto"/>
          <w:sz w:val="24"/>
          <w:szCs w:val="24"/>
          <w:highlight w:val="none"/>
          <w:lang w:val="en-US" w:eastAsia="zh-CN"/>
        </w:rPr>
        <w:t>8、</w:t>
      </w:r>
      <w:r>
        <w:rPr>
          <w:rFonts w:hint="eastAsia" w:ascii="宋体"/>
          <w:color w:val="auto"/>
          <w:sz w:val="24"/>
          <w:szCs w:val="24"/>
          <w:highlight w:val="none"/>
          <w:lang w:eastAsia="zh-CN"/>
        </w:rPr>
        <w:t>参选人</w:t>
      </w:r>
      <w:r>
        <w:rPr>
          <w:rFonts w:hint="eastAsia" w:ascii="宋体"/>
          <w:color w:val="auto"/>
          <w:sz w:val="24"/>
          <w:szCs w:val="24"/>
          <w:highlight w:val="none"/>
          <w:lang w:val="en-US" w:eastAsia="zh-CN"/>
        </w:rPr>
        <w:t>能独立做</w:t>
      </w:r>
      <w:r>
        <w:rPr>
          <w:rFonts w:hint="eastAsia" w:ascii="宋体"/>
          <w:color w:val="auto"/>
          <w:sz w:val="24"/>
          <w:szCs w:val="24"/>
          <w:highlight w:val="none"/>
        </w:rPr>
        <w:t>好设备资产的管理，技术资料、图纸、技术文件的收集、整理等工作、对各种运行记录、维修维护记录和技术文档等进行审核、登记、编号，每年年底送</w:t>
      </w:r>
      <w:r>
        <w:rPr>
          <w:rFonts w:hint="eastAsia" w:ascii="宋体"/>
          <w:color w:val="auto"/>
          <w:sz w:val="24"/>
          <w:szCs w:val="24"/>
          <w:highlight w:val="none"/>
          <w:lang w:val="en-US" w:eastAsia="zh-CN"/>
        </w:rPr>
        <w:t>比选人</w:t>
      </w:r>
      <w:r>
        <w:rPr>
          <w:rFonts w:hint="eastAsia" w:ascii="宋体"/>
          <w:color w:val="auto"/>
          <w:sz w:val="24"/>
          <w:szCs w:val="24"/>
          <w:highlight w:val="none"/>
        </w:rPr>
        <w:t>归档</w:t>
      </w:r>
      <w:r>
        <w:rPr>
          <w:rFonts w:hint="eastAsia" w:ascii="宋体"/>
          <w:color w:val="auto"/>
          <w:sz w:val="24"/>
          <w:szCs w:val="24"/>
          <w:highlight w:val="none"/>
          <w:lang w:eastAsia="zh-CN"/>
        </w:rPr>
        <w:t>。</w:t>
      </w:r>
    </w:p>
    <w:p>
      <w:pPr>
        <w:spacing w:line="360" w:lineRule="auto"/>
        <w:ind w:firstLine="480" w:firstLineChars="200"/>
        <w:jc w:val="left"/>
        <w:outlineLvl w:val="1"/>
        <w:rPr>
          <w:rFonts w:hint="eastAsia" w:ascii="宋体" w:cs="宋体"/>
          <w:snapToGrid w:val="0"/>
          <w:color w:val="auto"/>
          <w:kern w:val="0"/>
          <w:sz w:val="24"/>
          <w:szCs w:val="24"/>
          <w:highlight w:val="none"/>
        </w:rPr>
      </w:pPr>
      <w:r>
        <w:rPr>
          <w:rFonts w:hint="eastAsia" w:ascii="宋体" w:cs="宋体"/>
          <w:snapToGrid w:val="0"/>
          <w:color w:val="auto"/>
          <w:kern w:val="0"/>
          <w:sz w:val="24"/>
          <w:szCs w:val="24"/>
          <w:highlight w:val="none"/>
          <w:lang w:val="en-US" w:eastAsia="zh-CN"/>
        </w:rPr>
        <w:t>9</w:t>
      </w:r>
      <w:r>
        <w:rPr>
          <w:rFonts w:hint="eastAsia" w:ascii="宋体" w:cs="宋体"/>
          <w:snapToGrid w:val="0"/>
          <w:color w:val="auto"/>
          <w:kern w:val="0"/>
          <w:sz w:val="24"/>
          <w:szCs w:val="24"/>
          <w:highlight w:val="none"/>
        </w:rPr>
        <w:t>、承诺对接触到的</w:t>
      </w:r>
      <w:r>
        <w:rPr>
          <w:rFonts w:hint="eastAsia" w:ascii="宋体" w:cs="宋体"/>
          <w:snapToGrid w:val="0"/>
          <w:color w:val="auto"/>
          <w:kern w:val="0"/>
          <w:sz w:val="24"/>
          <w:szCs w:val="24"/>
          <w:highlight w:val="none"/>
          <w:lang w:eastAsia="zh-CN"/>
        </w:rPr>
        <w:t>比选</w:t>
      </w:r>
      <w:r>
        <w:rPr>
          <w:rFonts w:hint="eastAsia" w:ascii="宋体" w:cs="宋体"/>
          <w:snapToGrid w:val="0"/>
          <w:color w:val="auto"/>
          <w:kern w:val="0"/>
          <w:sz w:val="24"/>
          <w:szCs w:val="24"/>
          <w:highlight w:val="none"/>
        </w:rPr>
        <w:t>人所有信息和数据保密。</w:t>
      </w:r>
    </w:p>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五、知识产权</w:t>
      </w:r>
    </w:p>
    <w:p>
      <w:pPr>
        <w:snapToGrid w:val="0"/>
        <w:spacing w:line="360" w:lineRule="auto"/>
        <w:ind w:firstLine="480" w:firstLineChars="200"/>
        <w:rPr>
          <w:rFonts w:cs="宋体"/>
          <w:b/>
          <w:color w:val="auto"/>
          <w:sz w:val="24"/>
          <w:szCs w:val="24"/>
          <w:highlight w:val="none"/>
        </w:rPr>
      </w:pPr>
      <w:r>
        <w:rPr>
          <w:rFonts w:hint="eastAsia" w:ascii="宋体" w:cs="宋体"/>
          <w:snapToGrid w:val="0"/>
          <w:color w:val="auto"/>
          <w:kern w:val="0"/>
          <w:sz w:val="24"/>
          <w:szCs w:val="24"/>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54"/>
    <w:bookmarkEnd w:id="58"/>
    <w:bookmarkEnd w:id="59"/>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六、其他</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1、参选人必须在参选文件中对以上条款和服务承诺明确列出，承诺内容必须达到本篇及比选文件其他条款的要求。</w:t>
      </w:r>
    </w:p>
    <w:p>
      <w:pPr>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2、其他未尽事宜由供需双方在合同中详细约定。</w:t>
      </w:r>
    </w:p>
    <w:p>
      <w:pPr>
        <w:spacing w:line="360" w:lineRule="auto"/>
        <w:ind w:firstLine="480" w:firstLineChars="200"/>
        <w:rPr>
          <w:rFonts w:ascii="宋体" w:cs="宋体"/>
          <w:snapToGrid w:val="0"/>
          <w:color w:val="auto"/>
          <w:kern w:val="0"/>
          <w:sz w:val="24"/>
          <w:szCs w:val="24"/>
          <w:highlight w:val="none"/>
        </w:rPr>
      </w:pPr>
    </w:p>
    <w:p>
      <w:pPr>
        <w:rPr>
          <w:rFonts w:hint="eastAsia"/>
          <w:color w:val="auto"/>
          <w:highlight w:val="none"/>
        </w:rPr>
      </w:pPr>
      <w:bookmarkStart w:id="60" w:name="_Toc15059428"/>
      <w:r>
        <w:rPr>
          <w:rFonts w:hint="eastAsia"/>
          <w:color w:val="auto"/>
          <w:highlight w:val="none"/>
        </w:rPr>
        <w:br w:type="page"/>
      </w:r>
    </w:p>
    <w:p>
      <w:pPr>
        <w:pStyle w:val="3"/>
        <w:spacing w:before="0"/>
        <w:ind w:right="0" w:rightChars="0"/>
        <w:rPr>
          <w:color w:val="auto"/>
          <w:highlight w:val="none"/>
        </w:rPr>
      </w:pPr>
      <w:bookmarkStart w:id="61" w:name="_Toc21204"/>
      <w:r>
        <w:rPr>
          <w:rFonts w:hint="eastAsia"/>
          <w:color w:val="auto"/>
          <w:highlight w:val="none"/>
        </w:rPr>
        <w:t xml:space="preserve">第五章 </w:t>
      </w:r>
      <w:r>
        <w:rPr>
          <w:rFonts w:hint="eastAsia"/>
          <w:color w:val="auto"/>
          <w:highlight w:val="none"/>
          <w:lang w:eastAsia="zh-CN"/>
        </w:rPr>
        <w:t>评审</w:t>
      </w:r>
      <w:r>
        <w:rPr>
          <w:rFonts w:hint="eastAsia"/>
          <w:color w:val="auto"/>
          <w:highlight w:val="none"/>
        </w:rPr>
        <w:t>方法、</w:t>
      </w:r>
      <w:r>
        <w:rPr>
          <w:rFonts w:hint="eastAsia"/>
          <w:color w:val="auto"/>
          <w:highlight w:val="none"/>
          <w:lang w:eastAsia="zh-CN"/>
        </w:rPr>
        <w:t>评审</w:t>
      </w:r>
      <w:r>
        <w:rPr>
          <w:rFonts w:hint="eastAsia"/>
          <w:color w:val="auto"/>
          <w:highlight w:val="none"/>
        </w:rPr>
        <w:t>标准和参选无效条款</w:t>
      </w:r>
      <w:bookmarkEnd w:id="60"/>
      <w:bookmarkEnd w:id="61"/>
      <w:bookmarkStart w:id="62" w:name="_Toc32178"/>
      <w:bookmarkStart w:id="63" w:name="_Toc440628922"/>
      <w:bookmarkStart w:id="64" w:name="_Toc275199616"/>
    </w:p>
    <w:p>
      <w:pPr>
        <w:spacing w:line="360" w:lineRule="auto"/>
        <w:ind w:firstLine="482" w:firstLineChars="200"/>
        <w:jc w:val="left"/>
        <w:outlineLvl w:val="1"/>
        <w:rPr>
          <w:rFonts w:ascii="宋体" w:hAnsi="宋体"/>
          <w:b/>
          <w:snapToGrid w:val="0"/>
          <w:color w:val="auto"/>
          <w:kern w:val="0"/>
          <w:sz w:val="24"/>
          <w:szCs w:val="24"/>
          <w:highlight w:val="none"/>
        </w:rPr>
      </w:pPr>
      <w:bookmarkStart w:id="65" w:name="_Toc89675155"/>
      <w:bookmarkStart w:id="66" w:name="_Toc15059429"/>
      <w:r>
        <w:rPr>
          <w:rFonts w:hint="eastAsia" w:ascii="宋体" w:hAnsi="宋体"/>
          <w:b/>
          <w:snapToGrid w:val="0"/>
          <w:color w:val="auto"/>
          <w:kern w:val="0"/>
          <w:sz w:val="24"/>
          <w:szCs w:val="24"/>
          <w:highlight w:val="none"/>
        </w:rPr>
        <w:t>一、</w:t>
      </w:r>
      <w:r>
        <w:rPr>
          <w:rFonts w:hint="eastAsia" w:ascii="宋体" w:hAnsi="宋体"/>
          <w:b/>
          <w:snapToGrid w:val="0"/>
          <w:color w:val="auto"/>
          <w:kern w:val="0"/>
          <w:sz w:val="24"/>
          <w:szCs w:val="24"/>
          <w:highlight w:val="none"/>
          <w:lang w:eastAsia="zh-CN"/>
        </w:rPr>
        <w:t>评审</w:t>
      </w:r>
      <w:r>
        <w:rPr>
          <w:rFonts w:hint="eastAsia" w:ascii="宋体" w:hAnsi="宋体"/>
          <w:b/>
          <w:snapToGrid w:val="0"/>
          <w:color w:val="auto"/>
          <w:kern w:val="0"/>
          <w:sz w:val="24"/>
          <w:szCs w:val="24"/>
          <w:highlight w:val="none"/>
        </w:rPr>
        <w:t>方法</w:t>
      </w:r>
      <w:bookmarkEnd w:id="62"/>
      <w:bookmarkEnd w:id="63"/>
      <w:bookmarkEnd w:id="64"/>
      <w:bookmarkEnd w:id="65"/>
      <w:bookmarkEnd w:id="66"/>
    </w:p>
    <w:p>
      <w:pPr>
        <w:autoSpaceDE w:val="0"/>
        <w:autoSpaceDN w:val="0"/>
        <w:spacing w:line="360" w:lineRule="auto"/>
        <w:ind w:firstLine="480" w:firstLineChars="200"/>
        <w:jc w:val="left"/>
        <w:outlineLvl w:val="1"/>
        <w:rPr>
          <w:rFonts w:cs="宋体"/>
          <w:color w:val="auto"/>
          <w:sz w:val="24"/>
          <w:szCs w:val="24"/>
          <w:highlight w:val="none"/>
        </w:rPr>
      </w:pPr>
      <w:r>
        <w:rPr>
          <w:rFonts w:hint="eastAsia" w:cs="宋体"/>
          <w:color w:val="auto"/>
          <w:sz w:val="24"/>
          <w:szCs w:val="24"/>
          <w:highlight w:val="none"/>
        </w:rPr>
        <w:t>（一）</w:t>
      </w:r>
      <w:r>
        <w:rPr>
          <w:rFonts w:hint="eastAsia" w:cs="宋体"/>
          <w:color w:val="auto"/>
          <w:sz w:val="24"/>
          <w:szCs w:val="24"/>
          <w:highlight w:val="none"/>
          <w:lang w:eastAsia="zh-CN"/>
        </w:rPr>
        <w:t>评审</w:t>
      </w:r>
      <w:r>
        <w:rPr>
          <w:rFonts w:hint="eastAsia" w:cs="宋体"/>
          <w:color w:val="auto"/>
          <w:sz w:val="24"/>
          <w:szCs w:val="24"/>
          <w:highlight w:val="none"/>
        </w:rPr>
        <w:t>方法定义</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本项目采用综合评分法进行</w:t>
      </w:r>
      <w:r>
        <w:rPr>
          <w:rFonts w:hint="eastAsia" w:ascii="宋体" w:cs="宋体"/>
          <w:snapToGrid w:val="0"/>
          <w:color w:val="auto"/>
          <w:kern w:val="0"/>
          <w:sz w:val="24"/>
          <w:szCs w:val="24"/>
          <w:highlight w:val="none"/>
          <w:lang w:eastAsia="zh-CN"/>
        </w:rPr>
        <w:t>评审</w:t>
      </w:r>
      <w:r>
        <w:rPr>
          <w:rFonts w:hint="eastAsia" w:ascii="宋体" w:cs="宋体"/>
          <w:snapToGrid w:val="0"/>
          <w:color w:val="auto"/>
          <w:kern w:val="0"/>
          <w:sz w:val="24"/>
          <w:szCs w:val="24"/>
          <w:highlight w:val="none"/>
        </w:rPr>
        <w:t>。综合评分法是指在最大限度地满足比选文件实质性要求前提下，按照比选文件中规定的各项评分因素进行综合评审后，以</w:t>
      </w:r>
      <w:r>
        <w:rPr>
          <w:rFonts w:hint="eastAsia" w:ascii="宋体" w:cs="宋体"/>
          <w:snapToGrid w:val="0"/>
          <w:color w:val="auto"/>
          <w:kern w:val="0"/>
          <w:sz w:val="24"/>
          <w:szCs w:val="24"/>
          <w:highlight w:val="none"/>
          <w:lang w:eastAsia="zh-CN"/>
        </w:rPr>
        <w:t>评审</w:t>
      </w:r>
      <w:r>
        <w:rPr>
          <w:rFonts w:hint="eastAsia" w:ascii="宋体" w:cs="宋体"/>
          <w:snapToGrid w:val="0"/>
          <w:color w:val="auto"/>
          <w:kern w:val="0"/>
          <w:sz w:val="24"/>
          <w:szCs w:val="24"/>
          <w:highlight w:val="none"/>
        </w:rPr>
        <w:t>总得分最高的参选人作为中选候选人。参选人总得分为价格、商务、技术等评定因素分别按照相应权重值计算分项得分后相加，满分为100分。若参与比选供应商不足三家，经评审委员会判定，响应单位参选人具有相对行业竞争力的，</w:t>
      </w:r>
      <w:r>
        <w:rPr>
          <w:rFonts w:hint="eastAsia" w:ascii="宋体" w:eastAsia="宋体" w:cs="宋体"/>
          <w:snapToGrid w:val="0"/>
          <w:color w:val="auto"/>
          <w:kern w:val="0"/>
          <w:sz w:val="24"/>
          <w:szCs w:val="24"/>
          <w:highlight w:val="none"/>
        </w:rPr>
        <w:t>可继续进行评审。</w:t>
      </w:r>
    </w:p>
    <w:p>
      <w:pPr>
        <w:autoSpaceDE w:val="0"/>
        <w:autoSpaceDN w:val="0"/>
        <w:spacing w:line="360" w:lineRule="auto"/>
        <w:ind w:firstLine="480" w:firstLineChars="200"/>
        <w:jc w:val="left"/>
        <w:outlineLvl w:val="1"/>
        <w:rPr>
          <w:rFonts w:cs="宋体"/>
          <w:color w:val="auto"/>
          <w:sz w:val="24"/>
          <w:szCs w:val="24"/>
          <w:highlight w:val="none"/>
        </w:rPr>
      </w:pPr>
      <w:r>
        <w:rPr>
          <w:rFonts w:hint="eastAsia" w:cs="宋体"/>
          <w:color w:val="auto"/>
          <w:sz w:val="24"/>
          <w:szCs w:val="24"/>
          <w:highlight w:val="none"/>
        </w:rPr>
        <w:t>（二）</w:t>
      </w:r>
      <w:r>
        <w:rPr>
          <w:rFonts w:hint="eastAsia" w:cs="宋体"/>
          <w:color w:val="auto"/>
          <w:sz w:val="24"/>
          <w:szCs w:val="24"/>
          <w:highlight w:val="none"/>
          <w:lang w:eastAsia="zh-CN"/>
        </w:rPr>
        <w:t>评审</w:t>
      </w:r>
      <w:r>
        <w:rPr>
          <w:rFonts w:hint="eastAsia" w:cs="宋体"/>
          <w:color w:val="auto"/>
          <w:sz w:val="24"/>
          <w:szCs w:val="24"/>
          <w:highlight w:val="none"/>
        </w:rPr>
        <w:t>程序</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lang w:eastAsia="zh-CN"/>
        </w:rPr>
        <w:t>评审</w:t>
      </w:r>
      <w:r>
        <w:rPr>
          <w:rFonts w:hint="eastAsia" w:ascii="宋体" w:cs="宋体"/>
          <w:snapToGrid w:val="0"/>
          <w:color w:val="auto"/>
          <w:kern w:val="0"/>
          <w:sz w:val="24"/>
          <w:szCs w:val="24"/>
          <w:highlight w:val="none"/>
        </w:rPr>
        <w:t>工作由比选人依法组建的评审委员会进行，负责具体</w:t>
      </w:r>
      <w:r>
        <w:rPr>
          <w:rFonts w:hint="eastAsia" w:ascii="宋体" w:cs="宋体"/>
          <w:snapToGrid w:val="0"/>
          <w:color w:val="auto"/>
          <w:kern w:val="0"/>
          <w:sz w:val="24"/>
          <w:szCs w:val="24"/>
          <w:highlight w:val="none"/>
          <w:lang w:eastAsia="zh-CN"/>
        </w:rPr>
        <w:t>评审</w:t>
      </w:r>
      <w:r>
        <w:rPr>
          <w:rFonts w:hint="eastAsia" w:ascii="宋体" w:cs="宋体"/>
          <w:snapToGrid w:val="0"/>
          <w:color w:val="auto"/>
          <w:kern w:val="0"/>
          <w:sz w:val="24"/>
          <w:szCs w:val="24"/>
          <w:highlight w:val="none"/>
        </w:rPr>
        <w:t>事务。按以下程序独立履行评审职责：</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1、资格性检查。依据法律法规和比选文件的规定，对参选文件中的资格证明、参选保证金等进行审查，以确定参选人是否具备参选资格。资格性检查资料表如下：</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4603"/>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spacing w:line="360" w:lineRule="auto"/>
              <w:jc w:val="center"/>
              <w:rPr>
                <w:rFonts w:ascii="Times New Roman" w:hAnsi="Times New Roman" w:cs="Times New Roman"/>
                <w:b/>
                <w:snapToGrid w:val="0"/>
                <w:color w:val="auto"/>
                <w:kern w:val="0"/>
                <w:sz w:val="20"/>
                <w:szCs w:val="21"/>
                <w:highlight w:val="none"/>
              </w:rPr>
            </w:pPr>
            <w:r>
              <w:rPr>
                <w:rFonts w:ascii="Times New Roman" w:hAnsi="Times New Roman" w:cs="Times New Roman"/>
                <w:b/>
                <w:snapToGrid w:val="0"/>
                <w:color w:val="auto"/>
                <w:kern w:val="0"/>
                <w:sz w:val="20"/>
                <w:szCs w:val="21"/>
                <w:highlight w:val="none"/>
              </w:rPr>
              <w:t>序号</w:t>
            </w:r>
          </w:p>
        </w:tc>
        <w:tc>
          <w:tcPr>
            <w:tcW w:w="5319" w:type="dxa"/>
            <w:gridSpan w:val="2"/>
            <w:vAlign w:val="center"/>
          </w:tcPr>
          <w:p>
            <w:pPr>
              <w:spacing w:line="360" w:lineRule="auto"/>
              <w:jc w:val="center"/>
              <w:rPr>
                <w:rFonts w:hint="eastAsia" w:ascii="宋体" w:hAnsi="宋体" w:cs="宋体"/>
                <w:b/>
                <w:snapToGrid w:val="0"/>
                <w:color w:val="auto"/>
                <w:kern w:val="0"/>
                <w:sz w:val="20"/>
                <w:szCs w:val="21"/>
                <w:highlight w:val="none"/>
              </w:rPr>
            </w:pPr>
            <w:r>
              <w:rPr>
                <w:rFonts w:hint="eastAsia" w:ascii="宋体" w:hAnsi="宋体" w:cs="宋体"/>
                <w:b/>
                <w:snapToGrid w:val="0"/>
                <w:color w:val="auto"/>
                <w:kern w:val="0"/>
                <w:sz w:val="20"/>
                <w:szCs w:val="21"/>
                <w:highlight w:val="none"/>
              </w:rPr>
              <w:t>检查因素</w:t>
            </w:r>
          </w:p>
        </w:tc>
        <w:tc>
          <w:tcPr>
            <w:tcW w:w="3719" w:type="dxa"/>
            <w:vAlign w:val="center"/>
          </w:tcPr>
          <w:p>
            <w:pPr>
              <w:spacing w:line="360" w:lineRule="auto"/>
              <w:jc w:val="center"/>
              <w:rPr>
                <w:rFonts w:hint="eastAsia" w:ascii="宋体" w:hAnsi="宋体" w:cs="宋体"/>
                <w:b/>
                <w:snapToGrid w:val="0"/>
                <w:color w:val="auto"/>
                <w:kern w:val="0"/>
                <w:sz w:val="20"/>
                <w:szCs w:val="21"/>
                <w:highlight w:val="none"/>
              </w:rPr>
            </w:pPr>
            <w:r>
              <w:rPr>
                <w:rFonts w:hint="eastAsia" w:ascii="宋体" w:hAnsi="宋体" w:cs="宋体"/>
                <w:b/>
                <w:snapToGrid w:val="0"/>
                <w:color w:val="auto"/>
                <w:kern w:val="0"/>
                <w:sz w:val="20"/>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spacing w:line="360" w:lineRule="auto"/>
              <w:jc w:val="center"/>
              <w:rPr>
                <w:rFonts w:ascii="Times New Roman" w:hAnsi="Times New Roman" w:cs="Times New Roman"/>
                <w:snapToGrid w:val="0"/>
                <w:color w:val="auto"/>
                <w:kern w:val="0"/>
                <w:sz w:val="20"/>
                <w:szCs w:val="21"/>
                <w:highlight w:val="none"/>
                <w:lang w:val="zh-CN"/>
              </w:rPr>
            </w:pPr>
            <w:r>
              <w:rPr>
                <w:rFonts w:ascii="Times New Roman" w:hAnsi="Times New Roman" w:cs="Times New Roman"/>
                <w:snapToGrid w:val="0"/>
                <w:color w:val="auto"/>
                <w:kern w:val="0"/>
                <w:sz w:val="20"/>
                <w:szCs w:val="21"/>
                <w:highlight w:val="none"/>
                <w:lang w:val="zh-CN"/>
              </w:rPr>
              <w:t>1</w:t>
            </w:r>
          </w:p>
        </w:tc>
        <w:tc>
          <w:tcPr>
            <w:tcW w:w="716" w:type="dxa"/>
            <w:vMerge w:val="restart"/>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基本资格条 件</w:t>
            </w: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（1）具有独立承担民事责任的能力</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lang w:eastAsia="zh-CN"/>
              </w:rPr>
              <w:t>参选</w:t>
            </w:r>
            <w:r>
              <w:rPr>
                <w:rFonts w:hint="eastAsia" w:ascii="宋体" w:hAnsi="宋体" w:cs="宋体"/>
                <w:snapToGrid w:val="0"/>
                <w:color w:val="auto"/>
                <w:kern w:val="0"/>
                <w:sz w:val="20"/>
                <w:szCs w:val="21"/>
                <w:highlight w:val="none"/>
              </w:rPr>
              <w:t>人有效营业执照（副本）、直属的分支机构（直属的分支机构参与</w:t>
            </w:r>
            <w:r>
              <w:rPr>
                <w:rFonts w:hint="eastAsia" w:ascii="宋体" w:hAnsi="宋体" w:cs="宋体"/>
                <w:snapToGrid w:val="0"/>
                <w:color w:val="auto"/>
                <w:kern w:val="0"/>
                <w:sz w:val="20"/>
                <w:szCs w:val="21"/>
                <w:highlight w:val="none"/>
                <w:lang w:eastAsia="zh-CN"/>
              </w:rPr>
              <w:t>参选</w:t>
            </w:r>
            <w:r>
              <w:rPr>
                <w:rFonts w:hint="eastAsia" w:ascii="宋体" w:hAnsi="宋体" w:cs="宋体"/>
                <w:snapToGrid w:val="0"/>
                <w:color w:val="auto"/>
                <w:kern w:val="0"/>
                <w:sz w:val="20"/>
                <w:szCs w:val="21"/>
                <w:highlight w:val="none"/>
              </w:rPr>
              <w:t>必须总公司的授权委托书）或事业单位法人证书（副本）或个体工商户营业执照或有效的自然人身份证明；</w:t>
            </w:r>
          </w:p>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lang w:eastAsia="zh-CN"/>
              </w:rPr>
              <w:t>参选</w:t>
            </w:r>
            <w:r>
              <w:rPr>
                <w:rFonts w:hint="eastAsia" w:ascii="宋体" w:hAnsi="宋体" w:cs="宋体"/>
                <w:snapToGrid w:val="0"/>
                <w:color w:val="auto"/>
                <w:kern w:val="0"/>
                <w:sz w:val="20"/>
                <w:szCs w:val="21"/>
                <w:highlight w:val="none"/>
              </w:rPr>
              <w:t>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lang w:val="zh-CN"/>
              </w:rPr>
              <w:t>（2）</w:t>
            </w:r>
            <w:r>
              <w:rPr>
                <w:rFonts w:hint="eastAsia" w:ascii="宋体" w:hAnsi="宋体" w:cs="宋体"/>
                <w:snapToGrid w:val="0"/>
                <w:color w:val="auto"/>
                <w:kern w:val="0"/>
                <w:sz w:val="20"/>
                <w:szCs w:val="21"/>
                <w:highlight w:val="none"/>
              </w:rPr>
              <w:t>具有良好的商业信誉和健全的财务会计制度</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（3）具有履行合同所必需的设备和专业技术能力</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（4）有依法缴纳税收和社会保障金的良好记录</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w:t>
            </w:r>
            <w:r>
              <w:rPr>
                <w:rFonts w:hint="eastAsia" w:ascii="宋体" w:hAnsi="宋体" w:cs="宋体"/>
                <w:snapToGrid w:val="0"/>
                <w:color w:val="auto"/>
                <w:kern w:val="0"/>
                <w:sz w:val="20"/>
                <w:szCs w:val="21"/>
                <w:highlight w:val="none"/>
              </w:rPr>
              <w:t>5</w:t>
            </w:r>
            <w:r>
              <w:rPr>
                <w:rFonts w:hint="eastAsia" w:ascii="宋体" w:hAnsi="宋体" w:cs="宋体"/>
                <w:snapToGrid w:val="0"/>
                <w:color w:val="auto"/>
                <w:kern w:val="0"/>
                <w:sz w:val="20"/>
                <w:szCs w:val="21"/>
                <w:highlight w:val="none"/>
                <w:lang w:val="zh-CN"/>
              </w:rPr>
              <w:t>）三年内在经营活动中没有重大违法记录</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w:t>
            </w:r>
            <w:r>
              <w:rPr>
                <w:rFonts w:hint="eastAsia" w:ascii="宋体" w:hAnsi="宋体" w:cs="宋体"/>
                <w:snapToGrid w:val="0"/>
                <w:color w:val="auto"/>
                <w:kern w:val="0"/>
                <w:sz w:val="20"/>
                <w:szCs w:val="21"/>
                <w:highlight w:val="none"/>
              </w:rPr>
              <w:t>6</w:t>
            </w:r>
            <w:r>
              <w:rPr>
                <w:rFonts w:hint="eastAsia" w:ascii="宋体" w:hAnsi="宋体" w:cs="宋体"/>
                <w:snapToGrid w:val="0"/>
                <w:color w:val="auto"/>
                <w:kern w:val="0"/>
                <w:sz w:val="20"/>
                <w:szCs w:val="21"/>
                <w:highlight w:val="none"/>
                <w:lang w:val="zh-CN"/>
              </w:rPr>
              <w:t>）法人及法定代表人没有被人民法院列为失信被执行人名单</w:t>
            </w:r>
          </w:p>
        </w:tc>
        <w:tc>
          <w:tcPr>
            <w:tcW w:w="3719" w:type="dxa"/>
            <w:vAlign w:val="center"/>
          </w:tcPr>
          <w:p>
            <w:pPr>
              <w:spacing w:line="360" w:lineRule="auto"/>
              <w:rPr>
                <w:rFonts w:hint="eastAsia" w:ascii="宋体" w:hAnsi="宋体" w:cs="宋体"/>
                <w:snapToGrid w:val="0"/>
                <w:color w:val="auto"/>
                <w:kern w:val="0"/>
                <w:sz w:val="20"/>
                <w:szCs w:val="21"/>
                <w:highlight w:val="none"/>
              </w:rPr>
            </w:pPr>
            <w:r>
              <w:rPr>
                <w:rFonts w:hint="eastAsia" w:ascii="宋体" w:hAnsi="宋体" w:cs="宋体"/>
                <w:snapToGrid w:val="0"/>
                <w:color w:val="auto"/>
                <w:kern w:val="0"/>
                <w:sz w:val="20"/>
                <w:szCs w:val="21"/>
                <w:highlight w:val="none"/>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82" w:type="dxa"/>
            <w:vMerge w:val="restart"/>
            <w:vAlign w:val="center"/>
          </w:tcPr>
          <w:p>
            <w:pPr>
              <w:spacing w:line="360" w:lineRule="auto"/>
              <w:jc w:val="center"/>
              <w:rPr>
                <w:rFonts w:ascii="Times New Roman" w:hAnsi="Times New Roman" w:cs="Times New Roman"/>
                <w:snapToGrid w:val="0"/>
                <w:color w:val="auto"/>
                <w:kern w:val="0"/>
                <w:sz w:val="20"/>
                <w:szCs w:val="21"/>
                <w:highlight w:val="none"/>
              </w:rPr>
            </w:pPr>
            <w:r>
              <w:rPr>
                <w:rFonts w:ascii="Times New Roman" w:hAnsi="Times New Roman" w:cs="Times New Roman"/>
                <w:snapToGrid w:val="0"/>
                <w:color w:val="auto"/>
                <w:kern w:val="0"/>
                <w:sz w:val="20"/>
                <w:szCs w:val="21"/>
                <w:highlight w:val="none"/>
              </w:rPr>
              <w:t>2</w:t>
            </w:r>
          </w:p>
        </w:tc>
        <w:tc>
          <w:tcPr>
            <w:tcW w:w="716"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snapToGrid w:val="0"/>
                <w:color w:val="auto"/>
                <w:kern w:val="0"/>
                <w:sz w:val="20"/>
                <w:szCs w:val="21"/>
                <w:highlight w:val="none"/>
              </w:rPr>
            </w:pPr>
            <w:r>
              <w:rPr>
                <w:rFonts w:hint="eastAsia" w:ascii="宋体" w:hAnsi="宋体" w:eastAsia="宋体" w:cs="宋体"/>
                <w:snapToGrid w:val="0"/>
                <w:color w:val="auto"/>
                <w:kern w:val="0"/>
                <w:sz w:val="20"/>
                <w:szCs w:val="21"/>
                <w:highlight w:val="none"/>
                <w:lang w:val="zh-CN"/>
              </w:rPr>
              <w:t>特定资格条件</w:t>
            </w:r>
          </w:p>
        </w:tc>
        <w:tc>
          <w:tcPr>
            <w:tcW w:w="4603"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rPr>
                <w:rFonts w:hint="eastAsia" w:ascii="宋体" w:hAnsi="宋体" w:eastAsia="宋体" w:cs="宋体"/>
                <w:snapToGrid w:val="0"/>
                <w:color w:val="auto"/>
                <w:kern w:val="0"/>
                <w:sz w:val="20"/>
                <w:szCs w:val="21"/>
                <w:highlight w:val="none"/>
                <w:lang w:val="en-US" w:eastAsia="zh-CN"/>
              </w:rPr>
            </w:pPr>
            <w:r>
              <w:rPr>
                <w:rFonts w:hint="eastAsia" w:ascii="宋体" w:hAnsi="宋体" w:eastAsia="宋体" w:cs="宋体"/>
                <w:snapToGrid w:val="0"/>
                <w:color w:val="auto"/>
                <w:kern w:val="0"/>
                <w:sz w:val="20"/>
                <w:szCs w:val="21"/>
                <w:highlight w:val="none"/>
                <w:lang w:val="zh-CN"/>
              </w:rPr>
              <w:t>（1）20</w:t>
            </w:r>
            <w:r>
              <w:rPr>
                <w:rFonts w:hint="eastAsia" w:ascii="宋体" w:hAnsi="宋体" w:eastAsia="宋体" w:cs="宋体"/>
                <w:snapToGrid w:val="0"/>
                <w:color w:val="auto"/>
                <w:kern w:val="0"/>
                <w:sz w:val="20"/>
                <w:szCs w:val="21"/>
                <w:highlight w:val="none"/>
                <w:lang w:val="en-US" w:eastAsia="zh-CN"/>
              </w:rPr>
              <w:t>2</w:t>
            </w:r>
            <w:r>
              <w:rPr>
                <w:rFonts w:hint="eastAsia" w:ascii="宋体" w:hAnsi="宋体" w:eastAsia="宋体" w:cs="宋体"/>
                <w:snapToGrid w:val="0"/>
                <w:color w:val="auto"/>
                <w:kern w:val="0"/>
                <w:sz w:val="20"/>
                <w:szCs w:val="21"/>
                <w:highlight w:val="none"/>
                <w:lang w:val="zh-CN" w:eastAsia="zh-CN"/>
              </w:rPr>
              <w:t>1</w:t>
            </w:r>
            <w:r>
              <w:rPr>
                <w:rFonts w:hint="eastAsia" w:ascii="宋体" w:hAnsi="宋体" w:eastAsia="宋体" w:cs="宋体"/>
                <w:snapToGrid w:val="0"/>
                <w:color w:val="auto"/>
                <w:kern w:val="0"/>
                <w:sz w:val="20"/>
                <w:szCs w:val="21"/>
                <w:highlight w:val="none"/>
                <w:lang w:val="zh-CN"/>
              </w:rPr>
              <w:t>年</w:t>
            </w:r>
            <w:r>
              <w:rPr>
                <w:rFonts w:hint="eastAsia" w:ascii="宋体" w:hAnsi="宋体" w:eastAsia="宋体" w:cs="宋体"/>
                <w:snapToGrid w:val="0"/>
                <w:color w:val="auto"/>
                <w:kern w:val="0"/>
                <w:sz w:val="20"/>
                <w:szCs w:val="21"/>
                <w:highlight w:val="none"/>
                <w:lang w:val="en-US" w:eastAsia="zh-CN"/>
              </w:rPr>
              <w:t>1</w:t>
            </w:r>
            <w:r>
              <w:rPr>
                <w:rFonts w:hint="eastAsia" w:ascii="宋体" w:hAnsi="宋体" w:eastAsia="宋体" w:cs="宋体"/>
                <w:snapToGrid w:val="0"/>
                <w:color w:val="auto"/>
                <w:kern w:val="0"/>
                <w:sz w:val="20"/>
                <w:szCs w:val="21"/>
                <w:highlight w:val="none"/>
                <w:lang w:val="zh-CN"/>
              </w:rPr>
              <w:t>月1日至今，</w:t>
            </w:r>
            <w:r>
              <w:rPr>
                <w:rFonts w:hint="eastAsia" w:ascii="宋体" w:hAnsi="宋体" w:eastAsia="宋体" w:cs="宋体"/>
                <w:snapToGrid w:val="0"/>
                <w:color w:val="auto"/>
                <w:kern w:val="0"/>
                <w:sz w:val="20"/>
                <w:szCs w:val="21"/>
                <w:highlight w:val="none"/>
                <w:lang w:val="en-US" w:eastAsia="zh-CN"/>
              </w:rPr>
              <w:t>具有1例</w:t>
            </w:r>
            <w:r>
              <w:rPr>
                <w:rFonts w:hint="eastAsia" w:ascii="宋体" w:hAnsi="宋体" w:eastAsia="宋体" w:cs="宋体"/>
                <w:snapToGrid w:val="0"/>
                <w:color w:val="auto"/>
                <w:kern w:val="0"/>
                <w:sz w:val="20"/>
                <w:szCs w:val="21"/>
                <w:highlight w:val="none"/>
                <w:lang w:val="zh-CN" w:eastAsia="zh-CN"/>
              </w:rPr>
              <w:t>银行同业</w:t>
            </w:r>
            <w:r>
              <w:rPr>
                <w:rFonts w:hint="eastAsia" w:ascii="宋体" w:hAnsi="宋体" w:eastAsia="宋体" w:cs="宋体"/>
                <w:snapToGrid w:val="0"/>
                <w:color w:val="auto"/>
                <w:kern w:val="0"/>
                <w:sz w:val="20"/>
                <w:szCs w:val="21"/>
                <w:highlight w:val="none"/>
                <w:lang w:val="zh-CN"/>
              </w:rPr>
              <w:t>实施案例(需提供合同复印件和</w:t>
            </w:r>
            <w:r>
              <w:rPr>
                <w:rFonts w:hint="eastAsia" w:ascii="宋体" w:hAnsi="宋体" w:eastAsia="宋体" w:cs="宋体"/>
                <w:snapToGrid w:val="0"/>
                <w:color w:val="auto"/>
                <w:kern w:val="0"/>
                <w:sz w:val="20"/>
                <w:szCs w:val="21"/>
                <w:highlight w:val="none"/>
                <w:lang w:val="en-US" w:eastAsia="zh-CN"/>
              </w:rPr>
              <w:t>项目简介</w:t>
            </w:r>
            <w:r>
              <w:rPr>
                <w:rFonts w:hint="eastAsia" w:ascii="宋体" w:hAnsi="宋体" w:eastAsia="宋体" w:cs="宋体"/>
                <w:snapToGrid w:val="0"/>
                <w:color w:val="auto"/>
                <w:kern w:val="0"/>
                <w:sz w:val="20"/>
                <w:szCs w:val="21"/>
                <w:highlight w:val="none"/>
                <w:lang w:val="zh-CN" w:eastAsia="zh-CN"/>
              </w:rPr>
              <w:t>、</w:t>
            </w:r>
            <w:r>
              <w:rPr>
                <w:rFonts w:hint="eastAsia" w:ascii="宋体" w:hAnsi="宋体" w:eastAsia="宋体" w:cs="宋体"/>
                <w:snapToGrid w:val="0"/>
                <w:color w:val="auto"/>
                <w:kern w:val="0"/>
                <w:sz w:val="20"/>
                <w:szCs w:val="21"/>
                <w:highlight w:val="none"/>
                <w:lang w:val="en-US" w:eastAsia="zh-CN"/>
              </w:rPr>
              <w:t>发票</w:t>
            </w:r>
            <w:r>
              <w:rPr>
                <w:rFonts w:hint="eastAsia" w:ascii="宋体" w:hAnsi="宋体" w:eastAsia="宋体" w:cs="宋体"/>
                <w:snapToGrid w:val="0"/>
                <w:color w:val="auto"/>
                <w:kern w:val="0"/>
                <w:sz w:val="20"/>
                <w:szCs w:val="21"/>
                <w:highlight w:val="none"/>
                <w:lang w:val="zh-CN"/>
              </w:rPr>
              <w:t>)。低于</w:t>
            </w:r>
            <w:r>
              <w:rPr>
                <w:rFonts w:hint="eastAsia" w:ascii="宋体" w:hAnsi="宋体" w:eastAsia="宋体" w:cs="宋体"/>
                <w:snapToGrid w:val="0"/>
                <w:color w:val="auto"/>
                <w:kern w:val="0"/>
                <w:sz w:val="20"/>
                <w:szCs w:val="21"/>
                <w:highlight w:val="none"/>
                <w:lang w:val="en-US" w:eastAsia="zh-CN"/>
              </w:rPr>
              <w:t>1</w:t>
            </w:r>
            <w:r>
              <w:rPr>
                <w:rFonts w:hint="eastAsia" w:ascii="宋体" w:hAnsi="宋体" w:eastAsia="宋体" w:cs="宋体"/>
                <w:snapToGrid w:val="0"/>
                <w:color w:val="auto"/>
                <w:kern w:val="0"/>
                <w:sz w:val="20"/>
                <w:szCs w:val="21"/>
                <w:highlight w:val="none"/>
                <w:lang w:val="zh-CN"/>
              </w:rPr>
              <w:t>个案例（不含</w:t>
            </w:r>
            <w:r>
              <w:rPr>
                <w:rFonts w:hint="eastAsia" w:ascii="宋体" w:hAnsi="宋体" w:eastAsia="宋体" w:cs="宋体"/>
                <w:snapToGrid w:val="0"/>
                <w:color w:val="auto"/>
                <w:kern w:val="0"/>
                <w:sz w:val="20"/>
                <w:szCs w:val="21"/>
                <w:highlight w:val="none"/>
                <w:lang w:val="en-US" w:eastAsia="zh-CN"/>
              </w:rPr>
              <w:t>1</w:t>
            </w:r>
            <w:r>
              <w:rPr>
                <w:rFonts w:hint="eastAsia" w:ascii="宋体" w:hAnsi="宋体" w:eastAsia="宋体" w:cs="宋体"/>
                <w:snapToGrid w:val="0"/>
                <w:color w:val="auto"/>
                <w:kern w:val="0"/>
                <w:sz w:val="20"/>
                <w:szCs w:val="21"/>
                <w:highlight w:val="none"/>
                <w:lang w:val="zh-CN"/>
              </w:rPr>
              <w:t>个）取消参选资质。</w:t>
            </w:r>
          </w:p>
        </w:tc>
        <w:tc>
          <w:tcPr>
            <w:tcW w:w="3719" w:type="dxa"/>
            <w:vAlign w:val="center"/>
          </w:tcPr>
          <w:p>
            <w:pPr>
              <w:keepNext w:val="0"/>
              <w:keepLines w:val="0"/>
              <w:widowControl w:val="0"/>
              <w:suppressLineNumbers w:val="0"/>
              <w:spacing w:before="0" w:beforeAutospacing="0" w:after="0" w:afterAutospacing="0" w:line="360" w:lineRule="auto"/>
              <w:ind w:left="0" w:right="0"/>
              <w:rPr>
                <w:rFonts w:hint="eastAsia" w:ascii="宋体" w:hAnsi="宋体" w:eastAsia="宋体" w:cs="宋体"/>
                <w:snapToGrid w:val="0"/>
                <w:color w:val="auto"/>
                <w:kern w:val="0"/>
                <w:sz w:val="20"/>
                <w:szCs w:val="21"/>
                <w:highlight w:val="none"/>
                <w:lang w:val="zh-CN"/>
              </w:rPr>
            </w:pPr>
            <w:r>
              <w:rPr>
                <w:rFonts w:hint="eastAsia" w:ascii="宋体" w:hAnsi="宋体" w:eastAsia="宋体" w:cs="宋体"/>
                <w:snapToGrid w:val="0"/>
                <w:color w:val="auto"/>
                <w:kern w:val="0"/>
                <w:sz w:val="20"/>
                <w:szCs w:val="21"/>
                <w:highlight w:val="none"/>
                <w:lang w:val="zh-CN" w:eastAsia="zh-CN"/>
              </w:rPr>
              <w:t>案例须同时提供合同关键页复印件、合同对应的发票之一和网上税务系统查询该发票截图。（发票开具日期须晚于合同签订日期、发票购买方须与合同买方一致、发票销售方须与合同卖方（参选人）一致）。以上证明文件若采购人存疑，参选人需提供原件备查,参选文件中须附相关证明文件复印件并逐页加盖公章</w:t>
            </w:r>
            <w:r>
              <w:rPr>
                <w:rFonts w:hint="eastAsia" w:ascii="宋体" w:hAnsi="宋体" w:cs="宋体"/>
                <w:snapToGrid w:val="0"/>
                <w:color w:val="auto"/>
                <w:kern w:val="0"/>
                <w:sz w:val="20"/>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rPr>
                <w:rFonts w:hint="eastAsia" w:ascii="宋体" w:hAnsi="宋体" w:cs="宋体"/>
                <w:snapToGrid w:val="0"/>
                <w:color w:val="auto"/>
                <w:kern w:val="0"/>
                <w:sz w:val="20"/>
                <w:szCs w:val="21"/>
                <w:highlight w:val="none"/>
                <w:lang w:val="en-US" w:eastAsia="zh-CN"/>
              </w:rPr>
            </w:pPr>
            <w:r>
              <w:rPr>
                <w:rFonts w:hint="eastAsia" w:ascii="宋体" w:hAnsi="宋体" w:cs="宋体"/>
                <w:snapToGrid w:val="0"/>
                <w:color w:val="auto"/>
                <w:kern w:val="0"/>
                <w:sz w:val="20"/>
                <w:szCs w:val="21"/>
                <w:highlight w:val="none"/>
                <w:lang w:val="zh-CN"/>
              </w:rPr>
              <w:t>（2）</w:t>
            </w:r>
            <w:r>
              <w:rPr>
                <w:rFonts w:hint="eastAsia" w:ascii="宋体" w:hAnsi="宋体" w:cs="宋体"/>
                <w:snapToGrid w:val="0"/>
                <w:color w:val="auto"/>
                <w:kern w:val="0"/>
                <w:sz w:val="20"/>
                <w:szCs w:val="21"/>
                <w:highlight w:val="none"/>
                <w:lang w:val="zh-CN" w:eastAsia="zh-CN"/>
              </w:rPr>
              <w:t>承诺</w:t>
            </w:r>
            <w:r>
              <w:rPr>
                <w:rFonts w:hint="eastAsia" w:ascii="宋体" w:hAnsi="宋体" w:cs="宋体"/>
                <w:snapToGrid w:val="0"/>
                <w:color w:val="auto"/>
                <w:kern w:val="0"/>
                <w:sz w:val="20"/>
                <w:szCs w:val="21"/>
                <w:highlight w:val="none"/>
                <w:lang w:val="en-US" w:eastAsia="zh-CN"/>
              </w:rPr>
              <w:t>服务标准</w:t>
            </w:r>
            <w:r>
              <w:rPr>
                <w:rFonts w:hint="eastAsia" w:ascii="宋体" w:hAnsi="宋体" w:cs="宋体"/>
                <w:snapToGrid w:val="0"/>
                <w:color w:val="auto"/>
                <w:kern w:val="0"/>
                <w:sz w:val="20"/>
                <w:szCs w:val="21"/>
                <w:highlight w:val="none"/>
                <w:lang w:val="zh-CN" w:eastAsia="zh-CN"/>
              </w:rPr>
              <w:t>：响应时间</w:t>
            </w:r>
            <w:r>
              <w:rPr>
                <w:rFonts w:hint="eastAsia" w:ascii="宋体" w:hAnsi="宋体" w:cs="宋体"/>
                <w:snapToGrid w:val="0"/>
                <w:color w:val="auto"/>
                <w:kern w:val="0"/>
                <w:sz w:val="20"/>
                <w:szCs w:val="21"/>
                <w:highlight w:val="none"/>
                <w:lang w:val="en-US" w:eastAsia="zh-CN"/>
              </w:rPr>
              <w:t>不</w:t>
            </w:r>
            <w:r>
              <w:rPr>
                <w:rFonts w:hint="eastAsia" w:ascii="宋体" w:hAnsi="宋体" w:cs="宋体"/>
                <w:snapToGrid w:val="0"/>
                <w:color w:val="auto"/>
                <w:kern w:val="0"/>
                <w:sz w:val="20"/>
                <w:szCs w:val="21"/>
                <w:highlight w:val="none"/>
                <w:lang w:val="zh-CN" w:eastAsia="zh-CN"/>
              </w:rPr>
              <w:t>超过</w:t>
            </w:r>
            <w:r>
              <w:rPr>
                <w:rFonts w:hint="eastAsia" w:ascii="宋体" w:hAnsi="宋体" w:cs="宋体"/>
                <w:snapToGrid w:val="0"/>
                <w:color w:val="auto"/>
                <w:kern w:val="0"/>
                <w:sz w:val="20"/>
                <w:szCs w:val="21"/>
                <w:highlight w:val="none"/>
                <w:lang w:val="en-US" w:eastAsia="zh-CN"/>
              </w:rPr>
              <w:t>10分钟</w:t>
            </w:r>
            <w:r>
              <w:rPr>
                <w:rFonts w:hint="eastAsia" w:ascii="宋体" w:hAnsi="宋体" w:cs="宋体"/>
                <w:snapToGrid w:val="0"/>
                <w:color w:val="auto"/>
                <w:kern w:val="0"/>
                <w:sz w:val="20"/>
                <w:szCs w:val="21"/>
                <w:highlight w:val="none"/>
                <w:lang w:val="zh-CN" w:eastAsia="zh-CN"/>
              </w:rPr>
              <w:t>，</w:t>
            </w:r>
            <w:r>
              <w:rPr>
                <w:rFonts w:hint="eastAsia" w:ascii="宋体" w:hAnsi="宋体" w:cs="宋体"/>
                <w:snapToGrid w:val="0"/>
                <w:color w:val="auto"/>
                <w:kern w:val="0"/>
                <w:sz w:val="20"/>
                <w:szCs w:val="21"/>
                <w:highlight w:val="none"/>
                <w:lang w:val="en-US" w:eastAsia="zh-CN"/>
              </w:rPr>
              <w:t>主城、万州辖区到达现场</w:t>
            </w:r>
            <w:r>
              <w:rPr>
                <w:rFonts w:hint="eastAsia" w:ascii="宋体" w:hAnsi="宋体" w:cs="宋体"/>
                <w:snapToGrid w:val="0"/>
                <w:color w:val="auto"/>
                <w:kern w:val="0"/>
                <w:sz w:val="20"/>
                <w:szCs w:val="21"/>
                <w:highlight w:val="none"/>
                <w:lang w:val="zh-CN" w:eastAsia="zh-CN"/>
              </w:rPr>
              <w:t>时间不超过</w:t>
            </w:r>
            <w:r>
              <w:rPr>
                <w:rFonts w:hint="eastAsia" w:ascii="宋体" w:hAnsi="宋体" w:cs="宋体"/>
                <w:snapToGrid w:val="0"/>
                <w:color w:val="auto"/>
                <w:kern w:val="0"/>
                <w:sz w:val="20"/>
                <w:szCs w:val="21"/>
                <w:highlight w:val="none"/>
                <w:lang w:val="en-US" w:eastAsia="zh-CN"/>
              </w:rPr>
              <w:t>3小时，其他区县到达现场</w:t>
            </w:r>
            <w:r>
              <w:rPr>
                <w:rFonts w:hint="eastAsia" w:ascii="宋体" w:hAnsi="宋体" w:cs="宋体"/>
                <w:snapToGrid w:val="0"/>
                <w:color w:val="auto"/>
                <w:kern w:val="0"/>
                <w:sz w:val="20"/>
                <w:szCs w:val="21"/>
                <w:highlight w:val="none"/>
                <w:lang w:val="zh-CN" w:eastAsia="zh-CN"/>
              </w:rPr>
              <w:t>不超过</w:t>
            </w:r>
            <w:r>
              <w:rPr>
                <w:rFonts w:hint="eastAsia" w:ascii="宋体" w:hAnsi="宋体" w:cs="宋体"/>
                <w:snapToGrid w:val="0"/>
                <w:color w:val="auto"/>
                <w:kern w:val="0"/>
                <w:sz w:val="20"/>
                <w:szCs w:val="21"/>
                <w:highlight w:val="none"/>
                <w:lang w:val="en-US" w:eastAsia="zh-CN"/>
              </w:rPr>
              <w:t>6小时。</w:t>
            </w:r>
          </w:p>
        </w:tc>
        <w:tc>
          <w:tcPr>
            <w:tcW w:w="3719" w:type="dxa"/>
            <w:vAlign w:val="center"/>
          </w:tcPr>
          <w:p>
            <w:pPr>
              <w:keepNext w:val="0"/>
              <w:keepLines w:val="0"/>
              <w:widowControl w:val="0"/>
              <w:suppressLineNumbers w:val="0"/>
              <w:spacing w:before="0" w:beforeAutospacing="0" w:after="0" w:afterAutospacing="0" w:line="360" w:lineRule="auto"/>
              <w:ind w:left="0" w:right="0"/>
              <w:rPr>
                <w:rFonts w:hint="eastAsia" w:ascii="宋体" w:hAnsi="宋体" w:eastAsia="宋体" w:cs="宋体"/>
                <w:snapToGrid w:val="0"/>
                <w:color w:val="auto"/>
                <w:kern w:val="0"/>
                <w:sz w:val="20"/>
                <w:szCs w:val="21"/>
                <w:highlight w:val="none"/>
                <w:lang w:val="zh-CN"/>
              </w:rPr>
            </w:pPr>
            <w:r>
              <w:rPr>
                <w:rFonts w:hint="eastAsia" w:ascii="宋体" w:hAnsi="宋体" w:eastAsia="宋体" w:cs="宋体"/>
                <w:snapToGrid w:val="0"/>
                <w:color w:val="auto"/>
                <w:kern w:val="0"/>
                <w:sz w:val="20"/>
                <w:szCs w:val="21"/>
                <w:highlight w:val="none"/>
                <w:lang w:val="en-US"/>
              </w:rPr>
              <w:t>提供书面承诺，</w:t>
            </w:r>
            <w:r>
              <w:rPr>
                <w:rFonts w:hint="eastAsia" w:ascii="宋体" w:hAnsi="宋体" w:eastAsia="宋体" w:cs="宋体"/>
                <w:snapToGrid w:val="0"/>
                <w:color w:val="auto"/>
                <w:kern w:val="0"/>
                <w:sz w:val="20"/>
                <w:szCs w:val="21"/>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2" w:type="dxa"/>
            <w:vMerge w:val="continue"/>
            <w:vAlign w:val="center"/>
          </w:tcPr>
          <w:p>
            <w:pPr>
              <w:rPr>
                <w:color w:val="auto"/>
                <w:highlight w:val="none"/>
              </w:rPr>
            </w:pPr>
          </w:p>
        </w:tc>
        <w:tc>
          <w:tcPr>
            <w:tcW w:w="716" w:type="dxa"/>
            <w:vMerge w:val="continue"/>
            <w:tcBorders>
              <w:top w:val="single" w:color="auto" w:sz="4" w:space="0"/>
              <w:left w:val="single" w:color="auto" w:sz="4" w:space="0"/>
              <w:right w:val="single" w:color="auto" w:sz="4" w:space="0"/>
            </w:tcBorders>
            <w:vAlign w:val="center"/>
          </w:tcPr>
          <w:p>
            <w:pPr>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spacing w:line="360" w:lineRule="auto"/>
              <w:jc w:val="left"/>
              <w:outlineLvl w:val="1"/>
              <w:rPr>
                <w:rFonts w:hint="eastAsia" w:ascii="宋体" w:hAnsi="宋体" w:eastAsia="宋体" w:cs="宋体"/>
                <w:snapToGrid w:val="0"/>
                <w:color w:val="auto"/>
                <w:kern w:val="0"/>
                <w:sz w:val="20"/>
                <w:szCs w:val="21"/>
                <w:highlight w:val="none"/>
                <w:lang w:val="en-US" w:eastAsia="zh-CN"/>
              </w:rPr>
            </w:pPr>
            <w:r>
              <w:rPr>
                <w:rFonts w:hint="eastAsia" w:ascii="宋体" w:hAnsi="宋体" w:cs="宋体"/>
                <w:snapToGrid w:val="0"/>
                <w:color w:val="auto"/>
                <w:kern w:val="0"/>
                <w:sz w:val="20"/>
                <w:szCs w:val="21"/>
                <w:highlight w:val="none"/>
                <w:lang w:val="zh-CN"/>
              </w:rPr>
              <w:t>（</w:t>
            </w:r>
            <w:r>
              <w:rPr>
                <w:rFonts w:hint="eastAsia" w:ascii="宋体" w:hAnsi="宋体" w:eastAsia="宋体" w:cs="宋体"/>
                <w:snapToGrid w:val="0"/>
                <w:color w:val="auto"/>
                <w:kern w:val="0"/>
                <w:sz w:val="20"/>
                <w:szCs w:val="21"/>
                <w:highlight w:val="none"/>
                <w:lang w:val="en-US"/>
              </w:rPr>
              <w:t>3）</w:t>
            </w:r>
            <w:r>
              <w:rPr>
                <w:rFonts w:hint="eastAsia" w:ascii="宋体" w:hAnsi="宋体" w:eastAsia="宋体" w:cs="宋体"/>
                <w:snapToGrid w:val="0"/>
                <w:color w:val="auto"/>
                <w:kern w:val="0"/>
                <w:sz w:val="20"/>
                <w:szCs w:val="21"/>
                <w:highlight w:val="none"/>
                <w:lang w:val="en-US" w:eastAsia="zh-CN"/>
              </w:rPr>
              <w:t>参选人需获得以下ISO体系资质认证：ISO9001（质量管理）、ISO20000（服务管理）、ISO27001（信息安全）。</w:t>
            </w:r>
          </w:p>
        </w:tc>
        <w:tc>
          <w:tcPr>
            <w:tcW w:w="3719" w:type="dxa"/>
            <w:vAlign w:val="center"/>
          </w:tcPr>
          <w:p>
            <w:pPr>
              <w:keepNext w:val="0"/>
              <w:keepLines w:val="0"/>
              <w:widowControl w:val="0"/>
              <w:suppressLineNumbers w:val="0"/>
              <w:spacing w:before="0" w:beforeAutospacing="0" w:after="0" w:afterAutospacing="0" w:line="360" w:lineRule="auto"/>
              <w:ind w:left="0" w:right="0"/>
              <w:rPr>
                <w:rFonts w:hint="eastAsia" w:ascii="宋体" w:hAnsi="宋体" w:eastAsia="宋体" w:cs="宋体"/>
                <w:snapToGrid w:val="0"/>
                <w:color w:val="auto"/>
                <w:kern w:val="0"/>
                <w:sz w:val="20"/>
                <w:szCs w:val="21"/>
                <w:highlight w:val="none"/>
                <w:lang w:val="zh-CN"/>
              </w:rPr>
            </w:pPr>
            <w:r>
              <w:rPr>
                <w:rFonts w:hint="eastAsia" w:ascii="宋体" w:hAnsi="宋体" w:eastAsia="宋体" w:cs="宋体"/>
                <w:snapToGrid w:val="0"/>
                <w:color w:val="auto"/>
                <w:kern w:val="0"/>
                <w:sz w:val="20"/>
                <w:szCs w:val="21"/>
                <w:highlight w:val="none"/>
                <w:lang w:val="en-US" w:eastAsia="zh-CN"/>
              </w:rPr>
              <w:t>提供体系认证证书复印件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82" w:type="dxa"/>
            <w:vMerge w:val="continue"/>
            <w:vAlign w:val="center"/>
          </w:tcPr>
          <w:p>
            <w:pPr>
              <w:keepNext w:val="0"/>
              <w:keepLines w:val="0"/>
              <w:widowControl w:val="0"/>
              <w:suppressLineNumbers w:val="0"/>
              <w:spacing w:before="0" w:beforeAutospacing="0" w:after="0" w:afterAutospacing="0" w:line="360" w:lineRule="auto"/>
              <w:ind w:left="0" w:right="0"/>
              <w:rPr>
                <w:color w:val="auto"/>
                <w:highlight w:val="none"/>
              </w:rPr>
            </w:pPr>
          </w:p>
        </w:tc>
        <w:tc>
          <w:tcPr>
            <w:tcW w:w="716" w:type="dxa"/>
            <w:vMerge w:val="continue"/>
            <w:tcBorders>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rPr>
                <w:rFonts w:hint="eastAsia" w:ascii="宋体" w:hAnsi="宋体" w:cs="宋体"/>
                <w:color w:val="auto"/>
                <w:highlight w:val="none"/>
              </w:rPr>
            </w:pPr>
          </w:p>
        </w:tc>
        <w:tc>
          <w:tcPr>
            <w:tcW w:w="4603" w:type="dxa"/>
            <w:tcBorders>
              <w:top w:val="single" w:color="auto" w:sz="4" w:space="0"/>
              <w:left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rPr>
                <w:rFonts w:hint="eastAsia" w:ascii="宋体" w:hAnsi="宋体" w:cs="宋体"/>
                <w:snapToGrid w:val="0"/>
                <w:color w:val="auto"/>
                <w:kern w:val="0"/>
                <w:sz w:val="20"/>
                <w:szCs w:val="21"/>
                <w:highlight w:val="none"/>
                <w:lang w:val="zh-CN"/>
              </w:rPr>
            </w:pPr>
            <w:r>
              <w:rPr>
                <w:rFonts w:hint="eastAsia" w:ascii="宋体" w:hAnsi="宋体" w:cs="宋体"/>
                <w:snapToGrid w:val="0"/>
                <w:color w:val="auto"/>
                <w:kern w:val="0"/>
                <w:sz w:val="20"/>
                <w:szCs w:val="21"/>
                <w:highlight w:val="none"/>
                <w:lang w:val="zh-CN"/>
              </w:rPr>
              <w:t>（</w:t>
            </w:r>
            <w:r>
              <w:rPr>
                <w:rFonts w:hint="eastAsia" w:ascii="宋体" w:hAnsi="宋体" w:cs="宋体"/>
                <w:snapToGrid w:val="0"/>
                <w:color w:val="auto"/>
                <w:kern w:val="0"/>
                <w:sz w:val="20"/>
                <w:szCs w:val="21"/>
                <w:highlight w:val="none"/>
                <w:lang w:val="en-US" w:eastAsia="zh-CN"/>
              </w:rPr>
              <w:t>4</w:t>
            </w:r>
            <w:r>
              <w:rPr>
                <w:rFonts w:hint="eastAsia" w:ascii="宋体" w:hAnsi="宋体" w:cs="宋体"/>
                <w:snapToGrid w:val="0"/>
                <w:color w:val="auto"/>
                <w:kern w:val="0"/>
                <w:sz w:val="20"/>
                <w:szCs w:val="21"/>
                <w:highlight w:val="none"/>
                <w:lang w:val="zh-CN"/>
              </w:rPr>
              <w:t>）</w:t>
            </w:r>
            <w:r>
              <w:rPr>
                <w:rFonts w:hint="eastAsia" w:ascii="宋体" w:hAnsi="宋体" w:cs="宋体"/>
                <w:snapToGrid w:val="0"/>
                <w:color w:val="auto"/>
                <w:kern w:val="0"/>
                <w:sz w:val="20"/>
                <w:szCs w:val="21"/>
                <w:highlight w:val="none"/>
                <w:lang w:val="en-US" w:eastAsia="zh-CN"/>
              </w:rPr>
              <w:t>参选人派出的项目经理必需有2年（含）以上桌面终端设备维护类项目的管理经验。</w:t>
            </w:r>
          </w:p>
        </w:tc>
        <w:tc>
          <w:tcPr>
            <w:tcW w:w="3719" w:type="dxa"/>
            <w:vAlign w:val="center"/>
          </w:tcPr>
          <w:p>
            <w:pPr>
              <w:keepNext w:val="0"/>
              <w:keepLines w:val="0"/>
              <w:widowControl w:val="0"/>
              <w:suppressLineNumbers w:val="0"/>
              <w:spacing w:before="0" w:beforeAutospacing="0" w:after="0" w:afterAutospacing="0" w:line="360" w:lineRule="auto"/>
              <w:ind w:left="0" w:right="0"/>
              <w:rPr>
                <w:rFonts w:hint="eastAsia" w:ascii="宋体" w:hAnsi="宋体" w:eastAsia="宋体" w:cs="宋体"/>
                <w:snapToGrid w:val="0"/>
                <w:color w:val="auto"/>
                <w:kern w:val="0"/>
                <w:sz w:val="20"/>
                <w:szCs w:val="21"/>
                <w:highlight w:val="none"/>
                <w:lang w:val="zh-CN"/>
              </w:rPr>
            </w:pPr>
            <w:r>
              <w:rPr>
                <w:rFonts w:hint="eastAsia" w:ascii="宋体" w:hAnsi="宋体" w:eastAsia="宋体" w:cs="宋体"/>
                <w:snapToGrid w:val="0"/>
                <w:color w:val="auto"/>
                <w:kern w:val="0"/>
                <w:sz w:val="20"/>
                <w:szCs w:val="21"/>
                <w:highlight w:val="none"/>
                <w:lang w:val="en-US" w:eastAsia="zh-CN"/>
              </w:rPr>
              <w:t>提供个人简历及参保证明，格式自拟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spacing w:line="360" w:lineRule="auto"/>
              <w:jc w:val="center"/>
              <w:rPr>
                <w:rFonts w:ascii="Times New Roman" w:hAnsi="Times New Roman" w:cs="Times New Roman"/>
                <w:snapToGrid w:val="0"/>
                <w:color w:val="auto"/>
                <w:kern w:val="0"/>
                <w:sz w:val="20"/>
                <w:szCs w:val="21"/>
                <w:highlight w:val="none"/>
              </w:rPr>
            </w:pPr>
            <w:r>
              <w:rPr>
                <w:rFonts w:ascii="Times New Roman" w:hAnsi="Times New Roman" w:cs="Times New Roman"/>
                <w:snapToGrid w:val="0"/>
                <w:color w:val="auto"/>
                <w:kern w:val="0"/>
                <w:sz w:val="20"/>
                <w:szCs w:val="21"/>
                <w:highlight w:val="none"/>
              </w:rPr>
              <w:t>3</w:t>
            </w:r>
          </w:p>
        </w:tc>
        <w:tc>
          <w:tcPr>
            <w:tcW w:w="5319" w:type="dxa"/>
            <w:gridSpan w:val="2"/>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snapToGrid w:val="0"/>
                <w:color w:val="auto"/>
                <w:kern w:val="0"/>
                <w:sz w:val="20"/>
                <w:szCs w:val="21"/>
                <w:highlight w:val="none"/>
              </w:rPr>
            </w:pPr>
            <w:r>
              <w:rPr>
                <w:rFonts w:hint="eastAsia" w:ascii="宋体" w:hAnsi="宋体" w:eastAsia="宋体" w:cs="宋体"/>
                <w:snapToGrid w:val="0"/>
                <w:color w:val="auto"/>
                <w:kern w:val="0"/>
                <w:sz w:val="20"/>
                <w:szCs w:val="21"/>
                <w:highlight w:val="none"/>
              </w:rPr>
              <w:t>参选保证金</w:t>
            </w:r>
          </w:p>
        </w:tc>
        <w:tc>
          <w:tcPr>
            <w:tcW w:w="3719" w:type="dxa"/>
            <w:vAlign w:val="center"/>
          </w:tcPr>
          <w:p>
            <w:pPr>
              <w:spacing w:line="360" w:lineRule="auto"/>
              <w:rPr>
                <w:rFonts w:hint="eastAsia" w:ascii="宋体" w:hAnsi="宋体" w:eastAsia="宋体" w:cs="宋体"/>
                <w:snapToGrid w:val="0"/>
                <w:color w:val="auto"/>
                <w:kern w:val="0"/>
                <w:sz w:val="20"/>
                <w:szCs w:val="21"/>
                <w:highlight w:val="none"/>
              </w:rPr>
            </w:pPr>
            <w:r>
              <w:rPr>
                <w:rFonts w:hint="eastAsia" w:ascii="宋体" w:hAnsi="宋体" w:eastAsia="宋体" w:cs="宋体"/>
                <w:snapToGrid w:val="0"/>
                <w:color w:val="auto"/>
                <w:kern w:val="0"/>
                <w:sz w:val="20"/>
                <w:szCs w:val="21"/>
                <w:highlight w:val="none"/>
                <w:lang w:val="en-US" w:eastAsia="zh-CN"/>
              </w:rPr>
              <w:t>参选</w:t>
            </w:r>
            <w:r>
              <w:rPr>
                <w:rFonts w:hint="eastAsia" w:ascii="宋体" w:hAnsi="宋体" w:eastAsia="宋体" w:cs="宋体"/>
                <w:snapToGrid w:val="0"/>
                <w:color w:val="auto"/>
                <w:kern w:val="0"/>
                <w:sz w:val="20"/>
                <w:szCs w:val="21"/>
                <w:highlight w:val="none"/>
              </w:rPr>
              <w:t>保证金到账截止时间前足额缴纳</w:t>
            </w:r>
            <w:r>
              <w:rPr>
                <w:rFonts w:hint="eastAsia" w:ascii="宋体" w:hAnsi="宋体" w:eastAsia="宋体" w:cs="宋体"/>
                <w:snapToGrid w:val="0"/>
                <w:color w:val="auto"/>
                <w:kern w:val="0"/>
                <w:sz w:val="20"/>
                <w:szCs w:val="21"/>
                <w:highlight w:val="none"/>
                <w:lang w:val="en-US" w:eastAsia="zh-CN"/>
              </w:rPr>
              <w:t>参选</w:t>
            </w:r>
            <w:r>
              <w:rPr>
                <w:rFonts w:hint="eastAsia" w:ascii="宋体" w:hAnsi="宋体" w:eastAsia="宋体" w:cs="宋体"/>
                <w:snapToGrid w:val="0"/>
                <w:color w:val="auto"/>
                <w:kern w:val="0"/>
                <w:sz w:val="20"/>
                <w:szCs w:val="21"/>
                <w:highlight w:val="none"/>
              </w:rPr>
              <w:t>保证金</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snapToGrid w:val="0"/>
          <w:color w:val="auto"/>
          <w:kern w:val="0"/>
          <w:sz w:val="24"/>
          <w:szCs w:val="24"/>
          <w:highlight w:val="none"/>
        </w:rPr>
      </w:pPr>
      <w:r>
        <w:rPr>
          <w:rFonts w:hint="eastAsia" w:ascii="宋体"/>
          <w:snapToGrid w:val="0"/>
          <w:color w:val="auto"/>
          <w:kern w:val="0"/>
          <w:sz w:val="24"/>
          <w:szCs w:val="24"/>
          <w:highlight w:val="none"/>
        </w:rPr>
        <w:t>2、符合性检查。依据比选文件的规定，从</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文件的有效性、完整性和对比选文件的响应程度进行审查，以确定是否对比选文件的实质性要求作出响应。符合性检查资料表如下：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序号</w:t>
            </w:r>
          </w:p>
        </w:tc>
        <w:tc>
          <w:tcPr>
            <w:tcW w:w="3548" w:type="dxa"/>
            <w:gridSpan w:val="2"/>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评审因素</w:t>
            </w:r>
          </w:p>
        </w:tc>
        <w:tc>
          <w:tcPr>
            <w:tcW w:w="5416" w:type="dxa"/>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1</w:t>
            </w:r>
          </w:p>
        </w:tc>
        <w:tc>
          <w:tcPr>
            <w:tcW w:w="1562"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有效性审查</w:t>
            </w: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文件签署</w:t>
            </w:r>
          </w:p>
        </w:tc>
        <w:tc>
          <w:tcPr>
            <w:tcW w:w="541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jc w:val="center"/>
              <w:rPr>
                <w:color w:val="auto"/>
                <w:highlight w:val="none"/>
              </w:rPr>
            </w:pPr>
          </w:p>
        </w:tc>
        <w:tc>
          <w:tcPr>
            <w:tcW w:w="1562" w:type="dxa"/>
            <w:vMerge w:val="continue"/>
            <w:vAlign w:val="center"/>
          </w:tcPr>
          <w:p>
            <w:pPr>
              <w:rPr>
                <w:color w:val="auto"/>
                <w:highlight w:val="none"/>
              </w:rPr>
            </w:pPr>
          </w:p>
        </w:tc>
        <w:tc>
          <w:tcPr>
            <w:tcW w:w="198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法定代表人身份证明及授权委托书</w:t>
            </w:r>
          </w:p>
        </w:tc>
        <w:tc>
          <w:tcPr>
            <w:tcW w:w="541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jc w:val="center"/>
              <w:rPr>
                <w:color w:val="auto"/>
                <w:highlight w:val="none"/>
              </w:rPr>
            </w:pPr>
          </w:p>
        </w:tc>
        <w:tc>
          <w:tcPr>
            <w:tcW w:w="1562" w:type="dxa"/>
            <w:vMerge w:val="continue"/>
            <w:vAlign w:val="center"/>
          </w:tcPr>
          <w:p>
            <w:pPr>
              <w:rPr>
                <w:color w:val="auto"/>
                <w:highlight w:val="none"/>
              </w:rPr>
            </w:pP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方案唯一</w:t>
            </w:r>
          </w:p>
        </w:tc>
        <w:tc>
          <w:tcPr>
            <w:tcW w:w="541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只能有一个方案</w:t>
            </w: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jc w:val="center"/>
              <w:rPr>
                <w:color w:val="auto"/>
                <w:highlight w:val="none"/>
              </w:rPr>
            </w:pPr>
          </w:p>
        </w:tc>
        <w:tc>
          <w:tcPr>
            <w:tcW w:w="1562" w:type="dxa"/>
            <w:vMerge w:val="continue"/>
            <w:vAlign w:val="center"/>
          </w:tcPr>
          <w:p>
            <w:pPr>
              <w:rPr>
                <w:color w:val="auto"/>
                <w:highlight w:val="none"/>
              </w:rPr>
            </w:pPr>
          </w:p>
        </w:tc>
        <w:tc>
          <w:tcPr>
            <w:tcW w:w="198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报价唯一</w:t>
            </w:r>
          </w:p>
        </w:tc>
        <w:tc>
          <w:tcPr>
            <w:tcW w:w="541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2</w:t>
            </w:r>
          </w:p>
        </w:tc>
        <w:tc>
          <w:tcPr>
            <w:tcW w:w="1562"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完整性审查</w:t>
            </w: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文件份数</w:t>
            </w:r>
          </w:p>
        </w:tc>
        <w:tc>
          <w:tcPr>
            <w:tcW w:w="541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jc w:val="center"/>
              <w:rPr>
                <w:color w:val="auto"/>
                <w:highlight w:val="none"/>
              </w:rPr>
            </w:pPr>
          </w:p>
        </w:tc>
        <w:tc>
          <w:tcPr>
            <w:tcW w:w="1562" w:type="dxa"/>
            <w:vMerge w:val="continue"/>
            <w:vAlign w:val="center"/>
          </w:tcPr>
          <w:p>
            <w:pPr>
              <w:rPr>
                <w:color w:val="auto"/>
                <w:highlight w:val="none"/>
              </w:rPr>
            </w:pP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w:t>
            </w:r>
          </w:p>
        </w:tc>
        <w:tc>
          <w:tcPr>
            <w:tcW w:w="541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3</w:t>
            </w:r>
          </w:p>
        </w:tc>
        <w:tc>
          <w:tcPr>
            <w:tcW w:w="1562"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响应程度审查</w:t>
            </w: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w:t>
            </w:r>
          </w:p>
        </w:tc>
        <w:tc>
          <w:tcPr>
            <w:tcW w:w="5416" w:type="dxa"/>
            <w:vAlign w:val="center"/>
          </w:tcPr>
          <w:p>
            <w:pPr>
              <w:pStyle w:val="12"/>
              <w:spacing w:line="360" w:lineRule="auto"/>
              <w:rPr>
                <w:rFonts w:ascii="宋体" w:cs="宋体"/>
                <w:color w:val="auto"/>
                <w:kern w:val="0"/>
                <w:sz w:val="20"/>
                <w:highlight w:val="none"/>
              </w:rPr>
            </w:pPr>
            <w:r>
              <w:rPr>
                <w:rFonts w:hint="eastAsia" w:ascii="宋体" w:hAnsi="宋体" w:cs="宋体"/>
                <w:color w:val="auto"/>
                <w:kern w:val="0"/>
                <w:sz w:val="21"/>
                <w:szCs w:val="21"/>
                <w:highlight w:val="none"/>
                <w:lang w:val="en-US" w:eastAsia="zh-CN"/>
              </w:rPr>
              <w:t>根据商务条款偏离表内容与</w:t>
            </w:r>
            <w:r>
              <w:rPr>
                <w:rFonts w:hint="eastAsia" w:ascii="宋体" w:hAnsi="宋体" w:eastAsia="宋体" w:cs="宋体"/>
                <w:color w:val="auto"/>
                <w:kern w:val="0"/>
                <w:sz w:val="21"/>
                <w:szCs w:val="21"/>
                <w:highlight w:val="none"/>
              </w:rPr>
              <w:t>比选文件第</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章规定的比选内容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确认参选人是否对</w:t>
            </w:r>
            <w:r>
              <w:rPr>
                <w:rFonts w:hint="eastAsia" w:ascii="宋体" w:hAnsi="宋体" w:eastAsia="宋体" w:cs="宋体"/>
                <w:color w:val="auto"/>
                <w:kern w:val="0"/>
                <w:sz w:val="21"/>
                <w:szCs w:val="21"/>
                <w:highlight w:val="none"/>
              </w:rPr>
              <w:t>比选文件第</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章规定的比选内容作出响应。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jc w:val="center"/>
              <w:rPr>
                <w:color w:val="auto"/>
                <w:highlight w:val="none"/>
              </w:rPr>
            </w:pPr>
          </w:p>
        </w:tc>
        <w:tc>
          <w:tcPr>
            <w:tcW w:w="1562" w:type="dxa"/>
            <w:vMerge w:val="continue"/>
            <w:vAlign w:val="center"/>
          </w:tcPr>
          <w:p>
            <w:pPr>
              <w:rPr>
                <w:color w:val="auto"/>
                <w:highlight w:val="none"/>
              </w:rPr>
            </w:pPr>
          </w:p>
        </w:tc>
        <w:tc>
          <w:tcPr>
            <w:tcW w:w="1986"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有效期</w:t>
            </w:r>
          </w:p>
        </w:tc>
        <w:tc>
          <w:tcPr>
            <w:tcW w:w="5416"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满足比选文件规定。</w:t>
            </w:r>
          </w:p>
        </w:tc>
      </w:tr>
    </w:tbl>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3、澄清有关问题。对</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文件中含义不明确、同类问题表述不一致或者有明显文字和计算错误的内容，</w:t>
      </w:r>
      <w:r>
        <w:rPr>
          <w:rFonts w:hint="eastAsia" w:ascii="宋体" w:cs="宋体"/>
          <w:snapToGrid w:val="0"/>
          <w:color w:val="auto"/>
          <w:kern w:val="0"/>
          <w:sz w:val="24"/>
          <w:szCs w:val="24"/>
          <w:highlight w:val="none"/>
        </w:rPr>
        <w:t>评审委员会</w:t>
      </w:r>
      <w:r>
        <w:rPr>
          <w:rFonts w:hint="eastAsia" w:ascii="宋体"/>
          <w:snapToGrid w:val="0"/>
          <w:color w:val="auto"/>
          <w:kern w:val="0"/>
          <w:sz w:val="24"/>
          <w:szCs w:val="24"/>
          <w:highlight w:val="none"/>
        </w:rPr>
        <w:t>可以书面形式（应当由</w:t>
      </w:r>
      <w:r>
        <w:rPr>
          <w:rFonts w:hint="eastAsia" w:ascii="宋体"/>
          <w:snapToGrid w:val="0"/>
          <w:color w:val="auto"/>
          <w:kern w:val="0"/>
          <w:sz w:val="24"/>
          <w:szCs w:val="24"/>
          <w:highlight w:val="none"/>
          <w:lang w:eastAsia="zh-CN"/>
        </w:rPr>
        <w:t>评审</w:t>
      </w:r>
      <w:r>
        <w:rPr>
          <w:rFonts w:hint="eastAsia" w:ascii="宋体"/>
          <w:snapToGrid w:val="0"/>
          <w:color w:val="auto"/>
          <w:kern w:val="0"/>
          <w:sz w:val="24"/>
          <w:szCs w:val="24"/>
          <w:highlight w:val="none"/>
        </w:rPr>
        <w:t>委员会成员签字）要求</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人作出必要澄清、说明或者纠正。</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人的澄清、说明或者补正应当采用书面形式，由其授权的代表签字，并不得超出</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文件的范围或者改变</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文件的实质性内容。</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4、比较与评价。按比选文件中规定的</w:t>
      </w:r>
      <w:r>
        <w:rPr>
          <w:rFonts w:hint="eastAsia" w:ascii="宋体"/>
          <w:snapToGrid w:val="0"/>
          <w:color w:val="auto"/>
          <w:kern w:val="0"/>
          <w:sz w:val="24"/>
          <w:szCs w:val="24"/>
          <w:highlight w:val="none"/>
          <w:lang w:eastAsia="zh-CN"/>
        </w:rPr>
        <w:t>评审</w:t>
      </w:r>
      <w:r>
        <w:rPr>
          <w:rFonts w:hint="eastAsia" w:ascii="宋体"/>
          <w:snapToGrid w:val="0"/>
          <w:color w:val="auto"/>
          <w:kern w:val="0"/>
          <w:sz w:val="24"/>
          <w:szCs w:val="24"/>
          <w:highlight w:val="none"/>
        </w:rPr>
        <w:t>方法和标准，对资格性检查和符合性检查合格的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文件进行商务和技术评估，综合比较与评价。</w:t>
      </w:r>
    </w:p>
    <w:p>
      <w:pPr>
        <w:snapToGrid w:val="0"/>
        <w:spacing w:line="360" w:lineRule="auto"/>
        <w:ind w:firstLine="480" w:firstLineChars="200"/>
        <w:rPr>
          <w:rFonts w:ascii="宋体"/>
          <w:snapToGrid w:val="0"/>
          <w:color w:val="auto"/>
          <w:kern w:val="0"/>
          <w:sz w:val="24"/>
          <w:szCs w:val="24"/>
          <w:highlight w:val="none"/>
        </w:rPr>
      </w:pPr>
      <w:r>
        <w:rPr>
          <w:rFonts w:hint="eastAsia" w:ascii="宋体" w:cs="宋体"/>
          <w:snapToGrid w:val="0"/>
          <w:color w:val="auto"/>
          <w:kern w:val="0"/>
          <w:sz w:val="24"/>
          <w:szCs w:val="24"/>
          <w:highlight w:val="none"/>
        </w:rPr>
        <w:t>评审委员会成员</w:t>
      </w:r>
      <w:r>
        <w:rPr>
          <w:rFonts w:hint="eastAsia" w:ascii="宋体"/>
          <w:snapToGrid w:val="0"/>
          <w:color w:val="auto"/>
          <w:kern w:val="0"/>
          <w:sz w:val="24"/>
          <w:szCs w:val="24"/>
          <w:highlight w:val="none"/>
        </w:rPr>
        <w:t>应当独立对每个有效</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参选文件</w:t>
      </w:r>
      <w:r>
        <w:rPr>
          <w:rFonts w:hint="eastAsia" w:ascii="宋体"/>
          <w:snapToGrid w:val="0"/>
          <w:color w:val="auto"/>
          <w:kern w:val="0"/>
          <w:sz w:val="24"/>
          <w:szCs w:val="24"/>
          <w:highlight w:val="none"/>
        </w:rPr>
        <w:t>进行评价、打分，对同一</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人同一评分项的打分偏离较大的，应对</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文件进行再次核对，确属打分有误的，应及时进行修正。复核后，汇总每个</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人每项评分因素的得分。</w:t>
      </w:r>
    </w:p>
    <w:p>
      <w:pPr>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5、推荐中选候选人名单。按评审后得分由高到低顺序排列推荐中选候选人。综合得分排名第一的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人为第一中选候选人，以此类推排名</w:t>
      </w:r>
      <w:r>
        <w:rPr>
          <w:rFonts w:hint="eastAsia" w:ascii="宋体"/>
          <w:snapToGrid w:val="0"/>
          <w:color w:val="auto"/>
          <w:kern w:val="0"/>
          <w:sz w:val="24"/>
          <w:szCs w:val="24"/>
          <w:highlight w:val="none"/>
          <w:lang w:eastAsia="zh-CN"/>
        </w:rPr>
        <w:t>，推荐三名中选候选人</w:t>
      </w:r>
      <w:r>
        <w:rPr>
          <w:rFonts w:hint="eastAsia" w:ascii="宋体"/>
          <w:snapToGrid w:val="0"/>
          <w:color w:val="auto"/>
          <w:kern w:val="0"/>
          <w:sz w:val="24"/>
          <w:szCs w:val="24"/>
          <w:highlight w:val="none"/>
        </w:rPr>
        <w:t>。排名得分相同的按比选文件评分标准</w:t>
      </w:r>
      <w:bookmarkStart w:id="67" w:name="_Toc424733476"/>
      <w:bookmarkStart w:id="68" w:name="_Toc443294656"/>
      <w:r>
        <w:rPr>
          <w:rFonts w:hint="eastAsia" w:ascii="宋体"/>
          <w:snapToGrid w:val="0"/>
          <w:color w:val="auto"/>
          <w:kern w:val="0"/>
          <w:sz w:val="24"/>
          <w:szCs w:val="24"/>
          <w:highlight w:val="none"/>
        </w:rPr>
        <w:t>中</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报价得分由高到低顺序排列。</w:t>
      </w:r>
      <w:bookmarkStart w:id="69" w:name="_Toc440628923"/>
      <w:bookmarkStart w:id="70" w:name="_Toc275199617"/>
      <w:bookmarkStart w:id="71" w:name="_Toc89675156"/>
      <w:bookmarkStart w:id="72" w:name="_Toc14892"/>
    </w:p>
    <w:p>
      <w:pPr>
        <w:spacing w:line="360" w:lineRule="auto"/>
        <w:ind w:firstLine="482" w:firstLineChars="200"/>
        <w:jc w:val="left"/>
        <w:outlineLvl w:val="1"/>
        <w:rPr>
          <w:rFonts w:ascii="宋体" w:hAnsi="宋体"/>
          <w:b/>
          <w:snapToGrid w:val="0"/>
          <w:color w:val="auto"/>
          <w:kern w:val="0"/>
          <w:sz w:val="24"/>
          <w:szCs w:val="24"/>
          <w:highlight w:val="none"/>
        </w:rPr>
      </w:pPr>
      <w:bookmarkStart w:id="73" w:name="_Toc15059430"/>
      <w:r>
        <w:rPr>
          <w:rFonts w:hint="eastAsia" w:ascii="宋体" w:hAnsi="宋体"/>
          <w:b/>
          <w:snapToGrid w:val="0"/>
          <w:color w:val="auto"/>
          <w:kern w:val="0"/>
          <w:sz w:val="24"/>
          <w:szCs w:val="24"/>
          <w:highlight w:val="none"/>
        </w:rPr>
        <w:t>二、</w:t>
      </w:r>
      <w:r>
        <w:rPr>
          <w:rFonts w:hint="eastAsia" w:ascii="宋体" w:hAnsi="宋体"/>
          <w:b/>
          <w:snapToGrid w:val="0"/>
          <w:color w:val="auto"/>
          <w:kern w:val="0"/>
          <w:sz w:val="24"/>
          <w:szCs w:val="24"/>
          <w:highlight w:val="none"/>
          <w:lang w:eastAsia="zh-CN"/>
        </w:rPr>
        <w:t>评审</w:t>
      </w:r>
      <w:r>
        <w:rPr>
          <w:rFonts w:hint="eastAsia" w:ascii="宋体" w:hAnsi="宋体"/>
          <w:b/>
          <w:snapToGrid w:val="0"/>
          <w:color w:val="auto"/>
          <w:kern w:val="0"/>
          <w:sz w:val="24"/>
          <w:szCs w:val="24"/>
          <w:highlight w:val="none"/>
        </w:rPr>
        <w:t>标准</w:t>
      </w:r>
      <w:bookmarkEnd w:id="69"/>
      <w:bookmarkEnd w:id="70"/>
      <w:bookmarkEnd w:id="71"/>
      <w:bookmarkEnd w:id="72"/>
      <w:bookmarkEnd w:id="73"/>
    </w:p>
    <w:bookmarkEnd w:id="67"/>
    <w:bookmarkEnd w:id="68"/>
    <w:tbl>
      <w:tblPr>
        <w:tblStyle w:val="21"/>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23"/>
        <w:gridCol w:w="1365"/>
        <w:gridCol w:w="1320"/>
        <w:gridCol w:w="1028"/>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6"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bookmarkStart w:id="74" w:name="_Toc440628924"/>
            <w:bookmarkStart w:id="75" w:name="_Toc275199618"/>
            <w:bookmarkStart w:id="76" w:name="_Toc15059431"/>
            <w:bookmarkStart w:id="77" w:name="_Toc89675157"/>
            <w:bookmarkStart w:id="78" w:name="_Toc11439"/>
            <w:r>
              <w:rPr>
                <w:rFonts w:hint="eastAsia" w:ascii="宋体"/>
                <w:b/>
                <w:color w:val="auto"/>
                <w:sz w:val="20"/>
                <w:szCs w:val="20"/>
                <w:highlight w:val="none"/>
              </w:rPr>
              <w:t>序号</w:t>
            </w:r>
          </w:p>
        </w:tc>
        <w:tc>
          <w:tcPr>
            <w:tcW w:w="1023"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分类</w:t>
            </w:r>
          </w:p>
        </w:tc>
        <w:tc>
          <w:tcPr>
            <w:tcW w:w="1365"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评分指标</w:t>
            </w:r>
          </w:p>
        </w:tc>
        <w:tc>
          <w:tcPr>
            <w:tcW w:w="1320"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分项指标</w:t>
            </w:r>
          </w:p>
        </w:tc>
        <w:tc>
          <w:tcPr>
            <w:tcW w:w="1028"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分项分值</w:t>
            </w:r>
          </w:p>
        </w:tc>
        <w:tc>
          <w:tcPr>
            <w:tcW w:w="3810"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eastAsia="zh-CN"/>
              </w:rPr>
            </w:pPr>
            <w:r>
              <w:rPr>
                <w:rFonts w:hint="eastAsia" w:ascii="宋体"/>
                <w:color w:val="auto"/>
                <w:sz w:val="20"/>
                <w:szCs w:val="20"/>
                <w:highlight w:val="none"/>
                <w:lang w:val="en-US" w:eastAsia="zh-CN"/>
              </w:rPr>
              <w:t>1</w:t>
            </w:r>
          </w:p>
        </w:tc>
        <w:tc>
          <w:tcPr>
            <w:tcW w:w="1023"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商务评分</w:t>
            </w:r>
          </w:p>
          <w:p>
            <w:pPr>
              <w:keepNext w:val="0"/>
              <w:keepLines w:val="0"/>
              <w:widowControl w:val="0"/>
              <w:suppressLineNumbers w:val="0"/>
              <w:spacing w:before="0" w:beforeAutospacing="0" w:after="0" w:afterAutospacing="0"/>
              <w:ind w:left="0" w:right="0"/>
              <w:jc w:val="center"/>
              <w:rPr>
                <w:color w:val="auto"/>
                <w:szCs w:val="20"/>
                <w:highlight w:val="none"/>
                <w:lang w:val="en-US" w:eastAsia="zh-CN"/>
              </w:rPr>
            </w:pPr>
            <w:r>
              <w:rPr>
                <w:rFonts w:hint="eastAsia" w:ascii="宋体" w:eastAsia="宋体"/>
                <w:color w:val="auto"/>
                <w:sz w:val="20"/>
                <w:szCs w:val="20"/>
                <w:highlight w:val="none"/>
                <w:lang w:val="en-US" w:eastAsia="zh-CN"/>
              </w:rPr>
              <w:t>（</w:t>
            </w:r>
            <w:r>
              <w:rPr>
                <w:rFonts w:hint="eastAsia" w:ascii="宋体"/>
                <w:color w:val="auto"/>
                <w:sz w:val="20"/>
                <w:szCs w:val="20"/>
                <w:highlight w:val="none"/>
                <w:lang w:val="en-US" w:eastAsia="zh-CN"/>
              </w:rPr>
              <w:t>100</w:t>
            </w:r>
            <w:r>
              <w:rPr>
                <w:rFonts w:hint="eastAsia" w:ascii="宋体" w:eastAsia="宋体"/>
                <w:color w:val="auto"/>
                <w:sz w:val="20"/>
                <w:szCs w:val="20"/>
                <w:highlight w:val="none"/>
                <w:lang w:val="en-US" w:eastAsia="zh-CN"/>
              </w:rPr>
              <w:t>%）</w:t>
            </w:r>
          </w:p>
        </w:tc>
        <w:tc>
          <w:tcPr>
            <w:tcW w:w="1365"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color w:val="auto"/>
                <w:sz w:val="20"/>
                <w:szCs w:val="20"/>
                <w:highlight w:val="none"/>
              </w:rPr>
            </w:pPr>
            <w:r>
              <w:rPr>
                <w:rFonts w:hint="eastAsia" w:ascii="宋体"/>
                <w:snapToGrid w:val="0"/>
                <w:color w:val="auto"/>
                <w:sz w:val="20"/>
                <w:szCs w:val="2"/>
                <w:highlight w:val="none"/>
                <w:lang w:eastAsia="zh-CN"/>
              </w:rPr>
              <w:t>参选</w:t>
            </w:r>
            <w:r>
              <w:rPr>
                <w:rFonts w:hint="eastAsia" w:ascii="宋体"/>
                <w:color w:val="auto"/>
                <w:sz w:val="20"/>
                <w:szCs w:val="20"/>
                <w:highlight w:val="none"/>
              </w:rPr>
              <w:t>总价</w:t>
            </w:r>
          </w:p>
          <w:p>
            <w:pPr>
              <w:keepNext w:val="0"/>
              <w:keepLines w:val="0"/>
              <w:widowControl w:val="0"/>
              <w:suppressLineNumbers w:val="0"/>
              <w:spacing w:before="0" w:beforeAutospacing="0" w:after="0" w:afterAutospacing="0"/>
              <w:ind w:left="0" w:right="0"/>
              <w:jc w:val="center"/>
              <w:rPr>
                <w:rFonts w:ascii="宋体"/>
                <w:color w:val="auto"/>
                <w:sz w:val="20"/>
                <w:szCs w:val="20"/>
                <w:highlight w:val="none"/>
              </w:rPr>
            </w:pPr>
            <w:r>
              <w:rPr>
                <w:rFonts w:hint="eastAsia" w:ascii="宋体"/>
                <w:color w:val="auto"/>
                <w:sz w:val="20"/>
                <w:szCs w:val="20"/>
                <w:highlight w:val="none"/>
              </w:rPr>
              <w:t>（</w:t>
            </w:r>
            <w:r>
              <w:rPr>
                <w:rFonts w:hint="eastAsia" w:ascii="宋体"/>
                <w:color w:val="auto"/>
                <w:sz w:val="20"/>
                <w:szCs w:val="20"/>
                <w:highlight w:val="none"/>
                <w:lang w:val="en-US" w:eastAsia="zh-CN"/>
              </w:rPr>
              <w:t>50</w:t>
            </w:r>
            <w:r>
              <w:rPr>
                <w:rFonts w:hint="eastAsia" w:ascii="宋体"/>
                <w:color w:val="auto"/>
                <w:sz w:val="20"/>
                <w:szCs w:val="20"/>
                <w:highlight w:val="none"/>
              </w:rPr>
              <w:t>分）</w:t>
            </w:r>
          </w:p>
        </w:tc>
        <w:tc>
          <w:tcPr>
            <w:tcW w:w="1320"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eastAsia="宋体"/>
                <w:color w:val="auto"/>
                <w:sz w:val="20"/>
                <w:szCs w:val="20"/>
                <w:highlight w:val="none"/>
                <w:lang w:val="en-US" w:eastAsia="zh-CN"/>
              </w:rPr>
            </w:pPr>
            <w:r>
              <w:rPr>
                <w:rFonts w:hint="eastAsia" w:ascii="宋体"/>
                <w:color w:val="auto"/>
                <w:sz w:val="20"/>
                <w:szCs w:val="20"/>
                <w:highlight w:val="none"/>
                <w:lang w:val="en-US" w:eastAsia="zh-CN"/>
              </w:rPr>
              <w:t>参选价格</w:t>
            </w:r>
          </w:p>
        </w:tc>
        <w:tc>
          <w:tcPr>
            <w:tcW w:w="1028"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eastAsia="宋体"/>
                <w:b/>
                <w:color w:val="auto"/>
                <w:sz w:val="20"/>
                <w:szCs w:val="20"/>
                <w:highlight w:val="none"/>
                <w:lang w:val="en-US" w:eastAsia="zh-CN"/>
              </w:rPr>
            </w:pPr>
            <w:r>
              <w:rPr>
                <w:rFonts w:hint="eastAsia" w:ascii="宋体"/>
                <w:b/>
                <w:color w:val="auto"/>
                <w:sz w:val="20"/>
                <w:szCs w:val="20"/>
                <w:highlight w:val="none"/>
                <w:lang w:val="en-US" w:eastAsia="zh-CN"/>
              </w:rPr>
              <w:t>50</w:t>
            </w:r>
          </w:p>
        </w:tc>
        <w:tc>
          <w:tcPr>
            <w:tcW w:w="3810" w:type="dxa"/>
            <w:shd w:val="clear" w:color="auto" w:fill="auto"/>
            <w:noWrap/>
          </w:tcPr>
          <w:p>
            <w:pPr>
              <w:keepNext w:val="0"/>
              <w:keepLines w:val="0"/>
              <w:widowControl w:val="0"/>
              <w:suppressLineNumbers w:val="0"/>
              <w:spacing w:before="0" w:beforeAutospacing="0" w:after="0" w:afterAutospacing="0"/>
              <w:ind w:left="0" w:right="0"/>
              <w:rPr>
                <w:rFonts w:ascii="宋体" w:eastAsia="宋体"/>
                <w:color w:val="auto"/>
                <w:sz w:val="20"/>
                <w:szCs w:val="20"/>
                <w:highlight w:val="none"/>
              </w:rPr>
            </w:pPr>
            <w:r>
              <w:rPr>
                <w:rFonts w:ascii="宋体" w:eastAsia="宋体"/>
                <w:color w:val="auto"/>
                <w:sz w:val="20"/>
                <w:szCs w:val="20"/>
                <w:highlight w:val="none"/>
              </w:rPr>
              <w:t>1.</w:t>
            </w:r>
            <w:r>
              <w:rPr>
                <w:rFonts w:hint="eastAsia" w:ascii="宋体" w:eastAsia="宋体"/>
                <w:color w:val="auto"/>
                <w:sz w:val="20"/>
                <w:szCs w:val="20"/>
                <w:highlight w:val="none"/>
              </w:rPr>
              <w:t>以各有效报价之和的平均价格的90%作为评标基准价</w:t>
            </w:r>
            <w:r>
              <w:rPr>
                <w:rFonts w:ascii="宋体" w:eastAsia="宋体"/>
                <w:color w:val="auto"/>
                <w:sz w:val="20"/>
                <w:szCs w:val="20"/>
                <w:highlight w:val="none"/>
              </w:rPr>
              <w:t>，基准分为50分；</w:t>
            </w:r>
          </w:p>
          <w:p>
            <w:pPr>
              <w:keepNext w:val="0"/>
              <w:keepLines w:val="0"/>
              <w:widowControl w:val="0"/>
              <w:suppressLineNumbers w:val="0"/>
              <w:spacing w:before="0" w:beforeAutospacing="0" w:after="0" w:afterAutospacing="0"/>
              <w:ind w:left="0" w:right="0"/>
              <w:rPr>
                <w:rFonts w:ascii="宋体"/>
                <w:color w:val="auto"/>
                <w:sz w:val="20"/>
                <w:szCs w:val="20"/>
                <w:highlight w:val="none"/>
              </w:rPr>
            </w:pPr>
            <w:r>
              <w:rPr>
                <w:rFonts w:ascii="宋体"/>
                <w:color w:val="auto"/>
                <w:sz w:val="20"/>
                <w:szCs w:val="20"/>
                <w:highlight w:val="none"/>
              </w:rPr>
              <w:t>2.计算各有效报价与</w:t>
            </w:r>
            <w:r>
              <w:rPr>
                <w:rFonts w:hint="eastAsia" w:ascii="宋体"/>
                <w:color w:val="auto"/>
                <w:sz w:val="20"/>
                <w:szCs w:val="20"/>
                <w:highlight w:val="none"/>
                <w:lang w:val="en-US" w:eastAsia="zh-CN"/>
              </w:rPr>
              <w:t>评标</w:t>
            </w:r>
            <w:r>
              <w:rPr>
                <w:rFonts w:ascii="宋体"/>
                <w:color w:val="auto"/>
                <w:sz w:val="20"/>
                <w:szCs w:val="20"/>
                <w:highlight w:val="none"/>
              </w:rPr>
              <w:t>基准价的偏离度。偏离度=（有效报价/评标基准价-1）*100%；</w:t>
            </w:r>
          </w:p>
          <w:p>
            <w:pPr>
              <w:keepNext w:val="0"/>
              <w:keepLines w:val="0"/>
              <w:widowControl w:val="0"/>
              <w:suppressLineNumbers w:val="0"/>
              <w:spacing w:before="0" w:beforeAutospacing="0" w:after="0" w:afterAutospacing="0"/>
              <w:ind w:left="0" w:right="0"/>
              <w:rPr>
                <w:rFonts w:ascii="宋体"/>
                <w:color w:val="auto"/>
                <w:sz w:val="20"/>
                <w:szCs w:val="20"/>
                <w:highlight w:val="none"/>
              </w:rPr>
            </w:pPr>
            <w:r>
              <w:rPr>
                <w:rFonts w:ascii="宋体"/>
                <w:color w:val="auto"/>
                <w:sz w:val="20"/>
                <w:szCs w:val="20"/>
                <w:highlight w:val="none"/>
              </w:rPr>
              <w:t>3.报价每偏离基准价的1%扣</w:t>
            </w:r>
            <w:r>
              <w:rPr>
                <w:rFonts w:hint="eastAsia" w:ascii="宋体"/>
                <w:color w:val="auto"/>
                <w:sz w:val="20"/>
                <w:szCs w:val="20"/>
                <w:highlight w:val="none"/>
                <w:lang w:val="en-US" w:eastAsia="zh-CN"/>
              </w:rPr>
              <w:t>1</w:t>
            </w:r>
            <w:r>
              <w:rPr>
                <w:rFonts w:ascii="宋体"/>
                <w:color w:val="auto"/>
                <w:sz w:val="20"/>
                <w:szCs w:val="20"/>
                <w:highlight w:val="none"/>
              </w:rPr>
              <w:t>分，不足1%的不予扣减。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color w:val="auto"/>
                <w:sz w:val="20"/>
                <w:szCs w:val="20"/>
                <w:highlight w:val="none"/>
                <w:lang w:val="en-US" w:eastAsia="zh-CN"/>
              </w:rPr>
              <w:t>2</w:t>
            </w:r>
          </w:p>
        </w:tc>
        <w:tc>
          <w:tcPr>
            <w:tcW w:w="1023" w:type="dxa"/>
            <w:vMerge w:val="continue"/>
            <w:tcBorders>
              <w:top w:val="single" w:color="auto" w:sz="4" w:space="0"/>
              <w:left w:val="single" w:color="auto" w:sz="4" w:space="0"/>
              <w:right w:val="single" w:color="auto" w:sz="4" w:space="0"/>
            </w:tcBorders>
            <w:shd w:val="clear" w:color="auto" w:fill="auto"/>
            <w:noWrap/>
            <w:vAlign w:val="center"/>
          </w:tcPr>
          <w:p>
            <w:pPr>
              <w:rPr>
                <w:color w:val="auto"/>
                <w:highlight w:val="none"/>
              </w:rPr>
            </w:pPr>
          </w:p>
        </w:tc>
        <w:tc>
          <w:tcPr>
            <w:tcW w:w="1365"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color w:val="auto"/>
                <w:sz w:val="20"/>
                <w:szCs w:val="20"/>
                <w:highlight w:val="none"/>
                <w:lang w:val="en-US" w:eastAsia="zh-CN"/>
              </w:rPr>
            </w:pPr>
            <w:r>
              <w:rPr>
                <w:rFonts w:hint="eastAsia" w:ascii="宋体"/>
                <w:color w:val="auto"/>
                <w:sz w:val="20"/>
                <w:szCs w:val="20"/>
                <w:highlight w:val="none"/>
                <w:lang w:val="en-US" w:eastAsia="zh-CN"/>
              </w:rPr>
              <w:t>实施案例</w:t>
            </w:r>
          </w:p>
          <w:p>
            <w:pPr>
              <w:keepNext w:val="0"/>
              <w:keepLines w:val="0"/>
              <w:widowControl w:val="0"/>
              <w:suppressLineNumbers w:val="0"/>
              <w:spacing w:before="0" w:beforeAutospacing="0" w:after="0" w:afterAutospacing="0"/>
              <w:ind w:left="0" w:right="0"/>
              <w:jc w:val="center"/>
              <w:rPr>
                <w:color w:val="auto"/>
                <w:highlight w:val="none"/>
                <w:lang w:val="en-US" w:eastAsia="zh-CN"/>
              </w:rPr>
            </w:pPr>
            <w:r>
              <w:rPr>
                <w:rFonts w:hint="eastAsia" w:ascii="宋体"/>
                <w:color w:val="auto"/>
                <w:sz w:val="20"/>
                <w:szCs w:val="20"/>
                <w:highlight w:val="none"/>
                <w:lang w:val="en-US" w:eastAsia="zh-CN"/>
              </w:rPr>
              <w:t>（5分）</w:t>
            </w:r>
          </w:p>
        </w:tc>
        <w:tc>
          <w:tcPr>
            <w:tcW w:w="1320"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bidi w:val="0"/>
              <w:spacing w:before="0" w:beforeAutospacing="0" w:after="0" w:afterAutospacing="0"/>
              <w:ind w:left="0" w:right="0"/>
              <w:jc w:val="center"/>
              <w:rPr>
                <w:rFonts w:hint="eastAsia" w:ascii="Cambria Math" w:hAnsi="Cambria Math" w:eastAsia="宋体" w:cs="Cambria Math"/>
                <w:color w:val="auto"/>
                <w:kern w:val="2"/>
                <w:sz w:val="28"/>
                <w:szCs w:val="20"/>
                <w:highlight w:val="none"/>
                <w:lang w:val="en-US" w:eastAsia="zh-CN" w:bidi="ar-SA"/>
              </w:rPr>
            </w:pPr>
            <w:r>
              <w:rPr>
                <w:rFonts w:ascii="宋体"/>
                <w:snapToGrid w:val="0"/>
                <w:color w:val="auto"/>
                <w:sz w:val="20"/>
                <w:szCs w:val="2"/>
                <w:highlight w:val="none"/>
                <w:lang w:eastAsia="zh-CN"/>
              </w:rPr>
              <w:t>实施案例</w:t>
            </w:r>
          </w:p>
        </w:tc>
        <w:tc>
          <w:tcPr>
            <w:tcW w:w="1028"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color w:val="auto"/>
                <w:sz w:val="20"/>
                <w:szCs w:val="20"/>
                <w:highlight w:val="none"/>
                <w:lang w:eastAsia="zh-CN"/>
              </w:rPr>
            </w:pPr>
            <w:r>
              <w:rPr>
                <w:rFonts w:ascii="宋体"/>
                <w:b/>
                <w:bCs/>
                <w:color w:val="auto"/>
                <w:sz w:val="20"/>
                <w:szCs w:val="20"/>
                <w:highlight w:val="none"/>
                <w:lang w:eastAsia="zh-CN"/>
              </w:rPr>
              <w:t>5</w:t>
            </w:r>
          </w:p>
        </w:tc>
        <w:tc>
          <w:tcPr>
            <w:tcW w:w="3810" w:type="dxa"/>
            <w:shd w:val="clear" w:color="auto" w:fill="auto"/>
            <w:noWrap/>
          </w:tcPr>
          <w:p>
            <w:pPr>
              <w:keepNext w:val="0"/>
              <w:keepLines w:val="0"/>
              <w:widowControl w:val="0"/>
              <w:suppressLineNumbers w:val="0"/>
              <w:spacing w:before="0" w:beforeAutospacing="0" w:after="0" w:afterAutospacing="0"/>
              <w:ind w:left="0" w:right="0"/>
              <w:rPr>
                <w:rFonts w:ascii="宋体"/>
                <w:color w:val="auto"/>
                <w:sz w:val="20"/>
                <w:szCs w:val="20"/>
                <w:highlight w:val="none"/>
                <w:lang w:val="en-US" w:eastAsia="zh-CN"/>
              </w:rPr>
            </w:pPr>
            <w:r>
              <w:rPr>
                <w:rFonts w:ascii="宋体"/>
                <w:color w:val="auto"/>
                <w:sz w:val="20"/>
                <w:szCs w:val="20"/>
                <w:highlight w:val="none"/>
                <w:lang w:val="en-US" w:eastAsia="zh-CN"/>
              </w:rPr>
              <w:t>2021年1月1日</w:t>
            </w:r>
            <w:r>
              <w:rPr>
                <w:rFonts w:hint="eastAsia" w:ascii="宋体" w:eastAsia="宋体"/>
                <w:color w:val="auto"/>
                <w:sz w:val="20"/>
                <w:szCs w:val="20"/>
                <w:highlight w:val="none"/>
                <w:lang w:val="en-US" w:eastAsia="zh-CN"/>
              </w:rPr>
              <w:t>至比选截止日，每多1例重庆本地不限行业同类实施案例，得1分，最</w:t>
            </w:r>
            <w:r>
              <w:rPr>
                <w:rFonts w:ascii="宋体"/>
                <w:color w:val="auto"/>
                <w:sz w:val="20"/>
                <w:szCs w:val="20"/>
                <w:highlight w:val="none"/>
                <w:lang w:val="en-US" w:eastAsia="zh-CN"/>
              </w:rPr>
              <w:t>多5分，特定资格条件所用案例不计入评分。</w:t>
            </w:r>
          </w:p>
          <w:p>
            <w:pPr>
              <w:keepNext w:val="0"/>
              <w:keepLines w:val="0"/>
              <w:widowControl w:val="0"/>
              <w:suppressLineNumbers w:val="0"/>
              <w:spacing w:before="0" w:beforeAutospacing="0" w:after="0" w:afterAutospacing="0"/>
              <w:ind w:left="0" w:right="0"/>
              <w:rPr>
                <w:rFonts w:ascii="宋体"/>
                <w:color w:val="auto"/>
                <w:sz w:val="20"/>
                <w:szCs w:val="20"/>
                <w:highlight w:val="none"/>
                <w:lang w:eastAsia="zh-CN"/>
              </w:rPr>
            </w:pPr>
            <w:r>
              <w:rPr>
                <w:rFonts w:ascii="宋体"/>
                <w:color w:val="auto"/>
                <w:sz w:val="20"/>
                <w:szCs w:val="20"/>
                <w:highlight w:val="none"/>
              </w:rPr>
              <w:t>注:</w:t>
            </w:r>
            <w:r>
              <w:rPr>
                <w:rFonts w:hint="eastAsia" w:ascii="宋体" w:eastAsia="宋体"/>
                <w:color w:val="auto"/>
                <w:sz w:val="20"/>
                <w:szCs w:val="20"/>
                <w:highlight w:val="none"/>
                <w:lang w:val="en-US" w:eastAsia="zh-CN"/>
              </w:rPr>
              <w:t>案例要求提供项目合同关键页复印件、合同对应的发票之一和网上税务系统查询该发票截图。（发票开具日期须晚于合同签订日期、发票购买方须与合同买方一致、发票销售方须与合同卖方（参选人）一致），且以下信息不可隐藏，包含：甲乙双方名称、双方印章、项目/产品的名称、合同/中选通知书签订时间、内容页（需包含</w:t>
            </w:r>
            <w:r>
              <w:rPr>
                <w:rFonts w:hint="eastAsia" w:ascii="宋体" w:eastAsia="宋体"/>
                <w:color w:val="auto"/>
                <w:sz w:val="20"/>
                <w:szCs w:val="20"/>
                <w:highlight w:val="none"/>
                <w:lang w:val="en-US" w:eastAsia="zh-Hans"/>
              </w:rPr>
              <w:t>所证明</w:t>
            </w:r>
            <w:r>
              <w:rPr>
                <w:rFonts w:hint="eastAsia" w:ascii="宋体" w:eastAsia="宋体"/>
                <w:color w:val="auto"/>
                <w:sz w:val="20"/>
                <w:szCs w:val="20"/>
                <w:highlight w:val="none"/>
                <w:lang w:val="en-US" w:eastAsia="zh-CN"/>
              </w:rPr>
              <w:t>内容</w:t>
            </w:r>
            <w:r>
              <w:rPr>
                <w:rFonts w:hint="eastAsia" w:ascii="宋体" w:eastAsia="宋体"/>
                <w:color w:val="auto"/>
                <w:sz w:val="20"/>
                <w:szCs w:val="20"/>
                <w:highlight w:val="none"/>
                <w:lang w:val="en-US" w:eastAsia="zh-Hans"/>
              </w:rPr>
              <w:t>的</w:t>
            </w:r>
            <w:r>
              <w:rPr>
                <w:rFonts w:hint="eastAsia" w:ascii="宋体" w:eastAsia="宋体"/>
                <w:color w:val="auto"/>
                <w:sz w:val="20"/>
                <w:szCs w:val="20"/>
                <w:highlight w:val="none"/>
                <w:lang w:val="en-US" w:eastAsia="zh-CN"/>
              </w:rPr>
              <w:t>关键字）等。以上证明文件需提供原件备查,参选文件中须附相关证明文件复印件并逐页加盖公章。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46" w:type="dxa"/>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color w:val="auto"/>
                <w:sz w:val="20"/>
                <w:szCs w:val="20"/>
                <w:highlight w:val="none"/>
                <w:lang w:val="en-US" w:eastAsia="zh-CN"/>
              </w:rPr>
              <w:t>3</w:t>
            </w:r>
          </w:p>
        </w:tc>
        <w:tc>
          <w:tcPr>
            <w:tcW w:w="1023" w:type="dxa"/>
            <w:vMerge w:val="continue"/>
            <w:tcBorders>
              <w:top w:val="single" w:color="auto" w:sz="4" w:space="0"/>
              <w:left w:val="single" w:color="auto" w:sz="4" w:space="0"/>
              <w:right w:val="single" w:color="auto" w:sz="4" w:space="0"/>
            </w:tcBorders>
            <w:shd w:val="clear" w:color="auto" w:fill="auto"/>
            <w:noWrap/>
            <w:vAlign w:val="center"/>
          </w:tcPr>
          <w:p>
            <w:pPr>
              <w:rPr>
                <w:color w:val="auto"/>
                <w:highlight w:val="none"/>
              </w:rPr>
            </w:pPr>
          </w:p>
        </w:tc>
        <w:tc>
          <w:tcPr>
            <w:tcW w:w="1365"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服务响应</w:t>
            </w:r>
          </w:p>
          <w:p>
            <w:pPr>
              <w:keepNext w:val="0"/>
              <w:keepLines w:val="0"/>
              <w:widowControl w:val="0"/>
              <w:suppressLineNumbers w:val="0"/>
              <w:spacing w:before="0" w:beforeAutospacing="0" w:after="0" w:afterAutospacing="0"/>
              <w:ind w:left="0" w:right="0"/>
              <w:jc w:val="center"/>
              <w:rPr>
                <w:color w:val="auto"/>
                <w:highlight w:val="none"/>
                <w:lang w:val="en-US" w:eastAsia="zh-CN"/>
              </w:rPr>
            </w:pPr>
            <w:r>
              <w:rPr>
                <w:rFonts w:hint="eastAsia" w:ascii="宋体" w:eastAsia="宋体"/>
                <w:color w:val="auto"/>
                <w:sz w:val="20"/>
                <w:szCs w:val="20"/>
                <w:highlight w:val="none"/>
                <w:lang w:val="en-US" w:eastAsia="zh-CN"/>
              </w:rPr>
              <w:t>（20）</w:t>
            </w:r>
          </w:p>
        </w:tc>
        <w:tc>
          <w:tcPr>
            <w:tcW w:w="1320"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color w:val="auto"/>
                <w:sz w:val="20"/>
                <w:szCs w:val="20"/>
                <w:highlight w:val="none"/>
              </w:rPr>
            </w:pPr>
            <w:r>
              <w:rPr>
                <w:rFonts w:hint="eastAsia" w:ascii="宋体"/>
                <w:color w:val="auto"/>
                <w:sz w:val="20"/>
                <w:szCs w:val="20"/>
                <w:highlight w:val="none"/>
                <w:lang w:val="en-US" w:eastAsia="zh-CN"/>
              </w:rPr>
              <w:t>服务响应</w:t>
            </w:r>
          </w:p>
        </w:tc>
        <w:tc>
          <w:tcPr>
            <w:tcW w:w="1028"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lang w:eastAsia="zh-CN"/>
              </w:rPr>
            </w:pPr>
            <w:r>
              <w:rPr>
                <w:rFonts w:ascii="宋体"/>
                <w:b/>
                <w:color w:val="auto"/>
                <w:sz w:val="20"/>
                <w:szCs w:val="20"/>
                <w:highlight w:val="none"/>
                <w:lang w:eastAsia="zh-CN"/>
              </w:rPr>
              <w:t>20</w:t>
            </w:r>
          </w:p>
        </w:tc>
        <w:tc>
          <w:tcPr>
            <w:tcW w:w="3810" w:type="dxa"/>
            <w:shd w:val="clear" w:color="auto" w:fill="auto"/>
            <w:noWrap/>
          </w:tcPr>
          <w:p>
            <w:pPr>
              <w:keepNext w:val="0"/>
              <w:keepLines w:val="0"/>
              <w:widowControl w:val="0"/>
              <w:suppressLineNumbers w:val="0"/>
              <w:rPr>
                <w:rFonts w:ascii="宋体"/>
                <w:color w:val="auto"/>
                <w:sz w:val="20"/>
                <w:highlight w:val="none"/>
              </w:rPr>
            </w:pPr>
            <w:r>
              <w:rPr>
                <w:rFonts w:ascii="宋体"/>
                <w:color w:val="auto"/>
                <w:sz w:val="20"/>
                <w:szCs w:val="20"/>
                <w:highlight w:val="none"/>
                <w:lang w:eastAsia="zh-CN"/>
              </w:rPr>
              <w:t>1.承诺报修电话保留12个月电话录音和提供24小时应急车辆保证，车辆运行费用由乙方承担，得5分；</w:t>
            </w:r>
          </w:p>
          <w:p>
            <w:pPr>
              <w:keepNext w:val="0"/>
              <w:keepLines w:val="0"/>
              <w:widowControl w:val="0"/>
              <w:suppressLineNumbers w:val="0"/>
              <w:ind w:left="0"/>
              <w:rPr>
                <w:rFonts w:ascii="宋体"/>
                <w:color w:val="auto"/>
                <w:sz w:val="20"/>
                <w:szCs w:val="20"/>
                <w:highlight w:val="none"/>
                <w:lang w:eastAsia="zh-CN"/>
              </w:rPr>
            </w:pPr>
            <w:r>
              <w:rPr>
                <w:rFonts w:ascii="宋体"/>
                <w:color w:val="auto"/>
                <w:sz w:val="20"/>
                <w:szCs w:val="20"/>
                <w:highlight w:val="none"/>
                <w:lang w:eastAsia="zh-CN"/>
              </w:rPr>
              <w:t>2.承诺电话响应时间不高于5分钟，主城、万州辖区到达现场时间不超过2小时，重庆市内其他区县到达现场时间不超过4小时，得15分。</w:t>
            </w:r>
          </w:p>
          <w:p>
            <w:pPr>
              <w:keepNext w:val="0"/>
              <w:keepLines w:val="0"/>
              <w:widowControl w:val="0"/>
              <w:suppressLineNumbers w:val="0"/>
              <w:spacing w:before="0" w:beforeAutospacing="0" w:after="0" w:afterAutospacing="0"/>
              <w:ind w:left="0" w:right="0"/>
              <w:rPr>
                <w:color w:val="auto"/>
                <w:szCs w:val="20"/>
                <w:highlight w:val="none"/>
                <w:lang w:eastAsia="zh-CN"/>
              </w:rPr>
            </w:pPr>
            <w:r>
              <w:rPr>
                <w:rFonts w:ascii="宋体"/>
                <w:color w:val="auto"/>
                <w:sz w:val="20"/>
                <w:highlight w:val="none"/>
              </w:rPr>
              <w:t>注：</w:t>
            </w:r>
            <w:r>
              <w:rPr>
                <w:rFonts w:hint="eastAsia" w:ascii="宋体"/>
                <w:color w:val="auto"/>
                <w:sz w:val="20"/>
                <w:highlight w:val="none"/>
                <w:lang w:val="en-US" w:eastAsia="zh-CN"/>
              </w:rPr>
              <w:t>参选</w:t>
            </w:r>
            <w:r>
              <w:rPr>
                <w:rFonts w:ascii="宋体"/>
                <w:color w:val="auto"/>
                <w:sz w:val="20"/>
                <w:highlight w:val="none"/>
              </w:rPr>
              <w:t>人提供服务承诺函原件，格式自拟。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46" w:type="dxa"/>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color w:val="auto"/>
                <w:sz w:val="20"/>
                <w:szCs w:val="20"/>
                <w:highlight w:val="none"/>
                <w:lang w:val="en-US" w:eastAsia="zh-CN"/>
              </w:rPr>
              <w:t>4</w:t>
            </w:r>
          </w:p>
        </w:tc>
        <w:tc>
          <w:tcPr>
            <w:tcW w:w="1023" w:type="dxa"/>
            <w:vMerge w:val="continue"/>
            <w:tcBorders>
              <w:top w:val="single" w:color="auto" w:sz="4" w:space="0"/>
              <w:left w:val="single" w:color="auto" w:sz="4" w:space="0"/>
              <w:right w:val="single" w:color="auto" w:sz="4" w:space="0"/>
            </w:tcBorders>
            <w:shd w:val="clear" w:color="auto" w:fill="auto"/>
            <w:noWrap/>
            <w:vAlign w:val="center"/>
          </w:tcPr>
          <w:p>
            <w:pPr>
              <w:rPr>
                <w:color w:val="auto"/>
                <w:highlight w:val="none"/>
              </w:rPr>
            </w:pPr>
          </w:p>
        </w:tc>
        <w:tc>
          <w:tcPr>
            <w:tcW w:w="1365" w:type="dxa"/>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项目培训</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color w:val="auto"/>
                <w:highlight w:val="none"/>
                <w:lang w:val="en-US" w:eastAsia="zh-CN"/>
              </w:rPr>
            </w:pPr>
            <w:r>
              <w:rPr>
                <w:rFonts w:hint="eastAsia" w:ascii="宋体" w:eastAsia="宋体"/>
                <w:color w:val="auto"/>
                <w:sz w:val="20"/>
                <w:szCs w:val="20"/>
                <w:highlight w:val="none"/>
                <w:lang w:val="en-US" w:eastAsia="zh-CN"/>
              </w:rPr>
              <w:t>（5）</w:t>
            </w:r>
          </w:p>
        </w:tc>
        <w:tc>
          <w:tcPr>
            <w:tcW w:w="1320"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eastAsia="宋体"/>
                <w:color w:val="auto"/>
                <w:sz w:val="20"/>
                <w:szCs w:val="20"/>
                <w:highlight w:val="none"/>
                <w:lang w:val="en-US" w:eastAsia="zh-CN"/>
              </w:rPr>
            </w:pPr>
            <w:r>
              <w:rPr>
                <w:rFonts w:hint="eastAsia" w:ascii="宋体"/>
                <w:color w:val="auto"/>
                <w:sz w:val="20"/>
                <w:szCs w:val="20"/>
                <w:highlight w:val="none"/>
                <w:lang w:val="en-US" w:eastAsia="zh-CN"/>
              </w:rPr>
              <w:t>项目培训</w:t>
            </w:r>
          </w:p>
        </w:tc>
        <w:tc>
          <w:tcPr>
            <w:tcW w:w="1028"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lang w:eastAsia="zh-CN"/>
              </w:rPr>
            </w:pPr>
            <w:r>
              <w:rPr>
                <w:rFonts w:ascii="宋体"/>
                <w:b/>
                <w:color w:val="auto"/>
                <w:sz w:val="20"/>
                <w:szCs w:val="20"/>
                <w:highlight w:val="none"/>
                <w:lang w:eastAsia="zh-CN"/>
              </w:rPr>
              <w:t>5</w:t>
            </w:r>
          </w:p>
        </w:tc>
        <w:tc>
          <w:tcPr>
            <w:tcW w:w="3810" w:type="dxa"/>
            <w:shd w:val="clear" w:color="auto" w:fill="auto"/>
            <w:noWrap/>
          </w:tcPr>
          <w:p>
            <w:pPr>
              <w:keepNext w:val="0"/>
              <w:keepLines w:val="0"/>
              <w:widowControl w:val="0"/>
              <w:suppressLineNumbers w:val="0"/>
              <w:spacing w:before="0" w:beforeAutospacing="0" w:after="0" w:afterAutospacing="0"/>
              <w:ind w:left="0" w:right="0"/>
              <w:rPr>
                <w:rFonts w:ascii="宋体"/>
                <w:color w:val="auto"/>
                <w:sz w:val="20"/>
                <w:szCs w:val="20"/>
                <w:highlight w:val="none"/>
                <w:lang w:eastAsia="zh-CN"/>
              </w:rPr>
            </w:pPr>
            <w:r>
              <w:rPr>
                <w:rFonts w:ascii="宋体"/>
                <w:color w:val="auto"/>
                <w:sz w:val="20"/>
                <w:szCs w:val="20"/>
                <w:highlight w:val="none"/>
                <w:lang w:eastAsia="zh-CN"/>
              </w:rPr>
              <w:t>1.承诺每季度为项目组（不超过5人）组织不少于1次技术培训，得2分；</w:t>
            </w:r>
          </w:p>
          <w:p>
            <w:pPr>
              <w:keepNext w:val="0"/>
              <w:keepLines w:val="0"/>
              <w:widowControl w:val="0"/>
              <w:suppressLineNumbers w:val="0"/>
              <w:ind w:left="0"/>
              <w:rPr>
                <w:rFonts w:ascii="宋体"/>
                <w:color w:val="auto"/>
                <w:sz w:val="20"/>
                <w:highlight w:val="none"/>
              </w:rPr>
            </w:pPr>
            <w:r>
              <w:rPr>
                <w:rFonts w:ascii="宋体"/>
                <w:color w:val="auto"/>
                <w:sz w:val="20"/>
                <w:szCs w:val="20"/>
                <w:highlight w:val="none"/>
                <w:lang w:eastAsia="zh-CN"/>
              </w:rPr>
              <w:t>2.承诺每年为项目组（不超过5人）组织不少于1</w:t>
            </w:r>
            <w:r>
              <w:rPr>
                <w:rFonts w:ascii="宋体"/>
                <w:color w:val="auto"/>
                <w:sz w:val="20"/>
                <w:highlight w:val="none"/>
              </w:rPr>
              <w:t>次技术认证培训（含认证），得3分。</w:t>
            </w:r>
          </w:p>
          <w:p>
            <w:pPr>
              <w:keepNext w:val="0"/>
              <w:keepLines w:val="0"/>
              <w:widowControl w:val="0"/>
              <w:suppressLineNumbers w:val="0"/>
              <w:ind w:left="0"/>
              <w:rPr>
                <w:color w:val="auto"/>
                <w:highlight w:val="none"/>
              </w:rPr>
            </w:pPr>
            <w:r>
              <w:rPr>
                <w:rFonts w:ascii="宋体"/>
                <w:color w:val="auto"/>
                <w:sz w:val="20"/>
                <w:highlight w:val="none"/>
              </w:rPr>
              <w:t>注：</w:t>
            </w:r>
            <w:r>
              <w:rPr>
                <w:rFonts w:hint="eastAsia" w:ascii="宋体"/>
                <w:color w:val="auto"/>
                <w:sz w:val="20"/>
                <w:highlight w:val="none"/>
                <w:lang w:val="en-US" w:eastAsia="zh-CN"/>
              </w:rPr>
              <w:t>参选</w:t>
            </w:r>
            <w:r>
              <w:rPr>
                <w:rFonts w:ascii="宋体"/>
                <w:color w:val="auto"/>
                <w:sz w:val="20"/>
                <w:highlight w:val="none"/>
              </w:rPr>
              <w:t>人提供服务承诺函原件，格式自拟。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646" w:type="dxa"/>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5</w:t>
            </w:r>
          </w:p>
        </w:tc>
        <w:tc>
          <w:tcPr>
            <w:tcW w:w="1023" w:type="dxa"/>
            <w:vMerge w:val="continue"/>
            <w:tcBorders>
              <w:top w:val="single" w:color="auto" w:sz="4" w:space="0"/>
              <w:left w:val="single" w:color="auto" w:sz="4" w:space="0"/>
              <w:right w:val="single" w:color="auto" w:sz="4" w:space="0"/>
            </w:tcBorders>
            <w:shd w:val="clear" w:color="auto" w:fill="auto"/>
            <w:noWrap/>
            <w:vAlign w:val="center"/>
          </w:tcPr>
          <w:p>
            <w:pPr>
              <w:rPr>
                <w:color w:val="auto"/>
                <w:highlight w:val="none"/>
              </w:rPr>
            </w:pPr>
          </w:p>
        </w:tc>
        <w:tc>
          <w:tcPr>
            <w:tcW w:w="1365"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本地化快速服务体系</w:t>
            </w:r>
          </w:p>
          <w:p>
            <w:pPr>
              <w:keepNext w:val="0"/>
              <w:keepLines w:val="0"/>
              <w:widowControl w:val="0"/>
              <w:suppressLineNumbers w:val="0"/>
              <w:spacing w:before="0" w:beforeAutospacing="0" w:after="0" w:afterAutospacing="0"/>
              <w:ind w:left="0" w:right="0"/>
              <w:jc w:val="center"/>
              <w:rPr>
                <w:rFonts w:ascii="宋体" w:eastAsia="宋体"/>
                <w:color w:val="auto"/>
                <w:sz w:val="20"/>
                <w:szCs w:val="20"/>
                <w:highlight w:val="none"/>
                <w:lang w:val="en-US" w:eastAsia="zh-CN"/>
              </w:rPr>
            </w:pPr>
            <w:r>
              <w:rPr>
                <w:rFonts w:hint="eastAsia" w:ascii="宋体" w:eastAsia="宋体"/>
                <w:color w:val="auto"/>
                <w:sz w:val="20"/>
                <w:szCs w:val="20"/>
                <w:highlight w:val="none"/>
                <w:lang w:val="en-US" w:eastAsia="zh-CN"/>
              </w:rPr>
              <w:t>（20）</w:t>
            </w:r>
          </w:p>
        </w:tc>
        <w:tc>
          <w:tcPr>
            <w:tcW w:w="1320"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宋体"/>
                <w:color w:val="auto"/>
                <w:sz w:val="20"/>
                <w:szCs w:val="20"/>
                <w:highlight w:val="none"/>
              </w:rPr>
            </w:pPr>
            <w:r>
              <w:rPr>
                <w:rFonts w:hint="eastAsia" w:ascii="宋体"/>
                <w:color w:val="auto"/>
                <w:sz w:val="20"/>
                <w:szCs w:val="20"/>
                <w:highlight w:val="none"/>
                <w:lang w:val="en-US" w:eastAsia="zh-CN"/>
              </w:rPr>
              <w:t>本地化快速服务体系</w:t>
            </w:r>
          </w:p>
        </w:tc>
        <w:tc>
          <w:tcPr>
            <w:tcW w:w="1028" w:type="dxa"/>
            <w:tcBorders>
              <w:top w:val="single" w:color="auto" w:sz="4" w:space="0"/>
              <w:left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lang w:eastAsia="zh-CN"/>
              </w:rPr>
            </w:pPr>
            <w:r>
              <w:rPr>
                <w:rFonts w:ascii="宋体"/>
                <w:b/>
                <w:color w:val="auto"/>
                <w:sz w:val="20"/>
                <w:szCs w:val="20"/>
                <w:highlight w:val="none"/>
                <w:lang w:eastAsia="zh-CN"/>
              </w:rPr>
              <w:t>20</w:t>
            </w:r>
          </w:p>
        </w:tc>
        <w:tc>
          <w:tcPr>
            <w:tcW w:w="3810" w:type="dxa"/>
            <w:shd w:val="clear" w:color="auto" w:fill="auto"/>
            <w:noWrap/>
          </w:tcPr>
          <w:p>
            <w:pPr>
              <w:keepNext w:val="0"/>
              <w:keepLines w:val="0"/>
              <w:widowControl w:val="0"/>
              <w:suppressLineNumbers w:val="0"/>
              <w:tabs>
                <w:tab w:val="left" w:pos="976"/>
              </w:tabs>
              <w:bidi w:val="0"/>
              <w:spacing w:before="0" w:beforeAutospacing="0" w:after="0" w:afterAutospacing="0"/>
              <w:ind w:left="0" w:right="0"/>
              <w:jc w:val="left"/>
              <w:rPr>
                <w:rFonts w:hint="eastAsia" w:ascii="宋体" w:eastAsia="宋体"/>
                <w:color w:val="auto"/>
                <w:sz w:val="20"/>
                <w:szCs w:val="20"/>
                <w:highlight w:val="none"/>
                <w:lang w:eastAsia="zh-CN"/>
              </w:rPr>
            </w:pPr>
            <w:r>
              <w:rPr>
                <w:rFonts w:hint="eastAsia" w:ascii="宋体"/>
                <w:color w:val="auto"/>
                <w:sz w:val="20"/>
                <w:szCs w:val="20"/>
                <w:highlight w:val="none"/>
                <w:lang w:eastAsia="zh-CN"/>
              </w:rPr>
              <w:t>参选</w:t>
            </w:r>
            <w:r>
              <w:rPr>
                <w:rFonts w:ascii="宋体"/>
                <w:color w:val="auto"/>
                <w:sz w:val="20"/>
                <w:szCs w:val="20"/>
                <w:highlight w:val="none"/>
                <w:lang w:eastAsia="zh-CN"/>
              </w:rPr>
              <w:t>人具有重庆市各区县常驻本地运维团队</w:t>
            </w:r>
            <w:r>
              <w:rPr>
                <w:rFonts w:hint="eastAsia" w:ascii="宋体"/>
                <w:color w:val="auto"/>
                <w:sz w:val="20"/>
                <w:szCs w:val="20"/>
                <w:highlight w:val="none"/>
                <w:lang w:val="en-US" w:eastAsia="zh-CN"/>
              </w:rPr>
              <w:t>,需提供相应区县的证明材料，每提供一个合格证明材料得0.5分（本项最高得分20分）</w:t>
            </w:r>
            <w:r>
              <w:rPr>
                <w:rFonts w:hint="eastAsia" w:ascii="宋体" w:eastAsia="宋体"/>
                <w:color w:val="auto"/>
                <w:sz w:val="20"/>
                <w:szCs w:val="20"/>
                <w:highlight w:val="none"/>
                <w:lang w:eastAsia="zh-CN"/>
              </w:rPr>
              <w:t>。</w:t>
            </w:r>
          </w:p>
          <w:p>
            <w:pPr>
              <w:keepNext w:val="0"/>
              <w:keepLines w:val="0"/>
              <w:widowControl w:val="0"/>
              <w:suppressLineNumbers w:val="0"/>
              <w:tabs>
                <w:tab w:val="left" w:pos="976"/>
              </w:tabs>
              <w:bidi w:val="0"/>
              <w:spacing w:before="0" w:beforeAutospacing="0" w:after="0" w:afterAutospacing="0"/>
              <w:ind w:left="0" w:right="0"/>
              <w:jc w:val="left"/>
              <w:rPr>
                <w:color w:val="auto"/>
                <w:highlight w:val="none"/>
                <w:lang w:val="en-US" w:eastAsia="zh-CN"/>
              </w:rPr>
            </w:pPr>
            <w:r>
              <w:rPr>
                <w:rFonts w:hint="eastAsia" w:ascii="宋体" w:eastAsia="宋体"/>
                <w:color w:val="auto"/>
                <w:sz w:val="20"/>
                <w:szCs w:val="20"/>
                <w:highlight w:val="none"/>
                <w:lang w:eastAsia="zh-CN"/>
              </w:rPr>
              <w:t>（</w:t>
            </w:r>
            <w:r>
              <w:rPr>
                <w:rFonts w:hint="eastAsia" w:ascii="宋体"/>
                <w:color w:val="auto"/>
                <w:sz w:val="20"/>
                <w:szCs w:val="20"/>
                <w:highlight w:val="none"/>
                <w:lang w:val="en-US" w:eastAsia="zh-CN"/>
              </w:rPr>
              <w:t>证明材料可包括：固定资产证明、办公场地证明、营业执照、税务登记证等，集团、分公司等关联企业需提供关系证明和由总部授权的提供服务承诺</w:t>
            </w:r>
            <w:r>
              <w:rPr>
                <w:rFonts w:hint="eastAsia" w:ascii="宋体" w:eastAsia="宋体"/>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69" w:type="dxa"/>
            <w:gridSpan w:val="2"/>
            <w:shd w:val="clear" w:color="auto" w:fill="auto"/>
            <w:noWrap/>
          </w:tcPr>
          <w:p>
            <w:pPr>
              <w:keepNext w:val="0"/>
              <w:keepLines w:val="0"/>
              <w:widowControl w:val="0"/>
              <w:suppressLineNumbers w:val="0"/>
              <w:spacing w:before="0" w:beforeAutospacing="0" w:after="0" w:afterAutospacing="0"/>
              <w:ind w:left="0" w:right="0"/>
              <w:jc w:val="center"/>
              <w:rPr>
                <w:rFonts w:ascii="宋体"/>
                <w:color w:val="auto"/>
                <w:sz w:val="22"/>
                <w:szCs w:val="20"/>
                <w:highlight w:val="none"/>
              </w:rPr>
            </w:pPr>
          </w:p>
        </w:tc>
        <w:tc>
          <w:tcPr>
            <w:tcW w:w="2685" w:type="dxa"/>
            <w:gridSpan w:val="2"/>
            <w:tcBorders>
              <w:top w:val="single" w:color="auto" w:sz="4" w:space="0"/>
              <w:left w:val="single" w:color="auto" w:sz="4" w:space="0"/>
              <w:right w:val="single" w:color="auto" w:sz="4" w:space="0"/>
            </w:tcBorders>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合计</w:t>
            </w:r>
          </w:p>
        </w:tc>
        <w:tc>
          <w:tcPr>
            <w:tcW w:w="1028" w:type="dxa"/>
            <w:tcBorders>
              <w:top w:val="single" w:color="auto" w:sz="4" w:space="0"/>
              <w:left w:val="single" w:color="auto" w:sz="4" w:space="0"/>
              <w:right w:val="single" w:color="auto" w:sz="4" w:space="0"/>
            </w:tcBorders>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r>
              <w:rPr>
                <w:rFonts w:hint="eastAsia" w:ascii="宋体"/>
                <w:b/>
                <w:color w:val="auto"/>
                <w:sz w:val="20"/>
                <w:szCs w:val="20"/>
                <w:highlight w:val="none"/>
              </w:rPr>
              <w:t>100</w:t>
            </w:r>
          </w:p>
        </w:tc>
        <w:tc>
          <w:tcPr>
            <w:tcW w:w="3810" w:type="dxa"/>
            <w:shd w:val="clear" w:color="auto" w:fill="auto"/>
            <w:noWrap/>
          </w:tcPr>
          <w:p>
            <w:pPr>
              <w:keepNext w:val="0"/>
              <w:keepLines w:val="0"/>
              <w:widowControl w:val="0"/>
              <w:suppressLineNumbers w:val="0"/>
              <w:spacing w:before="0" w:beforeAutospacing="0" w:after="0" w:afterAutospacing="0"/>
              <w:ind w:left="0" w:right="0"/>
              <w:jc w:val="center"/>
              <w:rPr>
                <w:rFonts w:ascii="宋体"/>
                <w:b/>
                <w:color w:val="auto"/>
                <w:sz w:val="20"/>
                <w:szCs w:val="20"/>
                <w:highlight w:val="none"/>
              </w:rPr>
            </w:pPr>
          </w:p>
        </w:tc>
      </w:tr>
    </w:tbl>
    <w:p>
      <w:pPr>
        <w:spacing w:line="360" w:lineRule="auto"/>
        <w:ind w:firstLine="482" w:firstLineChars="200"/>
        <w:jc w:val="left"/>
        <w:outlineLvl w:val="1"/>
        <w:rPr>
          <w:rFonts w:ascii="宋体" w:hAnsi="宋体"/>
          <w:b/>
          <w:snapToGrid w:val="0"/>
          <w:color w:val="auto"/>
          <w:kern w:val="0"/>
          <w:sz w:val="24"/>
          <w:szCs w:val="24"/>
          <w:highlight w:val="none"/>
        </w:rPr>
      </w:pPr>
      <w:r>
        <w:rPr>
          <w:rFonts w:hint="eastAsia" w:ascii="宋体" w:hAnsi="宋体"/>
          <w:b/>
          <w:snapToGrid w:val="0"/>
          <w:color w:val="auto"/>
          <w:kern w:val="0"/>
          <w:sz w:val="24"/>
          <w:szCs w:val="24"/>
          <w:highlight w:val="none"/>
        </w:rPr>
        <w:t>三、无效</w:t>
      </w:r>
      <w:r>
        <w:rPr>
          <w:rFonts w:ascii="宋体" w:hAnsi="宋体"/>
          <w:b/>
          <w:snapToGrid w:val="0"/>
          <w:color w:val="auto"/>
          <w:kern w:val="0"/>
          <w:sz w:val="24"/>
          <w:szCs w:val="24"/>
          <w:highlight w:val="none"/>
        </w:rPr>
        <w:t>参选</w:t>
      </w:r>
      <w:r>
        <w:rPr>
          <w:rFonts w:hint="eastAsia" w:ascii="宋体" w:hAnsi="宋体"/>
          <w:b/>
          <w:snapToGrid w:val="0"/>
          <w:color w:val="auto"/>
          <w:kern w:val="0"/>
          <w:sz w:val="24"/>
          <w:szCs w:val="24"/>
          <w:highlight w:val="none"/>
        </w:rPr>
        <w:t>条款</w:t>
      </w:r>
      <w:bookmarkEnd w:id="74"/>
      <w:bookmarkEnd w:id="75"/>
      <w:bookmarkEnd w:id="76"/>
      <w:bookmarkEnd w:id="77"/>
      <w:bookmarkEnd w:id="78"/>
    </w:p>
    <w:p>
      <w:pPr>
        <w:snapToGrid w:val="0"/>
        <w:spacing w:line="360" w:lineRule="auto"/>
        <w:ind w:firstLine="480" w:firstLineChars="200"/>
        <w:rPr>
          <w:rFonts w:ascii="宋体"/>
          <w:snapToGrid w:val="0"/>
          <w:color w:val="auto"/>
          <w:kern w:val="0"/>
          <w:sz w:val="24"/>
          <w:szCs w:val="24"/>
          <w:highlight w:val="none"/>
        </w:rPr>
      </w:pP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人或其</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文件出现下列情况之一者，应为无效</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（一）参选人未按比选文件规定提交足额参选保证金的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（二）参选人未通过资格性检查，参选文件未通过符合性检查或参选文件经证实存在弄虚作假的</w:t>
      </w:r>
      <w:r>
        <w:rPr>
          <w:rFonts w:hint="eastAsia" w:ascii="宋体"/>
          <w:snapToGrid w:val="0"/>
          <w:color w:val="auto"/>
          <w:kern w:val="0"/>
          <w:sz w:val="24"/>
          <w:szCs w:val="24"/>
          <w:highlight w:val="none"/>
        </w:rPr>
        <w:t>。</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（三）</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人超出其营业执照或事业单位法人证书上经营范围（业务范围）</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（四）单位负责人为同一人或者存在直接控股、管理关系的不同</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人，不得参加同一合同项下的采购活动，上述</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均无效。</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（五）同一分包的软件，制造商参与参选，再委托代理商参与参选的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（六）参选文件不满足比选文件第七章参选文件格式中所规定签字、盖章的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（七）参选文件出现多个参选方案或参选报价的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（八）参选报价超出最高限价的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（九）参选文件含有违反国家法律、法规的内容，或附有比选人不能接受的条件的。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（十）出现影响比选公正的违法、违规行为的。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（十一）与比选人、评审专家、其他参选人恶意串通。</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（十二）参选法人发生合并、分立、破产等重大变化后，不再具备比选要求的资格条件的。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（十三）提供虚假材料谋取中选资格的。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（十四）参选文件含有比选人不能接受的附件条件的。</w:t>
      </w:r>
    </w:p>
    <w:p>
      <w:pPr>
        <w:spacing w:line="360" w:lineRule="auto"/>
        <w:ind w:firstLine="482" w:firstLineChars="200"/>
        <w:jc w:val="left"/>
        <w:outlineLvl w:val="1"/>
        <w:rPr>
          <w:rFonts w:ascii="宋体"/>
          <w:b/>
          <w:snapToGrid w:val="0"/>
          <w:color w:val="auto"/>
          <w:kern w:val="0"/>
          <w:sz w:val="24"/>
          <w:szCs w:val="24"/>
          <w:highlight w:val="none"/>
        </w:rPr>
      </w:pPr>
      <w:r>
        <w:rPr>
          <w:rFonts w:hint="eastAsia" w:ascii="宋体"/>
          <w:b/>
          <w:snapToGrid w:val="0"/>
          <w:color w:val="auto"/>
          <w:kern w:val="0"/>
          <w:sz w:val="24"/>
          <w:szCs w:val="24"/>
          <w:highlight w:val="none"/>
        </w:rPr>
        <w:t>四、对评审委员会成员的纪律要求</w:t>
      </w:r>
    </w:p>
    <w:p>
      <w:pPr>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spacing w:line="360" w:lineRule="auto"/>
        <w:ind w:firstLine="482" w:firstLineChars="200"/>
        <w:jc w:val="left"/>
        <w:outlineLvl w:val="1"/>
        <w:rPr>
          <w:rFonts w:ascii="宋体"/>
          <w:b/>
          <w:snapToGrid w:val="0"/>
          <w:color w:val="auto"/>
          <w:kern w:val="0"/>
          <w:sz w:val="24"/>
          <w:szCs w:val="24"/>
          <w:highlight w:val="none"/>
        </w:rPr>
      </w:pPr>
      <w:r>
        <w:rPr>
          <w:rFonts w:hint="eastAsia" w:ascii="宋体"/>
          <w:b/>
          <w:snapToGrid w:val="0"/>
          <w:color w:val="auto"/>
          <w:kern w:val="0"/>
          <w:sz w:val="24"/>
          <w:szCs w:val="24"/>
          <w:highlight w:val="none"/>
        </w:rPr>
        <w:t>五、对与评审活动有关的工作人员的纪律要求</w:t>
      </w:r>
    </w:p>
    <w:p>
      <w:pPr>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标程序正常进行。</w:t>
      </w:r>
    </w:p>
    <w:p>
      <w:pPr>
        <w:spacing w:line="360" w:lineRule="auto"/>
        <w:ind w:firstLine="480" w:firstLineChars="200"/>
        <w:rPr>
          <w:rFonts w:ascii="宋体"/>
          <w:snapToGrid w:val="0"/>
          <w:color w:val="auto"/>
          <w:kern w:val="0"/>
          <w:sz w:val="24"/>
          <w:szCs w:val="24"/>
          <w:highlight w:val="none"/>
        </w:rPr>
      </w:pPr>
    </w:p>
    <w:p>
      <w:pPr>
        <w:rPr>
          <w:rFonts w:hint="eastAsia"/>
          <w:color w:val="auto"/>
          <w:highlight w:val="none"/>
        </w:rPr>
      </w:pPr>
      <w:bookmarkStart w:id="79" w:name="_Toc150953074"/>
      <w:bookmarkStart w:id="80" w:name="_Toc303066034"/>
      <w:bookmarkStart w:id="81" w:name="_Toc89675170"/>
      <w:r>
        <w:rPr>
          <w:rFonts w:hint="eastAsia"/>
          <w:color w:val="auto"/>
          <w:highlight w:val="none"/>
        </w:rPr>
        <w:br w:type="page"/>
      </w:r>
    </w:p>
    <w:p>
      <w:pPr>
        <w:pStyle w:val="3"/>
        <w:spacing w:before="0"/>
        <w:ind w:right="0" w:rightChars="0"/>
        <w:rPr>
          <w:color w:val="auto"/>
          <w:highlight w:val="none"/>
        </w:rPr>
      </w:pPr>
      <w:bookmarkStart w:id="82" w:name="_Toc30524"/>
      <w:r>
        <w:rPr>
          <w:rFonts w:hint="eastAsia"/>
          <w:color w:val="auto"/>
          <w:highlight w:val="none"/>
        </w:rPr>
        <w:t>第六章 合同</w:t>
      </w:r>
      <w:r>
        <w:rPr>
          <w:color w:val="auto"/>
          <w:highlight w:val="none"/>
        </w:rPr>
        <w:t>模板</w:t>
      </w:r>
      <w:bookmarkEnd w:id="79"/>
      <w:bookmarkEnd w:id="82"/>
    </w:p>
    <w:p>
      <w:pPr>
        <w:pStyle w:val="11"/>
        <w:spacing w:line="360" w:lineRule="auto"/>
        <w:jc w:val="center"/>
        <w:rPr>
          <w:rFonts w:hint="eastAsia" w:eastAsia="宋体"/>
          <w:bCs/>
          <w:color w:val="auto"/>
          <w:sz w:val="24"/>
          <w:szCs w:val="40"/>
          <w:highlight w:val="none"/>
          <w:lang w:val="en-US" w:eastAsia="zh-CN"/>
        </w:rPr>
      </w:pPr>
      <w:r>
        <w:rPr>
          <w:rFonts w:hint="eastAsia"/>
          <w:bCs/>
          <w:color w:val="auto"/>
          <w:sz w:val="24"/>
          <w:szCs w:val="40"/>
          <w:highlight w:val="none"/>
          <w:lang w:val="en-US" w:eastAsia="zh-CN"/>
        </w:rPr>
        <w:t>（本章节的合同条款及格式仅供参考，具体以合同签订时为准）</w:t>
      </w:r>
    </w:p>
    <w:p>
      <w:pPr>
        <w:pStyle w:val="11"/>
        <w:spacing w:line="360" w:lineRule="auto"/>
        <w:jc w:val="right"/>
        <w:rPr>
          <w:bCs/>
          <w:color w:val="auto"/>
          <w:sz w:val="24"/>
          <w:szCs w:val="40"/>
          <w:highlight w:val="none"/>
        </w:rPr>
      </w:pPr>
      <w:r>
        <w:rPr>
          <w:rFonts w:hint="eastAsia"/>
          <w:bCs/>
          <w:color w:val="auto"/>
          <w:sz w:val="24"/>
          <w:szCs w:val="40"/>
          <w:highlight w:val="none"/>
        </w:rPr>
        <w:t>编号：SXYH</w:t>
      </w:r>
      <w:r>
        <w:rPr>
          <w:bCs/>
          <w:color w:val="auto"/>
          <w:sz w:val="24"/>
          <w:szCs w:val="40"/>
          <w:highlight w:val="none"/>
        </w:rPr>
        <w:t>20200101018</w:t>
      </w:r>
      <w:r>
        <w:rPr>
          <w:rFonts w:hint="eastAsia"/>
          <w:bCs/>
          <w:color w:val="auto"/>
          <w:sz w:val="24"/>
          <w:szCs w:val="40"/>
          <w:highlight w:val="none"/>
        </w:rPr>
        <w:t>_____</w:t>
      </w:r>
    </w:p>
    <w:p>
      <w:pPr>
        <w:pStyle w:val="11"/>
        <w:spacing w:line="360" w:lineRule="auto"/>
        <w:jc w:val="center"/>
        <w:outlineLvl w:val="9"/>
        <w:rPr>
          <w:b/>
          <w:bCs/>
          <w:color w:val="auto"/>
          <w:sz w:val="40"/>
          <w:szCs w:val="40"/>
          <w:highlight w:val="none"/>
        </w:rPr>
      </w:pPr>
      <w:r>
        <w:rPr>
          <w:b/>
          <w:bCs/>
          <w:color w:val="auto"/>
          <w:sz w:val="40"/>
          <w:szCs w:val="40"/>
          <w:highlight w:val="none"/>
        </w:rPr>
        <w:t>重庆三峡银行</w:t>
      </w:r>
    </w:p>
    <w:p>
      <w:pPr>
        <w:pStyle w:val="11"/>
        <w:spacing w:line="360" w:lineRule="auto"/>
        <w:jc w:val="center"/>
        <w:outlineLvl w:val="9"/>
        <w:rPr>
          <w:b/>
          <w:bCs/>
          <w:color w:val="auto"/>
          <w:sz w:val="40"/>
          <w:szCs w:val="40"/>
          <w:highlight w:val="none"/>
        </w:rPr>
      </w:pPr>
      <w:r>
        <w:rPr>
          <w:b/>
          <w:bCs/>
          <w:color w:val="auto"/>
          <w:sz w:val="40"/>
          <w:szCs w:val="40"/>
          <w:highlight w:val="none"/>
        </w:rPr>
        <w:t>技 术 服 务 合 同</w:t>
      </w:r>
    </w:p>
    <w:p>
      <w:pPr>
        <w:autoSpaceDE w:val="0"/>
        <w:autoSpaceDN w:val="0"/>
        <w:jc w:val="center"/>
        <w:rPr>
          <w:rFonts w:ascii="Times New Roman" w:hAnsi="Times New Roman" w:cs="Times New Roman"/>
          <w:b/>
          <w:snapToGrid w:val="0"/>
          <w:color w:val="auto"/>
          <w:kern w:val="0"/>
          <w:sz w:val="48"/>
          <w:szCs w:val="84"/>
          <w:highlight w:val="none"/>
        </w:rPr>
      </w:pPr>
      <w:r>
        <w:rPr>
          <w:bCs/>
          <w:color w:val="auto"/>
          <w:sz w:val="28"/>
          <w:szCs w:val="28"/>
          <w:highlight w:val="none"/>
        </w:rPr>
        <w:t>（</w:t>
      </w:r>
      <w:r>
        <w:rPr>
          <w:rFonts w:hint="eastAsia"/>
          <w:bCs/>
          <w:color w:val="auto"/>
          <w:sz w:val="28"/>
          <w:szCs w:val="28"/>
          <w:highlight w:val="none"/>
          <w:lang w:val="en-US" w:eastAsia="zh-CN"/>
        </w:rPr>
        <w:t>重庆三峡银行</w:t>
      </w:r>
      <w:r>
        <w:rPr>
          <w:rFonts w:ascii="宋体" w:hAnsi="Times New Roman" w:cs="Times New Roman"/>
          <w:bCs/>
          <w:snapToGrid w:val="0"/>
          <w:color w:val="auto"/>
          <w:szCs w:val="28"/>
          <w:highlight w:val="none"/>
        </w:rPr>
        <w:t>2023</w:t>
      </w:r>
      <w:r>
        <w:rPr>
          <w:rFonts w:hint="eastAsia" w:ascii="宋体" w:hAnsi="Times New Roman" w:cs="Times New Roman"/>
          <w:bCs/>
          <w:snapToGrid w:val="0"/>
          <w:color w:val="auto"/>
          <w:szCs w:val="28"/>
          <w:highlight w:val="none"/>
        </w:rPr>
        <w:t>至</w:t>
      </w:r>
      <w:r>
        <w:rPr>
          <w:rFonts w:ascii="宋体" w:hAnsi="Times New Roman" w:cs="Times New Roman"/>
          <w:bCs/>
          <w:snapToGrid w:val="0"/>
          <w:color w:val="auto"/>
          <w:szCs w:val="28"/>
          <w:highlight w:val="none"/>
        </w:rPr>
        <w:t>2024年度全行科技保障服务项目</w:t>
      </w:r>
      <w:r>
        <w:rPr>
          <w:bCs/>
          <w:color w:val="auto"/>
          <w:sz w:val="28"/>
          <w:szCs w:val="28"/>
          <w:highlight w:val="none"/>
        </w:rPr>
        <w:t>）</w:t>
      </w:r>
    </w:p>
    <w:p>
      <w:pPr>
        <w:pStyle w:val="11"/>
        <w:spacing w:line="360" w:lineRule="auto"/>
        <w:ind w:firstLine="420" w:firstLineChars="200"/>
        <w:jc w:val="center"/>
        <w:rPr>
          <w:color w:val="auto"/>
          <w:highlight w:val="none"/>
        </w:rPr>
      </w:pPr>
      <w:r>
        <w:rPr>
          <w:color w:val="auto"/>
          <w:highlight w:val="none"/>
        </w:rPr>
        <w:t xml:space="preserve">                                               </w:t>
      </w:r>
    </w:p>
    <w:p>
      <w:pPr>
        <w:spacing w:line="360" w:lineRule="auto"/>
        <w:ind w:right="-42" w:rightChars="-15"/>
        <w:outlineLvl w:val="9"/>
        <w:rPr>
          <w:rFonts w:hint="eastAsia" w:ascii="宋体"/>
          <w:b/>
          <w:bCs/>
          <w:color w:val="auto"/>
          <w:sz w:val="24"/>
          <w:highlight w:val="none"/>
        </w:rPr>
      </w:pPr>
    </w:p>
    <w:p>
      <w:pPr>
        <w:spacing w:line="360" w:lineRule="auto"/>
        <w:ind w:right="-42" w:rightChars="-15"/>
        <w:outlineLvl w:val="9"/>
        <w:rPr>
          <w:rFonts w:hint="eastAsia" w:ascii="宋体"/>
          <w:b/>
          <w:bCs/>
          <w:color w:val="auto"/>
          <w:sz w:val="24"/>
          <w:highlight w:val="none"/>
        </w:rPr>
      </w:pPr>
      <w:r>
        <w:rPr>
          <w:rFonts w:hint="eastAsia" w:ascii="宋体"/>
          <w:b/>
          <w:bCs/>
          <w:color w:val="auto"/>
          <w:sz w:val="24"/>
          <w:highlight w:val="none"/>
        </w:rPr>
        <w:t>甲  方：</w:t>
      </w:r>
      <w:r>
        <w:rPr>
          <w:rFonts w:hint="eastAsia" w:ascii="宋体"/>
          <w:color w:val="auto"/>
          <w:sz w:val="24"/>
          <w:highlight w:val="none"/>
          <w:u w:val="single"/>
        </w:rPr>
        <w:t>重庆三峡银行股份有限公司</w:t>
      </w:r>
    </w:p>
    <w:p>
      <w:pPr>
        <w:spacing w:line="360" w:lineRule="auto"/>
        <w:ind w:right="-42" w:rightChars="-15"/>
        <w:rPr>
          <w:rFonts w:hint="eastAsia" w:ascii="宋体"/>
          <w:color w:val="auto"/>
          <w:sz w:val="24"/>
          <w:highlight w:val="none"/>
        </w:rPr>
      </w:pPr>
      <w:r>
        <w:rPr>
          <w:rFonts w:hint="eastAsia" w:ascii="宋体"/>
          <w:b/>
          <w:bCs/>
          <w:color w:val="auto"/>
          <w:sz w:val="24"/>
          <w:highlight w:val="none"/>
        </w:rPr>
        <w:t>地  址：</w:t>
      </w:r>
      <w:r>
        <w:rPr>
          <w:rFonts w:ascii="宋体"/>
          <w:color w:val="auto"/>
          <w:sz w:val="24"/>
          <w:highlight w:val="none"/>
          <w:u w:val="single"/>
        </w:rPr>
        <w:t>重庆市渝北区嘉州路88号中渝国际都会4号写字楼</w:t>
      </w:r>
    </w:p>
    <w:p>
      <w:pPr>
        <w:spacing w:line="360" w:lineRule="auto"/>
        <w:ind w:right="-42" w:rightChars="-15"/>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刘江桥</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spacing w:line="360" w:lineRule="auto"/>
        <w:ind w:right="-42" w:rightChars="-15"/>
        <w:rPr>
          <w:rFonts w:hint="eastAsia" w:ascii="宋体"/>
          <w:bCs/>
          <w:color w:val="auto"/>
          <w:sz w:val="24"/>
          <w:highlight w:val="none"/>
          <w:u w:val="single"/>
        </w:rPr>
      </w:pPr>
      <w:r>
        <w:rPr>
          <w:rFonts w:hint="eastAsia" w:ascii="宋体"/>
          <w:b/>
          <w:bCs/>
          <w:color w:val="auto"/>
          <w:sz w:val="24"/>
          <w:highlight w:val="none"/>
        </w:rPr>
        <w:t>电  话：</w:t>
      </w:r>
      <w:r>
        <w:rPr>
          <w:rFonts w:hint="eastAsia" w:ascii="宋体"/>
          <w:bCs/>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spacing w:line="360" w:lineRule="auto"/>
        <w:ind w:right="-42" w:rightChars="-15"/>
        <w:rPr>
          <w:rFonts w:hint="eastAsia" w:ascii="宋体"/>
          <w:b/>
          <w:bCs/>
          <w:color w:val="auto"/>
          <w:sz w:val="24"/>
          <w:highlight w:val="none"/>
        </w:rPr>
      </w:pPr>
    </w:p>
    <w:p>
      <w:pPr>
        <w:spacing w:line="360" w:lineRule="auto"/>
        <w:ind w:right="-42" w:rightChars="-15"/>
        <w:outlineLvl w:val="9"/>
        <w:rPr>
          <w:rFonts w:hint="eastAsia" w:ascii="宋体"/>
          <w:b/>
          <w:bCs/>
          <w:color w:val="auto"/>
          <w:sz w:val="24"/>
          <w:highlight w:val="none"/>
        </w:rPr>
      </w:pPr>
      <w:r>
        <w:rPr>
          <w:rFonts w:hint="eastAsia" w:ascii="宋体"/>
          <w:b/>
          <w:bCs/>
          <w:color w:val="auto"/>
          <w:sz w:val="24"/>
          <w:highlight w:val="none"/>
        </w:rPr>
        <w:t>乙  方：</w:t>
      </w:r>
      <w:r>
        <w:rPr>
          <w:rFonts w:hint="eastAsia" w:ascii="宋体"/>
          <w:color w:val="auto"/>
          <w:sz w:val="24"/>
          <w:highlight w:val="none"/>
          <w:u w:val="single"/>
        </w:rPr>
        <w:t xml:space="preserve">               </w:t>
      </w:r>
    </w:p>
    <w:p>
      <w:pPr>
        <w:spacing w:line="360" w:lineRule="auto"/>
        <w:ind w:right="-42" w:rightChars="-15"/>
        <w:rPr>
          <w:rFonts w:hint="eastAsia" w:ascii="宋体"/>
          <w:color w:val="auto"/>
          <w:sz w:val="24"/>
          <w:highlight w:val="none"/>
          <w:u w:val="single"/>
        </w:rPr>
      </w:pPr>
      <w:r>
        <w:rPr>
          <w:rFonts w:hint="eastAsia" w:ascii="宋体"/>
          <w:b/>
          <w:bCs/>
          <w:color w:val="auto"/>
          <w:sz w:val="24"/>
          <w:highlight w:val="none"/>
        </w:rPr>
        <w:t>地  址：</w:t>
      </w:r>
      <w:r>
        <w:rPr>
          <w:rFonts w:hint="eastAsia" w:ascii="宋体"/>
          <w:color w:val="auto"/>
          <w:sz w:val="24"/>
          <w:highlight w:val="none"/>
          <w:u w:val="single"/>
        </w:rPr>
        <w:t xml:space="preserve">               </w:t>
      </w:r>
    </w:p>
    <w:p>
      <w:pPr>
        <w:spacing w:line="360" w:lineRule="auto"/>
        <w:ind w:right="-42" w:rightChars="-15"/>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spacing w:line="360" w:lineRule="auto"/>
        <w:ind w:right="-42" w:rightChars="-15"/>
        <w:rPr>
          <w:rFonts w:hint="eastAsia" w:ascii="宋体"/>
          <w:color w:val="auto"/>
          <w:sz w:val="24"/>
          <w:highlight w:val="none"/>
          <w:u w:val="single"/>
        </w:rPr>
      </w:pPr>
      <w:r>
        <w:rPr>
          <w:rFonts w:hint="eastAsia" w:ascii="宋体"/>
          <w:b/>
          <w:bCs/>
          <w:color w:val="auto"/>
          <w:sz w:val="24"/>
          <w:highlight w:val="none"/>
        </w:rPr>
        <w:t>电  话：</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spacing w:line="360" w:lineRule="auto"/>
        <w:ind w:right="-42" w:rightChars="-15"/>
        <w:rPr>
          <w:rFonts w:hint="eastAsia" w:ascii="宋体"/>
          <w:color w:val="auto"/>
          <w:sz w:val="24"/>
          <w:highlight w:val="none"/>
          <w:u w:val="single"/>
        </w:rPr>
      </w:pPr>
    </w:p>
    <w:p>
      <w:pPr>
        <w:spacing w:line="360" w:lineRule="auto"/>
        <w:ind w:right="-42" w:rightChars="-15"/>
        <w:jc w:val="left"/>
        <w:rPr>
          <w:rFonts w:hint="eastAsia" w:ascii="宋体"/>
          <w:b/>
          <w:bCs/>
          <w:color w:val="auto"/>
          <w:sz w:val="24"/>
          <w:highlight w:val="none"/>
        </w:rPr>
      </w:pPr>
    </w:p>
    <w:p>
      <w:pPr>
        <w:spacing w:line="360" w:lineRule="auto"/>
        <w:ind w:right="-42" w:rightChars="-15"/>
        <w:jc w:val="left"/>
        <w:rPr>
          <w:rFonts w:hint="eastAsia" w:ascii="宋体"/>
          <w:b/>
          <w:bCs/>
          <w:color w:val="auto"/>
          <w:sz w:val="24"/>
          <w:highlight w:val="none"/>
        </w:rPr>
      </w:pPr>
      <w:r>
        <w:rPr>
          <w:rFonts w:hint="eastAsia" w:ascii="宋体"/>
          <w:b/>
          <w:bCs/>
          <w:color w:val="auto"/>
          <w:sz w:val="24"/>
          <w:highlight w:val="none"/>
        </w:rPr>
        <w:t>签订地点：重庆</w:t>
      </w:r>
    </w:p>
    <w:p>
      <w:pPr>
        <w:rPr>
          <w:color w:val="auto"/>
          <w:sz w:val="24"/>
          <w:szCs w:val="24"/>
          <w:highlight w:val="none"/>
        </w:rPr>
      </w:pPr>
      <w:r>
        <w:rPr>
          <w:color w:val="auto"/>
          <w:sz w:val="24"/>
          <w:szCs w:val="24"/>
          <w:highlight w:val="none"/>
        </w:rPr>
        <w:br w:type="page"/>
      </w:r>
    </w:p>
    <w:p>
      <w:pPr>
        <w:pStyle w:val="11"/>
        <w:spacing w:line="360" w:lineRule="auto"/>
        <w:ind w:left="101" w:leftChars="36" w:firstLine="480" w:firstLineChars="200"/>
        <w:jc w:val="left"/>
        <w:rPr>
          <w:color w:val="auto"/>
          <w:sz w:val="24"/>
          <w:szCs w:val="24"/>
          <w:highlight w:val="none"/>
        </w:rPr>
      </w:pPr>
      <w:r>
        <w:rPr>
          <w:color w:val="auto"/>
          <w:sz w:val="24"/>
          <w:szCs w:val="24"/>
          <w:highlight w:val="none"/>
        </w:rPr>
        <w:t>根据</w:t>
      </w:r>
      <w:r>
        <w:rPr>
          <w:rFonts w:hint="eastAsia"/>
          <w:color w:val="auto"/>
          <w:sz w:val="24"/>
          <w:szCs w:val="24"/>
          <w:highlight w:val="none"/>
        </w:rPr>
        <w:t>相关法律法规</w:t>
      </w:r>
      <w:r>
        <w:rPr>
          <w:color w:val="auto"/>
          <w:sz w:val="24"/>
          <w:szCs w:val="24"/>
          <w:highlight w:val="none"/>
        </w:rPr>
        <w:t>，经甲、乙双方共同协商，签订本合同，并共同遵守。</w:t>
      </w:r>
    </w:p>
    <w:p>
      <w:pPr>
        <w:pStyle w:val="11"/>
        <w:numPr>
          <w:ilvl w:val="0"/>
          <w:numId w:val="3"/>
        </w:numPr>
        <w:spacing w:line="360" w:lineRule="auto"/>
        <w:jc w:val="left"/>
        <w:outlineLvl w:val="0"/>
        <w:rPr>
          <w:rFonts w:eastAsia="宋体"/>
          <w:b/>
          <w:bCs/>
          <w:color w:val="auto"/>
          <w:sz w:val="24"/>
          <w:highlight w:val="none"/>
        </w:rPr>
      </w:pPr>
      <w:bookmarkStart w:id="83" w:name="_Hlt524939677"/>
      <w:bookmarkEnd w:id="83"/>
      <w:bookmarkStart w:id="84" w:name="_Hlt524940855"/>
      <w:bookmarkEnd w:id="84"/>
      <w:bookmarkStart w:id="85" w:name="_合同款的支付"/>
      <w:bookmarkEnd w:id="85"/>
      <w:bookmarkStart w:id="86" w:name="_Toc4829"/>
      <w:r>
        <w:rPr>
          <w:rFonts w:eastAsia="宋体"/>
          <w:b/>
          <w:bCs/>
          <w:color w:val="auto"/>
          <w:sz w:val="24"/>
          <w:highlight w:val="none"/>
        </w:rPr>
        <w:t>合同标的</w:t>
      </w:r>
      <w:bookmarkEnd w:id="86"/>
    </w:p>
    <w:p>
      <w:pPr>
        <w:pStyle w:val="11"/>
        <w:numPr>
          <w:ilvl w:val="1"/>
          <w:numId w:val="3"/>
        </w:numPr>
        <w:tabs>
          <w:tab w:val="left" w:pos="567"/>
          <w:tab w:val="left" w:pos="993"/>
        </w:tabs>
        <w:spacing w:line="360" w:lineRule="auto"/>
        <w:ind w:left="0" w:firstLine="426"/>
        <w:jc w:val="left"/>
        <w:rPr>
          <w:color w:val="auto"/>
          <w:sz w:val="24"/>
          <w:highlight w:val="none"/>
        </w:rPr>
      </w:pPr>
      <w:r>
        <w:rPr>
          <w:rFonts w:cs="Arial"/>
          <w:color w:val="auto"/>
          <w:sz w:val="24"/>
          <w:highlight w:val="none"/>
        </w:rPr>
        <w:t>甲方委托乙方提供</w:t>
      </w:r>
      <w:r>
        <w:rPr>
          <w:rFonts w:cs="Arial"/>
          <w:color w:val="auto"/>
          <w:sz w:val="24"/>
          <w:highlight w:val="none"/>
          <w:u w:val="single"/>
        </w:rPr>
        <w:t xml:space="preserve"> </w:t>
      </w:r>
      <w:r>
        <w:rPr>
          <w:rFonts w:hAnsi="Times New Roman" w:cs="Arial"/>
          <w:bCs/>
          <w:snapToGrid w:val="0"/>
          <w:color w:val="auto"/>
          <w:sz w:val="24"/>
          <w:highlight w:val="none"/>
          <w:u w:val="single"/>
        </w:rPr>
        <w:t>2023至2024年度全行科技保障服务</w:t>
      </w:r>
      <w:r>
        <w:rPr>
          <w:rFonts w:cs="Arial"/>
          <w:color w:val="auto"/>
          <w:sz w:val="24"/>
          <w:highlight w:val="none"/>
        </w:rPr>
        <w:t xml:space="preserve"> ，</w:t>
      </w:r>
      <w:r>
        <w:rPr>
          <w:rFonts w:hint="eastAsia"/>
          <w:color w:val="auto"/>
          <w:sz w:val="24"/>
          <w:highlight w:val="none"/>
        </w:rPr>
        <w:t>保障甲方桌面设备和网络弱电稳定运行，避免桌面终端和网络弱电发生故障和对业务造成影响。</w:t>
      </w:r>
    </w:p>
    <w:p>
      <w:pPr>
        <w:pStyle w:val="11"/>
        <w:numPr>
          <w:ilvl w:val="0"/>
          <w:numId w:val="3"/>
        </w:numPr>
        <w:spacing w:line="360" w:lineRule="auto"/>
        <w:jc w:val="left"/>
        <w:outlineLvl w:val="0"/>
        <w:rPr>
          <w:b/>
          <w:color w:val="auto"/>
          <w:sz w:val="24"/>
          <w:szCs w:val="24"/>
          <w:highlight w:val="none"/>
        </w:rPr>
      </w:pPr>
      <w:bookmarkStart w:id="87" w:name="_Toc11482"/>
      <w:r>
        <w:rPr>
          <w:b/>
          <w:bCs/>
          <w:color w:val="auto"/>
          <w:sz w:val="24"/>
          <w:highlight w:val="none"/>
        </w:rPr>
        <w:t>合同金额</w:t>
      </w:r>
      <w:bookmarkEnd w:id="87"/>
    </w:p>
    <w:p>
      <w:pPr>
        <w:pStyle w:val="11"/>
        <w:numPr>
          <w:ilvl w:val="1"/>
          <w:numId w:val="3"/>
        </w:numPr>
        <w:tabs>
          <w:tab w:val="left" w:pos="567"/>
          <w:tab w:val="left" w:pos="993"/>
        </w:tabs>
        <w:spacing w:line="360" w:lineRule="auto"/>
        <w:ind w:left="0" w:firstLine="426"/>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本合同约定</w:t>
      </w:r>
      <w:r>
        <w:rPr>
          <w:rFonts w:hint="eastAsia" w:hAnsi="宋体" w:cs="宋体"/>
          <w:color w:val="auto"/>
          <w:sz w:val="24"/>
          <w:highlight w:val="none"/>
          <w:lang w:val="en-US" w:eastAsia="zh-CN"/>
        </w:rPr>
        <w:t>全行科技保障</w:t>
      </w:r>
      <w:r>
        <w:rPr>
          <w:rFonts w:hint="eastAsia" w:ascii="宋体" w:hAnsi="宋体" w:eastAsia="宋体" w:cs="宋体"/>
          <w:color w:val="auto"/>
          <w:sz w:val="24"/>
          <w:highlight w:val="none"/>
        </w:rPr>
        <w:t>年</w:t>
      </w:r>
      <w:r>
        <w:rPr>
          <w:rFonts w:hint="eastAsia" w:hAnsi="宋体" w:cs="宋体"/>
          <w:color w:val="auto"/>
          <w:sz w:val="24"/>
          <w:highlight w:val="none"/>
          <w:lang w:val="en-US" w:eastAsia="zh-CN"/>
        </w:rPr>
        <w:t>服务</w:t>
      </w:r>
      <w:r>
        <w:rPr>
          <w:rFonts w:hint="eastAsia" w:ascii="宋体" w:hAnsi="宋体" w:eastAsia="宋体" w:cs="宋体"/>
          <w:color w:val="auto"/>
          <w:sz w:val="24"/>
          <w:highlight w:val="none"/>
        </w:rPr>
        <w:t>服务费用为：</w:t>
      </w:r>
      <w:r>
        <w:rPr>
          <w:rFonts w:hint="eastAsia" w:ascii="宋体" w:hAnsi="宋体" w:eastAsia="宋体" w:cs="宋体"/>
          <w:bCs/>
          <w:color w:val="auto"/>
          <w:sz w:val="24"/>
          <w:highlight w:val="none"/>
          <w:u w:val="single"/>
        </w:rPr>
        <w:t xml:space="preserve">           元</w:t>
      </w: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元整</w:t>
      </w:r>
      <w:r>
        <w:rPr>
          <w:rFonts w:hint="eastAsia" w:ascii="宋体" w:hAnsi="宋体" w:eastAsia="宋体" w:cs="宋体"/>
          <w:bCs/>
          <w:color w:val="auto"/>
          <w:sz w:val="24"/>
          <w:highlight w:val="none"/>
        </w:rPr>
        <w:t>）。</w:t>
      </w:r>
    </w:p>
    <w:p>
      <w:pPr>
        <w:pStyle w:val="11"/>
        <w:numPr>
          <w:ilvl w:val="1"/>
          <w:numId w:val="3"/>
        </w:numPr>
        <w:tabs>
          <w:tab w:val="left" w:pos="567"/>
          <w:tab w:val="left" w:pos="993"/>
        </w:tabs>
        <w:spacing w:line="360" w:lineRule="auto"/>
        <w:ind w:left="0" w:firstLine="426"/>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合同总金额（服务期内总费用价税合计）为：</w:t>
      </w:r>
      <w:r>
        <w:rPr>
          <w:rFonts w:hint="eastAsia" w:ascii="宋体" w:hAnsi="宋体" w:eastAsia="宋体" w:cs="宋体"/>
          <w:bCs/>
          <w:color w:val="auto"/>
          <w:sz w:val="24"/>
          <w:highlight w:val="none"/>
          <w:u w:val="single"/>
        </w:rPr>
        <w:t xml:space="preserve">           元</w:t>
      </w: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元整</w:t>
      </w: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rPr>
        <w:t>其中不含税价为：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highlight w:val="none"/>
          <w:u w:val="singl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大写：         整）</w:t>
      </w:r>
      <w:r>
        <w:rPr>
          <w:rFonts w:hint="eastAsia" w:ascii="宋体" w:hAnsi="宋体" w:eastAsia="宋体" w:cs="宋体"/>
          <w:color w:val="auto"/>
          <w:sz w:val="24"/>
          <w:szCs w:val="24"/>
          <w:highlight w:val="none"/>
        </w:rPr>
        <w:t>；不含税价格不因国家税率变化而变化，若在合同履行期间，如遇国家的税率调整，则价税合计应相应调整，以开具发</w:t>
      </w:r>
      <w:r>
        <w:rPr>
          <w:bCs/>
          <w:color w:val="auto"/>
          <w:sz w:val="24"/>
          <w:highlight w:val="none"/>
        </w:rPr>
        <w:t>前终止合同，</w:t>
      </w:r>
      <w:r>
        <w:rPr>
          <w:rFonts w:hint="eastAsia" w:ascii="宋体" w:hAnsi="宋体" w:eastAsia="宋体" w:cs="宋体"/>
          <w:color w:val="auto"/>
          <w:sz w:val="24"/>
          <w:szCs w:val="24"/>
          <w:highlight w:val="none"/>
        </w:rPr>
        <w:t>票的时间为准。</w:t>
      </w:r>
    </w:p>
    <w:p>
      <w:pPr>
        <w:pStyle w:val="11"/>
        <w:numPr>
          <w:ilvl w:val="1"/>
          <w:numId w:val="3"/>
        </w:numPr>
        <w:tabs>
          <w:tab w:val="left" w:pos="567"/>
          <w:tab w:val="left" w:pos="993"/>
        </w:tabs>
        <w:spacing w:line="360" w:lineRule="auto"/>
        <w:ind w:left="0" w:firstLine="426"/>
        <w:jc w:val="left"/>
        <w:rPr>
          <w:bCs/>
          <w:color w:val="auto"/>
          <w:sz w:val="24"/>
          <w:highlight w:val="none"/>
        </w:rPr>
      </w:pPr>
      <w:r>
        <w:rPr>
          <w:bCs/>
          <w:color w:val="auto"/>
          <w:sz w:val="24"/>
          <w:highlight w:val="none"/>
        </w:rPr>
        <w:t>若甲方提则根据实际服务天数折算服务费用</w:t>
      </w:r>
      <w:r>
        <w:rPr>
          <w:rFonts w:hint="eastAsia"/>
          <w:bCs/>
          <w:color w:val="auto"/>
          <w:sz w:val="24"/>
          <w:highlight w:val="none"/>
        </w:rPr>
        <w:t>，一年按365天计算</w:t>
      </w:r>
      <w:r>
        <w:rPr>
          <w:bCs/>
          <w:color w:val="auto"/>
          <w:sz w:val="24"/>
          <w:highlight w:val="none"/>
        </w:rPr>
        <w:t>。</w:t>
      </w:r>
    </w:p>
    <w:p>
      <w:pPr>
        <w:pStyle w:val="11"/>
        <w:numPr>
          <w:ilvl w:val="0"/>
          <w:numId w:val="3"/>
        </w:numPr>
        <w:spacing w:line="360" w:lineRule="auto"/>
        <w:jc w:val="left"/>
        <w:outlineLvl w:val="0"/>
        <w:rPr>
          <w:rFonts w:cs="Arial"/>
          <w:color w:val="auto"/>
          <w:sz w:val="24"/>
          <w:highlight w:val="none"/>
        </w:rPr>
      </w:pPr>
      <w:bookmarkStart w:id="88" w:name="_Toc16886"/>
      <w:r>
        <w:rPr>
          <w:b/>
          <w:bCs/>
          <w:color w:val="auto"/>
          <w:sz w:val="24"/>
          <w:highlight w:val="none"/>
        </w:rPr>
        <w:t>服务期限</w:t>
      </w:r>
      <w:bookmarkEnd w:id="88"/>
    </w:p>
    <w:p>
      <w:pPr>
        <w:pStyle w:val="6"/>
        <w:tabs>
          <w:tab w:val="left" w:pos="0"/>
          <w:tab w:val="left" w:pos="993"/>
        </w:tabs>
        <w:spacing w:line="360" w:lineRule="auto"/>
        <w:ind w:left="0" w:leftChars="0" w:firstLine="480" w:firstLineChars="200"/>
        <w:rPr>
          <w:rFonts w:hint="eastAsia" w:ascii="宋体" w:cs="Arial"/>
          <w:color w:val="auto"/>
          <w:sz w:val="24"/>
          <w:highlight w:val="none"/>
          <w:u w:val="single"/>
        </w:rPr>
      </w:pPr>
      <w:r>
        <w:rPr>
          <w:rFonts w:hint="eastAsia" w:ascii="宋体" w:cs="Arial"/>
          <w:color w:val="auto"/>
          <w:sz w:val="24"/>
          <w:highlight w:val="none"/>
        </w:rPr>
        <w:t xml:space="preserve">3.1 </w:t>
      </w:r>
      <w:r>
        <w:rPr>
          <w:rFonts w:hint="eastAsia" w:ascii="宋体" w:hAnsi="Cambria Math" w:eastAsia="宋体" w:cs="Times New Roman"/>
          <w:bCs/>
          <w:color w:val="auto"/>
          <w:kern w:val="2"/>
          <w:sz w:val="24"/>
          <w:szCs w:val="21"/>
          <w:highlight w:val="none"/>
          <w:lang w:val="en-US" w:eastAsia="zh-CN" w:bidi="ar-SA"/>
        </w:rPr>
        <w:t xml:space="preserve"> 保障服</w:t>
      </w:r>
      <w:r>
        <w:rPr>
          <w:rFonts w:hint="eastAsia" w:ascii="宋体" w:hAnsi="宋体" w:eastAsia="宋体" w:cs="宋体"/>
          <w:color w:val="auto"/>
          <w:kern w:val="2"/>
          <w:sz w:val="24"/>
          <w:szCs w:val="24"/>
          <w:highlight w:val="none"/>
          <w:lang w:val="en-US" w:eastAsia="zh-CN" w:bidi="ar-SA"/>
        </w:rPr>
        <w:t>务期：自</w:t>
      </w:r>
      <w:r>
        <w:rPr>
          <w:rFonts w:hint="eastAsia" w:ascii="宋体" w:cs="Arial"/>
          <w:color w:val="auto"/>
          <w:sz w:val="24"/>
          <w:highlight w:val="none"/>
          <w:u w:val="single"/>
        </w:rPr>
        <w:t xml:space="preserve">     年    月    日</w:t>
      </w:r>
      <w:r>
        <w:rPr>
          <w:rFonts w:hint="eastAsia" w:ascii="宋体" w:cs="Arial"/>
          <w:color w:val="auto"/>
          <w:sz w:val="24"/>
          <w:highlight w:val="none"/>
        </w:rPr>
        <w:t>起，至</w:t>
      </w:r>
      <w:r>
        <w:rPr>
          <w:rFonts w:hint="eastAsia" w:ascii="宋体" w:cs="Arial"/>
          <w:color w:val="auto"/>
          <w:sz w:val="24"/>
          <w:highlight w:val="none"/>
          <w:u w:val="single"/>
        </w:rPr>
        <w:t xml:space="preserve">      年   月</w:t>
      </w:r>
      <w:r>
        <w:rPr>
          <w:rFonts w:hint="eastAsia" w:ascii="宋体" w:cs="Arial"/>
          <w:color w:val="auto"/>
          <w:sz w:val="24"/>
          <w:highlight w:val="none"/>
          <w:u w:val="single"/>
          <w:lang w:val="en-US" w:eastAsia="zh-CN"/>
        </w:rPr>
        <w:t xml:space="preserve">  </w:t>
      </w:r>
      <w:r>
        <w:rPr>
          <w:rFonts w:hint="eastAsia" w:ascii="宋体" w:cs="Arial"/>
          <w:color w:val="auto"/>
          <w:sz w:val="24"/>
          <w:highlight w:val="none"/>
          <w:u w:val="single"/>
        </w:rPr>
        <w:t xml:space="preserve"> 日  </w:t>
      </w:r>
    </w:p>
    <w:p>
      <w:pPr>
        <w:pStyle w:val="6"/>
        <w:tabs>
          <w:tab w:val="left" w:pos="0"/>
          <w:tab w:val="left" w:pos="993"/>
        </w:tabs>
        <w:spacing w:line="360" w:lineRule="auto"/>
        <w:ind w:left="0" w:leftChars="0" w:firstLine="0" w:firstLineChars="0"/>
        <w:rPr>
          <w:rFonts w:hint="eastAsia" w:ascii="宋体" w:cs="Arial"/>
          <w:color w:val="auto"/>
          <w:sz w:val="24"/>
          <w:highlight w:val="none"/>
        </w:rPr>
      </w:pPr>
      <w:r>
        <w:rPr>
          <w:rFonts w:hint="eastAsia" w:ascii="宋体" w:cs="Arial"/>
          <w:color w:val="auto"/>
          <w:sz w:val="24"/>
          <w:highlight w:val="none"/>
        </w:rPr>
        <w:t>止。</w:t>
      </w:r>
    </w:p>
    <w:p>
      <w:pPr>
        <w:pStyle w:val="11"/>
        <w:spacing w:line="360" w:lineRule="auto"/>
        <w:ind w:firstLine="480" w:firstLineChars="200"/>
        <w:jc w:val="left"/>
        <w:rPr>
          <w:rFonts w:hint="eastAsia" w:ascii="宋体" w:cs="Arial"/>
          <w:color w:val="auto"/>
          <w:sz w:val="24"/>
          <w:highlight w:val="none"/>
        </w:rPr>
      </w:pPr>
      <w:r>
        <w:rPr>
          <w:rFonts w:hint="eastAsia" w:ascii="宋体" w:cs="Arial"/>
          <w:color w:val="auto"/>
          <w:sz w:val="24"/>
          <w:highlight w:val="none"/>
        </w:rPr>
        <w:t>3.2  甲方在整个合同期内根据合同及附件条款全程考核乙方的服务质量，甲方每</w:t>
      </w:r>
      <w:r>
        <w:rPr>
          <w:rFonts w:hint="eastAsia" w:cs="Arial"/>
          <w:color w:val="auto"/>
          <w:sz w:val="24"/>
          <w:highlight w:val="none"/>
          <w:lang w:val="en-US" w:eastAsia="zh-CN"/>
        </w:rPr>
        <w:t>季度</w:t>
      </w:r>
      <w:r>
        <w:rPr>
          <w:rFonts w:hint="eastAsia" w:ascii="宋体" w:cs="Arial"/>
          <w:color w:val="auto"/>
          <w:sz w:val="24"/>
          <w:highlight w:val="none"/>
        </w:rPr>
        <w:t>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w:t>
      </w:r>
      <w:r>
        <w:rPr>
          <w:rFonts w:hint="eastAsia" w:cs="Arial"/>
          <w:color w:val="auto"/>
          <w:sz w:val="24"/>
          <w:highlight w:val="none"/>
          <w:lang w:val="en-US" w:eastAsia="zh-CN"/>
        </w:rPr>
        <w:t>保障</w:t>
      </w:r>
      <w:r>
        <w:rPr>
          <w:rFonts w:hint="eastAsia" w:ascii="宋体" w:cs="Arial"/>
          <w:color w:val="auto"/>
          <w:sz w:val="24"/>
          <w:highlight w:val="none"/>
        </w:rPr>
        <w:t>服务费用</w:t>
      </w:r>
    </w:p>
    <w:p>
      <w:pPr>
        <w:pStyle w:val="11"/>
        <w:numPr>
          <w:ilvl w:val="0"/>
          <w:numId w:val="3"/>
        </w:numPr>
        <w:spacing w:line="360" w:lineRule="auto"/>
        <w:jc w:val="left"/>
        <w:outlineLvl w:val="0"/>
        <w:rPr>
          <w:rFonts w:ascii="宋体" w:hAnsi="Times New Roman" w:eastAsia="宋体" w:cs="Arial"/>
          <w:b/>
          <w:bCs/>
          <w:color w:val="auto"/>
          <w:kern w:val="2"/>
          <w:sz w:val="24"/>
          <w:szCs w:val="24"/>
          <w:highlight w:val="none"/>
          <w:lang w:val="en-US" w:eastAsia="zh-CN" w:bidi="ar-SA"/>
        </w:rPr>
      </w:pPr>
      <w:bookmarkStart w:id="89" w:name="_Toc7254"/>
      <w:r>
        <w:rPr>
          <w:rFonts w:ascii="宋体" w:hAnsi="Times New Roman" w:eastAsia="宋体" w:cs="Arial"/>
          <w:b/>
          <w:bCs/>
          <w:color w:val="auto"/>
          <w:kern w:val="2"/>
          <w:sz w:val="24"/>
          <w:szCs w:val="24"/>
          <w:highlight w:val="none"/>
          <w:lang w:val="en-US" w:eastAsia="zh-CN" w:bidi="ar-SA"/>
        </w:rPr>
        <w:t>付款方式</w:t>
      </w:r>
      <w:bookmarkEnd w:id="89"/>
    </w:p>
    <w:p>
      <w:pPr>
        <w:pStyle w:val="11"/>
        <w:tabs>
          <w:tab w:val="left" w:pos="993"/>
        </w:tabs>
        <w:spacing w:line="360" w:lineRule="auto"/>
        <w:ind w:firstLine="480" w:firstLineChars="200"/>
        <w:jc w:val="left"/>
        <w:rPr>
          <w:rFonts w:cs="Arial"/>
          <w:color w:val="auto"/>
          <w:sz w:val="24"/>
          <w:szCs w:val="24"/>
          <w:highlight w:val="none"/>
        </w:rPr>
      </w:pPr>
      <w:r>
        <w:rPr>
          <w:rFonts w:hint="eastAsia" w:cs="Arial"/>
          <w:color w:val="auto"/>
          <w:sz w:val="24"/>
          <w:szCs w:val="24"/>
          <w:highlight w:val="none"/>
          <w:lang w:val="en-US" w:eastAsia="zh-CN"/>
        </w:rPr>
        <w:t xml:space="preserve">4.1  </w:t>
      </w:r>
      <w:r>
        <w:rPr>
          <w:rFonts w:cs="Arial"/>
          <w:color w:val="auto"/>
          <w:sz w:val="24"/>
          <w:szCs w:val="24"/>
          <w:highlight w:val="none"/>
        </w:rPr>
        <w:t>在服务满一季度后，由乙方提出申请，经过甲方服务评审，服务质量达到合同约定的要求后，乙方出具</w:t>
      </w:r>
      <w:r>
        <w:rPr>
          <w:rFonts w:hint="eastAsia" w:cs="Arial"/>
          <w:color w:val="auto"/>
          <w:sz w:val="24"/>
          <w:szCs w:val="24"/>
          <w:highlight w:val="none"/>
        </w:rPr>
        <w:t>合法足额的增值税专用发票</w:t>
      </w:r>
      <w:r>
        <w:rPr>
          <w:rFonts w:cs="Arial"/>
          <w:color w:val="auto"/>
          <w:sz w:val="24"/>
          <w:szCs w:val="24"/>
          <w:highlight w:val="none"/>
        </w:rPr>
        <w:t>给甲方，甲方于收到发票</w:t>
      </w:r>
      <w:r>
        <w:rPr>
          <w:rFonts w:cs="Arial"/>
          <w:color w:val="auto"/>
          <w:sz w:val="24"/>
          <w:szCs w:val="24"/>
          <w:highlight w:val="none"/>
          <w:u w:val="single"/>
        </w:rPr>
        <w:t xml:space="preserve">  30  </w:t>
      </w:r>
      <w:r>
        <w:rPr>
          <w:rFonts w:cs="Arial"/>
          <w:color w:val="auto"/>
          <w:sz w:val="24"/>
          <w:szCs w:val="24"/>
          <w:highlight w:val="none"/>
        </w:rPr>
        <w:t>个工作日内，将季度服务费用（</w:t>
      </w:r>
      <w:r>
        <w:rPr>
          <w:rFonts w:hint="eastAsia" w:cs="Arial"/>
          <w:color w:val="auto"/>
          <w:sz w:val="24"/>
          <w:szCs w:val="24"/>
          <w:highlight w:val="none"/>
          <w:lang w:val="en-US" w:eastAsia="zh-CN"/>
        </w:rPr>
        <w:t>年</w:t>
      </w:r>
      <w:r>
        <w:rPr>
          <w:rFonts w:hint="eastAsia" w:cs="Arial"/>
          <w:color w:val="auto"/>
          <w:sz w:val="24"/>
          <w:szCs w:val="24"/>
          <w:highlight w:val="none"/>
        </w:rPr>
        <w:t>服务</w:t>
      </w:r>
      <w:r>
        <w:rPr>
          <w:rFonts w:cs="Arial"/>
          <w:color w:val="auto"/>
          <w:sz w:val="24"/>
          <w:szCs w:val="24"/>
          <w:highlight w:val="none"/>
        </w:rPr>
        <w:t>费用</w:t>
      </w:r>
      <w:r>
        <w:rPr>
          <w:rFonts w:hint="eastAsia" w:cs="Arial"/>
          <w:color w:val="auto"/>
          <w:sz w:val="24"/>
          <w:szCs w:val="24"/>
          <w:highlight w:val="none"/>
          <w:lang w:val="en-US" w:eastAsia="zh-CN"/>
        </w:rPr>
        <w:t>25</w:t>
      </w:r>
      <w:r>
        <w:rPr>
          <w:rFonts w:cs="Arial"/>
          <w:color w:val="auto"/>
          <w:sz w:val="24"/>
          <w:szCs w:val="24"/>
          <w:highlight w:val="none"/>
        </w:rPr>
        <w:t>%）支付给乙方。</w:t>
      </w:r>
    </w:p>
    <w:p>
      <w:pPr>
        <w:pStyle w:val="11"/>
        <w:tabs>
          <w:tab w:val="left" w:pos="993"/>
        </w:tabs>
        <w:spacing w:line="360" w:lineRule="auto"/>
        <w:ind w:firstLine="480" w:firstLineChars="200"/>
        <w:jc w:val="left"/>
        <w:rPr>
          <w:rFonts w:cs="Arial"/>
          <w:color w:val="auto"/>
          <w:sz w:val="24"/>
          <w:szCs w:val="24"/>
          <w:highlight w:val="none"/>
        </w:rPr>
      </w:pPr>
      <w:r>
        <w:rPr>
          <w:rFonts w:cs="Arial"/>
          <w:color w:val="auto"/>
          <w:sz w:val="24"/>
          <w:szCs w:val="24"/>
          <w:highlight w:val="none"/>
        </w:rPr>
        <w:t>4.2  乙方须开具发票税率为</w:t>
      </w:r>
      <w:r>
        <w:rPr>
          <w:rFonts w:cs="Arial"/>
          <w:b/>
          <w:color w:val="auto"/>
          <w:sz w:val="24"/>
          <w:szCs w:val="24"/>
          <w:highlight w:val="none"/>
          <w:u w:val="single"/>
        </w:rPr>
        <w:t>6%的增值税专用发票</w:t>
      </w:r>
      <w:r>
        <w:rPr>
          <w:rFonts w:cs="Arial"/>
          <w:color w:val="auto"/>
          <w:sz w:val="24"/>
          <w:szCs w:val="24"/>
          <w:highlight w:val="none"/>
        </w:rPr>
        <w:t>。后续</w:t>
      </w:r>
      <w:r>
        <w:rPr>
          <w:rFonts w:hint="eastAsia" w:cs="Arial"/>
          <w:color w:val="auto"/>
          <w:sz w:val="24"/>
          <w:szCs w:val="24"/>
          <w:highlight w:val="none"/>
          <w:lang w:val="en-US" w:eastAsia="zh-CN"/>
        </w:rPr>
        <w:t>季度</w:t>
      </w:r>
      <w:r>
        <w:rPr>
          <w:rFonts w:cs="Arial"/>
          <w:color w:val="auto"/>
          <w:sz w:val="24"/>
          <w:szCs w:val="24"/>
          <w:highlight w:val="none"/>
        </w:rPr>
        <w:t>付款方式与第一个服务</w:t>
      </w:r>
      <w:r>
        <w:rPr>
          <w:rFonts w:hint="eastAsia" w:cs="Arial"/>
          <w:color w:val="auto"/>
          <w:sz w:val="24"/>
          <w:szCs w:val="24"/>
          <w:highlight w:val="none"/>
          <w:lang w:val="en-US" w:eastAsia="zh-CN"/>
        </w:rPr>
        <w:t>季度</w:t>
      </w:r>
      <w:r>
        <w:rPr>
          <w:rFonts w:cs="Arial"/>
          <w:color w:val="auto"/>
          <w:sz w:val="24"/>
          <w:szCs w:val="24"/>
          <w:highlight w:val="none"/>
        </w:rPr>
        <w:t>一致。</w:t>
      </w:r>
    </w:p>
    <w:p>
      <w:pPr>
        <w:pStyle w:val="11"/>
        <w:numPr>
          <w:ilvl w:val="0"/>
          <w:numId w:val="3"/>
        </w:numPr>
        <w:tabs>
          <w:tab w:val="center" w:pos="4153"/>
        </w:tabs>
        <w:spacing w:line="360" w:lineRule="auto"/>
        <w:jc w:val="left"/>
        <w:outlineLvl w:val="0"/>
        <w:rPr>
          <w:b/>
          <w:bCs/>
          <w:color w:val="auto"/>
          <w:sz w:val="24"/>
          <w:szCs w:val="24"/>
          <w:highlight w:val="none"/>
        </w:rPr>
      </w:pPr>
      <w:bookmarkStart w:id="90" w:name="_Toc14153"/>
      <w:r>
        <w:rPr>
          <w:rFonts w:hint="eastAsia"/>
          <w:b/>
          <w:bCs/>
          <w:color w:val="auto"/>
          <w:sz w:val="24"/>
          <w:szCs w:val="24"/>
          <w:highlight w:val="none"/>
          <w:lang w:val="en-US" w:eastAsia="zh-CN"/>
        </w:rPr>
        <w:t>服务方式</w:t>
      </w:r>
      <w:bookmarkEnd w:id="90"/>
    </w:p>
    <w:p>
      <w:pPr>
        <w:adjustRightInd w:val="0"/>
        <w:snapToGrid w:val="0"/>
        <w:spacing w:line="360" w:lineRule="auto"/>
        <w:ind w:left="480"/>
        <w:jc w:val="left"/>
        <w:rPr>
          <w:rFonts w:hint="eastAsia" w:ascii="宋体"/>
          <w:color w:val="auto"/>
          <w:sz w:val="24"/>
          <w:highlight w:val="none"/>
          <w:u w:val="single"/>
        </w:rPr>
      </w:pPr>
      <w:r>
        <w:rPr>
          <w:rFonts w:hint="eastAsia" w:ascii="宋体"/>
          <w:color w:val="auto"/>
          <w:sz w:val="24"/>
          <w:highlight w:val="none"/>
        </w:rPr>
        <w:t>5.1</w:t>
      </w:r>
      <w:r>
        <w:rPr>
          <w:rFonts w:hint="eastAsia" w:ascii="宋体"/>
          <w:color w:val="auto"/>
          <w:sz w:val="24"/>
          <w:highlight w:val="none"/>
          <w:lang w:val="en-US" w:eastAsia="zh-CN"/>
        </w:rPr>
        <w:t>服务</w:t>
      </w:r>
      <w:r>
        <w:rPr>
          <w:rFonts w:hint="eastAsia" w:ascii="宋体"/>
          <w:color w:val="auto"/>
          <w:sz w:val="24"/>
          <w:highlight w:val="none"/>
        </w:rPr>
        <w:t>地点：重庆市</w:t>
      </w:r>
    </w:p>
    <w:p>
      <w:pPr>
        <w:adjustRightInd w:val="0"/>
        <w:snapToGrid w:val="0"/>
        <w:spacing w:line="360" w:lineRule="auto"/>
        <w:ind w:left="480"/>
        <w:jc w:val="left"/>
        <w:rPr>
          <w:rFonts w:hint="eastAsia" w:ascii="宋体"/>
          <w:color w:val="auto"/>
          <w:sz w:val="24"/>
          <w:highlight w:val="none"/>
        </w:rPr>
      </w:pPr>
      <w:r>
        <w:rPr>
          <w:rFonts w:hint="eastAsia" w:ascii="宋体"/>
          <w:color w:val="auto"/>
          <w:sz w:val="24"/>
          <w:highlight w:val="none"/>
        </w:rPr>
        <w:t>5.2服务内容：详见附件一。</w:t>
      </w:r>
    </w:p>
    <w:p>
      <w:pPr>
        <w:pStyle w:val="11"/>
        <w:numPr>
          <w:ilvl w:val="0"/>
          <w:numId w:val="3"/>
        </w:numPr>
        <w:spacing w:line="360" w:lineRule="auto"/>
        <w:jc w:val="left"/>
        <w:outlineLvl w:val="0"/>
        <w:rPr>
          <w:b/>
          <w:bCs/>
          <w:color w:val="auto"/>
          <w:sz w:val="24"/>
          <w:highlight w:val="none"/>
        </w:rPr>
      </w:pPr>
      <w:bookmarkStart w:id="91" w:name="_Toc17061"/>
      <w:r>
        <w:rPr>
          <w:b/>
          <w:bCs/>
          <w:color w:val="auto"/>
          <w:sz w:val="24"/>
          <w:highlight w:val="none"/>
        </w:rPr>
        <w:t>服务要求</w:t>
      </w:r>
      <w:bookmarkEnd w:id="91"/>
    </w:p>
    <w:p>
      <w:pPr>
        <w:pStyle w:val="11"/>
        <w:numPr>
          <w:ilvl w:val="1"/>
          <w:numId w:val="3"/>
        </w:numPr>
        <w:spacing w:line="360" w:lineRule="auto"/>
        <w:ind w:left="0" w:firstLine="567"/>
        <w:jc w:val="left"/>
        <w:rPr>
          <w:color w:val="auto"/>
          <w:sz w:val="24"/>
          <w:highlight w:val="none"/>
        </w:rPr>
      </w:pPr>
      <w:r>
        <w:rPr>
          <w:color w:val="auto"/>
          <w:sz w:val="24"/>
          <w:highlight w:val="none"/>
        </w:rPr>
        <w:t>乙方须遵守法律法规及银行业金融机构内部管理制度、贯彻执行相关监管政策。</w:t>
      </w:r>
    </w:p>
    <w:p>
      <w:pPr>
        <w:pStyle w:val="11"/>
        <w:numPr>
          <w:ilvl w:val="1"/>
          <w:numId w:val="3"/>
        </w:numPr>
        <w:spacing w:line="360" w:lineRule="auto"/>
        <w:ind w:left="0" w:firstLine="567"/>
        <w:jc w:val="left"/>
        <w:rPr>
          <w:color w:val="auto"/>
          <w:sz w:val="24"/>
          <w:highlight w:val="none"/>
        </w:rPr>
      </w:pPr>
      <w:r>
        <w:rPr>
          <w:color w:val="auto"/>
          <w:sz w:val="24"/>
          <w:highlight w:val="none"/>
        </w:rPr>
        <w:t>乙方应该定期开展风险管理评估和第三方审计工作，应该接受甲方的定期审核和评估，并配合接受来自监管机构的各项检查，配合对监管意见做出相应的管理、服务、基础设施、软硬件等整改。</w:t>
      </w:r>
    </w:p>
    <w:p>
      <w:pPr>
        <w:pStyle w:val="11"/>
        <w:numPr>
          <w:ilvl w:val="1"/>
          <w:numId w:val="3"/>
        </w:numPr>
        <w:tabs>
          <w:tab w:val="left" w:pos="1134"/>
        </w:tabs>
        <w:spacing w:line="360" w:lineRule="auto"/>
        <w:ind w:left="0" w:firstLine="567"/>
        <w:jc w:val="left"/>
        <w:rPr>
          <w:color w:val="auto"/>
          <w:sz w:val="24"/>
          <w:highlight w:val="none"/>
        </w:rPr>
      </w:pPr>
      <w:r>
        <w:rPr>
          <w:color w:val="auto"/>
          <w:sz w:val="24"/>
          <w:highlight w:val="none"/>
        </w:rPr>
        <w:t>为更好地为甲方提供优质可靠的</w:t>
      </w:r>
      <w:r>
        <w:rPr>
          <w:rFonts w:hint="eastAsia"/>
          <w:color w:val="auto"/>
          <w:sz w:val="24"/>
          <w:highlight w:val="none"/>
          <w:lang w:val="en-US" w:eastAsia="zh-CN"/>
        </w:rPr>
        <w:t>保障</w:t>
      </w:r>
      <w:r>
        <w:rPr>
          <w:color w:val="auto"/>
          <w:sz w:val="24"/>
          <w:highlight w:val="none"/>
        </w:rPr>
        <w:t>服务，乙方负责派遣具有相应资质、经验丰富、有能力独立处理甲方</w:t>
      </w:r>
      <w:r>
        <w:rPr>
          <w:rFonts w:hint="eastAsia" w:ascii="宋体" w:cs="宋体"/>
          <w:color w:val="auto"/>
          <w:sz w:val="24"/>
          <w:szCs w:val="24"/>
          <w:highlight w:val="none"/>
          <w:lang w:val="en-US" w:eastAsia="zh-CN"/>
        </w:rPr>
        <w:t>维护服务问题</w:t>
      </w:r>
      <w:r>
        <w:rPr>
          <w:rFonts w:hint="eastAsia" w:ascii="宋体" w:cs="宋体"/>
          <w:color w:val="auto"/>
          <w:sz w:val="24"/>
          <w:szCs w:val="24"/>
          <w:highlight w:val="none"/>
        </w:rPr>
        <w:t>的</w:t>
      </w:r>
      <w:r>
        <w:rPr>
          <w:rFonts w:hint="eastAsia" w:ascii="宋体" w:cs="宋体"/>
          <w:color w:val="auto"/>
          <w:sz w:val="24"/>
          <w:szCs w:val="24"/>
          <w:highlight w:val="none"/>
          <w:lang w:val="en-US" w:eastAsia="zh-CN"/>
        </w:rPr>
        <w:t>维护人员</w:t>
      </w:r>
      <w:r>
        <w:rPr>
          <w:color w:val="auto"/>
          <w:sz w:val="24"/>
          <w:highlight w:val="none"/>
        </w:rPr>
        <w:t>，并于合同签订后五日内，书面将工程师的身份证明、联系方式、资质情况等文件交甲方审核，甲方审核通过后备案。</w:t>
      </w:r>
    </w:p>
    <w:p>
      <w:pPr>
        <w:pStyle w:val="11"/>
        <w:numPr>
          <w:ilvl w:val="1"/>
          <w:numId w:val="3"/>
        </w:numPr>
        <w:tabs>
          <w:tab w:val="left" w:pos="1134"/>
        </w:tabs>
        <w:spacing w:line="360" w:lineRule="auto"/>
        <w:ind w:left="0" w:firstLine="567"/>
        <w:jc w:val="left"/>
        <w:rPr>
          <w:rFonts w:hint="eastAsia" w:ascii="宋体" w:hAnsi="宋体" w:cs="Cambria Math"/>
          <w:color w:val="auto"/>
          <w:kern w:val="2"/>
          <w:sz w:val="24"/>
          <w:szCs w:val="24"/>
          <w:highlight w:val="none"/>
          <w:lang w:val="en-US" w:eastAsia="zh-CN" w:bidi="ar-SA"/>
        </w:rPr>
      </w:pPr>
      <w:r>
        <w:rPr>
          <w:rFonts w:hint="eastAsia" w:ascii="宋体" w:cs="宋体"/>
          <w:color w:val="auto"/>
          <w:sz w:val="24"/>
          <w:szCs w:val="24"/>
          <w:highlight w:val="none"/>
          <w:lang w:val="en-US" w:eastAsia="zh-CN"/>
        </w:rPr>
        <w:t>在服务</w:t>
      </w:r>
      <w:r>
        <w:rPr>
          <w:rFonts w:hint="eastAsia" w:ascii="宋体"/>
          <w:color w:val="auto"/>
          <w:sz w:val="24"/>
          <w:szCs w:val="24"/>
          <w:highlight w:val="none"/>
        </w:rPr>
        <w:t>期内</w:t>
      </w:r>
      <w:r>
        <w:rPr>
          <w:rFonts w:hint="eastAsia" w:ascii="宋体"/>
          <w:color w:val="auto"/>
          <w:sz w:val="24"/>
          <w:szCs w:val="24"/>
          <w:highlight w:val="none"/>
          <w:lang w:eastAsia="zh-CN"/>
        </w:rPr>
        <w:t>，</w:t>
      </w:r>
      <w:r>
        <w:rPr>
          <w:rFonts w:hint="eastAsia" w:ascii="宋体"/>
          <w:color w:val="auto"/>
          <w:sz w:val="24"/>
          <w:szCs w:val="24"/>
          <w:highlight w:val="none"/>
        </w:rPr>
        <w:t>所有派驻</w:t>
      </w:r>
      <w:r>
        <w:rPr>
          <w:rFonts w:hint="eastAsia" w:ascii="宋体"/>
          <w:color w:val="auto"/>
          <w:sz w:val="24"/>
          <w:szCs w:val="24"/>
          <w:highlight w:val="none"/>
          <w:lang w:val="en-US" w:eastAsia="zh-CN"/>
        </w:rPr>
        <w:t>维护</w:t>
      </w:r>
      <w:r>
        <w:rPr>
          <w:rFonts w:hint="eastAsia" w:ascii="宋体"/>
          <w:color w:val="auto"/>
          <w:sz w:val="24"/>
          <w:szCs w:val="24"/>
          <w:highlight w:val="none"/>
        </w:rPr>
        <w:t>人员仅能服务于本项目，</w:t>
      </w:r>
      <w:r>
        <w:rPr>
          <w:rFonts w:hint="eastAsia" w:ascii="宋体"/>
          <w:color w:val="auto"/>
          <w:sz w:val="24"/>
          <w:szCs w:val="24"/>
          <w:highlight w:val="none"/>
          <w:lang w:val="en-US" w:eastAsia="zh-CN"/>
        </w:rPr>
        <w:t>不</w:t>
      </w:r>
      <w:r>
        <w:rPr>
          <w:rFonts w:hint="eastAsia" w:ascii="宋体" w:cs="宋体"/>
          <w:color w:val="auto"/>
          <w:sz w:val="24"/>
          <w:szCs w:val="24"/>
          <w:highlight w:val="none"/>
        </w:rPr>
        <w:t>得擅自调换或撤回已备案</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确需对已备案</w:t>
      </w:r>
      <w:r>
        <w:rPr>
          <w:rFonts w:hint="eastAsia" w:ascii="宋体" w:cs="宋体"/>
          <w:color w:val="auto"/>
          <w:sz w:val="24"/>
          <w:szCs w:val="24"/>
          <w:highlight w:val="none"/>
          <w:lang w:val="en-US" w:eastAsia="zh-CN"/>
        </w:rPr>
        <w:t>维护人员</w:t>
      </w:r>
      <w:r>
        <w:rPr>
          <w:rFonts w:hint="eastAsia" w:ascii="宋体" w:cs="宋体"/>
          <w:color w:val="auto"/>
          <w:sz w:val="24"/>
          <w:szCs w:val="24"/>
          <w:highlight w:val="none"/>
        </w:rPr>
        <w:t>进行调整，</w:t>
      </w:r>
      <w:r>
        <w:rPr>
          <w:rFonts w:ascii="宋体" w:cs="宋体"/>
          <w:color w:val="auto"/>
          <w:sz w:val="24"/>
          <w:szCs w:val="24"/>
          <w:highlight w:val="none"/>
        </w:rPr>
        <w:t>乙方</w:t>
      </w:r>
      <w:r>
        <w:rPr>
          <w:rFonts w:hint="eastAsia" w:ascii="宋体" w:cs="宋体"/>
          <w:color w:val="auto"/>
          <w:sz w:val="24"/>
          <w:szCs w:val="24"/>
          <w:highlight w:val="none"/>
        </w:rPr>
        <w:t>应提前10天书面来函协调，在取得</w:t>
      </w:r>
      <w:r>
        <w:rPr>
          <w:rFonts w:hint="eastAsia" w:cs="宋体"/>
          <w:color w:val="auto"/>
          <w:sz w:val="24"/>
          <w:szCs w:val="24"/>
          <w:highlight w:val="none"/>
          <w:lang w:val="en-US" w:eastAsia="zh-CN"/>
        </w:rPr>
        <w:t>甲方</w:t>
      </w:r>
      <w:r>
        <w:rPr>
          <w:rFonts w:hint="eastAsia" w:ascii="宋体" w:cs="宋体"/>
          <w:color w:val="auto"/>
          <w:sz w:val="24"/>
          <w:szCs w:val="24"/>
          <w:highlight w:val="none"/>
        </w:rPr>
        <w:t>许可的前提下方可更换相同资质和经验的</w:t>
      </w:r>
      <w:r>
        <w:rPr>
          <w:rFonts w:hint="eastAsia" w:ascii="宋体" w:cs="宋体"/>
          <w:color w:val="auto"/>
          <w:sz w:val="24"/>
          <w:szCs w:val="24"/>
          <w:highlight w:val="none"/>
          <w:lang w:val="en-US" w:eastAsia="zh-CN"/>
        </w:rPr>
        <w:t>维护人员</w:t>
      </w:r>
      <w:r>
        <w:rPr>
          <w:color w:val="auto"/>
          <w:sz w:val="24"/>
          <w:highlight w:val="none"/>
        </w:rPr>
        <w:t>。</w:t>
      </w:r>
    </w:p>
    <w:p>
      <w:pPr>
        <w:pStyle w:val="11"/>
        <w:numPr>
          <w:ilvl w:val="1"/>
          <w:numId w:val="3"/>
        </w:numPr>
        <w:tabs>
          <w:tab w:val="left" w:pos="1134"/>
        </w:tabs>
        <w:spacing w:line="360" w:lineRule="auto"/>
        <w:ind w:left="0" w:firstLine="567"/>
        <w:jc w:val="left"/>
        <w:rPr>
          <w:rFonts w:ascii="宋体" w:hAnsi="Cambria Math" w:eastAsia="宋体" w:cs="宋体"/>
          <w:b w:val="0"/>
          <w:bCs w:val="0"/>
          <w:color w:val="auto"/>
          <w:kern w:val="2"/>
          <w:sz w:val="24"/>
          <w:szCs w:val="24"/>
          <w:highlight w:val="none"/>
          <w:lang w:val="en-US" w:eastAsia="zh-CN" w:bidi="ar-SA"/>
        </w:rPr>
      </w:pPr>
      <w:r>
        <w:rPr>
          <w:rFonts w:hint="eastAsia" w:ascii="宋体" w:cs="宋体"/>
          <w:color w:val="auto"/>
          <w:sz w:val="24"/>
          <w:szCs w:val="24"/>
          <w:highlight w:val="none"/>
          <w:lang w:val="en-US" w:eastAsia="zh-CN"/>
        </w:rPr>
        <w:t>在服务期内，</w:t>
      </w:r>
      <w:r>
        <w:rPr>
          <w:rFonts w:ascii="宋体" w:cs="宋体"/>
          <w:color w:val="auto"/>
          <w:sz w:val="24"/>
          <w:szCs w:val="24"/>
          <w:highlight w:val="none"/>
          <w:lang w:eastAsia="zh-CN"/>
        </w:rPr>
        <w:t>总行</w:t>
      </w:r>
      <w:r>
        <w:rPr>
          <w:rFonts w:hint="eastAsia" w:ascii="宋体" w:hAnsi="宋体" w:eastAsia="宋体" w:cs="Cambria Math"/>
          <w:color w:val="auto"/>
          <w:kern w:val="2"/>
          <w:sz w:val="24"/>
          <w:szCs w:val="24"/>
          <w:highlight w:val="none"/>
          <w:lang w:val="en-US" w:eastAsia="zh-CN" w:bidi="ar-SA"/>
        </w:rPr>
        <w:t>大楼、数据中心、分支行</w:t>
      </w:r>
      <w:r>
        <w:rPr>
          <w:rFonts w:hint="eastAsia" w:ascii="宋体" w:hAnsi="宋体" w:cs="Cambria Math"/>
          <w:color w:val="auto"/>
          <w:kern w:val="2"/>
          <w:sz w:val="24"/>
          <w:szCs w:val="24"/>
          <w:highlight w:val="none"/>
          <w:lang w:val="en-US" w:eastAsia="zh-CN" w:bidi="ar-SA"/>
        </w:rPr>
        <w:t>营业点等</w:t>
      </w:r>
      <w:r>
        <w:rPr>
          <w:rFonts w:hint="eastAsia" w:ascii="宋体" w:hAnsi="宋体" w:eastAsia="宋体" w:cs="Cambria Math"/>
          <w:color w:val="auto"/>
          <w:kern w:val="2"/>
          <w:sz w:val="24"/>
          <w:szCs w:val="24"/>
          <w:highlight w:val="none"/>
          <w:lang w:val="en-US" w:eastAsia="zh-CN" w:bidi="ar-SA"/>
        </w:rPr>
        <w:t>搬迁、新增后的区域</w:t>
      </w:r>
      <w:r>
        <w:rPr>
          <w:rFonts w:hint="eastAsia" w:ascii="宋体" w:hAnsi="宋体" w:cs="Cambria Math"/>
          <w:color w:val="auto"/>
          <w:kern w:val="2"/>
          <w:sz w:val="24"/>
          <w:szCs w:val="24"/>
          <w:highlight w:val="none"/>
          <w:lang w:val="en-US" w:eastAsia="zh-CN" w:bidi="ar-SA"/>
        </w:rPr>
        <w:t>，</w:t>
      </w:r>
      <w:r>
        <w:rPr>
          <w:rFonts w:hint="eastAsia" w:ascii="宋体" w:hAnsi="宋体" w:eastAsia="宋体" w:cs="Cambria Math"/>
          <w:color w:val="auto"/>
          <w:kern w:val="2"/>
          <w:sz w:val="24"/>
          <w:szCs w:val="24"/>
          <w:highlight w:val="none"/>
          <w:lang w:val="en-US" w:eastAsia="zh-CN" w:bidi="ar-SA"/>
        </w:rPr>
        <w:t>自动纳入相应</w:t>
      </w:r>
      <w:r>
        <w:rPr>
          <w:rFonts w:hint="eastAsia" w:ascii="宋体" w:hAnsi="宋体" w:cs="Cambria Math"/>
          <w:color w:val="auto"/>
          <w:kern w:val="2"/>
          <w:sz w:val="24"/>
          <w:szCs w:val="24"/>
          <w:highlight w:val="none"/>
          <w:lang w:val="en-US" w:eastAsia="zh-CN" w:bidi="ar-SA"/>
        </w:rPr>
        <w:t>的</w:t>
      </w:r>
      <w:r>
        <w:rPr>
          <w:rFonts w:hint="eastAsia" w:ascii="宋体" w:hAnsi="宋体" w:eastAsia="宋体" w:cs="Cambria Math"/>
          <w:color w:val="auto"/>
          <w:kern w:val="2"/>
          <w:sz w:val="24"/>
          <w:szCs w:val="24"/>
          <w:highlight w:val="none"/>
          <w:lang w:val="en-US" w:eastAsia="zh-CN" w:bidi="ar-SA"/>
        </w:rPr>
        <w:t>服务</w:t>
      </w:r>
      <w:r>
        <w:rPr>
          <w:rFonts w:hint="eastAsia" w:ascii="宋体" w:hAnsi="宋体" w:cs="Cambria Math"/>
          <w:color w:val="auto"/>
          <w:kern w:val="2"/>
          <w:sz w:val="24"/>
          <w:szCs w:val="24"/>
          <w:highlight w:val="none"/>
          <w:lang w:val="en-US" w:eastAsia="zh-CN" w:bidi="ar-SA"/>
        </w:rPr>
        <w:t>支持</w:t>
      </w:r>
      <w:r>
        <w:rPr>
          <w:rFonts w:hint="eastAsia" w:ascii="宋体" w:hAnsi="宋体" w:eastAsia="宋体" w:cs="Cambria Math"/>
          <w:color w:val="auto"/>
          <w:kern w:val="2"/>
          <w:sz w:val="24"/>
          <w:szCs w:val="24"/>
          <w:highlight w:val="none"/>
          <w:lang w:val="en-US" w:eastAsia="zh-CN" w:bidi="ar-SA"/>
        </w:rPr>
        <w:t>范围</w:t>
      </w:r>
      <w:r>
        <w:rPr>
          <w:rFonts w:hint="eastAsia" w:ascii="宋体" w:hAnsi="宋体" w:cs="Cambria Math"/>
          <w:color w:val="auto"/>
          <w:kern w:val="2"/>
          <w:sz w:val="24"/>
          <w:szCs w:val="24"/>
          <w:highlight w:val="none"/>
          <w:lang w:val="en-US" w:eastAsia="zh-CN" w:bidi="ar-SA"/>
        </w:rPr>
        <w:t>和服务响应标准。</w:t>
      </w:r>
    </w:p>
    <w:p>
      <w:pPr>
        <w:pStyle w:val="11"/>
        <w:numPr>
          <w:ilvl w:val="1"/>
          <w:numId w:val="3"/>
        </w:numPr>
        <w:tabs>
          <w:tab w:val="left" w:pos="1134"/>
        </w:tabs>
        <w:spacing w:line="360" w:lineRule="auto"/>
        <w:ind w:left="0" w:firstLine="567"/>
        <w:jc w:val="left"/>
        <w:rPr>
          <w:rFonts w:hint="eastAsia" w:ascii="宋体" w:cs="宋体"/>
          <w:b w:val="0"/>
          <w:bCs w:val="0"/>
          <w:color w:val="auto"/>
          <w:sz w:val="24"/>
          <w:szCs w:val="24"/>
          <w:highlight w:val="none"/>
          <w:lang w:eastAsia="zh-CN"/>
        </w:rPr>
      </w:pPr>
      <w:r>
        <w:rPr>
          <w:rFonts w:hint="eastAsia" w:ascii="宋体" w:hAnsi="Cambria Math" w:eastAsia="宋体" w:cs="宋体"/>
          <w:b w:val="0"/>
          <w:bCs w:val="0"/>
          <w:color w:val="auto"/>
          <w:kern w:val="2"/>
          <w:sz w:val="24"/>
          <w:szCs w:val="24"/>
          <w:highlight w:val="none"/>
          <w:lang w:val="en-US" w:eastAsia="zh-CN" w:bidi="ar-SA"/>
        </w:rPr>
        <w:t>未在规定时间内提供相应服务支持，</w:t>
      </w:r>
      <w:r>
        <w:rPr>
          <w:rFonts w:hint="eastAsia" w:cs="宋体"/>
          <w:b w:val="0"/>
          <w:bCs w:val="0"/>
          <w:color w:val="auto"/>
          <w:kern w:val="2"/>
          <w:sz w:val="24"/>
          <w:szCs w:val="24"/>
          <w:highlight w:val="none"/>
          <w:lang w:val="en-US" w:eastAsia="zh-CN" w:bidi="ar-SA"/>
        </w:rPr>
        <w:t>甲方</w:t>
      </w:r>
      <w:r>
        <w:rPr>
          <w:rFonts w:hint="eastAsia" w:ascii="宋体" w:hAnsi="Cambria Math" w:eastAsia="宋体" w:cs="宋体"/>
          <w:b w:val="0"/>
          <w:bCs w:val="0"/>
          <w:color w:val="auto"/>
          <w:kern w:val="2"/>
          <w:sz w:val="24"/>
          <w:szCs w:val="24"/>
          <w:highlight w:val="none"/>
          <w:lang w:val="en-US" w:eastAsia="zh-CN" w:bidi="ar-SA"/>
        </w:rPr>
        <w:t>有权扣除一定金额</w:t>
      </w:r>
      <w:r>
        <w:rPr>
          <w:rFonts w:ascii="宋体" w:hAnsi="Cambria Math" w:eastAsia="宋体" w:cs="宋体"/>
          <w:b w:val="0"/>
          <w:bCs w:val="0"/>
          <w:color w:val="auto"/>
          <w:kern w:val="2"/>
          <w:sz w:val="24"/>
          <w:szCs w:val="24"/>
          <w:highlight w:val="none"/>
          <w:lang w:val="en-US" w:eastAsia="zh-CN" w:bidi="ar-SA"/>
        </w:rPr>
        <w:t>服务</w:t>
      </w:r>
      <w:r>
        <w:rPr>
          <w:rFonts w:hint="eastAsia" w:ascii="宋体" w:hAnsi="Cambria Math" w:eastAsia="宋体" w:cs="宋体"/>
          <w:b w:val="0"/>
          <w:bCs w:val="0"/>
          <w:color w:val="auto"/>
          <w:kern w:val="2"/>
          <w:sz w:val="24"/>
          <w:szCs w:val="24"/>
          <w:highlight w:val="none"/>
          <w:lang w:val="en-US" w:eastAsia="zh-CN" w:bidi="ar-SA"/>
        </w:rPr>
        <w:t>费用。</w:t>
      </w:r>
    </w:p>
    <w:p>
      <w:pPr>
        <w:pStyle w:val="11"/>
        <w:numPr>
          <w:ilvl w:val="1"/>
          <w:numId w:val="3"/>
        </w:numPr>
        <w:tabs>
          <w:tab w:val="left" w:pos="1134"/>
        </w:tabs>
        <w:spacing w:line="360" w:lineRule="auto"/>
        <w:ind w:left="0" w:firstLine="567"/>
        <w:jc w:val="left"/>
        <w:rPr>
          <w:rFonts w:hint="eastAsia" w:ascii="宋体" w:cs="宋体"/>
          <w:snapToGrid w:val="0"/>
          <w:color w:val="auto"/>
          <w:kern w:val="0"/>
          <w:sz w:val="24"/>
          <w:szCs w:val="24"/>
          <w:highlight w:val="none"/>
        </w:rPr>
      </w:pPr>
      <w:r>
        <w:rPr>
          <w:rFonts w:hint="eastAsia" w:ascii="宋体" w:cs="宋体"/>
          <w:b w:val="0"/>
          <w:bCs w:val="0"/>
          <w:color w:val="auto"/>
          <w:sz w:val="24"/>
          <w:szCs w:val="24"/>
          <w:highlight w:val="none"/>
        </w:rPr>
        <w:t>每季度</w:t>
      </w:r>
      <w:r>
        <w:rPr>
          <w:rFonts w:hint="eastAsia" w:ascii="宋体" w:cs="宋体"/>
          <w:b w:val="0"/>
          <w:bCs w:val="0"/>
          <w:color w:val="auto"/>
          <w:sz w:val="24"/>
          <w:szCs w:val="24"/>
          <w:highlight w:val="none"/>
          <w:lang w:val="en-US" w:eastAsia="zh-CN"/>
        </w:rPr>
        <w:t>向甲方提交</w:t>
      </w:r>
      <w:r>
        <w:rPr>
          <w:rFonts w:hint="eastAsia" w:ascii="宋体" w:cs="宋体"/>
          <w:b w:val="0"/>
          <w:bCs w:val="0"/>
          <w:color w:val="auto"/>
          <w:sz w:val="24"/>
          <w:szCs w:val="24"/>
          <w:highlight w:val="none"/>
        </w:rPr>
        <w:t>维护工作书面报告，每年向</w:t>
      </w:r>
      <w:r>
        <w:rPr>
          <w:rFonts w:hint="eastAsia" w:ascii="宋体" w:cs="宋体"/>
          <w:b w:val="0"/>
          <w:bCs w:val="0"/>
          <w:color w:val="auto"/>
          <w:sz w:val="24"/>
          <w:szCs w:val="24"/>
          <w:highlight w:val="none"/>
          <w:lang w:val="en-US" w:eastAsia="zh-CN"/>
        </w:rPr>
        <w:t>我</w:t>
      </w:r>
      <w:r>
        <w:rPr>
          <w:rFonts w:hint="eastAsia" w:ascii="宋体" w:cs="宋体"/>
          <w:b w:val="0"/>
          <w:bCs w:val="0"/>
          <w:color w:val="auto"/>
          <w:sz w:val="24"/>
          <w:szCs w:val="24"/>
          <w:highlight w:val="none"/>
        </w:rPr>
        <w:t>行提交维护工作年终总结</w:t>
      </w:r>
      <w:r>
        <w:rPr>
          <w:rFonts w:hint="eastAsia" w:ascii="宋体" w:cs="宋体"/>
          <w:b w:val="0"/>
          <w:bCs w:val="0"/>
          <w:color w:val="auto"/>
          <w:sz w:val="24"/>
          <w:szCs w:val="24"/>
          <w:highlight w:val="none"/>
          <w:lang w:eastAsia="zh-CN"/>
        </w:rPr>
        <w:t>。</w:t>
      </w:r>
    </w:p>
    <w:p>
      <w:pPr>
        <w:pStyle w:val="11"/>
        <w:numPr>
          <w:ilvl w:val="1"/>
          <w:numId w:val="3"/>
        </w:numPr>
        <w:tabs>
          <w:tab w:val="left" w:pos="1134"/>
        </w:tabs>
        <w:spacing w:line="360" w:lineRule="auto"/>
        <w:ind w:left="0" w:firstLine="567"/>
        <w:jc w:val="left"/>
        <w:rPr>
          <w:rFonts w:hint="eastAsia" w:ascii="宋体" w:cs="宋体"/>
          <w:snapToGrid w:val="0"/>
          <w:color w:val="auto"/>
          <w:kern w:val="0"/>
          <w:sz w:val="24"/>
          <w:szCs w:val="24"/>
          <w:highlight w:val="none"/>
        </w:rPr>
      </w:pPr>
      <w:r>
        <w:rPr>
          <w:rFonts w:ascii="宋体"/>
          <w:color w:val="auto"/>
          <w:sz w:val="24"/>
          <w:szCs w:val="24"/>
          <w:highlight w:val="none"/>
          <w:lang w:eastAsia="zh-CN"/>
        </w:rPr>
        <w:t>乙方</w:t>
      </w:r>
      <w:r>
        <w:rPr>
          <w:rFonts w:hint="eastAsia" w:ascii="宋体"/>
          <w:color w:val="auto"/>
          <w:sz w:val="24"/>
          <w:szCs w:val="24"/>
          <w:highlight w:val="none"/>
          <w:lang w:val="en-US" w:eastAsia="zh-CN"/>
        </w:rPr>
        <w:t>能独立做</w:t>
      </w:r>
      <w:r>
        <w:rPr>
          <w:rFonts w:hint="eastAsia" w:ascii="宋体"/>
          <w:color w:val="auto"/>
          <w:sz w:val="24"/>
          <w:szCs w:val="24"/>
          <w:highlight w:val="none"/>
        </w:rPr>
        <w:t>好设备资产的管理，技术资料、图纸、技术文件的收集、整理等工作、对各种运行记录、维修维护记录和技术文档等进行审核、登记、编号，每年年底送甲方归档</w:t>
      </w:r>
      <w:r>
        <w:rPr>
          <w:rFonts w:hint="eastAsia" w:ascii="宋体"/>
          <w:color w:val="auto"/>
          <w:sz w:val="24"/>
          <w:szCs w:val="24"/>
          <w:highlight w:val="none"/>
          <w:lang w:eastAsia="zh-CN"/>
        </w:rPr>
        <w:t>。</w:t>
      </w:r>
    </w:p>
    <w:p>
      <w:pPr>
        <w:pStyle w:val="11"/>
        <w:numPr>
          <w:ilvl w:val="1"/>
          <w:numId w:val="3"/>
        </w:numPr>
        <w:tabs>
          <w:tab w:val="left" w:pos="1134"/>
        </w:tabs>
        <w:spacing w:line="360" w:lineRule="auto"/>
        <w:ind w:left="0" w:firstLine="567"/>
        <w:jc w:val="left"/>
        <w:rPr>
          <w:rFonts w:hint="eastAsia" w:ascii="宋体" w:cs="宋体"/>
          <w:snapToGrid w:val="0"/>
          <w:color w:val="auto"/>
          <w:kern w:val="0"/>
          <w:sz w:val="24"/>
          <w:szCs w:val="24"/>
          <w:highlight w:val="none"/>
        </w:rPr>
      </w:pPr>
      <w:r>
        <w:rPr>
          <w:rFonts w:hint="eastAsia" w:ascii="宋体" w:cs="宋体"/>
          <w:snapToGrid w:val="0"/>
          <w:color w:val="auto"/>
          <w:kern w:val="0"/>
          <w:sz w:val="24"/>
          <w:szCs w:val="24"/>
          <w:highlight w:val="none"/>
        </w:rPr>
        <w:t>承诺对接触到的</w:t>
      </w:r>
      <w:r>
        <w:rPr>
          <w:rFonts w:hint="eastAsia" w:cs="宋体"/>
          <w:snapToGrid w:val="0"/>
          <w:color w:val="auto"/>
          <w:kern w:val="0"/>
          <w:sz w:val="24"/>
          <w:szCs w:val="24"/>
          <w:highlight w:val="none"/>
          <w:lang w:val="en-US" w:eastAsia="zh-CN"/>
        </w:rPr>
        <w:t>甲方</w:t>
      </w:r>
      <w:r>
        <w:rPr>
          <w:rFonts w:hint="eastAsia" w:ascii="宋体" w:cs="宋体"/>
          <w:snapToGrid w:val="0"/>
          <w:color w:val="auto"/>
          <w:kern w:val="0"/>
          <w:sz w:val="24"/>
          <w:szCs w:val="24"/>
          <w:highlight w:val="none"/>
        </w:rPr>
        <w:t>所有信息和数据保密。</w:t>
      </w:r>
    </w:p>
    <w:p>
      <w:pPr>
        <w:pStyle w:val="11"/>
        <w:numPr>
          <w:ilvl w:val="0"/>
          <w:numId w:val="3"/>
        </w:numPr>
        <w:spacing w:line="360" w:lineRule="auto"/>
        <w:jc w:val="left"/>
        <w:outlineLvl w:val="0"/>
        <w:rPr>
          <w:rFonts w:eastAsia="宋体"/>
          <w:b/>
          <w:bCs/>
          <w:color w:val="auto"/>
          <w:sz w:val="24"/>
          <w:highlight w:val="none"/>
        </w:rPr>
      </w:pPr>
      <w:bookmarkStart w:id="92" w:name="_Toc15524"/>
      <w:r>
        <w:rPr>
          <w:rFonts w:eastAsia="宋体"/>
          <w:b/>
          <w:bCs/>
          <w:color w:val="auto"/>
          <w:sz w:val="24"/>
          <w:highlight w:val="none"/>
        </w:rPr>
        <w:t>保密条款</w:t>
      </w:r>
      <w:bookmarkEnd w:id="92"/>
    </w:p>
    <w:p>
      <w:pPr>
        <w:pStyle w:val="11"/>
        <w:numPr>
          <w:ilvl w:val="1"/>
          <w:numId w:val="3"/>
        </w:numPr>
        <w:tabs>
          <w:tab w:val="left" w:pos="1134"/>
        </w:tabs>
        <w:spacing w:line="360" w:lineRule="auto"/>
        <w:ind w:left="0" w:firstLine="567"/>
        <w:jc w:val="left"/>
        <w:rPr>
          <w:bCs/>
          <w:color w:val="auto"/>
          <w:sz w:val="24"/>
          <w:highlight w:val="none"/>
        </w:rPr>
      </w:pPr>
      <w:r>
        <w:rPr>
          <w:bCs/>
          <w:color w:val="auto"/>
          <w:sz w:val="24"/>
          <w:highlight w:val="none"/>
        </w:rPr>
        <w:t>保密范围：</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 xml:space="preserve">7.1.1  </w:t>
      </w:r>
      <w:r>
        <w:rPr>
          <w:rFonts w:hint="eastAsia" w:ascii="宋体"/>
          <w:bCs/>
          <w:vanish/>
          <w:color w:val="auto"/>
          <w:sz w:val="24"/>
          <w:szCs w:val="21"/>
          <w:highlight w:val="none"/>
        </w:rPr>
        <w:t xml:space="preserve">7.1.1  </w:t>
      </w:r>
      <w:r>
        <w:rPr>
          <w:rFonts w:hint="eastAsia" w:ascii="宋体"/>
          <w:bCs/>
          <w:color w:val="auto"/>
          <w:sz w:val="24"/>
          <w:szCs w:val="21"/>
          <w:highlight w:val="none"/>
        </w:rPr>
        <w:t>本合同项下的所有条款。</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7.1.2  乙方工程师在</w:t>
      </w:r>
      <w:r>
        <w:rPr>
          <w:rFonts w:hint="eastAsia" w:ascii="宋体"/>
          <w:bCs/>
          <w:color w:val="auto"/>
          <w:sz w:val="24"/>
          <w:szCs w:val="21"/>
          <w:highlight w:val="none"/>
          <w:lang w:val="en-US" w:eastAsia="zh-CN"/>
        </w:rPr>
        <w:t>保障</w:t>
      </w:r>
      <w:r>
        <w:rPr>
          <w:rFonts w:hint="eastAsia" w:ascii="宋体"/>
          <w:bCs/>
          <w:color w:val="auto"/>
          <w:sz w:val="24"/>
          <w:szCs w:val="21"/>
          <w:highlight w:val="none"/>
        </w:rPr>
        <w:t>过程中接触到的甲方系统软件的相关信息及甲方其他经营管理信息（包括客户金融信息），甲乙双方为履行本合同向对方提供的一切资料。</w:t>
      </w:r>
    </w:p>
    <w:p>
      <w:pPr>
        <w:pStyle w:val="11"/>
        <w:numPr>
          <w:ilvl w:val="1"/>
          <w:numId w:val="3"/>
        </w:numPr>
        <w:tabs>
          <w:tab w:val="left" w:pos="1134"/>
        </w:tabs>
        <w:spacing w:line="360" w:lineRule="auto"/>
        <w:ind w:left="0" w:firstLine="567"/>
        <w:jc w:val="left"/>
        <w:rPr>
          <w:rFonts w:hint="eastAsia"/>
          <w:bCs/>
          <w:color w:val="auto"/>
          <w:sz w:val="24"/>
          <w:highlight w:val="none"/>
        </w:rPr>
      </w:pPr>
      <w:r>
        <w:rPr>
          <w:bCs/>
          <w:color w:val="auto"/>
          <w:sz w:val="24"/>
          <w:highlight w:val="none"/>
        </w:rPr>
        <w:t>保密责任：</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7.2.1 乙方应对本合同所述的客户信息、技术资料、业务流程、数据等</w:t>
      </w:r>
      <w:r>
        <w:rPr>
          <w:rFonts w:ascii="宋体"/>
          <w:bCs/>
          <w:color w:val="auto"/>
          <w:sz w:val="24"/>
          <w:szCs w:val="21"/>
          <w:highlight w:val="none"/>
        </w:rPr>
        <w:t>重要</w:t>
      </w:r>
      <w:r>
        <w:rPr>
          <w:rFonts w:hint="eastAsia" w:ascii="宋体"/>
          <w:bCs/>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7.2.2 乙方不得以甲方名义开展活动，不得将甲方数据、信息以任何形式转移、挪用或谋取合同约定以外的利益。</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7.2.3 乙方知道违反本条规定将给甲方客户权利以及甲方造成难以弥补的损失，为此同意承担由此产生的经济上和法律上的责任和损失。</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7.2.4 乙方承认本合同中的技术资料和技术秘密为甲方所专有，将其对乙方进行披露并不意味着任何所有权、专利权的转让。</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7.2.5 除非甲方特别声明，乙方对于保密信息的保密义务为无限期保密，直至甲方宣布解密或者保密信息实际上已经公开。</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7.2.6 本合同项下乙方人员行为视为乙方行为，乙方应承担全部责任及损失。当客户信息不安全或客户权利受到重大不利影响时，甲方有权随时终止合同。</w:t>
      </w:r>
    </w:p>
    <w:p>
      <w:pPr>
        <w:pStyle w:val="11"/>
        <w:numPr>
          <w:ilvl w:val="0"/>
          <w:numId w:val="3"/>
        </w:numPr>
        <w:spacing w:line="360" w:lineRule="auto"/>
        <w:jc w:val="left"/>
        <w:outlineLvl w:val="0"/>
        <w:rPr>
          <w:rFonts w:eastAsia="宋体"/>
          <w:b/>
          <w:bCs/>
          <w:color w:val="auto"/>
          <w:sz w:val="24"/>
          <w:highlight w:val="none"/>
        </w:rPr>
      </w:pPr>
      <w:bookmarkStart w:id="93" w:name="_Toc10336"/>
      <w:r>
        <w:rPr>
          <w:rFonts w:eastAsia="宋体"/>
          <w:b/>
          <w:bCs/>
          <w:color w:val="auto"/>
          <w:sz w:val="24"/>
          <w:highlight w:val="none"/>
        </w:rPr>
        <w:t>知识产权</w:t>
      </w:r>
      <w:bookmarkEnd w:id="93"/>
    </w:p>
    <w:p>
      <w:pPr>
        <w:pStyle w:val="11"/>
        <w:spacing w:line="360" w:lineRule="auto"/>
        <w:ind w:firstLine="480" w:firstLineChars="200"/>
        <w:jc w:val="left"/>
        <w:rPr>
          <w:color w:val="auto"/>
          <w:sz w:val="24"/>
          <w:szCs w:val="24"/>
          <w:highlight w:val="none"/>
        </w:rPr>
      </w:pPr>
      <w:r>
        <w:rPr>
          <w:color w:val="auto"/>
          <w:sz w:val="24"/>
          <w:szCs w:val="24"/>
          <w:highlight w:val="none"/>
        </w:rPr>
        <w:t>乙方所提供的设备</w:t>
      </w:r>
      <w:r>
        <w:rPr>
          <w:rFonts w:hint="eastAsia"/>
          <w:color w:val="auto"/>
          <w:sz w:val="24"/>
          <w:szCs w:val="24"/>
          <w:highlight w:val="none"/>
        </w:rPr>
        <w:t>、软件</w:t>
      </w:r>
      <w:r>
        <w:rPr>
          <w:color w:val="auto"/>
          <w:sz w:val="24"/>
          <w:szCs w:val="24"/>
          <w:highlight w:val="none"/>
        </w:rPr>
        <w:t>及服务不得侵犯任何第三方的工业产权或知识产权，否则乙方将承担由此引起的法律责任和相关经济损失。</w:t>
      </w:r>
    </w:p>
    <w:p>
      <w:pPr>
        <w:pStyle w:val="11"/>
        <w:numPr>
          <w:ilvl w:val="0"/>
          <w:numId w:val="3"/>
        </w:numPr>
        <w:spacing w:line="360" w:lineRule="auto"/>
        <w:jc w:val="left"/>
        <w:outlineLvl w:val="0"/>
        <w:rPr>
          <w:b/>
          <w:bCs/>
          <w:color w:val="auto"/>
          <w:sz w:val="24"/>
          <w:szCs w:val="24"/>
          <w:highlight w:val="none"/>
        </w:rPr>
      </w:pPr>
      <w:bookmarkStart w:id="94" w:name="_Toc3636"/>
      <w:r>
        <w:rPr>
          <w:b/>
          <w:bCs/>
          <w:color w:val="auto"/>
          <w:sz w:val="24"/>
          <w:szCs w:val="24"/>
          <w:highlight w:val="none"/>
        </w:rPr>
        <w:t>违约责任</w:t>
      </w:r>
      <w:bookmarkEnd w:id="94"/>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9.1 如甲方逾期付款，则应向乙方偿付逾期付款的违约金。计算办法为按逾期付款金额为基数，以每日万分之五计算。若乙方未提交付款申请与发票，</w:t>
      </w:r>
      <w:r>
        <w:rPr>
          <w:rFonts w:ascii="宋体"/>
          <w:color w:val="auto"/>
          <w:sz w:val="24"/>
          <w:highlight w:val="none"/>
        </w:rPr>
        <w:t>或乙方服务质量未达到合同约定的要求，</w:t>
      </w:r>
      <w:r>
        <w:rPr>
          <w:rFonts w:hint="eastAsia" w:ascii="宋体"/>
          <w:color w:val="auto"/>
          <w:sz w:val="24"/>
          <w:highlight w:val="none"/>
        </w:rPr>
        <w:t>则甲方逾期付款不承担违约责任。</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9.2 如由于可归因于乙方自身的原因，致使乙方逾期提供服务的，乙方则应向甲方偿付逾期服务的违约金。计算办法为每逾期1天以合同总金额为基数，按每日万分之五计算。</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9.3 乙方未按合同规定履行服务项目，甲方有权解除</w:t>
      </w:r>
      <w:r>
        <w:rPr>
          <w:rFonts w:ascii="宋体"/>
          <w:color w:val="auto"/>
          <w:sz w:val="24"/>
          <w:highlight w:val="none"/>
        </w:rPr>
        <w:t>或终止</w:t>
      </w:r>
      <w:r>
        <w:rPr>
          <w:rFonts w:hint="eastAsia" w:ascii="宋体"/>
          <w:color w:val="auto"/>
          <w:sz w:val="24"/>
          <w:highlight w:val="none"/>
        </w:rPr>
        <w:t>合同，并有权要求乙方承担因此给甲方造成的损失。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 xml:space="preserve">9.4 </w:t>
      </w:r>
      <w:r>
        <w:rPr>
          <w:rFonts w:hint="eastAsia" w:ascii="宋体"/>
          <w:color w:val="auto"/>
          <w:sz w:val="24"/>
          <w:highlight w:val="none"/>
          <w:lang w:val="en-US" w:eastAsia="zh-CN"/>
        </w:rPr>
        <w:t>乙方服务质量未达到合同规定要求，甲方有权解除合同，</w:t>
      </w:r>
      <w:r>
        <w:rPr>
          <w:rFonts w:hint="eastAsia" w:ascii="宋体"/>
          <w:color w:val="auto"/>
          <w:sz w:val="24"/>
          <w:highlight w:val="none"/>
        </w:rPr>
        <w:t>不再支付剩余费用，有权要求乙方承担因此给甲方造成的损失。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9.5 因乙方服务质量问题使甲方遭受损失的，乙方应赔偿甲方的全部损失。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9.6 任何一方违反“本合同保密条款”的约定，违约方应向守约方承担合同总金额10％的违约金，并赔偿由此造成的对方的损失。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9.7 未经甲方书面同意乙方擅自更换服务人员的，甲方有权解除合同，不再支付剩余费用，有权要求乙方承担因此给甲方造成的损失。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ascii="宋体"/>
          <w:color w:val="auto"/>
          <w:sz w:val="24"/>
          <w:highlight w:val="none"/>
        </w:rPr>
        <w:t>8</w:t>
      </w:r>
      <w:r>
        <w:rPr>
          <w:rFonts w:hint="eastAsia" w:ascii="宋体"/>
          <w:color w:val="auto"/>
          <w:sz w:val="24"/>
          <w:highlight w:val="none"/>
        </w:rPr>
        <w:t xml:space="preserve"> 任何一方违反或不履行本合同任何约定时超过一个月期限，他方可终止本合约。</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ascii="宋体"/>
          <w:color w:val="auto"/>
          <w:sz w:val="24"/>
          <w:highlight w:val="none"/>
        </w:rPr>
        <w:t>9</w:t>
      </w:r>
      <w:r>
        <w:rPr>
          <w:rFonts w:hint="eastAsia" w:ascii="宋体"/>
          <w:color w:val="auto"/>
          <w:sz w:val="24"/>
          <w:highlight w:val="none"/>
        </w:rPr>
        <w:t xml:space="preserve"> 任何一方有破产、解散、重整、停止营业或其它严重影响债信之情事发生时，他方可终止本合同，但终止时已发生之债权债务关系不受影响。</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ascii="宋体"/>
          <w:color w:val="auto"/>
          <w:sz w:val="24"/>
          <w:highlight w:val="none"/>
        </w:rPr>
        <w:t>10</w:t>
      </w:r>
      <w:r>
        <w:rPr>
          <w:rFonts w:hint="eastAsia" w:ascii="宋体"/>
          <w:color w:val="auto"/>
          <w:sz w:val="24"/>
          <w:highlight w:val="none"/>
        </w:rPr>
        <w:t xml:space="preserve"> 甲方有经提前书面通知乙方后单方解除本合同的权利，合同解除之日为解除通知到达乙方之日。本合同因此解除的，甲方据实结算费用，无需承担额外的违约责任或赔偿责任。</w:t>
      </w:r>
    </w:p>
    <w:p>
      <w:pPr>
        <w:adjustRightInd w:val="0"/>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9.1</w:t>
      </w:r>
      <w:r>
        <w:rPr>
          <w:rFonts w:ascii="宋体"/>
          <w:color w:val="auto"/>
          <w:sz w:val="24"/>
          <w:highlight w:val="none"/>
        </w:rPr>
        <w:t>1</w:t>
      </w:r>
      <w:r>
        <w:rPr>
          <w:rFonts w:hint="eastAsia" w:ascii="宋体"/>
          <w:color w:val="auto"/>
          <w:sz w:val="24"/>
          <w:highlight w:val="none"/>
        </w:rPr>
        <w:t>合同变更或终止条件触发时，乙方应将服务期间内所有信息、资料和设施交付给甲方，并配合甲方完成技术转移</w:t>
      </w:r>
      <w:r>
        <w:rPr>
          <w:rFonts w:ascii="宋体"/>
          <w:color w:val="auto"/>
          <w:sz w:val="24"/>
          <w:highlight w:val="none"/>
        </w:rPr>
        <w:t>。</w:t>
      </w:r>
    </w:p>
    <w:p>
      <w:pPr>
        <w:adjustRightInd w:val="0"/>
        <w:snapToGrid w:val="0"/>
        <w:spacing w:line="360" w:lineRule="auto"/>
        <w:ind w:firstLine="480" w:firstLineChars="200"/>
        <w:rPr>
          <w:rFonts w:hint="eastAsia" w:ascii="宋体"/>
          <w:color w:val="auto"/>
          <w:sz w:val="24"/>
          <w:highlight w:val="none"/>
        </w:rPr>
      </w:pPr>
      <w:r>
        <w:rPr>
          <w:rFonts w:ascii="宋体"/>
          <w:color w:val="auto"/>
          <w:sz w:val="24"/>
          <w:highlight w:val="none"/>
        </w:rPr>
        <w:t>9.1</w:t>
      </w:r>
      <w:r>
        <w:rPr>
          <w:rFonts w:hint="eastAsia" w:ascii="宋体"/>
          <w:color w:val="auto"/>
          <w:sz w:val="24"/>
          <w:highlight w:val="none"/>
          <w:lang w:val="en-US" w:eastAsia="zh-CN"/>
        </w:rPr>
        <w:t>2</w:t>
      </w:r>
      <w:r>
        <w:rPr>
          <w:rFonts w:hint="eastAsia" w:ascii="宋体"/>
          <w:color w:val="auto"/>
          <w:sz w:val="24"/>
          <w:highlight w:val="none"/>
        </w:rPr>
        <w:t>本合同</w:t>
      </w:r>
      <w:r>
        <w:rPr>
          <w:rFonts w:ascii="宋体"/>
          <w:color w:val="auto"/>
          <w:sz w:val="24"/>
          <w:highlight w:val="none"/>
        </w:rPr>
        <w:t>项下乙方应支付的赔偿、</w:t>
      </w:r>
      <w:r>
        <w:rPr>
          <w:rFonts w:hint="eastAsia" w:ascii="宋体"/>
          <w:color w:val="auto"/>
          <w:sz w:val="24"/>
          <w:highlight w:val="none"/>
        </w:rPr>
        <w:t>违约金</w:t>
      </w:r>
      <w:r>
        <w:rPr>
          <w:rFonts w:ascii="宋体"/>
          <w:color w:val="auto"/>
          <w:sz w:val="24"/>
          <w:highlight w:val="none"/>
        </w:rPr>
        <w:t>、损失等，甲方均有权从</w:t>
      </w:r>
      <w:r>
        <w:rPr>
          <w:rFonts w:hint="eastAsia" w:ascii="宋体"/>
          <w:color w:val="auto"/>
          <w:sz w:val="24"/>
          <w:highlight w:val="none"/>
        </w:rPr>
        <w:t>任意</w:t>
      </w:r>
      <w:r>
        <w:rPr>
          <w:rFonts w:ascii="宋体"/>
          <w:color w:val="auto"/>
          <w:sz w:val="24"/>
          <w:highlight w:val="none"/>
        </w:rPr>
        <w:t>一</w:t>
      </w:r>
      <w:r>
        <w:rPr>
          <w:rFonts w:hint="eastAsia" w:ascii="宋体"/>
          <w:color w:val="auto"/>
          <w:sz w:val="24"/>
          <w:highlight w:val="none"/>
        </w:rPr>
        <w:t>笔</w:t>
      </w:r>
      <w:r>
        <w:rPr>
          <w:rFonts w:ascii="宋体"/>
          <w:color w:val="auto"/>
          <w:sz w:val="24"/>
          <w:highlight w:val="none"/>
        </w:rPr>
        <w:t>应支付给乙方的费用中优先扣除，如有不足</w:t>
      </w:r>
      <w:r>
        <w:rPr>
          <w:rFonts w:hint="eastAsia" w:ascii="宋体"/>
          <w:color w:val="auto"/>
          <w:sz w:val="24"/>
          <w:highlight w:val="none"/>
        </w:rPr>
        <w:t>，乙方</w:t>
      </w:r>
      <w:r>
        <w:rPr>
          <w:rFonts w:ascii="宋体"/>
          <w:color w:val="auto"/>
          <w:sz w:val="24"/>
          <w:highlight w:val="none"/>
        </w:rPr>
        <w:t>应另行筹措资金补足</w:t>
      </w:r>
      <w:r>
        <w:rPr>
          <w:rFonts w:hint="eastAsia" w:ascii="宋体"/>
          <w:color w:val="auto"/>
          <w:sz w:val="24"/>
          <w:highlight w:val="none"/>
        </w:rPr>
        <w:t>。</w:t>
      </w:r>
    </w:p>
    <w:p>
      <w:pPr>
        <w:pStyle w:val="11"/>
        <w:numPr>
          <w:ilvl w:val="0"/>
          <w:numId w:val="0"/>
        </w:numPr>
        <w:spacing w:line="360" w:lineRule="auto"/>
        <w:ind w:leftChars="0" w:firstLine="480" w:firstLineChars="200"/>
        <w:jc w:val="left"/>
        <w:rPr>
          <w:b/>
          <w:bCs/>
          <w:color w:val="auto"/>
          <w:sz w:val="24"/>
          <w:szCs w:val="24"/>
          <w:highlight w:val="none"/>
        </w:rPr>
      </w:pPr>
      <w:r>
        <w:rPr>
          <w:rFonts w:hint="eastAsia" w:ascii="宋体"/>
          <w:color w:val="auto"/>
          <w:sz w:val="24"/>
          <w:highlight w:val="none"/>
        </w:rPr>
        <w:t>9.1</w:t>
      </w:r>
      <w:r>
        <w:rPr>
          <w:rFonts w:hint="eastAsia" w:ascii="宋体"/>
          <w:color w:val="auto"/>
          <w:sz w:val="24"/>
          <w:highlight w:val="none"/>
          <w:lang w:val="en-US" w:eastAsia="zh-CN"/>
        </w:rPr>
        <w:t>3</w:t>
      </w:r>
      <w:r>
        <w:rPr>
          <w:rFonts w:hint="eastAsia" w:ascii="宋体"/>
          <w:color w:val="auto"/>
          <w:sz w:val="24"/>
          <w:highlight w:val="none"/>
        </w:rPr>
        <w:t>除</w:t>
      </w:r>
      <w:r>
        <w:rPr>
          <w:rFonts w:ascii="宋体"/>
          <w:color w:val="auto"/>
          <w:sz w:val="24"/>
          <w:highlight w:val="none"/>
        </w:rPr>
        <w:t>本条及本合同另有约定外，乙方违反本合同任意一条的</w:t>
      </w:r>
      <w:r>
        <w:rPr>
          <w:rFonts w:hint="eastAsia" w:ascii="宋体"/>
          <w:color w:val="auto"/>
          <w:sz w:val="24"/>
          <w:highlight w:val="none"/>
        </w:rPr>
        <w:t>，应</w:t>
      </w:r>
      <w:r>
        <w:rPr>
          <w:rFonts w:ascii="宋体"/>
          <w:color w:val="auto"/>
          <w:sz w:val="24"/>
          <w:highlight w:val="none"/>
        </w:rPr>
        <w:t>向甲方支付本合同总额5%</w:t>
      </w:r>
      <w:r>
        <w:rPr>
          <w:rFonts w:hint="eastAsia" w:ascii="宋体"/>
          <w:color w:val="auto"/>
          <w:sz w:val="24"/>
          <w:highlight w:val="none"/>
        </w:rPr>
        <w:t>的</w:t>
      </w:r>
      <w:r>
        <w:rPr>
          <w:rFonts w:ascii="宋体"/>
          <w:color w:val="auto"/>
          <w:sz w:val="24"/>
          <w:highlight w:val="none"/>
        </w:rPr>
        <w:t>违约金。</w:t>
      </w:r>
    </w:p>
    <w:p>
      <w:pPr>
        <w:pStyle w:val="11"/>
        <w:numPr>
          <w:ilvl w:val="0"/>
          <w:numId w:val="3"/>
        </w:numPr>
        <w:spacing w:line="360" w:lineRule="auto"/>
        <w:jc w:val="left"/>
        <w:outlineLvl w:val="0"/>
        <w:rPr>
          <w:rFonts w:eastAsia="宋体"/>
          <w:b/>
          <w:bCs/>
          <w:color w:val="auto"/>
          <w:sz w:val="24"/>
          <w:szCs w:val="24"/>
          <w:highlight w:val="none"/>
        </w:rPr>
      </w:pPr>
      <w:bookmarkStart w:id="95" w:name="_Toc32525"/>
      <w:r>
        <w:rPr>
          <w:rFonts w:eastAsia="宋体"/>
          <w:b/>
          <w:bCs/>
          <w:color w:val="auto"/>
          <w:sz w:val="24"/>
          <w:szCs w:val="24"/>
          <w:highlight w:val="none"/>
        </w:rPr>
        <w:t>移转之限制</w:t>
      </w:r>
      <w:bookmarkEnd w:id="95"/>
    </w:p>
    <w:p>
      <w:pPr>
        <w:pStyle w:val="11"/>
        <w:spacing w:line="360" w:lineRule="auto"/>
        <w:ind w:firstLine="480" w:firstLineChars="200"/>
        <w:jc w:val="left"/>
        <w:rPr>
          <w:rFonts w:hint="eastAsia"/>
          <w:color w:val="auto"/>
          <w:sz w:val="24"/>
          <w:szCs w:val="24"/>
          <w:highlight w:val="none"/>
        </w:rPr>
      </w:pPr>
      <w:r>
        <w:rPr>
          <w:color w:val="auto"/>
          <w:sz w:val="24"/>
          <w:szCs w:val="24"/>
          <w:highlight w:val="none"/>
        </w:rPr>
        <w:t>任何一方非经他方书面同意，不得将本合同项下之任何权利、义务移转或让与第三人，否则本合同权利、义务不及于第三人，违约之一方并应</w:t>
      </w:r>
      <w:r>
        <w:rPr>
          <w:rFonts w:hint="eastAsia"/>
          <w:color w:val="auto"/>
          <w:sz w:val="24"/>
          <w:szCs w:val="24"/>
          <w:highlight w:val="none"/>
        </w:rPr>
        <w:t>按合同总金额的10%向守约方支付违约金，并承担因此造成的损失的赔偿责任。</w:t>
      </w:r>
    </w:p>
    <w:p>
      <w:pPr>
        <w:pStyle w:val="11"/>
        <w:numPr>
          <w:ilvl w:val="0"/>
          <w:numId w:val="3"/>
        </w:numPr>
        <w:spacing w:line="360" w:lineRule="auto"/>
        <w:jc w:val="left"/>
        <w:outlineLvl w:val="0"/>
        <w:rPr>
          <w:rFonts w:hint="eastAsia" w:eastAsia="宋体"/>
          <w:b/>
          <w:bCs/>
          <w:color w:val="auto"/>
          <w:sz w:val="24"/>
          <w:szCs w:val="24"/>
          <w:highlight w:val="none"/>
        </w:rPr>
      </w:pPr>
      <w:bookmarkStart w:id="96" w:name="_Toc11568"/>
      <w:r>
        <w:rPr>
          <w:rFonts w:eastAsia="宋体"/>
          <w:b/>
          <w:bCs/>
          <w:color w:val="auto"/>
          <w:sz w:val="24"/>
          <w:szCs w:val="24"/>
          <w:highlight w:val="none"/>
        </w:rPr>
        <w:t>不可抗力事由</w:t>
      </w:r>
      <w:bookmarkEnd w:id="96"/>
    </w:p>
    <w:p>
      <w:pPr>
        <w:pStyle w:val="11"/>
        <w:spacing w:line="360" w:lineRule="auto"/>
        <w:ind w:firstLine="480" w:firstLineChars="200"/>
        <w:jc w:val="left"/>
        <w:rPr>
          <w:rFonts w:hint="eastAsia"/>
          <w:color w:val="auto"/>
          <w:sz w:val="24"/>
          <w:szCs w:val="24"/>
          <w:highlight w:val="none"/>
        </w:rPr>
      </w:pPr>
      <w:r>
        <w:rPr>
          <w:rFonts w:hint="eastAsia"/>
          <w:color w:val="auto"/>
          <w:sz w:val="24"/>
          <w:highlight w:val="none"/>
        </w:rPr>
        <w:t xml:space="preserve">11.1 </w:t>
      </w:r>
      <w:r>
        <w:rPr>
          <w:rFonts w:hint="eastAsia"/>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pPr>
        <w:pStyle w:val="11"/>
        <w:spacing w:line="360" w:lineRule="auto"/>
        <w:ind w:firstLine="480" w:firstLineChars="200"/>
        <w:jc w:val="left"/>
        <w:rPr>
          <w:rFonts w:hint="eastAsia"/>
          <w:color w:val="auto"/>
          <w:sz w:val="24"/>
          <w:szCs w:val="24"/>
          <w:highlight w:val="none"/>
        </w:rPr>
      </w:pPr>
      <w:r>
        <w:rPr>
          <w:rFonts w:hint="eastAsia"/>
          <w:color w:val="auto"/>
          <w:sz w:val="24"/>
          <w:highlight w:val="none"/>
        </w:rPr>
        <w:t xml:space="preserve">11.2 </w:t>
      </w:r>
      <w:r>
        <w:rPr>
          <w:rFonts w:hint="eastAsia"/>
          <w:color w:val="auto"/>
          <w:sz w:val="24"/>
          <w:szCs w:val="24"/>
          <w:highlight w:val="none"/>
        </w:rPr>
        <w:t>发生不可抗力的一方应立即通知对方，并在十五天内提供不可抗力的详情及将有关证明文件送交对方。</w:t>
      </w:r>
    </w:p>
    <w:p>
      <w:pPr>
        <w:pStyle w:val="11"/>
        <w:spacing w:line="360" w:lineRule="auto"/>
        <w:ind w:firstLine="480" w:firstLineChars="200"/>
        <w:jc w:val="left"/>
        <w:rPr>
          <w:rFonts w:hint="eastAsia"/>
          <w:color w:val="auto"/>
          <w:sz w:val="24"/>
          <w:szCs w:val="24"/>
          <w:highlight w:val="none"/>
        </w:rPr>
      </w:pPr>
      <w:r>
        <w:rPr>
          <w:rFonts w:hint="eastAsia"/>
          <w:color w:val="auto"/>
          <w:sz w:val="24"/>
          <w:highlight w:val="none"/>
        </w:rPr>
        <w:t xml:space="preserve">11.3 </w:t>
      </w:r>
      <w:r>
        <w:rPr>
          <w:rFonts w:hint="eastAsia"/>
          <w:color w:val="auto"/>
          <w:sz w:val="24"/>
          <w:szCs w:val="24"/>
          <w:highlight w:val="none"/>
        </w:rPr>
        <w:t>发生不可抗力事件时，甲乙双方应协商以寻找一个合理的解决方法，并尽一切努力减轻不可抗力产生的后果。</w:t>
      </w:r>
    </w:p>
    <w:p>
      <w:pPr>
        <w:pStyle w:val="11"/>
        <w:spacing w:line="360" w:lineRule="auto"/>
        <w:ind w:firstLine="480" w:firstLineChars="200"/>
        <w:jc w:val="left"/>
        <w:rPr>
          <w:color w:val="auto"/>
          <w:sz w:val="24"/>
          <w:szCs w:val="24"/>
          <w:highlight w:val="none"/>
        </w:rPr>
      </w:pPr>
      <w:r>
        <w:rPr>
          <w:rFonts w:hint="eastAsia"/>
          <w:color w:val="auto"/>
          <w:sz w:val="24"/>
          <w:highlight w:val="none"/>
        </w:rPr>
        <w:t xml:space="preserve">11.4 </w:t>
      </w:r>
      <w:r>
        <w:rPr>
          <w:rFonts w:hint="eastAsia"/>
          <w:color w:val="auto"/>
          <w:sz w:val="24"/>
          <w:szCs w:val="24"/>
          <w:highlight w:val="none"/>
        </w:rPr>
        <w:t>如不可抗力事件持续三十天时，甲乙双方应友好协商解决本合同是否继续履行或终止的问题。</w:t>
      </w:r>
    </w:p>
    <w:p>
      <w:pPr>
        <w:pStyle w:val="11"/>
        <w:numPr>
          <w:ilvl w:val="0"/>
          <w:numId w:val="3"/>
        </w:numPr>
        <w:spacing w:line="360" w:lineRule="auto"/>
        <w:jc w:val="left"/>
        <w:outlineLvl w:val="0"/>
        <w:rPr>
          <w:rFonts w:eastAsia="宋体"/>
          <w:b/>
          <w:bCs/>
          <w:color w:val="auto"/>
          <w:sz w:val="24"/>
          <w:szCs w:val="24"/>
          <w:highlight w:val="none"/>
        </w:rPr>
      </w:pPr>
      <w:bookmarkStart w:id="97" w:name="_Toc10672"/>
      <w:r>
        <w:rPr>
          <w:rFonts w:eastAsia="宋体"/>
          <w:b/>
          <w:bCs/>
          <w:color w:val="auto"/>
          <w:sz w:val="24"/>
          <w:szCs w:val="24"/>
          <w:highlight w:val="none"/>
        </w:rPr>
        <w:t>解决争议的方法</w:t>
      </w:r>
      <w:bookmarkEnd w:id="97"/>
    </w:p>
    <w:p>
      <w:pPr>
        <w:pStyle w:val="11"/>
        <w:snapToGrid w:val="0"/>
        <w:spacing w:line="360" w:lineRule="auto"/>
        <w:ind w:firstLine="480" w:firstLineChars="200"/>
        <w:rPr>
          <w:rFonts w:hint="eastAsia"/>
          <w:color w:val="auto"/>
          <w:sz w:val="24"/>
          <w:highlight w:val="none"/>
          <w:lang w:eastAsia="zh-CN"/>
        </w:rPr>
      </w:pPr>
      <w:r>
        <w:rPr>
          <w:rFonts w:hint="eastAsia"/>
          <w:color w:val="auto"/>
          <w:sz w:val="24"/>
          <w:highlight w:val="none"/>
        </w:rPr>
        <w:t>本合同的解释、效力、履行及其他事项，均适用中华人民共和国法律、法规，如无法律、法规规定，适用有关行政管理部门规章。本合同履行中双方发生任何争议，应协商解决，协商不成的，任何一方均可向</w:t>
      </w:r>
      <w:r>
        <w:rPr>
          <w:color w:val="auto"/>
          <w:sz w:val="24"/>
          <w:highlight w:val="none"/>
        </w:rPr>
        <w:t>重庆仲裁委员会按照该会届时有效的仲裁规则申请仲裁</w:t>
      </w:r>
      <w:r>
        <w:rPr>
          <w:rFonts w:hint="eastAsia"/>
          <w:color w:val="auto"/>
          <w:sz w:val="24"/>
          <w:highlight w:val="none"/>
          <w:lang w:eastAsia="zh-CN"/>
        </w:rPr>
        <w:t>。</w:t>
      </w:r>
    </w:p>
    <w:p>
      <w:pPr>
        <w:pStyle w:val="11"/>
        <w:numPr>
          <w:ilvl w:val="0"/>
          <w:numId w:val="3"/>
        </w:numPr>
        <w:spacing w:line="360" w:lineRule="auto"/>
        <w:jc w:val="left"/>
        <w:outlineLvl w:val="0"/>
        <w:rPr>
          <w:b/>
          <w:bCs/>
          <w:color w:val="auto"/>
          <w:sz w:val="24"/>
          <w:szCs w:val="24"/>
          <w:highlight w:val="none"/>
        </w:rPr>
      </w:pPr>
      <w:bookmarkStart w:id="98" w:name="_Toc17578"/>
      <w:r>
        <w:rPr>
          <w:rFonts w:hint="eastAsia"/>
          <w:b/>
          <w:bCs/>
          <w:color w:val="auto"/>
          <w:sz w:val="24"/>
          <w:szCs w:val="24"/>
          <w:highlight w:val="none"/>
        </w:rPr>
        <w:t>通知与送达</w:t>
      </w:r>
      <w:bookmarkEnd w:id="98"/>
    </w:p>
    <w:p>
      <w:pPr>
        <w:pStyle w:val="11"/>
        <w:snapToGrid w:val="0"/>
        <w:spacing w:line="360" w:lineRule="auto"/>
        <w:ind w:firstLine="480" w:firstLineChars="200"/>
        <w:rPr>
          <w:color w:val="auto"/>
          <w:sz w:val="24"/>
          <w:szCs w:val="24"/>
          <w:highlight w:val="none"/>
        </w:rPr>
      </w:pPr>
      <w:r>
        <w:rPr>
          <w:rFonts w:hint="eastAsia"/>
          <w:color w:val="auto"/>
          <w:sz w:val="24"/>
          <w:szCs w:val="24"/>
          <w:highlight w:val="none"/>
        </w:rPr>
        <w:t>除双方另有约定，本合同项下的所有通知均应通过书面形式，按本合同首部载明的住所</w:t>
      </w:r>
      <w:r>
        <w:rPr>
          <w:color w:val="auto"/>
          <w:sz w:val="24"/>
          <w:szCs w:val="24"/>
          <w:highlight w:val="none"/>
        </w:rPr>
        <w:t>/</w:t>
      </w:r>
      <w:r>
        <w:rPr>
          <w:rFonts w:hint="eastAsia"/>
          <w:color w:val="auto"/>
          <w:sz w:val="24"/>
          <w:szCs w:val="24"/>
          <w:highlight w:val="none"/>
        </w:rPr>
        <w:t>地址及联系方式进行，乙方地址、联系方式如有变动，应于</w:t>
      </w:r>
      <w:r>
        <w:rPr>
          <w:color w:val="auto"/>
          <w:sz w:val="24"/>
          <w:szCs w:val="24"/>
          <w:highlight w:val="none"/>
        </w:rPr>
        <w:t>10</w:t>
      </w:r>
      <w:r>
        <w:rPr>
          <w:rFonts w:hint="eastAsia"/>
          <w:color w:val="auto"/>
          <w:sz w:val="24"/>
          <w:szCs w:val="24"/>
          <w:highlight w:val="none"/>
        </w:rPr>
        <w:t>日内以书面形式通知甲方，甲方住所</w:t>
      </w:r>
      <w:r>
        <w:rPr>
          <w:color w:val="auto"/>
          <w:sz w:val="24"/>
          <w:szCs w:val="24"/>
          <w:highlight w:val="none"/>
        </w:rPr>
        <w:t>/</w:t>
      </w:r>
      <w:r>
        <w:rPr>
          <w:rFonts w:hint="eastAsia"/>
          <w:color w:val="auto"/>
          <w:sz w:val="24"/>
          <w:szCs w:val="24"/>
          <w:highlight w:val="none"/>
        </w:rPr>
        <w:t>地址、联系方式如有变动，应采用公告、网上银行、电话银行等方式通知乙方。否则，向本合同首部载明的住所</w:t>
      </w:r>
      <w:r>
        <w:rPr>
          <w:color w:val="auto"/>
          <w:sz w:val="24"/>
          <w:szCs w:val="24"/>
          <w:highlight w:val="none"/>
        </w:rPr>
        <w:t>/</w:t>
      </w:r>
      <w:r>
        <w:rPr>
          <w:rFonts w:hint="eastAsia"/>
          <w:color w:val="auto"/>
          <w:sz w:val="24"/>
          <w:szCs w:val="24"/>
          <w:highlight w:val="none"/>
        </w:rPr>
        <w:t>地址和联系方式发送有关文件，均视为送达。</w:t>
      </w:r>
    </w:p>
    <w:p>
      <w:pPr>
        <w:pStyle w:val="11"/>
        <w:snapToGrid w:val="0"/>
        <w:spacing w:line="360" w:lineRule="auto"/>
        <w:ind w:firstLine="480" w:firstLineChars="200"/>
        <w:rPr>
          <w:color w:val="auto"/>
          <w:sz w:val="24"/>
          <w:szCs w:val="24"/>
          <w:highlight w:val="none"/>
        </w:rPr>
      </w:pPr>
      <w:r>
        <w:rPr>
          <w:rFonts w:hint="eastAsia"/>
          <w:color w:val="auto"/>
          <w:sz w:val="24"/>
          <w:szCs w:val="24"/>
          <w:highlight w:val="none"/>
        </w:rPr>
        <w:t>发生纠纷的，本合同首部载明的住所</w:t>
      </w:r>
      <w:r>
        <w:rPr>
          <w:color w:val="auto"/>
          <w:sz w:val="24"/>
          <w:szCs w:val="24"/>
          <w:highlight w:val="none"/>
        </w:rPr>
        <w:t>/</w:t>
      </w:r>
      <w:r>
        <w:rPr>
          <w:rFonts w:hint="eastAsia"/>
          <w:color w:val="auto"/>
          <w:sz w:val="24"/>
          <w:szCs w:val="24"/>
          <w:highlight w:val="none"/>
        </w:rPr>
        <w:t>地址为司法送达地址，法院、仲裁机构等有权机关依照前述地址邮寄的传票、证据、通知、裁定、判决等诉讼（仲裁）文书及执行阶段法律文书资料，无论是否签收，均视为送达，当事人承担法律责任。</w:t>
      </w:r>
    </w:p>
    <w:p>
      <w:pPr>
        <w:pStyle w:val="11"/>
        <w:numPr>
          <w:ilvl w:val="0"/>
          <w:numId w:val="3"/>
        </w:numPr>
        <w:spacing w:line="360" w:lineRule="auto"/>
        <w:jc w:val="left"/>
        <w:outlineLvl w:val="0"/>
        <w:rPr>
          <w:rFonts w:eastAsia="宋体"/>
          <w:b/>
          <w:bCs/>
          <w:color w:val="auto"/>
          <w:sz w:val="24"/>
          <w:szCs w:val="24"/>
          <w:highlight w:val="none"/>
        </w:rPr>
      </w:pPr>
      <w:bookmarkStart w:id="99" w:name="_Toc4799"/>
      <w:r>
        <w:rPr>
          <w:rFonts w:eastAsia="宋体"/>
          <w:b/>
          <w:bCs/>
          <w:color w:val="auto"/>
          <w:sz w:val="24"/>
          <w:szCs w:val="24"/>
          <w:highlight w:val="none"/>
        </w:rPr>
        <w:t>其它</w:t>
      </w:r>
      <w:bookmarkEnd w:id="99"/>
      <w:r>
        <w:rPr>
          <w:rFonts w:eastAsia="宋体"/>
          <w:b/>
          <w:bCs/>
          <w:color w:val="auto"/>
          <w:sz w:val="24"/>
          <w:szCs w:val="24"/>
          <w:highlight w:val="none"/>
        </w:rPr>
        <w:t xml:space="preserve"> </w:t>
      </w:r>
    </w:p>
    <w:p>
      <w:pPr>
        <w:pStyle w:val="33"/>
        <w:adjustRightInd w:val="0"/>
        <w:snapToGrid w:val="0"/>
        <w:spacing w:line="360" w:lineRule="auto"/>
        <w:ind w:firstLine="480"/>
        <w:jc w:val="left"/>
        <w:rPr>
          <w:rFonts w:hint="eastAsia" w:ascii="宋体"/>
          <w:color w:val="auto"/>
          <w:sz w:val="24"/>
          <w:highlight w:val="none"/>
        </w:rPr>
      </w:pPr>
      <w:r>
        <w:rPr>
          <w:rFonts w:hint="eastAsia" w:ascii="宋体"/>
          <w:color w:val="auto"/>
          <w:sz w:val="24"/>
          <w:highlight w:val="none"/>
        </w:rPr>
        <w:t>14.1 本合同自甲乙双方盖公章或合同章后生效。</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pStyle w:val="11"/>
        <w:snapToGrid w:val="0"/>
        <w:spacing w:line="360" w:lineRule="auto"/>
        <w:ind w:firstLine="480" w:firstLineChars="200"/>
        <w:rPr>
          <w:rFonts w:hint="eastAsia"/>
          <w:color w:val="auto"/>
          <w:sz w:val="24"/>
          <w:szCs w:val="24"/>
          <w:highlight w:val="none"/>
          <w:lang w:eastAsia="zh-CN"/>
        </w:rPr>
      </w:pPr>
      <w:r>
        <w:rPr>
          <w:rFonts w:hint="eastAsia" w:ascii="宋体"/>
          <w:color w:val="auto"/>
          <w:sz w:val="24"/>
          <w:highlight w:val="none"/>
        </w:rPr>
        <w:t>14.3本合同及其附件一式肆份，甲、乙双方各持贰份，具有同等法律效力</w:t>
      </w:r>
      <w:r>
        <w:rPr>
          <w:rFonts w:hint="eastAsia"/>
          <w:color w:val="auto"/>
          <w:sz w:val="24"/>
          <w:szCs w:val="24"/>
          <w:highlight w:val="none"/>
          <w:lang w:eastAsia="zh-CN"/>
        </w:rPr>
        <w:t>。</w:t>
      </w:r>
    </w:p>
    <w:p>
      <w:pPr>
        <w:pStyle w:val="11"/>
        <w:spacing w:line="360" w:lineRule="auto"/>
        <w:jc w:val="left"/>
        <w:outlineLvl w:val="0"/>
        <w:rPr>
          <w:b/>
          <w:bCs/>
          <w:color w:val="auto"/>
          <w:sz w:val="24"/>
          <w:szCs w:val="24"/>
          <w:highlight w:val="none"/>
        </w:rPr>
      </w:pPr>
      <w:bookmarkStart w:id="100" w:name="_Toc6692"/>
      <w:r>
        <w:rPr>
          <w:b/>
          <w:bCs/>
          <w:color w:val="auto"/>
          <w:sz w:val="24"/>
          <w:szCs w:val="24"/>
          <w:highlight w:val="none"/>
        </w:rPr>
        <w:t>1</w:t>
      </w:r>
      <w:r>
        <w:rPr>
          <w:rFonts w:hint="eastAsia"/>
          <w:b/>
          <w:bCs/>
          <w:color w:val="auto"/>
          <w:sz w:val="24"/>
          <w:szCs w:val="24"/>
          <w:highlight w:val="none"/>
        </w:rPr>
        <w:t>5</w:t>
      </w:r>
      <w:r>
        <w:rPr>
          <w:b/>
          <w:bCs/>
          <w:color w:val="auto"/>
          <w:sz w:val="24"/>
          <w:szCs w:val="24"/>
          <w:highlight w:val="none"/>
        </w:rPr>
        <w:t xml:space="preserve"> 附件</w:t>
      </w:r>
      <w:bookmarkEnd w:id="100"/>
    </w:p>
    <w:p>
      <w:pPr>
        <w:spacing w:line="360" w:lineRule="auto"/>
        <w:ind w:firstLine="559" w:firstLineChars="233"/>
        <w:rPr>
          <w:rFonts w:hint="eastAsia" w:ascii="宋体"/>
          <w:color w:val="auto"/>
          <w:sz w:val="24"/>
          <w:highlight w:val="none"/>
        </w:rPr>
      </w:pPr>
      <w:r>
        <w:rPr>
          <w:rFonts w:hint="eastAsia" w:ascii="宋体"/>
          <w:color w:val="auto"/>
          <w:sz w:val="24"/>
          <w:highlight w:val="none"/>
        </w:rPr>
        <w:t>本合同的附件与合同正本具有同等法律效力，主合同与附件如有冲突，以主合同为准。本合同附件如下：</w:t>
      </w:r>
    </w:p>
    <w:p>
      <w:pPr>
        <w:spacing w:line="360" w:lineRule="auto"/>
        <w:ind w:left="560"/>
        <w:rPr>
          <w:rFonts w:hint="eastAsia" w:ascii="宋体"/>
          <w:color w:val="auto"/>
          <w:sz w:val="24"/>
          <w:highlight w:val="none"/>
        </w:rPr>
      </w:pPr>
      <w:r>
        <w:rPr>
          <w:rFonts w:hint="eastAsia" w:ascii="宋体"/>
          <w:color w:val="auto"/>
          <w:sz w:val="24"/>
          <w:highlight w:val="none"/>
        </w:rPr>
        <w:t>附件一：技术服务内容</w:t>
      </w:r>
    </w:p>
    <w:p>
      <w:pPr>
        <w:spacing w:line="360" w:lineRule="auto"/>
        <w:ind w:left="560"/>
        <w:rPr>
          <w:rFonts w:hint="eastAsia" w:ascii="宋体"/>
          <w:color w:val="auto"/>
          <w:sz w:val="24"/>
          <w:highlight w:val="none"/>
        </w:rPr>
      </w:pPr>
      <w:r>
        <w:rPr>
          <w:rFonts w:hint="eastAsia" w:ascii="宋体"/>
          <w:color w:val="auto"/>
          <w:sz w:val="24"/>
          <w:highlight w:val="none"/>
        </w:rPr>
        <w:t>附件二：服务水平协议</w:t>
      </w:r>
    </w:p>
    <w:p>
      <w:pPr>
        <w:spacing w:line="360" w:lineRule="auto"/>
        <w:ind w:left="560"/>
        <w:rPr>
          <w:rFonts w:hint="eastAsia" w:ascii="宋体"/>
          <w:color w:val="auto"/>
          <w:sz w:val="24"/>
          <w:highlight w:val="none"/>
        </w:rPr>
      </w:pPr>
      <w:r>
        <w:rPr>
          <w:rFonts w:hint="eastAsia" w:ascii="宋体"/>
          <w:color w:val="auto"/>
          <w:sz w:val="24"/>
          <w:highlight w:val="none"/>
        </w:rPr>
        <w:t>附件</w:t>
      </w:r>
      <w:r>
        <w:rPr>
          <w:rFonts w:hint="eastAsia" w:ascii="宋体"/>
          <w:color w:val="auto"/>
          <w:sz w:val="24"/>
          <w:highlight w:val="none"/>
          <w:lang w:val="en-US" w:eastAsia="zh-CN"/>
        </w:rPr>
        <w:t>三</w:t>
      </w:r>
      <w:r>
        <w:rPr>
          <w:rFonts w:hint="eastAsia" w:ascii="宋体"/>
          <w:color w:val="auto"/>
          <w:sz w:val="24"/>
          <w:highlight w:val="none"/>
        </w:rPr>
        <w:t>：…</w:t>
      </w:r>
    </w:p>
    <w:p>
      <w:pPr>
        <w:pStyle w:val="11"/>
        <w:spacing w:line="360" w:lineRule="auto"/>
        <w:ind w:firstLine="480" w:firstLineChars="200"/>
        <w:jc w:val="left"/>
        <w:rPr>
          <w:rFonts w:hint="eastAsia"/>
          <w:color w:val="auto"/>
          <w:sz w:val="24"/>
          <w:szCs w:val="24"/>
          <w:highlight w:val="none"/>
        </w:rPr>
      </w:pPr>
      <w:r>
        <w:rPr>
          <w:rFonts w:hint="eastAsia"/>
          <w:color w:val="auto"/>
          <w:sz w:val="24"/>
          <w:szCs w:val="24"/>
          <w:highlight w:val="none"/>
        </w:rPr>
        <w:t>（以下无正文）</w:t>
      </w:r>
    </w:p>
    <w:p>
      <w:pPr>
        <w:pStyle w:val="11"/>
        <w:spacing w:line="360" w:lineRule="auto"/>
        <w:ind w:firstLine="420"/>
        <w:jc w:val="left"/>
        <w:rPr>
          <w:color w:val="auto"/>
          <w:sz w:val="24"/>
          <w:szCs w:val="24"/>
          <w:highlight w:val="none"/>
        </w:rPr>
      </w:pPr>
      <w:r>
        <w:rPr>
          <w:rFonts w:hint="eastAsia"/>
          <w:color w:val="auto"/>
          <w:sz w:val="24"/>
          <w:szCs w:val="24"/>
          <w:highlight w:val="none"/>
        </w:rPr>
        <w:t>（本页</w:t>
      </w:r>
      <w:r>
        <w:rPr>
          <w:color w:val="auto"/>
          <w:sz w:val="24"/>
          <w:szCs w:val="24"/>
          <w:highlight w:val="none"/>
        </w:rPr>
        <w:t>无正文，为</w:t>
      </w:r>
      <w:r>
        <w:rPr>
          <w:rFonts w:hint="eastAsia"/>
          <w:color w:val="auto"/>
          <w:sz w:val="24"/>
          <w:szCs w:val="24"/>
          <w:highlight w:val="none"/>
        </w:rPr>
        <w:t>编号</w:t>
      </w:r>
      <w:r>
        <w:rPr>
          <w:rFonts w:hint="eastAsia"/>
          <w:bCs/>
          <w:color w:val="auto"/>
          <w:sz w:val="24"/>
          <w:szCs w:val="40"/>
          <w:highlight w:val="none"/>
        </w:rPr>
        <w:t>SXYH</w:t>
      </w:r>
      <w:r>
        <w:rPr>
          <w:bCs/>
          <w:color w:val="auto"/>
          <w:sz w:val="24"/>
          <w:szCs w:val="40"/>
          <w:highlight w:val="none"/>
        </w:rPr>
        <w:t xml:space="preserve">20200101018XXX </w:t>
      </w:r>
      <w:r>
        <w:rPr>
          <w:color w:val="auto"/>
          <w:sz w:val="24"/>
          <w:szCs w:val="24"/>
          <w:highlight w:val="none"/>
        </w:rPr>
        <w:t>《</w:t>
      </w:r>
      <w:r>
        <w:rPr>
          <w:rFonts w:hint="eastAsia"/>
          <w:color w:val="auto"/>
          <w:sz w:val="24"/>
          <w:szCs w:val="24"/>
          <w:highlight w:val="none"/>
        </w:rPr>
        <w:t>X</w:t>
      </w:r>
      <w:r>
        <w:rPr>
          <w:color w:val="auto"/>
          <w:sz w:val="24"/>
          <w:szCs w:val="24"/>
          <w:highlight w:val="none"/>
        </w:rPr>
        <w:t>XXXX》</w:t>
      </w:r>
      <w:r>
        <w:rPr>
          <w:rFonts w:hint="eastAsia"/>
          <w:color w:val="auto"/>
          <w:sz w:val="24"/>
          <w:szCs w:val="24"/>
          <w:highlight w:val="none"/>
        </w:rPr>
        <w:t>签署页）</w:t>
      </w:r>
    </w:p>
    <w:tbl>
      <w:tblPr>
        <w:tblStyle w:val="21"/>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3"/>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甲方（签章）</w:t>
            </w:r>
          </w:p>
          <w:p>
            <w:pPr>
              <w:pStyle w:val="9"/>
              <w:snapToGrid w:val="0"/>
              <w:spacing w:after="0" w:line="360" w:lineRule="auto"/>
              <w:ind w:left="0" w:leftChars="0"/>
              <w:rPr>
                <w:rFonts w:hint="eastAsia" w:ascii="宋体"/>
                <w:color w:val="auto"/>
                <w:sz w:val="24"/>
                <w:highlight w:val="none"/>
              </w:rPr>
            </w:pP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乙方（签章）</w:t>
            </w:r>
          </w:p>
          <w:p>
            <w:pPr>
              <w:pStyle w:val="9"/>
              <w:snapToGrid w:val="0"/>
              <w:spacing w:after="0" w:line="360" w:lineRule="auto"/>
              <w:ind w:left="0" w:leftChars="0"/>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单位名称：重庆三峡银行股份有限公司</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63" w:type="dxa"/>
            <w:vAlign w:val="center"/>
          </w:tcPr>
          <w:p>
            <w:pPr>
              <w:spacing w:line="360" w:lineRule="auto"/>
              <w:ind w:right="-42" w:rightChars="-15"/>
              <w:rPr>
                <w:rFonts w:hint="eastAsia" w:ascii="宋体"/>
                <w:color w:val="auto"/>
                <w:sz w:val="24"/>
                <w:highlight w:val="none"/>
              </w:rPr>
            </w:pPr>
            <w:r>
              <w:rPr>
                <w:rFonts w:hint="eastAsia" w:ascii="宋体"/>
                <w:color w:val="auto"/>
                <w:sz w:val="24"/>
                <w:highlight w:val="none"/>
              </w:rPr>
              <w:t>单位地址：</w:t>
            </w:r>
            <w:r>
              <w:rPr>
                <w:rFonts w:ascii="宋体"/>
                <w:color w:val="auto"/>
                <w:sz w:val="24"/>
                <w:highlight w:val="none"/>
                <w:u w:val="none"/>
              </w:rPr>
              <w:t>重庆市渝北区嘉州路88号中渝国际都会4号写字楼</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委托代理人（签字）：</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电话：</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传真：023－86126011</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开户银行：</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帐号：</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税号：</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363"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日期：</w:t>
            </w:r>
          </w:p>
        </w:tc>
        <w:tc>
          <w:tcPr>
            <w:tcW w:w="4256" w:type="dxa"/>
            <w:vAlign w:val="center"/>
          </w:tcPr>
          <w:p>
            <w:pPr>
              <w:pStyle w:val="9"/>
              <w:snapToGrid w:val="0"/>
              <w:spacing w:after="0" w:line="360" w:lineRule="auto"/>
              <w:ind w:left="0" w:leftChars="0"/>
              <w:rPr>
                <w:rFonts w:hint="eastAsia" w:ascii="宋体"/>
                <w:color w:val="auto"/>
                <w:sz w:val="24"/>
                <w:highlight w:val="none"/>
              </w:rPr>
            </w:pPr>
            <w:r>
              <w:rPr>
                <w:rFonts w:hint="eastAsia" w:ascii="宋体"/>
                <w:color w:val="auto"/>
                <w:sz w:val="24"/>
                <w:highlight w:val="none"/>
              </w:rPr>
              <w:t>日期：</w:t>
            </w:r>
          </w:p>
        </w:tc>
      </w:tr>
    </w:tbl>
    <w:p>
      <w:pPr>
        <w:rPr>
          <w:rFonts w:hint="eastAsia"/>
          <w:color w:val="auto"/>
          <w:sz w:val="24"/>
          <w:szCs w:val="24"/>
          <w:highlight w:val="none"/>
          <w:lang w:eastAsia="zh-CN"/>
        </w:rPr>
      </w:pPr>
      <w:r>
        <w:rPr>
          <w:rFonts w:hint="eastAsia"/>
          <w:color w:val="auto"/>
          <w:sz w:val="24"/>
          <w:szCs w:val="24"/>
          <w:highlight w:val="none"/>
          <w:lang w:eastAsia="zh-CN"/>
        </w:rPr>
        <w:br w:type="page"/>
      </w:r>
    </w:p>
    <w:p>
      <w:pPr>
        <w:spacing w:line="360" w:lineRule="auto"/>
        <w:outlineLvl w:val="0"/>
        <w:rPr>
          <w:rFonts w:hint="eastAsia" w:ascii="宋体"/>
          <w:b/>
          <w:color w:val="auto"/>
          <w:sz w:val="24"/>
          <w:highlight w:val="none"/>
        </w:rPr>
      </w:pPr>
      <w:bookmarkStart w:id="101" w:name="_Toc762"/>
      <w:r>
        <w:rPr>
          <w:rFonts w:hint="eastAsia" w:ascii="宋体"/>
          <w:b/>
          <w:color w:val="auto"/>
          <w:sz w:val="24"/>
          <w:highlight w:val="none"/>
        </w:rPr>
        <w:t>附件一：</w:t>
      </w:r>
      <w:bookmarkEnd w:id="101"/>
      <w:r>
        <w:rPr>
          <w:rFonts w:hint="eastAsia" w:ascii="宋体"/>
          <w:b/>
          <w:color w:val="auto"/>
          <w:sz w:val="24"/>
          <w:highlight w:val="none"/>
        </w:rPr>
        <w:t xml:space="preserve"> </w:t>
      </w:r>
    </w:p>
    <w:p>
      <w:pPr>
        <w:spacing w:line="360" w:lineRule="auto"/>
        <w:jc w:val="center"/>
        <w:rPr>
          <w:rFonts w:hint="eastAsia" w:ascii="宋体"/>
          <w:b/>
          <w:color w:val="auto"/>
          <w:sz w:val="24"/>
          <w:highlight w:val="none"/>
        </w:rPr>
      </w:pPr>
      <w:r>
        <w:rPr>
          <w:rFonts w:hint="eastAsia" w:ascii="宋体"/>
          <w:b/>
          <w:color w:val="auto"/>
          <w:sz w:val="24"/>
          <w:highlight w:val="none"/>
        </w:rPr>
        <w:t>技术服务内容</w:t>
      </w:r>
    </w:p>
    <w:p>
      <w:pPr>
        <w:spacing w:line="360" w:lineRule="auto"/>
        <w:rPr>
          <w:rFonts w:hint="eastAsia" w:ascii="宋体"/>
          <w:color w:val="auto"/>
          <w:sz w:val="24"/>
          <w:highlight w:val="none"/>
        </w:rPr>
      </w:pPr>
      <w:r>
        <w:rPr>
          <w:rFonts w:hint="eastAsia" w:ascii="宋体"/>
          <w:color w:val="auto"/>
          <w:sz w:val="24"/>
          <w:highlight w:val="none"/>
        </w:rPr>
        <w:tab/>
      </w:r>
    </w:p>
    <w:p>
      <w:pPr>
        <w:spacing w:line="360" w:lineRule="auto"/>
        <w:ind w:firstLine="480" w:firstLineChars="200"/>
        <w:rPr>
          <w:rFonts w:hint="eastAsia" w:ascii="宋体"/>
          <w:color w:val="auto"/>
          <w:sz w:val="24"/>
          <w:highlight w:val="none"/>
        </w:rPr>
      </w:pPr>
      <w:r>
        <w:rPr>
          <w:rFonts w:hint="eastAsia" w:ascii="宋体"/>
          <w:color w:val="auto"/>
          <w:sz w:val="24"/>
          <w:highlight w:val="none"/>
        </w:rPr>
        <w:t>本工作清单系由重庆三峡银行股份有限公司（下称“甲方”）和×××××服务有限公司（下称“乙方”）签署的技术服务合同所附的技术服务内容。</w:t>
      </w:r>
    </w:p>
    <w:p>
      <w:pPr>
        <w:numPr>
          <w:ilvl w:val="0"/>
          <w:numId w:val="4"/>
        </w:numPr>
        <w:spacing w:line="360" w:lineRule="auto"/>
        <w:rPr>
          <w:rFonts w:hint="eastAsia" w:ascii="宋体"/>
          <w:color w:val="auto"/>
          <w:sz w:val="24"/>
          <w:highlight w:val="none"/>
        </w:rPr>
      </w:pPr>
      <w:r>
        <w:rPr>
          <w:rFonts w:hint="eastAsia" w:ascii="宋体"/>
          <w:color w:val="auto"/>
          <w:sz w:val="24"/>
          <w:highlight w:val="none"/>
        </w:rPr>
        <w:t>服务及沟通</w:t>
      </w:r>
      <w:r>
        <w:rPr>
          <w:rFonts w:hint="eastAsia" w:ascii="宋体"/>
          <w:color w:val="auto"/>
          <w:sz w:val="24"/>
          <w:highlight w:val="none"/>
          <w:lang w:val="en-US" w:eastAsia="zh-CN"/>
        </w:rPr>
        <w:t>响应</w:t>
      </w:r>
      <w:r>
        <w:rPr>
          <w:rFonts w:hint="eastAsia" w:ascii="宋体"/>
          <w:color w:val="auto"/>
          <w:sz w:val="24"/>
          <w:highlight w:val="none"/>
        </w:rPr>
        <w:t>机制</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2.</w:t>
      </w:r>
      <w:r>
        <w:rPr>
          <w:rFonts w:hint="eastAsia" w:ascii="宋体"/>
          <w:color w:val="auto"/>
          <w:sz w:val="24"/>
          <w:highlight w:val="none"/>
        </w:rPr>
        <w:tab/>
      </w:r>
      <w:r>
        <w:rPr>
          <w:rFonts w:hint="eastAsia" w:ascii="宋体"/>
          <w:color w:val="auto"/>
          <w:sz w:val="24"/>
          <w:highlight w:val="none"/>
          <w:lang w:val="en-US" w:eastAsia="zh-CN"/>
        </w:rPr>
        <w:t>服务平台支持（运维管理平台和3路中继电话</w:t>
      </w:r>
      <w:r>
        <w:rPr>
          <w:rFonts w:hint="eastAsia" w:ascii="宋体"/>
          <w:color w:val="auto"/>
          <w:sz w:val="24"/>
          <w:highlight w:val="none"/>
        </w:rPr>
        <w:t>）</w:t>
      </w:r>
    </w:p>
    <w:p>
      <w:pPr>
        <w:spacing w:line="360" w:lineRule="auto"/>
        <w:ind w:firstLine="480" w:firstLineChars="200"/>
        <w:rPr>
          <w:rFonts w:hint="eastAsia" w:ascii="宋体" w:eastAsia="宋体"/>
          <w:color w:val="auto"/>
          <w:sz w:val="24"/>
          <w:highlight w:val="none"/>
          <w:lang w:val="en-US" w:eastAsia="zh-CN"/>
        </w:rPr>
      </w:pPr>
      <w:r>
        <w:rPr>
          <w:rFonts w:hint="eastAsia" w:ascii="宋体"/>
          <w:color w:val="auto"/>
          <w:sz w:val="24"/>
          <w:highlight w:val="none"/>
        </w:rPr>
        <w:t>3.</w:t>
      </w:r>
      <w:r>
        <w:rPr>
          <w:rFonts w:hint="eastAsia" w:ascii="宋体"/>
          <w:color w:val="auto"/>
          <w:sz w:val="24"/>
          <w:highlight w:val="none"/>
        </w:rPr>
        <w:tab/>
      </w:r>
      <w:r>
        <w:rPr>
          <w:rFonts w:hint="eastAsia" w:ascii="宋体"/>
          <w:color w:val="auto"/>
          <w:sz w:val="24"/>
          <w:highlight w:val="none"/>
        </w:rPr>
        <w:t>应急</w:t>
      </w:r>
      <w:r>
        <w:rPr>
          <w:rFonts w:hint="eastAsia" w:ascii="宋体"/>
          <w:color w:val="auto"/>
          <w:sz w:val="24"/>
          <w:highlight w:val="none"/>
          <w:lang w:val="en-US" w:eastAsia="zh-CN"/>
        </w:rPr>
        <w:t>保障</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4.</w:t>
      </w:r>
      <w:r>
        <w:rPr>
          <w:rFonts w:hint="eastAsia" w:ascii="宋体"/>
          <w:color w:val="auto"/>
          <w:sz w:val="24"/>
          <w:highlight w:val="none"/>
        </w:rPr>
        <w:tab/>
      </w:r>
      <w:r>
        <w:rPr>
          <w:rFonts w:hint="eastAsia" w:ascii="宋体"/>
          <w:color w:val="auto"/>
          <w:sz w:val="24"/>
          <w:highlight w:val="none"/>
        </w:rPr>
        <w:t>定期巡检</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rPr>
        <w:tab/>
      </w:r>
      <w:r>
        <w:rPr>
          <w:rFonts w:hint="eastAsia" w:ascii="宋体"/>
          <w:color w:val="auto"/>
          <w:sz w:val="24"/>
          <w:highlight w:val="none"/>
        </w:rPr>
        <w:t>现场服务和咨询</w:t>
      </w:r>
    </w:p>
    <w:p>
      <w:pPr>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6. 新系统、软件推广</w:t>
      </w:r>
    </w:p>
    <w:p>
      <w:pPr>
        <w:spacing w:line="360" w:lineRule="auto"/>
        <w:ind w:firstLine="480" w:firstLineChars="200"/>
        <w:rPr>
          <w:rFonts w:ascii="宋体"/>
          <w:color w:val="auto"/>
          <w:sz w:val="24"/>
          <w:highlight w:val="none"/>
          <w:lang w:val="en-US" w:eastAsia="zh-CN"/>
        </w:rPr>
      </w:pPr>
      <w:r>
        <w:rPr>
          <w:rFonts w:hint="eastAsia" w:ascii="宋体"/>
          <w:color w:val="auto"/>
          <w:sz w:val="24"/>
          <w:highlight w:val="none"/>
          <w:lang w:val="en-US" w:eastAsia="zh-CN"/>
        </w:rPr>
        <w:t>7. 日常技术保障</w:t>
      </w:r>
    </w:p>
    <w:p>
      <w:pPr>
        <w:spacing w:line="360" w:lineRule="auto"/>
        <w:ind w:firstLine="480" w:firstLineChars="200"/>
        <w:rPr>
          <w:rFonts w:hint="eastAsia" w:ascii="宋体"/>
          <w:color w:val="auto"/>
          <w:sz w:val="24"/>
          <w:highlight w:val="none"/>
        </w:rPr>
      </w:pPr>
      <w:r>
        <w:rPr>
          <w:rFonts w:hint="eastAsia" w:ascii="宋体"/>
          <w:color w:val="auto"/>
          <w:sz w:val="24"/>
          <w:highlight w:val="none"/>
          <w:lang w:val="en-US" w:eastAsia="zh-CN"/>
        </w:rPr>
        <w:t>8</w:t>
      </w: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交付物</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乙方为甲方提交如下规格之工作成果：</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671"/>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jc w:val="center"/>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编号</w:t>
            </w:r>
          </w:p>
        </w:tc>
        <w:tc>
          <w:tcPr>
            <w:tcW w:w="2671" w:type="dxa"/>
          </w:tcPr>
          <w:p>
            <w:pPr>
              <w:spacing w:line="360" w:lineRule="auto"/>
              <w:jc w:val="center"/>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名  称</w:t>
            </w:r>
          </w:p>
        </w:tc>
        <w:tc>
          <w:tcPr>
            <w:tcW w:w="5400" w:type="dxa"/>
          </w:tcPr>
          <w:p>
            <w:pPr>
              <w:spacing w:line="360" w:lineRule="auto"/>
              <w:jc w:val="center"/>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jc w:val="center"/>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1</w:t>
            </w:r>
          </w:p>
        </w:tc>
        <w:tc>
          <w:tcPr>
            <w:tcW w:w="2671" w:type="dxa"/>
            <w:tcBorders>
              <w:top w:val="single" w:color="auto" w:sz="4" w:space="0"/>
              <w:left w:val="single" w:color="auto" w:sz="4" w:space="0"/>
              <w:right w:val="single" w:color="auto" w:sz="4" w:space="0"/>
            </w:tcBorders>
          </w:tcPr>
          <w:p>
            <w:pPr>
              <w:spacing w:line="360" w:lineRule="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季度维护工作报告</w:t>
            </w:r>
            <w:r>
              <w:rPr>
                <w:rFonts w:hint="eastAsia" w:ascii="宋体" w:hAnsi="Times New Roman" w:cs="Times New Roman"/>
                <w:color w:val="auto"/>
                <w:sz w:val="24"/>
                <w:szCs w:val="24"/>
                <w:highlight w:val="none"/>
              </w:rPr>
              <w:t>》</w:t>
            </w:r>
          </w:p>
        </w:tc>
        <w:tc>
          <w:tcPr>
            <w:tcW w:w="5400" w:type="dxa"/>
          </w:tcPr>
          <w:p>
            <w:pPr>
              <w:spacing w:line="360" w:lineRule="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lang w:val="en-US" w:eastAsia="zh-CN"/>
              </w:rPr>
              <w:t>根季度维护服务情况</w:t>
            </w:r>
            <w:r>
              <w:rPr>
                <w:rFonts w:hint="eastAsia" w:ascii="宋体" w:hAnsi="Times New Roman" w:cs="Times New Roman"/>
                <w:color w:val="auto"/>
                <w:sz w:val="24"/>
                <w:szCs w:val="24"/>
                <w:highlight w:val="none"/>
              </w:rPr>
              <w:t>, 由乙方填写</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lang w:val="en-US" w:eastAsia="zh-CN"/>
              </w:rPr>
              <w:t>季度维护工作报告》并提交给甲方</w:t>
            </w:r>
            <w:r>
              <w:rPr>
                <w:rFonts w:hint="eastAsia" w:ascii="宋体"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jc w:val="center"/>
              <w:rPr>
                <w:rFonts w:hint="eastAsia" w:ascii="宋体" w:hAnsi="Times New Roman" w:eastAsia="宋体" w:cs="Times New Roman"/>
                <w:color w:val="auto"/>
                <w:sz w:val="24"/>
                <w:szCs w:val="24"/>
                <w:highlight w:val="none"/>
                <w:lang w:eastAsia="zh-CN"/>
              </w:rPr>
            </w:pPr>
            <w:r>
              <w:rPr>
                <w:rFonts w:hint="eastAsia" w:ascii="宋体" w:hAnsi="Times New Roman" w:cs="Times New Roman"/>
                <w:color w:val="auto"/>
                <w:sz w:val="24"/>
                <w:szCs w:val="24"/>
                <w:highlight w:val="none"/>
                <w:lang w:val="en-US" w:eastAsia="zh-CN"/>
              </w:rPr>
              <w:t>2</w:t>
            </w:r>
          </w:p>
        </w:tc>
        <w:tc>
          <w:tcPr>
            <w:tcW w:w="2671" w:type="dxa"/>
            <w:tcBorders>
              <w:top w:val="single" w:color="auto" w:sz="4" w:space="0"/>
              <w:left w:val="single" w:color="auto" w:sz="4" w:space="0"/>
              <w:right w:val="single" w:color="auto" w:sz="4" w:space="0"/>
            </w:tcBorders>
          </w:tcPr>
          <w:p>
            <w:pPr>
              <w:spacing w:line="360" w:lineRule="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rPr>
              <w:t>《</w:t>
            </w:r>
            <w:r>
              <w:rPr>
                <w:rFonts w:hint="eastAsia" w:ascii="宋体" w:hAnsi="Times New Roman" w:cs="Times New Roman"/>
                <w:color w:val="auto"/>
                <w:sz w:val="24"/>
                <w:szCs w:val="24"/>
                <w:highlight w:val="none"/>
                <w:lang w:val="en-US" w:eastAsia="zh-CN"/>
              </w:rPr>
              <w:t>年度工作总结报告</w:t>
            </w:r>
            <w:r>
              <w:rPr>
                <w:rFonts w:hint="eastAsia" w:ascii="宋体" w:hAnsi="Times New Roman" w:cs="Times New Roman"/>
                <w:color w:val="auto"/>
                <w:sz w:val="24"/>
                <w:szCs w:val="24"/>
                <w:highlight w:val="none"/>
              </w:rPr>
              <w:t>》</w:t>
            </w:r>
          </w:p>
        </w:tc>
        <w:tc>
          <w:tcPr>
            <w:tcW w:w="5400" w:type="dxa"/>
          </w:tcPr>
          <w:p>
            <w:pPr>
              <w:spacing w:line="360" w:lineRule="auto"/>
              <w:rPr>
                <w:rFonts w:hint="eastAsia" w:ascii="宋体" w:hAnsi="Times New Roman" w:cs="Times New Roman"/>
                <w:color w:val="auto"/>
                <w:sz w:val="24"/>
                <w:szCs w:val="24"/>
                <w:highlight w:val="none"/>
              </w:rPr>
            </w:pPr>
            <w:r>
              <w:rPr>
                <w:rFonts w:hint="eastAsia" w:ascii="宋体" w:hAnsi="Times New Roman" w:cs="Times New Roman"/>
                <w:color w:val="auto"/>
                <w:sz w:val="24"/>
                <w:szCs w:val="24"/>
                <w:highlight w:val="none"/>
                <w:lang w:val="en-US" w:eastAsia="zh-CN"/>
              </w:rPr>
              <w:t>根据每年维护服务情况，</w:t>
            </w:r>
            <w:r>
              <w:rPr>
                <w:rFonts w:hint="eastAsia" w:ascii="宋体" w:hAnsi="Times New Roman" w:cs="Times New Roman"/>
                <w:color w:val="auto"/>
                <w:sz w:val="24"/>
                <w:szCs w:val="24"/>
                <w:highlight w:val="none"/>
              </w:rPr>
              <w:t>由乙方填写</w:t>
            </w:r>
            <w:r>
              <w:rPr>
                <w:rFonts w:hint="eastAsia" w:ascii="宋体" w:hAnsi="Times New Roman" w:cs="Times New Roman"/>
                <w:color w:val="auto"/>
                <w:sz w:val="24"/>
                <w:szCs w:val="24"/>
                <w:highlight w:val="none"/>
                <w:lang w:eastAsia="zh-CN"/>
              </w:rPr>
              <w:t>《</w:t>
            </w:r>
            <w:r>
              <w:rPr>
                <w:rFonts w:hint="eastAsia" w:ascii="宋体" w:hAnsi="Times New Roman" w:cs="Times New Roman"/>
                <w:color w:val="auto"/>
                <w:sz w:val="24"/>
                <w:szCs w:val="24"/>
                <w:highlight w:val="none"/>
                <w:lang w:val="en-US" w:eastAsia="zh-CN"/>
              </w:rPr>
              <w:t>年度维护工作报告》并提交给甲方</w:t>
            </w:r>
            <w:r>
              <w:rPr>
                <w:rFonts w:hint="eastAsia" w:ascii="宋体"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pPr>
              <w:spacing w:line="360" w:lineRule="auto"/>
              <w:jc w:val="center"/>
              <w:rPr>
                <w:rFonts w:hint="eastAsia" w:ascii="宋体" w:hAnsi="Times New Roman" w:cs="Times New Roman"/>
                <w:color w:val="auto"/>
                <w:sz w:val="21"/>
                <w:szCs w:val="24"/>
                <w:highlight w:val="none"/>
              </w:rPr>
            </w:pPr>
          </w:p>
        </w:tc>
        <w:tc>
          <w:tcPr>
            <w:tcW w:w="2671" w:type="dxa"/>
            <w:tcBorders>
              <w:top w:val="single" w:color="auto" w:sz="4" w:space="0"/>
              <w:left w:val="single" w:color="auto" w:sz="4" w:space="0"/>
              <w:right w:val="single" w:color="auto" w:sz="4" w:space="0"/>
            </w:tcBorders>
          </w:tcPr>
          <w:p>
            <w:pPr>
              <w:spacing w:line="360" w:lineRule="auto"/>
              <w:rPr>
                <w:rFonts w:hint="eastAsia" w:ascii="宋体" w:hAnsi="Times New Roman" w:cs="Times New Roman"/>
                <w:color w:val="auto"/>
                <w:sz w:val="21"/>
                <w:szCs w:val="24"/>
                <w:highlight w:val="none"/>
              </w:rPr>
            </w:pPr>
            <w:r>
              <w:rPr>
                <w:rFonts w:hint="eastAsia" w:ascii="宋体" w:hAnsi="Times New Roman" w:cs="Times New Roman"/>
                <w:color w:val="auto"/>
                <w:sz w:val="21"/>
                <w:szCs w:val="24"/>
                <w:highlight w:val="none"/>
              </w:rPr>
              <w:t>。。。。。</w:t>
            </w:r>
          </w:p>
        </w:tc>
        <w:tc>
          <w:tcPr>
            <w:tcW w:w="5400" w:type="dxa"/>
          </w:tcPr>
          <w:p>
            <w:pPr>
              <w:spacing w:line="360" w:lineRule="auto"/>
              <w:rPr>
                <w:rFonts w:hint="eastAsia" w:ascii="宋体" w:hAnsi="Times New Roman" w:cs="Times New Roman"/>
                <w:color w:val="auto"/>
                <w:sz w:val="21"/>
                <w:szCs w:val="24"/>
                <w:highlight w:val="none"/>
              </w:rPr>
            </w:pPr>
          </w:p>
        </w:tc>
      </w:tr>
    </w:tbl>
    <w:p>
      <w:pPr>
        <w:spacing w:line="360" w:lineRule="auto"/>
        <w:ind w:firstLine="480" w:firstLineChars="200"/>
        <w:outlineLvl w:val="9"/>
        <w:rPr>
          <w:rFonts w:hint="eastAsia"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服务方式</w:t>
      </w:r>
    </w:p>
    <w:p>
      <w:pPr>
        <w:spacing w:line="360" w:lineRule="auto"/>
        <w:ind w:firstLine="480" w:firstLineChars="200"/>
        <w:rPr>
          <w:rFonts w:hint="eastAsia"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.1甲方项目经理责任</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负责甲方的人员协调，与乙方联系及配合乙方工作人员工作；</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在乙方开展工作前负责提供并就绪乙方所需的设备和环境；</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与乙方确认每次作业的内容；</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 xml:space="preserve">甲方指定的项目经理为：     备份人员为： </w:t>
      </w:r>
    </w:p>
    <w:p>
      <w:pPr>
        <w:spacing w:line="360" w:lineRule="auto"/>
        <w:ind w:firstLine="480" w:firstLineChars="200"/>
        <w:outlineLvl w:val="9"/>
        <w:rPr>
          <w:rFonts w:hint="eastAsia" w:ascii="宋体"/>
          <w:color w:val="auto"/>
          <w:sz w:val="24"/>
          <w:highlight w:val="none"/>
        </w:rPr>
      </w:pPr>
      <w:r>
        <w:rPr>
          <w:rFonts w:hint="eastAsia" w:ascii="宋体"/>
          <w:color w:val="auto"/>
          <w:sz w:val="24"/>
          <w:highlight w:val="none"/>
          <w:lang w:val="en-US" w:eastAsia="zh-CN"/>
        </w:rPr>
        <w:t>9</w:t>
      </w:r>
      <w:r>
        <w:rPr>
          <w:rFonts w:hint="eastAsia" w:ascii="宋体"/>
          <w:color w:val="auto"/>
          <w:sz w:val="24"/>
          <w:highlight w:val="none"/>
        </w:rPr>
        <w:t>.2乙方项目经理责任</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负责乙方的人员协调及与甲方联系；</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调度乙方技术人员提供本工作清单中包含的各种支持服务；</w:t>
      </w:r>
    </w:p>
    <w:p>
      <w:pPr>
        <w:spacing w:line="360" w:lineRule="auto"/>
        <w:rPr>
          <w:rFonts w:hint="eastAsia" w:ascii="宋体"/>
          <w:color w:val="auto"/>
          <w:sz w:val="24"/>
          <w:highlight w:val="none"/>
        </w:rPr>
      </w:pPr>
      <w:r>
        <w:rPr>
          <w:rFonts w:hint="eastAsia" w:ascii="宋体"/>
          <w:color w:val="auto"/>
          <w:sz w:val="24"/>
          <w:highlight w:val="none"/>
        </w:rPr>
        <w:t></w:t>
      </w:r>
      <w:r>
        <w:rPr>
          <w:rFonts w:hint="eastAsia" w:ascii="宋体"/>
          <w:color w:val="auto"/>
          <w:sz w:val="24"/>
          <w:highlight w:val="none"/>
        </w:rPr>
        <w:tab/>
      </w:r>
      <w:r>
        <w:rPr>
          <w:rFonts w:hint="eastAsia" w:ascii="宋体"/>
          <w:color w:val="auto"/>
          <w:sz w:val="24"/>
          <w:highlight w:val="none"/>
        </w:rPr>
        <w:t>向甲方提交各类服务报告。</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乙方人员联络表：</w:t>
      </w:r>
    </w:p>
    <w:tbl>
      <w:tblPr>
        <w:tblStyle w:val="21"/>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93" w:type="dxa"/>
            <w:shd w:val="clear" w:color="auto" w:fill="auto"/>
          </w:tcPr>
          <w:p>
            <w:pPr>
              <w:spacing w:line="360" w:lineRule="auto"/>
              <w:rPr>
                <w:rFonts w:hint="eastAsia" w:ascii="宋体"/>
                <w:color w:val="auto"/>
                <w:sz w:val="24"/>
                <w:highlight w:val="none"/>
              </w:rPr>
            </w:pPr>
            <w:r>
              <w:rPr>
                <w:rFonts w:hint="eastAsia" w:ascii="宋体"/>
                <w:color w:val="auto"/>
                <w:sz w:val="24"/>
                <w:highlight w:val="none"/>
              </w:rPr>
              <w:t>乙方</w:t>
            </w:r>
          </w:p>
        </w:tc>
        <w:tc>
          <w:tcPr>
            <w:tcW w:w="2869" w:type="dxa"/>
            <w:shd w:val="clear" w:color="auto" w:fill="auto"/>
          </w:tcPr>
          <w:p>
            <w:pPr>
              <w:spacing w:line="360" w:lineRule="auto"/>
              <w:rPr>
                <w:rFonts w:hint="eastAsia" w:ascii="宋体"/>
                <w:color w:val="auto"/>
                <w:sz w:val="24"/>
                <w:highlight w:val="none"/>
              </w:rPr>
            </w:pPr>
            <w:r>
              <w:rPr>
                <w:rFonts w:hint="eastAsia" w:ascii="宋体"/>
                <w:color w:val="auto"/>
                <w:sz w:val="24"/>
                <w:highlight w:val="none"/>
              </w:rPr>
              <w:t>职务</w:t>
            </w:r>
          </w:p>
        </w:tc>
        <w:tc>
          <w:tcPr>
            <w:tcW w:w="2869" w:type="dxa"/>
            <w:shd w:val="clear" w:color="auto" w:fill="auto"/>
          </w:tcPr>
          <w:p>
            <w:pPr>
              <w:spacing w:line="360" w:lineRule="auto"/>
              <w:rPr>
                <w:rFonts w:hint="eastAsia" w:ascii="宋体"/>
                <w:color w:val="auto"/>
                <w:sz w:val="24"/>
                <w:highlight w:val="none"/>
              </w:rPr>
            </w:pPr>
            <w:r>
              <w:rPr>
                <w:rFonts w:hint="eastAsia" w:ascii="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pPr>
              <w:spacing w:line="360" w:lineRule="auto"/>
              <w:rPr>
                <w:rFonts w:hint="eastAsia" w:ascii="宋体"/>
                <w:color w:val="auto"/>
                <w:sz w:val="24"/>
                <w:highlight w:val="none"/>
              </w:rPr>
            </w:pPr>
          </w:p>
        </w:tc>
        <w:tc>
          <w:tcPr>
            <w:tcW w:w="2869" w:type="dxa"/>
            <w:tcBorders>
              <w:top w:val="single" w:color="auto" w:sz="4" w:space="0"/>
              <w:left w:val="single" w:color="auto" w:sz="4" w:space="0"/>
              <w:right w:val="single" w:color="auto" w:sz="4" w:space="0"/>
            </w:tcBorders>
            <w:shd w:val="clear" w:color="auto" w:fill="auto"/>
          </w:tcPr>
          <w:p>
            <w:pPr>
              <w:spacing w:line="360" w:lineRule="auto"/>
              <w:jc w:val="left"/>
              <w:rPr>
                <w:rFonts w:hint="eastAsia" w:ascii="宋体" w:hAnsi="Times New Roman" w:cs="Times New Roman"/>
                <w:color w:val="auto"/>
                <w:sz w:val="21"/>
                <w:szCs w:val="24"/>
                <w:highlight w:val="none"/>
              </w:rPr>
            </w:pPr>
            <w:r>
              <w:rPr>
                <w:rFonts w:hint="eastAsia" w:ascii="宋体" w:hAnsi="Times New Roman" w:cs="Times New Roman"/>
                <w:color w:val="auto"/>
                <w:sz w:val="21"/>
                <w:szCs w:val="24"/>
                <w:highlight w:val="none"/>
              </w:rPr>
              <w:t>项目总监</w:t>
            </w:r>
          </w:p>
        </w:tc>
        <w:tc>
          <w:tcPr>
            <w:tcW w:w="2869" w:type="dxa"/>
            <w:shd w:val="clear" w:color="auto" w:fill="auto"/>
          </w:tcPr>
          <w:p>
            <w:pPr>
              <w:spacing w:line="360" w:lineRule="auto"/>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3" w:type="dxa"/>
            <w:shd w:val="clear" w:color="auto" w:fill="auto"/>
          </w:tcPr>
          <w:p>
            <w:pPr>
              <w:spacing w:line="360" w:lineRule="auto"/>
              <w:rPr>
                <w:rFonts w:hint="eastAsia" w:ascii="宋体"/>
                <w:color w:val="auto"/>
                <w:sz w:val="24"/>
                <w:highlight w:val="none"/>
              </w:rPr>
            </w:pPr>
          </w:p>
        </w:tc>
        <w:tc>
          <w:tcPr>
            <w:tcW w:w="2869" w:type="dxa"/>
            <w:tcBorders>
              <w:top w:val="single" w:color="auto" w:sz="4" w:space="0"/>
              <w:left w:val="single" w:color="auto" w:sz="4" w:space="0"/>
              <w:right w:val="single" w:color="auto" w:sz="4" w:space="0"/>
            </w:tcBorders>
            <w:shd w:val="clear" w:color="auto" w:fill="auto"/>
          </w:tcPr>
          <w:p>
            <w:pPr>
              <w:spacing w:line="360" w:lineRule="auto"/>
              <w:jc w:val="left"/>
              <w:rPr>
                <w:rFonts w:hint="eastAsia" w:ascii="宋体" w:hAnsi="Times New Roman" w:cs="Times New Roman"/>
                <w:color w:val="auto"/>
                <w:sz w:val="21"/>
                <w:szCs w:val="24"/>
                <w:highlight w:val="none"/>
              </w:rPr>
            </w:pPr>
            <w:r>
              <w:rPr>
                <w:rFonts w:hint="eastAsia" w:ascii="宋体" w:hAnsi="Times New Roman" w:cs="Times New Roman"/>
                <w:color w:val="auto"/>
                <w:sz w:val="21"/>
                <w:szCs w:val="24"/>
                <w:highlight w:val="none"/>
              </w:rPr>
              <w:t>项目经理</w:t>
            </w:r>
          </w:p>
        </w:tc>
        <w:tc>
          <w:tcPr>
            <w:tcW w:w="2869" w:type="dxa"/>
            <w:shd w:val="clear" w:color="auto" w:fill="auto"/>
          </w:tcPr>
          <w:p>
            <w:pPr>
              <w:spacing w:line="360" w:lineRule="auto"/>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pPr>
              <w:spacing w:line="360" w:lineRule="auto"/>
              <w:rPr>
                <w:rFonts w:hint="eastAsia" w:ascii="宋体"/>
                <w:color w:val="auto"/>
                <w:sz w:val="24"/>
                <w:highlight w:val="none"/>
              </w:rPr>
            </w:pPr>
          </w:p>
        </w:tc>
        <w:tc>
          <w:tcPr>
            <w:tcW w:w="2869" w:type="dxa"/>
            <w:tcBorders>
              <w:top w:val="single" w:color="auto" w:sz="4" w:space="0"/>
              <w:left w:val="single" w:color="auto" w:sz="4" w:space="0"/>
              <w:right w:val="single" w:color="auto" w:sz="4" w:space="0"/>
            </w:tcBorders>
            <w:shd w:val="clear" w:color="auto" w:fill="auto"/>
          </w:tcPr>
          <w:p>
            <w:pPr>
              <w:spacing w:line="360" w:lineRule="auto"/>
              <w:jc w:val="left"/>
              <w:rPr>
                <w:rFonts w:ascii="宋体" w:hAnsi="Times New Roman" w:eastAsia="宋体" w:cs="Times New Roman"/>
                <w:color w:val="auto"/>
                <w:sz w:val="21"/>
                <w:szCs w:val="24"/>
                <w:highlight w:val="none"/>
                <w:lang w:val="en-US" w:eastAsia="zh-CN"/>
              </w:rPr>
            </w:pPr>
            <w:r>
              <w:rPr>
                <w:rFonts w:hint="eastAsia" w:ascii="宋体" w:hAnsi="Times New Roman" w:cs="Times New Roman"/>
                <w:color w:val="auto"/>
                <w:sz w:val="21"/>
                <w:szCs w:val="24"/>
                <w:highlight w:val="none"/>
                <w:lang w:val="en-US" w:eastAsia="zh-CN"/>
              </w:rPr>
              <w:t>维护人员</w:t>
            </w:r>
          </w:p>
        </w:tc>
        <w:tc>
          <w:tcPr>
            <w:tcW w:w="2869" w:type="dxa"/>
            <w:shd w:val="clear" w:color="auto" w:fill="auto"/>
          </w:tcPr>
          <w:p>
            <w:pPr>
              <w:spacing w:line="360" w:lineRule="auto"/>
              <w:rPr>
                <w:rFonts w:hint="eastAsia" w:ascii="宋体"/>
                <w:color w:val="auto"/>
                <w:sz w:val="24"/>
                <w:highlight w:val="none"/>
              </w:rPr>
            </w:pPr>
          </w:p>
        </w:tc>
      </w:tr>
    </w:tbl>
    <w:p>
      <w:pPr>
        <w:spacing w:line="360" w:lineRule="auto"/>
        <w:ind w:firstLine="600" w:firstLineChars="250"/>
        <w:rPr>
          <w:rFonts w:hint="eastAsia" w:ascii="宋体"/>
          <w:color w:val="auto"/>
          <w:sz w:val="24"/>
          <w:highlight w:val="none"/>
        </w:rPr>
      </w:pPr>
      <w:r>
        <w:rPr>
          <w:rFonts w:hint="eastAsia" w:ascii="宋体"/>
          <w:color w:val="auto"/>
          <w:sz w:val="24"/>
          <w:highlight w:val="none"/>
        </w:rPr>
        <w:t>未经甲方同意，乙方不得变更项目经理与项目组人员。</w:t>
      </w:r>
    </w:p>
    <w:p>
      <w:pPr>
        <w:spacing w:line="360" w:lineRule="auto"/>
        <w:ind w:firstLine="600" w:firstLineChars="250"/>
        <w:rPr>
          <w:rFonts w:hint="eastAsia" w:ascii="宋体"/>
          <w:color w:val="auto"/>
          <w:sz w:val="24"/>
          <w:highlight w:val="none"/>
        </w:rPr>
      </w:pPr>
    </w:p>
    <w:p>
      <w:pPr>
        <w:rPr>
          <w:rFonts w:hint="eastAsia" w:ascii="宋体"/>
          <w:b/>
          <w:color w:val="auto"/>
          <w:sz w:val="24"/>
          <w:highlight w:val="none"/>
        </w:rPr>
      </w:pPr>
      <w:r>
        <w:rPr>
          <w:rFonts w:hint="eastAsia" w:ascii="宋体"/>
          <w:b/>
          <w:color w:val="auto"/>
          <w:sz w:val="24"/>
          <w:highlight w:val="none"/>
        </w:rPr>
        <w:br w:type="page"/>
      </w:r>
    </w:p>
    <w:p>
      <w:pPr>
        <w:spacing w:line="360" w:lineRule="auto"/>
        <w:rPr>
          <w:rFonts w:hint="eastAsia" w:ascii="宋体"/>
          <w:b/>
          <w:color w:val="auto"/>
          <w:sz w:val="24"/>
          <w:highlight w:val="none"/>
        </w:rPr>
      </w:pPr>
      <w:r>
        <w:rPr>
          <w:rFonts w:hint="eastAsia" w:ascii="宋体"/>
          <w:b/>
          <w:color w:val="auto"/>
          <w:sz w:val="24"/>
          <w:highlight w:val="none"/>
        </w:rPr>
        <w:t>附件二：</w:t>
      </w:r>
    </w:p>
    <w:p>
      <w:pPr>
        <w:jc w:val="center"/>
        <w:rPr>
          <w:b/>
          <w:color w:val="auto"/>
          <w:sz w:val="32"/>
          <w:highlight w:val="none"/>
        </w:rPr>
      </w:pPr>
      <w:r>
        <w:rPr>
          <w:rFonts w:hint="eastAsia"/>
          <w:b/>
          <w:color w:val="auto"/>
          <w:sz w:val="32"/>
          <w:highlight w:val="none"/>
        </w:rPr>
        <w:t>服务</w:t>
      </w:r>
      <w:r>
        <w:rPr>
          <w:b/>
          <w:color w:val="auto"/>
          <w:sz w:val="32"/>
          <w:highlight w:val="none"/>
        </w:rPr>
        <w:t>水平协议</w:t>
      </w:r>
      <w:r>
        <w:rPr>
          <w:rFonts w:hint="eastAsia"/>
          <w:b/>
          <w:color w:val="auto"/>
          <w:sz w:val="32"/>
          <w:highlight w:val="none"/>
        </w:rPr>
        <w:t>（SLA）</w:t>
      </w:r>
    </w:p>
    <w:p>
      <w:pPr>
        <w:outlineLvl w:val="0"/>
        <w:rPr>
          <w:rFonts w:hint="eastAsia" w:ascii="宋体"/>
          <w:b/>
          <w:bCs/>
          <w:color w:val="auto"/>
          <w:sz w:val="21"/>
          <w:szCs w:val="21"/>
          <w:highlight w:val="none"/>
        </w:rPr>
      </w:pPr>
      <w:bookmarkStart w:id="102" w:name="_Toc254884639"/>
      <w:bookmarkStart w:id="103" w:name="_Toc3998"/>
      <w:r>
        <w:rPr>
          <w:rFonts w:hint="eastAsia" w:ascii="宋体"/>
          <w:b/>
          <w:bCs/>
          <w:color w:val="auto"/>
          <w:kern w:val="32"/>
          <w:sz w:val="21"/>
          <w:szCs w:val="21"/>
          <w:highlight w:val="none"/>
        </w:rPr>
        <w:t>1. 目标</w:t>
      </w:r>
      <w:bookmarkEnd w:id="102"/>
      <w:bookmarkEnd w:id="103"/>
    </w:p>
    <w:p>
      <w:pPr>
        <w:spacing w:line="360" w:lineRule="auto"/>
        <w:ind w:firstLine="420" w:firstLineChars="200"/>
        <w:rPr>
          <w:rFonts w:hint="eastAsia" w:ascii="宋体"/>
          <w:color w:val="auto"/>
          <w:sz w:val="21"/>
          <w:szCs w:val="21"/>
          <w:highlight w:val="none"/>
        </w:rPr>
      </w:pPr>
      <w:r>
        <w:rPr>
          <w:rFonts w:hint="eastAsia" w:ascii="宋体"/>
          <w:color w:val="auto"/>
          <w:sz w:val="21"/>
          <w:szCs w:val="21"/>
          <w:highlight w:val="none"/>
        </w:rPr>
        <w:t>本服务水平协议（SLA）的目标是为了清晰地定义由xxxxxx公司（乙方）在本项目中为重庆三峡银行（甲方）提供的服务水平，本SLA主要：</w:t>
      </w:r>
    </w:p>
    <w:p>
      <w:pPr>
        <w:widowControl/>
        <w:numPr>
          <w:ilvl w:val="0"/>
          <w:numId w:val="5"/>
        </w:numPr>
        <w:spacing w:line="360" w:lineRule="auto"/>
        <w:jc w:val="left"/>
        <w:rPr>
          <w:rFonts w:hint="eastAsia" w:ascii="宋体"/>
          <w:color w:val="auto"/>
          <w:sz w:val="21"/>
          <w:szCs w:val="21"/>
          <w:highlight w:val="none"/>
        </w:rPr>
      </w:pPr>
      <w:r>
        <w:rPr>
          <w:rFonts w:hint="eastAsia" w:ascii="宋体"/>
          <w:color w:val="auto"/>
          <w:sz w:val="21"/>
          <w:szCs w:val="21"/>
          <w:highlight w:val="none"/>
        </w:rPr>
        <w:t>明确甲方对外包乙方所提供服务水平的期望</w:t>
      </w:r>
    </w:p>
    <w:p>
      <w:pPr>
        <w:widowControl/>
        <w:numPr>
          <w:ilvl w:val="0"/>
          <w:numId w:val="5"/>
        </w:numPr>
        <w:spacing w:line="360" w:lineRule="auto"/>
        <w:jc w:val="left"/>
        <w:rPr>
          <w:rFonts w:hint="eastAsia" w:ascii="宋体"/>
          <w:color w:val="auto"/>
          <w:sz w:val="21"/>
          <w:szCs w:val="21"/>
          <w:highlight w:val="none"/>
        </w:rPr>
      </w:pPr>
      <w:r>
        <w:rPr>
          <w:rFonts w:hint="eastAsia" w:ascii="宋体"/>
          <w:color w:val="auto"/>
          <w:sz w:val="21"/>
          <w:szCs w:val="21"/>
          <w:highlight w:val="none"/>
        </w:rPr>
        <w:t>规范和加强甲方对乙方所提供服务水平的控制</w:t>
      </w:r>
    </w:p>
    <w:p>
      <w:pPr>
        <w:rPr>
          <w:rFonts w:hint="eastAsia" w:asciiTheme="minorEastAsia" w:hAnsiTheme="minorEastAsia" w:eastAsiaTheme="minorEastAsia" w:cstheme="minorEastAsia"/>
          <w:b/>
          <w:bCs/>
          <w:color w:val="auto"/>
          <w:kern w:val="32"/>
          <w:sz w:val="21"/>
          <w:szCs w:val="21"/>
          <w:highlight w:val="none"/>
        </w:rPr>
      </w:pPr>
      <w:r>
        <w:rPr>
          <w:rFonts w:hint="eastAsia" w:ascii="宋体"/>
          <w:color w:val="auto"/>
          <w:sz w:val="21"/>
          <w:szCs w:val="21"/>
          <w:highlight w:val="none"/>
        </w:rPr>
        <w:t>双方将针对本项目制定明确的职责分工表用来确定计划和管理服务水平协议的角色和职责。</w:t>
      </w:r>
      <w:bookmarkStart w:id="104" w:name="_Toc254884640"/>
      <w:r>
        <w:rPr>
          <w:rFonts w:hint="eastAsia" w:asciiTheme="minorEastAsia" w:hAnsiTheme="minorEastAsia" w:eastAsiaTheme="minorEastAsia" w:cstheme="minorEastAsia"/>
          <w:b/>
          <w:bCs/>
          <w:color w:val="auto"/>
          <w:kern w:val="32"/>
          <w:sz w:val="21"/>
          <w:szCs w:val="21"/>
          <w:highlight w:val="none"/>
        </w:rPr>
        <w:t>2. 协议期限</w:t>
      </w:r>
      <w:bookmarkEnd w:id="104"/>
    </w:p>
    <w:p>
      <w:pPr>
        <w:spacing w:line="360" w:lineRule="auto"/>
        <w:ind w:firstLine="371" w:firstLineChars="1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根据双方达成的一致要求，本协议的有效期从本项目</w:t>
      </w:r>
      <w:r>
        <w:rPr>
          <w:rFonts w:hint="eastAsia" w:asciiTheme="minorEastAsia" w:hAnsiTheme="minorEastAsia" w:eastAsiaTheme="minorEastAsia" w:cstheme="minorEastAsia"/>
          <w:color w:val="auto"/>
          <w:sz w:val="21"/>
          <w:szCs w:val="21"/>
          <w:highlight w:val="none"/>
          <w:lang w:val="en-US" w:eastAsia="zh-CN"/>
        </w:rPr>
        <w:t>保障</w:t>
      </w:r>
      <w:r>
        <w:rPr>
          <w:rFonts w:hint="eastAsia" w:asciiTheme="minorEastAsia" w:hAnsiTheme="minorEastAsia" w:eastAsiaTheme="minorEastAsia" w:cstheme="minorEastAsia"/>
          <w:color w:val="auto"/>
          <w:sz w:val="21"/>
          <w:szCs w:val="21"/>
          <w:highlight w:val="none"/>
        </w:rPr>
        <w:t>期起至</w:t>
      </w:r>
      <w:r>
        <w:rPr>
          <w:rFonts w:hint="eastAsia" w:asciiTheme="minorEastAsia" w:hAnsiTheme="minorEastAsia" w:eastAsiaTheme="minorEastAsia" w:cstheme="minorEastAsia"/>
          <w:color w:val="auto"/>
          <w:sz w:val="21"/>
          <w:szCs w:val="21"/>
          <w:highlight w:val="none"/>
          <w:lang w:val="en-US" w:eastAsia="zh-CN"/>
        </w:rPr>
        <w:t>保障</w:t>
      </w:r>
      <w:r>
        <w:rPr>
          <w:rFonts w:hint="eastAsia" w:asciiTheme="minorEastAsia" w:hAnsiTheme="minorEastAsia" w:eastAsiaTheme="minorEastAsia" w:cstheme="minorEastAsia"/>
          <w:color w:val="auto"/>
          <w:sz w:val="21"/>
          <w:szCs w:val="21"/>
          <w:highlight w:val="none"/>
        </w:rPr>
        <w:t>服务截止日。</w:t>
      </w:r>
    </w:p>
    <w:p>
      <w:pPr>
        <w:rPr>
          <w:rFonts w:hint="eastAsia" w:asciiTheme="minorEastAsia" w:hAnsiTheme="minorEastAsia" w:eastAsiaTheme="minorEastAsia" w:cstheme="minorEastAsia"/>
          <w:b/>
          <w:bCs/>
          <w:color w:val="auto"/>
          <w:kern w:val="32"/>
          <w:sz w:val="21"/>
          <w:szCs w:val="21"/>
          <w:highlight w:val="none"/>
        </w:rPr>
      </w:pPr>
      <w:bookmarkStart w:id="105" w:name="_Toc254884641"/>
      <w:r>
        <w:rPr>
          <w:rFonts w:hint="eastAsia" w:asciiTheme="minorEastAsia" w:hAnsiTheme="minorEastAsia" w:eastAsiaTheme="minorEastAsia" w:cstheme="minorEastAsia"/>
          <w:b/>
          <w:bCs/>
          <w:color w:val="auto"/>
          <w:kern w:val="32"/>
          <w:sz w:val="21"/>
          <w:szCs w:val="21"/>
          <w:highlight w:val="none"/>
        </w:rPr>
        <w:t>3. 双方职责</w:t>
      </w:r>
      <w:bookmarkEnd w:id="105"/>
    </w:p>
    <w:p>
      <w:pPr>
        <w:rPr>
          <w:rFonts w:hint="eastAsia" w:asciiTheme="minorEastAsia" w:hAnsiTheme="minorEastAsia" w:eastAsiaTheme="minorEastAsia" w:cstheme="minorEastAsia"/>
          <w:b/>
          <w:bCs/>
          <w:color w:val="auto"/>
          <w:kern w:val="32"/>
          <w:sz w:val="21"/>
          <w:szCs w:val="21"/>
          <w:highlight w:val="none"/>
        </w:rPr>
      </w:pPr>
      <w:bookmarkStart w:id="106" w:name="_Toc254884642"/>
      <w:r>
        <w:rPr>
          <w:rFonts w:hint="eastAsia" w:asciiTheme="minorEastAsia" w:hAnsiTheme="minorEastAsia" w:eastAsiaTheme="minorEastAsia" w:cstheme="minorEastAsia"/>
          <w:b/>
          <w:bCs/>
          <w:color w:val="auto"/>
          <w:kern w:val="32"/>
          <w:sz w:val="21"/>
          <w:szCs w:val="21"/>
          <w:highlight w:val="none"/>
        </w:rPr>
        <w:t>3.1乙方</w:t>
      </w:r>
      <w:bookmarkEnd w:id="106"/>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除本协议描述的服务水平衡量和目标外，乙方还应：</w:t>
      </w:r>
    </w:p>
    <w:p>
      <w:pPr>
        <w:widowControl/>
        <w:numPr>
          <w:ilvl w:val="0"/>
          <w:numId w:val="5"/>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尽快向甲方管理层汇报发现的问题；</w:t>
      </w:r>
    </w:p>
    <w:p>
      <w:pPr>
        <w:widowControl/>
        <w:numPr>
          <w:ilvl w:val="0"/>
          <w:numId w:val="5"/>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任何可能影响SLA中规定服务的服务能力的事件，乙方应尽早向甲方提供预警信息，以及可能的影响和处置措施。事件包括：</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组织架构变更</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技术变更</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职能变更</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其他可能影响对甲方服务的突发事件</w:t>
      </w:r>
    </w:p>
    <w:p>
      <w:pPr>
        <w:widowControl/>
        <w:numPr>
          <w:ilvl w:val="0"/>
          <w:numId w:val="5"/>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协助甲方及时解决生产事件。当问题产生时，应尽快采取适当的措施识别并修复问题。</w:t>
      </w:r>
    </w:p>
    <w:p>
      <w:pPr>
        <w:rPr>
          <w:rFonts w:hint="eastAsia" w:asciiTheme="minorEastAsia" w:hAnsiTheme="minorEastAsia" w:eastAsiaTheme="minorEastAsia" w:cstheme="minorEastAsia"/>
          <w:b/>
          <w:bCs/>
          <w:color w:val="auto"/>
          <w:kern w:val="32"/>
          <w:sz w:val="21"/>
          <w:szCs w:val="21"/>
          <w:highlight w:val="none"/>
        </w:rPr>
      </w:pPr>
      <w:r>
        <w:rPr>
          <w:rFonts w:hint="eastAsia" w:asciiTheme="minorEastAsia" w:hAnsiTheme="minorEastAsia" w:eastAsiaTheme="minorEastAsia" w:cstheme="minorEastAsia"/>
          <w:b/>
          <w:bCs/>
          <w:color w:val="auto"/>
          <w:kern w:val="32"/>
          <w:sz w:val="21"/>
          <w:szCs w:val="21"/>
          <w:highlight w:val="none"/>
        </w:rPr>
        <w:t>3.2甲方</w:t>
      </w:r>
    </w:p>
    <w:p>
      <w:pPr>
        <w:widowControl/>
        <w:numPr>
          <w:ilvl w:val="0"/>
          <w:numId w:val="5"/>
        </w:numPr>
        <w:spacing w:line="360" w:lineRule="auto"/>
        <w:ind w:left="709" w:hanging="22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甲方将尽快将问题汇报给乙方管理层；</w:t>
      </w:r>
    </w:p>
    <w:p>
      <w:pPr>
        <w:widowControl/>
        <w:numPr>
          <w:ilvl w:val="0"/>
          <w:numId w:val="5"/>
        </w:numPr>
        <w:spacing w:line="360" w:lineRule="auto"/>
        <w:ind w:left="709" w:hanging="22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提供任何可能影响乙方向甲方提供SLA中规定服务的服务能力的事件信息，包括：</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组织架构变更</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技术变更</w:t>
      </w:r>
    </w:p>
    <w:p>
      <w:pPr>
        <w:widowControl/>
        <w:numPr>
          <w:ilvl w:val="0"/>
          <w:numId w:val="6"/>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职能变更</w:t>
      </w:r>
    </w:p>
    <w:p>
      <w:pPr>
        <w:rPr>
          <w:rFonts w:hint="eastAsia" w:asciiTheme="minorEastAsia" w:hAnsiTheme="minorEastAsia" w:eastAsiaTheme="minorEastAsia" w:cstheme="minorEastAsia"/>
          <w:b/>
          <w:bCs/>
          <w:color w:val="auto"/>
          <w:kern w:val="32"/>
          <w:sz w:val="21"/>
          <w:szCs w:val="21"/>
          <w:highlight w:val="none"/>
        </w:rPr>
      </w:pPr>
      <w:r>
        <w:rPr>
          <w:rFonts w:hint="eastAsia" w:asciiTheme="minorEastAsia" w:hAnsiTheme="minorEastAsia" w:eastAsiaTheme="minorEastAsia" w:cstheme="minorEastAsia"/>
          <w:b/>
          <w:bCs/>
          <w:color w:val="auto"/>
          <w:kern w:val="32"/>
          <w:sz w:val="21"/>
          <w:szCs w:val="21"/>
          <w:highlight w:val="none"/>
        </w:rPr>
        <w:t>4.服务水平和指标</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spacing w:line="360" w:lineRule="auto"/>
        <w:ind w:firstLine="420" w:firstLineChars="200"/>
        <w:rPr>
          <w:rFonts w:hint="eastAsia" w:asciiTheme="minorEastAsia" w:hAnsiTheme="minorEastAsia" w:eastAsiaTheme="minorEastAsia" w:cstheme="minorEastAsia"/>
          <w:b/>
          <w:bCs/>
          <w:color w:val="auto"/>
          <w:kern w:val="32"/>
          <w:sz w:val="21"/>
          <w:szCs w:val="21"/>
          <w:highlight w:val="none"/>
        </w:rPr>
      </w:pPr>
      <w:r>
        <w:rPr>
          <w:rFonts w:hint="eastAsia" w:asciiTheme="minorEastAsia" w:hAnsiTheme="minorEastAsia" w:eastAsiaTheme="minorEastAsia" w:cstheme="minorEastAsia"/>
          <w:color w:val="auto"/>
          <w:sz w:val="21"/>
          <w:szCs w:val="21"/>
          <w:highlight w:val="none"/>
        </w:rPr>
        <w:t>合同名称：                                         评价期间：</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125"/>
        <w:gridCol w:w="1220"/>
        <w:gridCol w:w="2320"/>
        <w:gridCol w:w="2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kern w:val="0"/>
                <w:sz w:val="21"/>
                <w:szCs w:val="21"/>
                <w:highlight w:val="none"/>
                <w:u w:val="none"/>
                <w:lang w:val="en-US" w:eastAsia="zh-CN"/>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kern w:val="0"/>
                <w:sz w:val="21"/>
                <w:szCs w:val="21"/>
                <w:highlight w:val="none"/>
                <w:u w:val="none"/>
                <w:lang w:val="en-US" w:eastAsia="zh-CN"/>
              </w:rPr>
              <w:t>服务内容</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kern w:val="0"/>
                <w:sz w:val="21"/>
                <w:szCs w:val="21"/>
                <w:highlight w:val="none"/>
                <w:u w:val="none"/>
                <w:lang w:val="en-US" w:eastAsia="zh-CN"/>
              </w:rPr>
              <w:t>内容描述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kern w:val="0"/>
                <w:sz w:val="21"/>
                <w:szCs w:val="21"/>
                <w:highlight w:val="none"/>
                <w:u w:val="none"/>
                <w:lang w:val="en-US" w:eastAsia="zh-CN"/>
              </w:rPr>
              <w:t>质量要求及指标</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kern w:val="0"/>
                <w:sz w:val="21"/>
                <w:szCs w:val="21"/>
                <w:highlight w:val="none"/>
                <w:u w:val="none"/>
                <w:lang w:val="en-US" w:eastAsia="zh-CN"/>
              </w:rPr>
              <w:t>违约金标准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服务响应</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维护人员在接到服务需求后，根据合同要求进行服务响应。</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42"/>
                <w:color w:val="auto"/>
                <w:highlight w:val="none"/>
                <w:lang w:val="en-US" w:eastAsia="zh-CN"/>
              </w:rPr>
              <w:t>服务响应率</w:t>
            </w:r>
            <w:r>
              <w:rPr>
                <w:rFonts w:ascii="Times New Roman" w:hAnsi="Times New Roman" w:eastAsia="宋体" w:cs="Times New Roman"/>
                <w:i w:val="0"/>
                <w:iCs w:val="0"/>
                <w:color w:val="auto"/>
                <w:kern w:val="0"/>
                <w:sz w:val="21"/>
                <w:szCs w:val="21"/>
                <w:highlight w:val="none"/>
                <w:u w:val="none"/>
                <w:lang w:val="en-US" w:eastAsia="zh-CN"/>
              </w:rPr>
              <w:t>≥98%</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rPr>
              <w:t>95%≤</w:t>
            </w:r>
            <w:r>
              <w:rPr>
                <w:rStyle w:val="43"/>
                <w:color w:val="auto"/>
                <w:highlight w:val="none"/>
                <w:lang w:val="en-US" w:eastAsia="zh-CN"/>
              </w:rPr>
              <w:t>当季服务响应率</w:t>
            </w:r>
            <w:r>
              <w:rPr>
                <w:rFonts w:ascii="Times New Roman" w:hAnsi="Times New Roman" w:eastAsia="宋体" w:cs="Times New Roman"/>
                <w:i w:val="0"/>
                <w:iCs w:val="0"/>
                <w:color w:val="auto"/>
                <w:kern w:val="0"/>
                <w:sz w:val="21"/>
                <w:szCs w:val="21"/>
                <w:highlight w:val="none"/>
                <w:u w:val="none"/>
                <w:lang w:val="en-US" w:eastAsia="zh-CN"/>
              </w:rPr>
              <w:t>&lt;98%</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2000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Fonts w:ascii="Times New Roman" w:hAnsi="Times New Roman" w:eastAsia="宋体" w:cs="Times New Roman"/>
                <w:i w:val="0"/>
                <w:iCs w:val="0"/>
                <w:color w:val="auto"/>
                <w:kern w:val="0"/>
                <w:sz w:val="21"/>
                <w:szCs w:val="21"/>
                <w:highlight w:val="none"/>
                <w:u w:val="none"/>
                <w:lang w:val="en-US" w:eastAsia="zh-CN"/>
              </w:rPr>
              <w:t>92%≤</w:t>
            </w:r>
            <w:r>
              <w:rPr>
                <w:rStyle w:val="43"/>
                <w:color w:val="auto"/>
                <w:highlight w:val="none"/>
                <w:lang w:val="en-US" w:eastAsia="zh-CN"/>
              </w:rPr>
              <w:t>当季服务响应率</w:t>
            </w:r>
            <w:r>
              <w:rPr>
                <w:rFonts w:ascii="Times New Roman" w:hAnsi="Times New Roman" w:eastAsia="宋体" w:cs="Times New Roman"/>
                <w:i w:val="0"/>
                <w:iCs w:val="0"/>
                <w:color w:val="auto"/>
                <w:kern w:val="0"/>
                <w:sz w:val="21"/>
                <w:szCs w:val="21"/>
                <w:highlight w:val="none"/>
                <w:u w:val="none"/>
                <w:lang w:val="en-US" w:eastAsia="zh-CN"/>
              </w:rPr>
              <w:t>&lt;95%</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5000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Fonts w:ascii="Times New Roman" w:hAnsi="Times New Roman" w:eastAsia="宋体" w:cs="Times New Roman"/>
                <w:i w:val="0"/>
                <w:iCs w:val="0"/>
                <w:color w:val="auto"/>
                <w:kern w:val="0"/>
                <w:sz w:val="21"/>
                <w:szCs w:val="21"/>
                <w:highlight w:val="none"/>
                <w:u w:val="none"/>
                <w:lang w:val="en-US" w:eastAsia="zh-CN"/>
              </w:rPr>
              <w:t>90%≤</w:t>
            </w:r>
            <w:r>
              <w:rPr>
                <w:rStyle w:val="43"/>
                <w:color w:val="auto"/>
                <w:highlight w:val="none"/>
                <w:lang w:val="en-US" w:eastAsia="zh-CN"/>
              </w:rPr>
              <w:t>当季服务响应率</w:t>
            </w:r>
            <w:r>
              <w:rPr>
                <w:rFonts w:ascii="Times New Roman" w:hAnsi="Times New Roman" w:eastAsia="宋体" w:cs="Times New Roman"/>
                <w:i w:val="0"/>
                <w:iCs w:val="0"/>
                <w:color w:val="auto"/>
                <w:kern w:val="0"/>
                <w:sz w:val="21"/>
                <w:szCs w:val="21"/>
                <w:highlight w:val="none"/>
                <w:u w:val="none"/>
                <w:lang w:val="en-US" w:eastAsia="zh-CN"/>
              </w:rPr>
              <w:t>&lt;92%</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10000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Style w:val="43"/>
                <w:color w:val="auto"/>
                <w:highlight w:val="none"/>
                <w:lang w:val="en-US" w:eastAsia="zh-CN"/>
              </w:rPr>
              <w:t>当季服务响应率</w:t>
            </w:r>
            <w:r>
              <w:rPr>
                <w:rFonts w:ascii="Times New Roman" w:hAnsi="Times New Roman" w:eastAsia="宋体" w:cs="Times New Roman"/>
                <w:i w:val="0"/>
                <w:iCs w:val="0"/>
                <w:color w:val="auto"/>
                <w:kern w:val="0"/>
                <w:sz w:val="21"/>
                <w:szCs w:val="21"/>
                <w:highlight w:val="none"/>
                <w:u w:val="none"/>
                <w:lang w:val="en-US" w:eastAsia="zh-CN"/>
              </w:rPr>
              <w:t>&lt;90%</w:t>
            </w:r>
            <w:r>
              <w:rPr>
                <w:rStyle w:val="43"/>
                <w:color w:val="auto"/>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现场支持</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维护人员在接到现场服务需求后，根据合同要求到达现场支持。</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现场准时率≥90%</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rPr>
              <w:t>80%≤</w:t>
            </w:r>
            <w:r>
              <w:rPr>
                <w:rStyle w:val="43"/>
                <w:color w:val="auto"/>
                <w:highlight w:val="none"/>
                <w:lang w:val="en-US" w:eastAsia="zh-CN"/>
              </w:rPr>
              <w:t>当季现场准时率</w:t>
            </w:r>
            <w:r>
              <w:rPr>
                <w:rFonts w:ascii="Times New Roman" w:hAnsi="Times New Roman" w:eastAsia="宋体" w:cs="Times New Roman"/>
                <w:i w:val="0"/>
                <w:iCs w:val="0"/>
                <w:color w:val="auto"/>
                <w:kern w:val="0"/>
                <w:sz w:val="21"/>
                <w:szCs w:val="21"/>
                <w:highlight w:val="none"/>
                <w:u w:val="none"/>
                <w:lang w:val="en-US" w:eastAsia="zh-CN"/>
              </w:rPr>
              <w:t>&lt;90%</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10000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Fonts w:ascii="Times New Roman" w:hAnsi="Times New Roman" w:eastAsia="宋体" w:cs="Times New Roman"/>
                <w:i w:val="0"/>
                <w:iCs w:val="0"/>
                <w:color w:val="auto"/>
                <w:kern w:val="0"/>
                <w:sz w:val="21"/>
                <w:szCs w:val="21"/>
                <w:highlight w:val="none"/>
                <w:u w:val="none"/>
                <w:lang w:val="en-US" w:eastAsia="zh-CN"/>
              </w:rPr>
              <w:t>70%≤</w:t>
            </w:r>
            <w:r>
              <w:rPr>
                <w:rStyle w:val="43"/>
                <w:color w:val="auto"/>
                <w:highlight w:val="none"/>
                <w:lang w:val="en-US" w:eastAsia="zh-CN"/>
              </w:rPr>
              <w:t>当季现场准时率</w:t>
            </w:r>
            <w:r>
              <w:rPr>
                <w:rFonts w:ascii="Times New Roman" w:hAnsi="Times New Roman" w:eastAsia="宋体" w:cs="Times New Roman"/>
                <w:i w:val="0"/>
                <w:iCs w:val="0"/>
                <w:color w:val="auto"/>
                <w:kern w:val="0"/>
                <w:sz w:val="21"/>
                <w:szCs w:val="21"/>
                <w:highlight w:val="none"/>
                <w:u w:val="none"/>
                <w:lang w:val="en-US" w:eastAsia="zh-CN"/>
              </w:rPr>
              <w:t>&lt;80%</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20000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Style w:val="43"/>
                <w:color w:val="auto"/>
                <w:highlight w:val="none"/>
                <w:lang w:val="en-US" w:eastAsia="zh-CN"/>
              </w:rPr>
              <w:t>现场准时率</w:t>
            </w:r>
            <w:r>
              <w:rPr>
                <w:rFonts w:ascii="Times New Roman" w:hAnsi="Times New Roman" w:eastAsia="宋体" w:cs="Times New Roman"/>
                <w:i w:val="0"/>
                <w:iCs w:val="0"/>
                <w:color w:val="auto"/>
                <w:kern w:val="0"/>
                <w:sz w:val="21"/>
                <w:szCs w:val="21"/>
                <w:highlight w:val="none"/>
                <w:u w:val="none"/>
                <w:lang w:val="en-US" w:eastAsia="zh-CN"/>
              </w:rPr>
              <w:t>&lt;70%</w:t>
            </w:r>
            <w:r>
              <w:rPr>
                <w:rStyle w:val="43"/>
                <w:color w:val="auto"/>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接受服务方对乙方所提供的服务进行满意度评价。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服务满意度≥95%</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rPr>
              <w:t>90%≤</w:t>
            </w:r>
            <w:r>
              <w:rPr>
                <w:rStyle w:val="43"/>
                <w:color w:val="auto"/>
                <w:highlight w:val="none"/>
                <w:lang w:val="en-US" w:eastAsia="zh-CN"/>
              </w:rPr>
              <w:t>当季服务满意度</w:t>
            </w:r>
            <w:r>
              <w:rPr>
                <w:rFonts w:ascii="Times New Roman" w:hAnsi="Times New Roman" w:eastAsia="宋体" w:cs="Times New Roman"/>
                <w:i w:val="0"/>
                <w:iCs w:val="0"/>
                <w:color w:val="auto"/>
                <w:kern w:val="0"/>
                <w:sz w:val="21"/>
                <w:szCs w:val="21"/>
                <w:highlight w:val="none"/>
                <w:u w:val="none"/>
                <w:lang w:val="en-US" w:eastAsia="zh-CN"/>
              </w:rPr>
              <w:t>&lt;95%</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5000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Fonts w:ascii="Times New Roman" w:hAnsi="Times New Roman" w:eastAsia="宋体" w:cs="Times New Roman"/>
                <w:i w:val="0"/>
                <w:iCs w:val="0"/>
                <w:color w:val="auto"/>
                <w:kern w:val="0"/>
                <w:sz w:val="21"/>
                <w:szCs w:val="21"/>
                <w:highlight w:val="none"/>
                <w:u w:val="none"/>
                <w:lang w:val="en-US" w:eastAsia="zh-CN"/>
              </w:rPr>
              <w:t>85%≤</w:t>
            </w:r>
            <w:r>
              <w:rPr>
                <w:rStyle w:val="43"/>
                <w:color w:val="auto"/>
                <w:highlight w:val="none"/>
                <w:lang w:val="en-US" w:eastAsia="zh-CN"/>
              </w:rPr>
              <w:t>当季服务满意度</w:t>
            </w:r>
            <w:r>
              <w:rPr>
                <w:rFonts w:ascii="Times New Roman" w:hAnsi="Times New Roman" w:eastAsia="宋体" w:cs="Times New Roman"/>
                <w:i w:val="0"/>
                <w:iCs w:val="0"/>
                <w:color w:val="auto"/>
                <w:kern w:val="0"/>
                <w:sz w:val="21"/>
                <w:szCs w:val="21"/>
                <w:highlight w:val="none"/>
                <w:u w:val="none"/>
                <w:lang w:val="en-US" w:eastAsia="zh-CN"/>
              </w:rPr>
              <w:t>&lt;90%</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10000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Fonts w:ascii="Times New Roman" w:hAnsi="Times New Roman" w:eastAsia="宋体" w:cs="Times New Roman"/>
                <w:i w:val="0"/>
                <w:iCs w:val="0"/>
                <w:color w:val="auto"/>
                <w:kern w:val="0"/>
                <w:sz w:val="21"/>
                <w:szCs w:val="21"/>
                <w:highlight w:val="none"/>
                <w:u w:val="none"/>
                <w:lang w:val="en-US" w:eastAsia="zh-CN"/>
              </w:rPr>
              <w:t>80%≤</w:t>
            </w:r>
            <w:r>
              <w:rPr>
                <w:rStyle w:val="43"/>
                <w:color w:val="auto"/>
                <w:highlight w:val="none"/>
                <w:lang w:val="en-US" w:eastAsia="zh-CN"/>
              </w:rPr>
              <w:t>当季服务满意度</w:t>
            </w:r>
            <w:r>
              <w:rPr>
                <w:rFonts w:ascii="Times New Roman" w:hAnsi="Times New Roman" w:eastAsia="宋体" w:cs="Times New Roman"/>
                <w:i w:val="0"/>
                <w:iCs w:val="0"/>
                <w:color w:val="auto"/>
                <w:kern w:val="0"/>
                <w:sz w:val="21"/>
                <w:szCs w:val="21"/>
                <w:highlight w:val="none"/>
                <w:u w:val="none"/>
                <w:lang w:val="en-US" w:eastAsia="zh-CN"/>
              </w:rPr>
              <w:t>&lt;85%</w:t>
            </w:r>
            <w:r>
              <w:rPr>
                <w:rStyle w:val="43"/>
                <w:color w:val="auto"/>
                <w:highlight w:val="none"/>
                <w:lang w:val="en-US" w:eastAsia="zh-CN"/>
              </w:rPr>
              <w:t>，扣除</w:t>
            </w:r>
            <w:r>
              <w:rPr>
                <w:rFonts w:ascii="Times New Roman" w:hAnsi="Times New Roman" w:eastAsia="宋体" w:cs="Times New Roman"/>
                <w:i w:val="0"/>
                <w:iCs w:val="0"/>
                <w:color w:val="auto"/>
                <w:kern w:val="0"/>
                <w:sz w:val="21"/>
                <w:szCs w:val="21"/>
                <w:highlight w:val="none"/>
                <w:u w:val="none"/>
                <w:lang w:val="en-US" w:eastAsia="zh-CN"/>
              </w:rPr>
              <w:t>20000</w:t>
            </w:r>
            <w:r>
              <w:rPr>
                <w:rStyle w:val="43"/>
                <w:color w:val="auto"/>
                <w:highlight w:val="none"/>
                <w:lang w:val="en-US" w:eastAsia="zh-CN"/>
              </w:rPr>
              <w:t>元；</w:t>
            </w:r>
            <w:r>
              <w:rPr>
                <w:rFonts w:ascii="Times New Roman" w:hAnsi="Times New Roman" w:eastAsia="宋体" w:cs="Times New Roman"/>
                <w:i w:val="0"/>
                <w:iCs w:val="0"/>
                <w:color w:val="auto"/>
                <w:kern w:val="0"/>
                <w:sz w:val="21"/>
                <w:szCs w:val="21"/>
                <w:highlight w:val="none"/>
                <w:u w:val="none"/>
                <w:lang w:val="en-US" w:eastAsia="zh-CN"/>
              </w:rPr>
              <w:cr/>
            </w:r>
            <w:r>
              <w:rPr>
                <w:rStyle w:val="43"/>
                <w:color w:val="auto"/>
                <w:highlight w:val="none"/>
                <w:lang w:val="en-US" w:eastAsia="zh-CN"/>
              </w:rPr>
              <w:t>当季服务满意度</w:t>
            </w:r>
            <w:r>
              <w:rPr>
                <w:rFonts w:ascii="Times New Roman" w:hAnsi="Times New Roman" w:eastAsia="宋体" w:cs="Times New Roman"/>
                <w:i w:val="0"/>
                <w:iCs w:val="0"/>
                <w:color w:val="auto"/>
                <w:kern w:val="0"/>
                <w:sz w:val="21"/>
                <w:szCs w:val="21"/>
                <w:highlight w:val="none"/>
                <w:u w:val="none"/>
                <w:lang w:val="en-US" w:eastAsia="zh-CN"/>
              </w:rPr>
              <w:t>&lt;80%</w:t>
            </w:r>
            <w:r>
              <w:rPr>
                <w:rStyle w:val="43"/>
                <w:color w:val="auto"/>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服务投诉</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接受服务方通过服务电话、企业微信等方式对乙方所提供的服务进行投诉。</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普通有效投诉数量≤5</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严重有效投诉数量&lt;1</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每次收到普通有效投诉数量，扣除5000元；</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收到普通有效投诉超过5次，重庆三峡银行有权单方面提前终止维护合同，合同款项仅支付至合同终止当月。</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收到严重有效投诉（如：辱骂客户、偷盗、信息泄露、其它影响广泛反映较大的事件），重庆三峡银行有权单方面提前终止维护合同，不再支付当期合同款项。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服务团队人员变更</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根据合同要求需得到行方同意，变更后人员素质不得低于变更前人员。</w:t>
            </w:r>
          </w:p>
        </w:tc>
        <w:tc>
          <w:tcPr>
            <w:tcW w:w="2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当季人员变更率&lt;20%</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人员变动未经行方同意，每次扣除2000元；</w:t>
            </w:r>
          </w:p>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20%≤当季人员变更率&lt;50%，扣除10000元</w:t>
            </w:r>
            <w:r>
              <w:rPr>
                <w:rFonts w:hint="eastAsia" w:ascii="宋体" w:hAnsi="宋体" w:cs="宋体"/>
                <w:i w:val="0"/>
                <w:iCs w:val="0"/>
                <w:color w:val="auto"/>
                <w:kern w:val="0"/>
                <w:sz w:val="21"/>
                <w:szCs w:val="21"/>
                <w:highlight w:val="none"/>
                <w:u w:val="none"/>
                <w:lang w:val="en-US" w:eastAsia="zh-CN"/>
              </w:rPr>
              <w:t>；</w:t>
            </w:r>
          </w:p>
          <w:p>
            <w:pPr>
              <w:keepNext w:val="0"/>
              <w:keepLines w:val="0"/>
              <w:widowControl/>
              <w:suppressLineNumbers w:val="0"/>
              <w:jc w:val="left"/>
              <w:textAlignment w:val="center"/>
              <w:rPr>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rPr>
              <w:t>当季人员变更率</w:t>
            </w:r>
            <w:r>
              <w:rPr>
                <w:rFonts w:hint="eastAsia" w:ascii="宋体" w:hAnsi="宋体" w:cs="宋体"/>
                <w:i w:val="0"/>
                <w:iCs w:val="0"/>
                <w:color w:val="auto"/>
                <w:kern w:val="0"/>
                <w:sz w:val="21"/>
                <w:szCs w:val="21"/>
                <w:highlight w:val="none"/>
                <w:u w:val="none"/>
                <w:lang w:val="en-US" w:eastAsia="zh-CN"/>
              </w:rPr>
              <w:t>&gt;50%，重庆三峡银行有权单方面提前终止维护合同，合同款项仅支付至合同终止当月。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82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hint="eastAsia" w:ascii="宋体" w:cs="宋体"/>
                <w:color w:val="auto"/>
                <w:kern w:val="0"/>
                <w:sz w:val="21"/>
                <w:szCs w:val="21"/>
                <w:highlight w:val="none"/>
              </w:rPr>
            </w:pPr>
            <w:r>
              <w:rPr>
                <w:rFonts w:hint="eastAsia" w:ascii="宋体" w:cs="宋体"/>
                <w:color w:val="auto"/>
                <w:kern w:val="0"/>
                <w:sz w:val="21"/>
                <w:szCs w:val="21"/>
                <w:highlight w:val="none"/>
              </w:rPr>
              <w:t xml:space="preserve">综合评价：  </w:t>
            </w:r>
          </w:p>
          <w:p>
            <w:pPr>
              <w:widowControl/>
              <w:rPr>
                <w:rFonts w:hint="eastAsia" w:ascii="宋体" w:cs="宋体"/>
                <w:color w:val="auto"/>
                <w:kern w:val="0"/>
                <w:sz w:val="21"/>
                <w:szCs w:val="21"/>
                <w:highlight w:val="none"/>
              </w:rPr>
            </w:pPr>
          </w:p>
          <w:p>
            <w:pPr>
              <w:widowControl/>
              <w:rPr>
                <w:rFonts w:hint="eastAsia" w:ascii="宋体" w:cs="宋体"/>
                <w:color w:val="auto"/>
                <w:kern w:val="0"/>
                <w:sz w:val="21"/>
                <w:szCs w:val="21"/>
                <w:highlight w:val="none"/>
              </w:rPr>
            </w:pP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cs="宋体"/>
                <w:color w:val="auto"/>
                <w:kern w:val="0"/>
                <w:sz w:val="21"/>
                <w:szCs w:val="21"/>
                <w:highlight w:val="none"/>
              </w:rPr>
              <w:t xml:space="preserve">                                                             评价人：</w:t>
            </w:r>
          </w:p>
        </w:tc>
      </w:tr>
    </w:tbl>
    <w:p>
      <w:pPr>
        <w:spacing w:line="360" w:lineRule="auto"/>
        <w:ind w:firstLine="420" w:firstLineChars="200"/>
        <w:rPr>
          <w:rFonts w:ascii="宋体" w:cs="宋体"/>
          <w:snapToGrid w:val="0"/>
          <w:color w:val="auto"/>
          <w:kern w:val="0"/>
          <w:sz w:val="24"/>
          <w:szCs w:val="24"/>
          <w:highlight w:val="none"/>
        </w:rPr>
      </w:pPr>
      <w:r>
        <w:rPr>
          <w:rFonts w:hint="eastAsia" w:ascii="宋体"/>
          <w:color w:val="auto"/>
          <w:sz w:val="21"/>
          <w:szCs w:val="21"/>
          <w:highlight w:val="none"/>
        </w:rPr>
        <w:br w:type="page"/>
      </w:r>
    </w:p>
    <w:p>
      <w:pPr>
        <w:pStyle w:val="3"/>
        <w:spacing w:before="0"/>
        <w:ind w:right="0" w:rightChars="0"/>
        <w:rPr>
          <w:color w:val="auto"/>
          <w:highlight w:val="none"/>
        </w:rPr>
      </w:pPr>
      <w:bookmarkStart w:id="107" w:name="_Toc1967"/>
      <w:r>
        <w:rPr>
          <w:rFonts w:hint="eastAsia"/>
          <w:color w:val="auto"/>
          <w:highlight w:val="none"/>
        </w:rPr>
        <w:t>第七章 参选文件</w:t>
      </w:r>
      <w:bookmarkEnd w:id="80"/>
      <w:bookmarkEnd w:id="81"/>
      <w:bookmarkStart w:id="108" w:name="_Toc303066035"/>
      <w:r>
        <w:rPr>
          <w:rFonts w:hint="eastAsia"/>
          <w:color w:val="auto"/>
          <w:highlight w:val="none"/>
        </w:rPr>
        <w:t>格式</w:t>
      </w:r>
      <w:bookmarkEnd w:id="107"/>
    </w:p>
    <w:bookmarkEnd w:id="108"/>
    <w:p>
      <w:pPr>
        <w:tabs>
          <w:tab w:val="left" w:pos="6516"/>
        </w:tabs>
        <w:autoSpaceDE w:val="0"/>
        <w:autoSpaceDN w:val="0"/>
        <w:adjustRightInd w:val="0"/>
        <w:snapToGrid w:val="0"/>
        <w:spacing w:line="360" w:lineRule="auto"/>
        <w:ind w:firstLine="1265" w:firstLineChars="450"/>
        <w:rPr>
          <w:rFonts w:ascii="宋体" w:hAnsi="宋体"/>
          <w:b/>
          <w:color w:val="auto"/>
          <w:kern w:val="0"/>
          <w:highlight w:val="none"/>
          <w:u w:val="single"/>
        </w:rPr>
      </w:pPr>
    </w:p>
    <w:p>
      <w:pPr>
        <w:autoSpaceDE w:val="0"/>
        <w:autoSpaceDN w:val="0"/>
        <w:jc w:val="center"/>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pPr>
        <w:autoSpaceDE w:val="0"/>
        <w:autoSpaceDN w:val="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rPr>
        <w:t>2023</w:t>
      </w:r>
      <w:r>
        <w:rPr>
          <w:rFonts w:hint="eastAsia" w:ascii="Times New Roman" w:hAnsi="Times New Roman" w:cs="Times New Roman"/>
          <w:b/>
          <w:snapToGrid w:val="0"/>
          <w:color w:val="auto"/>
          <w:kern w:val="0"/>
          <w:sz w:val="48"/>
          <w:szCs w:val="84"/>
          <w:highlight w:val="none"/>
        </w:rPr>
        <w:t>至</w:t>
      </w:r>
      <w:r>
        <w:rPr>
          <w:rFonts w:ascii="Times New Roman" w:hAnsi="Times New Roman" w:cs="Times New Roman"/>
          <w:b/>
          <w:snapToGrid w:val="0"/>
          <w:color w:val="auto"/>
          <w:kern w:val="0"/>
          <w:sz w:val="48"/>
          <w:szCs w:val="84"/>
          <w:highlight w:val="none"/>
        </w:rPr>
        <w:t>2024年度全行科技保障服务项目</w:t>
      </w:r>
    </w:p>
    <w:p>
      <w:pPr>
        <w:tabs>
          <w:tab w:val="left" w:pos="3600"/>
          <w:tab w:val="left" w:pos="4480"/>
          <w:tab w:val="left" w:pos="5360"/>
        </w:tabs>
        <w:autoSpaceDE w:val="0"/>
        <w:autoSpaceDN w:val="0"/>
        <w:adjustRightInd w:val="0"/>
        <w:snapToGrid w:val="0"/>
        <w:spacing w:line="360" w:lineRule="auto"/>
        <w:rPr>
          <w:rFonts w:ascii="宋体" w:hAns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rPr>
          <w:rFonts w:ascii="宋体" w:hAns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rPr>
          <w:rFonts w:ascii="宋体" w:hAns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b/>
          <w:color w:val="auto"/>
          <w:kern w:val="0"/>
          <w:sz w:val="84"/>
          <w:highlight w:val="none"/>
        </w:rPr>
      </w:pPr>
      <w:r>
        <w:rPr>
          <w:rFonts w:hint="eastAsia" w:ascii="宋体" w:hAnsi="宋体"/>
          <w:b/>
          <w:color w:val="auto"/>
          <w:kern w:val="0"/>
          <w:sz w:val="84"/>
          <w:highlight w:val="none"/>
        </w:rPr>
        <w:t>参  选  文  件</w:t>
      </w:r>
    </w:p>
    <w:p>
      <w:pPr>
        <w:autoSpaceDE w:val="0"/>
        <w:autoSpaceDN w:val="0"/>
        <w:adjustRightInd w:val="0"/>
        <w:snapToGrid w:val="0"/>
        <w:spacing w:line="360" w:lineRule="auto"/>
        <w:rPr>
          <w:rFonts w:ascii="宋体" w:hAnsi="宋体"/>
          <w:color w:val="auto"/>
          <w:kern w:val="0"/>
          <w:sz w:val="16"/>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autoSpaceDE w:val="0"/>
        <w:autoSpaceDN w:val="0"/>
        <w:adjustRightInd w:val="0"/>
        <w:snapToGrid w:val="0"/>
        <w:spacing w:line="360" w:lineRule="auto"/>
        <w:rPr>
          <w:rFonts w:ascii="宋体" w:hAnsi="宋体"/>
          <w:b/>
          <w:color w:val="auto"/>
          <w:kern w:val="0"/>
          <w:sz w:val="20"/>
          <w:highlight w:val="none"/>
        </w:rPr>
      </w:pPr>
    </w:p>
    <w:p>
      <w:pPr>
        <w:tabs>
          <w:tab w:val="left" w:pos="6080"/>
          <w:tab w:val="left" w:pos="6640"/>
        </w:tabs>
        <w:autoSpaceDE w:val="0"/>
        <w:autoSpaceDN w:val="0"/>
        <w:adjustRightInd w:val="0"/>
        <w:snapToGrid w:val="0"/>
        <w:spacing w:line="360" w:lineRule="auto"/>
        <w:jc w:val="center"/>
        <w:rPr>
          <w:rFonts w:ascii="宋体" w:hAnsi="宋体"/>
          <w:b/>
          <w:color w:val="auto"/>
          <w:w w:val="99"/>
          <w:kern w:val="0"/>
          <w:highlight w:val="none"/>
        </w:rPr>
      </w:pPr>
      <w:r>
        <w:rPr>
          <w:rFonts w:hint="eastAsia" w:ascii="宋体" w:hAnsi="宋体"/>
          <w:b/>
          <w:snapToGrid w:val="0"/>
          <w:color w:val="auto"/>
          <w:w w:val="99"/>
          <w:kern w:val="0"/>
          <w:szCs w:val="2"/>
          <w:highlight w:val="none"/>
        </w:rPr>
        <w:t>参选</w:t>
      </w:r>
      <w:r>
        <w:rPr>
          <w:rFonts w:hint="eastAsia" w:ascii="宋体" w:hAnsi="宋体"/>
          <w:b/>
          <w:color w:val="auto"/>
          <w:w w:val="99"/>
          <w:kern w:val="0"/>
          <w:highlight w:val="none"/>
        </w:rPr>
        <w:t>人</w:t>
      </w:r>
      <w:r>
        <w:rPr>
          <w:rFonts w:hint="eastAsia" w:ascii="宋体" w:hAnsi="宋体"/>
          <w:b/>
          <w:color w:val="auto"/>
          <w:spacing w:val="1"/>
          <w:w w:val="99"/>
          <w:kern w:val="0"/>
          <w:highlight w:val="none"/>
        </w:rPr>
        <w:t>：</w:t>
      </w:r>
      <w:r>
        <w:rPr>
          <w:rFonts w:hint="eastAsia" w:ascii="宋体" w:hAnsi="宋体"/>
          <w:b/>
          <w:color w:val="auto"/>
          <w:w w:val="198"/>
          <w:kern w:val="0"/>
          <w:highlight w:val="none"/>
          <w:u w:val="single"/>
        </w:rPr>
        <w:t xml:space="preserve"> 　　　　 　　</w:t>
      </w:r>
      <w:r>
        <w:rPr>
          <w:rFonts w:hint="eastAsia" w:ascii="宋体" w:hAnsi="宋体"/>
          <w:b/>
          <w:color w:val="auto"/>
          <w:w w:val="99"/>
          <w:kern w:val="0"/>
          <w:highlight w:val="none"/>
        </w:rPr>
        <w:t>（盖单位公章）</w:t>
      </w:r>
    </w:p>
    <w:p>
      <w:pPr>
        <w:tabs>
          <w:tab w:val="left" w:pos="6080"/>
          <w:tab w:val="left" w:pos="6640"/>
        </w:tabs>
        <w:autoSpaceDE w:val="0"/>
        <w:autoSpaceDN w:val="0"/>
        <w:adjustRightInd w:val="0"/>
        <w:snapToGrid w:val="0"/>
        <w:spacing w:line="360" w:lineRule="auto"/>
        <w:jc w:val="center"/>
        <w:rPr>
          <w:rFonts w:ascii="宋体" w:hAnsi="宋体"/>
          <w:b/>
          <w:color w:val="auto"/>
          <w:kern w:val="0"/>
          <w:highlight w:val="none"/>
        </w:rPr>
      </w:pPr>
      <w:r>
        <w:rPr>
          <w:rFonts w:hint="eastAsia" w:ascii="宋体" w:hAnsi="宋体"/>
          <w:b/>
          <w:color w:val="auto"/>
          <w:w w:val="99"/>
          <w:kern w:val="0"/>
          <w:highlight w:val="none"/>
        </w:rPr>
        <w:t>法定代表人或其委托代理人：</w:t>
      </w:r>
      <w:r>
        <w:rPr>
          <w:rFonts w:hint="eastAsia" w:ascii="宋体" w:hAnsi="宋体"/>
          <w:b/>
          <w:color w:val="auto"/>
          <w:w w:val="198"/>
          <w:kern w:val="0"/>
          <w:highlight w:val="none"/>
          <w:u w:val="single"/>
        </w:rPr>
        <w:t xml:space="preserve"> 　　 　</w:t>
      </w:r>
      <w:r>
        <w:rPr>
          <w:rFonts w:hint="eastAsia" w:ascii="宋体" w:hAnsi="宋体"/>
          <w:b/>
          <w:color w:val="auto"/>
          <w:w w:val="99"/>
          <w:kern w:val="0"/>
          <w:highlight w:val="none"/>
        </w:rPr>
        <w:t>（签字）</w:t>
      </w:r>
    </w:p>
    <w:p>
      <w:pPr>
        <w:tabs>
          <w:tab w:val="left" w:pos="3280"/>
          <w:tab w:val="left" w:pos="4680"/>
          <w:tab w:val="left" w:pos="6080"/>
        </w:tabs>
        <w:autoSpaceDE w:val="0"/>
        <w:autoSpaceDN w:val="0"/>
        <w:adjustRightInd w:val="0"/>
        <w:snapToGrid w:val="0"/>
        <w:spacing w:line="360" w:lineRule="auto"/>
        <w:jc w:val="center"/>
        <w:rPr>
          <w:rFonts w:ascii="宋体" w:hAnsi="宋体"/>
          <w:b/>
          <w:color w:val="auto"/>
          <w:w w:val="99"/>
          <w:kern w:val="0"/>
          <w:highlight w:val="none"/>
        </w:rPr>
      </w:pPr>
      <w:r>
        <w:rPr>
          <w:rFonts w:hint="eastAsia" w:ascii="宋体" w:hAnsi="宋体"/>
          <w:b/>
          <w:color w:val="auto"/>
          <w:w w:val="99"/>
          <w:kern w:val="0"/>
          <w:highlight w:val="none"/>
          <w:u w:val="single"/>
        </w:rPr>
        <w:t xml:space="preserve">     　</w:t>
      </w:r>
      <w:r>
        <w:rPr>
          <w:rFonts w:hint="eastAsia" w:ascii="宋体" w:hAnsi="宋体"/>
          <w:b/>
          <w:color w:val="auto"/>
          <w:w w:val="99"/>
          <w:kern w:val="0"/>
          <w:highlight w:val="none"/>
        </w:rPr>
        <w:t>年月日</w:t>
      </w:r>
    </w:p>
    <w:p>
      <w:pPr>
        <w:tabs>
          <w:tab w:val="left" w:pos="3280"/>
          <w:tab w:val="left" w:pos="4680"/>
          <w:tab w:val="left" w:pos="6080"/>
        </w:tabs>
        <w:autoSpaceDE w:val="0"/>
        <w:autoSpaceDN w:val="0"/>
        <w:adjustRightInd w:val="0"/>
        <w:snapToGrid w:val="0"/>
        <w:spacing w:line="360" w:lineRule="auto"/>
        <w:jc w:val="center"/>
        <w:rPr>
          <w:rFonts w:ascii="宋体" w:hAnsi="宋体"/>
          <w:b/>
          <w:color w:val="auto"/>
          <w:kern w:val="0"/>
          <w:highlight w:val="none"/>
        </w:rPr>
      </w:pPr>
    </w:p>
    <w:p>
      <w:pPr>
        <w:tabs>
          <w:tab w:val="left" w:pos="6300"/>
        </w:tabs>
        <w:snapToGrid w:val="0"/>
        <w:spacing w:line="360" w:lineRule="auto"/>
        <w:ind w:right="-39" w:rightChars="-14"/>
        <w:jc w:val="center"/>
        <w:rPr>
          <w:rFonts w:ascii="宋体" w:hAnsi="宋体"/>
          <w:snapToGrid w:val="0"/>
          <w:color w:val="auto"/>
          <w:kern w:val="0"/>
          <w:szCs w:val="28"/>
          <w:highlight w:val="none"/>
        </w:rPr>
      </w:pPr>
    </w:p>
    <w:p>
      <w:pPr>
        <w:tabs>
          <w:tab w:val="left" w:pos="6300"/>
        </w:tabs>
        <w:snapToGrid w:val="0"/>
        <w:spacing w:line="360" w:lineRule="auto"/>
        <w:jc w:val="center"/>
        <w:rPr>
          <w:rFonts w:ascii="宋体" w:hAnsi="宋体"/>
          <w:snapToGrid w:val="0"/>
          <w:color w:val="auto"/>
          <w:kern w:val="0"/>
          <w:szCs w:val="28"/>
          <w:highlight w:val="none"/>
        </w:rPr>
      </w:pPr>
    </w:p>
    <w:p>
      <w:pPr>
        <w:tabs>
          <w:tab w:val="left" w:pos="6300"/>
        </w:tabs>
        <w:snapToGrid w:val="0"/>
        <w:spacing w:line="360" w:lineRule="auto"/>
        <w:jc w:val="center"/>
        <w:rPr>
          <w:rFonts w:ascii="宋体" w:hAnsi="宋体"/>
          <w:snapToGrid w:val="0"/>
          <w:color w:val="auto"/>
          <w:kern w:val="0"/>
          <w:szCs w:val="28"/>
          <w:highlight w:val="none"/>
        </w:rPr>
      </w:pPr>
    </w:p>
    <w:p>
      <w:pPr>
        <w:tabs>
          <w:tab w:val="left" w:pos="6300"/>
        </w:tabs>
        <w:snapToGrid w:val="0"/>
        <w:spacing w:line="360" w:lineRule="auto"/>
        <w:jc w:val="center"/>
        <w:rPr>
          <w:rFonts w:ascii="宋体" w:hAnsi="宋体"/>
          <w:snapToGrid w:val="0"/>
          <w:color w:val="auto"/>
          <w:kern w:val="0"/>
          <w:szCs w:val="28"/>
          <w:highlight w:val="none"/>
        </w:rPr>
      </w:pPr>
    </w:p>
    <w:p>
      <w:pPr>
        <w:tabs>
          <w:tab w:val="left" w:pos="6300"/>
        </w:tabs>
        <w:snapToGrid w:val="0"/>
        <w:spacing w:line="360" w:lineRule="auto"/>
        <w:ind w:right="-39" w:rightChars="-14"/>
        <w:jc w:val="center"/>
        <w:rPr>
          <w:rFonts w:ascii="宋体" w:hAnsi="宋体"/>
          <w:b/>
          <w:snapToGrid w:val="0"/>
          <w:color w:val="auto"/>
          <w:kern w:val="0"/>
          <w:sz w:val="36"/>
          <w:szCs w:val="28"/>
          <w:highlight w:val="none"/>
        </w:rPr>
      </w:pPr>
      <w:r>
        <w:rPr>
          <w:rFonts w:hint="eastAsia" w:ascii="宋体" w:hAnsi="宋体"/>
          <w:b/>
          <w:snapToGrid w:val="0"/>
          <w:color w:val="auto"/>
          <w:kern w:val="0"/>
          <w:sz w:val="36"/>
          <w:szCs w:val="28"/>
          <w:highlight w:val="none"/>
        </w:rPr>
        <w:t>目  录</w:t>
      </w:r>
    </w:p>
    <w:p>
      <w:pPr>
        <w:snapToGrid w:val="0"/>
        <w:spacing w:line="360" w:lineRule="auto"/>
        <w:ind w:firstLine="480" w:firstLineChars="200"/>
        <w:rPr>
          <w:rFonts w:ascii="宋体" w:hAnsi="宋体"/>
          <w:snapToGrid w:val="0"/>
          <w:color w:val="auto"/>
          <w:kern w:val="0"/>
          <w:sz w:val="24"/>
          <w:szCs w:val="24"/>
          <w:highlight w:val="none"/>
        </w:rPr>
      </w:pP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函</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人基本情况介绍，资质证明等</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法定代表人身份证明及授权委托书</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报价一览表</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分项报价明细表</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书面声明</w:t>
      </w:r>
    </w:p>
    <w:p>
      <w:pPr>
        <w:numPr>
          <w:ilvl w:val="0"/>
          <w:numId w:val="7"/>
        </w:numPr>
        <w:snapToGrid w:val="0"/>
        <w:spacing w:line="360" w:lineRule="auto"/>
        <w:rPr>
          <w:rFonts w:hint="eastAsia" w:ascii="宋体" w:hAnsi="宋体" w:eastAsia="宋体"/>
          <w:snapToGrid w:val="0"/>
          <w:color w:val="auto"/>
          <w:kern w:val="0"/>
          <w:sz w:val="24"/>
          <w:szCs w:val="24"/>
          <w:highlight w:val="none"/>
          <w:lang w:val="en-US" w:eastAsia="zh-CN"/>
        </w:rPr>
      </w:pPr>
      <w:r>
        <w:rPr>
          <w:rFonts w:hint="eastAsia" w:ascii="宋体" w:hAnsi="宋体"/>
          <w:snapToGrid w:val="0"/>
          <w:color w:val="auto"/>
          <w:kern w:val="0"/>
          <w:sz w:val="24"/>
          <w:szCs w:val="24"/>
          <w:highlight w:val="none"/>
          <w:lang w:val="en-US" w:eastAsia="zh-CN"/>
        </w:rPr>
        <w:t>中国执行信息公开网截图</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人业绩证明文件复印件</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商务条款偏离度</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保证金</w:t>
      </w:r>
    </w:p>
    <w:p>
      <w:pPr>
        <w:numPr>
          <w:ilvl w:val="0"/>
          <w:numId w:val="7"/>
        </w:num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服务水平</w:t>
      </w:r>
      <w:r>
        <w:rPr>
          <w:rFonts w:hint="eastAsia" w:ascii="宋体" w:hAnsi="宋体"/>
          <w:color w:val="auto"/>
          <w:kern w:val="0"/>
          <w:sz w:val="24"/>
          <w:szCs w:val="24"/>
          <w:highlight w:val="none"/>
        </w:rPr>
        <w:t>协议（SLA）</w:t>
      </w:r>
    </w:p>
    <w:p>
      <w:pPr>
        <w:numPr>
          <w:ilvl w:val="0"/>
          <w:numId w:val="7"/>
        </w:numPr>
        <w:snapToGrid w:val="0"/>
        <w:spacing w:line="360" w:lineRule="auto"/>
        <w:rPr>
          <w:rFonts w:ascii="Times New Roman" w:hAnsi="Times New Roman" w:cs="Times New Roman"/>
          <w:snapToGrid w:val="0"/>
          <w:color w:val="auto"/>
          <w:kern w:val="0"/>
          <w:sz w:val="24"/>
          <w:szCs w:val="24"/>
          <w:highlight w:val="none"/>
        </w:rPr>
      </w:pPr>
      <w:r>
        <w:rPr>
          <w:rFonts w:hint="eastAsia" w:ascii="Times New Roman" w:hAnsi="Times New Roman" w:cs="Times New Roman"/>
          <w:snapToGrid w:val="0"/>
          <w:color w:val="auto"/>
          <w:kern w:val="0"/>
          <w:sz w:val="24"/>
          <w:szCs w:val="24"/>
          <w:highlight w:val="none"/>
        </w:rPr>
        <w:t>服务连续性预案</w:t>
      </w:r>
    </w:p>
    <w:p>
      <w:pPr>
        <w:numPr>
          <w:ilvl w:val="0"/>
          <w:numId w:val="7"/>
        </w:numPr>
        <w:snapToGrid w:val="0"/>
        <w:spacing w:line="360" w:lineRule="auto"/>
        <w:rPr>
          <w:rFonts w:hint="eastAsia" w:ascii="Times New Roman" w:hAnsi="Times New Roman" w:eastAsia="宋体"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承诺书</w:t>
      </w:r>
    </w:p>
    <w:p>
      <w:pPr>
        <w:numPr>
          <w:ilvl w:val="0"/>
          <w:numId w:val="7"/>
        </w:numPr>
        <w:snapToGrid w:val="0"/>
        <w:spacing w:line="360" w:lineRule="auto"/>
        <w:rPr>
          <w:rFonts w:hint="default" w:ascii="Times New Roman" w:hAnsi="Times New Roman" w:eastAsia="宋体" w:cs="Times New Roman"/>
          <w:snapToGrid w:val="0"/>
          <w:color w:val="auto"/>
          <w:kern w:val="0"/>
          <w:sz w:val="24"/>
          <w:szCs w:val="24"/>
          <w:highlight w:val="none"/>
          <w:lang w:val="en-US" w:eastAsia="zh-CN"/>
        </w:rPr>
      </w:pPr>
      <w:r>
        <w:rPr>
          <w:rFonts w:hint="eastAsia" w:ascii="Times New Roman" w:hAnsi="Times New Roman" w:cs="Times New Roman"/>
          <w:snapToGrid w:val="0"/>
          <w:color w:val="auto"/>
          <w:kern w:val="0"/>
          <w:sz w:val="24"/>
          <w:szCs w:val="24"/>
          <w:highlight w:val="none"/>
          <w:lang w:val="en-US" w:eastAsia="zh-CN"/>
        </w:rPr>
        <w:t>其他</w:t>
      </w:r>
    </w:p>
    <w:p>
      <w:pPr>
        <w:pStyle w:val="2"/>
        <w:rPr>
          <w:color w:val="auto"/>
          <w:highlight w:val="none"/>
        </w:rPr>
      </w:pPr>
    </w:p>
    <w:p>
      <w:pPr>
        <w:snapToGrid w:val="0"/>
        <w:spacing w:line="360" w:lineRule="auto"/>
        <w:ind w:left="480"/>
        <w:rPr>
          <w:rFonts w:ascii="宋体" w:hAnsi="宋体"/>
          <w:snapToGrid w:val="0"/>
          <w:color w:val="auto"/>
          <w:kern w:val="0"/>
          <w:sz w:val="24"/>
          <w:szCs w:val="24"/>
          <w:highlight w:val="none"/>
        </w:rPr>
      </w:pPr>
    </w:p>
    <w:p>
      <w:pPr>
        <w:tabs>
          <w:tab w:val="left" w:pos="6300"/>
        </w:tabs>
        <w:snapToGrid w:val="0"/>
        <w:spacing w:line="360" w:lineRule="auto"/>
        <w:ind w:firstLine="480" w:firstLineChars="200"/>
        <w:rPr>
          <w:rFonts w:ascii="宋体" w:hAnsi="宋体"/>
          <w:snapToGrid w:val="0"/>
          <w:color w:val="auto"/>
          <w:kern w:val="0"/>
          <w:sz w:val="24"/>
          <w:szCs w:val="24"/>
          <w:highlight w:val="none"/>
        </w:rPr>
      </w:pPr>
    </w:p>
    <w:p>
      <w:pPr>
        <w:tabs>
          <w:tab w:val="left" w:pos="6300"/>
        </w:tabs>
        <w:snapToGrid w:val="0"/>
        <w:spacing w:line="360" w:lineRule="auto"/>
        <w:ind w:firstLine="480" w:firstLineChars="200"/>
        <w:rPr>
          <w:rFonts w:ascii="宋体" w:hAnsi="宋体"/>
          <w:snapToGrid w:val="0"/>
          <w:color w:val="auto"/>
          <w:kern w:val="0"/>
          <w:sz w:val="24"/>
          <w:szCs w:val="24"/>
          <w:highlight w:val="none"/>
        </w:rPr>
      </w:pPr>
    </w:p>
    <w:p>
      <w:pPr>
        <w:tabs>
          <w:tab w:val="left" w:pos="6300"/>
        </w:tabs>
        <w:snapToGrid w:val="0"/>
        <w:spacing w:line="360" w:lineRule="auto"/>
        <w:ind w:firstLine="480" w:firstLineChars="200"/>
        <w:rPr>
          <w:rFonts w:ascii="宋体" w:hAnsi="宋体"/>
          <w:snapToGrid w:val="0"/>
          <w:color w:val="auto"/>
          <w:kern w:val="0"/>
          <w:sz w:val="24"/>
          <w:szCs w:val="24"/>
          <w:highlight w:val="none"/>
        </w:rPr>
      </w:pPr>
    </w:p>
    <w:p>
      <w:pPr>
        <w:tabs>
          <w:tab w:val="left" w:pos="6300"/>
        </w:tabs>
        <w:snapToGrid w:val="0"/>
        <w:spacing w:line="360" w:lineRule="auto"/>
        <w:ind w:firstLine="200"/>
        <w:rPr>
          <w:rFonts w:ascii="宋体" w:hAnsi="宋体"/>
          <w:snapToGrid w:val="0"/>
          <w:color w:val="auto"/>
          <w:kern w:val="0"/>
          <w:szCs w:val="28"/>
          <w:highlight w:val="none"/>
        </w:rPr>
      </w:pPr>
    </w:p>
    <w:p>
      <w:pPr>
        <w:tabs>
          <w:tab w:val="left" w:pos="6300"/>
        </w:tabs>
        <w:snapToGrid w:val="0"/>
        <w:spacing w:line="360" w:lineRule="auto"/>
        <w:ind w:firstLine="200"/>
        <w:rPr>
          <w:rFonts w:ascii="宋体" w:hAnsi="宋体"/>
          <w:snapToGrid w:val="0"/>
          <w:color w:val="auto"/>
          <w:kern w:val="0"/>
          <w:szCs w:val="28"/>
          <w:highlight w:val="none"/>
        </w:rPr>
      </w:pPr>
    </w:p>
    <w:p>
      <w:pPr>
        <w:pStyle w:val="4"/>
        <w:numPr>
          <w:ilvl w:val="0"/>
          <w:numId w:val="8"/>
        </w:numPr>
        <w:ind w:firstLineChars="0"/>
        <w:jc w:val="center"/>
        <w:rPr>
          <w:bCs w:val="0"/>
          <w:color w:val="auto"/>
          <w:kern w:val="0"/>
          <w:szCs w:val="28"/>
          <w:highlight w:val="none"/>
        </w:rPr>
      </w:pPr>
      <w:r>
        <w:rPr>
          <w:rFonts w:hint="eastAsia"/>
          <w:color w:val="auto"/>
          <w:kern w:val="0"/>
          <w:szCs w:val="28"/>
          <w:highlight w:val="none"/>
        </w:rPr>
        <w:br w:type="page"/>
      </w:r>
      <w:r>
        <w:rPr>
          <w:rFonts w:hint="eastAsia" w:cs="Cambria"/>
          <w:bCs w:val="0"/>
          <w:snapToGrid/>
          <w:color w:val="auto"/>
          <w:sz w:val="28"/>
          <w:szCs w:val="28"/>
          <w:highlight w:val="none"/>
        </w:rPr>
        <w:t>参选函</w:t>
      </w:r>
    </w:p>
    <w:p>
      <w:pPr>
        <w:tabs>
          <w:tab w:val="left" w:pos="6300"/>
        </w:tabs>
        <w:snapToGrid w:val="0"/>
        <w:spacing w:line="360" w:lineRule="auto"/>
        <w:ind w:right="-39" w:rightChars="-14"/>
        <w:rPr>
          <w:rFonts w:ascii="宋体" w:hAnsi="宋体"/>
          <w:snapToGrid w:val="0"/>
          <w:color w:val="auto"/>
          <w:kern w:val="0"/>
          <w:sz w:val="24"/>
          <w:szCs w:val="24"/>
          <w:highlight w:val="none"/>
          <w:u w:val="single"/>
        </w:rPr>
      </w:pPr>
    </w:p>
    <w:p>
      <w:pPr>
        <w:tabs>
          <w:tab w:val="left" w:pos="6300"/>
        </w:tabs>
        <w:snapToGrid w:val="0"/>
        <w:spacing w:line="360" w:lineRule="auto"/>
        <w:ind w:right="-3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u w:val="single"/>
        </w:rPr>
        <w:t>重庆三峡银行股份有限公司</w:t>
      </w:r>
      <w:r>
        <w:rPr>
          <w:rFonts w:hint="eastAsia" w:ascii="宋体" w:hAnsi="宋体"/>
          <w:snapToGrid w:val="0"/>
          <w:color w:val="auto"/>
          <w:kern w:val="0"/>
          <w:sz w:val="24"/>
          <w:szCs w:val="24"/>
          <w:highlight w:val="none"/>
        </w:rPr>
        <w:t>：</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我方收到</w:t>
      </w:r>
      <w:r>
        <w:rPr>
          <w:rFonts w:hint="eastAsia" w:ascii="宋体" w:hAnsi="宋体"/>
          <w:snapToGrid w:val="0"/>
          <w:color w:val="auto"/>
          <w:kern w:val="0"/>
          <w:sz w:val="24"/>
          <w:szCs w:val="24"/>
          <w:highlight w:val="none"/>
          <w:u w:val="single"/>
        </w:rPr>
        <w:t>___________________</w:t>
      </w:r>
      <w:r>
        <w:rPr>
          <w:rFonts w:hint="eastAsia" w:ascii="宋体" w:hAnsi="宋体"/>
          <w:snapToGrid w:val="0"/>
          <w:color w:val="auto"/>
          <w:kern w:val="0"/>
          <w:sz w:val="24"/>
          <w:szCs w:val="24"/>
          <w:highlight w:val="none"/>
        </w:rPr>
        <w:t>比选文件，经详细研究，决定参加该比选项目的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w:t>
      </w:r>
    </w:p>
    <w:p>
      <w:pPr>
        <w:tabs>
          <w:tab w:val="left" w:pos="6300"/>
        </w:tabs>
        <w:autoSpaceDE w:val="0"/>
        <w:snapToGrid w:val="0"/>
        <w:spacing w:line="360" w:lineRule="auto"/>
        <w:ind w:right="-39" w:rightChars="-14" w:firstLine="57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1、愿意按照比选文件中的一切要求，以人民币小写：，人民币大写：的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总价承担和完成本项目。</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2、我方现提交的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r>
        <w:rPr>
          <w:rFonts w:hint="eastAsia" w:ascii="宋体" w:hAnsi="宋体"/>
          <w:snapToGrid w:val="0"/>
          <w:color w:val="auto"/>
          <w:kern w:val="0"/>
          <w:sz w:val="24"/>
          <w:szCs w:val="24"/>
          <w:highlight w:val="none"/>
        </w:rPr>
        <w:t>。</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3、如果我方</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4、我方愿意提供比选文件中要求的所有资料，并对其真实性负责。</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5、我方理解最低价格不是中选的唯一条件。</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截止日期后90天内。</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p>
    <w:p>
      <w:pPr>
        <w:tabs>
          <w:tab w:val="left" w:pos="6300"/>
        </w:tabs>
        <w:snapToGrid w:val="0"/>
        <w:spacing w:line="360" w:lineRule="auto"/>
        <w:ind w:right="-39" w:rightChars="-14"/>
        <w:rPr>
          <w:rFonts w:ascii="宋体" w:hAnsi="宋体"/>
          <w:snapToGrid w:val="0"/>
          <w:color w:val="auto"/>
          <w:kern w:val="0"/>
          <w:sz w:val="24"/>
          <w:szCs w:val="24"/>
          <w:highlight w:val="none"/>
        </w:rPr>
      </w:pP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地址：  </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电话：                           传真：</w:t>
      </w:r>
    </w:p>
    <w:p>
      <w:pPr>
        <w:tabs>
          <w:tab w:val="left" w:pos="6300"/>
        </w:tabs>
        <w:snapToGrid w:val="0"/>
        <w:spacing w:line="360" w:lineRule="auto"/>
        <w:ind w:right="-39"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网址：                         </w:t>
      </w:r>
    </w:p>
    <w:p>
      <w:pPr>
        <w:tabs>
          <w:tab w:val="left" w:pos="6300"/>
        </w:tabs>
        <w:snapToGrid w:val="0"/>
        <w:spacing w:line="360" w:lineRule="auto"/>
        <w:ind w:right="-39" w:rightChars="-14" w:firstLine="6540" w:firstLineChars="2725"/>
        <w:rPr>
          <w:rFonts w:ascii="宋体" w:hAnsi="宋体"/>
          <w:snapToGrid w:val="0"/>
          <w:color w:val="auto"/>
          <w:kern w:val="0"/>
          <w:sz w:val="24"/>
          <w:szCs w:val="24"/>
          <w:highlight w:val="none"/>
        </w:rPr>
      </w:pPr>
    </w:p>
    <w:p>
      <w:pPr>
        <w:tabs>
          <w:tab w:val="left" w:pos="6300"/>
        </w:tabs>
        <w:snapToGrid w:val="0"/>
        <w:spacing w:line="360" w:lineRule="auto"/>
        <w:ind w:right="-39" w:rightChars="-14" w:firstLine="5400" w:firstLineChars="22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年     月     日</w:t>
      </w:r>
    </w:p>
    <w:p>
      <w:pPr>
        <w:widowControl/>
        <w:spacing w:line="360" w:lineRule="auto"/>
        <w:jc w:val="left"/>
        <w:rPr>
          <w:rFonts w:ascii="宋体" w:hAnsi="宋体"/>
          <w:snapToGrid w:val="0"/>
          <w:color w:val="auto"/>
          <w:kern w:val="0"/>
          <w:sz w:val="24"/>
          <w:szCs w:val="24"/>
          <w:highlight w:val="none"/>
        </w:rPr>
      </w:pPr>
    </w:p>
    <w:p>
      <w:pPr>
        <w:tabs>
          <w:tab w:val="left" w:pos="6300"/>
        </w:tabs>
        <w:snapToGrid w:val="0"/>
        <w:spacing w:line="360" w:lineRule="auto"/>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pStyle w:val="4"/>
        <w:numPr>
          <w:ilvl w:val="0"/>
          <w:numId w:val="8"/>
        </w:numPr>
        <w:ind w:firstLineChars="0"/>
        <w:jc w:val="center"/>
        <w:rPr>
          <w:b w:val="0"/>
          <w:color w:val="auto"/>
          <w:kern w:val="0"/>
          <w:szCs w:val="28"/>
          <w:highlight w:val="none"/>
        </w:rPr>
      </w:pPr>
      <w:r>
        <w:rPr>
          <w:rFonts w:hint="eastAsia"/>
          <w:color w:val="auto"/>
          <w:kern w:val="0"/>
          <w:highlight w:val="none"/>
        </w:rPr>
        <w:br w:type="page"/>
      </w:r>
      <w:r>
        <w:rPr>
          <w:rFonts w:hint="eastAsia" w:cs="Cambria"/>
          <w:bCs w:val="0"/>
          <w:snapToGrid/>
          <w:color w:val="auto"/>
          <w:sz w:val="28"/>
          <w:szCs w:val="28"/>
          <w:highlight w:val="none"/>
        </w:rPr>
        <w:t>参选人基本情况介绍，资质证明等</w:t>
      </w:r>
    </w:p>
    <w:tbl>
      <w:tblPr>
        <w:tblStyle w:val="21"/>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参选人名称</w:t>
            </w:r>
          </w:p>
        </w:tc>
        <w:tc>
          <w:tcPr>
            <w:tcW w:w="7786" w:type="dxa"/>
            <w:gridSpan w:val="8"/>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注册地址</w:t>
            </w:r>
          </w:p>
        </w:tc>
        <w:tc>
          <w:tcPr>
            <w:tcW w:w="4132" w:type="dxa"/>
            <w:gridSpan w:val="4"/>
          </w:tcPr>
          <w:p>
            <w:pPr>
              <w:spacing w:line="360" w:lineRule="auto"/>
              <w:jc w:val="center"/>
              <w:rPr>
                <w:rFonts w:ascii="宋体" w:hAnsi="宋体"/>
                <w:color w:val="auto"/>
                <w:sz w:val="22"/>
                <w:szCs w:val="24"/>
                <w:highlight w:val="none"/>
              </w:rPr>
            </w:pPr>
          </w:p>
        </w:tc>
        <w:tc>
          <w:tcPr>
            <w:tcW w:w="1325"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邮政编码</w:t>
            </w:r>
          </w:p>
        </w:tc>
        <w:tc>
          <w:tcPr>
            <w:tcW w:w="2329" w:type="dxa"/>
            <w:gridSpan w:val="3"/>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联系方式</w:t>
            </w:r>
          </w:p>
        </w:tc>
        <w:tc>
          <w:tcPr>
            <w:tcW w:w="1077"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联系人</w:t>
            </w:r>
          </w:p>
        </w:tc>
        <w:tc>
          <w:tcPr>
            <w:tcW w:w="3055" w:type="dxa"/>
            <w:gridSpan w:val="3"/>
          </w:tcPr>
          <w:p>
            <w:pPr>
              <w:spacing w:line="360" w:lineRule="auto"/>
              <w:jc w:val="center"/>
              <w:rPr>
                <w:rFonts w:ascii="宋体" w:hAnsi="宋体"/>
                <w:color w:val="auto"/>
                <w:sz w:val="22"/>
                <w:szCs w:val="24"/>
                <w:highlight w:val="none"/>
              </w:rPr>
            </w:pPr>
          </w:p>
        </w:tc>
        <w:tc>
          <w:tcPr>
            <w:tcW w:w="1325"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电话</w:t>
            </w:r>
          </w:p>
        </w:tc>
        <w:tc>
          <w:tcPr>
            <w:tcW w:w="2329" w:type="dxa"/>
            <w:gridSpan w:val="3"/>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rPr>
                <w:rFonts w:ascii="宋体" w:hAnsi="宋体"/>
                <w:color w:val="auto"/>
                <w:highlight w:val="none"/>
              </w:rPr>
            </w:pPr>
          </w:p>
        </w:tc>
        <w:tc>
          <w:tcPr>
            <w:tcW w:w="1077"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传真</w:t>
            </w:r>
          </w:p>
        </w:tc>
        <w:tc>
          <w:tcPr>
            <w:tcW w:w="3055" w:type="dxa"/>
            <w:gridSpan w:val="3"/>
          </w:tcPr>
          <w:p>
            <w:pPr>
              <w:spacing w:line="360" w:lineRule="auto"/>
              <w:jc w:val="center"/>
              <w:rPr>
                <w:rFonts w:ascii="宋体" w:hAnsi="宋体"/>
                <w:color w:val="auto"/>
                <w:sz w:val="22"/>
                <w:szCs w:val="24"/>
                <w:highlight w:val="none"/>
              </w:rPr>
            </w:pPr>
          </w:p>
        </w:tc>
        <w:tc>
          <w:tcPr>
            <w:tcW w:w="1325"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网址</w:t>
            </w:r>
          </w:p>
        </w:tc>
        <w:tc>
          <w:tcPr>
            <w:tcW w:w="2329" w:type="dxa"/>
            <w:gridSpan w:val="3"/>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组织结构</w:t>
            </w:r>
          </w:p>
        </w:tc>
        <w:tc>
          <w:tcPr>
            <w:tcW w:w="7786" w:type="dxa"/>
            <w:gridSpan w:val="8"/>
            <w:vAlign w:val="center"/>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法定代表人</w:t>
            </w:r>
          </w:p>
        </w:tc>
        <w:tc>
          <w:tcPr>
            <w:tcW w:w="1077"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姓名</w:t>
            </w:r>
          </w:p>
        </w:tc>
        <w:tc>
          <w:tcPr>
            <w:tcW w:w="1803" w:type="dxa"/>
          </w:tcPr>
          <w:p>
            <w:pPr>
              <w:spacing w:line="360" w:lineRule="auto"/>
              <w:jc w:val="center"/>
              <w:rPr>
                <w:rFonts w:ascii="宋体" w:hAnsi="宋体"/>
                <w:color w:val="auto"/>
                <w:sz w:val="22"/>
                <w:szCs w:val="24"/>
                <w:highlight w:val="none"/>
              </w:rPr>
            </w:pPr>
          </w:p>
        </w:tc>
        <w:tc>
          <w:tcPr>
            <w:tcW w:w="1252" w:type="dxa"/>
            <w:gridSpan w:val="2"/>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技术职称</w:t>
            </w:r>
          </w:p>
        </w:tc>
        <w:tc>
          <w:tcPr>
            <w:tcW w:w="1501" w:type="dxa"/>
            <w:gridSpan w:val="2"/>
            <w:vAlign w:val="center"/>
          </w:tcPr>
          <w:p>
            <w:pPr>
              <w:spacing w:line="360" w:lineRule="auto"/>
              <w:jc w:val="center"/>
              <w:rPr>
                <w:rFonts w:ascii="宋体" w:hAnsi="宋体"/>
                <w:color w:val="auto"/>
                <w:sz w:val="22"/>
                <w:szCs w:val="24"/>
                <w:highlight w:val="none"/>
              </w:rPr>
            </w:pPr>
          </w:p>
        </w:tc>
        <w:tc>
          <w:tcPr>
            <w:tcW w:w="723"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电话</w:t>
            </w:r>
          </w:p>
        </w:tc>
        <w:tc>
          <w:tcPr>
            <w:tcW w:w="1430" w:type="dxa"/>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技术负责人</w:t>
            </w:r>
          </w:p>
        </w:tc>
        <w:tc>
          <w:tcPr>
            <w:tcW w:w="1077"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姓名</w:t>
            </w:r>
          </w:p>
        </w:tc>
        <w:tc>
          <w:tcPr>
            <w:tcW w:w="1803" w:type="dxa"/>
          </w:tcPr>
          <w:p>
            <w:pPr>
              <w:spacing w:line="360" w:lineRule="auto"/>
              <w:jc w:val="center"/>
              <w:rPr>
                <w:rFonts w:ascii="宋体" w:hAnsi="宋体"/>
                <w:color w:val="auto"/>
                <w:sz w:val="22"/>
                <w:szCs w:val="24"/>
                <w:highlight w:val="none"/>
              </w:rPr>
            </w:pPr>
          </w:p>
        </w:tc>
        <w:tc>
          <w:tcPr>
            <w:tcW w:w="1252" w:type="dxa"/>
            <w:gridSpan w:val="2"/>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技术职称</w:t>
            </w:r>
          </w:p>
        </w:tc>
        <w:tc>
          <w:tcPr>
            <w:tcW w:w="1501" w:type="dxa"/>
            <w:gridSpan w:val="2"/>
            <w:vAlign w:val="center"/>
          </w:tcPr>
          <w:p>
            <w:pPr>
              <w:spacing w:line="360" w:lineRule="auto"/>
              <w:jc w:val="center"/>
              <w:rPr>
                <w:rFonts w:ascii="宋体" w:hAnsi="宋体"/>
                <w:color w:val="auto"/>
                <w:sz w:val="22"/>
                <w:szCs w:val="24"/>
                <w:highlight w:val="none"/>
              </w:rPr>
            </w:pPr>
          </w:p>
        </w:tc>
        <w:tc>
          <w:tcPr>
            <w:tcW w:w="723"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电话</w:t>
            </w:r>
          </w:p>
        </w:tc>
        <w:tc>
          <w:tcPr>
            <w:tcW w:w="1430" w:type="dxa"/>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成立时间</w:t>
            </w:r>
          </w:p>
        </w:tc>
        <w:tc>
          <w:tcPr>
            <w:tcW w:w="2880" w:type="dxa"/>
            <w:gridSpan w:val="2"/>
          </w:tcPr>
          <w:p>
            <w:pPr>
              <w:spacing w:line="360" w:lineRule="auto"/>
              <w:jc w:val="center"/>
              <w:rPr>
                <w:rFonts w:ascii="宋体" w:hAnsi="宋体"/>
                <w:color w:val="auto"/>
                <w:sz w:val="22"/>
                <w:szCs w:val="24"/>
                <w:highlight w:val="none"/>
              </w:rPr>
            </w:pPr>
          </w:p>
        </w:tc>
        <w:tc>
          <w:tcPr>
            <w:tcW w:w="4906" w:type="dxa"/>
            <w:gridSpan w:val="6"/>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企业资质等级</w:t>
            </w:r>
          </w:p>
        </w:tc>
        <w:tc>
          <w:tcPr>
            <w:tcW w:w="2880" w:type="dxa"/>
            <w:gridSpan w:val="2"/>
          </w:tcPr>
          <w:p>
            <w:pPr>
              <w:spacing w:line="360" w:lineRule="auto"/>
              <w:jc w:val="center"/>
              <w:rPr>
                <w:rFonts w:ascii="宋体" w:hAnsi="宋体"/>
                <w:color w:val="auto"/>
                <w:sz w:val="22"/>
                <w:szCs w:val="24"/>
                <w:highlight w:val="none"/>
              </w:rPr>
            </w:pPr>
          </w:p>
        </w:tc>
        <w:tc>
          <w:tcPr>
            <w:tcW w:w="714" w:type="dxa"/>
            <w:vMerge w:val="restart"/>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其中</w:t>
            </w:r>
          </w:p>
        </w:tc>
        <w:tc>
          <w:tcPr>
            <w:tcW w:w="2039" w:type="dxa"/>
            <w:gridSpan w:val="3"/>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项目经理</w:t>
            </w:r>
          </w:p>
        </w:tc>
        <w:tc>
          <w:tcPr>
            <w:tcW w:w="2153" w:type="dxa"/>
            <w:gridSpan w:val="2"/>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营业执照号</w:t>
            </w:r>
          </w:p>
        </w:tc>
        <w:tc>
          <w:tcPr>
            <w:tcW w:w="2880" w:type="dxa"/>
            <w:gridSpan w:val="2"/>
          </w:tcPr>
          <w:p>
            <w:pPr>
              <w:spacing w:line="360" w:lineRule="auto"/>
              <w:jc w:val="center"/>
              <w:rPr>
                <w:rFonts w:ascii="宋体" w:hAnsi="宋体"/>
                <w:color w:val="auto"/>
                <w:sz w:val="22"/>
                <w:szCs w:val="24"/>
                <w:highlight w:val="none"/>
              </w:rPr>
            </w:pPr>
          </w:p>
        </w:tc>
        <w:tc>
          <w:tcPr>
            <w:tcW w:w="714" w:type="dxa"/>
            <w:vMerge w:val="continue"/>
          </w:tcPr>
          <w:p>
            <w:pPr>
              <w:rPr>
                <w:rFonts w:ascii="宋体" w:hAnsi="宋体"/>
                <w:color w:val="auto"/>
                <w:highlight w:val="none"/>
              </w:rPr>
            </w:pPr>
          </w:p>
        </w:tc>
        <w:tc>
          <w:tcPr>
            <w:tcW w:w="2039" w:type="dxa"/>
            <w:gridSpan w:val="3"/>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高级职称人员</w:t>
            </w:r>
          </w:p>
        </w:tc>
        <w:tc>
          <w:tcPr>
            <w:tcW w:w="2153" w:type="dxa"/>
            <w:gridSpan w:val="2"/>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注册资金</w:t>
            </w:r>
          </w:p>
        </w:tc>
        <w:tc>
          <w:tcPr>
            <w:tcW w:w="2880" w:type="dxa"/>
            <w:gridSpan w:val="2"/>
          </w:tcPr>
          <w:p>
            <w:pPr>
              <w:spacing w:line="360" w:lineRule="auto"/>
              <w:jc w:val="center"/>
              <w:rPr>
                <w:rFonts w:ascii="宋体" w:hAnsi="宋体"/>
                <w:color w:val="auto"/>
                <w:sz w:val="22"/>
                <w:szCs w:val="24"/>
                <w:highlight w:val="none"/>
              </w:rPr>
            </w:pPr>
          </w:p>
        </w:tc>
        <w:tc>
          <w:tcPr>
            <w:tcW w:w="714" w:type="dxa"/>
            <w:vMerge w:val="continue"/>
          </w:tcPr>
          <w:p>
            <w:pPr>
              <w:rPr>
                <w:rFonts w:ascii="宋体" w:hAnsi="宋体"/>
                <w:color w:val="auto"/>
                <w:highlight w:val="none"/>
              </w:rPr>
            </w:pPr>
          </w:p>
        </w:tc>
        <w:tc>
          <w:tcPr>
            <w:tcW w:w="2039" w:type="dxa"/>
            <w:gridSpan w:val="3"/>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中级职称人员</w:t>
            </w:r>
          </w:p>
        </w:tc>
        <w:tc>
          <w:tcPr>
            <w:tcW w:w="2153" w:type="dxa"/>
            <w:gridSpan w:val="2"/>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开户银行</w:t>
            </w:r>
          </w:p>
        </w:tc>
        <w:tc>
          <w:tcPr>
            <w:tcW w:w="2880" w:type="dxa"/>
            <w:gridSpan w:val="2"/>
          </w:tcPr>
          <w:p>
            <w:pPr>
              <w:spacing w:line="360" w:lineRule="auto"/>
              <w:jc w:val="center"/>
              <w:rPr>
                <w:rFonts w:ascii="宋体" w:hAnsi="宋体"/>
                <w:color w:val="auto"/>
                <w:sz w:val="22"/>
                <w:szCs w:val="24"/>
                <w:highlight w:val="none"/>
              </w:rPr>
            </w:pPr>
          </w:p>
        </w:tc>
        <w:tc>
          <w:tcPr>
            <w:tcW w:w="714" w:type="dxa"/>
            <w:vMerge w:val="continue"/>
          </w:tcPr>
          <w:p>
            <w:pPr>
              <w:rPr>
                <w:rFonts w:ascii="宋体" w:hAnsi="宋体"/>
                <w:color w:val="auto"/>
                <w:highlight w:val="none"/>
              </w:rPr>
            </w:pPr>
          </w:p>
        </w:tc>
        <w:tc>
          <w:tcPr>
            <w:tcW w:w="2039" w:type="dxa"/>
            <w:gridSpan w:val="3"/>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初级职称人员</w:t>
            </w:r>
          </w:p>
        </w:tc>
        <w:tc>
          <w:tcPr>
            <w:tcW w:w="2153" w:type="dxa"/>
            <w:gridSpan w:val="2"/>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账号</w:t>
            </w:r>
          </w:p>
        </w:tc>
        <w:tc>
          <w:tcPr>
            <w:tcW w:w="2880" w:type="dxa"/>
            <w:gridSpan w:val="2"/>
          </w:tcPr>
          <w:p>
            <w:pPr>
              <w:spacing w:line="360" w:lineRule="auto"/>
              <w:jc w:val="center"/>
              <w:rPr>
                <w:rFonts w:ascii="宋体" w:hAnsi="宋体"/>
                <w:color w:val="auto"/>
                <w:sz w:val="22"/>
                <w:szCs w:val="24"/>
                <w:highlight w:val="none"/>
              </w:rPr>
            </w:pPr>
          </w:p>
        </w:tc>
        <w:tc>
          <w:tcPr>
            <w:tcW w:w="714" w:type="dxa"/>
            <w:vMerge w:val="continue"/>
          </w:tcPr>
          <w:p>
            <w:pPr>
              <w:rPr>
                <w:rFonts w:ascii="宋体" w:hAnsi="宋体"/>
                <w:color w:val="auto"/>
                <w:highlight w:val="none"/>
              </w:rPr>
            </w:pPr>
          </w:p>
        </w:tc>
        <w:tc>
          <w:tcPr>
            <w:tcW w:w="2039" w:type="dxa"/>
            <w:gridSpan w:val="3"/>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技工</w:t>
            </w:r>
          </w:p>
        </w:tc>
        <w:tc>
          <w:tcPr>
            <w:tcW w:w="2153" w:type="dxa"/>
            <w:gridSpan w:val="2"/>
          </w:tcPr>
          <w:p>
            <w:pPr>
              <w:spacing w:line="360" w:lineRule="auto"/>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经营范围</w:t>
            </w:r>
          </w:p>
        </w:tc>
        <w:tc>
          <w:tcPr>
            <w:tcW w:w="7786" w:type="dxa"/>
            <w:gridSpan w:val="8"/>
          </w:tcPr>
          <w:p>
            <w:pPr>
              <w:spacing w:line="360" w:lineRule="auto"/>
              <w:ind w:firstLine="440" w:firstLineChars="200"/>
              <w:jc w:val="center"/>
              <w:rPr>
                <w:rFonts w:ascii="宋体" w:hAnsi="宋体"/>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jc w:val="center"/>
              <w:rPr>
                <w:rFonts w:ascii="宋体" w:hAnsi="宋体"/>
                <w:color w:val="auto"/>
                <w:sz w:val="22"/>
                <w:szCs w:val="24"/>
                <w:highlight w:val="none"/>
              </w:rPr>
            </w:pPr>
            <w:r>
              <w:rPr>
                <w:rFonts w:hint="eastAsia" w:ascii="宋体" w:hAnsi="宋体"/>
                <w:color w:val="auto"/>
                <w:sz w:val="22"/>
                <w:szCs w:val="24"/>
                <w:highlight w:val="none"/>
              </w:rPr>
              <w:t>备注</w:t>
            </w:r>
          </w:p>
        </w:tc>
        <w:tc>
          <w:tcPr>
            <w:tcW w:w="7786" w:type="dxa"/>
            <w:gridSpan w:val="8"/>
          </w:tcPr>
          <w:p>
            <w:pPr>
              <w:spacing w:line="360" w:lineRule="auto"/>
              <w:ind w:firstLine="440" w:firstLineChars="200"/>
              <w:jc w:val="center"/>
              <w:rPr>
                <w:rFonts w:ascii="宋体" w:hAnsi="宋体"/>
                <w:color w:val="auto"/>
                <w:sz w:val="22"/>
                <w:szCs w:val="24"/>
                <w:highlight w:val="none"/>
              </w:rPr>
            </w:pPr>
          </w:p>
        </w:tc>
      </w:tr>
    </w:tbl>
    <w:p>
      <w:pPr>
        <w:widowControl/>
        <w:spacing w:line="360" w:lineRule="auto"/>
        <w:jc w:val="left"/>
        <w:rPr>
          <w:rFonts w:ascii="宋体" w:hAnsi="宋体"/>
          <w:b/>
          <w:snapToGrid w:val="0"/>
          <w:color w:val="auto"/>
          <w:kern w:val="0"/>
          <w:szCs w:val="28"/>
          <w:highlight w:val="none"/>
        </w:rPr>
      </w:pPr>
      <w:r>
        <w:rPr>
          <w:rFonts w:hint="eastAsia" w:ascii="宋体" w:hAnsi="宋体"/>
          <w:color w:val="auto"/>
          <w:sz w:val="20"/>
          <w:szCs w:val="21"/>
          <w:highlight w:val="none"/>
        </w:rPr>
        <w:t>注：附营业执照（副本）、资质证明复印件等。</w:t>
      </w:r>
    </w:p>
    <w:p>
      <w:pPr>
        <w:pStyle w:val="4"/>
        <w:numPr>
          <w:ilvl w:val="0"/>
          <w:numId w:val="8"/>
        </w:numPr>
        <w:ind w:firstLineChars="0"/>
        <w:jc w:val="center"/>
        <w:rPr>
          <w:b w:val="0"/>
          <w:color w:val="auto"/>
          <w:kern w:val="0"/>
          <w:szCs w:val="28"/>
          <w:highlight w:val="none"/>
        </w:rPr>
      </w:pPr>
      <w:r>
        <w:rPr>
          <w:rFonts w:hint="eastAsia"/>
          <w:color w:val="auto"/>
          <w:kern w:val="0"/>
          <w:szCs w:val="28"/>
          <w:highlight w:val="none"/>
        </w:rPr>
        <w:br w:type="page"/>
      </w:r>
      <w:bookmarkStart w:id="109" w:name="_Toc472780356"/>
      <w:bookmarkStart w:id="110" w:name="_Toc478053903"/>
      <w:bookmarkStart w:id="111" w:name="_Toc378234584"/>
      <w:bookmarkStart w:id="112" w:name="_Toc378234770"/>
      <w:bookmarkStart w:id="113" w:name="_Toc478054435"/>
      <w:r>
        <w:rPr>
          <w:rFonts w:hint="eastAsia" w:cs="Cambria"/>
          <w:bCs w:val="0"/>
          <w:snapToGrid/>
          <w:color w:val="auto"/>
          <w:sz w:val="28"/>
          <w:szCs w:val="28"/>
          <w:highlight w:val="none"/>
        </w:rPr>
        <w:t>法定代表人身份证明及授权委托书</w:t>
      </w:r>
      <w:bookmarkEnd w:id="109"/>
      <w:bookmarkEnd w:id="110"/>
      <w:bookmarkEnd w:id="111"/>
      <w:bookmarkEnd w:id="112"/>
      <w:bookmarkEnd w:id="113"/>
    </w:p>
    <w:p>
      <w:pPr>
        <w:jc w:val="center"/>
        <w:rPr>
          <w:b/>
          <w:bCs/>
          <w:snapToGrid w:val="0"/>
          <w:color w:val="auto"/>
          <w:highlight w:val="none"/>
        </w:rPr>
      </w:pPr>
      <w:r>
        <w:rPr>
          <w:rFonts w:hint="eastAsia"/>
          <w:b/>
          <w:bCs/>
          <w:snapToGrid w:val="0"/>
          <w:color w:val="auto"/>
          <w:highlight w:val="none"/>
        </w:rPr>
        <w:t>法定代表人身份证明书</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项目名称：</w:t>
      </w:r>
      <w:r>
        <w:rPr>
          <w:rFonts w:hint="eastAsia" w:ascii="宋体" w:hAnsi="宋体"/>
          <w:snapToGrid w:val="0"/>
          <w:color w:val="auto"/>
          <w:kern w:val="0"/>
          <w:sz w:val="24"/>
          <w:highlight w:val="none"/>
          <w:u w:val="single"/>
        </w:rPr>
        <w:t>____________________</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致：</w:t>
      </w:r>
      <w:r>
        <w:rPr>
          <w:rFonts w:hint="eastAsia" w:ascii="宋体" w:hAnsi="宋体"/>
          <w:snapToGrid w:val="0"/>
          <w:color w:val="auto"/>
          <w:kern w:val="0"/>
          <w:sz w:val="24"/>
          <w:highlight w:val="none"/>
          <w:u w:val="single"/>
        </w:rPr>
        <w:t xml:space="preserve"> 重庆三峡银行股份有限公司  </w:t>
      </w:r>
      <w:r>
        <w:rPr>
          <w:rFonts w:hint="eastAsia" w:ascii="宋体" w:hAnsi="宋体"/>
          <w:snapToGrid w:val="0"/>
          <w:color w:val="auto"/>
          <w:kern w:val="0"/>
          <w:sz w:val="24"/>
          <w:highlight w:val="none"/>
        </w:rPr>
        <w:t>：</w:t>
      </w: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（法定代表人姓名）在（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人名称）任（职务名称）职务，是（</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人名称）的法定代表人。</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特此证明。</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人公章）</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年   月   日</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（附：法定代表人身份证正反面复印件）</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jc w:val="center"/>
        <w:rPr>
          <w:b/>
          <w:bCs/>
          <w:snapToGrid w:val="0"/>
          <w:color w:val="auto"/>
          <w:kern w:val="0"/>
          <w:sz w:val="24"/>
          <w:highlight w:val="none"/>
        </w:rPr>
      </w:pPr>
      <w:r>
        <w:rPr>
          <w:rFonts w:hint="eastAsia"/>
          <w:snapToGrid w:val="0"/>
          <w:color w:val="auto"/>
          <w:kern w:val="0"/>
          <w:highlight w:val="none"/>
        </w:rPr>
        <w:br w:type="column"/>
      </w:r>
      <w:r>
        <w:rPr>
          <w:rFonts w:hint="eastAsia"/>
          <w:b/>
          <w:bCs/>
          <w:snapToGrid w:val="0"/>
          <w:color w:val="auto"/>
          <w:highlight w:val="none"/>
        </w:rPr>
        <w:t>法定代表人授权委托书</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szCs w:val="28"/>
          <w:highlight w:val="none"/>
        </w:rPr>
        <w:t>项目名称</w:t>
      </w:r>
      <w:r>
        <w:rPr>
          <w:rFonts w:hint="eastAsia" w:ascii="宋体" w:hAnsi="宋体"/>
          <w:snapToGrid w:val="0"/>
          <w:color w:val="auto"/>
          <w:kern w:val="0"/>
          <w:sz w:val="24"/>
          <w:highlight w:val="none"/>
        </w:rPr>
        <w:t>：</w:t>
      </w:r>
      <w:r>
        <w:rPr>
          <w:rFonts w:hint="eastAsia" w:ascii="宋体" w:hAnsi="宋体"/>
          <w:snapToGrid w:val="0"/>
          <w:color w:val="auto"/>
          <w:kern w:val="0"/>
          <w:sz w:val="24"/>
          <w:szCs w:val="24"/>
          <w:highlight w:val="none"/>
          <w:u w:val="single"/>
        </w:rPr>
        <w:t>___________________</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致：</w:t>
      </w:r>
      <w:r>
        <w:rPr>
          <w:rFonts w:hint="eastAsia" w:ascii="宋体" w:hAnsi="宋体"/>
          <w:snapToGrid w:val="0"/>
          <w:color w:val="auto"/>
          <w:kern w:val="0"/>
          <w:sz w:val="24"/>
          <w:highlight w:val="none"/>
          <w:u w:val="single"/>
        </w:rPr>
        <w:t>重庆三峡银行股份有限公司</w:t>
      </w:r>
      <w:r>
        <w:rPr>
          <w:rFonts w:hint="eastAsia" w:ascii="宋体" w:hAnsi="宋体"/>
          <w:snapToGrid w:val="0"/>
          <w:color w:val="auto"/>
          <w:kern w:val="0"/>
          <w:sz w:val="24"/>
          <w:highlight w:val="none"/>
        </w:rPr>
        <w:t>：</w:t>
      </w:r>
    </w:p>
    <w:p>
      <w:pPr>
        <w:tabs>
          <w:tab w:val="left" w:pos="6300"/>
        </w:tabs>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人法定代表人名称）是（</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人名称）的法定代表人，特授权（被授权人姓名及身份证代码）代表我单位全权办理上述项目的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、谈判、签约等具体工作，并签署全部有关文件、协议及合同。</w:t>
      </w:r>
    </w:p>
    <w:p>
      <w:pPr>
        <w:tabs>
          <w:tab w:val="left" w:pos="6300"/>
        </w:tabs>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我单位对被授权人的签字负全部责任。</w:t>
      </w:r>
    </w:p>
    <w:p>
      <w:pPr>
        <w:tabs>
          <w:tab w:val="left" w:pos="6300"/>
        </w:tabs>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被授权人：                                 </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人法定代表人：</w:t>
      </w:r>
    </w:p>
    <w:p>
      <w:pPr>
        <w:tabs>
          <w:tab w:val="left" w:pos="6300"/>
        </w:tabs>
        <w:snapToGrid w:val="0"/>
        <w:spacing w:line="360" w:lineRule="auto"/>
        <w:ind w:firstLine="570"/>
        <w:rPr>
          <w:rFonts w:ascii="宋体" w:hAnsi="宋体"/>
          <w:snapToGrid w:val="0"/>
          <w:color w:val="auto"/>
          <w:kern w:val="0"/>
          <w:sz w:val="24"/>
          <w:szCs w:val="28"/>
          <w:highlight w:val="none"/>
        </w:rPr>
      </w:pPr>
      <w:r>
        <w:rPr>
          <w:rFonts w:hint="eastAsia" w:ascii="宋体" w:hAnsi="宋体"/>
          <w:snapToGrid w:val="0"/>
          <w:color w:val="auto"/>
          <w:kern w:val="0"/>
          <w:sz w:val="24"/>
          <w:szCs w:val="28"/>
          <w:highlight w:val="none"/>
        </w:rPr>
        <w:t>（签字或盖章）                                （签字或盖章）</w:t>
      </w:r>
    </w:p>
    <w:p>
      <w:pPr>
        <w:tabs>
          <w:tab w:val="left" w:pos="6300"/>
        </w:tabs>
        <w:snapToGrid w:val="0"/>
        <w:spacing w:line="360" w:lineRule="auto"/>
        <w:ind w:firstLine="570"/>
        <w:rPr>
          <w:rFonts w:ascii="宋体" w:hAnsi="宋体"/>
          <w:snapToGrid w:val="0"/>
          <w:color w:val="auto"/>
          <w:kern w:val="0"/>
          <w:sz w:val="24"/>
          <w:szCs w:val="28"/>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（附：被授权人身份证正反面复印件）</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right="480" w:firstLine="570"/>
        <w:jc w:val="right"/>
        <w:rPr>
          <w:rFonts w:ascii="宋体" w:hAnsi="宋体"/>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人公章）</w:t>
      </w:r>
    </w:p>
    <w:p>
      <w:pPr>
        <w:tabs>
          <w:tab w:val="left" w:pos="6300"/>
        </w:tabs>
        <w:snapToGrid w:val="0"/>
        <w:spacing w:line="360" w:lineRule="auto"/>
        <w:ind w:right="480" w:firstLine="570"/>
        <w:jc w:val="right"/>
        <w:rPr>
          <w:rFonts w:ascii="宋体" w:hAnsi="宋体"/>
          <w:snapToGrid w:val="0"/>
          <w:color w:val="auto"/>
          <w:kern w:val="0"/>
          <w:sz w:val="24"/>
          <w:highlight w:val="none"/>
        </w:rPr>
      </w:pPr>
      <w:r>
        <w:rPr>
          <w:rFonts w:hint="eastAsia" w:ascii="宋体" w:hAnsi="宋体"/>
          <w:snapToGrid w:val="0"/>
          <w:color w:val="auto"/>
          <w:kern w:val="0"/>
          <w:sz w:val="24"/>
          <w:highlight w:val="none"/>
        </w:rPr>
        <w:t>年   月   日</w:t>
      </w:r>
    </w:p>
    <w:p>
      <w:pPr>
        <w:widowControl/>
        <w:spacing w:line="360" w:lineRule="auto"/>
        <w:jc w:val="left"/>
        <w:rPr>
          <w:rFonts w:ascii="宋体" w:hAnsi="宋体"/>
          <w:snapToGrid w:val="0"/>
          <w:color w:val="auto"/>
          <w:kern w:val="0"/>
          <w:sz w:val="24"/>
          <w:szCs w:val="24"/>
          <w:highlight w:val="none"/>
        </w:rPr>
      </w:pPr>
    </w:p>
    <w:p>
      <w:pPr>
        <w:pStyle w:val="4"/>
        <w:numPr>
          <w:ilvl w:val="0"/>
          <w:numId w:val="8"/>
        </w:numPr>
        <w:ind w:firstLineChars="0"/>
        <w:jc w:val="center"/>
        <w:rPr>
          <w:color w:val="auto"/>
          <w:kern w:val="0"/>
          <w:highlight w:val="none"/>
        </w:rPr>
      </w:pPr>
      <w:r>
        <w:rPr>
          <w:rFonts w:hint="eastAsia"/>
          <w:color w:val="auto"/>
          <w:kern w:val="0"/>
          <w:highlight w:val="none"/>
        </w:rPr>
        <w:br w:type="page"/>
      </w:r>
      <w:r>
        <w:rPr>
          <w:rFonts w:hint="eastAsia" w:cs="Cambria"/>
          <w:bCs w:val="0"/>
          <w:snapToGrid/>
          <w:color w:val="auto"/>
          <w:sz w:val="28"/>
          <w:szCs w:val="28"/>
          <w:highlight w:val="none"/>
        </w:rPr>
        <w:t>报价一览表</w:t>
      </w:r>
    </w:p>
    <w:p>
      <w:pPr>
        <w:tabs>
          <w:tab w:val="left" w:pos="6300"/>
        </w:tabs>
        <w:snapToGrid w:val="0"/>
        <w:spacing w:line="360" w:lineRule="auto"/>
        <w:jc w:val="center"/>
        <w:rPr>
          <w:rFonts w:ascii="宋体" w:hAnsi="宋体"/>
          <w:b/>
          <w:snapToGrid w:val="0"/>
          <w:color w:val="auto"/>
          <w:kern w:val="0"/>
          <w:sz w:val="36"/>
          <w:szCs w:val="28"/>
          <w:highlight w:val="none"/>
        </w:rPr>
      </w:pPr>
    </w:p>
    <w:tbl>
      <w:tblPr>
        <w:tblStyle w:val="21"/>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14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比选项目名称</w:t>
            </w:r>
          </w:p>
        </w:tc>
        <w:tc>
          <w:tcPr>
            <w:tcW w:w="21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mbria"/>
                <w:color w:val="auto"/>
                <w:sz w:val="21"/>
                <w:szCs w:val="21"/>
                <w:highlight w:val="none"/>
              </w:rPr>
            </w:pPr>
            <w:r>
              <w:rPr>
                <w:rFonts w:hint="eastAsia" w:ascii="宋体" w:hAnsi="宋体"/>
                <w:snapToGrid w:val="0"/>
                <w:color w:val="auto"/>
                <w:sz w:val="24"/>
                <w:szCs w:val="24"/>
                <w:highlight w:val="none"/>
              </w:rPr>
              <w:t>参选</w:t>
            </w:r>
            <w:r>
              <w:rPr>
                <w:rFonts w:hint="eastAsia" w:ascii="宋体" w:hAnsi="宋体"/>
                <w:color w:val="auto"/>
                <w:sz w:val="24"/>
                <w:szCs w:val="24"/>
                <w:highlight w:val="none"/>
              </w:rPr>
              <w:t>总价（含税）</w:t>
            </w:r>
          </w:p>
        </w:tc>
        <w:tc>
          <w:tcPr>
            <w:tcW w:w="4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lang w:val="en-US" w:eastAsia="zh-CN"/>
              </w:rPr>
              <w:t>保障</w:t>
            </w:r>
            <w:r>
              <w:rPr>
                <w:rFonts w:hint="eastAsia" w:ascii="宋体" w:hAnsi="宋体"/>
                <w:color w:val="auto"/>
                <w:sz w:val="24"/>
                <w:szCs w:val="24"/>
                <w:highlight w:val="none"/>
              </w:rPr>
              <w:t>服务时限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color w:val="auto"/>
                <w:kern w:val="0"/>
                <w:sz w:val="24"/>
                <w:szCs w:val="24"/>
                <w:highlight w:val="none"/>
              </w:rPr>
            </w:pPr>
          </w:p>
        </w:tc>
        <w:tc>
          <w:tcPr>
            <w:tcW w:w="214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小写：</w:t>
            </w:r>
          </w:p>
        </w:tc>
        <w:tc>
          <w:tcPr>
            <w:tcW w:w="42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8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大写：人民币</w:t>
            </w:r>
            <w:r>
              <w:rPr>
                <w:rFonts w:hint="eastAsia" w:ascii="宋体" w:hAnsi="宋体"/>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3"/>
            <w:tcBorders>
              <w:top w:val="single" w:color="auto" w:sz="4" w:space="0"/>
              <w:left w:val="single" w:color="auto" w:sz="4" w:space="0"/>
              <w:bottom w:val="single" w:color="auto" w:sz="4" w:space="0"/>
              <w:right w:val="single" w:color="auto" w:sz="4" w:space="0"/>
            </w:tcBorders>
          </w:tcPr>
          <w:p>
            <w:pPr>
              <w:pStyle w:val="12"/>
              <w:spacing w:line="360" w:lineRule="auto"/>
              <w:rPr>
                <w:rFonts w:ascii="宋体" w:hAnsi="宋体"/>
                <w:snapToGrid w:val="0"/>
                <w:color w:val="auto"/>
                <w:kern w:val="0"/>
                <w:sz w:val="24"/>
                <w:szCs w:val="24"/>
                <w:highlight w:val="none"/>
              </w:rPr>
            </w:pPr>
          </w:p>
          <w:p>
            <w:pPr>
              <w:pStyle w:val="12"/>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备注：</w:t>
            </w:r>
          </w:p>
        </w:tc>
      </w:tr>
    </w:tbl>
    <w:p>
      <w:pPr>
        <w:pStyle w:val="12"/>
        <w:spacing w:line="360" w:lineRule="auto"/>
        <w:rPr>
          <w:rFonts w:ascii="宋体" w:hAnsi="宋体"/>
          <w:color w:val="auto"/>
          <w:sz w:val="24"/>
          <w:szCs w:val="28"/>
          <w:highlight w:val="none"/>
        </w:rPr>
      </w:pPr>
      <w:r>
        <w:rPr>
          <w:rFonts w:hint="eastAsia" w:ascii="宋体" w:hAnsi="宋体"/>
          <w:color w:val="auto"/>
          <w:sz w:val="24"/>
          <w:szCs w:val="28"/>
          <w:highlight w:val="none"/>
        </w:rPr>
        <w:t>注：若含有多种税率，请注明各自金额比重，否则统一按低税率核算价格得分。若遇国家税率调整，则保持不含税价不变，重新计算含税价格。</w:t>
      </w:r>
    </w:p>
    <w:p>
      <w:pPr>
        <w:spacing w:line="360" w:lineRule="auto"/>
        <w:ind w:right="-39" w:rightChars="-14"/>
        <w:rPr>
          <w:rFonts w:ascii="宋体" w:hAnsi="宋体"/>
          <w:color w:val="auto"/>
          <w:sz w:val="24"/>
          <w:szCs w:val="28"/>
          <w:highlight w:val="none"/>
        </w:rPr>
      </w:pPr>
    </w:p>
    <w:p>
      <w:pPr>
        <w:spacing w:line="360" w:lineRule="auto"/>
        <w:ind w:right="-39" w:rightChars="-14"/>
        <w:rPr>
          <w:rFonts w:ascii="宋体" w:hAnsi="宋体"/>
          <w:snapToGrid w:val="0"/>
          <w:color w:val="auto"/>
          <w:kern w:val="0"/>
          <w:sz w:val="24"/>
          <w:szCs w:val="24"/>
          <w:highlight w:val="none"/>
        </w:rPr>
      </w:pPr>
      <w:r>
        <w:rPr>
          <w:rFonts w:hint="eastAsia" w:ascii="宋体" w:hAnsi="宋体" w:cs="等线 Light"/>
          <w:snapToGrid w:val="0"/>
          <w:color w:val="auto"/>
          <w:kern w:val="0"/>
          <w:sz w:val="24"/>
          <w:szCs w:val="24"/>
          <w:highlight w:val="none"/>
        </w:rPr>
        <w:t>参选</w:t>
      </w:r>
      <w:r>
        <w:rPr>
          <w:rFonts w:hint="eastAsia" w:ascii="宋体" w:hAnsi="宋体"/>
          <w:snapToGrid w:val="0"/>
          <w:color w:val="auto"/>
          <w:kern w:val="0"/>
          <w:sz w:val="24"/>
          <w:szCs w:val="24"/>
          <w:highlight w:val="none"/>
        </w:rPr>
        <w:t>人：                            法人授权代表：</w:t>
      </w:r>
    </w:p>
    <w:p>
      <w:pPr>
        <w:spacing w:line="360" w:lineRule="auto"/>
        <w:ind w:right="-39"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（公章）                               （签章）</w:t>
      </w:r>
    </w:p>
    <w:p>
      <w:pPr>
        <w:spacing w:line="360" w:lineRule="auto"/>
        <w:ind w:right="-39" w:rightChars="-14"/>
        <w:jc w:val="righ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年     月     日</w:t>
      </w:r>
    </w:p>
    <w:p>
      <w:pPr>
        <w:snapToGrid w:val="0"/>
        <w:spacing w:line="360" w:lineRule="auto"/>
        <w:rPr>
          <w:rFonts w:ascii="宋体" w:hAnsi="宋体"/>
          <w:snapToGrid w:val="0"/>
          <w:color w:val="auto"/>
          <w:kern w:val="0"/>
          <w:sz w:val="24"/>
          <w:szCs w:val="24"/>
          <w:highlight w:val="none"/>
        </w:rPr>
      </w:pPr>
    </w:p>
    <w:p>
      <w:pPr>
        <w:snapToGrid w:val="0"/>
        <w:spacing w:line="360" w:lineRule="auto"/>
        <w:rPr>
          <w:rFonts w:ascii="宋体" w:hAnsi="宋体"/>
          <w:snapToGrid w:val="0"/>
          <w:color w:val="auto"/>
          <w:kern w:val="0"/>
          <w:sz w:val="24"/>
          <w:szCs w:val="24"/>
          <w:highlight w:val="none"/>
        </w:rPr>
      </w:pPr>
    </w:p>
    <w:p>
      <w:pPr>
        <w:snapToGrid w:val="0"/>
        <w:spacing w:line="360" w:lineRule="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有关说明：</w:t>
      </w:r>
    </w:p>
    <w:p>
      <w:pPr>
        <w:snapToGrid w:val="0"/>
        <w:spacing w:line="360" w:lineRule="auto"/>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报价一览表在开标大会上当众宣读，务必填写清楚，准确无误。表格可扩展。</w:t>
      </w:r>
    </w:p>
    <w:p>
      <w:pPr>
        <w:tabs>
          <w:tab w:val="left" w:pos="6300"/>
        </w:tabs>
        <w:snapToGrid w:val="0"/>
        <w:spacing w:line="360" w:lineRule="auto"/>
        <w:jc w:val="center"/>
        <w:rPr>
          <w:rFonts w:ascii="宋体" w:hAnsi="宋体"/>
          <w:b/>
          <w:snapToGrid w:val="0"/>
          <w:color w:val="auto"/>
          <w:kern w:val="0"/>
          <w:sz w:val="24"/>
          <w:szCs w:val="24"/>
          <w:highlight w:val="none"/>
        </w:rPr>
      </w:pPr>
      <w:r>
        <w:rPr>
          <w:rFonts w:hint="eastAsia" w:ascii="宋体" w:hAnsi="宋体"/>
          <w:snapToGrid w:val="0"/>
          <w:color w:val="auto"/>
          <w:kern w:val="0"/>
          <w:szCs w:val="24"/>
          <w:highlight w:val="none"/>
        </w:rPr>
        <w:br w:type="page"/>
      </w:r>
    </w:p>
    <w:p>
      <w:pPr>
        <w:pStyle w:val="4"/>
        <w:numPr>
          <w:ilvl w:val="0"/>
          <w:numId w:val="8"/>
        </w:numPr>
        <w:ind w:firstLineChars="0"/>
        <w:jc w:val="center"/>
        <w:rPr>
          <w:rFonts w:cs="Cambria"/>
          <w:bCs w:val="0"/>
          <w:snapToGrid/>
          <w:color w:val="auto"/>
          <w:sz w:val="28"/>
          <w:szCs w:val="28"/>
          <w:highlight w:val="none"/>
        </w:rPr>
      </w:pPr>
      <w:r>
        <w:rPr>
          <w:rFonts w:hint="eastAsia" w:cs="Cambria"/>
          <w:bCs w:val="0"/>
          <w:snapToGrid/>
          <w:color w:val="auto"/>
          <w:sz w:val="28"/>
          <w:szCs w:val="28"/>
          <w:highlight w:val="none"/>
        </w:rPr>
        <w:t>分项报价明细表</w:t>
      </w:r>
    </w:p>
    <w:p>
      <w:pPr>
        <w:jc w:val="center"/>
        <w:rPr>
          <w:rFonts w:ascii="宋体" w:hAnsi="宋体" w:cs="等线 Light"/>
          <w:snapToGrid w:val="0"/>
          <w:color w:val="auto"/>
          <w:kern w:val="0"/>
          <w:sz w:val="24"/>
          <w:szCs w:val="24"/>
          <w:highlight w:val="none"/>
        </w:rPr>
      </w:pPr>
      <w:r>
        <w:rPr>
          <w:rFonts w:hint="eastAsia" w:ascii="宋体" w:hAnsi="宋体" w:cs="等线 Light"/>
          <w:snapToGrid w:val="0"/>
          <w:color w:val="auto"/>
          <w:kern w:val="0"/>
          <w:sz w:val="24"/>
          <w:szCs w:val="24"/>
          <w:highlight w:val="none"/>
        </w:rPr>
        <w:t>(自定义表格形式)</w:t>
      </w:r>
    </w:p>
    <w:p>
      <w:pPr>
        <w:rPr>
          <w:color w:val="auto"/>
          <w:highlight w:val="none"/>
        </w:rPr>
      </w:pPr>
    </w:p>
    <w:p>
      <w:pPr>
        <w:widowControl/>
        <w:jc w:val="left"/>
        <w:rPr>
          <w:color w:val="auto"/>
          <w:highlight w:val="none"/>
        </w:rPr>
      </w:pPr>
      <w:r>
        <w:rPr>
          <w:rFonts w:hint="eastAsia"/>
          <w:color w:val="auto"/>
          <w:highlight w:val="none"/>
        </w:rPr>
        <w:br w:type="page"/>
      </w:r>
    </w:p>
    <w:p>
      <w:pPr>
        <w:pStyle w:val="4"/>
        <w:numPr>
          <w:ilvl w:val="0"/>
          <w:numId w:val="8"/>
        </w:numPr>
        <w:ind w:firstLineChars="0"/>
        <w:jc w:val="center"/>
        <w:rPr>
          <w:rFonts w:cs="Cambria"/>
          <w:bCs w:val="0"/>
          <w:snapToGrid/>
          <w:color w:val="auto"/>
          <w:sz w:val="28"/>
          <w:szCs w:val="28"/>
          <w:highlight w:val="none"/>
        </w:rPr>
      </w:pPr>
      <w:r>
        <w:rPr>
          <w:rFonts w:hint="eastAsia" w:cs="Cambria"/>
          <w:bCs w:val="0"/>
          <w:snapToGrid/>
          <w:color w:val="auto"/>
          <w:sz w:val="28"/>
          <w:szCs w:val="28"/>
          <w:highlight w:val="none"/>
        </w:rPr>
        <w:t>书面声明</w:t>
      </w:r>
    </w:p>
    <w:p>
      <w:pPr>
        <w:tabs>
          <w:tab w:val="left" w:pos="6300"/>
        </w:tabs>
        <w:snapToGrid w:val="0"/>
        <w:spacing w:line="360" w:lineRule="auto"/>
        <w:ind w:firstLine="570"/>
        <w:rPr>
          <w:rFonts w:ascii="宋体" w:hAnsi="宋体"/>
          <w:color w:val="auto"/>
          <w:sz w:val="24"/>
          <w:highlight w:val="none"/>
        </w:rPr>
      </w:pPr>
    </w:p>
    <w:p>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szCs w:val="28"/>
          <w:highlight w:val="none"/>
        </w:rPr>
        <w:t>项目名称</w:t>
      </w:r>
      <w:r>
        <w:rPr>
          <w:rFonts w:hint="eastAsia" w:ascii="宋体" w:hAnsi="宋体"/>
          <w:color w:val="auto"/>
          <w:sz w:val="24"/>
          <w:highlight w:val="none"/>
        </w:rPr>
        <w:t>：</w:t>
      </w:r>
      <w:r>
        <w:rPr>
          <w:rFonts w:hint="eastAsia" w:ascii="宋体" w:hAnsi="宋体"/>
          <w:snapToGrid w:val="0"/>
          <w:color w:val="auto"/>
          <w:kern w:val="0"/>
          <w:sz w:val="24"/>
          <w:szCs w:val="24"/>
          <w:highlight w:val="none"/>
          <w:u w:val="single"/>
        </w:rPr>
        <w:t>__________________</w:t>
      </w:r>
    </w:p>
    <w:p>
      <w:pPr>
        <w:tabs>
          <w:tab w:val="left" w:pos="6300"/>
        </w:tabs>
        <w:snapToGrid w:val="0"/>
        <w:spacing w:line="360" w:lineRule="auto"/>
        <w:ind w:firstLine="570"/>
        <w:rPr>
          <w:rFonts w:ascii="宋体" w:hAnsi="宋体"/>
          <w:color w:val="auto"/>
          <w:sz w:val="24"/>
          <w:highlight w:val="none"/>
        </w:rPr>
      </w:pPr>
    </w:p>
    <w:p>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致：</w:t>
      </w:r>
      <w:r>
        <w:rPr>
          <w:rFonts w:hint="eastAsia" w:ascii="宋体" w:hAnsi="宋体"/>
          <w:snapToGrid w:val="0"/>
          <w:color w:val="auto"/>
          <w:kern w:val="0"/>
          <w:sz w:val="24"/>
          <w:highlight w:val="none"/>
          <w:u w:val="single"/>
        </w:rPr>
        <w:t>重庆三峡银行股份有限公司</w:t>
      </w:r>
      <w:r>
        <w:rPr>
          <w:rFonts w:hint="eastAsia" w:ascii="宋体" w:hAnsi="宋体"/>
          <w:color w:val="auto"/>
          <w:sz w:val="24"/>
          <w:highlight w:val="none"/>
        </w:rPr>
        <w:t>：</w:t>
      </w:r>
    </w:p>
    <w:p>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s="等线 Light"/>
          <w:snapToGrid w:val="0"/>
          <w:color w:val="auto"/>
          <w:kern w:val="0"/>
          <w:sz w:val="24"/>
          <w:szCs w:val="24"/>
          <w:highlight w:val="none"/>
        </w:rPr>
        <w:t>参选</w:t>
      </w:r>
      <w:r>
        <w:rPr>
          <w:rFonts w:hint="eastAsia" w:ascii="宋体" w:hAnsi="宋体"/>
          <w:color w:val="auto"/>
          <w:sz w:val="24"/>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hAnsi="宋体" w:cs="等线 Light"/>
          <w:snapToGrid w:val="0"/>
          <w:color w:val="auto"/>
          <w:kern w:val="0"/>
          <w:sz w:val="24"/>
          <w:szCs w:val="24"/>
          <w:highlight w:val="none"/>
        </w:rPr>
        <w:t>参选</w:t>
      </w:r>
      <w:r>
        <w:rPr>
          <w:rFonts w:hint="eastAsia" w:ascii="宋体" w:hAnsi="宋体"/>
          <w:color w:val="auto"/>
          <w:sz w:val="24"/>
          <w:highlight w:val="none"/>
        </w:rPr>
        <w:t>人资格条件。我方对以上声明负全部法律责任。</w:t>
      </w:r>
    </w:p>
    <w:p>
      <w:pPr>
        <w:tabs>
          <w:tab w:val="left" w:pos="630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特此声明。</w:t>
      </w:r>
    </w:p>
    <w:p>
      <w:pPr>
        <w:tabs>
          <w:tab w:val="left" w:pos="6300"/>
        </w:tabs>
        <w:snapToGrid w:val="0"/>
        <w:spacing w:line="360" w:lineRule="auto"/>
        <w:ind w:firstLine="570"/>
        <w:rPr>
          <w:rFonts w:ascii="宋体" w:hAnsi="宋体"/>
          <w:color w:val="auto"/>
          <w:sz w:val="24"/>
          <w:highlight w:val="none"/>
        </w:rPr>
      </w:pPr>
    </w:p>
    <w:p>
      <w:pPr>
        <w:tabs>
          <w:tab w:val="left" w:pos="6300"/>
        </w:tabs>
        <w:snapToGrid w:val="0"/>
        <w:spacing w:line="360" w:lineRule="auto"/>
        <w:ind w:firstLine="570"/>
        <w:rPr>
          <w:rFonts w:ascii="宋体" w:hAnsi="宋体"/>
          <w:color w:val="auto"/>
          <w:sz w:val="24"/>
          <w:highlight w:val="none"/>
        </w:rPr>
      </w:pPr>
    </w:p>
    <w:p>
      <w:pPr>
        <w:tabs>
          <w:tab w:val="left" w:pos="6300"/>
        </w:tabs>
        <w:snapToGrid w:val="0"/>
        <w:spacing w:line="360" w:lineRule="auto"/>
        <w:ind w:firstLine="570"/>
        <w:rPr>
          <w:rFonts w:ascii="宋体" w:hAnsi="宋体"/>
          <w:color w:val="auto"/>
          <w:sz w:val="24"/>
          <w:highlight w:val="none"/>
        </w:rPr>
      </w:pPr>
    </w:p>
    <w:p>
      <w:pPr>
        <w:tabs>
          <w:tab w:val="left" w:pos="6300"/>
        </w:tabs>
        <w:snapToGrid w:val="0"/>
        <w:spacing w:line="360" w:lineRule="auto"/>
        <w:ind w:right="424" w:firstLine="570"/>
        <w:jc w:val="right"/>
        <w:rPr>
          <w:rFonts w:ascii="宋体" w:hAnsi="宋体"/>
          <w:color w:val="auto"/>
          <w:sz w:val="24"/>
          <w:highlight w:val="none"/>
        </w:rPr>
      </w:pPr>
      <w:r>
        <w:rPr>
          <w:rFonts w:hint="eastAsia" w:ascii="宋体" w:hAnsi="宋体"/>
          <w:color w:val="auto"/>
          <w:sz w:val="24"/>
          <w:highlight w:val="none"/>
        </w:rPr>
        <w:t>（</w:t>
      </w:r>
      <w:r>
        <w:rPr>
          <w:rFonts w:hint="eastAsia" w:ascii="宋体" w:hAnsi="宋体" w:cs="等线 Light"/>
          <w:snapToGrid w:val="0"/>
          <w:color w:val="auto"/>
          <w:kern w:val="0"/>
          <w:sz w:val="24"/>
          <w:szCs w:val="24"/>
          <w:highlight w:val="none"/>
        </w:rPr>
        <w:t>参选</w:t>
      </w:r>
      <w:r>
        <w:rPr>
          <w:rFonts w:hint="eastAsia" w:ascii="宋体" w:hAnsi="宋体"/>
          <w:color w:val="auto"/>
          <w:sz w:val="24"/>
          <w:highlight w:val="none"/>
        </w:rPr>
        <w:t>人公章）</w:t>
      </w:r>
    </w:p>
    <w:p>
      <w:pPr>
        <w:tabs>
          <w:tab w:val="left" w:pos="6300"/>
        </w:tabs>
        <w:snapToGrid w:val="0"/>
        <w:spacing w:line="360" w:lineRule="auto"/>
        <w:ind w:right="480" w:firstLine="570"/>
        <w:jc w:val="right"/>
        <w:rPr>
          <w:rFonts w:ascii="宋体" w:hAnsi="宋体"/>
          <w:color w:val="auto"/>
          <w:sz w:val="24"/>
          <w:highlight w:val="none"/>
        </w:rPr>
      </w:pPr>
      <w:r>
        <w:rPr>
          <w:rFonts w:hint="eastAsia" w:ascii="宋体" w:hAnsi="宋体"/>
          <w:color w:val="auto"/>
          <w:sz w:val="24"/>
          <w:highlight w:val="none"/>
        </w:rPr>
        <w:t>年   月   日</w:t>
      </w:r>
    </w:p>
    <w:p>
      <w:pPr>
        <w:spacing w:line="360" w:lineRule="auto"/>
        <w:jc w:val="left"/>
        <w:rPr>
          <w:rFonts w:ascii="宋体" w:hAnsi="宋体" w:cs="等线 Light"/>
          <w:snapToGrid w:val="0"/>
          <w:color w:val="auto"/>
          <w:kern w:val="0"/>
          <w:sz w:val="24"/>
          <w:szCs w:val="24"/>
          <w:highlight w:val="none"/>
        </w:rPr>
      </w:pPr>
    </w:p>
    <w:p>
      <w:pPr>
        <w:spacing w:line="360" w:lineRule="auto"/>
        <w:jc w:val="left"/>
        <w:rPr>
          <w:rFonts w:ascii="宋体" w:hAnsi="宋体" w:cs="等线 Light"/>
          <w:snapToGrid w:val="0"/>
          <w:color w:val="auto"/>
          <w:kern w:val="0"/>
          <w:sz w:val="24"/>
          <w:szCs w:val="24"/>
          <w:highlight w:val="none"/>
        </w:rPr>
      </w:pPr>
    </w:p>
    <w:p>
      <w:pPr>
        <w:spacing w:line="360" w:lineRule="auto"/>
        <w:jc w:val="left"/>
        <w:rPr>
          <w:rFonts w:ascii="宋体" w:hAnsi="宋体" w:cs="等线 Light"/>
          <w:snapToGrid w:val="0"/>
          <w:color w:val="auto"/>
          <w:kern w:val="0"/>
          <w:sz w:val="24"/>
          <w:szCs w:val="24"/>
          <w:highlight w:val="none"/>
        </w:rPr>
      </w:pPr>
    </w:p>
    <w:p>
      <w:pPr>
        <w:spacing w:line="360" w:lineRule="auto"/>
        <w:jc w:val="left"/>
        <w:rPr>
          <w:rFonts w:ascii="宋体" w:hAnsi="宋体" w:cs="等线 Light"/>
          <w:snapToGrid w:val="0"/>
          <w:color w:val="auto"/>
          <w:kern w:val="0"/>
          <w:sz w:val="24"/>
          <w:szCs w:val="24"/>
          <w:highlight w:val="none"/>
        </w:rPr>
      </w:pPr>
    </w:p>
    <w:p>
      <w:pPr>
        <w:spacing w:line="360" w:lineRule="auto"/>
        <w:jc w:val="left"/>
        <w:rPr>
          <w:rFonts w:ascii="宋体" w:hAnsi="宋体" w:cs="等线 Light"/>
          <w:snapToGrid w:val="0"/>
          <w:color w:val="auto"/>
          <w:kern w:val="0"/>
          <w:sz w:val="24"/>
          <w:szCs w:val="24"/>
          <w:highlight w:val="none"/>
        </w:rPr>
      </w:pPr>
    </w:p>
    <w:p>
      <w:pPr>
        <w:spacing w:line="360" w:lineRule="auto"/>
        <w:jc w:val="left"/>
        <w:rPr>
          <w:rFonts w:ascii="宋体" w:hAnsi="宋体" w:cs="等线 Light"/>
          <w:snapToGrid w:val="0"/>
          <w:color w:val="auto"/>
          <w:kern w:val="0"/>
          <w:sz w:val="24"/>
          <w:szCs w:val="24"/>
          <w:highlight w:val="none"/>
        </w:rPr>
      </w:pPr>
    </w:p>
    <w:p>
      <w:pPr>
        <w:spacing w:line="240" w:lineRule="auto"/>
        <w:jc w:val="left"/>
        <w:rPr>
          <w:rFonts w:ascii="宋体" w:hAnsi="宋体" w:cs="等线 Light"/>
          <w:snapToGrid w:val="0"/>
          <w:color w:val="auto"/>
          <w:kern w:val="0"/>
          <w:sz w:val="24"/>
          <w:szCs w:val="24"/>
          <w:highlight w:val="none"/>
        </w:rPr>
      </w:pPr>
      <w:r>
        <w:rPr>
          <w:rFonts w:ascii="宋体" w:hAnsi="宋体" w:cs="等线 Light"/>
          <w:snapToGrid w:val="0"/>
          <w:color w:val="auto"/>
          <w:kern w:val="0"/>
          <w:sz w:val="24"/>
          <w:szCs w:val="24"/>
          <w:highlight w:val="none"/>
        </w:rPr>
        <w:br w:type="page"/>
      </w:r>
    </w:p>
    <w:p>
      <w:pPr>
        <w:pStyle w:val="4"/>
        <w:numPr>
          <w:ilvl w:val="0"/>
          <w:numId w:val="8"/>
        </w:numPr>
        <w:jc w:val="center"/>
        <w:rPr>
          <w:rFonts w:hint="eastAsia" w:eastAsia="宋体" w:cs="Cambria"/>
          <w:bCs w:val="0"/>
          <w:snapToGrid/>
          <w:color w:val="auto"/>
          <w:sz w:val="28"/>
          <w:szCs w:val="28"/>
          <w:highlight w:val="none"/>
          <w:lang w:val="en-US" w:eastAsia="zh-CN"/>
        </w:rPr>
      </w:pPr>
      <w:r>
        <w:rPr>
          <w:rFonts w:hint="eastAsia" w:cs="Cambria"/>
          <w:bCs w:val="0"/>
          <w:snapToGrid/>
          <w:color w:val="auto"/>
          <w:sz w:val="28"/>
          <w:szCs w:val="28"/>
          <w:highlight w:val="none"/>
          <w:lang w:val="en-US" w:eastAsia="zh-CN"/>
        </w:rPr>
        <w:t>中国执行信息公开网截图</w:t>
      </w:r>
    </w:p>
    <w:p>
      <w:pPr>
        <w:pStyle w:val="4"/>
        <w:numPr>
          <w:ilvl w:val="0"/>
          <w:numId w:val="8"/>
        </w:numPr>
        <w:ind w:firstLineChars="0"/>
        <w:jc w:val="center"/>
        <w:rPr>
          <w:b w:val="0"/>
          <w:color w:val="auto"/>
          <w:kern w:val="0"/>
          <w:sz w:val="32"/>
          <w:highlight w:val="none"/>
        </w:rPr>
      </w:pPr>
      <w:r>
        <w:rPr>
          <w:rFonts w:hint="eastAsia" w:cs="等线 Light"/>
          <w:color w:val="auto"/>
          <w:kern w:val="0"/>
          <w:highlight w:val="none"/>
        </w:rPr>
        <w:br w:type="page"/>
      </w:r>
      <w:r>
        <w:rPr>
          <w:rFonts w:hint="eastAsia" w:cs="Cambria"/>
          <w:bCs w:val="0"/>
          <w:snapToGrid/>
          <w:color w:val="auto"/>
          <w:sz w:val="28"/>
          <w:szCs w:val="28"/>
          <w:highlight w:val="none"/>
        </w:rPr>
        <w:t>参选人业绩证明文件复印件</w:t>
      </w:r>
    </w:p>
    <w:p>
      <w:pPr>
        <w:tabs>
          <w:tab w:val="left" w:pos="6300"/>
        </w:tabs>
        <w:snapToGrid w:val="0"/>
        <w:spacing w:line="360" w:lineRule="auto"/>
        <w:jc w:val="center"/>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（中选通知书、合同等）</w:t>
      </w:r>
    </w:p>
    <w:p>
      <w:pPr>
        <w:tabs>
          <w:tab w:val="left" w:pos="6300"/>
        </w:tabs>
        <w:snapToGrid w:val="0"/>
        <w:spacing w:line="360" w:lineRule="auto"/>
        <w:jc w:val="center"/>
        <w:rPr>
          <w:rFonts w:ascii="宋体" w:hAnsi="宋体"/>
          <w:snapToGrid w:val="0"/>
          <w:color w:val="auto"/>
          <w:kern w:val="0"/>
          <w:sz w:val="24"/>
          <w:szCs w:val="24"/>
          <w:highlight w:val="none"/>
        </w:rPr>
      </w:pPr>
    </w:p>
    <w:p>
      <w:pPr>
        <w:rPr>
          <w:color w:val="auto"/>
          <w:kern w:val="0"/>
          <w:highlight w:val="none"/>
        </w:rPr>
      </w:pPr>
      <w:r>
        <w:rPr>
          <w:rFonts w:hint="eastAsia"/>
          <w:color w:val="auto"/>
          <w:kern w:val="0"/>
          <w:highlight w:val="none"/>
        </w:rPr>
        <w:br w:type="page"/>
      </w:r>
      <w:bookmarkStart w:id="114" w:name="_Hlk24116190"/>
    </w:p>
    <w:p>
      <w:pPr>
        <w:pStyle w:val="4"/>
        <w:numPr>
          <w:ilvl w:val="0"/>
          <w:numId w:val="8"/>
        </w:numPr>
        <w:ind w:firstLineChars="0"/>
        <w:jc w:val="center"/>
        <w:rPr>
          <w:rFonts w:cs="Cambria"/>
          <w:bCs w:val="0"/>
          <w:snapToGrid/>
          <w:color w:val="auto"/>
          <w:sz w:val="28"/>
          <w:szCs w:val="28"/>
          <w:highlight w:val="none"/>
        </w:rPr>
      </w:pPr>
      <w:r>
        <w:rPr>
          <w:rFonts w:hint="eastAsia" w:cs="Cambria"/>
          <w:bCs w:val="0"/>
          <w:snapToGrid/>
          <w:color w:val="auto"/>
          <w:sz w:val="28"/>
          <w:szCs w:val="28"/>
          <w:highlight w:val="none"/>
        </w:rPr>
        <w:t>商务条款偏离表</w:t>
      </w:r>
    </w:p>
    <w:bookmarkEnd w:id="114"/>
    <w:tbl>
      <w:tblPr>
        <w:tblStyle w:val="21"/>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adjustRightInd w:val="0"/>
              <w:snapToGrid w:val="0"/>
              <w:spacing w:line="240" w:lineRule="exact"/>
              <w:jc w:val="center"/>
              <w:rPr>
                <w:rFonts w:ascii="宋体" w:hAnsi="宋体" w:cs="等线 Light"/>
                <w:color w:val="auto"/>
                <w:sz w:val="21"/>
                <w:szCs w:val="21"/>
                <w:highlight w:val="none"/>
              </w:rPr>
            </w:pPr>
            <w:r>
              <w:rPr>
                <w:rFonts w:hint="eastAsia" w:ascii="宋体" w:hAnsi="宋体" w:cs="等线 Light"/>
                <w:color w:val="auto"/>
                <w:sz w:val="21"/>
                <w:szCs w:val="21"/>
                <w:highlight w:val="none"/>
              </w:rPr>
              <w:t>序号</w:t>
            </w:r>
          </w:p>
        </w:tc>
        <w:tc>
          <w:tcPr>
            <w:tcW w:w="1980" w:type="dxa"/>
            <w:vAlign w:val="center"/>
          </w:tcPr>
          <w:p>
            <w:pPr>
              <w:adjustRightInd w:val="0"/>
              <w:snapToGrid w:val="0"/>
              <w:spacing w:line="240" w:lineRule="exact"/>
              <w:jc w:val="center"/>
              <w:rPr>
                <w:rFonts w:ascii="宋体" w:hAnsi="宋体" w:cs="等线 Light"/>
                <w:color w:val="auto"/>
                <w:sz w:val="21"/>
                <w:szCs w:val="21"/>
                <w:highlight w:val="none"/>
              </w:rPr>
            </w:pPr>
            <w:r>
              <w:rPr>
                <w:rFonts w:hint="eastAsia" w:ascii="宋体" w:hAnsi="宋体" w:cs="等线 Light"/>
                <w:color w:val="auto"/>
                <w:sz w:val="21"/>
                <w:szCs w:val="21"/>
                <w:highlight w:val="none"/>
              </w:rPr>
              <w:t>比选文件条目号</w:t>
            </w:r>
          </w:p>
        </w:tc>
        <w:tc>
          <w:tcPr>
            <w:tcW w:w="1940" w:type="dxa"/>
            <w:vAlign w:val="center"/>
          </w:tcPr>
          <w:p>
            <w:pPr>
              <w:adjustRightInd w:val="0"/>
              <w:snapToGrid w:val="0"/>
              <w:spacing w:line="240" w:lineRule="exact"/>
              <w:jc w:val="center"/>
              <w:rPr>
                <w:rFonts w:ascii="宋体" w:hAnsi="宋体" w:cs="等线 Light"/>
                <w:color w:val="auto"/>
                <w:sz w:val="21"/>
                <w:szCs w:val="21"/>
                <w:highlight w:val="none"/>
              </w:rPr>
            </w:pPr>
            <w:r>
              <w:rPr>
                <w:rFonts w:hint="eastAsia" w:ascii="宋体" w:hAnsi="宋体" w:cs="等线 Light"/>
                <w:color w:val="auto"/>
                <w:sz w:val="21"/>
                <w:szCs w:val="21"/>
                <w:highlight w:val="none"/>
              </w:rPr>
              <w:t>比选文件商务条款</w:t>
            </w:r>
          </w:p>
        </w:tc>
        <w:tc>
          <w:tcPr>
            <w:tcW w:w="2410" w:type="dxa"/>
            <w:vAlign w:val="center"/>
          </w:tcPr>
          <w:p>
            <w:pPr>
              <w:adjustRightInd w:val="0"/>
              <w:snapToGrid w:val="0"/>
              <w:spacing w:line="240" w:lineRule="exact"/>
              <w:jc w:val="center"/>
              <w:rPr>
                <w:rFonts w:ascii="宋体" w:hAnsi="宋体" w:cs="等线 Light"/>
                <w:color w:val="auto"/>
                <w:sz w:val="21"/>
                <w:szCs w:val="21"/>
                <w:highlight w:val="none"/>
              </w:rPr>
            </w:pPr>
            <w:r>
              <w:rPr>
                <w:rFonts w:hint="eastAsia" w:ascii="宋体" w:hAnsi="宋体" w:cs="等线 Light"/>
                <w:color w:val="auto"/>
                <w:sz w:val="21"/>
                <w:szCs w:val="21"/>
                <w:highlight w:val="none"/>
              </w:rPr>
              <w:t>参选文件对应商务条款</w:t>
            </w:r>
          </w:p>
        </w:tc>
        <w:tc>
          <w:tcPr>
            <w:tcW w:w="1417" w:type="dxa"/>
            <w:vAlign w:val="center"/>
          </w:tcPr>
          <w:p>
            <w:pPr>
              <w:adjustRightInd w:val="0"/>
              <w:snapToGrid w:val="0"/>
              <w:spacing w:line="240" w:lineRule="exact"/>
              <w:jc w:val="center"/>
              <w:rPr>
                <w:rFonts w:ascii="宋体" w:hAnsi="宋体" w:cs="等线 Light"/>
                <w:color w:val="auto"/>
                <w:sz w:val="21"/>
                <w:szCs w:val="21"/>
                <w:highlight w:val="none"/>
              </w:rPr>
            </w:pPr>
            <w:r>
              <w:rPr>
                <w:rFonts w:hint="eastAsia" w:ascii="宋体" w:hAnsi="宋体" w:cs="等线 Light"/>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jc w:val="center"/>
              <w:rPr>
                <w:rFonts w:ascii="宋体" w:hAnsi="宋体" w:cs="等线 Light"/>
                <w:color w:val="auto"/>
                <w:sz w:val="21"/>
                <w:szCs w:val="21"/>
                <w:highlight w:val="none"/>
              </w:rPr>
            </w:pPr>
          </w:p>
        </w:tc>
        <w:tc>
          <w:tcPr>
            <w:tcW w:w="1980" w:type="dxa"/>
            <w:vAlign w:val="center"/>
          </w:tcPr>
          <w:p>
            <w:pPr>
              <w:spacing w:line="480" w:lineRule="auto"/>
              <w:jc w:val="center"/>
              <w:rPr>
                <w:rFonts w:ascii="宋体" w:hAnsi="宋体" w:cs="等线 Light"/>
                <w:color w:val="auto"/>
                <w:sz w:val="21"/>
                <w:szCs w:val="21"/>
                <w:highlight w:val="none"/>
              </w:rPr>
            </w:pPr>
          </w:p>
        </w:tc>
        <w:tc>
          <w:tcPr>
            <w:tcW w:w="1940" w:type="dxa"/>
            <w:vAlign w:val="center"/>
          </w:tcPr>
          <w:p>
            <w:pPr>
              <w:spacing w:line="480" w:lineRule="auto"/>
              <w:jc w:val="center"/>
              <w:rPr>
                <w:rFonts w:ascii="宋体" w:hAnsi="宋体" w:cs="等线 Light"/>
                <w:color w:val="auto"/>
                <w:sz w:val="21"/>
                <w:szCs w:val="21"/>
                <w:highlight w:val="none"/>
              </w:rPr>
            </w:pPr>
          </w:p>
        </w:tc>
        <w:tc>
          <w:tcPr>
            <w:tcW w:w="2410" w:type="dxa"/>
            <w:vAlign w:val="center"/>
          </w:tcPr>
          <w:p>
            <w:pPr>
              <w:spacing w:line="480" w:lineRule="auto"/>
              <w:jc w:val="center"/>
              <w:rPr>
                <w:rFonts w:ascii="宋体" w:hAnsi="宋体" w:cs="等线 Light"/>
                <w:color w:val="auto"/>
                <w:sz w:val="21"/>
                <w:szCs w:val="21"/>
                <w:highlight w:val="none"/>
              </w:rPr>
            </w:pPr>
          </w:p>
        </w:tc>
        <w:tc>
          <w:tcPr>
            <w:tcW w:w="1417" w:type="dxa"/>
            <w:vAlign w:val="center"/>
          </w:tcPr>
          <w:p>
            <w:pPr>
              <w:spacing w:line="480" w:lineRule="auto"/>
              <w:jc w:val="center"/>
              <w:rPr>
                <w:rFonts w:ascii="宋体" w:hAnsi="宋体" w:cs="等线 Light"/>
                <w:color w:val="auto"/>
                <w:sz w:val="21"/>
                <w:szCs w:val="21"/>
                <w:highlight w:val="none"/>
              </w:rPr>
            </w:pPr>
          </w:p>
        </w:tc>
      </w:tr>
    </w:tbl>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widowControl/>
        <w:spacing w:line="360" w:lineRule="auto"/>
        <w:jc w:val="center"/>
        <w:rPr>
          <w:rFonts w:ascii="宋体" w:hAnsi="宋体"/>
          <w:b/>
          <w:snapToGrid w:val="0"/>
          <w:color w:val="auto"/>
          <w:kern w:val="0"/>
          <w:szCs w:val="28"/>
          <w:highlight w:val="none"/>
        </w:rPr>
      </w:pPr>
    </w:p>
    <w:p>
      <w:pPr>
        <w:pStyle w:val="4"/>
        <w:numPr>
          <w:ilvl w:val="0"/>
          <w:numId w:val="8"/>
        </w:numPr>
        <w:ind w:firstLineChars="0"/>
        <w:jc w:val="center"/>
        <w:rPr>
          <w:rFonts w:cs="Cambria"/>
          <w:bCs w:val="0"/>
          <w:snapToGrid/>
          <w:color w:val="auto"/>
          <w:sz w:val="28"/>
          <w:szCs w:val="28"/>
          <w:highlight w:val="none"/>
        </w:rPr>
      </w:pPr>
      <w:r>
        <w:rPr>
          <w:rFonts w:hint="eastAsia" w:cs="Cambria"/>
          <w:bCs w:val="0"/>
          <w:snapToGrid/>
          <w:color w:val="auto"/>
          <w:sz w:val="28"/>
          <w:szCs w:val="28"/>
          <w:highlight w:val="none"/>
        </w:rPr>
        <w:t>参选保证金</w:t>
      </w: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autoSpaceDE w:val="0"/>
        <w:autoSpaceDN w:val="0"/>
        <w:adjustRightInd w:val="0"/>
        <w:snapToGrid w:val="0"/>
        <w:spacing w:line="360" w:lineRule="auto"/>
        <w:jc w:val="left"/>
        <w:rPr>
          <w:rFonts w:ascii="宋体" w:hAnsi="宋体"/>
          <w:color w:val="auto"/>
          <w:kern w:val="0"/>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Oc&#10;Y9gAAAAIAQAADwAAAAAAAAABACAAAAAiAAAAZHJzL2Rvd25yZXYueG1sUEsBAhQAFAAAAAgAh07i&#10;QFC1XuzpAQAAuAMAAA4AAAAAAAAAAQAgAAAAJwEAAGRycy9lMm9Eb2MueG1sUEsFBgAAAAAGAAYA&#10;WQEAAIIFAAAAAA==&#10;">
                <v:fill on="f" focussize="0,0"/>
                <v:stroke weight="0.25pt" color="#000000" joinstyle="round"/>
                <v:imagedata o:title=""/>
                <o:lock v:ext="edit" aspectratio="f"/>
              </v:line>
            </w:pict>
          </mc:Fallback>
        </mc:AlternateContent>
      </w: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注：附</w:t>
      </w:r>
      <w:r>
        <w:rPr>
          <w:rFonts w:hint="eastAsia" w:ascii="宋体" w:hAnsi="宋体" w:cs="等线 Light"/>
          <w:snapToGrid w:val="0"/>
          <w:color w:val="auto"/>
          <w:kern w:val="0"/>
          <w:sz w:val="24"/>
          <w:szCs w:val="24"/>
          <w:highlight w:val="none"/>
        </w:rPr>
        <w:t>参选</w:t>
      </w:r>
      <w:r>
        <w:rPr>
          <w:rFonts w:hint="eastAsia" w:ascii="宋体" w:hAnsi="宋体"/>
          <w:snapToGrid w:val="0"/>
          <w:color w:val="auto"/>
          <w:kern w:val="0"/>
          <w:sz w:val="24"/>
          <w:highlight w:val="none"/>
        </w:rPr>
        <w:t>保证金交款凭据复印件</w:t>
      </w:r>
    </w:p>
    <w:p>
      <w:pPr>
        <w:spacing w:line="360" w:lineRule="auto"/>
        <w:rPr>
          <w:rFonts w:ascii="宋体" w:hAnsi="宋体" w:cs="等线 Light"/>
          <w:color w:val="auto"/>
          <w:sz w:val="21"/>
          <w:szCs w:val="21"/>
          <w:highlight w:val="none"/>
        </w:rPr>
      </w:pPr>
    </w:p>
    <w:p>
      <w:pPr>
        <w:spacing w:line="360" w:lineRule="auto"/>
        <w:ind w:firstLine="2400"/>
        <w:rPr>
          <w:rFonts w:ascii="宋体" w:hAnsi="宋体" w:cs="等线 Light"/>
          <w:color w:val="auto"/>
          <w:sz w:val="21"/>
          <w:szCs w:val="21"/>
          <w:highlight w:val="none"/>
        </w:rPr>
      </w:pPr>
    </w:p>
    <w:p>
      <w:pPr>
        <w:pStyle w:val="4"/>
        <w:numPr>
          <w:ilvl w:val="0"/>
          <w:numId w:val="8"/>
        </w:numPr>
        <w:ind w:firstLineChars="0"/>
        <w:jc w:val="center"/>
        <w:rPr>
          <w:rFonts w:cs="Cambria"/>
          <w:bCs w:val="0"/>
          <w:snapToGrid/>
          <w:color w:val="auto"/>
          <w:sz w:val="28"/>
          <w:szCs w:val="28"/>
          <w:highlight w:val="none"/>
        </w:rPr>
      </w:pPr>
      <w:r>
        <w:rPr>
          <w:rFonts w:hint="eastAsia" w:cs="Cambria"/>
          <w:bCs w:val="0"/>
          <w:snapToGrid/>
          <w:color w:val="auto"/>
          <w:sz w:val="28"/>
          <w:szCs w:val="28"/>
          <w:highlight w:val="none"/>
        </w:rPr>
        <w:t>服务水平协议（SLA）</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1125"/>
        <w:gridCol w:w="1403"/>
        <w:gridCol w:w="2197"/>
        <w:gridCol w:w="3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0"/>
                <w:szCs w:val="20"/>
                <w:highlight w:val="none"/>
                <w:u w:val="none"/>
              </w:rPr>
            </w:pPr>
            <w:r>
              <w:rPr>
                <w:rFonts w:hint="eastAsia" w:ascii="宋体" w:hAnsi="宋体" w:eastAsia="宋体" w:cs="宋体"/>
                <w:b/>
                <w:bCs w:val="0"/>
                <w:i w:val="0"/>
                <w:iCs w:val="0"/>
                <w:color w:val="auto"/>
                <w:kern w:val="0"/>
                <w:sz w:val="20"/>
                <w:szCs w:val="20"/>
                <w:highlight w:val="none"/>
                <w:u w:val="none"/>
                <w:lang w:val="en-US" w:eastAsia="zh-CN"/>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0"/>
                <w:szCs w:val="20"/>
                <w:highlight w:val="none"/>
                <w:u w:val="none"/>
              </w:rPr>
            </w:pPr>
            <w:r>
              <w:rPr>
                <w:rFonts w:hint="eastAsia" w:ascii="宋体" w:hAnsi="宋体" w:eastAsia="宋体" w:cs="宋体"/>
                <w:b/>
                <w:bCs w:val="0"/>
                <w:i w:val="0"/>
                <w:iCs w:val="0"/>
                <w:color w:val="auto"/>
                <w:kern w:val="0"/>
                <w:sz w:val="20"/>
                <w:szCs w:val="20"/>
                <w:highlight w:val="none"/>
                <w:u w:val="none"/>
                <w:lang w:val="en-US" w:eastAsia="zh-CN"/>
              </w:rPr>
              <w:t>服务内容</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0"/>
                <w:szCs w:val="20"/>
                <w:highlight w:val="none"/>
                <w:u w:val="none"/>
              </w:rPr>
            </w:pPr>
            <w:r>
              <w:rPr>
                <w:rFonts w:hint="eastAsia" w:ascii="宋体" w:hAnsi="宋体" w:eastAsia="宋体" w:cs="宋体"/>
                <w:b/>
                <w:bCs w:val="0"/>
                <w:i w:val="0"/>
                <w:iCs w:val="0"/>
                <w:color w:val="auto"/>
                <w:kern w:val="0"/>
                <w:sz w:val="20"/>
                <w:szCs w:val="20"/>
                <w:highlight w:val="none"/>
                <w:u w:val="none"/>
                <w:lang w:val="en-US" w:eastAsia="zh-CN"/>
              </w:rPr>
              <w:t>内容描述</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val="0"/>
                <w:i w:val="0"/>
                <w:iCs w:val="0"/>
                <w:color w:val="auto"/>
                <w:sz w:val="20"/>
                <w:szCs w:val="20"/>
                <w:highlight w:val="none"/>
                <w:u w:val="none"/>
              </w:rPr>
            </w:pPr>
            <w:r>
              <w:rPr>
                <w:rFonts w:hint="eastAsia" w:ascii="宋体" w:hAnsi="宋体" w:eastAsia="宋体" w:cs="宋体"/>
                <w:b/>
                <w:bCs w:val="0"/>
                <w:i w:val="0"/>
                <w:iCs w:val="0"/>
                <w:color w:val="auto"/>
                <w:kern w:val="0"/>
                <w:sz w:val="20"/>
                <w:szCs w:val="20"/>
                <w:highlight w:val="none"/>
                <w:u w:val="none"/>
                <w:lang w:val="en-US" w:eastAsia="zh-CN"/>
              </w:rPr>
              <w:t>质量要求及指标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val="0"/>
                <w:i w:val="0"/>
                <w:iCs w:val="0"/>
                <w:color w:val="auto"/>
                <w:sz w:val="20"/>
                <w:szCs w:val="20"/>
                <w:highlight w:val="none"/>
                <w:u w:val="none"/>
              </w:rPr>
            </w:pPr>
            <w:r>
              <w:rPr>
                <w:rFonts w:hint="eastAsia" w:ascii="宋体" w:hAnsi="宋体" w:eastAsia="宋体" w:cs="宋体"/>
                <w:b/>
                <w:bCs w:val="0"/>
                <w:i w:val="0"/>
                <w:iCs w:val="0"/>
                <w:color w:val="auto"/>
                <w:kern w:val="0"/>
                <w:sz w:val="20"/>
                <w:szCs w:val="20"/>
                <w:highlight w:val="none"/>
                <w:u w:val="none"/>
                <w:lang w:val="en-US" w:eastAsia="zh-CN"/>
              </w:rPr>
              <w:t>违约金标准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服务响应</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维护人员在接到服务需求后，根据合同要求进行服务响应。</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42"/>
                <w:color w:val="auto"/>
                <w:sz w:val="20"/>
                <w:szCs w:val="20"/>
                <w:highlight w:val="none"/>
                <w:lang w:val="en-US" w:eastAsia="zh-CN"/>
              </w:rPr>
              <w:t>服务响应率</w:t>
            </w:r>
            <w:r>
              <w:rPr>
                <w:rFonts w:ascii="Times New Roman" w:hAnsi="Times New Roman" w:eastAsia="宋体" w:cs="Times New Roman"/>
                <w:i w:val="0"/>
                <w:iCs w:val="0"/>
                <w:color w:val="auto"/>
                <w:kern w:val="0"/>
                <w:sz w:val="20"/>
                <w:szCs w:val="20"/>
                <w:highlight w:val="none"/>
                <w:u w:val="none"/>
                <w:lang w:val="en-US" w:eastAsia="zh-CN"/>
              </w:rPr>
              <w:t>≥98%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0"/>
                <w:szCs w:val="20"/>
                <w:highlight w:val="none"/>
                <w:u w:val="none"/>
              </w:rPr>
            </w:pPr>
            <w:r>
              <w:rPr>
                <w:rFonts w:ascii="Times New Roman" w:hAnsi="Times New Roman" w:eastAsia="宋体" w:cs="Times New Roman"/>
                <w:i w:val="0"/>
                <w:iCs w:val="0"/>
                <w:color w:val="auto"/>
                <w:kern w:val="0"/>
                <w:sz w:val="20"/>
                <w:szCs w:val="20"/>
                <w:highlight w:val="none"/>
                <w:u w:val="none"/>
                <w:lang w:val="en-US" w:eastAsia="zh-CN"/>
              </w:rPr>
              <w:t>95%≤</w:t>
            </w:r>
            <w:r>
              <w:rPr>
                <w:rStyle w:val="43"/>
                <w:color w:val="auto"/>
                <w:sz w:val="20"/>
                <w:szCs w:val="20"/>
                <w:highlight w:val="none"/>
                <w:lang w:val="en-US" w:eastAsia="zh-CN"/>
              </w:rPr>
              <w:t>当季服务响应率</w:t>
            </w:r>
            <w:r>
              <w:rPr>
                <w:rFonts w:ascii="Times New Roman" w:hAnsi="Times New Roman" w:eastAsia="宋体" w:cs="Times New Roman"/>
                <w:i w:val="0"/>
                <w:iCs w:val="0"/>
                <w:color w:val="auto"/>
                <w:kern w:val="0"/>
                <w:sz w:val="20"/>
                <w:szCs w:val="20"/>
                <w:highlight w:val="none"/>
                <w:u w:val="none"/>
                <w:lang w:val="en-US" w:eastAsia="zh-CN"/>
              </w:rPr>
              <w:t>&lt;98%</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2000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Fonts w:ascii="Times New Roman" w:hAnsi="Times New Roman" w:eastAsia="宋体" w:cs="Times New Roman"/>
                <w:i w:val="0"/>
                <w:iCs w:val="0"/>
                <w:color w:val="auto"/>
                <w:kern w:val="0"/>
                <w:sz w:val="20"/>
                <w:szCs w:val="20"/>
                <w:highlight w:val="none"/>
                <w:u w:val="none"/>
                <w:lang w:val="en-US" w:eastAsia="zh-CN"/>
              </w:rPr>
              <w:t>92%≤</w:t>
            </w:r>
            <w:r>
              <w:rPr>
                <w:rStyle w:val="43"/>
                <w:color w:val="auto"/>
                <w:sz w:val="20"/>
                <w:szCs w:val="20"/>
                <w:highlight w:val="none"/>
                <w:lang w:val="en-US" w:eastAsia="zh-CN"/>
              </w:rPr>
              <w:t>当季服务响应率</w:t>
            </w:r>
            <w:r>
              <w:rPr>
                <w:rFonts w:ascii="Times New Roman" w:hAnsi="Times New Roman" w:eastAsia="宋体" w:cs="Times New Roman"/>
                <w:i w:val="0"/>
                <w:iCs w:val="0"/>
                <w:color w:val="auto"/>
                <w:kern w:val="0"/>
                <w:sz w:val="20"/>
                <w:szCs w:val="20"/>
                <w:highlight w:val="none"/>
                <w:u w:val="none"/>
                <w:lang w:val="en-US" w:eastAsia="zh-CN"/>
              </w:rPr>
              <w:t>&lt;95%</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5000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Fonts w:ascii="Times New Roman" w:hAnsi="Times New Roman" w:eastAsia="宋体" w:cs="Times New Roman"/>
                <w:i w:val="0"/>
                <w:iCs w:val="0"/>
                <w:color w:val="auto"/>
                <w:kern w:val="0"/>
                <w:sz w:val="20"/>
                <w:szCs w:val="20"/>
                <w:highlight w:val="none"/>
                <w:u w:val="none"/>
                <w:lang w:val="en-US" w:eastAsia="zh-CN"/>
              </w:rPr>
              <w:t>90%≤</w:t>
            </w:r>
            <w:r>
              <w:rPr>
                <w:rStyle w:val="43"/>
                <w:color w:val="auto"/>
                <w:sz w:val="20"/>
                <w:szCs w:val="20"/>
                <w:highlight w:val="none"/>
                <w:lang w:val="en-US" w:eastAsia="zh-CN"/>
              </w:rPr>
              <w:t>当季服务响应率</w:t>
            </w:r>
            <w:r>
              <w:rPr>
                <w:rFonts w:ascii="Times New Roman" w:hAnsi="Times New Roman" w:eastAsia="宋体" w:cs="Times New Roman"/>
                <w:i w:val="0"/>
                <w:iCs w:val="0"/>
                <w:color w:val="auto"/>
                <w:kern w:val="0"/>
                <w:sz w:val="20"/>
                <w:szCs w:val="20"/>
                <w:highlight w:val="none"/>
                <w:u w:val="none"/>
                <w:lang w:val="en-US" w:eastAsia="zh-CN"/>
              </w:rPr>
              <w:t>&lt;92%</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10000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Style w:val="43"/>
                <w:color w:val="auto"/>
                <w:sz w:val="20"/>
                <w:szCs w:val="20"/>
                <w:highlight w:val="none"/>
                <w:lang w:val="en-US" w:eastAsia="zh-CN"/>
              </w:rPr>
              <w:t>当季服务响应率</w:t>
            </w:r>
            <w:r>
              <w:rPr>
                <w:rFonts w:ascii="Times New Roman" w:hAnsi="Times New Roman" w:eastAsia="宋体" w:cs="Times New Roman"/>
                <w:i w:val="0"/>
                <w:iCs w:val="0"/>
                <w:color w:val="auto"/>
                <w:kern w:val="0"/>
                <w:sz w:val="20"/>
                <w:szCs w:val="20"/>
                <w:highlight w:val="none"/>
                <w:u w:val="none"/>
                <w:lang w:val="en-US" w:eastAsia="zh-CN"/>
              </w:rPr>
              <w:t>&lt;90%</w:t>
            </w:r>
            <w:r>
              <w:rPr>
                <w:rStyle w:val="43"/>
                <w:color w:val="auto"/>
                <w:sz w:val="20"/>
                <w:szCs w:val="20"/>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现场支持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维护人员在接到现场服务需求后，根据合同要求到达现场支持。</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现场准时率≥90%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0"/>
                <w:szCs w:val="20"/>
                <w:highlight w:val="none"/>
                <w:u w:val="none"/>
              </w:rPr>
            </w:pPr>
            <w:r>
              <w:rPr>
                <w:rFonts w:ascii="Times New Roman" w:hAnsi="Times New Roman" w:eastAsia="宋体" w:cs="Times New Roman"/>
                <w:i w:val="0"/>
                <w:iCs w:val="0"/>
                <w:color w:val="auto"/>
                <w:kern w:val="0"/>
                <w:sz w:val="20"/>
                <w:szCs w:val="20"/>
                <w:highlight w:val="none"/>
                <w:u w:val="none"/>
                <w:lang w:val="en-US" w:eastAsia="zh-CN"/>
              </w:rPr>
              <w:t>80%≤</w:t>
            </w:r>
            <w:r>
              <w:rPr>
                <w:rStyle w:val="43"/>
                <w:color w:val="auto"/>
                <w:sz w:val="20"/>
                <w:szCs w:val="20"/>
                <w:highlight w:val="none"/>
                <w:lang w:val="en-US" w:eastAsia="zh-CN"/>
              </w:rPr>
              <w:t>当季现场准时率</w:t>
            </w:r>
            <w:r>
              <w:rPr>
                <w:rFonts w:ascii="Times New Roman" w:hAnsi="Times New Roman" w:eastAsia="宋体" w:cs="Times New Roman"/>
                <w:i w:val="0"/>
                <w:iCs w:val="0"/>
                <w:color w:val="auto"/>
                <w:kern w:val="0"/>
                <w:sz w:val="20"/>
                <w:szCs w:val="20"/>
                <w:highlight w:val="none"/>
                <w:u w:val="none"/>
                <w:lang w:val="en-US" w:eastAsia="zh-CN"/>
              </w:rPr>
              <w:t>&lt;90%</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10000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Fonts w:ascii="Times New Roman" w:hAnsi="Times New Roman" w:eastAsia="宋体" w:cs="Times New Roman"/>
                <w:i w:val="0"/>
                <w:iCs w:val="0"/>
                <w:color w:val="auto"/>
                <w:kern w:val="0"/>
                <w:sz w:val="20"/>
                <w:szCs w:val="20"/>
                <w:highlight w:val="none"/>
                <w:u w:val="none"/>
                <w:lang w:val="en-US" w:eastAsia="zh-CN"/>
              </w:rPr>
              <w:t>70%≤</w:t>
            </w:r>
            <w:r>
              <w:rPr>
                <w:rStyle w:val="43"/>
                <w:color w:val="auto"/>
                <w:sz w:val="20"/>
                <w:szCs w:val="20"/>
                <w:highlight w:val="none"/>
                <w:lang w:val="en-US" w:eastAsia="zh-CN"/>
              </w:rPr>
              <w:t>当季现场准时率</w:t>
            </w:r>
            <w:r>
              <w:rPr>
                <w:rFonts w:ascii="Times New Roman" w:hAnsi="Times New Roman" w:eastAsia="宋体" w:cs="Times New Roman"/>
                <w:i w:val="0"/>
                <w:iCs w:val="0"/>
                <w:color w:val="auto"/>
                <w:kern w:val="0"/>
                <w:sz w:val="20"/>
                <w:szCs w:val="20"/>
                <w:highlight w:val="none"/>
                <w:u w:val="none"/>
                <w:lang w:val="en-US" w:eastAsia="zh-CN"/>
              </w:rPr>
              <w:t>&lt;80%</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20000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Style w:val="43"/>
                <w:color w:val="auto"/>
                <w:sz w:val="20"/>
                <w:szCs w:val="20"/>
                <w:highlight w:val="none"/>
                <w:lang w:val="en-US" w:eastAsia="zh-CN"/>
              </w:rPr>
              <w:t>现场准时率</w:t>
            </w:r>
            <w:r>
              <w:rPr>
                <w:rFonts w:ascii="Times New Roman" w:hAnsi="Times New Roman" w:eastAsia="宋体" w:cs="Times New Roman"/>
                <w:i w:val="0"/>
                <w:iCs w:val="0"/>
                <w:color w:val="auto"/>
                <w:kern w:val="0"/>
                <w:sz w:val="20"/>
                <w:szCs w:val="20"/>
                <w:highlight w:val="none"/>
                <w:u w:val="none"/>
                <w:lang w:val="en-US" w:eastAsia="zh-CN"/>
              </w:rPr>
              <w:t>&lt;70%</w:t>
            </w:r>
            <w:r>
              <w:rPr>
                <w:rStyle w:val="43"/>
                <w:color w:val="auto"/>
                <w:sz w:val="20"/>
                <w:szCs w:val="20"/>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服务满意度</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接受服务方对乙方所提供的服务进行满意度评价。</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服务满意度≥95%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Times New Roman"/>
                <w:i w:val="0"/>
                <w:iCs w:val="0"/>
                <w:color w:val="auto"/>
                <w:sz w:val="20"/>
                <w:szCs w:val="20"/>
                <w:highlight w:val="none"/>
                <w:u w:val="none"/>
              </w:rPr>
            </w:pPr>
            <w:r>
              <w:rPr>
                <w:rFonts w:ascii="Times New Roman" w:hAnsi="Times New Roman" w:eastAsia="宋体" w:cs="Times New Roman"/>
                <w:i w:val="0"/>
                <w:iCs w:val="0"/>
                <w:color w:val="auto"/>
                <w:kern w:val="0"/>
                <w:sz w:val="20"/>
                <w:szCs w:val="20"/>
                <w:highlight w:val="none"/>
                <w:u w:val="none"/>
                <w:lang w:val="en-US" w:eastAsia="zh-CN"/>
              </w:rPr>
              <w:t>90%≤</w:t>
            </w:r>
            <w:r>
              <w:rPr>
                <w:rStyle w:val="43"/>
                <w:color w:val="auto"/>
                <w:sz w:val="20"/>
                <w:szCs w:val="20"/>
                <w:highlight w:val="none"/>
                <w:lang w:val="en-US" w:eastAsia="zh-CN"/>
              </w:rPr>
              <w:t>当季服务满意度</w:t>
            </w:r>
            <w:r>
              <w:rPr>
                <w:rFonts w:ascii="Times New Roman" w:hAnsi="Times New Roman" w:eastAsia="宋体" w:cs="Times New Roman"/>
                <w:i w:val="0"/>
                <w:iCs w:val="0"/>
                <w:color w:val="auto"/>
                <w:kern w:val="0"/>
                <w:sz w:val="20"/>
                <w:szCs w:val="20"/>
                <w:highlight w:val="none"/>
                <w:u w:val="none"/>
                <w:lang w:val="en-US" w:eastAsia="zh-CN"/>
              </w:rPr>
              <w:t>&lt;95%</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5000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Fonts w:ascii="Times New Roman" w:hAnsi="Times New Roman" w:eastAsia="宋体" w:cs="Times New Roman"/>
                <w:i w:val="0"/>
                <w:iCs w:val="0"/>
                <w:color w:val="auto"/>
                <w:kern w:val="0"/>
                <w:sz w:val="20"/>
                <w:szCs w:val="20"/>
                <w:highlight w:val="none"/>
                <w:u w:val="none"/>
                <w:lang w:val="en-US" w:eastAsia="zh-CN"/>
              </w:rPr>
              <w:t>85%≤</w:t>
            </w:r>
            <w:r>
              <w:rPr>
                <w:rStyle w:val="43"/>
                <w:color w:val="auto"/>
                <w:sz w:val="20"/>
                <w:szCs w:val="20"/>
                <w:highlight w:val="none"/>
                <w:lang w:val="en-US" w:eastAsia="zh-CN"/>
              </w:rPr>
              <w:t>当季服务满意度</w:t>
            </w:r>
            <w:r>
              <w:rPr>
                <w:rFonts w:ascii="Times New Roman" w:hAnsi="Times New Roman" w:eastAsia="宋体" w:cs="Times New Roman"/>
                <w:i w:val="0"/>
                <w:iCs w:val="0"/>
                <w:color w:val="auto"/>
                <w:kern w:val="0"/>
                <w:sz w:val="20"/>
                <w:szCs w:val="20"/>
                <w:highlight w:val="none"/>
                <w:u w:val="none"/>
                <w:lang w:val="en-US" w:eastAsia="zh-CN"/>
              </w:rPr>
              <w:t>&lt;90%</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10000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Fonts w:ascii="Times New Roman" w:hAnsi="Times New Roman" w:eastAsia="宋体" w:cs="Times New Roman"/>
                <w:i w:val="0"/>
                <w:iCs w:val="0"/>
                <w:color w:val="auto"/>
                <w:kern w:val="0"/>
                <w:sz w:val="20"/>
                <w:szCs w:val="20"/>
                <w:highlight w:val="none"/>
                <w:u w:val="none"/>
                <w:lang w:val="en-US" w:eastAsia="zh-CN"/>
              </w:rPr>
              <w:t>80%≤</w:t>
            </w:r>
            <w:r>
              <w:rPr>
                <w:rStyle w:val="43"/>
                <w:color w:val="auto"/>
                <w:sz w:val="20"/>
                <w:szCs w:val="20"/>
                <w:highlight w:val="none"/>
                <w:lang w:val="en-US" w:eastAsia="zh-CN"/>
              </w:rPr>
              <w:t>当季服务满意度</w:t>
            </w:r>
            <w:r>
              <w:rPr>
                <w:rFonts w:ascii="Times New Roman" w:hAnsi="Times New Roman" w:eastAsia="宋体" w:cs="Times New Roman"/>
                <w:i w:val="0"/>
                <w:iCs w:val="0"/>
                <w:color w:val="auto"/>
                <w:kern w:val="0"/>
                <w:sz w:val="20"/>
                <w:szCs w:val="20"/>
                <w:highlight w:val="none"/>
                <w:u w:val="none"/>
                <w:lang w:val="en-US" w:eastAsia="zh-CN"/>
              </w:rPr>
              <w:t>&lt;85%</w:t>
            </w:r>
            <w:r>
              <w:rPr>
                <w:rStyle w:val="43"/>
                <w:color w:val="auto"/>
                <w:sz w:val="20"/>
                <w:szCs w:val="20"/>
                <w:highlight w:val="none"/>
                <w:lang w:val="en-US" w:eastAsia="zh-CN"/>
              </w:rPr>
              <w:t>，扣除</w:t>
            </w:r>
            <w:r>
              <w:rPr>
                <w:rFonts w:ascii="Times New Roman" w:hAnsi="Times New Roman" w:eastAsia="宋体" w:cs="Times New Roman"/>
                <w:i w:val="0"/>
                <w:iCs w:val="0"/>
                <w:color w:val="auto"/>
                <w:kern w:val="0"/>
                <w:sz w:val="20"/>
                <w:szCs w:val="20"/>
                <w:highlight w:val="none"/>
                <w:u w:val="none"/>
                <w:lang w:val="en-US" w:eastAsia="zh-CN"/>
              </w:rPr>
              <w:t>20000</w:t>
            </w:r>
            <w:r>
              <w:rPr>
                <w:rStyle w:val="43"/>
                <w:color w:val="auto"/>
                <w:sz w:val="20"/>
                <w:szCs w:val="20"/>
                <w:highlight w:val="none"/>
                <w:lang w:val="en-US" w:eastAsia="zh-CN"/>
              </w:rPr>
              <w:t>元；</w:t>
            </w:r>
            <w:r>
              <w:rPr>
                <w:rFonts w:ascii="Times New Roman" w:hAnsi="Times New Roman" w:eastAsia="宋体" w:cs="Times New Roman"/>
                <w:i w:val="0"/>
                <w:iCs w:val="0"/>
                <w:color w:val="auto"/>
                <w:kern w:val="0"/>
                <w:sz w:val="20"/>
                <w:szCs w:val="20"/>
                <w:highlight w:val="none"/>
                <w:u w:val="none"/>
                <w:lang w:val="en-US" w:eastAsia="zh-CN"/>
              </w:rPr>
              <w:cr/>
            </w:r>
            <w:r>
              <w:rPr>
                <w:rStyle w:val="43"/>
                <w:color w:val="auto"/>
                <w:sz w:val="20"/>
                <w:szCs w:val="20"/>
                <w:highlight w:val="none"/>
                <w:lang w:val="en-US" w:eastAsia="zh-CN"/>
              </w:rPr>
              <w:t>当季服务满意度</w:t>
            </w:r>
            <w:r>
              <w:rPr>
                <w:rFonts w:ascii="Times New Roman" w:hAnsi="Times New Roman" w:eastAsia="宋体" w:cs="Times New Roman"/>
                <w:i w:val="0"/>
                <w:iCs w:val="0"/>
                <w:color w:val="auto"/>
                <w:kern w:val="0"/>
                <w:sz w:val="20"/>
                <w:szCs w:val="20"/>
                <w:highlight w:val="none"/>
                <w:u w:val="none"/>
                <w:lang w:val="en-US" w:eastAsia="zh-CN"/>
              </w:rPr>
              <w:t>&lt;80%</w:t>
            </w:r>
            <w:r>
              <w:rPr>
                <w:rStyle w:val="43"/>
                <w:color w:val="auto"/>
                <w:sz w:val="20"/>
                <w:szCs w:val="20"/>
                <w:highlight w:val="none"/>
                <w:lang w:val="en-US" w:eastAsia="zh-CN"/>
              </w:rPr>
              <w:t>，重庆三峡银行有权单方面提前终止维护合同，合同款项仅支付至合同终止当月。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服务投诉</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接受服务方通过服务电话、企业微信等方式对乙方所提供的服务进行投诉。</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普通有效投诉数量≤5</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严重有效投诉数量&lt;1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每次收到普通有效投诉数量，扣除5000元；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收到普通有效投诉超过5次，重庆三峡银行有权单方面提前终止维护合同，合同款项仅支付至合同终止当月。</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收到严重有效投诉（如：辱骂客户、偷盗、信息泄露、其它影响广泛反映较大的事件），重庆三峡银行有权单方面提前终止维护合同，不再支付当期合同款项。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服务团队人员变更</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根据合同要求需得到行方同意，变更后人员素质不得低于变更前人员。</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当季人员变更率&lt;20%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人员变动未经行方同意，每次扣除2000元；</w:t>
            </w:r>
          </w:p>
          <w:p>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20%≤当季人员变更率&lt;50%，扣除10000元</w:t>
            </w:r>
            <w:r>
              <w:rPr>
                <w:rFonts w:hint="eastAsia" w:ascii="宋体" w:hAnsi="宋体" w:cs="宋体"/>
                <w:i w:val="0"/>
                <w:iCs w:val="0"/>
                <w:color w:val="auto"/>
                <w:kern w:val="0"/>
                <w:sz w:val="20"/>
                <w:szCs w:val="20"/>
                <w:highlight w:val="none"/>
                <w:u w:val="none"/>
                <w:lang w:val="en-US" w:eastAsia="zh-CN"/>
              </w:rPr>
              <w:t>；</w:t>
            </w:r>
          </w:p>
          <w:p>
            <w:pPr>
              <w:keepNext w:val="0"/>
              <w:keepLines w:val="0"/>
              <w:widowControl/>
              <w:suppressLineNumbers w:val="0"/>
              <w:jc w:val="left"/>
              <w:textAlignment w:val="center"/>
              <w:rPr>
                <w:color w:val="auto"/>
                <w:sz w:val="20"/>
                <w:szCs w:val="20"/>
                <w:highlight w:val="none"/>
                <w:lang w:val="en-US"/>
              </w:rPr>
            </w:pPr>
            <w:r>
              <w:rPr>
                <w:rFonts w:hint="eastAsia" w:ascii="宋体" w:hAnsi="宋体" w:eastAsia="宋体" w:cs="宋体"/>
                <w:i w:val="0"/>
                <w:iCs w:val="0"/>
                <w:color w:val="auto"/>
                <w:kern w:val="0"/>
                <w:sz w:val="20"/>
                <w:szCs w:val="20"/>
                <w:highlight w:val="none"/>
                <w:u w:val="none"/>
                <w:lang w:val="en-US" w:eastAsia="zh-CN"/>
              </w:rPr>
              <w:t>当季人员变更率</w:t>
            </w:r>
            <w:r>
              <w:rPr>
                <w:rFonts w:hint="eastAsia" w:ascii="宋体" w:hAnsi="宋体" w:cs="宋体"/>
                <w:i w:val="0"/>
                <w:iCs w:val="0"/>
                <w:color w:val="auto"/>
                <w:kern w:val="0"/>
                <w:sz w:val="20"/>
                <w:szCs w:val="20"/>
                <w:highlight w:val="none"/>
                <w:u w:val="none"/>
                <w:lang w:val="en-US" w:eastAsia="zh-CN"/>
              </w:rPr>
              <w:t>&gt;50%，重庆三峡银行有权单方面提前终止维护合同，合同款项仅支付至合同终止当月。</w:t>
            </w:r>
          </w:p>
        </w:tc>
      </w:tr>
    </w:tbl>
    <w:p>
      <w:pPr>
        <w:widowControl/>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br w:type="page"/>
      </w:r>
    </w:p>
    <w:p>
      <w:pPr>
        <w:pStyle w:val="4"/>
        <w:numPr>
          <w:ilvl w:val="0"/>
          <w:numId w:val="8"/>
        </w:numPr>
        <w:ind w:firstLineChars="0"/>
        <w:jc w:val="center"/>
        <w:rPr>
          <w:rFonts w:ascii="Times New Roman" w:hAnsi="Times New Roman" w:cs="Times New Roman"/>
          <w:bCs w:val="0"/>
          <w:snapToGrid/>
          <w:color w:val="auto"/>
          <w:sz w:val="28"/>
          <w:szCs w:val="28"/>
          <w:highlight w:val="none"/>
        </w:rPr>
      </w:pPr>
      <w:r>
        <w:rPr>
          <w:rFonts w:hint="eastAsia" w:ascii="Times New Roman" w:hAnsi="Times New Roman" w:cs="Times New Roman"/>
          <w:bCs w:val="0"/>
          <w:snapToGrid/>
          <w:color w:val="auto"/>
          <w:sz w:val="28"/>
          <w:szCs w:val="28"/>
          <w:highlight w:val="none"/>
        </w:rPr>
        <w:t>服务连续性预案</w:t>
      </w:r>
    </w:p>
    <w:p>
      <w:pPr>
        <w:jc w:val="center"/>
        <w:rPr>
          <w:rFonts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pPr>
        <w:spacing w:line="240" w:lineRule="auto"/>
        <w:ind w:firstLine="0" w:firstLineChars="0"/>
        <w:rPr>
          <w:rFonts w:ascii="宋体" w:hAnsi="宋体"/>
          <w:snapToGrid w:val="0"/>
          <w:color w:val="auto"/>
          <w:kern w:val="0"/>
          <w:sz w:val="24"/>
          <w:szCs w:val="24"/>
          <w:highlight w:val="none"/>
        </w:rPr>
      </w:pPr>
      <w:r>
        <w:rPr>
          <w:rFonts w:ascii="宋体" w:hAnsi="宋体"/>
          <w:snapToGrid w:val="0"/>
          <w:color w:val="auto"/>
          <w:kern w:val="0"/>
          <w:sz w:val="24"/>
          <w:szCs w:val="24"/>
          <w:highlight w:val="none"/>
        </w:rPr>
        <w:br w:type="page"/>
      </w:r>
    </w:p>
    <w:p>
      <w:pPr>
        <w:pStyle w:val="4"/>
        <w:numPr>
          <w:ilvl w:val="0"/>
          <w:numId w:val="8"/>
        </w:numPr>
        <w:ind w:left="420" w:firstLine="0" w:firstLineChars="0"/>
        <w:jc w:val="center"/>
        <w:rPr>
          <w:rFonts w:hint="eastAsia" w:ascii="Times New Roman" w:hAnsi="Times New Roman" w:eastAsia="宋体"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承诺书</w:t>
      </w:r>
    </w:p>
    <w:p>
      <w:pPr>
        <w:jc w:val="center"/>
        <w:rPr>
          <w:rFonts w:hint="eastAsia" w:ascii="Times New Roman" w:hAnsi="Times New Roman"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（格式自拟）</w:t>
      </w:r>
    </w:p>
    <w:p>
      <w:pPr>
        <w:rPr>
          <w:rFonts w:hint="eastAsia" w:ascii="Times New Roman" w:hAnsi="Times New Roman"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br w:type="page"/>
      </w:r>
    </w:p>
    <w:p>
      <w:pPr>
        <w:pStyle w:val="4"/>
        <w:numPr>
          <w:ilvl w:val="0"/>
          <w:numId w:val="8"/>
        </w:numPr>
        <w:ind w:left="420"/>
        <w:jc w:val="center"/>
        <w:rPr>
          <w:rFonts w:hint="default" w:ascii="Times New Roman" w:hAnsi="Times New Roman" w:eastAsia="宋体" w:cs="Times New Roman"/>
          <w:bCs w:val="0"/>
          <w:snapToGrid/>
          <w:color w:val="auto"/>
          <w:sz w:val="28"/>
          <w:szCs w:val="28"/>
          <w:highlight w:val="none"/>
          <w:lang w:val="en-US" w:eastAsia="zh-CN"/>
        </w:rPr>
      </w:pPr>
      <w:r>
        <w:rPr>
          <w:rFonts w:hint="eastAsia" w:ascii="Times New Roman" w:hAnsi="Times New Roman" w:cs="Times New Roman"/>
          <w:bCs w:val="0"/>
          <w:snapToGrid/>
          <w:color w:val="auto"/>
          <w:sz w:val="28"/>
          <w:szCs w:val="28"/>
          <w:highlight w:val="none"/>
          <w:lang w:val="en-US" w:eastAsia="zh-CN"/>
        </w:rPr>
        <w:t>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8FCB05-59C9-4A3E-879F-BEAEE9F091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3D8899-DA3F-4E85-AB78-7CEA6869ED66}"/>
  </w:font>
  <w:font w:name="Cambria Math">
    <w:panose1 w:val="02040503050406030204"/>
    <w:charset w:val="00"/>
    <w:family w:val="roman"/>
    <w:pitch w:val="default"/>
    <w:sig w:usb0="E00006FF" w:usb1="420024FF" w:usb2="02000000" w:usb3="00000000" w:csb0="2000019F" w:csb1="00000000"/>
    <w:embedRegular r:id="rId3" w:fontKey="{0C2BDE2E-85C7-4A67-B412-66495F846130}"/>
  </w:font>
  <w:font w:name="等线 Light">
    <w:panose1 w:val="02010600030101010101"/>
    <w:charset w:val="86"/>
    <w:family w:val="auto"/>
    <w:pitch w:val="default"/>
    <w:sig w:usb0="A00002BF" w:usb1="38CF7CFA" w:usb2="00000016" w:usb3="00000000" w:csb0="0004000F" w:csb1="00000000"/>
    <w:embedRegular r:id="rId4" w:fontKey="{8F0845C5-8289-4B35-9F3F-B8BF48E1F1A3}"/>
  </w:font>
  <w:font w:name="Cambria">
    <w:panose1 w:val="02040503050406030204"/>
    <w:charset w:val="00"/>
    <w:family w:val="roman"/>
    <w:pitch w:val="default"/>
    <w:sig w:usb0="E00006FF" w:usb1="420024FF" w:usb2="02000000" w:usb3="00000000" w:csb0="2000019F" w:csb1="00000000"/>
    <w:embedRegular r:id="rId5" w:fontKey="{72523E88-908C-4C74-AE8E-DA20861AB9E2}"/>
  </w:font>
  <w:font w:name="Times New Roman Regular">
    <w:altName w:val="宋体"/>
    <w:panose1 w:val="00000000000000000000"/>
    <w:charset w:val="86"/>
    <w:family w:val="auto"/>
    <w:pitch w:val="default"/>
    <w:sig w:usb0="00000000" w:usb1="00000000" w:usb2="00000000" w:usb3="00000000" w:csb0="00000000" w:csb1="00000000"/>
    <w:embedRegular r:id="rId6" w:fontKey="{E9F33199-1A27-4FAC-95F7-31EB6C1891FC}"/>
  </w:font>
  <w:font w:name="方正小标宋_GBK">
    <w:panose1 w:val="03000509000000000000"/>
    <w:charset w:val="86"/>
    <w:family w:val="script"/>
    <w:pitch w:val="default"/>
    <w:sig w:usb0="00000001" w:usb1="080E0000" w:usb2="00000000" w:usb3="00000000" w:csb0="00040000" w:csb1="00000000"/>
    <w:embedRegular r:id="rId7" w:fontKey="{CEAAED25-FAFF-4367-A82F-DD3B509E6CD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E2D3"/>
    <w:multiLevelType w:val="multilevel"/>
    <w:tmpl w:val="DFCFE2D3"/>
    <w:lvl w:ilvl="0" w:tentative="0">
      <w:start w:val="1"/>
      <w:numFmt w:val="chineseCountingThousand"/>
      <w:suff w:val="nothing"/>
      <w:lvlText w:val="%1、"/>
      <w:lvlJc w:val="left"/>
      <w:pPr>
        <w:ind w:left="480" w:firstLine="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
    <w:nsid w:val="F9581163"/>
    <w:multiLevelType w:val="singleLevel"/>
    <w:tmpl w:val="F9581163"/>
    <w:lvl w:ilvl="0" w:tentative="0">
      <w:start w:val="2"/>
      <w:numFmt w:val="chineseCounting"/>
      <w:suff w:val="nothing"/>
      <w:lvlText w:val="（%1）"/>
      <w:lvlJc w:val="left"/>
      <w:rPr>
        <w:rFonts w:hint="eastAsia"/>
      </w:rPr>
    </w:lvl>
  </w:abstractNum>
  <w:abstractNum w:abstractNumId="2">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3">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38DB7A39"/>
    <w:multiLevelType w:val="multilevel"/>
    <w:tmpl w:val="38DB7A39"/>
    <w:lvl w:ilvl="0" w:tentative="0">
      <w:start w:val="1"/>
      <w:numFmt w:val="chineseCountingThousand"/>
      <w:suff w:val="nothing"/>
      <w:lvlText w:val="%1、"/>
      <w:lvlJc w:val="left"/>
      <w:pPr>
        <w:ind w:left="420" w:hanging="420"/>
      </w:pPr>
      <w:rPr>
        <w:rFonts w:hint="eastAsia"/>
        <w:b/>
        <w:bCs w:val="0"/>
        <w:sz w:val="28"/>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7F2D3B5E"/>
    <w:multiLevelType w:val="multilevel"/>
    <w:tmpl w:val="7F2D3B5E"/>
    <w:lvl w:ilvl="0" w:tentative="0">
      <w:start w:val="1"/>
      <w:numFmt w:val="decimal"/>
      <w:lvlText w:val="%1、"/>
      <w:lvlJc w:val="left"/>
      <w:pPr>
        <w:tabs>
          <w:tab w:val="left" w:pos="0"/>
        </w:tabs>
        <w:ind w:left="900" w:hanging="420"/>
      </w:pPr>
      <w:rPr>
        <w:rFonts w:hint="eastAsia"/>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0D0424"/>
    <w:rsid w:val="000036E6"/>
    <w:rsid w:val="000111A4"/>
    <w:rsid w:val="000115A4"/>
    <w:rsid w:val="00015A2D"/>
    <w:rsid w:val="00020F06"/>
    <w:rsid w:val="000236C2"/>
    <w:rsid w:val="000252A5"/>
    <w:rsid w:val="0003337A"/>
    <w:rsid w:val="000364D7"/>
    <w:rsid w:val="000437FE"/>
    <w:rsid w:val="00043D7D"/>
    <w:rsid w:val="00044E9E"/>
    <w:rsid w:val="00054FC1"/>
    <w:rsid w:val="000553FD"/>
    <w:rsid w:val="00060F6F"/>
    <w:rsid w:val="0006401A"/>
    <w:rsid w:val="00064C97"/>
    <w:rsid w:val="000706EF"/>
    <w:rsid w:val="00076CE1"/>
    <w:rsid w:val="00081DEC"/>
    <w:rsid w:val="0008271F"/>
    <w:rsid w:val="000847C5"/>
    <w:rsid w:val="000855AA"/>
    <w:rsid w:val="00086097"/>
    <w:rsid w:val="0008709C"/>
    <w:rsid w:val="00094F8B"/>
    <w:rsid w:val="00095ED3"/>
    <w:rsid w:val="000A0533"/>
    <w:rsid w:val="000A0893"/>
    <w:rsid w:val="000A2A5B"/>
    <w:rsid w:val="000A2E14"/>
    <w:rsid w:val="000A5D27"/>
    <w:rsid w:val="000A60BE"/>
    <w:rsid w:val="000B66D3"/>
    <w:rsid w:val="000C3195"/>
    <w:rsid w:val="000C31B5"/>
    <w:rsid w:val="000C4836"/>
    <w:rsid w:val="000D004E"/>
    <w:rsid w:val="000D0424"/>
    <w:rsid w:val="000D23BF"/>
    <w:rsid w:val="000D2977"/>
    <w:rsid w:val="000D62FF"/>
    <w:rsid w:val="000E2606"/>
    <w:rsid w:val="000F1EEA"/>
    <w:rsid w:val="000F3BE7"/>
    <w:rsid w:val="000F648D"/>
    <w:rsid w:val="000F64CA"/>
    <w:rsid w:val="000F6BDC"/>
    <w:rsid w:val="001024C7"/>
    <w:rsid w:val="001026F6"/>
    <w:rsid w:val="00104BDD"/>
    <w:rsid w:val="001141CD"/>
    <w:rsid w:val="001206CE"/>
    <w:rsid w:val="00121692"/>
    <w:rsid w:val="00121FF1"/>
    <w:rsid w:val="001232AC"/>
    <w:rsid w:val="0012353B"/>
    <w:rsid w:val="001318D8"/>
    <w:rsid w:val="00131FB2"/>
    <w:rsid w:val="00136526"/>
    <w:rsid w:val="00137CEB"/>
    <w:rsid w:val="00141AF6"/>
    <w:rsid w:val="00144EFE"/>
    <w:rsid w:val="00147B0B"/>
    <w:rsid w:val="00152D20"/>
    <w:rsid w:val="00153784"/>
    <w:rsid w:val="00153DC8"/>
    <w:rsid w:val="00154731"/>
    <w:rsid w:val="00160B4F"/>
    <w:rsid w:val="001615B5"/>
    <w:rsid w:val="00161DCC"/>
    <w:rsid w:val="0016527E"/>
    <w:rsid w:val="00170A20"/>
    <w:rsid w:val="0017247B"/>
    <w:rsid w:val="001735E4"/>
    <w:rsid w:val="00181AB3"/>
    <w:rsid w:val="0018211A"/>
    <w:rsid w:val="001929CF"/>
    <w:rsid w:val="001A29CE"/>
    <w:rsid w:val="001A7ADE"/>
    <w:rsid w:val="001B11E9"/>
    <w:rsid w:val="001B5BB7"/>
    <w:rsid w:val="001C0F5A"/>
    <w:rsid w:val="001C3375"/>
    <w:rsid w:val="001C452B"/>
    <w:rsid w:val="001C49FF"/>
    <w:rsid w:val="001D2340"/>
    <w:rsid w:val="001E6686"/>
    <w:rsid w:val="001F2A3D"/>
    <w:rsid w:val="001F558E"/>
    <w:rsid w:val="001F7E2A"/>
    <w:rsid w:val="00200CA6"/>
    <w:rsid w:val="00203D31"/>
    <w:rsid w:val="00213B70"/>
    <w:rsid w:val="00215C61"/>
    <w:rsid w:val="00215FED"/>
    <w:rsid w:val="002202F9"/>
    <w:rsid w:val="0022548E"/>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5D1D"/>
    <w:rsid w:val="0026729C"/>
    <w:rsid w:val="00270EDB"/>
    <w:rsid w:val="00271BEA"/>
    <w:rsid w:val="002879A4"/>
    <w:rsid w:val="00287E94"/>
    <w:rsid w:val="0029189D"/>
    <w:rsid w:val="002931C0"/>
    <w:rsid w:val="00293DBB"/>
    <w:rsid w:val="00294A0E"/>
    <w:rsid w:val="002A724A"/>
    <w:rsid w:val="002B014E"/>
    <w:rsid w:val="002B0828"/>
    <w:rsid w:val="002C139E"/>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073"/>
    <w:rsid w:val="00342125"/>
    <w:rsid w:val="0034645D"/>
    <w:rsid w:val="00352CDA"/>
    <w:rsid w:val="00355534"/>
    <w:rsid w:val="00357B28"/>
    <w:rsid w:val="00360088"/>
    <w:rsid w:val="003619A9"/>
    <w:rsid w:val="00362D28"/>
    <w:rsid w:val="00365AA0"/>
    <w:rsid w:val="00366E66"/>
    <w:rsid w:val="00366E72"/>
    <w:rsid w:val="00367650"/>
    <w:rsid w:val="00370936"/>
    <w:rsid w:val="00370943"/>
    <w:rsid w:val="00370D9F"/>
    <w:rsid w:val="00377B34"/>
    <w:rsid w:val="0038537B"/>
    <w:rsid w:val="00390C31"/>
    <w:rsid w:val="00391D36"/>
    <w:rsid w:val="003925B7"/>
    <w:rsid w:val="00392C2D"/>
    <w:rsid w:val="00393299"/>
    <w:rsid w:val="003A0D66"/>
    <w:rsid w:val="003B0600"/>
    <w:rsid w:val="003B2676"/>
    <w:rsid w:val="003B39E6"/>
    <w:rsid w:val="003B53F0"/>
    <w:rsid w:val="003D3634"/>
    <w:rsid w:val="003D53D5"/>
    <w:rsid w:val="003D5F48"/>
    <w:rsid w:val="003D78BF"/>
    <w:rsid w:val="003E0993"/>
    <w:rsid w:val="003E580F"/>
    <w:rsid w:val="003E5981"/>
    <w:rsid w:val="003F02B7"/>
    <w:rsid w:val="003F07B0"/>
    <w:rsid w:val="0041113B"/>
    <w:rsid w:val="004123B0"/>
    <w:rsid w:val="004161FB"/>
    <w:rsid w:val="004168F7"/>
    <w:rsid w:val="00416E66"/>
    <w:rsid w:val="00420280"/>
    <w:rsid w:val="00420EBF"/>
    <w:rsid w:val="00422EAD"/>
    <w:rsid w:val="00427490"/>
    <w:rsid w:val="00427BB8"/>
    <w:rsid w:val="00431B29"/>
    <w:rsid w:val="00440916"/>
    <w:rsid w:val="00446C9D"/>
    <w:rsid w:val="00450315"/>
    <w:rsid w:val="0045375B"/>
    <w:rsid w:val="00462573"/>
    <w:rsid w:val="0046490E"/>
    <w:rsid w:val="00464F3B"/>
    <w:rsid w:val="00465F99"/>
    <w:rsid w:val="00471EFF"/>
    <w:rsid w:val="00475E15"/>
    <w:rsid w:val="00483D0F"/>
    <w:rsid w:val="00484838"/>
    <w:rsid w:val="0049141D"/>
    <w:rsid w:val="0049345C"/>
    <w:rsid w:val="0049641A"/>
    <w:rsid w:val="004966D5"/>
    <w:rsid w:val="004A3AFA"/>
    <w:rsid w:val="004B260D"/>
    <w:rsid w:val="004B428A"/>
    <w:rsid w:val="004B5563"/>
    <w:rsid w:val="004B76F1"/>
    <w:rsid w:val="004C1ADB"/>
    <w:rsid w:val="004D1C99"/>
    <w:rsid w:val="004D700D"/>
    <w:rsid w:val="004D7313"/>
    <w:rsid w:val="004E1364"/>
    <w:rsid w:val="004E4FAE"/>
    <w:rsid w:val="004F59A7"/>
    <w:rsid w:val="005004C6"/>
    <w:rsid w:val="00503061"/>
    <w:rsid w:val="0050621B"/>
    <w:rsid w:val="00511156"/>
    <w:rsid w:val="00520747"/>
    <w:rsid w:val="00523296"/>
    <w:rsid w:val="00524E61"/>
    <w:rsid w:val="00530353"/>
    <w:rsid w:val="0053444B"/>
    <w:rsid w:val="0054233D"/>
    <w:rsid w:val="00542456"/>
    <w:rsid w:val="005477AE"/>
    <w:rsid w:val="005531A9"/>
    <w:rsid w:val="005556AE"/>
    <w:rsid w:val="00561AA4"/>
    <w:rsid w:val="00561D93"/>
    <w:rsid w:val="00561D9E"/>
    <w:rsid w:val="00566FD9"/>
    <w:rsid w:val="00570BD0"/>
    <w:rsid w:val="005826E2"/>
    <w:rsid w:val="00582B84"/>
    <w:rsid w:val="005848BA"/>
    <w:rsid w:val="005924E0"/>
    <w:rsid w:val="005A11A2"/>
    <w:rsid w:val="005A1E1D"/>
    <w:rsid w:val="005A3221"/>
    <w:rsid w:val="005A3644"/>
    <w:rsid w:val="005B16ED"/>
    <w:rsid w:val="005B1D2E"/>
    <w:rsid w:val="005B1EE8"/>
    <w:rsid w:val="005B3914"/>
    <w:rsid w:val="005B7D95"/>
    <w:rsid w:val="005C617A"/>
    <w:rsid w:val="005D03A4"/>
    <w:rsid w:val="005D2D2F"/>
    <w:rsid w:val="005D5D99"/>
    <w:rsid w:val="005E264F"/>
    <w:rsid w:val="005E37FA"/>
    <w:rsid w:val="005E7576"/>
    <w:rsid w:val="005E76AF"/>
    <w:rsid w:val="005F4FF6"/>
    <w:rsid w:val="005F5B8F"/>
    <w:rsid w:val="005F632A"/>
    <w:rsid w:val="005F6B9A"/>
    <w:rsid w:val="005F73E3"/>
    <w:rsid w:val="00601B2F"/>
    <w:rsid w:val="006051FC"/>
    <w:rsid w:val="00611671"/>
    <w:rsid w:val="00613BAB"/>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0881"/>
    <w:rsid w:val="00711807"/>
    <w:rsid w:val="00721CF7"/>
    <w:rsid w:val="00722CB6"/>
    <w:rsid w:val="00723592"/>
    <w:rsid w:val="007248C2"/>
    <w:rsid w:val="00730761"/>
    <w:rsid w:val="00732184"/>
    <w:rsid w:val="007330FF"/>
    <w:rsid w:val="00735E3B"/>
    <w:rsid w:val="00740E02"/>
    <w:rsid w:val="00753D1B"/>
    <w:rsid w:val="007553C4"/>
    <w:rsid w:val="00757EEB"/>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2C9E"/>
    <w:rsid w:val="007F5262"/>
    <w:rsid w:val="00800B8E"/>
    <w:rsid w:val="00802DB2"/>
    <w:rsid w:val="008065F5"/>
    <w:rsid w:val="00813AAC"/>
    <w:rsid w:val="008145C5"/>
    <w:rsid w:val="00817F04"/>
    <w:rsid w:val="00820D92"/>
    <w:rsid w:val="00823BB8"/>
    <w:rsid w:val="00832519"/>
    <w:rsid w:val="0083290A"/>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68E3"/>
    <w:rsid w:val="00887342"/>
    <w:rsid w:val="00887B38"/>
    <w:rsid w:val="008936AF"/>
    <w:rsid w:val="0089391F"/>
    <w:rsid w:val="008A45F5"/>
    <w:rsid w:val="008A6599"/>
    <w:rsid w:val="008A69CD"/>
    <w:rsid w:val="008B7A02"/>
    <w:rsid w:val="008B7FC3"/>
    <w:rsid w:val="008C19B4"/>
    <w:rsid w:val="008C4CD1"/>
    <w:rsid w:val="008E05F7"/>
    <w:rsid w:val="008E412C"/>
    <w:rsid w:val="008E47B3"/>
    <w:rsid w:val="008E4C3C"/>
    <w:rsid w:val="008F17D0"/>
    <w:rsid w:val="008F1F7B"/>
    <w:rsid w:val="008F2775"/>
    <w:rsid w:val="008F2F54"/>
    <w:rsid w:val="008F306A"/>
    <w:rsid w:val="008F6791"/>
    <w:rsid w:val="00901788"/>
    <w:rsid w:val="00905FE6"/>
    <w:rsid w:val="009077E6"/>
    <w:rsid w:val="009170F2"/>
    <w:rsid w:val="009234CC"/>
    <w:rsid w:val="0093673E"/>
    <w:rsid w:val="00936C13"/>
    <w:rsid w:val="00937EBD"/>
    <w:rsid w:val="00943FCC"/>
    <w:rsid w:val="00957C90"/>
    <w:rsid w:val="0096160D"/>
    <w:rsid w:val="00962B80"/>
    <w:rsid w:val="00965571"/>
    <w:rsid w:val="00965B2B"/>
    <w:rsid w:val="00966754"/>
    <w:rsid w:val="00972D3A"/>
    <w:rsid w:val="0097306D"/>
    <w:rsid w:val="00973421"/>
    <w:rsid w:val="00975B5A"/>
    <w:rsid w:val="009813E8"/>
    <w:rsid w:val="0098167D"/>
    <w:rsid w:val="00983464"/>
    <w:rsid w:val="00987128"/>
    <w:rsid w:val="00990C5B"/>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4497"/>
    <w:rsid w:val="00A14EF9"/>
    <w:rsid w:val="00A17BAF"/>
    <w:rsid w:val="00A22B89"/>
    <w:rsid w:val="00A22EA4"/>
    <w:rsid w:val="00A24AC1"/>
    <w:rsid w:val="00A25CC8"/>
    <w:rsid w:val="00A26B14"/>
    <w:rsid w:val="00A337EB"/>
    <w:rsid w:val="00A36113"/>
    <w:rsid w:val="00A3785C"/>
    <w:rsid w:val="00A42D5F"/>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6C7"/>
    <w:rsid w:val="00AA47E6"/>
    <w:rsid w:val="00AA5285"/>
    <w:rsid w:val="00AB0560"/>
    <w:rsid w:val="00AB1A60"/>
    <w:rsid w:val="00AB3B09"/>
    <w:rsid w:val="00AB4405"/>
    <w:rsid w:val="00AC01FA"/>
    <w:rsid w:val="00AC091A"/>
    <w:rsid w:val="00AC18AE"/>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0713"/>
    <w:rsid w:val="00B538C4"/>
    <w:rsid w:val="00B53C0E"/>
    <w:rsid w:val="00B62AC8"/>
    <w:rsid w:val="00B62CF6"/>
    <w:rsid w:val="00B65FE6"/>
    <w:rsid w:val="00B73128"/>
    <w:rsid w:val="00B758C5"/>
    <w:rsid w:val="00B81CCB"/>
    <w:rsid w:val="00B8615F"/>
    <w:rsid w:val="00B87C9B"/>
    <w:rsid w:val="00B91145"/>
    <w:rsid w:val="00B97476"/>
    <w:rsid w:val="00B97740"/>
    <w:rsid w:val="00B9783C"/>
    <w:rsid w:val="00BA0488"/>
    <w:rsid w:val="00BA4F78"/>
    <w:rsid w:val="00BA7D91"/>
    <w:rsid w:val="00BB2031"/>
    <w:rsid w:val="00BB20CF"/>
    <w:rsid w:val="00BB27E1"/>
    <w:rsid w:val="00BB4D72"/>
    <w:rsid w:val="00BC0732"/>
    <w:rsid w:val="00BC0EDD"/>
    <w:rsid w:val="00BD18D7"/>
    <w:rsid w:val="00BD36F2"/>
    <w:rsid w:val="00BD42AD"/>
    <w:rsid w:val="00BE3849"/>
    <w:rsid w:val="00BE3FE1"/>
    <w:rsid w:val="00BE77B1"/>
    <w:rsid w:val="00BF0860"/>
    <w:rsid w:val="00BF15F9"/>
    <w:rsid w:val="00BF16C4"/>
    <w:rsid w:val="00BF2194"/>
    <w:rsid w:val="00BF3B7D"/>
    <w:rsid w:val="00BF40C2"/>
    <w:rsid w:val="00BF5137"/>
    <w:rsid w:val="00BF6AE0"/>
    <w:rsid w:val="00C17EC2"/>
    <w:rsid w:val="00C22728"/>
    <w:rsid w:val="00C25481"/>
    <w:rsid w:val="00C275BF"/>
    <w:rsid w:val="00C3280B"/>
    <w:rsid w:val="00C35968"/>
    <w:rsid w:val="00C359FF"/>
    <w:rsid w:val="00C366F3"/>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CE71FF"/>
    <w:rsid w:val="00D01EB4"/>
    <w:rsid w:val="00D01EEB"/>
    <w:rsid w:val="00D0643A"/>
    <w:rsid w:val="00D06FDD"/>
    <w:rsid w:val="00D11BB1"/>
    <w:rsid w:val="00D226CB"/>
    <w:rsid w:val="00D33C51"/>
    <w:rsid w:val="00D356F5"/>
    <w:rsid w:val="00D41C46"/>
    <w:rsid w:val="00D4442B"/>
    <w:rsid w:val="00D45115"/>
    <w:rsid w:val="00D471E3"/>
    <w:rsid w:val="00D50220"/>
    <w:rsid w:val="00D51F16"/>
    <w:rsid w:val="00D5398B"/>
    <w:rsid w:val="00D5497E"/>
    <w:rsid w:val="00D5582E"/>
    <w:rsid w:val="00D61ACF"/>
    <w:rsid w:val="00D647F5"/>
    <w:rsid w:val="00D661E5"/>
    <w:rsid w:val="00D67082"/>
    <w:rsid w:val="00D7033E"/>
    <w:rsid w:val="00D8289A"/>
    <w:rsid w:val="00D85686"/>
    <w:rsid w:val="00D86DEE"/>
    <w:rsid w:val="00D90837"/>
    <w:rsid w:val="00D950BB"/>
    <w:rsid w:val="00DA18CC"/>
    <w:rsid w:val="00DA2D78"/>
    <w:rsid w:val="00DA52EA"/>
    <w:rsid w:val="00DA63B9"/>
    <w:rsid w:val="00DA6BF3"/>
    <w:rsid w:val="00DA7C20"/>
    <w:rsid w:val="00DB0C6F"/>
    <w:rsid w:val="00DB6C27"/>
    <w:rsid w:val="00DB77C8"/>
    <w:rsid w:val="00DC10AE"/>
    <w:rsid w:val="00DD0F32"/>
    <w:rsid w:val="00DD204C"/>
    <w:rsid w:val="00DD42D8"/>
    <w:rsid w:val="00DD4D88"/>
    <w:rsid w:val="00DD4E72"/>
    <w:rsid w:val="00DD5424"/>
    <w:rsid w:val="00DD6972"/>
    <w:rsid w:val="00DE4A6A"/>
    <w:rsid w:val="00DE5643"/>
    <w:rsid w:val="00DF115A"/>
    <w:rsid w:val="00E02718"/>
    <w:rsid w:val="00E1275D"/>
    <w:rsid w:val="00E34CD4"/>
    <w:rsid w:val="00E36F15"/>
    <w:rsid w:val="00E423E6"/>
    <w:rsid w:val="00E44E4A"/>
    <w:rsid w:val="00E45E4D"/>
    <w:rsid w:val="00E5165F"/>
    <w:rsid w:val="00E519E7"/>
    <w:rsid w:val="00E57B3D"/>
    <w:rsid w:val="00E65131"/>
    <w:rsid w:val="00E65C1F"/>
    <w:rsid w:val="00E67622"/>
    <w:rsid w:val="00E77E8F"/>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1265"/>
    <w:rsid w:val="00F222DB"/>
    <w:rsid w:val="00F22F01"/>
    <w:rsid w:val="00F23377"/>
    <w:rsid w:val="00F3005A"/>
    <w:rsid w:val="00F30FBC"/>
    <w:rsid w:val="00F40B44"/>
    <w:rsid w:val="00F436BC"/>
    <w:rsid w:val="00F43B29"/>
    <w:rsid w:val="00F5158F"/>
    <w:rsid w:val="00F53145"/>
    <w:rsid w:val="00F54587"/>
    <w:rsid w:val="00F6150B"/>
    <w:rsid w:val="00F61628"/>
    <w:rsid w:val="00F64EAD"/>
    <w:rsid w:val="00F714CB"/>
    <w:rsid w:val="00F73494"/>
    <w:rsid w:val="00F77283"/>
    <w:rsid w:val="00F9432A"/>
    <w:rsid w:val="00F95984"/>
    <w:rsid w:val="00F9672E"/>
    <w:rsid w:val="00F9765A"/>
    <w:rsid w:val="00F97B89"/>
    <w:rsid w:val="00FA6A9D"/>
    <w:rsid w:val="00FB4D02"/>
    <w:rsid w:val="00FB701A"/>
    <w:rsid w:val="00FC0799"/>
    <w:rsid w:val="00FC0B8F"/>
    <w:rsid w:val="00FC2852"/>
    <w:rsid w:val="00FC36A7"/>
    <w:rsid w:val="00FC4803"/>
    <w:rsid w:val="00FC59CC"/>
    <w:rsid w:val="00FF4C08"/>
    <w:rsid w:val="077C5011"/>
    <w:rsid w:val="0EB574B2"/>
    <w:rsid w:val="0FCB28C9"/>
    <w:rsid w:val="130848A2"/>
    <w:rsid w:val="139F358B"/>
    <w:rsid w:val="156F1F39"/>
    <w:rsid w:val="19BC540E"/>
    <w:rsid w:val="1B5A546C"/>
    <w:rsid w:val="1BD22D2F"/>
    <w:rsid w:val="205E01F7"/>
    <w:rsid w:val="20722D0B"/>
    <w:rsid w:val="23924D9A"/>
    <w:rsid w:val="25D6438C"/>
    <w:rsid w:val="27947BA4"/>
    <w:rsid w:val="2A1F7963"/>
    <w:rsid w:val="2A9964B2"/>
    <w:rsid w:val="2D79041E"/>
    <w:rsid w:val="32E20208"/>
    <w:rsid w:val="36774955"/>
    <w:rsid w:val="3BBE4041"/>
    <w:rsid w:val="41184CDA"/>
    <w:rsid w:val="43326C4D"/>
    <w:rsid w:val="43744328"/>
    <w:rsid w:val="453A5926"/>
    <w:rsid w:val="457E261E"/>
    <w:rsid w:val="4BF279DB"/>
    <w:rsid w:val="4CBF064C"/>
    <w:rsid w:val="4DC4528E"/>
    <w:rsid w:val="4F8F08B9"/>
    <w:rsid w:val="53FA5288"/>
    <w:rsid w:val="57A9177C"/>
    <w:rsid w:val="5B764608"/>
    <w:rsid w:val="5D1458CD"/>
    <w:rsid w:val="5E272426"/>
    <w:rsid w:val="63482F32"/>
    <w:rsid w:val="65223BFC"/>
    <w:rsid w:val="65D8322D"/>
    <w:rsid w:val="66FD4F76"/>
    <w:rsid w:val="6D792B89"/>
    <w:rsid w:val="6D8668BF"/>
    <w:rsid w:val="71710F77"/>
    <w:rsid w:val="71DA42DA"/>
    <w:rsid w:val="75C64E50"/>
    <w:rsid w:val="763C5729"/>
    <w:rsid w:val="77406CDA"/>
    <w:rsid w:val="7E7B3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mbria Math" w:hAnsi="Cambria Math" w:eastAsia="宋体" w:cs="Cambria Math"/>
      <w:kern w:val="2"/>
      <w:sz w:val="28"/>
      <w:szCs w:val="20"/>
      <w:lang w:val="en-US" w:eastAsia="zh-CN" w:bidi="ar-SA"/>
    </w:rPr>
  </w:style>
  <w:style w:type="paragraph" w:styleId="3">
    <w:name w:val="heading 1"/>
    <w:basedOn w:val="1"/>
    <w:next w:val="1"/>
    <w:link w:val="26"/>
    <w:autoRedefine/>
    <w:qFormat/>
    <w:uiPriority w:val="0"/>
    <w:pPr>
      <w:tabs>
        <w:tab w:val="left" w:pos="3360"/>
      </w:tabs>
      <w:snapToGrid w:val="0"/>
      <w:spacing w:before="120" w:line="360" w:lineRule="auto"/>
      <w:ind w:right="-39" w:rightChars="-14"/>
      <w:jc w:val="center"/>
      <w:outlineLvl w:val="0"/>
    </w:pPr>
    <w:rPr>
      <w:rFonts w:ascii="宋体" w:hAnsi="宋体" w:cs="等线 Light"/>
      <w:b/>
      <w:snapToGrid w:val="0"/>
      <w:kern w:val="0"/>
      <w:sz w:val="44"/>
      <w:szCs w:val="44"/>
    </w:rPr>
  </w:style>
  <w:style w:type="paragraph" w:styleId="4">
    <w:name w:val="heading 2"/>
    <w:basedOn w:val="1"/>
    <w:next w:val="1"/>
    <w:link w:val="32"/>
    <w:autoRedefine/>
    <w:unhideWhenUsed/>
    <w:qFormat/>
    <w:uiPriority w:val="9"/>
    <w:pPr>
      <w:spacing w:line="360" w:lineRule="auto"/>
      <w:ind w:firstLine="482" w:firstLineChars="200"/>
      <w:outlineLvl w:val="1"/>
    </w:pPr>
    <w:rPr>
      <w:rFonts w:ascii="宋体" w:hAnsi="宋体" w:cstheme="majorBidi"/>
      <w:b/>
      <w:bCs/>
      <w:snapToGrid w:val="0"/>
      <w:sz w:val="24"/>
      <w:szCs w:val="24"/>
    </w:rPr>
  </w:style>
  <w:style w:type="paragraph" w:styleId="5">
    <w:name w:val="heading 3"/>
    <w:basedOn w:val="1"/>
    <w:next w:val="1"/>
    <w:link w:val="37"/>
    <w:autoRedefine/>
    <w:unhideWhenUsed/>
    <w:qFormat/>
    <w:uiPriority w:val="9"/>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tabs>
        <w:tab w:val="center" w:pos="4201"/>
        <w:tab w:val="right" w:leader="dot" w:pos="9298"/>
      </w:tabs>
    </w:pPr>
    <w:rPr>
      <w:sz w:val="24"/>
    </w:rPr>
  </w:style>
  <w:style w:type="paragraph" w:styleId="6">
    <w:name w:val="Normal Indent"/>
    <w:basedOn w:val="1"/>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7">
    <w:name w:val="Document Map"/>
    <w:basedOn w:val="1"/>
    <w:link w:val="39"/>
    <w:autoRedefine/>
    <w:semiHidden/>
    <w:unhideWhenUsed/>
    <w:qFormat/>
    <w:uiPriority w:val="99"/>
    <w:rPr>
      <w:rFonts w:ascii="宋体"/>
      <w:sz w:val="18"/>
      <w:szCs w:val="18"/>
    </w:rPr>
  </w:style>
  <w:style w:type="paragraph" w:styleId="8">
    <w:name w:val="annotation text"/>
    <w:basedOn w:val="1"/>
    <w:link w:val="30"/>
    <w:autoRedefine/>
    <w:unhideWhenUsed/>
    <w:qFormat/>
    <w:uiPriority w:val="99"/>
    <w:pPr>
      <w:jc w:val="left"/>
    </w:pPr>
  </w:style>
  <w:style w:type="paragraph" w:styleId="9">
    <w:name w:val="Body Text Indent"/>
    <w:basedOn w:val="1"/>
    <w:autoRedefine/>
    <w:qFormat/>
    <w:uiPriority w:val="0"/>
    <w:pPr>
      <w:widowControl w:val="0"/>
      <w:spacing w:after="120"/>
      <w:ind w:left="200" w:leftChars="200"/>
      <w:jc w:val="both"/>
    </w:pPr>
    <w:rPr>
      <w:rFonts w:ascii="Cambria Math" w:hAnsi="Cambria Math" w:eastAsia="宋体" w:cs="Cambria Math"/>
      <w:kern w:val="2"/>
      <w:sz w:val="28"/>
      <w:szCs w:val="20"/>
      <w:lang w:val="en-US" w:eastAsia="zh-CN" w:bidi="ar-SA"/>
    </w:rPr>
  </w:style>
  <w:style w:type="paragraph" w:styleId="10">
    <w:name w:val="toc 3"/>
    <w:basedOn w:val="1"/>
    <w:next w:val="1"/>
    <w:autoRedefine/>
    <w:qFormat/>
    <w:uiPriority w:val="0"/>
    <w:pPr>
      <w:ind w:left="840"/>
    </w:pPr>
  </w:style>
  <w:style w:type="paragraph" w:styleId="11">
    <w:name w:val="Plain Text"/>
    <w:basedOn w:val="1"/>
    <w:autoRedefine/>
    <w:qFormat/>
    <w:uiPriority w:val="0"/>
    <w:rPr>
      <w:rFonts w:ascii="宋体" w:cs="Times New Roman"/>
      <w:sz w:val="21"/>
      <w:szCs w:val="21"/>
    </w:rPr>
  </w:style>
  <w:style w:type="paragraph" w:styleId="12">
    <w:name w:val="Date"/>
    <w:basedOn w:val="1"/>
    <w:next w:val="1"/>
    <w:link w:val="36"/>
    <w:autoRedefine/>
    <w:qFormat/>
    <w:uiPriority w:val="0"/>
    <w:rPr>
      <w:rFonts w:ascii="Times New Roman" w:hAnsi="Times New Roman" w:cs="Times New Roman"/>
    </w:rPr>
  </w:style>
  <w:style w:type="paragraph" w:styleId="13">
    <w:name w:val="Balloon Text"/>
    <w:basedOn w:val="1"/>
    <w:next w:val="10"/>
    <w:link w:val="27"/>
    <w:autoRedefine/>
    <w:qFormat/>
    <w:uiPriority w:val="0"/>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480" w:lineRule="auto"/>
      <w:ind w:firstLine="100" w:firstLineChars="100"/>
    </w:pPr>
    <w:rPr>
      <w:szCs w:val="44"/>
    </w:rPr>
  </w:style>
  <w:style w:type="paragraph" w:styleId="17">
    <w:name w:val="toc 2"/>
    <w:basedOn w:val="1"/>
    <w:next w:val="1"/>
    <w:autoRedefine/>
    <w:unhideWhenUsed/>
    <w:qFormat/>
    <w:uiPriority w:val="39"/>
    <w:pPr>
      <w:ind w:left="420" w:leftChars="200"/>
    </w:pPr>
  </w:style>
  <w:style w:type="paragraph" w:styleId="18">
    <w:name w:val="Normal (Web)"/>
    <w:basedOn w:val="1"/>
    <w:next w:val="7"/>
    <w:autoRedefine/>
    <w:semiHidden/>
    <w:unhideWhenUsed/>
    <w:qFormat/>
    <w:uiPriority w:val="99"/>
    <w:rPr>
      <w:rFonts w:ascii="Times New Roman" w:hAnsi="Times New Roman" w:cs="Times New Roman"/>
      <w:sz w:val="24"/>
      <w:szCs w:val="24"/>
    </w:rPr>
  </w:style>
  <w:style w:type="paragraph" w:styleId="19">
    <w:name w:val="annotation subject"/>
    <w:basedOn w:val="8"/>
    <w:next w:val="8"/>
    <w:link w:val="31"/>
    <w:autoRedefine/>
    <w:semiHidden/>
    <w:unhideWhenUsed/>
    <w:qFormat/>
    <w:uiPriority w:val="99"/>
    <w:rPr>
      <w:b/>
      <w:bCs/>
    </w:rPr>
  </w:style>
  <w:style w:type="paragraph" w:styleId="20">
    <w:name w:val="Body Text First Indent"/>
    <w:basedOn w:val="2"/>
    <w:next w:val="13"/>
    <w:autoRedefine/>
    <w:qFormat/>
    <w:uiPriority w:val="0"/>
    <w:pPr>
      <w:spacing w:after="120" w:afterLines="0"/>
      <w:ind w:firstLine="420" w:firstLineChars="100"/>
    </w:pPr>
    <w:rPr>
      <w:kern w:val="2"/>
      <w:sz w:val="21"/>
      <w:szCs w:val="21"/>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3"/>
    <w:autoRedefine/>
    <w:unhideWhenUsed/>
    <w:qFormat/>
    <w:uiPriority w:val="99"/>
    <w:rPr>
      <w:sz w:val="21"/>
      <w:szCs w:val="21"/>
    </w:rPr>
  </w:style>
  <w:style w:type="character" w:customStyle="1" w:styleId="26">
    <w:name w:val="标题 1 Char"/>
    <w:basedOn w:val="23"/>
    <w:link w:val="3"/>
    <w:autoRedefine/>
    <w:qFormat/>
    <w:uiPriority w:val="0"/>
    <w:rPr>
      <w:rFonts w:ascii="宋体" w:hAnsi="宋体" w:eastAsia="宋体" w:cs="等线 Light"/>
      <w:b/>
      <w:snapToGrid w:val="0"/>
      <w:kern w:val="0"/>
      <w:sz w:val="44"/>
      <w:szCs w:val="44"/>
    </w:rPr>
  </w:style>
  <w:style w:type="character" w:customStyle="1" w:styleId="27">
    <w:name w:val="批注框文本 Char"/>
    <w:basedOn w:val="23"/>
    <w:link w:val="13"/>
    <w:autoRedefine/>
    <w:qFormat/>
    <w:uiPriority w:val="0"/>
    <w:rPr>
      <w:rFonts w:ascii="Cambria Math" w:hAnsi="Cambria Math" w:eastAsia="等线 Light" w:cs="Cambria Math"/>
      <w:sz w:val="18"/>
      <w:szCs w:val="18"/>
    </w:rPr>
  </w:style>
  <w:style w:type="paragraph" w:customStyle="1" w:styleId="28">
    <w:name w:val="样式 正文缩进 + 小四 左侧:  2 字符"/>
    <w:next w:val="13"/>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29">
    <w:name w:val="列表段落1"/>
    <w:next w:val="13"/>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character" w:customStyle="1" w:styleId="30">
    <w:name w:val="批注文字 Char"/>
    <w:basedOn w:val="23"/>
    <w:link w:val="8"/>
    <w:autoRedefine/>
    <w:qFormat/>
    <w:uiPriority w:val="99"/>
    <w:rPr>
      <w:rFonts w:ascii="Cambria Math" w:hAnsi="Cambria Math" w:eastAsia="等线 Light" w:cs="Cambria Math"/>
      <w:sz w:val="28"/>
      <w:szCs w:val="20"/>
    </w:rPr>
  </w:style>
  <w:style w:type="character" w:customStyle="1" w:styleId="31">
    <w:name w:val="批注主题 Char"/>
    <w:basedOn w:val="30"/>
    <w:link w:val="19"/>
    <w:autoRedefine/>
    <w:semiHidden/>
    <w:qFormat/>
    <w:uiPriority w:val="99"/>
    <w:rPr>
      <w:rFonts w:ascii="Cambria Math" w:hAnsi="Cambria Math" w:eastAsia="等线 Light" w:cs="Cambria Math"/>
      <w:b/>
      <w:bCs/>
      <w:sz w:val="28"/>
      <w:szCs w:val="20"/>
    </w:rPr>
  </w:style>
  <w:style w:type="character" w:customStyle="1" w:styleId="32">
    <w:name w:val="标题 2 Char"/>
    <w:basedOn w:val="23"/>
    <w:link w:val="4"/>
    <w:autoRedefine/>
    <w:qFormat/>
    <w:uiPriority w:val="9"/>
    <w:rPr>
      <w:rFonts w:ascii="宋体" w:hAnsi="宋体" w:eastAsia="宋体" w:cstheme="majorBidi"/>
      <w:b/>
      <w:bCs/>
      <w:snapToGrid w:val="0"/>
      <w:sz w:val="24"/>
      <w:szCs w:val="24"/>
    </w:rPr>
  </w:style>
  <w:style w:type="paragraph" w:styleId="33">
    <w:name w:val="List Paragraph"/>
    <w:basedOn w:val="1"/>
    <w:autoRedefine/>
    <w:qFormat/>
    <w:uiPriority w:val="34"/>
    <w:pPr>
      <w:ind w:firstLine="420" w:firstLineChars="200"/>
    </w:pPr>
  </w:style>
  <w:style w:type="character" w:customStyle="1" w:styleId="34">
    <w:name w:val="页眉 Char"/>
    <w:basedOn w:val="23"/>
    <w:link w:val="15"/>
    <w:autoRedefine/>
    <w:qFormat/>
    <w:uiPriority w:val="99"/>
    <w:rPr>
      <w:rFonts w:ascii="Cambria Math" w:hAnsi="Cambria Math" w:eastAsia="等线 Light" w:cs="Cambria Math"/>
      <w:sz w:val="18"/>
      <w:szCs w:val="18"/>
    </w:rPr>
  </w:style>
  <w:style w:type="character" w:customStyle="1" w:styleId="35">
    <w:name w:val="页脚 Char"/>
    <w:basedOn w:val="23"/>
    <w:link w:val="14"/>
    <w:autoRedefine/>
    <w:qFormat/>
    <w:uiPriority w:val="99"/>
    <w:rPr>
      <w:rFonts w:ascii="Cambria Math" w:hAnsi="Cambria Math" w:eastAsia="等线 Light" w:cs="Cambria Math"/>
      <w:sz w:val="18"/>
      <w:szCs w:val="18"/>
    </w:rPr>
  </w:style>
  <w:style w:type="character" w:customStyle="1" w:styleId="36">
    <w:name w:val="日期 Char"/>
    <w:basedOn w:val="23"/>
    <w:link w:val="12"/>
    <w:autoRedefine/>
    <w:qFormat/>
    <w:uiPriority w:val="0"/>
    <w:rPr>
      <w:rFonts w:ascii="Times New Roman" w:hAnsi="Times New Roman" w:eastAsia="宋体" w:cs="Times New Roman"/>
      <w:sz w:val="28"/>
      <w:szCs w:val="20"/>
    </w:rPr>
  </w:style>
  <w:style w:type="character" w:customStyle="1" w:styleId="37">
    <w:name w:val="标题 3 Char"/>
    <w:basedOn w:val="23"/>
    <w:link w:val="5"/>
    <w:autoRedefine/>
    <w:qFormat/>
    <w:uiPriority w:val="9"/>
    <w:rPr>
      <w:rFonts w:ascii="Cambria Math" w:hAnsi="Cambria Math" w:eastAsia="宋体" w:cs="Cambria Math"/>
      <w:b/>
      <w:bCs/>
      <w:sz w:val="32"/>
      <w:szCs w:val="32"/>
    </w:rPr>
  </w:style>
  <w:style w:type="paragraph" w:customStyle="1" w:styleId="38">
    <w:name w:val="TOC Heading"/>
    <w:basedOn w:val="3"/>
    <w:next w:val="1"/>
    <w:autoRedefine/>
    <w:unhideWhenUsed/>
    <w:qFormat/>
    <w:uiPriority w:val="39"/>
    <w:pPr>
      <w:keepNext/>
      <w:keepLines/>
      <w:widowControl/>
      <w:tabs>
        <w:tab w:val="clear" w:pos="3360"/>
      </w:tabs>
      <w:snapToGrid/>
      <w:spacing w:before="240" w:line="259" w:lineRule="auto"/>
      <w:ind w:right="0" w:rightChars="0"/>
      <w:jc w:val="left"/>
      <w:outlineLvl w:val="9"/>
    </w:pPr>
    <w:rPr>
      <w:rFonts w:asciiTheme="majorHAnsi" w:hAnsiTheme="majorHAnsi" w:eastAsiaTheme="majorEastAsia" w:cstheme="majorBidi"/>
      <w:b w:val="0"/>
      <w:snapToGrid/>
      <w:color w:val="2F5597" w:themeColor="accent1" w:themeShade="BF"/>
      <w:sz w:val="32"/>
      <w:szCs w:val="32"/>
    </w:rPr>
  </w:style>
  <w:style w:type="character" w:customStyle="1" w:styleId="39">
    <w:name w:val="文档结构图 Char"/>
    <w:basedOn w:val="23"/>
    <w:link w:val="7"/>
    <w:autoRedefine/>
    <w:semiHidden/>
    <w:qFormat/>
    <w:uiPriority w:val="99"/>
    <w:rPr>
      <w:rFonts w:ascii="宋体" w:hAnsi="Cambria Math" w:eastAsia="宋体" w:cs="Cambria Math"/>
      <w:sz w:val="18"/>
      <w:szCs w:val="18"/>
    </w:rPr>
  </w:style>
  <w:style w:type="character" w:customStyle="1" w:styleId="40">
    <w:name w:val="font21"/>
    <w:autoRedefine/>
    <w:qFormat/>
    <w:uiPriority w:val="0"/>
    <w:rPr>
      <w:rFonts w:ascii="宋体" w:hAnsi="宋体" w:eastAsia="宋体" w:cs="宋体"/>
      <w:b/>
      <w:bCs/>
      <w:color w:val="000000"/>
      <w:sz w:val="24"/>
      <w:szCs w:val="24"/>
      <w:u w:val="none"/>
    </w:rPr>
  </w:style>
  <w:style w:type="character" w:customStyle="1" w:styleId="41">
    <w:name w:val="font31"/>
    <w:autoRedefine/>
    <w:qFormat/>
    <w:uiPriority w:val="0"/>
    <w:rPr>
      <w:rFonts w:ascii="宋体" w:hAnsi="宋体" w:eastAsia="宋体" w:cs="宋体"/>
      <w:color w:val="000000"/>
      <w:sz w:val="24"/>
      <w:szCs w:val="24"/>
      <w:u w:val="none"/>
    </w:rPr>
  </w:style>
  <w:style w:type="character" w:customStyle="1" w:styleId="42">
    <w:name w:val="font11"/>
    <w:autoRedefine/>
    <w:qFormat/>
    <w:uiPriority w:val="0"/>
    <w:rPr>
      <w:rFonts w:ascii="宋体" w:hAnsi="宋体" w:eastAsia="宋体" w:cs="宋体"/>
      <w:color w:val="000000"/>
      <w:sz w:val="21"/>
      <w:szCs w:val="21"/>
      <w:u w:val="none"/>
    </w:rPr>
  </w:style>
  <w:style w:type="character" w:customStyle="1" w:styleId="43">
    <w:name w:val="font41"/>
    <w:autoRedefine/>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9E884-F4D6-40E1-84A9-D6ADDA907E67}">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1968</Words>
  <Characters>11218</Characters>
  <Lines>93</Lines>
  <Paragraphs>26</Paragraphs>
  <TotalTime>3</TotalTime>
  <ScaleCrop>false</ScaleCrop>
  <LinksUpToDate>false</LinksUpToDate>
  <CharactersWithSpaces>13160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admin</cp:lastModifiedBy>
  <dcterms:modified xsi:type="dcterms:W3CDTF">2024-01-17T01:36:36Z</dcterms:modified>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96ADA186162C4E4A92B089521798A006_13</vt:lpwstr>
  </property>
</Properties>
</file>