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rPr>
          <w:rFonts w:ascii="宋体" w:cs="Cambria"/>
          <w:b/>
          <w:snapToGrid w:val="0"/>
          <w:color w:val="auto"/>
          <w:kern w:val="0"/>
          <w:sz w:val="52"/>
          <w:szCs w:val="84"/>
          <w:highlight w:val="none"/>
        </w:rPr>
      </w:pPr>
    </w:p>
    <w:p>
      <w:pPr>
        <w:autoSpaceDE w:val="0"/>
        <w:autoSpaceDN w:val="0"/>
        <w:rPr>
          <w:rFonts w:hint="eastAsia" w:ascii="宋体" w:eastAsia="宋体" w:cs="Cambria"/>
          <w:b/>
          <w:snapToGrid w:val="0"/>
          <w:color w:val="auto"/>
          <w:kern w:val="0"/>
          <w:sz w:val="52"/>
          <w:szCs w:val="84"/>
          <w:highlight w:val="none"/>
          <w:lang w:eastAsia="zh-CN"/>
        </w:rPr>
      </w:pPr>
    </w:p>
    <w:p>
      <w:pPr>
        <w:autoSpaceDE w:val="0"/>
        <w:autoSpaceDN w:val="0"/>
        <w:jc w:val="center"/>
        <w:outlineLvl w:val="9"/>
        <w:rPr>
          <w:rFonts w:hint="eastAsia" w:ascii="宋体" w:cs="Cambria"/>
          <w:b/>
          <w:snapToGrid w:val="0"/>
          <w:color w:val="auto"/>
          <w:kern w:val="0"/>
          <w:sz w:val="44"/>
          <w:szCs w:val="72"/>
          <w:highlight w:val="none"/>
          <w:lang w:val="en-US" w:eastAsia="zh-CN"/>
        </w:rPr>
      </w:pPr>
      <w:r>
        <w:rPr>
          <w:rFonts w:hint="eastAsia" w:ascii="宋体" w:cs="Cambria"/>
          <w:b/>
          <w:snapToGrid w:val="0"/>
          <w:color w:val="auto"/>
          <w:kern w:val="0"/>
          <w:sz w:val="44"/>
          <w:szCs w:val="72"/>
          <w:highlight w:val="none"/>
          <w:lang w:val="en-US" w:eastAsia="zh-CN"/>
        </w:rPr>
        <w:t>重庆三峡银行</w:t>
      </w:r>
    </w:p>
    <w:p>
      <w:pPr>
        <w:autoSpaceDE w:val="0"/>
        <w:autoSpaceDN w:val="0"/>
        <w:jc w:val="center"/>
        <w:outlineLvl w:val="9"/>
        <w:rPr>
          <w:rFonts w:hint="eastAsia" w:ascii="宋体" w:cs="Cambria"/>
          <w:b/>
          <w:snapToGrid w:val="0"/>
          <w:color w:val="auto"/>
          <w:kern w:val="0"/>
          <w:sz w:val="48"/>
          <w:szCs w:val="84"/>
          <w:highlight w:val="none"/>
        </w:rPr>
      </w:pPr>
      <w:r>
        <w:rPr>
          <w:rFonts w:hint="eastAsia" w:ascii="宋体" w:cs="Cambria"/>
          <w:b/>
          <w:snapToGrid w:val="0"/>
          <w:color w:val="auto"/>
          <w:kern w:val="0"/>
          <w:sz w:val="44"/>
          <w:szCs w:val="72"/>
          <w:highlight w:val="none"/>
        </w:rPr>
        <w:t>IBM相关软件原厂维保项目-202</w:t>
      </w:r>
      <w:r>
        <w:rPr>
          <w:rFonts w:ascii="宋体" w:cs="Cambria"/>
          <w:b/>
          <w:snapToGrid w:val="0"/>
          <w:color w:val="auto"/>
          <w:kern w:val="0"/>
          <w:sz w:val="44"/>
          <w:szCs w:val="72"/>
          <w:highlight w:val="none"/>
        </w:rPr>
        <w:t>3</w:t>
      </w:r>
      <w:r>
        <w:rPr>
          <w:rFonts w:hint="eastAsia" w:ascii="宋体" w:cs="Cambria"/>
          <w:b/>
          <w:snapToGrid w:val="0"/>
          <w:color w:val="auto"/>
          <w:kern w:val="0"/>
          <w:sz w:val="44"/>
          <w:szCs w:val="72"/>
          <w:highlight w:val="none"/>
        </w:rPr>
        <w:t>年度</w:t>
      </w:r>
      <w:r>
        <w:rPr>
          <w:rFonts w:ascii="宋体" w:cs="Cambria"/>
          <w:b/>
          <w:snapToGrid w:val="0"/>
          <w:color w:val="auto"/>
          <w:kern w:val="0"/>
          <w:sz w:val="44"/>
          <w:szCs w:val="72"/>
          <w:highlight w:val="none"/>
        </w:rPr>
        <w:t>采购</w:t>
      </w:r>
    </w:p>
    <w:p>
      <w:pPr>
        <w:autoSpaceDE w:val="0"/>
        <w:autoSpaceDN w:val="0"/>
        <w:jc w:val="left"/>
        <w:rPr>
          <w:rFonts w:ascii="宋体" w:cs="Cambria"/>
          <w:snapToGrid w:val="0"/>
          <w:color w:val="auto"/>
          <w:kern w:val="0"/>
          <w:sz w:val="20"/>
          <w:highlight w:val="none"/>
        </w:rPr>
      </w:pPr>
    </w:p>
    <w:p>
      <w:pPr>
        <w:autoSpaceDE w:val="0"/>
        <w:autoSpaceDN w:val="0"/>
        <w:jc w:val="left"/>
        <w:rPr>
          <w:rFonts w:ascii="宋体" w:cs="Cambria"/>
          <w:snapToGrid w:val="0"/>
          <w:color w:val="auto"/>
          <w:kern w:val="0"/>
          <w:sz w:val="20"/>
          <w:highlight w:val="none"/>
        </w:rPr>
      </w:pPr>
    </w:p>
    <w:p>
      <w:pPr>
        <w:autoSpaceDE w:val="0"/>
        <w:autoSpaceDN w:val="0"/>
        <w:jc w:val="left"/>
        <w:rPr>
          <w:rFonts w:ascii="宋体" w:cs="Cambria"/>
          <w:snapToGrid w:val="0"/>
          <w:color w:val="auto"/>
          <w:kern w:val="0"/>
          <w:sz w:val="20"/>
          <w:highlight w:val="none"/>
        </w:rPr>
      </w:pPr>
    </w:p>
    <w:p>
      <w:pPr>
        <w:autoSpaceDE w:val="0"/>
        <w:autoSpaceDN w:val="0"/>
        <w:jc w:val="left"/>
        <w:rPr>
          <w:rFonts w:ascii="宋体" w:cs="Cambria"/>
          <w:snapToGrid w:val="0"/>
          <w:color w:val="auto"/>
          <w:kern w:val="0"/>
          <w:sz w:val="20"/>
          <w:highlight w:val="none"/>
        </w:rPr>
      </w:pPr>
    </w:p>
    <w:p>
      <w:pPr>
        <w:autoSpaceDE w:val="0"/>
        <w:autoSpaceDN w:val="0"/>
        <w:jc w:val="left"/>
        <w:rPr>
          <w:rFonts w:ascii="宋体" w:cs="Cambria"/>
          <w:snapToGrid w:val="0"/>
          <w:color w:val="auto"/>
          <w:kern w:val="0"/>
          <w:sz w:val="20"/>
          <w:highlight w:val="none"/>
        </w:rPr>
      </w:pPr>
    </w:p>
    <w:p>
      <w:pPr>
        <w:autoSpaceDE w:val="0"/>
        <w:autoSpaceDN w:val="0"/>
        <w:jc w:val="left"/>
        <w:rPr>
          <w:rFonts w:ascii="宋体" w:cs="Cambria"/>
          <w:snapToGrid w:val="0"/>
          <w:color w:val="auto"/>
          <w:kern w:val="0"/>
          <w:sz w:val="20"/>
          <w:highlight w:val="none"/>
        </w:rPr>
      </w:pPr>
    </w:p>
    <w:p>
      <w:pPr>
        <w:autoSpaceDE w:val="0"/>
        <w:autoSpaceDN w:val="0"/>
        <w:jc w:val="left"/>
        <w:rPr>
          <w:rFonts w:ascii="宋体" w:cs="Cambria"/>
          <w:snapToGrid w:val="0"/>
          <w:color w:val="auto"/>
          <w:kern w:val="0"/>
          <w:sz w:val="20"/>
          <w:highlight w:val="none"/>
        </w:rPr>
      </w:pPr>
    </w:p>
    <w:p>
      <w:pPr>
        <w:autoSpaceDE w:val="0"/>
        <w:autoSpaceDN w:val="0"/>
        <w:jc w:val="left"/>
        <w:rPr>
          <w:rFonts w:ascii="宋体" w:cs="Cambria"/>
          <w:snapToGrid w:val="0"/>
          <w:color w:val="auto"/>
          <w:kern w:val="0"/>
          <w:sz w:val="20"/>
          <w:highlight w:val="none"/>
        </w:rPr>
      </w:pPr>
    </w:p>
    <w:p>
      <w:pPr>
        <w:autoSpaceDE w:val="0"/>
        <w:autoSpaceDN w:val="0"/>
        <w:jc w:val="center"/>
        <w:outlineLvl w:val="9"/>
        <w:rPr>
          <w:rFonts w:ascii="宋体" w:cs="Cambria"/>
          <w:b/>
          <w:snapToGrid w:val="0"/>
          <w:color w:val="auto"/>
          <w:kern w:val="0"/>
          <w:sz w:val="84"/>
          <w:szCs w:val="84"/>
          <w:highlight w:val="none"/>
        </w:rPr>
      </w:pPr>
      <w:r>
        <w:rPr>
          <w:rFonts w:hint="eastAsia" w:ascii="宋体" w:cs="Cambria"/>
          <w:b/>
          <w:snapToGrid w:val="0"/>
          <w:color w:val="auto"/>
          <w:kern w:val="0"/>
          <w:sz w:val="84"/>
          <w:szCs w:val="84"/>
          <w:highlight w:val="none"/>
        </w:rPr>
        <w:t>比选文件</w:t>
      </w:r>
    </w:p>
    <w:p>
      <w:pPr>
        <w:autoSpaceDE w:val="0"/>
        <w:autoSpaceDN w:val="0"/>
        <w:jc w:val="center"/>
        <w:rPr>
          <w:rFonts w:ascii="宋体" w:cs="Cambria"/>
          <w:b/>
          <w:snapToGrid w:val="0"/>
          <w:color w:val="auto"/>
          <w:kern w:val="0"/>
          <w:szCs w:val="28"/>
          <w:highlight w:val="none"/>
        </w:rPr>
      </w:pPr>
    </w:p>
    <w:p>
      <w:pPr>
        <w:autoSpaceDE w:val="0"/>
        <w:autoSpaceDN w:val="0"/>
        <w:jc w:val="center"/>
        <w:rPr>
          <w:rFonts w:ascii="宋体" w:cs="Cambria"/>
          <w:b/>
          <w:snapToGrid w:val="0"/>
          <w:color w:val="auto"/>
          <w:kern w:val="0"/>
          <w:szCs w:val="28"/>
          <w:highlight w:val="none"/>
        </w:rPr>
      </w:pPr>
    </w:p>
    <w:p>
      <w:pPr>
        <w:autoSpaceDE w:val="0"/>
        <w:autoSpaceDN w:val="0"/>
        <w:jc w:val="center"/>
        <w:rPr>
          <w:rFonts w:ascii="宋体" w:cs="Cambria"/>
          <w:b/>
          <w:snapToGrid w:val="0"/>
          <w:color w:val="auto"/>
          <w:kern w:val="0"/>
          <w:szCs w:val="28"/>
          <w:highlight w:val="none"/>
        </w:rPr>
      </w:pPr>
    </w:p>
    <w:p>
      <w:pPr>
        <w:autoSpaceDE w:val="0"/>
        <w:autoSpaceDN w:val="0"/>
        <w:jc w:val="center"/>
        <w:rPr>
          <w:rFonts w:ascii="宋体" w:cs="Cambria"/>
          <w:b/>
          <w:snapToGrid w:val="0"/>
          <w:color w:val="auto"/>
          <w:kern w:val="0"/>
          <w:szCs w:val="28"/>
          <w:highlight w:val="none"/>
        </w:rPr>
      </w:pPr>
    </w:p>
    <w:p>
      <w:pPr>
        <w:autoSpaceDE w:val="0"/>
        <w:autoSpaceDN w:val="0"/>
        <w:jc w:val="center"/>
        <w:rPr>
          <w:rFonts w:ascii="宋体" w:cs="Cambria"/>
          <w:b/>
          <w:snapToGrid w:val="0"/>
          <w:color w:val="auto"/>
          <w:kern w:val="0"/>
          <w:szCs w:val="28"/>
          <w:highlight w:val="none"/>
        </w:rPr>
      </w:pPr>
    </w:p>
    <w:p>
      <w:pPr>
        <w:autoSpaceDE w:val="0"/>
        <w:autoSpaceDN w:val="0"/>
        <w:jc w:val="center"/>
        <w:rPr>
          <w:rFonts w:ascii="宋体" w:cs="Cambria"/>
          <w:b/>
          <w:snapToGrid w:val="0"/>
          <w:color w:val="auto"/>
          <w:kern w:val="0"/>
          <w:szCs w:val="28"/>
          <w:highlight w:val="none"/>
        </w:rPr>
      </w:pPr>
    </w:p>
    <w:p>
      <w:pPr>
        <w:autoSpaceDE w:val="0"/>
        <w:autoSpaceDN w:val="0"/>
        <w:ind w:firstLine="0" w:firstLineChars="0"/>
        <w:jc w:val="center"/>
        <w:rPr>
          <w:rFonts w:ascii="Times New Roman" w:hAnsi="Times New Roman" w:cs="Times New Roman"/>
          <w:b/>
          <w:snapToGrid w:val="0"/>
          <w:color w:val="auto"/>
          <w:kern w:val="0"/>
          <w:sz w:val="32"/>
          <w:szCs w:val="32"/>
          <w:highlight w:val="none"/>
        </w:rPr>
      </w:pPr>
      <w:r>
        <w:rPr>
          <w:rFonts w:hint="eastAsia" w:ascii="Times New Roman" w:hAnsi="Times New Roman" w:cs="Times New Roman"/>
          <w:b/>
          <w:snapToGrid w:val="0"/>
          <w:color w:val="auto"/>
          <w:kern w:val="0"/>
          <w:sz w:val="32"/>
          <w:szCs w:val="32"/>
          <w:highlight w:val="none"/>
        </w:rPr>
        <w:t>比选人：重庆三峡银行股份有限公司</w:t>
      </w:r>
    </w:p>
    <w:p>
      <w:pPr>
        <w:autoSpaceDE w:val="0"/>
        <w:autoSpaceDN w:val="0"/>
        <w:jc w:val="center"/>
        <w:outlineLvl w:val="9"/>
        <w:rPr>
          <w:rFonts w:ascii="宋体" w:cs="Cambria"/>
          <w:b/>
          <w:snapToGrid w:val="0"/>
          <w:color w:val="auto"/>
          <w:kern w:val="0"/>
          <w:sz w:val="32"/>
          <w:szCs w:val="28"/>
          <w:highlight w:val="none"/>
        </w:rPr>
      </w:pPr>
      <w:r>
        <w:rPr>
          <w:rFonts w:hint="eastAsia" w:ascii="宋体" w:cs="Cambria"/>
          <w:b/>
          <w:snapToGrid w:val="0"/>
          <w:color w:val="auto"/>
          <w:kern w:val="0"/>
          <w:sz w:val="32"/>
          <w:szCs w:val="28"/>
          <w:highlight w:val="none"/>
        </w:rPr>
        <w:t>20</w:t>
      </w:r>
      <w:r>
        <w:rPr>
          <w:rFonts w:ascii="宋体" w:cs="Cambria"/>
          <w:b/>
          <w:snapToGrid w:val="0"/>
          <w:color w:val="auto"/>
          <w:kern w:val="0"/>
          <w:sz w:val="32"/>
          <w:szCs w:val="28"/>
          <w:highlight w:val="none"/>
        </w:rPr>
        <w:t>2</w:t>
      </w:r>
      <w:r>
        <w:rPr>
          <w:rFonts w:hint="eastAsia" w:ascii="宋体" w:cs="Cambria"/>
          <w:b/>
          <w:snapToGrid w:val="0"/>
          <w:color w:val="auto"/>
          <w:kern w:val="0"/>
          <w:sz w:val="32"/>
          <w:szCs w:val="28"/>
          <w:highlight w:val="none"/>
          <w:lang w:val="en-US" w:eastAsia="zh-CN"/>
        </w:rPr>
        <w:t>4</w:t>
      </w:r>
      <w:r>
        <w:rPr>
          <w:rFonts w:hint="eastAsia" w:ascii="宋体" w:cs="Cambria"/>
          <w:b/>
          <w:snapToGrid w:val="0"/>
          <w:color w:val="auto"/>
          <w:kern w:val="0"/>
          <w:sz w:val="32"/>
          <w:szCs w:val="28"/>
          <w:highlight w:val="none"/>
        </w:rPr>
        <w:t>年</w:t>
      </w:r>
      <w:r>
        <w:rPr>
          <w:rFonts w:hint="eastAsia" w:ascii="宋体" w:cs="Cambria"/>
          <w:b/>
          <w:snapToGrid w:val="0"/>
          <w:color w:val="auto"/>
          <w:kern w:val="0"/>
          <w:sz w:val="32"/>
          <w:szCs w:val="28"/>
          <w:highlight w:val="none"/>
          <w:lang w:val="en-US" w:eastAsia="zh-CN"/>
        </w:rPr>
        <w:t>2</w:t>
      </w:r>
      <w:r>
        <w:rPr>
          <w:rFonts w:hint="eastAsia" w:ascii="宋体" w:cs="Cambria"/>
          <w:b/>
          <w:snapToGrid w:val="0"/>
          <w:color w:val="auto"/>
          <w:kern w:val="0"/>
          <w:sz w:val="32"/>
          <w:szCs w:val="28"/>
          <w:highlight w:val="none"/>
        </w:rPr>
        <w:t>月</w:t>
      </w:r>
    </w:p>
    <w:p>
      <w:pPr>
        <w:snapToGrid w:val="0"/>
        <w:jc w:val="center"/>
        <w:outlineLvl w:val="0"/>
        <w:rPr>
          <w:rFonts w:ascii="宋体"/>
          <w:b/>
          <w:snapToGrid w:val="0"/>
          <w:color w:val="auto"/>
          <w:kern w:val="0"/>
          <w:sz w:val="44"/>
          <w:szCs w:val="44"/>
          <w:highlight w:val="none"/>
        </w:rPr>
      </w:pPr>
      <w:r>
        <w:rPr>
          <w:rFonts w:ascii="宋体"/>
          <w:snapToGrid w:val="0"/>
          <w:color w:val="auto"/>
          <w:kern w:val="0"/>
          <w:sz w:val="24"/>
          <w:szCs w:val="24"/>
          <w:highlight w:val="none"/>
        </w:rPr>
        <w:br w:type="page"/>
      </w:r>
      <w:bookmarkStart w:id="0" w:name="_Toc9163"/>
      <w:bookmarkStart w:id="1" w:name="_Toc26053"/>
      <w:r>
        <w:rPr>
          <w:rFonts w:hint="eastAsia" w:ascii="宋体"/>
          <w:b/>
          <w:snapToGrid w:val="0"/>
          <w:color w:val="auto"/>
          <w:kern w:val="0"/>
          <w:sz w:val="44"/>
          <w:szCs w:val="44"/>
          <w:highlight w:val="none"/>
        </w:rPr>
        <w:t>目录</w:t>
      </w:r>
      <w:bookmarkEnd w:id="0"/>
      <w:bookmarkEnd w:id="1"/>
    </w:p>
    <w:p>
      <w:pPr>
        <w:pStyle w:val="19"/>
        <w:tabs>
          <w:tab w:val="right" w:leader="dot" w:pos="8306"/>
          <w:tab w:val="clear" w:pos="1260"/>
          <w:tab w:val="clear" w:pos="1685"/>
          <w:tab w:val="clear" w:pos="8400"/>
        </w:tabs>
      </w:pPr>
      <w:r>
        <w:rPr>
          <w:rFonts w:hint="eastAsia" w:ascii="宋体"/>
          <w:snapToGrid w:val="0"/>
          <w:color w:val="auto"/>
          <w:kern w:val="0"/>
          <w:sz w:val="24"/>
          <w:szCs w:val="24"/>
          <w:highlight w:val="none"/>
        </w:rPr>
        <w:fldChar w:fldCharType="begin"/>
      </w:r>
      <w:r>
        <w:rPr>
          <w:rFonts w:hint="eastAsia" w:ascii="宋体"/>
          <w:snapToGrid w:val="0"/>
          <w:color w:val="auto"/>
          <w:kern w:val="0"/>
          <w:sz w:val="24"/>
          <w:szCs w:val="24"/>
          <w:highlight w:val="none"/>
        </w:rPr>
        <w:instrText xml:space="preserve">TOC \o "1-1" \h \z \u</w:instrText>
      </w:r>
      <w:r>
        <w:rPr>
          <w:rFonts w:ascii="宋体"/>
          <w:snapToGrid w:val="0"/>
          <w:color w:val="auto"/>
          <w:kern w:val="0"/>
          <w:sz w:val="24"/>
          <w:szCs w:val="24"/>
          <w:highlight w:val="none"/>
        </w:rPr>
        <w:instrText xml:space="preserve"> </w:instrText>
      </w:r>
      <w:r>
        <w:rPr>
          <w:rFonts w:ascii="宋体"/>
          <w:snapToGrid w:val="0"/>
          <w:color w:val="auto"/>
          <w:kern w:val="0"/>
          <w:sz w:val="24"/>
          <w:szCs w:val="24"/>
          <w:highlight w:val="none"/>
        </w:rPr>
        <w:fldChar w:fldCharType="separate"/>
      </w:r>
      <w:r>
        <w:rPr>
          <w:rFonts w:ascii="宋体"/>
          <w:snapToGrid w:val="0"/>
          <w:color w:val="auto"/>
          <w:kern w:val="0"/>
          <w:szCs w:val="24"/>
          <w:highlight w:val="none"/>
        </w:rPr>
        <w:fldChar w:fldCharType="begin"/>
      </w:r>
      <w:r>
        <w:rPr>
          <w:rFonts w:ascii="宋体"/>
          <w:snapToGrid w:val="0"/>
          <w:kern w:val="0"/>
          <w:szCs w:val="24"/>
          <w:highlight w:val="none"/>
        </w:rPr>
        <w:instrText xml:space="preserve"> HYPERLINK \l _Toc26053 </w:instrText>
      </w:r>
      <w:r>
        <w:rPr>
          <w:rFonts w:ascii="宋体"/>
          <w:snapToGrid w:val="0"/>
          <w:kern w:val="0"/>
          <w:szCs w:val="24"/>
          <w:highlight w:val="none"/>
        </w:rPr>
        <w:fldChar w:fldCharType="separate"/>
      </w:r>
      <w:r>
        <w:rPr>
          <w:rFonts w:hint="eastAsia" w:ascii="宋体"/>
          <w:snapToGrid w:val="0"/>
          <w:kern w:val="0"/>
          <w:szCs w:val="44"/>
          <w:highlight w:val="none"/>
        </w:rPr>
        <w:t>目录</w:t>
      </w:r>
      <w:r>
        <w:tab/>
      </w:r>
      <w:r>
        <w:fldChar w:fldCharType="begin"/>
      </w:r>
      <w:r>
        <w:instrText xml:space="preserve"> PAGEREF _Toc26053 \h </w:instrText>
      </w:r>
      <w:r>
        <w:fldChar w:fldCharType="separate"/>
      </w:r>
      <w:r>
        <w:t>2</w:t>
      </w:r>
      <w:r>
        <w:fldChar w:fldCharType="end"/>
      </w:r>
      <w:r>
        <w:rPr>
          <w:rFonts w:ascii="宋体"/>
          <w:snapToGrid w:val="0"/>
          <w:color w:val="auto"/>
          <w:kern w:val="0"/>
          <w:szCs w:val="24"/>
          <w:highlight w:val="none"/>
        </w:rPr>
        <w:fldChar w:fldCharType="end"/>
      </w:r>
    </w:p>
    <w:p>
      <w:pPr>
        <w:pStyle w:val="19"/>
        <w:tabs>
          <w:tab w:val="right" w:leader="dot" w:pos="8306"/>
          <w:tab w:val="clear" w:pos="1260"/>
          <w:tab w:val="clear" w:pos="1685"/>
          <w:tab w:val="clear" w:pos="8400"/>
        </w:tabs>
      </w:pPr>
      <w:r>
        <w:rPr>
          <w:rFonts w:ascii="宋体"/>
          <w:snapToGrid w:val="0"/>
          <w:color w:val="auto"/>
          <w:kern w:val="0"/>
          <w:szCs w:val="24"/>
          <w:highlight w:val="none"/>
        </w:rPr>
        <w:fldChar w:fldCharType="begin"/>
      </w:r>
      <w:r>
        <w:rPr>
          <w:rFonts w:ascii="宋体"/>
          <w:snapToGrid w:val="0"/>
          <w:kern w:val="0"/>
          <w:szCs w:val="24"/>
          <w:highlight w:val="none"/>
        </w:rPr>
        <w:instrText xml:space="preserve"> HYPERLINK \l _Toc31486 </w:instrText>
      </w:r>
      <w:r>
        <w:rPr>
          <w:rFonts w:ascii="宋体"/>
          <w:snapToGrid w:val="0"/>
          <w:kern w:val="0"/>
          <w:szCs w:val="24"/>
          <w:highlight w:val="none"/>
        </w:rPr>
        <w:fldChar w:fldCharType="separate"/>
      </w:r>
      <w:r>
        <w:rPr>
          <w:rFonts w:hint="eastAsia"/>
          <w:highlight w:val="none"/>
        </w:rPr>
        <w:t xml:space="preserve">第一章 </w:t>
      </w:r>
      <w:r>
        <w:rPr>
          <w:rFonts w:hint="eastAsia" w:cs="Cambria"/>
          <w:highlight w:val="none"/>
        </w:rPr>
        <w:t>比选</w:t>
      </w:r>
      <w:r>
        <w:rPr>
          <w:rFonts w:hint="eastAsia" w:cs="Cambria"/>
          <w:highlight w:val="none"/>
          <w:lang w:val="en-US" w:eastAsia="zh-CN"/>
        </w:rPr>
        <w:t>公告</w:t>
      </w:r>
      <w:r>
        <w:tab/>
      </w:r>
      <w:r>
        <w:fldChar w:fldCharType="begin"/>
      </w:r>
      <w:r>
        <w:instrText xml:space="preserve"> PAGEREF _Toc31486 \h </w:instrText>
      </w:r>
      <w:r>
        <w:fldChar w:fldCharType="separate"/>
      </w:r>
      <w:r>
        <w:t>3</w:t>
      </w:r>
      <w:r>
        <w:fldChar w:fldCharType="end"/>
      </w:r>
      <w:r>
        <w:rPr>
          <w:rFonts w:ascii="宋体"/>
          <w:snapToGrid w:val="0"/>
          <w:color w:val="auto"/>
          <w:kern w:val="0"/>
          <w:szCs w:val="24"/>
          <w:highlight w:val="none"/>
        </w:rPr>
        <w:fldChar w:fldCharType="end"/>
      </w:r>
    </w:p>
    <w:p>
      <w:pPr>
        <w:pStyle w:val="19"/>
        <w:tabs>
          <w:tab w:val="right" w:leader="dot" w:pos="8306"/>
          <w:tab w:val="clear" w:pos="1260"/>
          <w:tab w:val="clear" w:pos="1685"/>
          <w:tab w:val="clear" w:pos="8400"/>
        </w:tabs>
      </w:pPr>
      <w:r>
        <w:rPr>
          <w:rFonts w:ascii="宋体"/>
          <w:snapToGrid w:val="0"/>
          <w:color w:val="auto"/>
          <w:kern w:val="0"/>
          <w:szCs w:val="24"/>
          <w:highlight w:val="none"/>
        </w:rPr>
        <w:fldChar w:fldCharType="begin"/>
      </w:r>
      <w:r>
        <w:rPr>
          <w:rFonts w:ascii="宋体"/>
          <w:snapToGrid w:val="0"/>
          <w:kern w:val="0"/>
          <w:szCs w:val="24"/>
          <w:highlight w:val="none"/>
        </w:rPr>
        <w:instrText xml:space="preserve"> HYPERLINK \l _Toc22070 </w:instrText>
      </w:r>
      <w:r>
        <w:rPr>
          <w:rFonts w:ascii="宋体"/>
          <w:snapToGrid w:val="0"/>
          <w:kern w:val="0"/>
          <w:szCs w:val="24"/>
          <w:highlight w:val="none"/>
        </w:rPr>
        <w:fldChar w:fldCharType="separate"/>
      </w:r>
      <w:r>
        <w:rPr>
          <w:rFonts w:hint="eastAsia"/>
          <w:highlight w:val="none"/>
        </w:rPr>
        <w:t>第</w:t>
      </w:r>
      <w:r>
        <w:rPr>
          <w:rFonts w:hint="eastAsia"/>
          <w:highlight w:val="none"/>
          <w:lang w:val="en-US" w:eastAsia="zh-CN"/>
        </w:rPr>
        <w:t>二</w:t>
      </w:r>
      <w:r>
        <w:rPr>
          <w:rFonts w:hint="eastAsia"/>
          <w:highlight w:val="none"/>
        </w:rPr>
        <w:t>章 参选人须知</w:t>
      </w:r>
      <w:r>
        <w:tab/>
      </w:r>
      <w:r>
        <w:fldChar w:fldCharType="begin"/>
      </w:r>
      <w:r>
        <w:instrText xml:space="preserve"> PAGEREF _Toc22070 \h </w:instrText>
      </w:r>
      <w:r>
        <w:fldChar w:fldCharType="separate"/>
      </w:r>
      <w:r>
        <w:t>6</w:t>
      </w:r>
      <w:r>
        <w:fldChar w:fldCharType="end"/>
      </w:r>
      <w:r>
        <w:rPr>
          <w:rFonts w:ascii="宋体"/>
          <w:snapToGrid w:val="0"/>
          <w:color w:val="auto"/>
          <w:kern w:val="0"/>
          <w:szCs w:val="24"/>
          <w:highlight w:val="none"/>
        </w:rPr>
        <w:fldChar w:fldCharType="end"/>
      </w:r>
    </w:p>
    <w:p>
      <w:pPr>
        <w:pStyle w:val="19"/>
        <w:tabs>
          <w:tab w:val="right" w:leader="dot" w:pos="8306"/>
          <w:tab w:val="clear" w:pos="1260"/>
          <w:tab w:val="clear" w:pos="1685"/>
          <w:tab w:val="clear" w:pos="8400"/>
        </w:tabs>
      </w:pPr>
      <w:r>
        <w:rPr>
          <w:rFonts w:ascii="宋体"/>
          <w:snapToGrid w:val="0"/>
          <w:color w:val="auto"/>
          <w:kern w:val="0"/>
          <w:szCs w:val="24"/>
          <w:highlight w:val="none"/>
        </w:rPr>
        <w:fldChar w:fldCharType="begin"/>
      </w:r>
      <w:r>
        <w:rPr>
          <w:rFonts w:ascii="宋体"/>
          <w:snapToGrid w:val="0"/>
          <w:kern w:val="0"/>
          <w:szCs w:val="24"/>
          <w:highlight w:val="none"/>
        </w:rPr>
        <w:instrText xml:space="preserve"> HYPERLINK \l _Toc27088 </w:instrText>
      </w:r>
      <w:r>
        <w:rPr>
          <w:rFonts w:ascii="宋体"/>
          <w:snapToGrid w:val="0"/>
          <w:kern w:val="0"/>
          <w:szCs w:val="24"/>
          <w:highlight w:val="none"/>
        </w:rPr>
        <w:fldChar w:fldCharType="separate"/>
      </w:r>
      <w:r>
        <w:rPr>
          <w:rFonts w:hint="eastAsia"/>
          <w:highlight w:val="none"/>
        </w:rPr>
        <w:t>第</w:t>
      </w:r>
      <w:r>
        <w:rPr>
          <w:rFonts w:hint="eastAsia"/>
          <w:highlight w:val="none"/>
          <w:lang w:val="en-US" w:eastAsia="zh-CN"/>
        </w:rPr>
        <w:t>三</w:t>
      </w:r>
      <w:r>
        <w:rPr>
          <w:rFonts w:hint="eastAsia"/>
          <w:highlight w:val="none"/>
        </w:rPr>
        <w:t>章</w:t>
      </w:r>
      <w:r>
        <w:rPr>
          <w:rFonts w:hint="eastAsia"/>
          <w:highlight w:val="none"/>
          <w:lang w:val="en-US" w:eastAsia="zh-CN"/>
        </w:rPr>
        <w:t xml:space="preserve"> </w:t>
      </w:r>
      <w:r>
        <w:rPr>
          <w:rFonts w:hint="eastAsia"/>
          <w:highlight w:val="none"/>
        </w:rPr>
        <w:t>服务内容、期限及服务要求</w:t>
      </w:r>
      <w:r>
        <w:tab/>
      </w:r>
      <w:r>
        <w:fldChar w:fldCharType="begin"/>
      </w:r>
      <w:r>
        <w:instrText xml:space="preserve"> PAGEREF _Toc27088 \h </w:instrText>
      </w:r>
      <w:r>
        <w:fldChar w:fldCharType="separate"/>
      </w:r>
      <w:r>
        <w:t>13</w:t>
      </w:r>
      <w:r>
        <w:fldChar w:fldCharType="end"/>
      </w:r>
      <w:r>
        <w:rPr>
          <w:rFonts w:ascii="宋体"/>
          <w:snapToGrid w:val="0"/>
          <w:color w:val="auto"/>
          <w:kern w:val="0"/>
          <w:szCs w:val="24"/>
          <w:highlight w:val="none"/>
        </w:rPr>
        <w:fldChar w:fldCharType="end"/>
      </w:r>
    </w:p>
    <w:p>
      <w:pPr>
        <w:pStyle w:val="19"/>
        <w:tabs>
          <w:tab w:val="right" w:leader="dot" w:pos="8306"/>
          <w:tab w:val="clear" w:pos="1260"/>
          <w:tab w:val="clear" w:pos="1685"/>
          <w:tab w:val="clear" w:pos="8400"/>
        </w:tabs>
      </w:pPr>
      <w:r>
        <w:rPr>
          <w:rFonts w:ascii="宋体"/>
          <w:snapToGrid w:val="0"/>
          <w:color w:val="auto"/>
          <w:kern w:val="0"/>
          <w:szCs w:val="24"/>
          <w:highlight w:val="none"/>
        </w:rPr>
        <w:fldChar w:fldCharType="begin"/>
      </w:r>
      <w:r>
        <w:rPr>
          <w:rFonts w:ascii="宋体"/>
          <w:snapToGrid w:val="0"/>
          <w:kern w:val="0"/>
          <w:szCs w:val="24"/>
          <w:highlight w:val="none"/>
        </w:rPr>
        <w:instrText xml:space="preserve"> HYPERLINK \l _Toc7533 </w:instrText>
      </w:r>
      <w:r>
        <w:rPr>
          <w:rFonts w:ascii="宋体"/>
          <w:snapToGrid w:val="0"/>
          <w:kern w:val="0"/>
          <w:szCs w:val="24"/>
          <w:highlight w:val="none"/>
        </w:rPr>
        <w:fldChar w:fldCharType="separate"/>
      </w:r>
      <w:r>
        <w:rPr>
          <w:rFonts w:hint="eastAsia"/>
          <w:highlight w:val="none"/>
        </w:rPr>
        <w:t>第</w:t>
      </w:r>
      <w:r>
        <w:rPr>
          <w:rFonts w:hint="eastAsia"/>
          <w:highlight w:val="none"/>
          <w:lang w:val="en-US" w:eastAsia="zh-CN"/>
        </w:rPr>
        <w:t>四</w:t>
      </w:r>
      <w:r>
        <w:rPr>
          <w:rFonts w:hint="eastAsia"/>
          <w:highlight w:val="none"/>
        </w:rPr>
        <w:t>章 商务条款</w:t>
      </w:r>
      <w:r>
        <w:tab/>
      </w:r>
      <w:r>
        <w:fldChar w:fldCharType="begin"/>
      </w:r>
      <w:r>
        <w:instrText xml:space="preserve"> PAGEREF _Toc7533 \h </w:instrText>
      </w:r>
      <w:r>
        <w:fldChar w:fldCharType="separate"/>
      </w:r>
      <w:r>
        <w:t>16</w:t>
      </w:r>
      <w:r>
        <w:fldChar w:fldCharType="end"/>
      </w:r>
      <w:r>
        <w:rPr>
          <w:rFonts w:ascii="宋体"/>
          <w:snapToGrid w:val="0"/>
          <w:color w:val="auto"/>
          <w:kern w:val="0"/>
          <w:szCs w:val="24"/>
          <w:highlight w:val="none"/>
        </w:rPr>
        <w:fldChar w:fldCharType="end"/>
      </w:r>
    </w:p>
    <w:p>
      <w:pPr>
        <w:pStyle w:val="19"/>
        <w:tabs>
          <w:tab w:val="right" w:leader="dot" w:pos="8306"/>
          <w:tab w:val="clear" w:pos="1260"/>
          <w:tab w:val="clear" w:pos="1685"/>
          <w:tab w:val="clear" w:pos="8400"/>
        </w:tabs>
      </w:pPr>
      <w:r>
        <w:rPr>
          <w:rFonts w:ascii="宋体"/>
          <w:snapToGrid w:val="0"/>
          <w:color w:val="auto"/>
          <w:kern w:val="0"/>
          <w:szCs w:val="24"/>
          <w:highlight w:val="none"/>
        </w:rPr>
        <w:fldChar w:fldCharType="begin"/>
      </w:r>
      <w:r>
        <w:rPr>
          <w:rFonts w:ascii="宋体"/>
          <w:snapToGrid w:val="0"/>
          <w:kern w:val="0"/>
          <w:szCs w:val="24"/>
          <w:highlight w:val="none"/>
        </w:rPr>
        <w:instrText xml:space="preserve"> HYPERLINK \l _Toc23751 </w:instrText>
      </w:r>
      <w:r>
        <w:rPr>
          <w:rFonts w:ascii="宋体"/>
          <w:snapToGrid w:val="0"/>
          <w:kern w:val="0"/>
          <w:szCs w:val="24"/>
          <w:highlight w:val="none"/>
        </w:rPr>
        <w:fldChar w:fldCharType="separate"/>
      </w:r>
      <w:r>
        <w:rPr>
          <w:rFonts w:hint="eastAsia"/>
          <w:highlight w:val="none"/>
        </w:rPr>
        <w:t>第</w:t>
      </w:r>
      <w:r>
        <w:rPr>
          <w:highlight w:val="none"/>
        </w:rPr>
        <w:t>五</w:t>
      </w:r>
      <w:r>
        <w:rPr>
          <w:rFonts w:hint="eastAsia"/>
          <w:highlight w:val="none"/>
        </w:rPr>
        <w:t xml:space="preserve">章 </w:t>
      </w:r>
      <w:r>
        <w:rPr>
          <w:rFonts w:hint="eastAsia"/>
          <w:highlight w:val="none"/>
          <w:lang w:val="en-US" w:eastAsia="zh-CN"/>
        </w:rPr>
        <w:t>评审</w:t>
      </w:r>
      <w:r>
        <w:rPr>
          <w:rFonts w:hint="eastAsia"/>
          <w:highlight w:val="none"/>
        </w:rPr>
        <w:t>方法、</w:t>
      </w:r>
      <w:r>
        <w:rPr>
          <w:rFonts w:hint="eastAsia"/>
          <w:highlight w:val="none"/>
          <w:lang w:val="en-US" w:eastAsia="zh-CN"/>
        </w:rPr>
        <w:t>评审</w:t>
      </w:r>
      <w:r>
        <w:rPr>
          <w:rFonts w:hint="eastAsia"/>
          <w:highlight w:val="none"/>
        </w:rPr>
        <w:t>标准和参选无效条款</w:t>
      </w:r>
      <w:r>
        <w:tab/>
      </w:r>
      <w:r>
        <w:fldChar w:fldCharType="begin"/>
      </w:r>
      <w:r>
        <w:instrText xml:space="preserve"> PAGEREF _Toc23751 \h </w:instrText>
      </w:r>
      <w:r>
        <w:fldChar w:fldCharType="separate"/>
      </w:r>
      <w:r>
        <w:t>18</w:t>
      </w:r>
      <w:r>
        <w:fldChar w:fldCharType="end"/>
      </w:r>
      <w:r>
        <w:rPr>
          <w:rFonts w:ascii="宋体"/>
          <w:snapToGrid w:val="0"/>
          <w:color w:val="auto"/>
          <w:kern w:val="0"/>
          <w:szCs w:val="24"/>
          <w:highlight w:val="none"/>
        </w:rPr>
        <w:fldChar w:fldCharType="end"/>
      </w:r>
    </w:p>
    <w:p>
      <w:pPr>
        <w:pStyle w:val="19"/>
        <w:tabs>
          <w:tab w:val="right" w:leader="dot" w:pos="8306"/>
          <w:tab w:val="clear" w:pos="1260"/>
          <w:tab w:val="clear" w:pos="1685"/>
          <w:tab w:val="clear" w:pos="8400"/>
        </w:tabs>
      </w:pPr>
      <w:r>
        <w:rPr>
          <w:rFonts w:ascii="宋体"/>
          <w:snapToGrid w:val="0"/>
          <w:color w:val="auto"/>
          <w:kern w:val="0"/>
          <w:szCs w:val="24"/>
          <w:highlight w:val="none"/>
        </w:rPr>
        <w:fldChar w:fldCharType="begin"/>
      </w:r>
      <w:r>
        <w:rPr>
          <w:rFonts w:ascii="宋体"/>
          <w:snapToGrid w:val="0"/>
          <w:kern w:val="0"/>
          <w:szCs w:val="24"/>
          <w:highlight w:val="none"/>
        </w:rPr>
        <w:instrText xml:space="preserve"> HYPERLINK \l _Toc24536 </w:instrText>
      </w:r>
      <w:r>
        <w:rPr>
          <w:rFonts w:ascii="宋体"/>
          <w:snapToGrid w:val="0"/>
          <w:kern w:val="0"/>
          <w:szCs w:val="24"/>
          <w:highlight w:val="none"/>
        </w:rPr>
        <w:fldChar w:fldCharType="separate"/>
      </w:r>
      <w:r>
        <w:rPr>
          <w:rFonts w:hint="eastAsia" w:cs="Times New Roman"/>
          <w:highlight w:val="none"/>
        </w:rPr>
        <w:t>第</w:t>
      </w:r>
      <w:r>
        <w:rPr>
          <w:rFonts w:hint="eastAsia" w:cs="Times New Roman"/>
          <w:highlight w:val="none"/>
          <w:lang w:val="en-US" w:eastAsia="zh-CN"/>
        </w:rPr>
        <w:t>六</w:t>
      </w:r>
      <w:r>
        <w:rPr>
          <w:rFonts w:hint="eastAsia" w:cs="Times New Roman"/>
          <w:highlight w:val="none"/>
        </w:rPr>
        <w:t>章 合同模板</w:t>
      </w:r>
      <w:r>
        <w:tab/>
      </w:r>
      <w:r>
        <w:fldChar w:fldCharType="begin"/>
      </w:r>
      <w:r>
        <w:instrText xml:space="preserve"> PAGEREF _Toc24536 \h </w:instrText>
      </w:r>
      <w:r>
        <w:fldChar w:fldCharType="separate"/>
      </w:r>
      <w:r>
        <w:t>22</w:t>
      </w:r>
      <w:r>
        <w:fldChar w:fldCharType="end"/>
      </w:r>
      <w:r>
        <w:rPr>
          <w:rFonts w:ascii="宋体"/>
          <w:snapToGrid w:val="0"/>
          <w:color w:val="auto"/>
          <w:kern w:val="0"/>
          <w:szCs w:val="24"/>
          <w:highlight w:val="none"/>
        </w:rPr>
        <w:fldChar w:fldCharType="end"/>
      </w:r>
    </w:p>
    <w:p>
      <w:pPr>
        <w:pStyle w:val="19"/>
        <w:tabs>
          <w:tab w:val="right" w:leader="dot" w:pos="8306"/>
          <w:tab w:val="clear" w:pos="1260"/>
          <w:tab w:val="clear" w:pos="1685"/>
          <w:tab w:val="clear" w:pos="8400"/>
        </w:tabs>
      </w:pPr>
      <w:r>
        <w:rPr>
          <w:rFonts w:ascii="宋体"/>
          <w:snapToGrid w:val="0"/>
          <w:color w:val="auto"/>
          <w:kern w:val="0"/>
          <w:szCs w:val="24"/>
          <w:highlight w:val="none"/>
        </w:rPr>
        <w:fldChar w:fldCharType="begin"/>
      </w:r>
      <w:r>
        <w:rPr>
          <w:rFonts w:ascii="宋体"/>
          <w:snapToGrid w:val="0"/>
          <w:kern w:val="0"/>
          <w:szCs w:val="24"/>
          <w:highlight w:val="none"/>
        </w:rPr>
        <w:instrText xml:space="preserve"> HYPERLINK \l _Toc25656 </w:instrText>
      </w:r>
      <w:r>
        <w:rPr>
          <w:rFonts w:ascii="宋体"/>
          <w:snapToGrid w:val="0"/>
          <w:kern w:val="0"/>
          <w:szCs w:val="24"/>
          <w:highlight w:val="none"/>
        </w:rPr>
        <w:fldChar w:fldCharType="separate"/>
      </w:r>
      <w:r>
        <w:rPr>
          <w:rFonts w:hint="eastAsia" w:ascii="宋体" w:eastAsia="宋体" w:cs="Times New Roman"/>
          <w:highlight w:val="none"/>
        </w:rPr>
        <w:t>第七章 参选文件格式</w:t>
      </w:r>
      <w:r>
        <w:tab/>
      </w:r>
      <w:r>
        <w:fldChar w:fldCharType="begin"/>
      </w:r>
      <w:r>
        <w:instrText xml:space="preserve"> PAGEREF _Toc25656 \h </w:instrText>
      </w:r>
      <w:r>
        <w:fldChar w:fldCharType="separate"/>
      </w:r>
      <w:r>
        <w:t>37</w:t>
      </w:r>
      <w:r>
        <w:fldChar w:fldCharType="end"/>
      </w:r>
      <w:r>
        <w:rPr>
          <w:rFonts w:ascii="宋体"/>
          <w:snapToGrid w:val="0"/>
          <w:color w:val="auto"/>
          <w:kern w:val="0"/>
          <w:szCs w:val="24"/>
          <w:highlight w:val="none"/>
        </w:rPr>
        <w:fldChar w:fldCharType="end"/>
      </w:r>
    </w:p>
    <w:p>
      <w:pPr>
        <w:pStyle w:val="19"/>
        <w:tabs>
          <w:tab w:val="right" w:leader="dot" w:pos="8306"/>
        </w:tabs>
        <w:rPr>
          <w:color w:val="auto"/>
          <w:highlight w:val="none"/>
        </w:rPr>
      </w:pPr>
      <w:r>
        <w:rPr>
          <w:rFonts w:ascii="宋体"/>
          <w:snapToGrid w:val="0"/>
          <w:color w:val="auto"/>
          <w:kern w:val="0"/>
          <w:szCs w:val="24"/>
          <w:highlight w:val="none"/>
        </w:rPr>
        <w:fldChar w:fldCharType="end"/>
      </w:r>
    </w:p>
    <w:p>
      <w:pPr>
        <w:widowControl/>
        <w:jc w:val="left"/>
        <w:rPr>
          <w:rFonts w:ascii="宋体"/>
          <w:snapToGrid w:val="0"/>
          <w:color w:val="auto"/>
          <w:kern w:val="0"/>
          <w:sz w:val="24"/>
          <w:szCs w:val="24"/>
          <w:highlight w:val="none"/>
        </w:rPr>
      </w:pPr>
    </w:p>
    <w:p>
      <w:pPr>
        <w:widowControl/>
        <w:jc w:val="left"/>
        <w:rPr>
          <w:rFonts w:ascii="宋体"/>
          <w:snapToGrid w:val="0"/>
          <w:color w:val="auto"/>
          <w:kern w:val="0"/>
          <w:sz w:val="24"/>
          <w:szCs w:val="24"/>
          <w:highlight w:val="none"/>
        </w:rPr>
      </w:pPr>
      <w:r>
        <w:rPr>
          <w:rFonts w:ascii="宋体"/>
          <w:snapToGrid w:val="0"/>
          <w:color w:val="auto"/>
          <w:kern w:val="0"/>
          <w:sz w:val="24"/>
          <w:szCs w:val="24"/>
          <w:highlight w:val="none"/>
        </w:rPr>
        <w:br w:type="page"/>
      </w:r>
    </w:p>
    <w:p>
      <w:pPr>
        <w:pStyle w:val="3"/>
        <w:outlineLvl w:val="1"/>
        <w:rPr>
          <w:rFonts w:hint="eastAsia" w:eastAsia="宋体"/>
          <w:color w:val="auto"/>
          <w:highlight w:val="none"/>
          <w:lang w:val="en-US" w:eastAsia="zh-CN"/>
        </w:rPr>
      </w:pPr>
      <w:bookmarkStart w:id="2" w:name="_Toc440628903"/>
      <w:bookmarkStart w:id="3" w:name="_Toc469574661"/>
      <w:bookmarkStart w:id="4" w:name="_Toc6745"/>
      <w:bookmarkStart w:id="5" w:name="_Toc31486"/>
      <w:r>
        <w:rPr>
          <w:rFonts w:hint="eastAsia"/>
          <w:color w:val="auto"/>
          <w:highlight w:val="none"/>
        </w:rPr>
        <w:t>第一章</w:t>
      </w:r>
      <w:bookmarkEnd w:id="2"/>
      <w:r>
        <w:rPr>
          <w:rFonts w:hint="eastAsia"/>
          <w:color w:val="auto"/>
          <w:highlight w:val="none"/>
        </w:rPr>
        <w:t xml:space="preserve"> </w:t>
      </w:r>
      <w:bookmarkEnd w:id="3"/>
      <w:bookmarkEnd w:id="4"/>
      <w:r>
        <w:rPr>
          <w:rFonts w:hint="eastAsia" w:cs="Cambria"/>
          <w:color w:val="auto"/>
          <w:highlight w:val="none"/>
        </w:rPr>
        <w:t>比选</w:t>
      </w:r>
      <w:r>
        <w:rPr>
          <w:rFonts w:hint="eastAsia" w:cs="Cambria"/>
          <w:color w:val="auto"/>
          <w:highlight w:val="none"/>
          <w:lang w:val="en-US" w:eastAsia="zh-CN"/>
        </w:rPr>
        <w:t>公告</w:t>
      </w:r>
      <w:bookmarkEnd w:id="5"/>
    </w:p>
    <w:p>
      <w:pPr>
        <w:pStyle w:val="12"/>
        <w:spacing w:line="360" w:lineRule="auto"/>
        <w:ind w:firstLine="420"/>
        <w:rPr>
          <w:rFonts w:ascii="宋体" w:cs="宋体"/>
          <w:snapToGrid w:val="0"/>
          <w:color w:val="auto"/>
          <w:kern w:val="0"/>
          <w:sz w:val="24"/>
          <w:szCs w:val="24"/>
          <w:highlight w:val="none"/>
        </w:rPr>
      </w:pPr>
      <w:r>
        <w:rPr>
          <w:rFonts w:hint="eastAsia" w:ascii="宋体" w:cs="宋体"/>
          <w:snapToGrid w:val="0"/>
          <w:color w:val="auto"/>
          <w:kern w:val="0"/>
          <w:sz w:val="24"/>
          <w:szCs w:val="24"/>
          <w:highlight w:val="none"/>
        </w:rPr>
        <w:t>重庆三峡银行业务系统逐年增多，系统关联关系日益复杂，为确保系统有一个良好的运行环境，最大限度减小故障的发生概率，保障重庆三峡银行信息系统稳定运行。现对重庆三峡银行IBM相关软件原厂维保项目-2023年度</w:t>
      </w:r>
      <w:r>
        <w:rPr>
          <w:rFonts w:ascii="宋体" w:cs="宋体"/>
          <w:snapToGrid w:val="0"/>
          <w:color w:val="auto"/>
          <w:kern w:val="0"/>
          <w:sz w:val="24"/>
          <w:szCs w:val="24"/>
          <w:highlight w:val="none"/>
        </w:rPr>
        <w:t>采购</w:t>
      </w:r>
      <w:r>
        <w:rPr>
          <w:rFonts w:hint="eastAsia" w:ascii="宋体" w:cs="宋体"/>
          <w:snapToGrid w:val="0"/>
          <w:color w:val="auto"/>
          <w:kern w:val="0"/>
          <w:sz w:val="24"/>
          <w:szCs w:val="24"/>
          <w:highlight w:val="none"/>
        </w:rPr>
        <w:t>进行</w:t>
      </w:r>
      <w:r>
        <w:rPr>
          <w:rFonts w:hint="eastAsia" w:ascii="宋体" w:cs="Cambria"/>
          <w:snapToGrid w:val="0"/>
          <w:color w:val="auto"/>
          <w:kern w:val="0"/>
          <w:sz w:val="24"/>
          <w:szCs w:val="24"/>
          <w:highlight w:val="none"/>
        </w:rPr>
        <w:t>公开比选</w:t>
      </w:r>
      <w:r>
        <w:rPr>
          <w:rFonts w:hint="eastAsia" w:ascii="宋体" w:cs="宋体"/>
          <w:snapToGrid w:val="0"/>
          <w:color w:val="auto"/>
          <w:kern w:val="0"/>
          <w:sz w:val="24"/>
          <w:szCs w:val="24"/>
          <w:highlight w:val="none"/>
        </w:rPr>
        <w:t>，</w:t>
      </w:r>
      <w:r>
        <w:rPr>
          <w:rFonts w:hint="eastAsia" w:ascii="宋体" w:cs="Cambria"/>
          <w:snapToGrid w:val="0"/>
          <w:color w:val="auto"/>
          <w:kern w:val="0"/>
          <w:sz w:val="24"/>
          <w:szCs w:val="24"/>
          <w:highlight w:val="none"/>
        </w:rPr>
        <w:t>特邀请有意向的潜在参选人</w:t>
      </w:r>
      <w:r>
        <w:rPr>
          <w:rFonts w:ascii="宋体" w:cs="Cambria"/>
          <w:snapToGrid w:val="0"/>
          <w:color w:val="auto"/>
          <w:kern w:val="0"/>
          <w:sz w:val="24"/>
          <w:szCs w:val="24"/>
          <w:highlight w:val="none"/>
        </w:rPr>
        <w:t>参加比选</w:t>
      </w:r>
      <w:r>
        <w:rPr>
          <w:rFonts w:hint="eastAsia" w:ascii="宋体" w:cs="宋体"/>
          <w:snapToGrid w:val="0"/>
          <w:color w:val="auto"/>
          <w:kern w:val="0"/>
          <w:sz w:val="24"/>
          <w:szCs w:val="24"/>
          <w:highlight w:val="none"/>
        </w:rPr>
        <w:t>。</w:t>
      </w:r>
    </w:p>
    <w:p>
      <w:pPr>
        <w:pStyle w:val="4"/>
        <w:outlineLvl w:val="2"/>
        <w:rPr>
          <w:color w:val="auto"/>
          <w:highlight w:val="none"/>
        </w:rPr>
      </w:pPr>
      <w:bookmarkStart w:id="6" w:name="_Toc55379218"/>
      <w:bookmarkStart w:id="7" w:name="_Toc89675127"/>
      <w:r>
        <w:rPr>
          <w:rFonts w:hint="eastAsia"/>
          <w:color w:val="auto"/>
          <w:highlight w:val="none"/>
        </w:rPr>
        <w:t>一、比选项目内容</w:t>
      </w:r>
      <w:bookmarkEnd w:id="6"/>
      <w:bookmarkEnd w:id="7"/>
    </w:p>
    <w:tbl>
      <w:tblPr>
        <w:tblStyle w:val="26"/>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633"/>
        <w:gridCol w:w="1839"/>
        <w:gridCol w:w="1798"/>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pPr>
              <w:jc w:val="center"/>
              <w:rPr>
                <w:rFonts w:ascii="宋体" w:cs="Cambria"/>
                <w:b/>
                <w:snapToGrid w:val="0"/>
                <w:color w:val="auto"/>
                <w:kern w:val="0"/>
                <w:sz w:val="24"/>
                <w:szCs w:val="24"/>
                <w:highlight w:val="none"/>
              </w:rPr>
            </w:pPr>
            <w:bookmarkStart w:id="8" w:name="_Toc478044645"/>
            <w:bookmarkStart w:id="9" w:name="_Toc478053862"/>
            <w:r>
              <w:rPr>
                <w:rFonts w:hint="eastAsia" w:ascii="宋体" w:cs="Cambria"/>
                <w:b/>
                <w:snapToGrid w:val="0"/>
                <w:color w:val="auto"/>
                <w:kern w:val="0"/>
                <w:sz w:val="24"/>
                <w:szCs w:val="24"/>
                <w:highlight w:val="none"/>
              </w:rPr>
              <w:t>序号</w:t>
            </w:r>
            <w:bookmarkEnd w:id="8"/>
            <w:bookmarkEnd w:id="9"/>
          </w:p>
        </w:tc>
        <w:tc>
          <w:tcPr>
            <w:tcW w:w="2633" w:type="dxa"/>
            <w:vAlign w:val="center"/>
          </w:tcPr>
          <w:p>
            <w:pPr>
              <w:jc w:val="center"/>
              <w:rPr>
                <w:rFonts w:ascii="宋体" w:cs="Cambria"/>
                <w:b/>
                <w:snapToGrid w:val="0"/>
                <w:color w:val="auto"/>
                <w:kern w:val="0"/>
                <w:sz w:val="24"/>
                <w:szCs w:val="24"/>
                <w:highlight w:val="none"/>
              </w:rPr>
            </w:pPr>
            <w:bookmarkStart w:id="10" w:name="_Toc478053863"/>
            <w:bookmarkStart w:id="11" w:name="_Toc478044646"/>
            <w:r>
              <w:rPr>
                <w:rFonts w:hint="eastAsia" w:ascii="宋体" w:cs="Cambria"/>
                <w:b/>
                <w:snapToGrid w:val="0"/>
                <w:color w:val="auto"/>
                <w:kern w:val="0"/>
                <w:sz w:val="24"/>
                <w:szCs w:val="24"/>
                <w:highlight w:val="none"/>
              </w:rPr>
              <w:t>项目名称</w:t>
            </w:r>
            <w:bookmarkEnd w:id="10"/>
            <w:bookmarkEnd w:id="11"/>
          </w:p>
        </w:tc>
        <w:tc>
          <w:tcPr>
            <w:tcW w:w="1839" w:type="dxa"/>
            <w:vAlign w:val="center"/>
          </w:tcPr>
          <w:p>
            <w:pPr>
              <w:jc w:val="center"/>
              <w:rPr>
                <w:rFonts w:ascii="宋体" w:cs="Cambria"/>
                <w:b/>
                <w:snapToGrid w:val="0"/>
                <w:color w:val="auto"/>
                <w:kern w:val="0"/>
                <w:sz w:val="24"/>
                <w:szCs w:val="24"/>
                <w:highlight w:val="none"/>
              </w:rPr>
            </w:pPr>
            <w:bookmarkStart w:id="12" w:name="_Toc478053864"/>
            <w:bookmarkStart w:id="13" w:name="_Toc478044647"/>
            <w:r>
              <w:rPr>
                <w:rFonts w:hint="eastAsia" w:ascii="宋体" w:cs="Cambria"/>
                <w:b/>
                <w:snapToGrid w:val="0"/>
                <w:color w:val="auto"/>
                <w:kern w:val="0"/>
                <w:sz w:val="24"/>
                <w:szCs w:val="24"/>
                <w:highlight w:val="none"/>
              </w:rPr>
              <w:t>最高限价</w:t>
            </w:r>
            <w:bookmarkEnd w:id="12"/>
            <w:bookmarkEnd w:id="13"/>
          </w:p>
        </w:tc>
        <w:tc>
          <w:tcPr>
            <w:tcW w:w="1798" w:type="dxa"/>
            <w:vAlign w:val="center"/>
          </w:tcPr>
          <w:p>
            <w:pPr>
              <w:jc w:val="center"/>
              <w:rPr>
                <w:rFonts w:ascii="宋体" w:cs="Cambria"/>
                <w:b/>
                <w:snapToGrid w:val="0"/>
                <w:color w:val="auto"/>
                <w:kern w:val="0"/>
                <w:sz w:val="24"/>
                <w:szCs w:val="24"/>
                <w:highlight w:val="none"/>
              </w:rPr>
            </w:pPr>
            <w:bookmarkStart w:id="14" w:name="_Toc478053866"/>
            <w:bookmarkStart w:id="15" w:name="_Toc478044649"/>
            <w:r>
              <w:rPr>
                <w:rFonts w:hint="eastAsia" w:ascii="宋体" w:cs="Cambria"/>
                <w:b/>
                <w:snapToGrid w:val="0"/>
                <w:color w:val="auto"/>
                <w:kern w:val="0"/>
                <w:sz w:val="24"/>
                <w:szCs w:val="24"/>
                <w:highlight w:val="none"/>
              </w:rPr>
              <w:t>中选人数量</w:t>
            </w:r>
            <w:bookmarkEnd w:id="14"/>
            <w:bookmarkEnd w:id="15"/>
          </w:p>
        </w:tc>
        <w:tc>
          <w:tcPr>
            <w:tcW w:w="1798" w:type="dxa"/>
            <w:vAlign w:val="center"/>
          </w:tcPr>
          <w:p>
            <w:pPr>
              <w:jc w:val="center"/>
              <w:rPr>
                <w:rFonts w:ascii="宋体" w:cs="Cambria"/>
                <w:b/>
                <w:snapToGrid w:val="0"/>
                <w:color w:val="auto"/>
                <w:kern w:val="0"/>
                <w:sz w:val="24"/>
                <w:szCs w:val="24"/>
                <w:highlight w:val="none"/>
              </w:rPr>
            </w:pPr>
            <w:r>
              <w:rPr>
                <w:rFonts w:hint="eastAsia" w:ascii="宋体" w:cs="Cambria"/>
                <w:b/>
                <w:snapToGrid w:val="0"/>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pPr>
              <w:spacing w:line="360" w:lineRule="auto"/>
              <w:jc w:val="center"/>
              <w:rPr>
                <w:rFonts w:ascii="宋体" w:cs="Cambria"/>
                <w:snapToGrid w:val="0"/>
                <w:color w:val="auto"/>
                <w:kern w:val="0"/>
                <w:sz w:val="24"/>
                <w:szCs w:val="24"/>
                <w:highlight w:val="none"/>
              </w:rPr>
            </w:pPr>
            <w:bookmarkStart w:id="16" w:name="_Toc478053868"/>
            <w:bookmarkStart w:id="17" w:name="_Toc478044651"/>
            <w:r>
              <w:rPr>
                <w:rFonts w:hint="eastAsia" w:ascii="宋体" w:cs="Cambria"/>
                <w:snapToGrid w:val="0"/>
                <w:color w:val="auto"/>
                <w:kern w:val="0"/>
                <w:sz w:val="24"/>
                <w:szCs w:val="24"/>
                <w:highlight w:val="none"/>
              </w:rPr>
              <w:t>1</w:t>
            </w:r>
            <w:bookmarkEnd w:id="16"/>
            <w:bookmarkEnd w:id="17"/>
          </w:p>
        </w:tc>
        <w:tc>
          <w:tcPr>
            <w:tcW w:w="2633" w:type="dxa"/>
            <w:vAlign w:val="center"/>
          </w:tcPr>
          <w:p>
            <w:pPr>
              <w:jc w:val="center"/>
              <w:rPr>
                <w:rFonts w:ascii="宋体" w:cs="Cambria"/>
                <w:snapToGrid w:val="0"/>
                <w:color w:val="auto"/>
                <w:kern w:val="0"/>
                <w:sz w:val="24"/>
                <w:szCs w:val="24"/>
                <w:highlight w:val="none"/>
              </w:rPr>
            </w:pPr>
            <w:r>
              <w:rPr>
                <w:rFonts w:hint="eastAsia" w:ascii="宋体" w:cs="宋体"/>
                <w:snapToGrid w:val="0"/>
                <w:color w:val="auto"/>
                <w:kern w:val="0"/>
                <w:sz w:val="24"/>
                <w:szCs w:val="24"/>
                <w:highlight w:val="none"/>
                <w:lang w:val="en-US" w:eastAsia="zh-CN"/>
              </w:rPr>
              <w:t>重庆三峡银行</w:t>
            </w:r>
            <w:r>
              <w:rPr>
                <w:rFonts w:hint="eastAsia" w:ascii="宋体" w:cs="宋体"/>
                <w:snapToGrid w:val="0"/>
                <w:color w:val="auto"/>
                <w:kern w:val="0"/>
                <w:sz w:val="24"/>
                <w:szCs w:val="24"/>
                <w:highlight w:val="none"/>
              </w:rPr>
              <w:t>IBM相关软件原厂维保项目-2023年度</w:t>
            </w:r>
            <w:r>
              <w:rPr>
                <w:rFonts w:ascii="宋体" w:cs="宋体"/>
                <w:snapToGrid w:val="0"/>
                <w:color w:val="auto"/>
                <w:kern w:val="0"/>
                <w:sz w:val="24"/>
                <w:szCs w:val="24"/>
                <w:highlight w:val="none"/>
              </w:rPr>
              <w:t>采购</w:t>
            </w:r>
          </w:p>
        </w:tc>
        <w:tc>
          <w:tcPr>
            <w:tcW w:w="1839" w:type="dxa"/>
            <w:vAlign w:val="center"/>
          </w:tcPr>
          <w:p>
            <w:pPr>
              <w:spacing w:line="360" w:lineRule="auto"/>
              <w:jc w:val="center"/>
              <w:rPr>
                <w:rFonts w:ascii="宋体" w:cs="Cambria"/>
                <w:snapToGrid w:val="0"/>
                <w:color w:val="auto"/>
                <w:kern w:val="0"/>
                <w:sz w:val="24"/>
                <w:szCs w:val="24"/>
                <w:highlight w:val="none"/>
              </w:rPr>
            </w:pPr>
            <w:r>
              <w:rPr>
                <w:rFonts w:hint="eastAsia" w:ascii="宋体" w:cs="宋体"/>
                <w:snapToGrid w:val="0"/>
                <w:color w:val="auto"/>
                <w:kern w:val="0"/>
                <w:sz w:val="24"/>
                <w:szCs w:val="24"/>
                <w:highlight w:val="none"/>
              </w:rPr>
              <w:t>59.4</w:t>
            </w:r>
            <w:r>
              <w:rPr>
                <w:rFonts w:hint="eastAsia" w:ascii="宋体" w:cs="Cambria"/>
                <w:snapToGrid w:val="0"/>
                <w:color w:val="auto"/>
                <w:kern w:val="0"/>
                <w:sz w:val="24"/>
                <w:szCs w:val="24"/>
                <w:highlight w:val="none"/>
              </w:rPr>
              <w:t>万元</w:t>
            </w:r>
          </w:p>
        </w:tc>
        <w:tc>
          <w:tcPr>
            <w:tcW w:w="1798" w:type="dxa"/>
            <w:vAlign w:val="center"/>
          </w:tcPr>
          <w:p>
            <w:pPr>
              <w:spacing w:line="360" w:lineRule="auto"/>
              <w:jc w:val="center"/>
              <w:rPr>
                <w:rFonts w:ascii="宋体" w:cs="Cambria"/>
                <w:snapToGrid w:val="0"/>
                <w:color w:val="auto"/>
                <w:kern w:val="0"/>
                <w:sz w:val="24"/>
                <w:szCs w:val="24"/>
                <w:highlight w:val="none"/>
              </w:rPr>
            </w:pPr>
            <w:r>
              <w:rPr>
                <w:rFonts w:hint="eastAsia" w:ascii="宋体" w:cs="Cambria"/>
                <w:snapToGrid w:val="0"/>
                <w:color w:val="auto"/>
                <w:kern w:val="0"/>
                <w:sz w:val="24"/>
                <w:szCs w:val="24"/>
                <w:highlight w:val="none"/>
              </w:rPr>
              <w:t>1</w:t>
            </w:r>
          </w:p>
        </w:tc>
        <w:tc>
          <w:tcPr>
            <w:tcW w:w="1798" w:type="dxa"/>
            <w:vAlign w:val="center"/>
          </w:tcPr>
          <w:p>
            <w:pPr>
              <w:spacing w:line="360" w:lineRule="auto"/>
              <w:jc w:val="center"/>
              <w:rPr>
                <w:rFonts w:ascii="宋体" w:cs="Cambria"/>
                <w:snapToGrid w:val="0"/>
                <w:color w:val="auto"/>
                <w:kern w:val="0"/>
                <w:sz w:val="24"/>
                <w:szCs w:val="24"/>
                <w:highlight w:val="none"/>
              </w:rPr>
            </w:pPr>
            <w:r>
              <w:rPr>
                <w:rFonts w:hint="eastAsia" w:ascii="宋体" w:cs="Cambria"/>
                <w:snapToGrid w:val="0"/>
                <w:color w:val="auto"/>
                <w:kern w:val="0"/>
                <w:sz w:val="21"/>
                <w:szCs w:val="21"/>
                <w:highlight w:val="none"/>
              </w:rPr>
              <w:t>维保期间：202</w:t>
            </w:r>
            <w:r>
              <w:rPr>
                <w:rFonts w:ascii="宋体" w:cs="Cambria"/>
                <w:snapToGrid w:val="0"/>
                <w:color w:val="auto"/>
                <w:kern w:val="0"/>
                <w:sz w:val="21"/>
                <w:szCs w:val="21"/>
                <w:highlight w:val="none"/>
              </w:rPr>
              <w:t>4</w:t>
            </w:r>
            <w:r>
              <w:rPr>
                <w:rFonts w:hint="eastAsia" w:ascii="宋体" w:cs="Cambria"/>
                <w:snapToGrid w:val="0"/>
                <w:color w:val="auto"/>
                <w:kern w:val="0"/>
                <w:sz w:val="21"/>
                <w:szCs w:val="21"/>
                <w:highlight w:val="none"/>
              </w:rPr>
              <w:t>年1月1日至202</w:t>
            </w:r>
            <w:r>
              <w:rPr>
                <w:rFonts w:ascii="宋体" w:cs="Cambria"/>
                <w:snapToGrid w:val="0"/>
                <w:color w:val="auto"/>
                <w:kern w:val="0"/>
                <w:sz w:val="21"/>
                <w:szCs w:val="21"/>
                <w:highlight w:val="none"/>
              </w:rPr>
              <w:t>4</w:t>
            </w:r>
            <w:r>
              <w:rPr>
                <w:rFonts w:hint="eastAsia" w:ascii="宋体" w:cs="Cambria"/>
                <w:snapToGrid w:val="0"/>
                <w:color w:val="auto"/>
                <w:kern w:val="0"/>
                <w:sz w:val="21"/>
                <w:szCs w:val="21"/>
                <w:highlight w:val="none"/>
              </w:rPr>
              <w:t>年12月31日</w:t>
            </w:r>
          </w:p>
        </w:tc>
      </w:tr>
    </w:tbl>
    <w:p>
      <w:pPr>
        <w:pStyle w:val="4"/>
        <w:outlineLvl w:val="2"/>
        <w:rPr>
          <w:color w:val="auto"/>
          <w:highlight w:val="none"/>
        </w:rPr>
      </w:pPr>
      <w:bookmarkStart w:id="18" w:name="_Toc297817088"/>
      <w:bookmarkStart w:id="19" w:name="_Toc469574664"/>
      <w:bookmarkStart w:id="20" w:name="_Toc55379219"/>
      <w:bookmarkStart w:id="21" w:name="_Toc89675128"/>
      <w:bookmarkStart w:id="22" w:name="_Toc288224935"/>
      <w:r>
        <w:rPr>
          <w:rFonts w:hint="eastAsia"/>
          <w:color w:val="auto"/>
          <w:highlight w:val="none"/>
        </w:rPr>
        <w:t>二、参选人资格要求</w:t>
      </w:r>
      <w:bookmarkEnd w:id="18"/>
      <w:bookmarkEnd w:id="19"/>
      <w:bookmarkEnd w:id="20"/>
      <w:bookmarkEnd w:id="21"/>
      <w:bookmarkEnd w:id="22"/>
    </w:p>
    <w:p>
      <w:pPr>
        <w:snapToGrid w:val="0"/>
        <w:spacing w:line="360" w:lineRule="auto"/>
        <w:ind w:firstLine="480" w:firstLineChars="200"/>
        <w:rPr>
          <w:rFonts w:ascii="宋体" w:cs="Cambria"/>
          <w:snapToGrid w:val="0"/>
          <w:color w:val="auto"/>
          <w:kern w:val="0"/>
          <w:sz w:val="24"/>
          <w:szCs w:val="24"/>
          <w:highlight w:val="none"/>
        </w:rPr>
      </w:pPr>
      <w:bookmarkStart w:id="23" w:name="_Hlk55488870"/>
      <w:r>
        <w:rPr>
          <w:rFonts w:hint="eastAsia" w:ascii="宋体" w:cs="Cambria"/>
          <w:snapToGrid w:val="0"/>
          <w:color w:val="auto"/>
          <w:kern w:val="0"/>
          <w:sz w:val="24"/>
          <w:szCs w:val="24"/>
          <w:highlight w:val="none"/>
        </w:rPr>
        <w:t>（一）基本资格条件</w:t>
      </w:r>
    </w:p>
    <w:p>
      <w:pPr>
        <w:pStyle w:val="31"/>
        <w:numPr>
          <w:ilvl w:val="0"/>
          <w:numId w:val="1"/>
        </w:numPr>
        <w:snapToGrid w:val="0"/>
        <w:spacing w:line="360" w:lineRule="auto"/>
        <w:ind w:firstLineChars="0"/>
        <w:rPr>
          <w:rFonts w:ascii="宋体" w:eastAsia="宋体" w:cs="Cambria"/>
          <w:snapToGrid w:val="0"/>
          <w:color w:val="auto"/>
          <w:kern w:val="0"/>
          <w:sz w:val="24"/>
          <w:szCs w:val="24"/>
          <w:highlight w:val="none"/>
        </w:rPr>
      </w:pPr>
      <w:r>
        <w:rPr>
          <w:rFonts w:hint="eastAsia" w:ascii="宋体" w:eastAsia="宋体" w:cs="Cambria"/>
          <w:snapToGrid w:val="0"/>
          <w:color w:val="auto"/>
          <w:kern w:val="0"/>
          <w:sz w:val="24"/>
          <w:szCs w:val="24"/>
          <w:highlight w:val="none"/>
        </w:rPr>
        <w:t>具有独立承担民事责任的能力；</w:t>
      </w:r>
    </w:p>
    <w:p>
      <w:pPr>
        <w:pStyle w:val="31"/>
        <w:numPr>
          <w:ilvl w:val="0"/>
          <w:numId w:val="1"/>
        </w:numPr>
        <w:snapToGrid w:val="0"/>
        <w:spacing w:line="360" w:lineRule="auto"/>
        <w:ind w:firstLineChars="0"/>
        <w:rPr>
          <w:rFonts w:ascii="宋体" w:eastAsia="宋体" w:cs="Cambria"/>
          <w:snapToGrid w:val="0"/>
          <w:color w:val="auto"/>
          <w:kern w:val="0"/>
          <w:sz w:val="24"/>
          <w:szCs w:val="24"/>
          <w:highlight w:val="none"/>
        </w:rPr>
      </w:pPr>
      <w:r>
        <w:rPr>
          <w:rFonts w:hint="eastAsia" w:ascii="宋体" w:eastAsia="宋体" w:cs="Cambria"/>
          <w:snapToGrid w:val="0"/>
          <w:color w:val="auto"/>
          <w:kern w:val="0"/>
          <w:sz w:val="24"/>
          <w:szCs w:val="24"/>
          <w:highlight w:val="none"/>
        </w:rPr>
        <w:t>具有良好的商业信誉和健全的财务会计制度；</w:t>
      </w:r>
    </w:p>
    <w:p>
      <w:pPr>
        <w:pStyle w:val="31"/>
        <w:numPr>
          <w:ilvl w:val="0"/>
          <w:numId w:val="1"/>
        </w:numPr>
        <w:snapToGrid w:val="0"/>
        <w:spacing w:line="360" w:lineRule="auto"/>
        <w:ind w:firstLineChars="0"/>
        <w:rPr>
          <w:rFonts w:ascii="宋体" w:eastAsia="宋体" w:cs="Cambria"/>
          <w:snapToGrid w:val="0"/>
          <w:color w:val="auto"/>
          <w:kern w:val="0"/>
          <w:sz w:val="24"/>
          <w:szCs w:val="24"/>
          <w:highlight w:val="none"/>
        </w:rPr>
      </w:pPr>
      <w:r>
        <w:rPr>
          <w:rFonts w:hint="eastAsia" w:ascii="宋体" w:eastAsia="宋体" w:cs="Cambria"/>
          <w:snapToGrid w:val="0"/>
          <w:color w:val="auto"/>
          <w:kern w:val="0"/>
          <w:sz w:val="24"/>
          <w:szCs w:val="24"/>
          <w:highlight w:val="none"/>
        </w:rPr>
        <w:t>具有履行合同所必需的设备和专业技术能力；</w:t>
      </w:r>
    </w:p>
    <w:p>
      <w:pPr>
        <w:pStyle w:val="31"/>
        <w:numPr>
          <w:ilvl w:val="0"/>
          <w:numId w:val="1"/>
        </w:numPr>
        <w:snapToGrid w:val="0"/>
        <w:spacing w:line="360" w:lineRule="auto"/>
        <w:ind w:firstLineChars="0"/>
        <w:rPr>
          <w:rFonts w:ascii="宋体" w:eastAsia="宋体" w:cs="Cambria"/>
          <w:snapToGrid w:val="0"/>
          <w:color w:val="auto"/>
          <w:kern w:val="0"/>
          <w:sz w:val="24"/>
          <w:szCs w:val="24"/>
          <w:highlight w:val="none"/>
        </w:rPr>
      </w:pPr>
      <w:r>
        <w:rPr>
          <w:rFonts w:hint="eastAsia" w:ascii="宋体" w:eastAsia="宋体" w:cs="Cambria"/>
          <w:snapToGrid w:val="0"/>
          <w:color w:val="auto"/>
          <w:kern w:val="0"/>
          <w:sz w:val="24"/>
          <w:szCs w:val="24"/>
          <w:highlight w:val="none"/>
        </w:rPr>
        <w:t>有依法缴纳税收和社会保障金的良好记录；</w:t>
      </w:r>
    </w:p>
    <w:p>
      <w:pPr>
        <w:pStyle w:val="31"/>
        <w:numPr>
          <w:ilvl w:val="0"/>
          <w:numId w:val="1"/>
        </w:numPr>
        <w:snapToGrid w:val="0"/>
        <w:spacing w:line="360" w:lineRule="auto"/>
        <w:ind w:firstLineChars="0"/>
        <w:rPr>
          <w:rFonts w:ascii="宋体" w:eastAsia="宋体" w:cs="Cambria"/>
          <w:snapToGrid w:val="0"/>
          <w:color w:val="auto"/>
          <w:kern w:val="0"/>
          <w:sz w:val="24"/>
          <w:szCs w:val="24"/>
          <w:highlight w:val="none"/>
        </w:rPr>
      </w:pPr>
      <w:r>
        <w:rPr>
          <w:rFonts w:hint="eastAsia" w:ascii="宋体" w:eastAsia="宋体" w:cs="Cambria"/>
          <w:snapToGrid w:val="0"/>
          <w:color w:val="auto"/>
          <w:kern w:val="0"/>
          <w:sz w:val="24"/>
          <w:szCs w:val="24"/>
          <w:highlight w:val="none"/>
        </w:rPr>
        <w:t>三年内在经营活动中没有重大违法记录；</w:t>
      </w:r>
    </w:p>
    <w:p>
      <w:pPr>
        <w:pStyle w:val="31"/>
        <w:numPr>
          <w:ilvl w:val="0"/>
          <w:numId w:val="1"/>
        </w:numPr>
        <w:snapToGrid w:val="0"/>
        <w:spacing w:line="360" w:lineRule="auto"/>
        <w:ind w:firstLineChars="0"/>
        <w:rPr>
          <w:rFonts w:ascii="宋体" w:eastAsia="宋体" w:cs="Cambria"/>
          <w:snapToGrid w:val="0"/>
          <w:color w:val="auto"/>
          <w:kern w:val="0"/>
          <w:sz w:val="24"/>
          <w:szCs w:val="24"/>
          <w:highlight w:val="none"/>
        </w:rPr>
      </w:pPr>
      <w:r>
        <w:rPr>
          <w:rFonts w:hint="eastAsia" w:ascii="宋体" w:eastAsia="宋体" w:cs="Cambria"/>
          <w:snapToGrid w:val="0"/>
          <w:color w:val="auto"/>
          <w:kern w:val="0"/>
          <w:sz w:val="24"/>
          <w:szCs w:val="24"/>
          <w:highlight w:val="none"/>
        </w:rPr>
        <w:t>法人及法定代表人没有被人民法院列为失信被执行人名单；</w:t>
      </w:r>
    </w:p>
    <w:p>
      <w:pPr>
        <w:pStyle w:val="31"/>
        <w:numPr>
          <w:ilvl w:val="0"/>
          <w:numId w:val="1"/>
        </w:numPr>
        <w:snapToGrid w:val="0"/>
        <w:spacing w:line="360" w:lineRule="auto"/>
        <w:ind w:firstLineChars="0"/>
        <w:rPr>
          <w:rFonts w:ascii="宋体" w:eastAsia="宋体" w:cs="Cambria"/>
          <w:snapToGrid w:val="0"/>
          <w:color w:val="auto"/>
          <w:kern w:val="0"/>
          <w:sz w:val="24"/>
          <w:szCs w:val="24"/>
          <w:highlight w:val="none"/>
        </w:rPr>
      </w:pPr>
      <w:r>
        <w:rPr>
          <w:rFonts w:hint="eastAsia" w:ascii="宋体" w:eastAsia="宋体" w:cs="Cambria"/>
          <w:snapToGrid w:val="0"/>
          <w:color w:val="auto"/>
          <w:kern w:val="0"/>
          <w:sz w:val="24"/>
          <w:szCs w:val="24"/>
          <w:highlight w:val="none"/>
        </w:rPr>
        <w:t>法律、行政法规规定的其他条件。</w:t>
      </w:r>
    </w:p>
    <w:p>
      <w:pPr>
        <w:snapToGrid w:val="0"/>
        <w:spacing w:line="360" w:lineRule="auto"/>
        <w:ind w:firstLine="480" w:firstLineChars="200"/>
        <w:rPr>
          <w:rFonts w:ascii="宋体" w:cs="Cambria"/>
          <w:snapToGrid w:val="0"/>
          <w:color w:val="auto"/>
          <w:kern w:val="0"/>
          <w:sz w:val="24"/>
          <w:szCs w:val="24"/>
          <w:highlight w:val="none"/>
        </w:rPr>
      </w:pPr>
      <w:r>
        <w:rPr>
          <w:rFonts w:hint="eastAsia" w:ascii="宋体" w:cs="Cambria"/>
          <w:snapToGrid w:val="0"/>
          <w:color w:val="auto"/>
          <w:kern w:val="0"/>
          <w:sz w:val="24"/>
          <w:szCs w:val="24"/>
          <w:highlight w:val="none"/>
        </w:rPr>
        <w:t>（二）特定资格条件</w:t>
      </w:r>
    </w:p>
    <w:p>
      <w:pPr>
        <w:snapToGrid w:val="0"/>
        <w:spacing w:line="360" w:lineRule="auto"/>
        <w:ind w:firstLine="480" w:firstLineChars="200"/>
        <w:rPr>
          <w:rFonts w:hint="eastAsia" w:ascii="宋体" w:cs="Cambria"/>
          <w:snapToGrid w:val="0"/>
          <w:color w:val="auto"/>
          <w:kern w:val="0"/>
          <w:sz w:val="24"/>
          <w:szCs w:val="24"/>
          <w:highlight w:val="none"/>
        </w:rPr>
      </w:pPr>
      <w:r>
        <w:rPr>
          <w:rFonts w:hint="eastAsia" w:ascii="宋体" w:cs="Cambria"/>
          <w:snapToGrid w:val="0"/>
          <w:color w:val="auto"/>
          <w:kern w:val="0"/>
          <w:sz w:val="24"/>
          <w:szCs w:val="24"/>
          <w:highlight w:val="none"/>
        </w:rPr>
        <w:t>1、20</w:t>
      </w:r>
      <w:r>
        <w:rPr>
          <w:rFonts w:ascii="宋体" w:cs="Cambria"/>
          <w:snapToGrid w:val="0"/>
          <w:color w:val="auto"/>
          <w:kern w:val="0"/>
          <w:sz w:val="24"/>
          <w:szCs w:val="24"/>
          <w:highlight w:val="none"/>
        </w:rPr>
        <w:t>20</w:t>
      </w:r>
      <w:r>
        <w:rPr>
          <w:rFonts w:hint="eastAsia" w:ascii="宋体" w:cs="Cambria"/>
          <w:snapToGrid w:val="0"/>
          <w:color w:val="auto"/>
          <w:kern w:val="0"/>
          <w:sz w:val="24"/>
          <w:szCs w:val="24"/>
          <w:highlight w:val="none"/>
        </w:rPr>
        <w:t>年11月1日至今，参选人至少有一个银行的IBM相关软件维保产品的采购客户案例，案例以合同签订时间为准。同一家银行不同分、支行，或同一家银行在此期间的多次供货，均视为一个案例；</w:t>
      </w:r>
    </w:p>
    <w:p>
      <w:pPr>
        <w:pStyle w:val="12"/>
        <w:spacing w:line="360" w:lineRule="auto"/>
        <w:ind w:firstLine="480" w:firstLineChars="200"/>
        <w:rPr>
          <w:rFonts w:ascii="宋体"/>
          <w:color w:val="auto"/>
          <w:sz w:val="24"/>
          <w:szCs w:val="24"/>
          <w:highlight w:val="none"/>
        </w:rPr>
      </w:pPr>
      <w:r>
        <w:rPr>
          <w:rFonts w:hint="eastAsia" w:ascii="宋体"/>
          <w:color w:val="auto"/>
          <w:sz w:val="24"/>
          <w:szCs w:val="24"/>
          <w:highlight w:val="none"/>
        </w:rPr>
        <w:t>注: 案例要求以下信息不可隐藏，包含：甲乙双方名称、双方印章、项目/产品的名称、合同/中选通知书签订时间等。以上证明文件若</w:t>
      </w:r>
      <w:r>
        <w:rPr>
          <w:rFonts w:ascii="宋体"/>
          <w:color w:val="auto"/>
          <w:sz w:val="24"/>
          <w:szCs w:val="24"/>
          <w:highlight w:val="none"/>
        </w:rPr>
        <w:t>比选</w:t>
      </w:r>
      <w:r>
        <w:rPr>
          <w:rFonts w:hint="eastAsia" w:ascii="宋体"/>
          <w:color w:val="auto"/>
          <w:sz w:val="24"/>
          <w:szCs w:val="24"/>
          <w:highlight w:val="none"/>
        </w:rPr>
        <w:t>人存疑，参选人需提供原件备查,参选文件中须附相关证明文件复印件并逐页加盖公章。</w:t>
      </w:r>
    </w:p>
    <w:bookmarkEnd w:id="23"/>
    <w:p>
      <w:pPr>
        <w:snapToGrid w:val="0"/>
        <w:spacing w:line="360" w:lineRule="auto"/>
        <w:ind w:firstLine="480" w:firstLineChars="200"/>
        <w:rPr>
          <w:rFonts w:hint="eastAsia" w:ascii="宋体" w:cs="Cambria"/>
          <w:snapToGrid w:val="0"/>
          <w:color w:val="auto"/>
          <w:kern w:val="0"/>
          <w:sz w:val="24"/>
          <w:szCs w:val="24"/>
          <w:highlight w:val="none"/>
        </w:rPr>
      </w:pPr>
      <w:bookmarkStart w:id="24" w:name="_Toc297817090"/>
      <w:bookmarkStart w:id="25" w:name="_Toc469574667"/>
      <w:bookmarkStart w:id="26" w:name="_Toc89675130"/>
      <w:bookmarkStart w:id="27" w:name="_Toc55379220"/>
      <w:r>
        <w:rPr>
          <w:rFonts w:hint="eastAsia" w:ascii="宋体" w:cs="Cambria"/>
          <w:snapToGrid w:val="0"/>
          <w:color w:val="auto"/>
          <w:kern w:val="0"/>
          <w:sz w:val="24"/>
          <w:szCs w:val="24"/>
          <w:highlight w:val="none"/>
        </w:rPr>
        <w:t>2、</w:t>
      </w:r>
      <w:r>
        <w:rPr>
          <w:rFonts w:hint="eastAsia" w:ascii="宋体" w:cs="Cambria"/>
          <w:snapToGrid w:val="0"/>
          <w:color w:val="auto"/>
          <w:kern w:val="0"/>
          <w:sz w:val="24"/>
          <w:szCs w:val="24"/>
          <w:highlight w:val="none"/>
          <w:lang w:val="zh-CN"/>
        </w:rPr>
        <w:t>参选人包括原厂商或其合法代理商，若为代理商须提供产品原厂商对本项目的参选授权函原件</w:t>
      </w:r>
      <w:r>
        <w:rPr>
          <w:rFonts w:ascii="宋体" w:cs="Cambria"/>
          <w:snapToGrid w:val="0"/>
          <w:color w:val="auto"/>
          <w:kern w:val="0"/>
          <w:sz w:val="24"/>
          <w:szCs w:val="24"/>
          <w:highlight w:val="none"/>
          <w:lang w:val="zh-CN"/>
        </w:rPr>
        <w:t>或复印件</w:t>
      </w:r>
      <w:r>
        <w:rPr>
          <w:rFonts w:hint="eastAsia" w:ascii="宋体" w:cs="Cambria"/>
          <w:snapToGrid w:val="0"/>
          <w:color w:val="auto"/>
          <w:kern w:val="0"/>
          <w:sz w:val="24"/>
          <w:szCs w:val="24"/>
          <w:highlight w:val="none"/>
          <w:lang w:val="zh-CN"/>
        </w:rPr>
        <w:t>；</w:t>
      </w:r>
    </w:p>
    <w:p>
      <w:pPr>
        <w:snapToGrid w:val="0"/>
        <w:spacing w:line="360" w:lineRule="auto"/>
        <w:ind w:firstLine="480" w:firstLineChars="200"/>
        <w:rPr>
          <w:rFonts w:hint="eastAsia" w:ascii="宋体" w:cs="Cambria"/>
          <w:snapToGrid w:val="0"/>
          <w:color w:val="auto"/>
          <w:kern w:val="0"/>
          <w:sz w:val="24"/>
          <w:szCs w:val="24"/>
          <w:highlight w:val="none"/>
        </w:rPr>
      </w:pPr>
      <w:r>
        <w:rPr>
          <w:rFonts w:hint="eastAsia" w:ascii="宋体" w:cs="Cambria"/>
          <w:snapToGrid w:val="0"/>
          <w:color w:val="auto"/>
          <w:kern w:val="0"/>
          <w:sz w:val="24"/>
          <w:szCs w:val="24"/>
          <w:highlight w:val="none"/>
        </w:rPr>
        <w:t>注: 以上证明文件若</w:t>
      </w:r>
      <w:r>
        <w:rPr>
          <w:rFonts w:ascii="宋体" w:cs="Cambria"/>
          <w:snapToGrid w:val="0"/>
          <w:color w:val="auto"/>
          <w:kern w:val="0"/>
          <w:sz w:val="24"/>
          <w:szCs w:val="24"/>
          <w:highlight w:val="none"/>
        </w:rPr>
        <w:t>比选</w:t>
      </w:r>
      <w:r>
        <w:rPr>
          <w:rFonts w:hint="eastAsia" w:ascii="宋体" w:cs="Cambria"/>
          <w:snapToGrid w:val="0"/>
          <w:color w:val="auto"/>
          <w:kern w:val="0"/>
          <w:sz w:val="24"/>
          <w:szCs w:val="24"/>
          <w:highlight w:val="none"/>
        </w:rPr>
        <w:t>人存疑，</w:t>
      </w:r>
      <w:r>
        <w:rPr>
          <w:rFonts w:ascii="宋体" w:cs="Cambria"/>
          <w:snapToGrid w:val="0"/>
          <w:color w:val="auto"/>
          <w:kern w:val="0"/>
          <w:sz w:val="24"/>
          <w:szCs w:val="24"/>
          <w:highlight w:val="none"/>
        </w:rPr>
        <w:t>参选</w:t>
      </w:r>
      <w:r>
        <w:rPr>
          <w:rFonts w:hint="eastAsia" w:ascii="宋体" w:cs="Cambria"/>
          <w:snapToGrid w:val="0"/>
          <w:color w:val="auto"/>
          <w:kern w:val="0"/>
          <w:sz w:val="24"/>
          <w:szCs w:val="24"/>
          <w:highlight w:val="none"/>
        </w:rPr>
        <w:t>人需提供原件备查，</w:t>
      </w:r>
      <w:r>
        <w:rPr>
          <w:rFonts w:ascii="宋体" w:cs="Cambria"/>
          <w:snapToGrid w:val="0"/>
          <w:color w:val="auto"/>
          <w:kern w:val="0"/>
          <w:sz w:val="24"/>
          <w:szCs w:val="24"/>
          <w:highlight w:val="none"/>
        </w:rPr>
        <w:t>参选</w:t>
      </w:r>
      <w:r>
        <w:rPr>
          <w:rFonts w:hint="eastAsia" w:ascii="宋体" w:cs="Cambria"/>
          <w:snapToGrid w:val="0"/>
          <w:color w:val="auto"/>
          <w:kern w:val="0"/>
          <w:sz w:val="24"/>
          <w:szCs w:val="24"/>
          <w:highlight w:val="none"/>
        </w:rPr>
        <w:t>文件中须附相关证明文件复印件并逐页加盖公章。</w:t>
      </w:r>
    </w:p>
    <w:p>
      <w:pPr>
        <w:snapToGrid w:val="0"/>
        <w:spacing w:line="360" w:lineRule="auto"/>
        <w:ind w:firstLine="480" w:firstLineChars="200"/>
        <w:rPr>
          <w:color w:val="auto"/>
          <w:highlight w:val="none"/>
        </w:rPr>
      </w:pPr>
      <w:r>
        <w:rPr>
          <w:rFonts w:hint="eastAsia" w:ascii="宋体" w:cs="Cambria"/>
          <w:snapToGrid w:val="0"/>
          <w:color w:val="auto"/>
          <w:kern w:val="0"/>
          <w:sz w:val="24"/>
          <w:szCs w:val="24"/>
          <w:highlight w:val="none"/>
        </w:rPr>
        <w:t>本次比选不接受曾因参选人的违约行为与比选人发生过纠纷的参选人；不接受与比选人合作过程中不遵守比选文件及合同约定的参选人；不接受曾在比选人项目中存在弄虚作假行为的参选人。若参选人存在上述情况，比选人将有权随时取消其参选资格或中选资格（若签署合同后发现的则有权解除合同），没收其参选保证金，并追究其相应的法律责任。</w:t>
      </w:r>
    </w:p>
    <w:bookmarkEnd w:id="24"/>
    <w:bookmarkEnd w:id="25"/>
    <w:bookmarkEnd w:id="26"/>
    <w:bookmarkEnd w:id="27"/>
    <w:p>
      <w:pPr>
        <w:pStyle w:val="4"/>
        <w:outlineLvl w:val="2"/>
        <w:rPr>
          <w:rFonts w:hint="eastAsia"/>
          <w:color w:val="auto"/>
          <w:highlight w:val="none"/>
        </w:rPr>
      </w:pPr>
      <w:r>
        <w:rPr>
          <w:rFonts w:hint="eastAsia"/>
          <w:color w:val="auto"/>
          <w:highlight w:val="none"/>
        </w:rPr>
        <w:t>三、比选文件的获取</w:t>
      </w:r>
    </w:p>
    <w:p>
      <w:pPr>
        <w:pStyle w:val="12"/>
        <w:spacing w:line="360" w:lineRule="auto"/>
        <w:ind w:firstLine="480" w:firstLineChars="200"/>
        <w:jc w:val="left"/>
        <w:rPr>
          <w:rFonts w:hint="eastAsia" w:ascii="宋体" w:eastAsia="宋体" w:cs="Cambria"/>
          <w:snapToGrid w:val="0"/>
          <w:color w:val="auto"/>
          <w:kern w:val="0"/>
          <w:sz w:val="24"/>
          <w:szCs w:val="24"/>
          <w:highlight w:val="none"/>
        </w:rPr>
      </w:pPr>
      <w:r>
        <w:rPr>
          <w:rFonts w:hint="eastAsia" w:ascii="宋体" w:eastAsia="宋体" w:cs="Cambria"/>
          <w:snapToGrid w:val="0"/>
          <w:color w:val="auto"/>
          <w:kern w:val="0"/>
          <w:sz w:val="24"/>
          <w:szCs w:val="24"/>
          <w:highlight w:val="none"/>
        </w:rPr>
        <w:t>获取时间和方式：从2024年2月7日到2024年3月1日9时30分（北京时间），在重庆市公共资源交易网（www.cqggzy.com）下载比选文件。</w:t>
      </w:r>
    </w:p>
    <w:p>
      <w:pPr>
        <w:pStyle w:val="4"/>
        <w:outlineLvl w:val="2"/>
        <w:rPr>
          <w:color w:val="auto"/>
          <w:highlight w:val="none"/>
        </w:rPr>
      </w:pPr>
      <w:bookmarkStart w:id="28" w:name="_Toc55379221"/>
      <w:r>
        <w:rPr>
          <w:rFonts w:hint="eastAsia"/>
          <w:color w:val="auto"/>
          <w:highlight w:val="none"/>
        </w:rPr>
        <w:t>四、比选保证金的递交</w:t>
      </w:r>
      <w:bookmarkEnd w:id="28"/>
    </w:p>
    <w:p>
      <w:pPr>
        <w:snapToGrid w:val="0"/>
        <w:spacing w:line="360" w:lineRule="auto"/>
        <w:ind w:firstLine="480" w:firstLineChars="200"/>
        <w:rPr>
          <w:rFonts w:ascii="宋体" w:cs="Cambria"/>
          <w:snapToGrid w:val="0"/>
          <w:color w:val="auto"/>
          <w:kern w:val="0"/>
          <w:sz w:val="24"/>
          <w:szCs w:val="24"/>
          <w:highlight w:val="none"/>
        </w:rPr>
      </w:pPr>
      <w:bookmarkStart w:id="29" w:name="_Toc469574668"/>
      <w:bookmarkStart w:id="30" w:name="_Toc55379222"/>
      <w:bookmarkStart w:id="31" w:name="_Toc297817091"/>
      <w:bookmarkStart w:id="32" w:name="_Toc89675131"/>
      <w:r>
        <w:rPr>
          <w:rFonts w:hint="eastAsia" w:ascii="宋体" w:cs="Cambria"/>
          <w:snapToGrid w:val="0"/>
          <w:color w:val="auto"/>
          <w:kern w:val="0"/>
          <w:sz w:val="24"/>
          <w:szCs w:val="24"/>
          <w:highlight w:val="none"/>
        </w:rPr>
        <w:t>1、参选保证金的金额：</w:t>
      </w:r>
      <w:r>
        <w:rPr>
          <w:rFonts w:ascii="宋体" w:cs="Cambria"/>
          <w:color w:val="auto"/>
          <w:sz w:val="24"/>
          <w:szCs w:val="24"/>
          <w:highlight w:val="none"/>
        </w:rPr>
        <w:t>10000</w:t>
      </w:r>
      <w:r>
        <w:rPr>
          <w:rFonts w:hint="eastAsia" w:ascii="宋体" w:cs="Cambria"/>
          <w:snapToGrid w:val="0"/>
          <w:color w:val="auto"/>
          <w:kern w:val="0"/>
          <w:sz w:val="24"/>
          <w:szCs w:val="24"/>
          <w:highlight w:val="none"/>
        </w:rPr>
        <w:t>元整（大写：壹</w:t>
      </w:r>
      <w:r>
        <w:rPr>
          <w:rFonts w:ascii="宋体" w:cs="Cambria"/>
          <w:snapToGrid w:val="0"/>
          <w:color w:val="auto"/>
          <w:kern w:val="0"/>
          <w:sz w:val="24"/>
          <w:szCs w:val="24"/>
          <w:highlight w:val="none"/>
        </w:rPr>
        <w:t>万</w:t>
      </w:r>
      <w:r>
        <w:rPr>
          <w:rFonts w:hint="eastAsia" w:ascii="宋体" w:cs="Cambria"/>
          <w:snapToGrid w:val="0"/>
          <w:color w:val="auto"/>
          <w:kern w:val="0"/>
          <w:sz w:val="24"/>
          <w:szCs w:val="24"/>
          <w:highlight w:val="none"/>
        </w:rPr>
        <w:t>元整）。</w:t>
      </w:r>
    </w:p>
    <w:p>
      <w:pPr>
        <w:snapToGrid w:val="0"/>
        <w:spacing w:line="360" w:lineRule="auto"/>
        <w:ind w:firstLine="480" w:firstLineChars="200"/>
        <w:rPr>
          <w:rFonts w:ascii="宋体" w:cs="Cambria"/>
          <w:snapToGrid w:val="0"/>
          <w:color w:val="auto"/>
          <w:kern w:val="0"/>
          <w:sz w:val="24"/>
          <w:szCs w:val="24"/>
          <w:highlight w:val="none"/>
        </w:rPr>
      </w:pPr>
      <w:r>
        <w:rPr>
          <w:rFonts w:hint="eastAsia" w:ascii="宋体" w:cs="Cambria"/>
          <w:snapToGrid w:val="0"/>
          <w:color w:val="auto"/>
          <w:kern w:val="0"/>
          <w:sz w:val="24"/>
          <w:szCs w:val="24"/>
          <w:highlight w:val="none"/>
        </w:rPr>
        <w:t>2、参选保证金缴纳方式：参选人从参选人的银行账户，通过转账或电汇方式直接划付至下面指定的账户，否则，参选保证金无效。参选人自行考虑汇入到账时间风险，本项目参选保证金不接受任何形式保函（包括电子保函）；</w:t>
      </w:r>
    </w:p>
    <w:p>
      <w:pPr>
        <w:snapToGrid w:val="0"/>
        <w:spacing w:line="360" w:lineRule="auto"/>
        <w:ind w:firstLine="482" w:firstLineChars="200"/>
        <w:rPr>
          <w:rFonts w:hint="eastAsia" w:ascii="宋体" w:cs="Cambria"/>
          <w:b/>
          <w:snapToGrid w:val="0"/>
          <w:color w:val="auto"/>
          <w:kern w:val="0"/>
          <w:sz w:val="24"/>
          <w:szCs w:val="24"/>
          <w:highlight w:val="none"/>
        </w:rPr>
      </w:pPr>
      <w:r>
        <w:rPr>
          <w:rFonts w:hint="eastAsia" w:ascii="宋体" w:cs="Cambria"/>
          <w:b/>
          <w:snapToGrid w:val="0"/>
          <w:color w:val="auto"/>
          <w:kern w:val="0"/>
          <w:sz w:val="24"/>
          <w:szCs w:val="24"/>
          <w:highlight w:val="none"/>
          <w:lang w:eastAsia="zh-CN"/>
        </w:rPr>
        <w:t>参选</w:t>
      </w:r>
      <w:r>
        <w:rPr>
          <w:rFonts w:hint="eastAsia" w:ascii="宋体" w:cs="Cambria"/>
          <w:b/>
          <w:snapToGrid w:val="0"/>
          <w:color w:val="auto"/>
          <w:kern w:val="0"/>
          <w:sz w:val="24"/>
          <w:szCs w:val="24"/>
          <w:highlight w:val="none"/>
        </w:rPr>
        <w:t>人必须在付款凭证备注栏中注明是“IBM相关软件原厂维保项目</w:t>
      </w:r>
      <w:r>
        <w:rPr>
          <w:rFonts w:hint="eastAsia" w:ascii="宋体" w:cs="Cambria"/>
          <w:b/>
          <w:snapToGrid w:val="0"/>
          <w:color w:val="auto"/>
          <w:kern w:val="0"/>
          <w:sz w:val="24"/>
          <w:szCs w:val="24"/>
          <w:highlight w:val="none"/>
          <w:lang w:eastAsia="zh-CN"/>
        </w:rPr>
        <w:t>参选</w:t>
      </w:r>
      <w:r>
        <w:rPr>
          <w:rFonts w:hint="eastAsia" w:ascii="宋体" w:cs="Cambria"/>
          <w:b/>
          <w:snapToGrid w:val="0"/>
          <w:color w:val="auto"/>
          <w:kern w:val="0"/>
          <w:sz w:val="24"/>
          <w:szCs w:val="24"/>
          <w:highlight w:val="none"/>
        </w:rPr>
        <w:t>保证金”。项目名称可简写成：</w:t>
      </w:r>
      <w:r>
        <w:rPr>
          <w:rFonts w:ascii="宋体" w:cs="Cambria"/>
          <w:b/>
          <w:snapToGrid w:val="0"/>
          <w:color w:val="auto"/>
          <w:kern w:val="0"/>
          <w:sz w:val="24"/>
          <w:szCs w:val="24"/>
          <w:highlight w:val="none"/>
          <w:u w:val="single"/>
        </w:rPr>
        <w:t>IBM软件维保项目</w:t>
      </w:r>
      <w:r>
        <w:rPr>
          <w:rFonts w:hint="eastAsia" w:ascii="宋体" w:cs="Cambria"/>
          <w:b/>
          <w:snapToGrid w:val="0"/>
          <w:color w:val="auto"/>
          <w:kern w:val="0"/>
          <w:sz w:val="24"/>
          <w:szCs w:val="24"/>
          <w:highlight w:val="none"/>
        </w:rPr>
        <w:t>。</w:t>
      </w:r>
    </w:p>
    <w:p>
      <w:pPr>
        <w:snapToGrid w:val="0"/>
        <w:spacing w:line="360" w:lineRule="auto"/>
        <w:ind w:firstLine="480" w:firstLineChars="200"/>
        <w:rPr>
          <w:rFonts w:ascii="宋体" w:cs="Cambria"/>
          <w:b/>
          <w:snapToGrid w:val="0"/>
          <w:color w:val="auto"/>
          <w:kern w:val="0"/>
          <w:sz w:val="24"/>
          <w:szCs w:val="24"/>
          <w:highlight w:val="none"/>
          <w:u w:val="single"/>
        </w:rPr>
      </w:pPr>
      <w:r>
        <w:rPr>
          <w:rFonts w:hint="eastAsia" w:ascii="宋体" w:cs="Cambria"/>
          <w:snapToGrid w:val="0"/>
          <w:color w:val="auto"/>
          <w:kern w:val="0"/>
          <w:sz w:val="24"/>
          <w:szCs w:val="24"/>
          <w:highlight w:val="none"/>
        </w:rPr>
        <w:t>3、参选保证金递交的截止时间为</w:t>
      </w:r>
      <w:r>
        <w:rPr>
          <w:rFonts w:hint="eastAsia" w:ascii="宋体" w:cs="Cambria"/>
          <w:b/>
          <w:bCs/>
          <w:snapToGrid w:val="0"/>
          <w:color w:val="auto"/>
          <w:kern w:val="0"/>
          <w:sz w:val="24"/>
          <w:szCs w:val="24"/>
          <w:highlight w:val="none"/>
        </w:rPr>
        <w:t>2024年3月1日9时30分</w:t>
      </w:r>
      <w:r>
        <w:rPr>
          <w:rFonts w:hint="eastAsia" w:ascii="宋体" w:cs="Cambria"/>
          <w:b/>
          <w:snapToGrid w:val="0"/>
          <w:color w:val="auto"/>
          <w:kern w:val="0"/>
          <w:sz w:val="24"/>
          <w:szCs w:val="24"/>
          <w:highlight w:val="none"/>
          <w:u w:val="single"/>
        </w:rPr>
        <w:t>。</w:t>
      </w:r>
    </w:p>
    <w:p>
      <w:pPr>
        <w:snapToGrid w:val="0"/>
        <w:spacing w:line="360" w:lineRule="auto"/>
        <w:ind w:firstLine="480" w:firstLineChars="200"/>
        <w:jc w:val="left"/>
        <w:rPr>
          <w:rFonts w:hint="eastAsia" w:ascii="宋体" w:cs="Cambria"/>
          <w:snapToGrid w:val="0"/>
          <w:color w:val="auto"/>
          <w:kern w:val="0"/>
          <w:sz w:val="24"/>
          <w:szCs w:val="24"/>
          <w:highlight w:val="none"/>
        </w:rPr>
      </w:pPr>
      <w:r>
        <w:rPr>
          <w:rFonts w:ascii="宋体" w:cs="Cambria"/>
          <w:snapToGrid w:val="0"/>
          <w:color w:val="auto"/>
          <w:kern w:val="0"/>
          <w:sz w:val="24"/>
          <w:szCs w:val="24"/>
          <w:highlight w:val="none"/>
        </w:rPr>
        <w:t>4</w:t>
      </w:r>
      <w:r>
        <w:rPr>
          <w:rFonts w:hint="eastAsia" w:ascii="宋体" w:cs="Cambria"/>
          <w:snapToGrid w:val="0"/>
          <w:color w:val="auto"/>
          <w:kern w:val="0"/>
          <w:sz w:val="24"/>
          <w:szCs w:val="24"/>
          <w:highlight w:val="none"/>
        </w:rPr>
        <w:t>、参选保证金专用账户如下：</w:t>
      </w:r>
    </w:p>
    <w:p>
      <w:pPr>
        <w:pStyle w:val="4"/>
        <w:outlineLvl w:val="9"/>
        <w:rPr>
          <w:rFonts w:hint="eastAsia" w:ascii="宋体" w:eastAsia="宋体" w:cs="Cambria"/>
          <w:b w:val="0"/>
          <w:bCs w:val="0"/>
          <w:snapToGrid w:val="0"/>
          <w:color w:val="auto"/>
          <w:kern w:val="0"/>
          <w:sz w:val="24"/>
          <w:szCs w:val="24"/>
          <w:highlight w:val="none"/>
          <w:lang w:val="en-US" w:eastAsia="zh-CN" w:bidi="ar-SA"/>
        </w:rPr>
      </w:pPr>
      <w:r>
        <w:rPr>
          <w:rFonts w:hint="eastAsia" w:ascii="宋体" w:eastAsia="宋体" w:cs="Cambria"/>
          <w:b w:val="0"/>
          <w:bCs w:val="0"/>
          <w:snapToGrid w:val="0"/>
          <w:color w:val="auto"/>
          <w:kern w:val="0"/>
          <w:sz w:val="24"/>
          <w:szCs w:val="24"/>
          <w:highlight w:val="none"/>
          <w:lang w:val="en-US" w:eastAsia="zh-CN" w:bidi="ar-SA"/>
        </w:rPr>
        <w:t>详见重庆市公共资源交易网（www.cqggzy.com）对应本项目比选公告信息栏中的保证金信息。</w:t>
      </w:r>
    </w:p>
    <w:p>
      <w:pPr>
        <w:pStyle w:val="4"/>
        <w:outlineLvl w:val="9"/>
        <w:rPr>
          <w:rFonts w:hint="eastAsia" w:cs="Cambria"/>
          <w:b w:val="0"/>
          <w:bCs w:val="0"/>
          <w:color w:val="auto"/>
          <w:kern w:val="0"/>
          <w:highlight w:val="none"/>
        </w:rPr>
      </w:pPr>
      <w:r>
        <w:rPr>
          <w:rFonts w:hint="eastAsia" w:ascii="宋体" w:eastAsia="宋体" w:cs="Cambria"/>
          <w:b w:val="0"/>
          <w:bCs w:val="0"/>
          <w:snapToGrid w:val="0"/>
          <w:color w:val="auto"/>
          <w:kern w:val="0"/>
          <w:sz w:val="24"/>
          <w:szCs w:val="24"/>
          <w:highlight w:val="none"/>
          <w:lang w:val="en-US" w:eastAsia="zh-CN" w:bidi="ar-SA"/>
        </w:rPr>
        <w:t>参选保证金以重庆市公共资源交易中心比选现场展示的保证金交纳情况为准。</w:t>
      </w:r>
    </w:p>
    <w:p>
      <w:pPr>
        <w:pStyle w:val="4"/>
        <w:outlineLvl w:val="2"/>
        <w:rPr>
          <w:color w:val="auto"/>
          <w:highlight w:val="none"/>
        </w:rPr>
      </w:pPr>
      <w:r>
        <w:rPr>
          <w:rFonts w:hint="eastAsia"/>
          <w:color w:val="auto"/>
          <w:highlight w:val="none"/>
        </w:rPr>
        <w:t>五、参选文件的递交</w:t>
      </w:r>
      <w:bookmarkEnd w:id="29"/>
      <w:bookmarkEnd w:id="30"/>
      <w:bookmarkEnd w:id="31"/>
      <w:bookmarkEnd w:id="32"/>
    </w:p>
    <w:p>
      <w:pPr>
        <w:pStyle w:val="4"/>
        <w:outlineLvl w:val="9"/>
        <w:rPr>
          <w:rFonts w:hint="eastAsia" w:ascii="宋体" w:eastAsia="宋体" w:cs="Cambria"/>
          <w:b w:val="0"/>
          <w:bCs w:val="0"/>
          <w:snapToGrid w:val="0"/>
          <w:color w:val="auto"/>
          <w:kern w:val="0"/>
          <w:sz w:val="24"/>
          <w:szCs w:val="24"/>
          <w:highlight w:val="none"/>
          <w:lang w:val="en-US" w:eastAsia="zh-CN" w:bidi="ar-SA"/>
        </w:rPr>
      </w:pPr>
      <w:bookmarkStart w:id="33" w:name="_Toc89675132"/>
      <w:bookmarkStart w:id="34" w:name="_Toc55379223"/>
      <w:bookmarkStart w:id="35" w:name="_Toc469574669"/>
      <w:r>
        <w:rPr>
          <w:rFonts w:hint="eastAsia" w:ascii="宋体" w:eastAsia="宋体" w:cs="Cambria"/>
          <w:b w:val="0"/>
          <w:bCs w:val="0"/>
          <w:snapToGrid w:val="0"/>
          <w:color w:val="auto"/>
          <w:kern w:val="0"/>
          <w:sz w:val="24"/>
          <w:szCs w:val="24"/>
          <w:highlight w:val="none"/>
          <w:lang w:val="en-US" w:eastAsia="zh-CN" w:bidi="ar-SA"/>
        </w:rPr>
        <w:t>1、参选文件现场递交的开始时间为2024年3月1日9时00分(北京时间)。递交截止时间为2024年3月1日9时30分（北京时间）。</w:t>
      </w:r>
    </w:p>
    <w:p>
      <w:pPr>
        <w:pStyle w:val="4"/>
        <w:outlineLvl w:val="9"/>
        <w:rPr>
          <w:rFonts w:hint="eastAsia" w:ascii="宋体" w:eastAsia="宋体" w:cs="Cambria"/>
          <w:b w:val="0"/>
          <w:bCs w:val="0"/>
          <w:snapToGrid w:val="0"/>
          <w:color w:val="auto"/>
          <w:kern w:val="0"/>
          <w:sz w:val="24"/>
          <w:szCs w:val="24"/>
          <w:highlight w:val="none"/>
          <w:lang w:val="en-US" w:eastAsia="zh-CN" w:bidi="ar-SA"/>
        </w:rPr>
      </w:pPr>
      <w:r>
        <w:rPr>
          <w:rFonts w:hint="eastAsia" w:ascii="宋体" w:eastAsia="宋体" w:cs="Cambria"/>
          <w:b w:val="0"/>
          <w:bCs w:val="0"/>
          <w:snapToGrid w:val="0"/>
          <w:color w:val="auto"/>
          <w:kern w:val="0"/>
          <w:sz w:val="24"/>
          <w:szCs w:val="24"/>
          <w:highlight w:val="none"/>
          <w:lang w:val="en-US" w:eastAsia="zh-CN" w:bidi="ar-SA"/>
        </w:rPr>
        <w:t>2、递交地点为重庆市公共资源交易中心开标区（具体请登陆重庆市公共资源交易网（www.cqggzy.com）查询或递交文件当日见交易中心大厅电子显示屏）。</w:t>
      </w:r>
    </w:p>
    <w:p>
      <w:pPr>
        <w:pStyle w:val="4"/>
        <w:outlineLvl w:val="9"/>
        <w:rPr>
          <w:rFonts w:hint="eastAsia" w:cs="Cambria"/>
          <w:b w:val="0"/>
          <w:bCs w:val="0"/>
          <w:color w:val="auto"/>
          <w:kern w:val="0"/>
          <w:highlight w:val="none"/>
        </w:rPr>
      </w:pPr>
      <w:r>
        <w:rPr>
          <w:rFonts w:hint="eastAsia" w:ascii="宋体" w:eastAsia="宋体" w:cs="Cambria"/>
          <w:b w:val="0"/>
          <w:bCs w:val="0"/>
          <w:snapToGrid w:val="0"/>
          <w:color w:val="auto"/>
          <w:kern w:val="0"/>
          <w:sz w:val="24"/>
          <w:szCs w:val="24"/>
          <w:highlight w:val="none"/>
          <w:lang w:val="en-US" w:eastAsia="zh-CN" w:bidi="ar-SA"/>
        </w:rPr>
        <w:t>3、逾期送达的参选文件，不予接收。</w:t>
      </w:r>
    </w:p>
    <w:p>
      <w:pPr>
        <w:spacing w:line="360" w:lineRule="auto"/>
        <w:ind w:firstLine="482" w:firstLineChars="200"/>
        <w:jc w:val="left"/>
        <w:outlineLvl w:val="2"/>
        <w:rPr>
          <w:rFonts w:ascii="宋体"/>
          <w:b/>
          <w:snapToGrid w:val="0"/>
          <w:color w:val="auto"/>
          <w:kern w:val="0"/>
          <w:sz w:val="24"/>
          <w:szCs w:val="24"/>
          <w:highlight w:val="none"/>
        </w:rPr>
      </w:pPr>
      <w:r>
        <w:rPr>
          <w:rFonts w:hint="eastAsia" w:ascii="宋体"/>
          <w:b/>
          <w:snapToGrid w:val="0"/>
          <w:color w:val="auto"/>
          <w:kern w:val="0"/>
          <w:sz w:val="24"/>
          <w:szCs w:val="24"/>
          <w:highlight w:val="none"/>
        </w:rPr>
        <w:t>六、发布公告的媒介</w:t>
      </w:r>
      <w:bookmarkEnd w:id="33"/>
      <w:bookmarkEnd w:id="34"/>
      <w:bookmarkEnd w:id="35"/>
    </w:p>
    <w:p>
      <w:pPr>
        <w:pStyle w:val="4"/>
        <w:outlineLvl w:val="9"/>
        <w:rPr>
          <w:rFonts w:hint="eastAsia" w:ascii="宋体" w:eastAsia="宋体" w:cs="Cambria"/>
          <w:b w:val="0"/>
          <w:bCs w:val="0"/>
          <w:snapToGrid w:val="0"/>
          <w:color w:val="auto"/>
          <w:kern w:val="0"/>
          <w:sz w:val="24"/>
          <w:szCs w:val="24"/>
          <w:highlight w:val="none"/>
          <w:lang w:val="en-US" w:eastAsia="zh-CN" w:bidi="ar-SA"/>
        </w:rPr>
      </w:pPr>
      <w:bookmarkStart w:id="36" w:name="_Toc55379224"/>
      <w:bookmarkStart w:id="37" w:name="_Toc250565211"/>
      <w:bookmarkStart w:id="38" w:name="_Toc469574670"/>
      <w:bookmarkStart w:id="39" w:name="_Toc89675133"/>
      <w:r>
        <w:rPr>
          <w:rFonts w:hint="eastAsia" w:ascii="宋体" w:eastAsia="宋体" w:cs="Cambria"/>
          <w:b w:val="0"/>
          <w:bCs w:val="0"/>
          <w:snapToGrid w:val="0"/>
          <w:color w:val="auto"/>
          <w:kern w:val="0"/>
          <w:sz w:val="24"/>
          <w:szCs w:val="24"/>
          <w:highlight w:val="none"/>
          <w:lang w:val="en-US" w:eastAsia="zh-CN" w:bidi="ar-SA"/>
        </w:rPr>
        <w:t>本次比选公告同时在</w:t>
      </w:r>
      <w:r>
        <w:rPr>
          <w:rFonts w:hint="eastAsia" w:cs="Cambria"/>
          <w:b w:val="0"/>
          <w:bCs w:val="0"/>
          <w:snapToGrid w:val="0"/>
          <w:color w:val="auto"/>
          <w:kern w:val="0"/>
          <w:sz w:val="24"/>
          <w:szCs w:val="24"/>
          <w:highlight w:val="none"/>
          <w:lang w:val="en-US" w:eastAsia="zh-CN" w:bidi="ar-SA"/>
        </w:rPr>
        <w:t>《</w:t>
      </w:r>
      <w:r>
        <w:rPr>
          <w:rFonts w:hint="eastAsia" w:ascii="宋体" w:eastAsia="宋体" w:cs="Cambria"/>
          <w:b w:val="0"/>
          <w:bCs w:val="0"/>
          <w:snapToGrid w:val="0"/>
          <w:color w:val="auto"/>
          <w:kern w:val="0"/>
          <w:sz w:val="24"/>
          <w:szCs w:val="24"/>
          <w:highlight w:val="none"/>
          <w:lang w:val="en-US" w:eastAsia="zh-CN" w:bidi="ar-SA"/>
        </w:rPr>
        <w:t>重庆市公共资源交易网（www.cqggzy.com）</w:t>
      </w:r>
      <w:r>
        <w:rPr>
          <w:rFonts w:hint="eastAsia" w:cs="Cambria"/>
          <w:b w:val="0"/>
          <w:bCs w:val="0"/>
          <w:snapToGrid w:val="0"/>
          <w:color w:val="auto"/>
          <w:kern w:val="0"/>
          <w:sz w:val="24"/>
          <w:szCs w:val="24"/>
          <w:highlight w:val="none"/>
          <w:lang w:val="en-US" w:eastAsia="zh-CN" w:bidi="ar-SA"/>
        </w:rPr>
        <w:t>》</w:t>
      </w:r>
      <w:r>
        <w:rPr>
          <w:rFonts w:hint="eastAsia" w:ascii="宋体" w:eastAsia="宋体" w:cs="Cambria"/>
          <w:b w:val="0"/>
          <w:bCs w:val="0"/>
          <w:snapToGrid w:val="0"/>
          <w:color w:val="auto"/>
          <w:kern w:val="0"/>
          <w:sz w:val="24"/>
          <w:szCs w:val="24"/>
          <w:highlight w:val="none"/>
          <w:lang w:val="en-US" w:eastAsia="zh-CN" w:bidi="ar-SA"/>
        </w:rPr>
        <w:t>《重庆三峡银行官网（https://www.ccqtgb.com）》</w:t>
      </w:r>
      <w:r>
        <w:rPr>
          <w:rFonts w:hint="eastAsia" w:cs="Cambria"/>
          <w:b w:val="0"/>
          <w:bCs w:val="0"/>
          <w:snapToGrid w:val="0"/>
          <w:color w:val="auto"/>
          <w:kern w:val="0"/>
          <w:sz w:val="24"/>
          <w:szCs w:val="24"/>
          <w:highlight w:val="none"/>
          <w:lang w:val="en-US" w:eastAsia="zh-CN" w:bidi="ar-SA"/>
        </w:rPr>
        <w:t>和</w:t>
      </w:r>
      <w:r>
        <w:rPr>
          <w:rFonts w:hint="eastAsia" w:ascii="宋体" w:eastAsia="宋体" w:cs="Cambria"/>
          <w:b w:val="0"/>
          <w:bCs w:val="0"/>
          <w:snapToGrid w:val="0"/>
          <w:color w:val="auto"/>
          <w:kern w:val="0"/>
          <w:sz w:val="24"/>
          <w:szCs w:val="24"/>
          <w:highlight w:val="none"/>
          <w:lang w:val="en-US" w:eastAsia="zh-CN" w:bidi="ar-SA"/>
        </w:rPr>
        <w:t>《中国招标投标公共服务平台（http://www.cebpubservice.com）》上发布。</w:t>
      </w:r>
    </w:p>
    <w:p>
      <w:pPr>
        <w:spacing w:line="360" w:lineRule="auto"/>
        <w:ind w:firstLine="482" w:firstLineChars="200"/>
        <w:jc w:val="left"/>
        <w:outlineLvl w:val="2"/>
        <w:rPr>
          <w:rFonts w:ascii="宋体"/>
          <w:b/>
          <w:snapToGrid w:val="0"/>
          <w:color w:val="auto"/>
          <w:kern w:val="0"/>
          <w:sz w:val="24"/>
          <w:szCs w:val="24"/>
          <w:highlight w:val="none"/>
        </w:rPr>
      </w:pPr>
      <w:r>
        <w:rPr>
          <w:rFonts w:hint="eastAsia" w:ascii="宋体"/>
          <w:b/>
          <w:snapToGrid w:val="0"/>
          <w:color w:val="auto"/>
          <w:kern w:val="0"/>
          <w:sz w:val="24"/>
          <w:szCs w:val="24"/>
          <w:highlight w:val="none"/>
        </w:rPr>
        <w:t>七、联系方式</w:t>
      </w:r>
      <w:bookmarkEnd w:id="36"/>
      <w:bookmarkEnd w:id="37"/>
      <w:bookmarkEnd w:id="38"/>
      <w:bookmarkEnd w:id="39"/>
    </w:p>
    <w:p>
      <w:pPr>
        <w:topLinePunct/>
        <w:snapToGrid w:val="0"/>
        <w:spacing w:line="360" w:lineRule="auto"/>
        <w:ind w:firstLine="480" w:firstLineChars="200"/>
        <w:rPr>
          <w:rFonts w:ascii="宋体" w:cs="Cambria"/>
          <w:snapToGrid w:val="0"/>
          <w:color w:val="auto"/>
          <w:kern w:val="0"/>
          <w:sz w:val="24"/>
          <w:szCs w:val="24"/>
          <w:highlight w:val="none"/>
        </w:rPr>
      </w:pPr>
      <w:r>
        <w:rPr>
          <w:rFonts w:hint="eastAsia" w:ascii="宋体" w:cs="Cambria"/>
          <w:snapToGrid w:val="0"/>
          <w:color w:val="auto"/>
          <w:kern w:val="0"/>
          <w:sz w:val="24"/>
          <w:szCs w:val="24"/>
          <w:highlight w:val="none"/>
        </w:rPr>
        <w:t>比选人：</w:t>
      </w:r>
      <w:r>
        <w:rPr>
          <w:rFonts w:hint="eastAsia" w:ascii="宋体" w:cs="Cambria"/>
          <w:snapToGrid w:val="0"/>
          <w:color w:val="auto"/>
          <w:kern w:val="0"/>
          <w:sz w:val="24"/>
          <w:szCs w:val="24"/>
          <w:highlight w:val="none"/>
          <w:u w:val="single"/>
        </w:rPr>
        <w:t>重庆三峡银行股份有限公司</w:t>
      </w:r>
    </w:p>
    <w:p>
      <w:pPr>
        <w:topLinePunct/>
        <w:snapToGrid w:val="0"/>
        <w:spacing w:line="360" w:lineRule="auto"/>
        <w:ind w:firstLine="480" w:firstLineChars="200"/>
        <w:rPr>
          <w:rFonts w:ascii="宋体" w:cs="Cambria"/>
          <w:snapToGrid w:val="0"/>
          <w:color w:val="auto"/>
          <w:kern w:val="0"/>
          <w:sz w:val="24"/>
          <w:szCs w:val="24"/>
          <w:highlight w:val="none"/>
        </w:rPr>
      </w:pPr>
      <w:r>
        <w:rPr>
          <w:rFonts w:hint="eastAsia" w:ascii="宋体" w:cs="Cambria"/>
          <w:snapToGrid w:val="0"/>
          <w:color w:val="auto"/>
          <w:kern w:val="0"/>
          <w:sz w:val="24"/>
          <w:szCs w:val="24"/>
          <w:highlight w:val="none"/>
        </w:rPr>
        <w:t>地址：</w:t>
      </w:r>
      <w:r>
        <w:rPr>
          <w:rFonts w:hint="eastAsia" w:ascii="宋体" w:cs="Cambria"/>
          <w:snapToGrid w:val="0"/>
          <w:color w:val="auto"/>
          <w:kern w:val="0"/>
          <w:sz w:val="24"/>
          <w:szCs w:val="24"/>
          <w:highlight w:val="none"/>
          <w:u w:val="single"/>
        </w:rPr>
        <w:t>重庆市渝北区嘉州路88号中渝国际都会4号写字楼21层</w:t>
      </w:r>
    </w:p>
    <w:p>
      <w:pPr>
        <w:topLinePunct/>
        <w:spacing w:line="360" w:lineRule="auto"/>
        <w:ind w:firstLine="480" w:firstLineChars="200"/>
        <w:rPr>
          <w:rFonts w:ascii="宋体" w:cs="Cambria"/>
          <w:snapToGrid w:val="0"/>
          <w:color w:val="auto"/>
          <w:kern w:val="0"/>
          <w:sz w:val="24"/>
          <w:szCs w:val="24"/>
          <w:highlight w:val="none"/>
        </w:rPr>
      </w:pPr>
      <w:r>
        <w:rPr>
          <w:rFonts w:hint="eastAsia" w:ascii="宋体" w:cs="Cambria"/>
          <w:snapToGrid w:val="0"/>
          <w:color w:val="auto"/>
          <w:kern w:val="0"/>
          <w:sz w:val="24"/>
          <w:szCs w:val="24"/>
          <w:highlight w:val="none"/>
        </w:rPr>
        <w:t>联系人：</w:t>
      </w:r>
      <w:r>
        <w:rPr>
          <w:rFonts w:hint="eastAsia" w:ascii="宋体" w:cs="Cambria"/>
          <w:snapToGrid w:val="0"/>
          <w:color w:val="auto"/>
          <w:kern w:val="0"/>
          <w:sz w:val="24"/>
          <w:szCs w:val="24"/>
          <w:highlight w:val="none"/>
          <w:u w:val="single"/>
        </w:rPr>
        <w:t>敬希</w:t>
      </w:r>
    </w:p>
    <w:p>
      <w:pPr>
        <w:topLinePunct/>
        <w:spacing w:line="360" w:lineRule="auto"/>
        <w:ind w:firstLine="480" w:firstLineChars="200"/>
        <w:rPr>
          <w:rFonts w:ascii="宋体" w:cs="Cambria"/>
          <w:snapToGrid w:val="0"/>
          <w:color w:val="auto"/>
          <w:kern w:val="0"/>
          <w:sz w:val="24"/>
          <w:szCs w:val="24"/>
          <w:highlight w:val="none"/>
          <w:u w:val="single"/>
        </w:rPr>
      </w:pPr>
      <w:r>
        <w:rPr>
          <w:rFonts w:hint="eastAsia" w:ascii="宋体" w:cs="Cambria"/>
          <w:snapToGrid w:val="0"/>
          <w:color w:val="auto"/>
          <w:kern w:val="0"/>
          <w:sz w:val="24"/>
          <w:szCs w:val="24"/>
          <w:highlight w:val="none"/>
        </w:rPr>
        <w:t>采购咨询电话：</w:t>
      </w:r>
      <w:r>
        <w:rPr>
          <w:rFonts w:hint="eastAsia" w:ascii="宋体" w:cs="Cambria"/>
          <w:snapToGrid w:val="0"/>
          <w:color w:val="auto"/>
          <w:kern w:val="0"/>
          <w:sz w:val="24"/>
          <w:szCs w:val="24"/>
          <w:highlight w:val="none"/>
          <w:u w:val="single"/>
        </w:rPr>
        <w:t>023-88890</w:t>
      </w:r>
      <w:r>
        <w:rPr>
          <w:rFonts w:ascii="宋体" w:cs="Cambria"/>
          <w:snapToGrid w:val="0"/>
          <w:color w:val="auto"/>
          <w:kern w:val="0"/>
          <w:sz w:val="24"/>
          <w:szCs w:val="24"/>
          <w:highlight w:val="none"/>
          <w:u w:val="single"/>
        </w:rPr>
        <w:t>395</w:t>
      </w:r>
    </w:p>
    <w:p>
      <w:pPr>
        <w:topLinePunct/>
        <w:spacing w:line="360" w:lineRule="auto"/>
        <w:ind w:firstLine="480" w:firstLineChars="200"/>
        <w:rPr>
          <w:rFonts w:ascii="宋体" w:cs="Cambria"/>
          <w:snapToGrid w:val="0"/>
          <w:color w:val="auto"/>
          <w:kern w:val="0"/>
          <w:sz w:val="24"/>
          <w:szCs w:val="24"/>
          <w:highlight w:val="none"/>
          <w:u w:val="single"/>
        </w:rPr>
      </w:pPr>
      <w:r>
        <w:rPr>
          <w:rFonts w:hint="eastAsia" w:ascii="宋体" w:cs="Cambria"/>
          <w:snapToGrid w:val="0"/>
          <w:color w:val="auto"/>
          <w:kern w:val="0"/>
          <w:sz w:val="24"/>
          <w:szCs w:val="24"/>
          <w:highlight w:val="none"/>
        </w:rPr>
        <w:t>业务咨询电话：</w:t>
      </w:r>
      <w:r>
        <w:rPr>
          <w:rFonts w:ascii="宋体" w:cs="Cambria"/>
          <w:color w:val="auto"/>
          <w:sz w:val="24"/>
          <w:szCs w:val="24"/>
          <w:highlight w:val="none"/>
          <w:u w:val="single"/>
        </w:rPr>
        <w:t>15823285049</w:t>
      </w:r>
    </w:p>
    <w:p>
      <w:pPr>
        <w:topLinePunct/>
        <w:snapToGrid w:val="0"/>
        <w:spacing w:line="360" w:lineRule="auto"/>
        <w:ind w:firstLine="480" w:firstLineChars="200"/>
        <w:rPr>
          <w:rFonts w:ascii="宋体" w:cs="Cambria"/>
          <w:snapToGrid w:val="0"/>
          <w:color w:val="auto"/>
          <w:kern w:val="0"/>
          <w:sz w:val="24"/>
          <w:szCs w:val="24"/>
          <w:highlight w:val="none"/>
          <w:u w:val="single"/>
        </w:rPr>
      </w:pPr>
      <w:r>
        <w:rPr>
          <w:rFonts w:hint="eastAsia" w:ascii="宋体" w:cs="Cambria"/>
          <w:snapToGrid w:val="0"/>
          <w:color w:val="auto"/>
          <w:kern w:val="0"/>
          <w:sz w:val="24"/>
          <w:szCs w:val="24"/>
          <w:highlight w:val="none"/>
        </w:rPr>
        <w:t>邮箱：</w:t>
      </w:r>
      <w:r>
        <w:rPr>
          <w:rStyle w:val="28"/>
          <w:rFonts w:ascii="宋体" w:cs="Cambria"/>
          <w:snapToGrid w:val="0"/>
          <w:color w:val="auto"/>
          <w:kern w:val="0"/>
          <w:sz w:val="24"/>
          <w:szCs w:val="24"/>
          <w:highlight w:val="none"/>
        </w:rPr>
        <w:fldChar w:fldCharType="begin"/>
      </w:r>
      <w:r>
        <w:rPr>
          <w:color w:val="auto"/>
          <w:highlight w:val="none"/>
        </w:rPr>
        <w:instrText xml:space="preserve">HYPERLINK "mailto:sx.jcb@ccqtgb.com"</w:instrText>
      </w:r>
      <w:r>
        <w:rPr>
          <w:rStyle w:val="28"/>
          <w:rFonts w:ascii="宋体" w:cs="Cambria"/>
          <w:snapToGrid w:val="0"/>
          <w:color w:val="auto"/>
          <w:kern w:val="0"/>
          <w:sz w:val="24"/>
          <w:szCs w:val="24"/>
          <w:highlight w:val="none"/>
        </w:rPr>
        <w:fldChar w:fldCharType="separate"/>
      </w:r>
      <w:r>
        <w:rPr>
          <w:rStyle w:val="28"/>
          <w:rFonts w:ascii="宋体" w:cs="Cambria"/>
          <w:snapToGrid w:val="0"/>
          <w:color w:val="auto"/>
          <w:kern w:val="0"/>
          <w:sz w:val="24"/>
          <w:szCs w:val="24"/>
          <w:highlight w:val="none"/>
        </w:rPr>
        <w:t>sx.jcb@ccqtgb.com</w:t>
      </w:r>
      <w:r>
        <w:rPr>
          <w:rStyle w:val="28"/>
          <w:rFonts w:ascii="宋体" w:cs="Cambria"/>
          <w:snapToGrid w:val="0"/>
          <w:color w:val="auto"/>
          <w:kern w:val="0"/>
          <w:sz w:val="24"/>
          <w:szCs w:val="24"/>
          <w:highlight w:val="none"/>
        </w:rPr>
        <w:fldChar w:fldCharType="end"/>
      </w:r>
      <w:r>
        <w:rPr>
          <w:rFonts w:ascii="宋体" w:cs="Cambria"/>
          <w:snapToGrid w:val="0"/>
          <w:color w:val="auto"/>
          <w:kern w:val="0"/>
          <w:sz w:val="24"/>
          <w:szCs w:val="24"/>
          <w:highlight w:val="none"/>
          <w:u w:val="single"/>
        </w:rPr>
        <w:t xml:space="preserve">  </w:t>
      </w:r>
    </w:p>
    <w:p>
      <w:pPr>
        <w:topLinePunct/>
        <w:snapToGrid w:val="0"/>
        <w:spacing w:line="360" w:lineRule="auto"/>
        <w:ind w:firstLine="480" w:firstLineChars="200"/>
        <w:rPr>
          <w:rFonts w:ascii="宋体" w:cs="Cambria"/>
          <w:snapToGrid w:val="0"/>
          <w:color w:val="auto"/>
          <w:kern w:val="0"/>
          <w:sz w:val="24"/>
          <w:szCs w:val="24"/>
          <w:highlight w:val="none"/>
          <w:u w:val="single"/>
        </w:rPr>
      </w:pPr>
    </w:p>
    <w:p>
      <w:pPr>
        <w:topLinePunct/>
        <w:snapToGrid w:val="0"/>
        <w:spacing w:line="360" w:lineRule="auto"/>
        <w:ind w:firstLine="480" w:firstLineChars="200"/>
        <w:rPr>
          <w:rFonts w:hint="eastAsia" w:ascii="宋体" w:eastAsia="宋体" w:cs="Cambria"/>
          <w:snapToGrid w:val="0"/>
          <w:color w:val="auto"/>
          <w:kern w:val="0"/>
          <w:sz w:val="24"/>
          <w:szCs w:val="24"/>
          <w:highlight w:val="none"/>
          <w:u w:val="single"/>
        </w:rPr>
      </w:pPr>
      <w:r>
        <w:rPr>
          <w:rFonts w:hint="eastAsia" w:ascii="宋体" w:eastAsia="宋体" w:cs="Cambria"/>
          <w:snapToGrid w:val="0"/>
          <w:color w:val="auto"/>
          <w:kern w:val="0"/>
          <w:sz w:val="24"/>
          <w:szCs w:val="24"/>
          <w:highlight w:val="none"/>
        </w:rPr>
        <w:t>平台服务机构：</w:t>
      </w:r>
      <w:r>
        <w:rPr>
          <w:rFonts w:hint="eastAsia" w:ascii="宋体" w:eastAsia="宋体" w:cs="Cambria"/>
          <w:snapToGrid w:val="0"/>
          <w:color w:val="auto"/>
          <w:kern w:val="0"/>
          <w:sz w:val="24"/>
          <w:szCs w:val="24"/>
          <w:highlight w:val="none"/>
          <w:u w:val="single"/>
        </w:rPr>
        <w:t>重庆联合产权交易所集团股份有限公司</w:t>
      </w:r>
    </w:p>
    <w:p>
      <w:pPr>
        <w:topLinePunct/>
        <w:snapToGrid w:val="0"/>
        <w:spacing w:line="360" w:lineRule="auto"/>
        <w:ind w:firstLine="480" w:firstLineChars="200"/>
        <w:rPr>
          <w:rFonts w:hint="eastAsia" w:ascii="宋体" w:eastAsia="宋体" w:cs="Cambria"/>
          <w:snapToGrid w:val="0"/>
          <w:color w:val="auto"/>
          <w:kern w:val="0"/>
          <w:sz w:val="24"/>
          <w:szCs w:val="24"/>
          <w:highlight w:val="none"/>
        </w:rPr>
      </w:pPr>
      <w:r>
        <w:rPr>
          <w:rFonts w:hint="eastAsia" w:ascii="宋体" w:eastAsia="宋体" w:cs="Cambria"/>
          <w:snapToGrid w:val="0"/>
          <w:color w:val="auto"/>
          <w:kern w:val="0"/>
          <w:sz w:val="24"/>
          <w:szCs w:val="24"/>
          <w:highlight w:val="none"/>
        </w:rPr>
        <w:t>平台服务联系人：</w:t>
      </w:r>
      <w:r>
        <w:rPr>
          <w:rFonts w:hint="eastAsia" w:ascii="宋体" w:eastAsia="宋体" w:cs="Cambria"/>
          <w:snapToGrid w:val="0"/>
          <w:color w:val="auto"/>
          <w:kern w:val="0"/>
          <w:sz w:val="24"/>
          <w:szCs w:val="24"/>
          <w:highlight w:val="none"/>
          <w:u w:val="single"/>
          <w:lang w:val="en-US" w:eastAsia="zh-CN"/>
        </w:rPr>
        <w:t>杜老师</w:t>
      </w:r>
      <w:r>
        <w:rPr>
          <w:rFonts w:hint="eastAsia" w:ascii="宋体" w:eastAsia="宋体" w:cs="Cambria"/>
          <w:snapToGrid w:val="0"/>
          <w:color w:val="auto"/>
          <w:kern w:val="0"/>
          <w:sz w:val="24"/>
          <w:szCs w:val="24"/>
          <w:highlight w:val="none"/>
        </w:rPr>
        <w:t xml:space="preserve">                                        </w:t>
      </w:r>
    </w:p>
    <w:p>
      <w:pPr>
        <w:topLinePunct/>
        <w:snapToGrid w:val="0"/>
        <w:spacing w:line="360" w:lineRule="auto"/>
        <w:ind w:firstLine="480" w:firstLineChars="200"/>
        <w:rPr>
          <w:rFonts w:hint="eastAsia" w:ascii="宋体" w:eastAsia="宋体" w:cs="Cambria"/>
          <w:snapToGrid w:val="0"/>
          <w:color w:val="auto"/>
          <w:kern w:val="0"/>
          <w:sz w:val="24"/>
          <w:szCs w:val="24"/>
          <w:highlight w:val="none"/>
          <w:u w:val="single"/>
        </w:rPr>
      </w:pPr>
      <w:r>
        <w:rPr>
          <w:rFonts w:hint="eastAsia" w:ascii="宋体" w:eastAsia="宋体" w:cs="Cambria"/>
          <w:snapToGrid w:val="0"/>
          <w:color w:val="auto"/>
          <w:kern w:val="0"/>
          <w:sz w:val="24"/>
          <w:szCs w:val="24"/>
          <w:highlight w:val="none"/>
        </w:rPr>
        <w:t>平台服务电话：</w:t>
      </w:r>
      <w:r>
        <w:rPr>
          <w:rFonts w:hint="eastAsia" w:ascii="宋体" w:eastAsia="宋体" w:cs="Cambria"/>
          <w:snapToGrid w:val="0"/>
          <w:color w:val="auto"/>
          <w:kern w:val="0"/>
          <w:sz w:val="24"/>
          <w:szCs w:val="24"/>
          <w:highlight w:val="none"/>
          <w:u w:val="single"/>
        </w:rPr>
        <w:t>023-63621694</w:t>
      </w:r>
    </w:p>
    <w:p>
      <w:pPr>
        <w:topLinePunct/>
        <w:snapToGrid w:val="0"/>
        <w:spacing w:line="360" w:lineRule="auto"/>
        <w:ind w:firstLine="480" w:firstLineChars="200"/>
        <w:rPr>
          <w:rFonts w:hint="eastAsia" w:ascii="宋体" w:eastAsia="宋体" w:cs="Cambria"/>
          <w:snapToGrid w:val="0"/>
          <w:color w:val="auto"/>
          <w:kern w:val="0"/>
          <w:sz w:val="24"/>
          <w:szCs w:val="24"/>
          <w:highlight w:val="none"/>
          <w:u w:val="single"/>
        </w:rPr>
      </w:pPr>
    </w:p>
    <w:p>
      <w:pPr>
        <w:topLinePunct/>
        <w:snapToGrid w:val="0"/>
        <w:spacing w:line="360" w:lineRule="auto"/>
        <w:ind w:firstLine="480" w:firstLineChars="200"/>
        <w:rPr>
          <w:rFonts w:hint="eastAsia" w:ascii="宋体" w:eastAsia="宋体" w:cs="Cambria"/>
          <w:snapToGrid w:val="0"/>
          <w:color w:val="auto"/>
          <w:kern w:val="0"/>
          <w:sz w:val="24"/>
          <w:szCs w:val="24"/>
          <w:highlight w:val="none"/>
          <w:u w:val="single"/>
        </w:rPr>
      </w:pPr>
    </w:p>
    <w:p>
      <w:pPr>
        <w:spacing w:line="380" w:lineRule="exact"/>
        <w:ind w:firstLine="420" w:firstLineChars="200"/>
        <w:jc w:val="right"/>
        <w:outlineLvl w:val="9"/>
        <w:rPr>
          <w:rFonts w:ascii="宋体" w:eastAsia="宋体" w:cs="宋体"/>
          <w:snapToGrid w:val="0"/>
          <w:color w:val="auto"/>
          <w:spacing w:val="0"/>
          <w:w w:val="100"/>
          <w:sz w:val="21"/>
          <w:szCs w:val="21"/>
          <w:highlight w:val="none"/>
        </w:rPr>
      </w:pPr>
      <w:r>
        <w:rPr>
          <w:rFonts w:hint="eastAsia" w:ascii="宋体" w:cs="宋体"/>
          <w:snapToGrid w:val="0"/>
          <w:color w:val="auto"/>
          <w:spacing w:val="0"/>
          <w:w w:val="100"/>
          <w:sz w:val="21"/>
          <w:szCs w:val="21"/>
          <w:highlight w:val="none"/>
          <w:lang w:val="en-US" w:eastAsia="zh-CN"/>
        </w:rPr>
        <w:t>2024</w:t>
      </w:r>
      <w:r>
        <w:rPr>
          <w:rFonts w:hint="eastAsia" w:ascii="宋体" w:eastAsia="宋体" w:cs="宋体"/>
          <w:snapToGrid w:val="0"/>
          <w:color w:val="auto"/>
          <w:spacing w:val="0"/>
          <w:w w:val="100"/>
          <w:sz w:val="21"/>
          <w:szCs w:val="21"/>
          <w:highlight w:val="none"/>
        </w:rPr>
        <w:t>年</w:t>
      </w:r>
      <w:r>
        <w:rPr>
          <w:rFonts w:hint="eastAsia" w:ascii="宋体" w:cs="宋体"/>
          <w:snapToGrid w:val="0"/>
          <w:color w:val="auto"/>
          <w:spacing w:val="0"/>
          <w:w w:val="100"/>
          <w:sz w:val="21"/>
          <w:szCs w:val="21"/>
          <w:highlight w:val="none"/>
          <w:lang w:val="en-US" w:eastAsia="zh-CN"/>
        </w:rPr>
        <w:t>2</w:t>
      </w:r>
      <w:r>
        <w:rPr>
          <w:rFonts w:hint="eastAsia" w:ascii="宋体" w:eastAsia="宋体" w:cs="宋体"/>
          <w:snapToGrid w:val="0"/>
          <w:color w:val="auto"/>
          <w:spacing w:val="0"/>
          <w:w w:val="100"/>
          <w:sz w:val="21"/>
          <w:szCs w:val="21"/>
          <w:highlight w:val="none"/>
        </w:rPr>
        <w:t>月</w:t>
      </w:r>
      <w:r>
        <w:rPr>
          <w:rFonts w:hint="eastAsia" w:ascii="宋体" w:cs="宋体"/>
          <w:snapToGrid w:val="0"/>
          <w:color w:val="auto"/>
          <w:spacing w:val="0"/>
          <w:w w:val="100"/>
          <w:sz w:val="21"/>
          <w:szCs w:val="21"/>
          <w:highlight w:val="none"/>
          <w:lang w:val="en-US" w:eastAsia="zh-CN"/>
        </w:rPr>
        <w:t>7</w:t>
      </w:r>
      <w:r>
        <w:rPr>
          <w:rFonts w:hint="eastAsia" w:ascii="宋体" w:eastAsia="宋体" w:cs="宋体"/>
          <w:snapToGrid w:val="0"/>
          <w:color w:val="auto"/>
          <w:spacing w:val="0"/>
          <w:w w:val="100"/>
          <w:sz w:val="21"/>
          <w:szCs w:val="21"/>
          <w:highlight w:val="none"/>
        </w:rPr>
        <w:t>日</w:t>
      </w:r>
    </w:p>
    <w:p>
      <w:pPr>
        <w:widowControl/>
        <w:jc w:val="left"/>
        <w:rPr>
          <w:rFonts w:ascii="宋体" w:cs="Cambria"/>
          <w:snapToGrid w:val="0"/>
          <w:color w:val="auto"/>
          <w:kern w:val="0"/>
          <w:sz w:val="24"/>
          <w:szCs w:val="24"/>
          <w:highlight w:val="none"/>
        </w:rPr>
      </w:pPr>
      <w:r>
        <w:rPr>
          <w:rFonts w:ascii="宋体" w:cs="Cambria"/>
          <w:snapToGrid w:val="0"/>
          <w:color w:val="auto"/>
          <w:kern w:val="0"/>
          <w:sz w:val="24"/>
          <w:szCs w:val="24"/>
          <w:highlight w:val="none"/>
        </w:rPr>
        <w:br w:type="page"/>
      </w:r>
    </w:p>
    <w:p>
      <w:pPr>
        <w:pStyle w:val="3"/>
        <w:spacing w:before="0"/>
        <w:ind w:right="0" w:rightChars="0"/>
        <w:outlineLvl w:val="1"/>
        <w:rPr>
          <w:color w:val="auto"/>
          <w:highlight w:val="none"/>
        </w:rPr>
      </w:pPr>
      <w:bookmarkStart w:id="40" w:name="_Toc22070"/>
      <w:r>
        <w:rPr>
          <w:rFonts w:hint="eastAsia"/>
          <w:color w:val="auto"/>
          <w:highlight w:val="none"/>
        </w:rPr>
        <w:t>第</w:t>
      </w:r>
      <w:r>
        <w:rPr>
          <w:rFonts w:hint="eastAsia"/>
          <w:color w:val="auto"/>
          <w:highlight w:val="none"/>
          <w:lang w:val="en-US" w:eastAsia="zh-CN"/>
        </w:rPr>
        <w:t>二</w:t>
      </w:r>
      <w:r>
        <w:rPr>
          <w:rFonts w:hint="eastAsia"/>
          <w:color w:val="auto"/>
          <w:highlight w:val="none"/>
        </w:rPr>
        <w:t>章 参选人须知</w:t>
      </w:r>
      <w:bookmarkEnd w:id="40"/>
    </w:p>
    <w:p>
      <w:pPr>
        <w:spacing w:line="360" w:lineRule="auto"/>
        <w:rPr>
          <w:rFonts w:ascii="宋体"/>
          <w:color w:val="auto"/>
          <w:highlight w:val="none"/>
        </w:rPr>
      </w:pPr>
    </w:p>
    <w:p>
      <w:pPr>
        <w:spacing w:line="360" w:lineRule="auto"/>
        <w:ind w:firstLine="482" w:firstLineChars="200"/>
        <w:outlineLvl w:val="2"/>
        <w:rPr>
          <w:rFonts w:hint="eastAsia" w:ascii="宋体"/>
          <w:b/>
          <w:bCs/>
          <w:snapToGrid w:val="0"/>
          <w:color w:val="auto"/>
          <w:kern w:val="0"/>
          <w:sz w:val="24"/>
          <w:szCs w:val="24"/>
          <w:highlight w:val="none"/>
        </w:rPr>
      </w:pPr>
      <w:r>
        <w:rPr>
          <w:rFonts w:hint="eastAsia" w:ascii="宋体"/>
          <w:b/>
          <w:bCs/>
          <w:snapToGrid w:val="0"/>
          <w:color w:val="auto"/>
          <w:kern w:val="0"/>
          <w:sz w:val="24"/>
          <w:szCs w:val="24"/>
          <w:highlight w:val="none"/>
        </w:rPr>
        <w:t>一、项目信息</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（一）项目名称</w:t>
      </w:r>
    </w:p>
    <w:p>
      <w:pPr>
        <w:spacing w:line="360" w:lineRule="auto"/>
        <w:ind w:firstLine="480" w:firstLineChars="200"/>
        <w:rPr>
          <w:rFonts w:hint="eastAsia" w:ascii="宋体"/>
          <w:snapToGrid w:val="0"/>
          <w:color w:val="auto"/>
          <w:kern w:val="0"/>
          <w:sz w:val="24"/>
          <w:szCs w:val="24"/>
          <w:highlight w:val="none"/>
        </w:rPr>
      </w:pPr>
      <w:r>
        <w:rPr>
          <w:rFonts w:hint="eastAsia" w:ascii="宋体" w:cs="宋体"/>
          <w:snapToGrid w:val="0"/>
          <w:color w:val="auto"/>
          <w:kern w:val="0"/>
          <w:sz w:val="24"/>
          <w:szCs w:val="24"/>
          <w:highlight w:val="none"/>
          <w:lang w:val="en-US" w:eastAsia="zh-CN"/>
        </w:rPr>
        <w:t>重庆三峡银行</w:t>
      </w:r>
      <w:r>
        <w:rPr>
          <w:rFonts w:hint="eastAsia" w:ascii="宋体" w:cs="宋体"/>
          <w:snapToGrid w:val="0"/>
          <w:color w:val="auto"/>
          <w:kern w:val="0"/>
          <w:sz w:val="24"/>
          <w:szCs w:val="24"/>
          <w:highlight w:val="none"/>
        </w:rPr>
        <w:t>IBM相关软件原厂维保项目-2023年度</w:t>
      </w:r>
      <w:r>
        <w:rPr>
          <w:rFonts w:ascii="宋体" w:cs="宋体"/>
          <w:snapToGrid w:val="0"/>
          <w:color w:val="auto"/>
          <w:kern w:val="0"/>
          <w:sz w:val="24"/>
          <w:szCs w:val="24"/>
          <w:highlight w:val="none"/>
        </w:rPr>
        <w:t>采购</w:t>
      </w:r>
      <w:r>
        <w:rPr>
          <w:rFonts w:hint="eastAsia" w:ascii="宋体"/>
          <w:snapToGrid w:val="0"/>
          <w:color w:val="auto"/>
          <w:kern w:val="0"/>
          <w:sz w:val="24"/>
          <w:szCs w:val="24"/>
          <w:highlight w:val="none"/>
        </w:rPr>
        <w:t>。</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（二）比选人</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重庆三峡银行股份有限公司。</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（三）最高限价</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lang w:val="en-US" w:eastAsia="zh-CN"/>
        </w:rPr>
        <w:t>59.4</w:t>
      </w:r>
      <w:r>
        <w:rPr>
          <w:rFonts w:hint="eastAsia" w:ascii="宋体"/>
          <w:snapToGrid w:val="0"/>
          <w:color w:val="auto"/>
          <w:kern w:val="0"/>
          <w:sz w:val="24"/>
          <w:szCs w:val="24"/>
          <w:highlight w:val="none"/>
        </w:rPr>
        <w:t>万元。</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（四）项目内容及要求</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详见第三章、第四章内容。</w:t>
      </w:r>
    </w:p>
    <w:p>
      <w:pPr>
        <w:spacing w:line="360" w:lineRule="auto"/>
        <w:ind w:firstLine="482" w:firstLineChars="200"/>
        <w:outlineLvl w:val="2"/>
        <w:rPr>
          <w:rFonts w:hint="eastAsia" w:ascii="宋体"/>
          <w:b/>
          <w:bCs/>
          <w:snapToGrid w:val="0"/>
          <w:color w:val="auto"/>
          <w:kern w:val="0"/>
          <w:sz w:val="24"/>
          <w:szCs w:val="24"/>
          <w:highlight w:val="none"/>
        </w:rPr>
      </w:pPr>
      <w:r>
        <w:rPr>
          <w:rFonts w:hint="eastAsia" w:ascii="宋体"/>
          <w:b/>
          <w:bCs/>
          <w:snapToGrid w:val="0"/>
          <w:color w:val="auto"/>
          <w:kern w:val="0"/>
          <w:sz w:val="24"/>
          <w:szCs w:val="24"/>
          <w:highlight w:val="none"/>
        </w:rPr>
        <w:t>二、参选人</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1、合格参选人条件</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合格参选人应完全符合比选文件第一章中规定的参选人资格条件，并对比选文件作出实质性响应。</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2、参选人的风险</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参选人没有按照比选文件要求提供全部资料，或者参选人没有对比选文件在各方面作出实质性响应，可能导致参选被拒绝或评定为无效参选。</w:t>
      </w:r>
    </w:p>
    <w:p>
      <w:pPr>
        <w:spacing w:line="360" w:lineRule="auto"/>
        <w:ind w:firstLine="482" w:firstLineChars="200"/>
        <w:outlineLvl w:val="2"/>
        <w:rPr>
          <w:rFonts w:hint="eastAsia" w:ascii="宋体"/>
          <w:b/>
          <w:bCs/>
          <w:snapToGrid w:val="0"/>
          <w:color w:val="auto"/>
          <w:kern w:val="0"/>
          <w:sz w:val="24"/>
          <w:szCs w:val="24"/>
          <w:highlight w:val="none"/>
        </w:rPr>
      </w:pPr>
      <w:r>
        <w:rPr>
          <w:rFonts w:hint="eastAsia" w:ascii="宋体"/>
          <w:b/>
          <w:bCs/>
          <w:snapToGrid w:val="0"/>
          <w:color w:val="auto"/>
          <w:kern w:val="0"/>
          <w:sz w:val="24"/>
          <w:szCs w:val="24"/>
          <w:highlight w:val="none"/>
        </w:rPr>
        <w:t>三、比选文件</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比选文件是参选人编制参选文件的依据，是评审委员会评判依据和标准。比选文件也是比选人与中选人签订合同的基础。</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本行对比选文件所作的一切有效的书面通知、修改及补充，都是比选文件不可分割的部分。</w:t>
      </w:r>
    </w:p>
    <w:p>
      <w:pPr>
        <w:spacing w:line="360" w:lineRule="auto"/>
        <w:ind w:firstLine="482" w:firstLineChars="200"/>
        <w:outlineLvl w:val="2"/>
        <w:rPr>
          <w:rFonts w:hint="eastAsia" w:ascii="宋体"/>
          <w:b/>
          <w:bCs/>
          <w:snapToGrid w:val="0"/>
          <w:color w:val="auto"/>
          <w:kern w:val="0"/>
          <w:sz w:val="24"/>
          <w:szCs w:val="24"/>
          <w:highlight w:val="none"/>
        </w:rPr>
      </w:pPr>
      <w:r>
        <w:rPr>
          <w:rFonts w:hint="eastAsia" w:ascii="宋体"/>
          <w:b/>
          <w:bCs/>
          <w:snapToGrid w:val="0"/>
          <w:color w:val="auto"/>
          <w:kern w:val="0"/>
          <w:sz w:val="24"/>
          <w:szCs w:val="24"/>
          <w:highlight w:val="none"/>
        </w:rPr>
        <w:t>四、参选</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参选人应当按照比选文件的要求编制参选文件，并对比选文件提出的要求和条件作出实质性响应。</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（一）参选文件组成</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参选文件参选人所作的一切有效补充、修改和承诺等文件组成，参选人应按照第七章“参选文件格式”规定的目录顺序组织编写和装订，否则有可能影响参选人的参选文件响应程度得分。</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（二）联合参选</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本比选项目不接受联合参选</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（三）参选有效期</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参选有效期为参选截止日期后90天内。</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（四）参选保证金</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1、参选人应在参选截止时间前，按比选文件第一章规定向比选人缴纳参选保证金。</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2、参选保证金为参选的有效约束条件。</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3、参选保证金有效期与参选文件有效期一致。</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4、参选保证金币种应与参选报价币种相同。</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5、参选保证金的退还：</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参选保证金专用账户由重庆市公共资源交易中心制定，关于保证金相关情况的问题请咨询重庆市公共资源交易中心，联系电话023-63621694。</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6、参选人有下列情形之一的，参选保证金将不予退还：</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（1）参选人在参选有效期内撤回参选文件的；</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（2）参选人在参选过程中弄虚作假，提供虚假材料的；</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（3）中选人无正当理由不与比选人签订合同的；</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（4）中选人将中选项目转让给他人或者在参选文件中未说明且未经比选单位同意，将中选项目分包给他人的；</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（5）中选人拒绝履行合同义务的；</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（6）其他严重扰乱比选程序的；</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（五）参选文件的份数和签署</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1、参选文件一式三份，其中正本一份，副本一份，电子文件一份（光盘或U盘），正本和副本的封面上应清楚地标记“正本”或“副本”的字样，副本可为正本的复印件，当副本和正本不一致时，以纸质正本为准。电子文件单独装入信封中密封，并在信封表面加盖鲜章（公章）。</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2、参选文件正本中，每一页均应由参选人加盖公章，其中规定格式的文件应当按要求签名和加盖参选人公章。</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3、若参选人对参选文件的错处作必要修改，则应在修改处加盖参选人公章或由法人或法人授权代表签字确认。</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4、电报、电话、传真形式的参选文件概不接受。</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（六）参选报价</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1、参选人应严格按照“参选文件格式”填写报价。</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2、参选人的报价为一次性报价，即在参选有效期内参选价格固定不变。</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3、本项目只接受一个参选报价，有选择的或有条件的参选将不予接受。</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（七）修正错误</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若参选文件出现计算或表达上的错误，修正错误的原则如下：</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1、报价一览表总价与参选报价明细表汇总数不一致的，以报价一览表为准；</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2、参选文件的大写金额和小写金额不一致的，以大写金额为准；</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3、总价金额与按单价汇总金额不一致的，以单价金额计算结果为准；</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4、单价金额小数点有明显错位的，应以总价为准，并修正单价；</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5、对不同文字文本参选文件的解释发生异议的，以中文文本为准。</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评审委员会按上述修正错误的原则及方法调整或修正参选人参选报价，参选人同意并签字确认后，调整后的参选报价对参选人具有约束作用。如果参选人不接受修正后的报价，则其参选将作为无效参选处理。</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（八）参选文件的递交</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1、参选文件的密封与标记</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参选文件的正本、副本、电子文件装入一个文件大袋进行密封。密封袋上注明项目名称、参选人名称及“不准提前启封”字样。信封的封口须加盖参选人公章或授权代表签字。</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如果未按上述规定进行密封和标记，则其参选将作为无效参选处理。</w:t>
      </w:r>
    </w:p>
    <w:p>
      <w:pPr>
        <w:spacing w:line="360" w:lineRule="auto"/>
        <w:ind w:firstLine="482" w:firstLineChars="200"/>
        <w:outlineLvl w:val="2"/>
        <w:rPr>
          <w:rFonts w:hint="eastAsia" w:ascii="宋体"/>
          <w:b/>
          <w:bCs/>
          <w:snapToGrid w:val="0"/>
          <w:color w:val="auto"/>
          <w:kern w:val="0"/>
          <w:sz w:val="24"/>
          <w:szCs w:val="24"/>
          <w:highlight w:val="none"/>
        </w:rPr>
      </w:pPr>
      <w:r>
        <w:rPr>
          <w:rFonts w:hint="eastAsia" w:ascii="宋体"/>
          <w:b/>
          <w:bCs/>
          <w:snapToGrid w:val="0"/>
          <w:color w:val="auto"/>
          <w:kern w:val="0"/>
          <w:sz w:val="24"/>
          <w:szCs w:val="24"/>
          <w:highlight w:val="none"/>
        </w:rPr>
        <w:t>五、比选程序</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主持人按下列程序进行比选：</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1. 宣布比选纪律；</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2. 宣布比选人、唱标人、记录人、监督人等有关人员姓名；</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3. 公布在比选截止时间前递交参选文件的参选人名称，并点名确认参选人是否派人到场；</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4. 展示参选保证金，参选保证金缴款不全或有误的，则记录在案交由评审委员会评审；</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5. 封装情况检查：参选人或者其推选的代表检查各参选文件的封装情况并确认；</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6. 设有最高限价的，公布最高限价；</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7. 开启参选文件；</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8. 比选人代表、参选人代表、监督人、记录人等有关人员在比选记录上签字确认；</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9. 比选结束。</w:t>
      </w:r>
    </w:p>
    <w:p>
      <w:pPr>
        <w:spacing w:line="360" w:lineRule="auto"/>
        <w:ind w:firstLine="482" w:firstLineChars="200"/>
        <w:outlineLvl w:val="2"/>
        <w:rPr>
          <w:rFonts w:hint="eastAsia" w:ascii="宋体"/>
          <w:b/>
          <w:bCs/>
          <w:snapToGrid w:val="0"/>
          <w:color w:val="auto"/>
          <w:kern w:val="0"/>
          <w:sz w:val="24"/>
          <w:szCs w:val="24"/>
          <w:highlight w:val="none"/>
        </w:rPr>
      </w:pPr>
      <w:r>
        <w:rPr>
          <w:rFonts w:hint="eastAsia" w:ascii="宋体"/>
          <w:b/>
          <w:bCs/>
          <w:snapToGrid w:val="0"/>
          <w:color w:val="auto"/>
          <w:kern w:val="0"/>
          <w:sz w:val="24"/>
          <w:szCs w:val="24"/>
          <w:highlight w:val="none"/>
        </w:rPr>
        <w:t>六、评审</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见第五章内容。</w:t>
      </w:r>
    </w:p>
    <w:p>
      <w:pPr>
        <w:spacing w:line="360" w:lineRule="auto"/>
        <w:ind w:firstLine="482" w:firstLineChars="200"/>
        <w:outlineLvl w:val="2"/>
        <w:rPr>
          <w:rFonts w:hint="eastAsia" w:ascii="宋体"/>
          <w:b/>
          <w:bCs/>
          <w:snapToGrid w:val="0"/>
          <w:color w:val="auto"/>
          <w:kern w:val="0"/>
          <w:sz w:val="24"/>
          <w:szCs w:val="24"/>
          <w:highlight w:val="none"/>
        </w:rPr>
      </w:pPr>
      <w:r>
        <w:rPr>
          <w:rFonts w:hint="eastAsia" w:ascii="宋体"/>
          <w:b/>
          <w:bCs/>
          <w:snapToGrid w:val="0"/>
          <w:color w:val="auto"/>
          <w:kern w:val="0"/>
          <w:sz w:val="24"/>
          <w:szCs w:val="24"/>
          <w:highlight w:val="none"/>
        </w:rPr>
        <w:t>七、定选</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1、定选原则</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比选人按照评审报告中推荐的中选候选人排名顺序确定中选人，如中选人因不可抗力或者自身原因不能履行合同的，比选人可以确定依次其后的候选人为中选人，以此类推。</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2、不承诺最低价格中选。</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3、若中选人参选材料出现造假、不实等与实际查询结果不符或无故弃选的情况，比选人有权选择重新比选或顺延下一中选候选人，由此带来的损失比选人有权通过没收参选保证金等方式进行追溯。</w:t>
      </w:r>
    </w:p>
    <w:p>
      <w:pPr>
        <w:spacing w:line="360" w:lineRule="auto"/>
        <w:ind w:firstLine="482" w:firstLineChars="200"/>
        <w:outlineLvl w:val="2"/>
        <w:rPr>
          <w:rFonts w:hint="eastAsia" w:ascii="宋体"/>
          <w:b/>
          <w:bCs/>
          <w:snapToGrid w:val="0"/>
          <w:color w:val="auto"/>
          <w:kern w:val="0"/>
          <w:sz w:val="24"/>
          <w:szCs w:val="24"/>
          <w:highlight w:val="none"/>
        </w:rPr>
      </w:pPr>
      <w:r>
        <w:rPr>
          <w:rFonts w:hint="eastAsia" w:ascii="宋体"/>
          <w:b/>
          <w:bCs/>
          <w:snapToGrid w:val="0"/>
          <w:color w:val="auto"/>
          <w:kern w:val="0"/>
          <w:sz w:val="24"/>
          <w:szCs w:val="24"/>
          <w:highlight w:val="none"/>
        </w:rPr>
        <w:t>八、签订合同</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1.比选人指定的使用单位将在自中选通知发出之日起，按照比选人内部流程与中选人签订书面合同。所签订的合同不得对比选文件和中选人参选文件作实质性修改。</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2.比选文件、中选人的参选文件及澄清文件等，均为签订合同的依据。</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3.合同生效条款由供需双方约定，法律、行政法规规定应当办理批准、登记等手续后生效的合同，依照其规定。</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4.签订合同后，若中选人无法按要求履约，比选人可以废除中选人资格，并可选择按照中选候选人顺位与下一候选人签订合同。</w:t>
      </w:r>
    </w:p>
    <w:p>
      <w:pPr>
        <w:spacing w:line="360" w:lineRule="auto"/>
        <w:ind w:firstLine="482" w:firstLineChars="200"/>
        <w:outlineLvl w:val="2"/>
        <w:rPr>
          <w:rFonts w:hint="eastAsia" w:ascii="宋体"/>
          <w:b/>
          <w:bCs/>
          <w:snapToGrid w:val="0"/>
          <w:color w:val="auto"/>
          <w:kern w:val="0"/>
          <w:sz w:val="24"/>
          <w:szCs w:val="24"/>
          <w:highlight w:val="none"/>
        </w:rPr>
      </w:pPr>
      <w:r>
        <w:rPr>
          <w:rFonts w:hint="eastAsia" w:ascii="宋体"/>
          <w:b/>
          <w:bCs/>
          <w:snapToGrid w:val="0"/>
          <w:color w:val="auto"/>
          <w:kern w:val="0"/>
          <w:sz w:val="24"/>
          <w:szCs w:val="24"/>
          <w:highlight w:val="none"/>
        </w:rPr>
        <w:t>九、纪律与要求</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参选人不得相互串通参选或者与比选人串通参选，不得向比选人行贿谋取中选，不得以他人名义参选或者以其他方式弄虚作假骗取中选；参选人不得以任何方式干扰、影响评审工作。</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1、有下列情形之一的，属于参选人相互串通参选：</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（1）参选人之间协商参选报价等参选文件的实质性内容；</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（2）参选人之间约定中选人；</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（3）参选人之间约定部分参选人放弃参选或者中选；</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（4）属于同一集团、协会、商会等组织成员的参选人按照该组织要求协同参选；</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（5）参选人之间为谋取中选或者排斥特定参选人而采取的其他联合行动。</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2、有下列情形之一的，视为参选人相互串通参选：</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（1）不同参选人的参选文件由同一单位或者个人编制；</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（2）不同参选人委托同一单位或者个人办理参选事宜；</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（3）不同参选人的参选文件载明的项目管理成员为同一人；</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（4）不同参选人的参选文件相互混装；</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（5）不同参选人的参选保证金从同一单位或者个人的账户转出。</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3、使用通过受让或者租借等方式获取的资格、资质证书参选的，属于以他人名义参选。</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4、参选人有下列情形之一的，属于弄虚作假的行为：</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（一）使用伪造、变造的许可证件；</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（二）提供虚假的财务状况或者虚假业绩；</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（三）提供虚假的项目负责人或者主要技术人员简历、劳动关系证明；</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（四）提供虚假的信用状况；</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（五）其它弄虚作假的行为。</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5、签订合同前后，若中选单位提供的原厂维保产品服务与参选文件中的产品服务不一致，比选人可废除中选人资格。</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针对以上情况，比选人有权没收参选人的参选保证金，并保留进一步追究由此带来损失的权利。</w:t>
      </w:r>
    </w:p>
    <w:p>
      <w:pPr>
        <w:spacing w:line="360" w:lineRule="auto"/>
        <w:ind w:firstLine="482" w:firstLineChars="200"/>
        <w:outlineLvl w:val="2"/>
        <w:rPr>
          <w:rFonts w:hint="eastAsia" w:ascii="宋体"/>
          <w:b/>
          <w:bCs/>
          <w:snapToGrid w:val="0"/>
          <w:color w:val="auto"/>
          <w:kern w:val="0"/>
          <w:sz w:val="24"/>
          <w:szCs w:val="24"/>
          <w:highlight w:val="none"/>
        </w:rPr>
      </w:pPr>
      <w:r>
        <w:rPr>
          <w:rFonts w:hint="eastAsia" w:ascii="宋体"/>
          <w:b/>
          <w:bCs/>
          <w:snapToGrid w:val="0"/>
          <w:color w:val="auto"/>
          <w:kern w:val="0"/>
          <w:sz w:val="24"/>
          <w:szCs w:val="24"/>
          <w:highlight w:val="none"/>
        </w:rPr>
        <w:t>十、提问、质疑、投诉</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1.参选人在下载比选文件后，应仔细检查比选文件的所有内容，如有残缺或文字表述不清，以及存在错、碰、漏、缺、概念模糊和有可能出现歧义或理解上的偏差的内容等应在2024年2月10日17时00分（北京时间）前自行在重庆市公共资源交易网（http://www.cqggzy.com/）比选公告的“我要提问”栏目匿名提出。参选人未提出，则视为参选人已全面确认比选文件内容。</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比选人在认为有必要对参选人所提问题进行答复或对比选文件进行补充时，将于2024年2月20日17时0</w:t>
      </w:r>
      <w:bookmarkStart w:id="107" w:name="_GoBack"/>
      <w:bookmarkEnd w:id="107"/>
      <w:r>
        <w:rPr>
          <w:rFonts w:hint="eastAsia" w:ascii="宋体"/>
          <w:snapToGrid w:val="0"/>
          <w:color w:val="auto"/>
          <w:kern w:val="0"/>
          <w:sz w:val="24"/>
          <w:szCs w:val="24"/>
          <w:highlight w:val="none"/>
        </w:rPr>
        <w:t>0分（北京时间）前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补遗内容可能影响参选文件编制的，须在比选截止时间3日前发布，发布时间至比选截止时间不足3日的，须相应延后比选截止时间。</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2.参选人对比选文件和答疑补遗有质疑的，应当在比选截止时间3日前，以书面形式通知比选人。比选人应当自收到质疑之日起3日内做出答复，并将答复内容以补遗的形式发布。补遗内容可能影响参选文件编制的，须在比选截止时间3日前发布，发布时间至比选截止时间不足3日的，须相应延后比选截止时间。</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3.参选人对公示的中选结果有质疑，参选人需在公示期内以书面形式向比选人提出质疑。本行在公示截止日期前负责书面答复。</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4.参选人对比选人的答复不满意或者有质疑， 可向本行纪检监察部投诉。</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采购质疑邮箱：sx.jcb@ccqtgb.com</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采购投诉邮箱：sxyhjjz@ccqtgb.com</w:t>
      </w:r>
    </w:p>
    <w:p>
      <w:pPr>
        <w:spacing w:line="360" w:lineRule="auto"/>
        <w:ind w:firstLine="482" w:firstLineChars="200"/>
        <w:outlineLvl w:val="2"/>
        <w:rPr>
          <w:rFonts w:hint="eastAsia" w:ascii="宋体"/>
          <w:b/>
          <w:bCs/>
          <w:snapToGrid w:val="0"/>
          <w:color w:val="auto"/>
          <w:kern w:val="0"/>
          <w:sz w:val="24"/>
          <w:szCs w:val="24"/>
          <w:highlight w:val="none"/>
        </w:rPr>
      </w:pPr>
      <w:r>
        <w:rPr>
          <w:rFonts w:hint="eastAsia" w:ascii="宋体"/>
          <w:b/>
          <w:bCs/>
          <w:snapToGrid w:val="0"/>
          <w:color w:val="auto"/>
          <w:kern w:val="0"/>
          <w:sz w:val="24"/>
          <w:szCs w:val="24"/>
          <w:highlight w:val="none"/>
        </w:rPr>
        <w:t>十一、终止比选</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1、因情况发生变化或其他原因造成该项目取消的，本次比选自动终止，双方互不承担责任，比选人无息退还参选保证金。</w:t>
      </w:r>
    </w:p>
    <w:p>
      <w:pPr>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2、签订合同之前，比选人发现中选候选人经营、财务状况发生较大变化或存在违法行为，比选人认为可能影响其履约能力的，比选人可废除中选人或中选候选人资格。</w:t>
      </w:r>
    </w:p>
    <w:p>
      <w:pPr>
        <w:spacing w:line="360" w:lineRule="auto"/>
        <w:ind w:firstLine="482" w:firstLineChars="200"/>
        <w:outlineLvl w:val="2"/>
        <w:rPr>
          <w:rFonts w:hint="eastAsia" w:ascii="宋体"/>
          <w:b/>
          <w:bCs/>
          <w:snapToGrid w:val="0"/>
          <w:color w:val="auto"/>
          <w:kern w:val="0"/>
          <w:sz w:val="24"/>
          <w:szCs w:val="24"/>
          <w:highlight w:val="none"/>
        </w:rPr>
      </w:pPr>
      <w:r>
        <w:rPr>
          <w:rFonts w:hint="eastAsia" w:ascii="宋体"/>
          <w:b/>
          <w:bCs/>
          <w:snapToGrid w:val="0"/>
          <w:color w:val="auto"/>
          <w:kern w:val="0"/>
          <w:sz w:val="24"/>
          <w:szCs w:val="24"/>
          <w:highlight w:val="none"/>
        </w:rPr>
        <w:t>十二、参选费用</w:t>
      </w:r>
    </w:p>
    <w:p>
      <w:pPr>
        <w:snapToGrid w:val="0"/>
        <w:spacing w:line="360" w:lineRule="auto"/>
        <w:ind w:firstLine="480" w:firstLineChars="200"/>
        <w:rPr>
          <w:rFonts w:ascii="宋体" w:hAnsi="宋体"/>
          <w:snapToGrid w:val="0"/>
          <w:kern w:val="0"/>
          <w:sz w:val="24"/>
          <w:szCs w:val="24"/>
        </w:rPr>
      </w:pPr>
      <w:r>
        <w:rPr>
          <w:rFonts w:hint="eastAsia" w:ascii="宋体" w:hAnsi="宋体" w:cs="Cambria"/>
          <w:snapToGrid w:val="0"/>
          <w:kern w:val="0"/>
          <w:sz w:val="24"/>
          <w:szCs w:val="24"/>
        </w:rPr>
        <w:t>参选</w:t>
      </w:r>
      <w:r>
        <w:rPr>
          <w:rFonts w:hint="eastAsia" w:ascii="宋体" w:hAnsi="宋体"/>
          <w:snapToGrid w:val="0"/>
          <w:kern w:val="0"/>
          <w:sz w:val="24"/>
          <w:szCs w:val="24"/>
        </w:rPr>
        <w:t>人参与本比选项目时，一切与</w:t>
      </w:r>
      <w:r>
        <w:rPr>
          <w:rFonts w:hint="eastAsia" w:ascii="宋体" w:hAnsi="宋体" w:cs="Cambria"/>
          <w:snapToGrid w:val="0"/>
          <w:kern w:val="0"/>
          <w:sz w:val="24"/>
          <w:szCs w:val="24"/>
        </w:rPr>
        <w:t>参选</w:t>
      </w:r>
      <w:r>
        <w:rPr>
          <w:rFonts w:hint="eastAsia" w:ascii="宋体" w:hAnsi="宋体"/>
          <w:snapToGrid w:val="0"/>
          <w:kern w:val="0"/>
          <w:sz w:val="24"/>
          <w:szCs w:val="24"/>
        </w:rPr>
        <w:t>有关的费用均由</w:t>
      </w:r>
      <w:r>
        <w:rPr>
          <w:rFonts w:hint="eastAsia" w:ascii="宋体" w:hAnsi="宋体" w:cs="Cambria"/>
          <w:snapToGrid w:val="0"/>
          <w:kern w:val="0"/>
          <w:sz w:val="24"/>
          <w:szCs w:val="24"/>
        </w:rPr>
        <w:t>参选</w:t>
      </w:r>
      <w:r>
        <w:rPr>
          <w:rFonts w:hint="eastAsia" w:ascii="宋体" w:hAnsi="宋体"/>
          <w:snapToGrid w:val="0"/>
          <w:kern w:val="0"/>
          <w:sz w:val="24"/>
          <w:szCs w:val="24"/>
        </w:rPr>
        <w:t>人自理。</w:t>
      </w:r>
    </w:p>
    <w:p>
      <w:pPr>
        <w:snapToGrid w:val="0"/>
        <w:spacing w:line="360" w:lineRule="auto"/>
        <w:ind w:firstLine="480" w:firstLineChars="200"/>
        <w:rPr>
          <w:rFonts w:ascii="宋体" w:hAnsi="宋体"/>
          <w:snapToGrid w:val="0"/>
          <w:kern w:val="0"/>
          <w:sz w:val="24"/>
          <w:szCs w:val="24"/>
        </w:rPr>
      </w:pPr>
      <w:r>
        <w:rPr>
          <w:rFonts w:hint="eastAsia" w:ascii="宋体"/>
          <w:snapToGrid w:val="0"/>
          <w:color w:val="000000"/>
          <w:kern w:val="0"/>
          <w:sz w:val="24"/>
          <w:szCs w:val="24"/>
          <w:lang w:val="en-US" w:eastAsia="zh-CN"/>
        </w:rPr>
        <w:t>本项目须</w:t>
      </w:r>
      <w:r>
        <w:rPr>
          <w:rFonts w:hint="eastAsia" w:ascii="宋体"/>
          <w:snapToGrid w:val="0"/>
          <w:color w:val="000000"/>
          <w:kern w:val="0"/>
          <w:sz w:val="24"/>
          <w:szCs w:val="24"/>
        </w:rPr>
        <w:t>由中选人向重庆联合产权交易所集团股份有限公司支付</w:t>
      </w:r>
      <w:r>
        <w:rPr>
          <w:rFonts w:hint="eastAsia" w:ascii="宋体"/>
          <w:snapToGrid w:val="0"/>
          <w:color w:val="000000"/>
          <w:kern w:val="0"/>
          <w:sz w:val="24"/>
          <w:szCs w:val="24"/>
          <w:lang w:val="en-US" w:eastAsia="zh-CN"/>
        </w:rPr>
        <w:t>平台服务费</w:t>
      </w:r>
      <w:r>
        <w:rPr>
          <w:rFonts w:hint="eastAsia" w:ascii="宋体"/>
          <w:snapToGrid w:val="0"/>
          <w:color w:val="000000"/>
          <w:kern w:val="0"/>
          <w:sz w:val="24"/>
          <w:szCs w:val="24"/>
        </w:rPr>
        <w:t>。</w:t>
      </w:r>
      <w:r>
        <w:rPr>
          <w:rFonts w:hint="eastAsia" w:ascii="宋体"/>
          <w:snapToGrid w:val="0"/>
          <w:color w:val="000000"/>
          <w:kern w:val="0"/>
          <w:sz w:val="24"/>
          <w:szCs w:val="24"/>
          <w:lang w:val="en-US" w:eastAsia="zh-CN"/>
        </w:rPr>
        <w:t>若中选金额50万元及以下，</w:t>
      </w:r>
      <w:r>
        <w:rPr>
          <w:rFonts w:hint="eastAsia" w:ascii="宋体"/>
          <w:snapToGrid w:val="0"/>
          <w:color w:val="000000"/>
          <w:kern w:val="0"/>
          <w:sz w:val="24"/>
          <w:szCs w:val="24"/>
        </w:rPr>
        <w:t>平台服务费为</w:t>
      </w:r>
      <w:r>
        <w:rPr>
          <w:rFonts w:hint="eastAsia" w:ascii="宋体"/>
          <w:snapToGrid w:val="0"/>
          <w:color w:val="000000"/>
          <w:kern w:val="0"/>
          <w:sz w:val="24"/>
          <w:szCs w:val="24"/>
          <w:lang w:val="en-US" w:eastAsia="zh-CN"/>
        </w:rPr>
        <w:t>8000元，若中选金额50万元以上，</w:t>
      </w:r>
      <w:r>
        <w:rPr>
          <w:rFonts w:hint="eastAsia" w:ascii="宋体"/>
          <w:snapToGrid w:val="0"/>
          <w:color w:val="000000"/>
          <w:kern w:val="0"/>
          <w:sz w:val="24"/>
          <w:szCs w:val="24"/>
        </w:rPr>
        <w:t>平台服务费为</w:t>
      </w:r>
      <w:r>
        <w:rPr>
          <w:rFonts w:hint="eastAsia" w:ascii="宋体"/>
          <w:snapToGrid w:val="0"/>
          <w:color w:val="000000"/>
          <w:kern w:val="0"/>
          <w:sz w:val="24"/>
          <w:szCs w:val="24"/>
          <w:lang w:val="en-US" w:eastAsia="zh-CN"/>
        </w:rPr>
        <w:t>15000元</w:t>
      </w:r>
      <w:r>
        <w:rPr>
          <w:rFonts w:hint="eastAsia" w:ascii="宋体"/>
          <w:snapToGrid w:val="0"/>
          <w:color w:val="000000"/>
          <w:kern w:val="0"/>
          <w:sz w:val="24"/>
          <w:szCs w:val="24"/>
        </w:rPr>
        <w:t>，中选人应在领取中选通知书时一次性缴纳。</w:t>
      </w:r>
    </w:p>
    <w:p>
      <w:pPr>
        <w:snapToGrid w:val="0"/>
        <w:spacing w:line="360" w:lineRule="auto"/>
        <w:rPr>
          <w:rFonts w:ascii="宋体" w:cs="Cambria"/>
          <w:snapToGrid w:val="0"/>
          <w:color w:val="auto"/>
          <w:kern w:val="0"/>
          <w:szCs w:val="28"/>
          <w:highlight w:val="none"/>
        </w:rPr>
      </w:pPr>
    </w:p>
    <w:p>
      <w:pPr>
        <w:widowControl/>
        <w:jc w:val="left"/>
        <w:rPr>
          <w:rFonts w:ascii="宋体" w:cs="Cambria"/>
          <w:snapToGrid w:val="0"/>
          <w:color w:val="auto"/>
          <w:kern w:val="0"/>
          <w:szCs w:val="28"/>
          <w:highlight w:val="none"/>
        </w:rPr>
      </w:pPr>
      <w:r>
        <w:rPr>
          <w:rFonts w:ascii="宋体" w:cs="Cambria"/>
          <w:snapToGrid w:val="0"/>
          <w:color w:val="auto"/>
          <w:kern w:val="0"/>
          <w:szCs w:val="28"/>
          <w:highlight w:val="none"/>
        </w:rPr>
        <w:br w:type="page"/>
      </w:r>
    </w:p>
    <w:p>
      <w:pPr>
        <w:pStyle w:val="3"/>
        <w:spacing w:before="0"/>
        <w:ind w:right="0" w:rightChars="0"/>
        <w:outlineLvl w:val="1"/>
        <w:rPr>
          <w:color w:val="auto"/>
          <w:highlight w:val="none"/>
        </w:rPr>
      </w:pPr>
      <w:bookmarkStart w:id="41" w:name="_Toc27088"/>
      <w:r>
        <w:rPr>
          <w:rFonts w:hint="eastAsia"/>
          <w:color w:val="auto"/>
          <w:highlight w:val="none"/>
        </w:rPr>
        <w:t>第</w:t>
      </w:r>
      <w:r>
        <w:rPr>
          <w:rFonts w:hint="eastAsia"/>
          <w:color w:val="auto"/>
          <w:highlight w:val="none"/>
          <w:lang w:val="en-US" w:eastAsia="zh-CN"/>
        </w:rPr>
        <w:t>三</w:t>
      </w:r>
      <w:r>
        <w:rPr>
          <w:rFonts w:hint="eastAsia"/>
          <w:color w:val="auto"/>
          <w:highlight w:val="none"/>
        </w:rPr>
        <w:t>章</w:t>
      </w:r>
      <w:r>
        <w:rPr>
          <w:rFonts w:hint="eastAsia"/>
          <w:color w:val="auto"/>
          <w:highlight w:val="none"/>
          <w:lang w:val="en-US" w:eastAsia="zh-CN"/>
        </w:rPr>
        <w:t xml:space="preserve"> </w:t>
      </w:r>
      <w:r>
        <w:rPr>
          <w:rFonts w:hint="eastAsia"/>
          <w:color w:val="auto"/>
          <w:highlight w:val="none"/>
        </w:rPr>
        <w:t>服务内容、期限及服务要求</w:t>
      </w:r>
      <w:bookmarkEnd w:id="41"/>
    </w:p>
    <w:p>
      <w:pPr>
        <w:spacing w:line="360" w:lineRule="auto"/>
        <w:ind w:firstLine="482" w:firstLineChars="200"/>
        <w:jc w:val="left"/>
        <w:outlineLvl w:val="2"/>
        <w:rPr>
          <w:rFonts w:ascii="宋体"/>
          <w:b/>
          <w:snapToGrid w:val="0"/>
          <w:color w:val="auto"/>
          <w:kern w:val="0"/>
          <w:sz w:val="24"/>
          <w:szCs w:val="24"/>
          <w:highlight w:val="none"/>
        </w:rPr>
      </w:pPr>
      <w:bookmarkStart w:id="42" w:name="_Toc89675135"/>
      <w:r>
        <w:rPr>
          <w:rFonts w:hint="eastAsia" w:ascii="宋体"/>
          <w:b/>
          <w:snapToGrid w:val="0"/>
          <w:color w:val="auto"/>
          <w:kern w:val="0"/>
          <w:sz w:val="24"/>
          <w:szCs w:val="24"/>
          <w:highlight w:val="none"/>
        </w:rPr>
        <w:t>一</w:t>
      </w:r>
      <w:r>
        <w:rPr>
          <w:rFonts w:ascii="宋体"/>
          <w:b/>
          <w:snapToGrid w:val="0"/>
          <w:color w:val="auto"/>
          <w:kern w:val="0"/>
          <w:sz w:val="24"/>
          <w:szCs w:val="24"/>
          <w:highlight w:val="none"/>
        </w:rPr>
        <w:t>、</w:t>
      </w:r>
      <w:bookmarkEnd w:id="42"/>
      <w:r>
        <w:rPr>
          <w:rFonts w:hint="eastAsia" w:ascii="宋体"/>
          <w:b/>
          <w:snapToGrid w:val="0"/>
          <w:color w:val="auto"/>
          <w:kern w:val="0"/>
          <w:sz w:val="24"/>
          <w:szCs w:val="24"/>
          <w:highlight w:val="none"/>
        </w:rPr>
        <w:t>项目内容</w:t>
      </w:r>
    </w:p>
    <w:p>
      <w:pPr>
        <w:pStyle w:val="30"/>
        <w:spacing w:line="360" w:lineRule="auto"/>
        <w:ind w:left="6" w:leftChars="2" w:firstLine="480" w:firstLineChars="200"/>
        <w:rPr>
          <w:rFonts w:ascii="宋体" w:eastAsia="宋体" w:cs="宋体"/>
          <w:snapToGrid w:val="0"/>
          <w:color w:val="auto"/>
          <w:kern w:val="0"/>
          <w:sz w:val="24"/>
          <w:szCs w:val="24"/>
          <w:highlight w:val="none"/>
        </w:rPr>
      </w:pPr>
      <w:bookmarkStart w:id="43" w:name="_Toc89675136"/>
      <w:r>
        <w:rPr>
          <w:rFonts w:hint="eastAsia" w:ascii="宋体" w:eastAsia="宋体"/>
          <w:color w:val="auto"/>
          <w:sz w:val="24"/>
          <w:szCs w:val="24"/>
          <w:highlight w:val="none"/>
        </w:rPr>
        <w:t>（一）项目名称：</w:t>
      </w:r>
      <w:r>
        <w:rPr>
          <w:rFonts w:ascii="宋体" w:eastAsia="宋体" w:cs="宋体"/>
          <w:snapToGrid w:val="0"/>
          <w:color w:val="auto"/>
          <w:kern w:val="0"/>
          <w:sz w:val="24"/>
          <w:szCs w:val="24"/>
          <w:highlight w:val="none"/>
        </w:rPr>
        <w:t>IBM相关软件原厂维保项目-2023年度采购</w:t>
      </w:r>
    </w:p>
    <w:p>
      <w:pPr>
        <w:pStyle w:val="30"/>
        <w:spacing w:line="360" w:lineRule="auto"/>
        <w:ind w:left="6" w:leftChars="2" w:firstLine="480" w:firstLineChars="200"/>
        <w:rPr>
          <w:rFonts w:ascii="宋体" w:hAnsi="宋体" w:cs="宋体"/>
          <w:snapToGrid w:val="0"/>
          <w:color w:val="auto"/>
          <w:kern w:val="0"/>
          <w:sz w:val="24"/>
          <w:szCs w:val="24"/>
          <w:highlight w:val="none"/>
        </w:rPr>
      </w:pPr>
      <w:r>
        <w:rPr>
          <w:rFonts w:hint="eastAsia" w:ascii="宋体" w:eastAsia="宋体"/>
          <w:color w:val="auto"/>
          <w:sz w:val="24"/>
          <w:szCs w:val="24"/>
          <w:highlight w:val="none"/>
        </w:rPr>
        <w:t>（二）维保范围：</w:t>
      </w:r>
      <w:r>
        <w:rPr>
          <w:rFonts w:hint="eastAsia" w:ascii="宋体" w:eastAsia="宋体" w:cs="宋体"/>
          <w:snapToGrid w:val="0"/>
          <w:color w:val="auto"/>
          <w:kern w:val="0"/>
          <w:sz w:val="24"/>
          <w:szCs w:val="24"/>
          <w:highlight w:val="none"/>
        </w:rPr>
        <w:t>提供2024年1月1日至2024年12月31日的IBM相关软件原厂标准</w:t>
      </w:r>
      <w:r>
        <w:rPr>
          <w:rFonts w:ascii="宋体" w:eastAsia="宋体" w:cs="宋体"/>
          <w:snapToGrid w:val="0"/>
          <w:color w:val="auto"/>
          <w:kern w:val="0"/>
          <w:sz w:val="24"/>
          <w:szCs w:val="24"/>
          <w:highlight w:val="none"/>
        </w:rPr>
        <w:t>维保</w:t>
      </w:r>
      <w:r>
        <w:rPr>
          <w:rFonts w:hint="eastAsia" w:ascii="宋体" w:eastAsia="宋体" w:cs="宋体"/>
          <w:snapToGrid w:val="0"/>
          <w:color w:val="auto"/>
          <w:kern w:val="0"/>
          <w:sz w:val="24"/>
          <w:szCs w:val="24"/>
          <w:highlight w:val="none"/>
        </w:rPr>
        <w:t>服务,本文</w:t>
      </w:r>
      <w:r>
        <w:rPr>
          <w:rFonts w:ascii="宋体" w:eastAsia="宋体" w:cs="宋体"/>
          <w:snapToGrid w:val="0"/>
          <w:color w:val="auto"/>
          <w:kern w:val="0"/>
          <w:sz w:val="24"/>
          <w:szCs w:val="24"/>
          <w:highlight w:val="none"/>
        </w:rPr>
        <w:t>及以下中原厂为</w:t>
      </w:r>
      <w:r>
        <w:rPr>
          <w:rFonts w:hint="eastAsia" w:ascii="宋体" w:eastAsia="宋体" w:cs="宋体"/>
          <w:snapToGrid w:val="0"/>
          <w:color w:val="auto"/>
          <w:kern w:val="0"/>
          <w:sz w:val="24"/>
          <w:szCs w:val="24"/>
          <w:highlight w:val="none"/>
        </w:rPr>
        <w:t>:</w:t>
      </w:r>
      <w:r>
        <w:rPr>
          <w:rFonts w:ascii="宋体" w:eastAsia="宋体" w:cs="宋体"/>
          <w:snapToGrid w:val="0"/>
          <w:color w:val="auto"/>
          <w:kern w:val="0"/>
          <w:sz w:val="24"/>
          <w:szCs w:val="24"/>
          <w:highlight w:val="none"/>
        </w:rPr>
        <w:t>国际商业</w:t>
      </w:r>
      <w:r>
        <w:rPr>
          <w:rFonts w:hint="eastAsia" w:ascii="宋体" w:eastAsia="宋体" w:cs="宋体"/>
          <w:snapToGrid w:val="0"/>
          <w:color w:val="auto"/>
          <w:kern w:val="0"/>
          <w:sz w:val="24"/>
          <w:szCs w:val="24"/>
          <w:highlight w:val="none"/>
        </w:rPr>
        <w:t>机器</w:t>
      </w:r>
      <w:r>
        <w:rPr>
          <w:rFonts w:ascii="宋体" w:eastAsia="宋体" w:cs="宋体"/>
          <w:snapToGrid w:val="0"/>
          <w:color w:val="auto"/>
          <w:kern w:val="0"/>
          <w:sz w:val="24"/>
          <w:szCs w:val="24"/>
          <w:highlight w:val="none"/>
        </w:rPr>
        <w:t>（</w:t>
      </w:r>
      <w:r>
        <w:rPr>
          <w:rFonts w:hint="eastAsia" w:ascii="宋体" w:eastAsia="宋体" w:cs="宋体"/>
          <w:snapToGrid w:val="0"/>
          <w:color w:val="auto"/>
          <w:kern w:val="0"/>
          <w:sz w:val="24"/>
          <w:szCs w:val="24"/>
          <w:highlight w:val="none"/>
        </w:rPr>
        <w:t>中国</w:t>
      </w:r>
      <w:r>
        <w:rPr>
          <w:rFonts w:ascii="宋体" w:eastAsia="宋体" w:cs="宋体"/>
          <w:snapToGrid w:val="0"/>
          <w:color w:val="auto"/>
          <w:kern w:val="0"/>
          <w:sz w:val="24"/>
          <w:szCs w:val="24"/>
          <w:highlight w:val="none"/>
        </w:rPr>
        <w:t>）</w:t>
      </w:r>
      <w:r>
        <w:rPr>
          <w:rFonts w:hint="eastAsia" w:ascii="宋体" w:eastAsia="宋体" w:cs="宋体"/>
          <w:snapToGrid w:val="0"/>
          <w:color w:val="auto"/>
          <w:kern w:val="0"/>
          <w:sz w:val="24"/>
          <w:szCs w:val="24"/>
          <w:highlight w:val="none"/>
        </w:rPr>
        <w:t>有限</w:t>
      </w:r>
      <w:r>
        <w:rPr>
          <w:rFonts w:ascii="宋体" w:eastAsia="宋体" w:cs="宋体"/>
          <w:snapToGrid w:val="0"/>
          <w:color w:val="auto"/>
          <w:kern w:val="0"/>
          <w:sz w:val="24"/>
          <w:szCs w:val="24"/>
          <w:highlight w:val="none"/>
        </w:rPr>
        <w:t>公司</w:t>
      </w:r>
      <w:r>
        <w:rPr>
          <w:rFonts w:hint="eastAsia" w:ascii="宋体" w:eastAsia="宋体" w:cs="宋体"/>
          <w:snapToGrid w:val="0"/>
          <w:color w:val="auto"/>
          <w:kern w:val="0"/>
          <w:sz w:val="24"/>
          <w:szCs w:val="24"/>
          <w:highlight w:val="none"/>
        </w:rPr>
        <w:t>。</w:t>
      </w:r>
    </w:p>
    <w:p>
      <w:pPr>
        <w:pStyle w:val="30"/>
        <w:spacing w:line="360" w:lineRule="auto"/>
        <w:ind w:left="6" w:leftChars="2" w:firstLine="482" w:firstLineChars="200"/>
        <w:outlineLvl w:val="2"/>
        <w:rPr>
          <w:rFonts w:hint="eastAsia" w:ascii="宋体" w:hAnsi="Cambria Math" w:eastAsia="宋体"/>
          <w:b/>
          <w:snapToGrid w:val="0"/>
          <w:color w:val="auto"/>
          <w:kern w:val="0"/>
          <w:sz w:val="24"/>
          <w:szCs w:val="24"/>
          <w:highlight w:val="none"/>
        </w:rPr>
      </w:pPr>
      <w:r>
        <w:rPr>
          <w:rFonts w:hint="eastAsia" w:ascii="宋体" w:hAnsi="Cambria Math" w:eastAsia="宋体"/>
          <w:b/>
          <w:snapToGrid w:val="0"/>
          <w:color w:val="auto"/>
          <w:kern w:val="0"/>
          <w:sz w:val="24"/>
          <w:szCs w:val="24"/>
          <w:highlight w:val="none"/>
        </w:rPr>
        <w:t>二、</w:t>
      </w:r>
      <w:bookmarkEnd w:id="43"/>
      <w:r>
        <w:rPr>
          <w:rFonts w:hint="eastAsia" w:ascii="宋体" w:hAnsi="Cambria Math" w:eastAsia="宋体"/>
          <w:b/>
          <w:snapToGrid w:val="0"/>
          <w:color w:val="auto"/>
          <w:kern w:val="0"/>
          <w:sz w:val="24"/>
          <w:szCs w:val="24"/>
          <w:highlight w:val="none"/>
        </w:rPr>
        <w:t>技术服务内容</w:t>
      </w:r>
    </w:p>
    <w:p>
      <w:pPr>
        <w:numPr>
          <w:ilvl w:val="0"/>
          <w:numId w:val="2"/>
        </w:numPr>
        <w:spacing w:line="360" w:lineRule="auto"/>
        <w:rPr>
          <w:rFonts w:ascii="宋体"/>
          <w:color w:val="auto"/>
          <w:sz w:val="24"/>
          <w:szCs w:val="24"/>
          <w:highlight w:val="none"/>
        </w:rPr>
      </w:pPr>
      <w:r>
        <w:rPr>
          <w:rFonts w:hint="eastAsia" w:ascii="宋体" w:cs="宋体"/>
          <w:color w:val="auto"/>
          <w:sz w:val="24"/>
          <w:szCs w:val="24"/>
          <w:highlight w:val="none"/>
        </w:rPr>
        <w:t>维保清单</w:t>
      </w:r>
    </w:p>
    <w:tbl>
      <w:tblPr>
        <w:tblStyle w:val="26"/>
        <w:tblW w:w="858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6"/>
        <w:gridCol w:w="1200"/>
        <w:gridCol w:w="3210"/>
        <w:gridCol w:w="1051"/>
        <w:gridCol w:w="1281"/>
        <w:gridCol w:w="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66"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left"/>
              <w:rPr>
                <w:rFonts w:ascii="宋体" w:cs="Arial"/>
                <w:b/>
                <w:bCs/>
                <w:color w:val="auto"/>
                <w:kern w:val="0"/>
                <w:sz w:val="20"/>
                <w:highlight w:val="none"/>
              </w:rPr>
            </w:pPr>
            <w:r>
              <w:rPr>
                <w:rFonts w:hint="eastAsia" w:ascii="宋体" w:cs="Arial"/>
                <w:b/>
                <w:bCs/>
                <w:color w:val="auto"/>
                <w:kern w:val="0"/>
                <w:sz w:val="20"/>
                <w:highlight w:val="none"/>
              </w:rPr>
              <w:t>产品名称</w:t>
            </w:r>
          </w:p>
        </w:tc>
        <w:tc>
          <w:tcPr>
            <w:tcW w:w="1200" w:type="dxa"/>
            <w:tcBorders>
              <w:top w:val="single" w:color="auto" w:sz="4" w:space="0"/>
              <w:left w:val="nil"/>
              <w:bottom w:val="single" w:color="auto" w:sz="4" w:space="0"/>
              <w:right w:val="single" w:color="auto" w:sz="4" w:space="0"/>
              <w:tl2br w:val="nil"/>
              <w:tr2bl w:val="nil"/>
            </w:tcBorders>
            <w:noWrap/>
            <w:vAlign w:val="center"/>
          </w:tcPr>
          <w:p>
            <w:pPr>
              <w:widowControl/>
              <w:jc w:val="left"/>
              <w:rPr>
                <w:rFonts w:ascii="宋体" w:cs="Arial"/>
                <w:b/>
                <w:bCs/>
                <w:color w:val="auto"/>
                <w:kern w:val="0"/>
                <w:sz w:val="20"/>
                <w:highlight w:val="none"/>
              </w:rPr>
            </w:pPr>
            <w:r>
              <w:rPr>
                <w:rFonts w:hint="eastAsia" w:ascii="宋体" w:cs="Arial"/>
                <w:b/>
                <w:bCs/>
                <w:color w:val="auto"/>
                <w:kern w:val="0"/>
                <w:sz w:val="20"/>
                <w:highlight w:val="none"/>
              </w:rPr>
              <w:t>产品编号</w:t>
            </w:r>
          </w:p>
        </w:tc>
        <w:tc>
          <w:tcPr>
            <w:tcW w:w="3210" w:type="dxa"/>
            <w:tcBorders>
              <w:top w:val="single" w:color="auto" w:sz="4" w:space="0"/>
              <w:left w:val="nil"/>
              <w:bottom w:val="single" w:color="auto" w:sz="4" w:space="0"/>
              <w:right w:val="single" w:color="auto" w:sz="4" w:space="0"/>
              <w:tl2br w:val="nil"/>
              <w:tr2bl w:val="nil"/>
            </w:tcBorders>
            <w:noWrap/>
            <w:vAlign w:val="center"/>
          </w:tcPr>
          <w:p>
            <w:pPr>
              <w:widowControl/>
              <w:jc w:val="left"/>
              <w:rPr>
                <w:rFonts w:ascii="宋体" w:cs="Arial"/>
                <w:b/>
                <w:bCs/>
                <w:color w:val="auto"/>
                <w:kern w:val="0"/>
                <w:sz w:val="20"/>
                <w:highlight w:val="none"/>
              </w:rPr>
            </w:pPr>
            <w:r>
              <w:rPr>
                <w:rFonts w:hint="eastAsia" w:ascii="宋体" w:cs="Arial"/>
                <w:b/>
                <w:bCs/>
                <w:color w:val="auto"/>
                <w:kern w:val="0"/>
                <w:sz w:val="20"/>
                <w:highlight w:val="none"/>
              </w:rPr>
              <w:t>产品描述</w:t>
            </w:r>
          </w:p>
        </w:tc>
        <w:tc>
          <w:tcPr>
            <w:tcW w:w="1051" w:type="dxa"/>
            <w:tcBorders>
              <w:top w:val="single" w:color="auto" w:sz="4" w:space="0"/>
              <w:left w:val="nil"/>
              <w:bottom w:val="single" w:color="auto" w:sz="4" w:space="0"/>
              <w:right w:val="single" w:color="auto" w:sz="4" w:space="0"/>
              <w:tl2br w:val="nil"/>
              <w:tr2bl w:val="nil"/>
            </w:tcBorders>
            <w:noWrap/>
            <w:vAlign w:val="center"/>
          </w:tcPr>
          <w:p>
            <w:pPr>
              <w:widowControl/>
              <w:jc w:val="left"/>
              <w:rPr>
                <w:rFonts w:ascii="宋体" w:cs="Arial"/>
                <w:b/>
                <w:bCs/>
                <w:color w:val="auto"/>
                <w:kern w:val="0"/>
                <w:sz w:val="20"/>
                <w:highlight w:val="none"/>
              </w:rPr>
            </w:pPr>
            <w:r>
              <w:rPr>
                <w:rFonts w:hint="eastAsia" w:ascii="宋体" w:cs="Arial"/>
                <w:b/>
                <w:bCs/>
                <w:color w:val="auto"/>
                <w:kern w:val="0"/>
                <w:sz w:val="20"/>
                <w:highlight w:val="none"/>
              </w:rPr>
              <w:t>起始日期</w:t>
            </w:r>
          </w:p>
        </w:tc>
        <w:tc>
          <w:tcPr>
            <w:tcW w:w="1281" w:type="dxa"/>
            <w:tcBorders>
              <w:top w:val="single" w:color="auto" w:sz="4" w:space="0"/>
              <w:left w:val="nil"/>
              <w:bottom w:val="single" w:color="auto" w:sz="4" w:space="0"/>
              <w:right w:val="single" w:color="auto" w:sz="4" w:space="0"/>
              <w:tl2br w:val="nil"/>
              <w:tr2bl w:val="nil"/>
            </w:tcBorders>
            <w:noWrap/>
            <w:vAlign w:val="center"/>
          </w:tcPr>
          <w:p>
            <w:pPr>
              <w:widowControl/>
              <w:jc w:val="left"/>
              <w:rPr>
                <w:rFonts w:ascii="宋体" w:cs="Arial"/>
                <w:b/>
                <w:bCs/>
                <w:color w:val="auto"/>
                <w:kern w:val="0"/>
                <w:sz w:val="20"/>
                <w:highlight w:val="none"/>
              </w:rPr>
            </w:pPr>
            <w:r>
              <w:rPr>
                <w:rFonts w:hint="eastAsia" w:ascii="宋体" w:cs="Arial"/>
                <w:b/>
                <w:bCs/>
                <w:color w:val="auto"/>
                <w:kern w:val="0"/>
                <w:sz w:val="20"/>
                <w:highlight w:val="none"/>
              </w:rPr>
              <w:t>截止日期</w:t>
            </w:r>
          </w:p>
        </w:tc>
        <w:tc>
          <w:tcPr>
            <w:tcW w:w="681" w:type="dxa"/>
            <w:tcBorders>
              <w:top w:val="single" w:color="auto" w:sz="4" w:space="0"/>
              <w:left w:val="nil"/>
              <w:bottom w:val="single" w:color="auto" w:sz="4" w:space="0"/>
              <w:right w:val="single" w:color="auto" w:sz="4" w:space="0"/>
              <w:tl2br w:val="nil"/>
              <w:tr2bl w:val="nil"/>
            </w:tcBorders>
            <w:noWrap/>
            <w:vAlign w:val="center"/>
          </w:tcPr>
          <w:p>
            <w:pPr>
              <w:widowControl/>
              <w:jc w:val="left"/>
              <w:rPr>
                <w:rFonts w:ascii="宋体" w:cs="Arial"/>
                <w:b/>
                <w:bCs/>
                <w:color w:val="auto"/>
                <w:kern w:val="0"/>
                <w:sz w:val="20"/>
                <w:highlight w:val="none"/>
              </w:rPr>
            </w:pPr>
            <w:r>
              <w:rPr>
                <w:rFonts w:hint="eastAsia" w:ascii="宋体" w:cs="Arial"/>
                <w:b/>
                <w:bCs/>
                <w:color w:val="auto"/>
                <w:kern w:val="0"/>
                <w:sz w:val="20"/>
                <w:highlight w:val="none"/>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66" w:type="dxa"/>
            <w:tcBorders>
              <w:top w:val="nil"/>
              <w:left w:val="single" w:color="auto" w:sz="4" w:space="0"/>
              <w:bottom w:val="single" w:color="auto" w:sz="4" w:space="0"/>
              <w:right w:val="single" w:color="auto" w:sz="4" w:space="0"/>
              <w:tl2br w:val="nil"/>
              <w:tr2bl w:val="nil"/>
            </w:tcBorders>
            <w:noWrap/>
            <w:vAlign w:val="center"/>
          </w:tcPr>
          <w:p>
            <w:pPr>
              <w:widowControl/>
              <w:jc w:val="left"/>
              <w:rPr>
                <w:rFonts w:ascii="Arial" w:hAnsi="Arial" w:cs="Arial"/>
                <w:color w:val="auto"/>
                <w:kern w:val="0"/>
                <w:sz w:val="20"/>
                <w:highlight w:val="none"/>
              </w:rPr>
            </w:pPr>
            <w:r>
              <w:rPr>
                <w:rFonts w:hint="eastAsia" w:ascii="Arial" w:hAnsi="Arial" w:cs="Arial"/>
                <w:color w:val="auto"/>
                <w:kern w:val="0"/>
                <w:sz w:val="20"/>
                <w:highlight w:val="none"/>
              </w:rPr>
              <w:t>Cognos</w:t>
            </w:r>
          </w:p>
        </w:tc>
        <w:tc>
          <w:tcPr>
            <w:tcW w:w="1200" w:type="dxa"/>
            <w:tcBorders>
              <w:top w:val="nil"/>
              <w:left w:val="nil"/>
              <w:bottom w:val="single" w:color="auto" w:sz="4" w:space="0"/>
              <w:right w:val="single" w:color="auto" w:sz="4" w:space="0"/>
              <w:tl2br w:val="nil"/>
              <w:tr2bl w:val="nil"/>
            </w:tcBorders>
            <w:noWrap/>
            <w:vAlign w:val="center"/>
          </w:tcPr>
          <w:p>
            <w:pPr>
              <w:widowControl/>
              <w:jc w:val="left"/>
              <w:rPr>
                <w:rFonts w:ascii="Arial" w:hAnsi="Arial" w:cs="Arial"/>
                <w:color w:val="auto"/>
                <w:kern w:val="0"/>
                <w:sz w:val="20"/>
                <w:highlight w:val="none"/>
              </w:rPr>
            </w:pPr>
            <w:r>
              <w:rPr>
                <w:rFonts w:hint="eastAsia" w:ascii="Arial" w:hAnsi="Arial" w:cs="Arial"/>
                <w:color w:val="auto"/>
                <w:kern w:val="0"/>
                <w:sz w:val="20"/>
                <w:highlight w:val="none"/>
              </w:rPr>
              <w:t>E0K30LL</w:t>
            </w:r>
          </w:p>
        </w:tc>
        <w:tc>
          <w:tcPr>
            <w:tcW w:w="3210" w:type="dxa"/>
            <w:tcBorders>
              <w:top w:val="nil"/>
              <w:left w:val="nil"/>
              <w:bottom w:val="single" w:color="auto" w:sz="4" w:space="0"/>
              <w:right w:val="single" w:color="auto" w:sz="4" w:space="0"/>
              <w:tl2br w:val="nil"/>
              <w:tr2bl w:val="nil"/>
            </w:tcBorders>
            <w:noWrap/>
            <w:vAlign w:val="center"/>
          </w:tcPr>
          <w:p>
            <w:pPr>
              <w:widowControl/>
              <w:jc w:val="left"/>
              <w:rPr>
                <w:rFonts w:ascii="Arial" w:hAnsi="Arial" w:cs="Arial"/>
                <w:color w:val="auto"/>
                <w:kern w:val="0"/>
                <w:sz w:val="20"/>
                <w:highlight w:val="none"/>
              </w:rPr>
            </w:pPr>
            <w:r>
              <w:rPr>
                <w:rFonts w:hint="eastAsia" w:ascii="Arial" w:hAnsi="Arial" w:cs="Arial"/>
                <w:color w:val="auto"/>
                <w:kern w:val="0"/>
                <w:sz w:val="20"/>
                <w:highlight w:val="none"/>
              </w:rPr>
              <w:t>IBM Cognos Analytics Administrator per Authorized User Annual SW Subscription &amp; Support Renewal</w:t>
            </w:r>
          </w:p>
        </w:tc>
        <w:tc>
          <w:tcPr>
            <w:tcW w:w="1051" w:type="dxa"/>
            <w:tcBorders>
              <w:top w:val="nil"/>
              <w:left w:val="nil"/>
              <w:bottom w:val="single" w:color="auto" w:sz="4" w:space="0"/>
              <w:right w:val="single" w:color="auto" w:sz="4" w:space="0"/>
              <w:tl2br w:val="nil"/>
              <w:tr2bl w:val="nil"/>
            </w:tcBorders>
            <w:noWrap/>
            <w:vAlign w:val="center"/>
          </w:tcPr>
          <w:p>
            <w:pPr>
              <w:widowControl/>
              <w:jc w:val="center"/>
              <w:rPr>
                <w:rFonts w:ascii="Arial" w:hAnsi="Arial" w:cs="Arial"/>
                <w:color w:val="auto"/>
                <w:kern w:val="0"/>
                <w:sz w:val="20"/>
                <w:highlight w:val="none"/>
              </w:rPr>
            </w:pPr>
            <w:r>
              <w:rPr>
                <w:rFonts w:hint="eastAsia" w:ascii="Arial" w:hAnsi="Arial" w:cs="Arial"/>
                <w:color w:val="auto"/>
                <w:kern w:val="0"/>
                <w:sz w:val="20"/>
                <w:highlight w:val="none"/>
              </w:rPr>
              <w:t>2024/1/1</w:t>
            </w:r>
          </w:p>
        </w:tc>
        <w:tc>
          <w:tcPr>
            <w:tcW w:w="1281" w:type="dxa"/>
            <w:tcBorders>
              <w:top w:val="nil"/>
              <w:left w:val="nil"/>
              <w:bottom w:val="single" w:color="auto" w:sz="4" w:space="0"/>
              <w:right w:val="single" w:color="auto" w:sz="4" w:space="0"/>
              <w:tl2br w:val="nil"/>
              <w:tr2bl w:val="nil"/>
            </w:tcBorders>
            <w:noWrap/>
            <w:vAlign w:val="center"/>
          </w:tcPr>
          <w:p>
            <w:pPr>
              <w:widowControl/>
              <w:jc w:val="center"/>
              <w:rPr>
                <w:rFonts w:ascii="Arial" w:hAnsi="Arial" w:cs="Arial"/>
                <w:color w:val="auto"/>
                <w:kern w:val="0"/>
                <w:sz w:val="20"/>
                <w:highlight w:val="none"/>
              </w:rPr>
            </w:pPr>
            <w:r>
              <w:rPr>
                <w:rFonts w:hint="eastAsia" w:ascii="Arial" w:hAnsi="Arial" w:cs="Arial"/>
                <w:color w:val="auto"/>
                <w:kern w:val="0"/>
                <w:sz w:val="20"/>
                <w:highlight w:val="none"/>
              </w:rPr>
              <w:t>2024/12/31</w:t>
            </w:r>
          </w:p>
        </w:tc>
        <w:tc>
          <w:tcPr>
            <w:tcW w:w="681" w:type="dxa"/>
            <w:tcBorders>
              <w:top w:val="nil"/>
              <w:left w:val="nil"/>
              <w:bottom w:val="single" w:color="auto" w:sz="4" w:space="0"/>
              <w:right w:val="single" w:color="auto" w:sz="4" w:space="0"/>
              <w:tl2br w:val="nil"/>
              <w:tr2bl w:val="nil"/>
            </w:tcBorders>
            <w:noWrap/>
            <w:vAlign w:val="center"/>
          </w:tcPr>
          <w:p>
            <w:pPr>
              <w:widowControl/>
              <w:jc w:val="center"/>
              <w:rPr>
                <w:rFonts w:ascii="Arial" w:hAnsi="Arial" w:cs="Arial"/>
                <w:color w:val="auto"/>
                <w:kern w:val="0"/>
                <w:sz w:val="20"/>
                <w:highlight w:val="none"/>
              </w:rPr>
            </w:pPr>
            <w:r>
              <w:rPr>
                <w:rFonts w:hint="eastAsia" w:ascii="Arial" w:hAnsi="Arial" w:cs="Arial"/>
                <w:color w:val="auto"/>
                <w:kern w:val="0"/>
                <w:sz w:val="20"/>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66" w:type="dxa"/>
            <w:tcBorders>
              <w:top w:val="nil"/>
              <w:left w:val="single" w:color="auto" w:sz="4" w:space="0"/>
              <w:bottom w:val="single" w:color="auto" w:sz="4" w:space="0"/>
              <w:right w:val="single" w:color="auto" w:sz="4" w:space="0"/>
              <w:tl2br w:val="nil"/>
              <w:tr2bl w:val="nil"/>
            </w:tcBorders>
            <w:noWrap/>
            <w:vAlign w:val="center"/>
          </w:tcPr>
          <w:p>
            <w:pPr>
              <w:widowControl/>
              <w:jc w:val="left"/>
              <w:rPr>
                <w:rFonts w:ascii="Arial" w:hAnsi="Arial" w:cs="Arial"/>
                <w:color w:val="auto"/>
                <w:kern w:val="0"/>
                <w:sz w:val="20"/>
                <w:highlight w:val="none"/>
              </w:rPr>
            </w:pPr>
            <w:r>
              <w:rPr>
                <w:rFonts w:hint="eastAsia" w:ascii="Arial" w:hAnsi="Arial" w:cs="Arial"/>
                <w:color w:val="auto"/>
                <w:kern w:val="0"/>
                <w:sz w:val="20"/>
                <w:highlight w:val="none"/>
              </w:rPr>
              <w:t>Cognos</w:t>
            </w:r>
          </w:p>
        </w:tc>
        <w:tc>
          <w:tcPr>
            <w:tcW w:w="1200" w:type="dxa"/>
            <w:tcBorders>
              <w:top w:val="nil"/>
              <w:left w:val="nil"/>
              <w:bottom w:val="single" w:color="auto" w:sz="4" w:space="0"/>
              <w:right w:val="single" w:color="auto" w:sz="4" w:space="0"/>
              <w:tl2br w:val="nil"/>
              <w:tr2bl w:val="nil"/>
            </w:tcBorders>
            <w:noWrap/>
            <w:vAlign w:val="center"/>
          </w:tcPr>
          <w:p>
            <w:pPr>
              <w:widowControl/>
              <w:jc w:val="left"/>
              <w:rPr>
                <w:rFonts w:ascii="Arial" w:hAnsi="Arial" w:cs="Arial"/>
                <w:color w:val="auto"/>
                <w:kern w:val="0"/>
                <w:sz w:val="20"/>
                <w:highlight w:val="none"/>
              </w:rPr>
            </w:pPr>
            <w:r>
              <w:rPr>
                <w:rFonts w:hint="eastAsia" w:ascii="Arial" w:hAnsi="Arial" w:cs="Arial"/>
                <w:color w:val="auto"/>
                <w:kern w:val="0"/>
                <w:sz w:val="20"/>
                <w:highlight w:val="none"/>
              </w:rPr>
              <w:t>E0K2DLL</w:t>
            </w:r>
          </w:p>
        </w:tc>
        <w:tc>
          <w:tcPr>
            <w:tcW w:w="3210" w:type="dxa"/>
            <w:tcBorders>
              <w:top w:val="nil"/>
              <w:left w:val="nil"/>
              <w:bottom w:val="single" w:color="auto" w:sz="4" w:space="0"/>
              <w:right w:val="single" w:color="auto" w:sz="4" w:space="0"/>
              <w:tl2br w:val="nil"/>
              <w:tr2bl w:val="nil"/>
            </w:tcBorders>
            <w:noWrap/>
            <w:vAlign w:val="center"/>
          </w:tcPr>
          <w:p>
            <w:pPr>
              <w:widowControl/>
              <w:jc w:val="left"/>
              <w:rPr>
                <w:rFonts w:ascii="Arial" w:hAnsi="Arial" w:cs="Arial"/>
                <w:color w:val="auto"/>
                <w:kern w:val="0"/>
                <w:sz w:val="20"/>
                <w:highlight w:val="none"/>
              </w:rPr>
            </w:pPr>
            <w:r>
              <w:rPr>
                <w:rFonts w:hint="eastAsia" w:ascii="Arial" w:hAnsi="Arial" w:cs="Arial"/>
                <w:color w:val="auto"/>
                <w:kern w:val="0"/>
                <w:sz w:val="20"/>
                <w:highlight w:val="none"/>
              </w:rPr>
              <w:t>IBM Cognos Analytics Explorer Authorized User Annual SW Subscription &amp; Support Renewal</w:t>
            </w:r>
          </w:p>
        </w:tc>
        <w:tc>
          <w:tcPr>
            <w:tcW w:w="1051" w:type="dxa"/>
            <w:tcBorders>
              <w:top w:val="nil"/>
              <w:left w:val="nil"/>
              <w:bottom w:val="single" w:color="auto" w:sz="4" w:space="0"/>
              <w:right w:val="single" w:color="auto" w:sz="4" w:space="0"/>
              <w:tl2br w:val="nil"/>
              <w:tr2bl w:val="nil"/>
            </w:tcBorders>
            <w:noWrap/>
            <w:vAlign w:val="center"/>
          </w:tcPr>
          <w:p>
            <w:pPr>
              <w:widowControl/>
              <w:jc w:val="center"/>
              <w:rPr>
                <w:rFonts w:ascii="Arial" w:hAnsi="Arial" w:cs="Arial"/>
                <w:color w:val="auto"/>
                <w:kern w:val="0"/>
                <w:sz w:val="20"/>
                <w:highlight w:val="none"/>
              </w:rPr>
            </w:pPr>
            <w:r>
              <w:rPr>
                <w:rFonts w:hint="eastAsia" w:ascii="Arial" w:hAnsi="Arial" w:cs="Arial"/>
                <w:color w:val="auto"/>
                <w:kern w:val="0"/>
                <w:sz w:val="20"/>
                <w:highlight w:val="none"/>
              </w:rPr>
              <w:t>2024/1/1</w:t>
            </w:r>
          </w:p>
        </w:tc>
        <w:tc>
          <w:tcPr>
            <w:tcW w:w="1281" w:type="dxa"/>
            <w:tcBorders>
              <w:top w:val="nil"/>
              <w:left w:val="nil"/>
              <w:bottom w:val="single" w:color="auto" w:sz="4" w:space="0"/>
              <w:right w:val="single" w:color="auto" w:sz="4" w:space="0"/>
              <w:tl2br w:val="nil"/>
              <w:tr2bl w:val="nil"/>
            </w:tcBorders>
            <w:noWrap/>
            <w:vAlign w:val="center"/>
          </w:tcPr>
          <w:p>
            <w:pPr>
              <w:widowControl/>
              <w:jc w:val="center"/>
              <w:rPr>
                <w:rFonts w:ascii="Arial" w:hAnsi="Arial" w:cs="Arial"/>
                <w:color w:val="auto"/>
                <w:kern w:val="0"/>
                <w:sz w:val="20"/>
                <w:highlight w:val="none"/>
              </w:rPr>
            </w:pPr>
            <w:r>
              <w:rPr>
                <w:rFonts w:hint="eastAsia" w:ascii="Arial" w:hAnsi="Arial" w:cs="Arial"/>
                <w:color w:val="auto"/>
                <w:kern w:val="0"/>
                <w:sz w:val="20"/>
                <w:highlight w:val="none"/>
              </w:rPr>
              <w:t>2024/12/31</w:t>
            </w:r>
          </w:p>
        </w:tc>
        <w:tc>
          <w:tcPr>
            <w:tcW w:w="681" w:type="dxa"/>
            <w:tcBorders>
              <w:top w:val="nil"/>
              <w:left w:val="nil"/>
              <w:bottom w:val="single" w:color="auto" w:sz="4" w:space="0"/>
              <w:right w:val="single" w:color="auto" w:sz="4" w:space="0"/>
              <w:tl2br w:val="nil"/>
              <w:tr2bl w:val="nil"/>
            </w:tcBorders>
            <w:noWrap/>
            <w:vAlign w:val="center"/>
          </w:tcPr>
          <w:p>
            <w:pPr>
              <w:widowControl/>
              <w:jc w:val="center"/>
              <w:rPr>
                <w:rFonts w:ascii="Arial" w:hAnsi="Arial" w:cs="Arial"/>
                <w:color w:val="auto"/>
                <w:kern w:val="0"/>
                <w:sz w:val="20"/>
                <w:highlight w:val="none"/>
              </w:rPr>
            </w:pPr>
            <w:r>
              <w:rPr>
                <w:rFonts w:hint="eastAsia" w:ascii="Arial" w:hAnsi="Arial" w:cs="Arial"/>
                <w:color w:val="auto"/>
                <w:kern w:val="0"/>
                <w:sz w:val="20"/>
                <w:highlight w:val="non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66" w:type="dxa"/>
            <w:tcBorders>
              <w:top w:val="nil"/>
              <w:left w:val="single" w:color="auto" w:sz="4" w:space="0"/>
              <w:bottom w:val="single" w:color="auto" w:sz="4" w:space="0"/>
              <w:right w:val="single" w:color="auto" w:sz="4" w:space="0"/>
              <w:tl2br w:val="nil"/>
              <w:tr2bl w:val="nil"/>
            </w:tcBorders>
            <w:noWrap/>
            <w:vAlign w:val="center"/>
          </w:tcPr>
          <w:p>
            <w:pPr>
              <w:widowControl/>
              <w:jc w:val="left"/>
              <w:rPr>
                <w:rFonts w:ascii="Arial" w:hAnsi="Arial" w:cs="Arial"/>
                <w:color w:val="auto"/>
                <w:kern w:val="0"/>
                <w:sz w:val="20"/>
                <w:highlight w:val="none"/>
              </w:rPr>
            </w:pPr>
            <w:r>
              <w:rPr>
                <w:rFonts w:hint="eastAsia" w:ascii="Arial" w:hAnsi="Arial" w:cs="Arial"/>
                <w:color w:val="auto"/>
                <w:kern w:val="0"/>
                <w:sz w:val="20"/>
                <w:highlight w:val="none"/>
              </w:rPr>
              <w:t>Cognos</w:t>
            </w:r>
          </w:p>
        </w:tc>
        <w:tc>
          <w:tcPr>
            <w:tcW w:w="1200" w:type="dxa"/>
            <w:tcBorders>
              <w:top w:val="nil"/>
              <w:left w:val="nil"/>
              <w:bottom w:val="single" w:color="auto" w:sz="4" w:space="0"/>
              <w:right w:val="single" w:color="auto" w:sz="4" w:space="0"/>
              <w:tl2br w:val="nil"/>
              <w:tr2bl w:val="nil"/>
            </w:tcBorders>
            <w:noWrap/>
            <w:vAlign w:val="center"/>
          </w:tcPr>
          <w:p>
            <w:pPr>
              <w:widowControl/>
              <w:jc w:val="left"/>
              <w:rPr>
                <w:rFonts w:ascii="Arial" w:hAnsi="Arial" w:cs="Arial"/>
                <w:color w:val="auto"/>
                <w:kern w:val="0"/>
                <w:sz w:val="20"/>
                <w:highlight w:val="none"/>
              </w:rPr>
            </w:pPr>
            <w:r>
              <w:rPr>
                <w:rFonts w:hint="eastAsia" w:ascii="Arial" w:hAnsi="Arial" w:cs="Arial"/>
                <w:color w:val="auto"/>
                <w:kern w:val="0"/>
                <w:sz w:val="20"/>
                <w:highlight w:val="none"/>
              </w:rPr>
              <w:t>E0622LL</w:t>
            </w:r>
          </w:p>
        </w:tc>
        <w:tc>
          <w:tcPr>
            <w:tcW w:w="3210" w:type="dxa"/>
            <w:tcBorders>
              <w:top w:val="nil"/>
              <w:left w:val="nil"/>
              <w:bottom w:val="single" w:color="auto" w:sz="4" w:space="0"/>
              <w:right w:val="single" w:color="auto" w:sz="4" w:space="0"/>
              <w:tl2br w:val="nil"/>
              <w:tr2bl w:val="nil"/>
            </w:tcBorders>
            <w:noWrap/>
            <w:vAlign w:val="center"/>
          </w:tcPr>
          <w:p>
            <w:pPr>
              <w:widowControl/>
              <w:jc w:val="left"/>
              <w:rPr>
                <w:rFonts w:ascii="Arial" w:hAnsi="Arial" w:cs="Arial"/>
                <w:color w:val="auto"/>
                <w:kern w:val="0"/>
                <w:sz w:val="20"/>
                <w:highlight w:val="none"/>
              </w:rPr>
            </w:pPr>
            <w:r>
              <w:rPr>
                <w:rFonts w:hint="eastAsia" w:ascii="Arial" w:hAnsi="Arial" w:cs="Arial"/>
                <w:color w:val="auto"/>
                <w:kern w:val="0"/>
                <w:sz w:val="20"/>
                <w:highlight w:val="none"/>
              </w:rPr>
              <w:t>IBM Cognos Analytics Software Development Kit Authorized User Annual SW Subscription &amp; Support Renewal</w:t>
            </w:r>
          </w:p>
        </w:tc>
        <w:tc>
          <w:tcPr>
            <w:tcW w:w="1051" w:type="dxa"/>
            <w:tcBorders>
              <w:top w:val="nil"/>
              <w:left w:val="nil"/>
              <w:bottom w:val="single" w:color="auto" w:sz="4" w:space="0"/>
              <w:right w:val="single" w:color="auto" w:sz="4" w:space="0"/>
              <w:tl2br w:val="nil"/>
              <w:tr2bl w:val="nil"/>
            </w:tcBorders>
            <w:noWrap/>
            <w:vAlign w:val="center"/>
          </w:tcPr>
          <w:p>
            <w:pPr>
              <w:widowControl/>
              <w:jc w:val="center"/>
              <w:rPr>
                <w:rFonts w:ascii="Arial" w:hAnsi="Arial" w:cs="Arial"/>
                <w:color w:val="auto"/>
                <w:kern w:val="0"/>
                <w:sz w:val="20"/>
                <w:highlight w:val="none"/>
              </w:rPr>
            </w:pPr>
            <w:r>
              <w:rPr>
                <w:rFonts w:hint="eastAsia" w:ascii="Arial" w:hAnsi="Arial" w:cs="Arial"/>
                <w:color w:val="auto"/>
                <w:kern w:val="0"/>
                <w:sz w:val="20"/>
                <w:highlight w:val="none"/>
              </w:rPr>
              <w:t>2024/1/1</w:t>
            </w:r>
          </w:p>
        </w:tc>
        <w:tc>
          <w:tcPr>
            <w:tcW w:w="1281" w:type="dxa"/>
            <w:tcBorders>
              <w:top w:val="nil"/>
              <w:left w:val="nil"/>
              <w:bottom w:val="single" w:color="auto" w:sz="4" w:space="0"/>
              <w:right w:val="single" w:color="auto" w:sz="4" w:space="0"/>
              <w:tl2br w:val="nil"/>
              <w:tr2bl w:val="nil"/>
            </w:tcBorders>
            <w:noWrap/>
            <w:vAlign w:val="center"/>
          </w:tcPr>
          <w:p>
            <w:pPr>
              <w:widowControl/>
              <w:jc w:val="center"/>
              <w:rPr>
                <w:rFonts w:ascii="Arial" w:hAnsi="Arial" w:cs="Arial"/>
                <w:color w:val="auto"/>
                <w:kern w:val="0"/>
                <w:sz w:val="20"/>
                <w:highlight w:val="none"/>
              </w:rPr>
            </w:pPr>
            <w:r>
              <w:rPr>
                <w:rFonts w:hint="eastAsia" w:ascii="Arial" w:hAnsi="Arial" w:cs="Arial"/>
                <w:color w:val="auto"/>
                <w:kern w:val="0"/>
                <w:sz w:val="20"/>
                <w:highlight w:val="none"/>
              </w:rPr>
              <w:t>2024/12/31</w:t>
            </w:r>
          </w:p>
        </w:tc>
        <w:tc>
          <w:tcPr>
            <w:tcW w:w="681" w:type="dxa"/>
            <w:tcBorders>
              <w:top w:val="nil"/>
              <w:left w:val="nil"/>
              <w:bottom w:val="single" w:color="auto" w:sz="4" w:space="0"/>
              <w:right w:val="single" w:color="auto" w:sz="4" w:space="0"/>
              <w:tl2br w:val="nil"/>
              <w:tr2bl w:val="nil"/>
            </w:tcBorders>
            <w:noWrap/>
            <w:vAlign w:val="center"/>
          </w:tcPr>
          <w:p>
            <w:pPr>
              <w:widowControl/>
              <w:jc w:val="center"/>
              <w:rPr>
                <w:rFonts w:ascii="Arial" w:hAnsi="Arial" w:cs="Arial"/>
                <w:color w:val="auto"/>
                <w:kern w:val="0"/>
                <w:sz w:val="20"/>
                <w:highlight w:val="none"/>
              </w:rPr>
            </w:pPr>
            <w:r>
              <w:rPr>
                <w:rFonts w:hint="eastAsia" w:ascii="Arial" w:hAnsi="Arial" w:cs="Arial"/>
                <w:color w:val="auto"/>
                <w:kern w:val="0"/>
                <w:sz w:val="20"/>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66" w:type="dxa"/>
            <w:tcBorders>
              <w:top w:val="nil"/>
              <w:left w:val="single" w:color="auto" w:sz="4" w:space="0"/>
              <w:bottom w:val="single" w:color="auto" w:sz="4" w:space="0"/>
              <w:right w:val="single" w:color="auto" w:sz="4" w:space="0"/>
              <w:tl2br w:val="nil"/>
              <w:tr2bl w:val="nil"/>
            </w:tcBorders>
            <w:noWrap/>
            <w:vAlign w:val="center"/>
          </w:tcPr>
          <w:p>
            <w:pPr>
              <w:widowControl/>
              <w:jc w:val="left"/>
              <w:rPr>
                <w:rFonts w:ascii="Arial" w:hAnsi="Arial" w:cs="Arial"/>
                <w:color w:val="auto"/>
                <w:kern w:val="0"/>
                <w:sz w:val="20"/>
                <w:highlight w:val="none"/>
              </w:rPr>
            </w:pPr>
            <w:r>
              <w:rPr>
                <w:rFonts w:hint="eastAsia" w:ascii="Arial" w:hAnsi="Arial" w:cs="Arial"/>
                <w:color w:val="auto"/>
                <w:kern w:val="0"/>
                <w:sz w:val="20"/>
                <w:highlight w:val="none"/>
              </w:rPr>
              <w:t xml:space="preserve"> Cognos</w:t>
            </w:r>
          </w:p>
        </w:tc>
        <w:tc>
          <w:tcPr>
            <w:tcW w:w="1200" w:type="dxa"/>
            <w:tcBorders>
              <w:top w:val="nil"/>
              <w:left w:val="nil"/>
              <w:bottom w:val="single" w:color="auto" w:sz="4" w:space="0"/>
              <w:right w:val="single" w:color="auto" w:sz="4" w:space="0"/>
              <w:tl2br w:val="nil"/>
              <w:tr2bl w:val="nil"/>
            </w:tcBorders>
            <w:noWrap/>
            <w:vAlign w:val="center"/>
          </w:tcPr>
          <w:p>
            <w:pPr>
              <w:widowControl/>
              <w:jc w:val="left"/>
              <w:rPr>
                <w:rFonts w:ascii="Arial" w:hAnsi="Arial" w:cs="Arial"/>
                <w:color w:val="auto"/>
                <w:kern w:val="0"/>
                <w:sz w:val="20"/>
                <w:highlight w:val="none"/>
              </w:rPr>
            </w:pPr>
            <w:r>
              <w:rPr>
                <w:rFonts w:hint="eastAsia" w:ascii="Arial" w:hAnsi="Arial" w:cs="Arial"/>
                <w:color w:val="auto"/>
                <w:kern w:val="0"/>
                <w:sz w:val="20"/>
                <w:highlight w:val="none"/>
              </w:rPr>
              <w:t>E0K32LL</w:t>
            </w:r>
          </w:p>
        </w:tc>
        <w:tc>
          <w:tcPr>
            <w:tcW w:w="3210" w:type="dxa"/>
            <w:tcBorders>
              <w:top w:val="nil"/>
              <w:left w:val="nil"/>
              <w:bottom w:val="single" w:color="auto" w:sz="4" w:space="0"/>
              <w:right w:val="single" w:color="auto" w:sz="4" w:space="0"/>
              <w:tl2br w:val="nil"/>
              <w:tr2bl w:val="nil"/>
            </w:tcBorders>
            <w:noWrap/>
            <w:vAlign w:val="center"/>
          </w:tcPr>
          <w:p>
            <w:pPr>
              <w:widowControl/>
              <w:jc w:val="left"/>
              <w:rPr>
                <w:rFonts w:ascii="Arial" w:hAnsi="Arial" w:cs="Arial"/>
                <w:color w:val="auto"/>
                <w:kern w:val="0"/>
                <w:sz w:val="20"/>
                <w:highlight w:val="none"/>
              </w:rPr>
            </w:pPr>
            <w:r>
              <w:rPr>
                <w:rFonts w:hint="eastAsia" w:ascii="Arial" w:hAnsi="Arial" w:cs="Arial"/>
                <w:color w:val="auto"/>
                <w:kern w:val="0"/>
                <w:sz w:val="20"/>
                <w:highlight w:val="none"/>
              </w:rPr>
              <w:t>IBM Cognos Analytics User Authorized User Annual SW Subscription &amp; Support Renewal</w:t>
            </w:r>
          </w:p>
        </w:tc>
        <w:tc>
          <w:tcPr>
            <w:tcW w:w="1051" w:type="dxa"/>
            <w:tcBorders>
              <w:top w:val="nil"/>
              <w:left w:val="nil"/>
              <w:bottom w:val="single" w:color="auto" w:sz="4" w:space="0"/>
              <w:right w:val="single" w:color="auto" w:sz="4" w:space="0"/>
              <w:tl2br w:val="nil"/>
              <w:tr2bl w:val="nil"/>
            </w:tcBorders>
            <w:noWrap/>
            <w:vAlign w:val="center"/>
          </w:tcPr>
          <w:p>
            <w:pPr>
              <w:widowControl/>
              <w:jc w:val="center"/>
              <w:rPr>
                <w:rFonts w:ascii="Arial" w:hAnsi="Arial" w:cs="Arial"/>
                <w:color w:val="auto"/>
                <w:kern w:val="0"/>
                <w:sz w:val="20"/>
                <w:highlight w:val="none"/>
              </w:rPr>
            </w:pPr>
            <w:r>
              <w:rPr>
                <w:rFonts w:hint="eastAsia" w:ascii="Arial" w:hAnsi="Arial" w:cs="Arial"/>
                <w:color w:val="auto"/>
                <w:kern w:val="0"/>
                <w:sz w:val="20"/>
                <w:highlight w:val="none"/>
              </w:rPr>
              <w:t>2024/1/1</w:t>
            </w:r>
          </w:p>
        </w:tc>
        <w:tc>
          <w:tcPr>
            <w:tcW w:w="1281" w:type="dxa"/>
            <w:tcBorders>
              <w:top w:val="nil"/>
              <w:left w:val="nil"/>
              <w:bottom w:val="single" w:color="auto" w:sz="4" w:space="0"/>
              <w:right w:val="single" w:color="auto" w:sz="4" w:space="0"/>
              <w:tl2br w:val="nil"/>
              <w:tr2bl w:val="nil"/>
            </w:tcBorders>
            <w:noWrap/>
            <w:vAlign w:val="center"/>
          </w:tcPr>
          <w:p>
            <w:pPr>
              <w:widowControl/>
              <w:jc w:val="center"/>
              <w:rPr>
                <w:rFonts w:ascii="Arial" w:hAnsi="Arial" w:cs="Arial"/>
                <w:color w:val="auto"/>
                <w:kern w:val="0"/>
                <w:sz w:val="20"/>
                <w:highlight w:val="none"/>
              </w:rPr>
            </w:pPr>
            <w:r>
              <w:rPr>
                <w:rFonts w:hint="eastAsia" w:ascii="Arial" w:hAnsi="Arial" w:cs="Arial"/>
                <w:color w:val="auto"/>
                <w:kern w:val="0"/>
                <w:sz w:val="20"/>
                <w:highlight w:val="none"/>
              </w:rPr>
              <w:t>2024/12/31</w:t>
            </w:r>
          </w:p>
        </w:tc>
        <w:tc>
          <w:tcPr>
            <w:tcW w:w="681" w:type="dxa"/>
            <w:tcBorders>
              <w:top w:val="nil"/>
              <w:left w:val="nil"/>
              <w:bottom w:val="single" w:color="auto" w:sz="4" w:space="0"/>
              <w:right w:val="single" w:color="auto" w:sz="4" w:space="0"/>
              <w:tl2br w:val="nil"/>
              <w:tr2bl w:val="nil"/>
            </w:tcBorders>
            <w:noWrap/>
            <w:vAlign w:val="center"/>
          </w:tcPr>
          <w:p>
            <w:pPr>
              <w:widowControl/>
              <w:jc w:val="center"/>
              <w:rPr>
                <w:rFonts w:ascii="Arial" w:hAnsi="Arial" w:cs="Arial"/>
                <w:color w:val="auto"/>
                <w:kern w:val="0"/>
                <w:sz w:val="20"/>
                <w:highlight w:val="none"/>
              </w:rPr>
            </w:pPr>
            <w:r>
              <w:rPr>
                <w:rFonts w:hint="eastAsia" w:ascii="Arial" w:hAnsi="Arial" w:cs="Arial"/>
                <w:color w:val="auto"/>
                <w:kern w:val="0"/>
                <w:sz w:val="20"/>
                <w:highlight w:val="none"/>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66" w:type="dxa"/>
            <w:tcBorders>
              <w:top w:val="nil"/>
              <w:left w:val="single" w:color="auto" w:sz="4" w:space="0"/>
              <w:bottom w:val="single" w:color="auto" w:sz="4" w:space="0"/>
              <w:right w:val="single" w:color="auto" w:sz="4" w:space="0"/>
              <w:tl2br w:val="nil"/>
              <w:tr2bl w:val="nil"/>
            </w:tcBorders>
            <w:noWrap/>
            <w:vAlign w:val="center"/>
          </w:tcPr>
          <w:p>
            <w:pPr>
              <w:widowControl/>
              <w:jc w:val="left"/>
              <w:rPr>
                <w:rFonts w:ascii="Arial" w:hAnsi="Arial" w:cs="Arial"/>
                <w:color w:val="auto"/>
                <w:kern w:val="0"/>
                <w:sz w:val="20"/>
                <w:highlight w:val="none"/>
              </w:rPr>
            </w:pPr>
            <w:r>
              <w:rPr>
                <w:rFonts w:hint="eastAsia" w:ascii="Arial" w:hAnsi="Arial" w:cs="Arial"/>
                <w:color w:val="auto"/>
                <w:kern w:val="0"/>
                <w:sz w:val="20"/>
                <w:highlight w:val="none"/>
              </w:rPr>
              <w:t>DataStage</w:t>
            </w:r>
          </w:p>
        </w:tc>
        <w:tc>
          <w:tcPr>
            <w:tcW w:w="1200" w:type="dxa"/>
            <w:tcBorders>
              <w:top w:val="nil"/>
              <w:left w:val="nil"/>
              <w:bottom w:val="single" w:color="auto" w:sz="4" w:space="0"/>
              <w:right w:val="single" w:color="auto" w:sz="4" w:space="0"/>
              <w:tl2br w:val="nil"/>
              <w:tr2bl w:val="nil"/>
            </w:tcBorders>
            <w:noWrap/>
            <w:vAlign w:val="center"/>
          </w:tcPr>
          <w:p>
            <w:pPr>
              <w:widowControl/>
              <w:jc w:val="left"/>
              <w:rPr>
                <w:rFonts w:ascii="Arial" w:hAnsi="Arial" w:cs="Arial"/>
                <w:color w:val="auto"/>
                <w:kern w:val="0"/>
                <w:sz w:val="20"/>
                <w:highlight w:val="none"/>
              </w:rPr>
            </w:pPr>
            <w:r>
              <w:rPr>
                <w:rFonts w:hint="eastAsia" w:ascii="Arial" w:hAnsi="Arial" w:cs="Arial"/>
                <w:color w:val="auto"/>
                <w:kern w:val="0"/>
                <w:sz w:val="20"/>
                <w:highlight w:val="none"/>
              </w:rPr>
              <w:t>E04NZLL</w:t>
            </w:r>
          </w:p>
        </w:tc>
        <w:tc>
          <w:tcPr>
            <w:tcW w:w="3210" w:type="dxa"/>
            <w:tcBorders>
              <w:top w:val="nil"/>
              <w:left w:val="nil"/>
              <w:bottom w:val="single" w:color="auto" w:sz="4" w:space="0"/>
              <w:right w:val="single" w:color="auto" w:sz="4" w:space="0"/>
              <w:tl2br w:val="nil"/>
              <w:tr2bl w:val="nil"/>
            </w:tcBorders>
            <w:noWrap/>
            <w:vAlign w:val="center"/>
          </w:tcPr>
          <w:p>
            <w:pPr>
              <w:widowControl/>
              <w:jc w:val="left"/>
              <w:rPr>
                <w:rFonts w:ascii="Arial" w:hAnsi="Arial" w:cs="Arial"/>
                <w:color w:val="auto"/>
                <w:kern w:val="0"/>
                <w:sz w:val="20"/>
                <w:highlight w:val="none"/>
              </w:rPr>
            </w:pPr>
            <w:r>
              <w:rPr>
                <w:rFonts w:hint="eastAsia" w:ascii="Arial" w:hAnsi="Arial" w:cs="Arial"/>
                <w:color w:val="auto"/>
                <w:kern w:val="0"/>
                <w:sz w:val="20"/>
                <w:highlight w:val="none"/>
              </w:rPr>
              <w:t>IBM InfoSphere DataStage and QualityStage Designer Concurrent User Annual SW Subscription &amp; Support Renewal</w:t>
            </w:r>
          </w:p>
        </w:tc>
        <w:tc>
          <w:tcPr>
            <w:tcW w:w="1051" w:type="dxa"/>
            <w:tcBorders>
              <w:top w:val="nil"/>
              <w:left w:val="nil"/>
              <w:bottom w:val="single" w:color="auto" w:sz="4" w:space="0"/>
              <w:right w:val="single" w:color="auto" w:sz="4" w:space="0"/>
              <w:tl2br w:val="nil"/>
              <w:tr2bl w:val="nil"/>
            </w:tcBorders>
            <w:noWrap/>
            <w:vAlign w:val="center"/>
          </w:tcPr>
          <w:p>
            <w:pPr>
              <w:widowControl/>
              <w:jc w:val="center"/>
              <w:rPr>
                <w:rFonts w:ascii="Arial" w:hAnsi="Arial" w:cs="Arial"/>
                <w:color w:val="auto"/>
                <w:kern w:val="0"/>
                <w:sz w:val="20"/>
                <w:highlight w:val="none"/>
              </w:rPr>
            </w:pPr>
            <w:r>
              <w:rPr>
                <w:rFonts w:hint="eastAsia" w:ascii="Arial" w:hAnsi="Arial" w:cs="Arial"/>
                <w:color w:val="auto"/>
                <w:kern w:val="0"/>
                <w:sz w:val="20"/>
                <w:highlight w:val="none"/>
              </w:rPr>
              <w:t>2024/1/1</w:t>
            </w:r>
          </w:p>
        </w:tc>
        <w:tc>
          <w:tcPr>
            <w:tcW w:w="1281" w:type="dxa"/>
            <w:tcBorders>
              <w:top w:val="nil"/>
              <w:left w:val="nil"/>
              <w:bottom w:val="single" w:color="auto" w:sz="4" w:space="0"/>
              <w:right w:val="single" w:color="auto" w:sz="4" w:space="0"/>
              <w:tl2br w:val="nil"/>
              <w:tr2bl w:val="nil"/>
            </w:tcBorders>
            <w:noWrap/>
            <w:vAlign w:val="center"/>
          </w:tcPr>
          <w:p>
            <w:pPr>
              <w:widowControl/>
              <w:jc w:val="center"/>
              <w:rPr>
                <w:rFonts w:ascii="Arial" w:hAnsi="Arial" w:cs="Arial"/>
                <w:color w:val="auto"/>
                <w:kern w:val="0"/>
                <w:sz w:val="20"/>
                <w:highlight w:val="none"/>
              </w:rPr>
            </w:pPr>
            <w:r>
              <w:rPr>
                <w:rFonts w:hint="eastAsia" w:ascii="Arial" w:hAnsi="Arial" w:cs="Arial"/>
                <w:color w:val="auto"/>
                <w:kern w:val="0"/>
                <w:sz w:val="20"/>
                <w:highlight w:val="none"/>
              </w:rPr>
              <w:t>2024/12/31</w:t>
            </w:r>
          </w:p>
        </w:tc>
        <w:tc>
          <w:tcPr>
            <w:tcW w:w="681" w:type="dxa"/>
            <w:tcBorders>
              <w:top w:val="nil"/>
              <w:left w:val="nil"/>
              <w:bottom w:val="single" w:color="auto" w:sz="4" w:space="0"/>
              <w:right w:val="single" w:color="auto" w:sz="4" w:space="0"/>
              <w:tl2br w:val="nil"/>
              <w:tr2bl w:val="nil"/>
            </w:tcBorders>
            <w:noWrap/>
            <w:vAlign w:val="center"/>
          </w:tcPr>
          <w:p>
            <w:pPr>
              <w:widowControl/>
              <w:jc w:val="center"/>
              <w:rPr>
                <w:rFonts w:ascii="Arial" w:hAnsi="Arial" w:cs="Arial"/>
                <w:color w:val="auto"/>
                <w:kern w:val="0"/>
                <w:sz w:val="20"/>
                <w:highlight w:val="none"/>
              </w:rPr>
            </w:pPr>
            <w:r>
              <w:rPr>
                <w:rFonts w:hint="eastAsia" w:ascii="Arial" w:hAnsi="Arial" w:cs="Arial"/>
                <w:color w:val="auto"/>
                <w:kern w:val="0"/>
                <w:sz w:val="20"/>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66" w:type="dxa"/>
            <w:tcBorders>
              <w:top w:val="nil"/>
              <w:left w:val="single" w:color="auto" w:sz="4" w:space="0"/>
              <w:bottom w:val="single" w:color="auto" w:sz="4" w:space="0"/>
              <w:right w:val="single" w:color="auto" w:sz="4" w:space="0"/>
              <w:tl2br w:val="nil"/>
              <w:tr2bl w:val="nil"/>
            </w:tcBorders>
            <w:noWrap/>
            <w:vAlign w:val="center"/>
          </w:tcPr>
          <w:p>
            <w:pPr>
              <w:widowControl/>
              <w:jc w:val="left"/>
              <w:rPr>
                <w:rFonts w:ascii="Arial" w:hAnsi="Arial" w:cs="Arial"/>
                <w:color w:val="auto"/>
                <w:kern w:val="0"/>
                <w:sz w:val="20"/>
                <w:highlight w:val="none"/>
              </w:rPr>
            </w:pPr>
            <w:r>
              <w:rPr>
                <w:rFonts w:hint="eastAsia" w:ascii="Arial" w:hAnsi="Arial" w:cs="Arial"/>
                <w:color w:val="auto"/>
                <w:kern w:val="0"/>
                <w:sz w:val="20"/>
                <w:highlight w:val="none"/>
              </w:rPr>
              <w:t>DataStage</w:t>
            </w:r>
          </w:p>
        </w:tc>
        <w:tc>
          <w:tcPr>
            <w:tcW w:w="1200" w:type="dxa"/>
            <w:tcBorders>
              <w:top w:val="nil"/>
              <w:left w:val="nil"/>
              <w:bottom w:val="single" w:color="auto" w:sz="4" w:space="0"/>
              <w:right w:val="single" w:color="auto" w:sz="4" w:space="0"/>
              <w:tl2br w:val="nil"/>
              <w:tr2bl w:val="nil"/>
            </w:tcBorders>
            <w:noWrap/>
            <w:vAlign w:val="center"/>
          </w:tcPr>
          <w:p>
            <w:pPr>
              <w:widowControl/>
              <w:jc w:val="left"/>
              <w:rPr>
                <w:rFonts w:ascii="Arial" w:hAnsi="Arial" w:cs="Arial"/>
                <w:color w:val="auto"/>
                <w:kern w:val="0"/>
                <w:sz w:val="20"/>
                <w:highlight w:val="none"/>
              </w:rPr>
            </w:pPr>
            <w:r>
              <w:rPr>
                <w:rFonts w:hint="eastAsia" w:ascii="Arial" w:hAnsi="Arial" w:cs="Arial"/>
                <w:color w:val="auto"/>
                <w:kern w:val="0"/>
                <w:sz w:val="20"/>
                <w:highlight w:val="none"/>
              </w:rPr>
              <w:t>E04PJLL</w:t>
            </w:r>
          </w:p>
        </w:tc>
        <w:tc>
          <w:tcPr>
            <w:tcW w:w="3210" w:type="dxa"/>
            <w:tcBorders>
              <w:top w:val="nil"/>
              <w:left w:val="nil"/>
              <w:bottom w:val="single" w:color="auto" w:sz="4" w:space="0"/>
              <w:right w:val="single" w:color="auto" w:sz="4" w:space="0"/>
              <w:tl2br w:val="nil"/>
              <w:tr2bl w:val="nil"/>
            </w:tcBorders>
            <w:noWrap/>
            <w:vAlign w:val="center"/>
          </w:tcPr>
          <w:p>
            <w:pPr>
              <w:widowControl/>
              <w:jc w:val="left"/>
              <w:rPr>
                <w:rFonts w:ascii="Arial" w:hAnsi="Arial" w:cs="Arial"/>
                <w:color w:val="auto"/>
                <w:kern w:val="0"/>
                <w:sz w:val="20"/>
                <w:highlight w:val="none"/>
              </w:rPr>
            </w:pPr>
            <w:r>
              <w:rPr>
                <w:rFonts w:hint="eastAsia" w:ascii="Arial" w:hAnsi="Arial" w:cs="Arial"/>
                <w:color w:val="auto"/>
                <w:kern w:val="0"/>
                <w:sz w:val="20"/>
                <w:highlight w:val="none"/>
              </w:rPr>
              <w:t>IBM InfoSphere DataStage Processor Value Unit (PVU) Annual SW Subscription &amp; Support Renewal</w:t>
            </w:r>
          </w:p>
        </w:tc>
        <w:tc>
          <w:tcPr>
            <w:tcW w:w="1051" w:type="dxa"/>
            <w:tcBorders>
              <w:top w:val="nil"/>
              <w:left w:val="nil"/>
              <w:bottom w:val="single" w:color="auto" w:sz="4" w:space="0"/>
              <w:right w:val="single" w:color="auto" w:sz="4" w:space="0"/>
              <w:tl2br w:val="nil"/>
              <w:tr2bl w:val="nil"/>
            </w:tcBorders>
            <w:noWrap/>
            <w:vAlign w:val="center"/>
          </w:tcPr>
          <w:p>
            <w:pPr>
              <w:widowControl/>
              <w:jc w:val="center"/>
              <w:rPr>
                <w:rFonts w:ascii="Arial" w:hAnsi="Arial" w:cs="Arial"/>
                <w:color w:val="auto"/>
                <w:kern w:val="0"/>
                <w:sz w:val="20"/>
                <w:highlight w:val="none"/>
              </w:rPr>
            </w:pPr>
            <w:r>
              <w:rPr>
                <w:rFonts w:hint="eastAsia" w:ascii="Arial" w:hAnsi="Arial" w:cs="Arial"/>
                <w:color w:val="auto"/>
                <w:kern w:val="0"/>
                <w:sz w:val="20"/>
                <w:highlight w:val="none"/>
              </w:rPr>
              <w:t>2024/1/1</w:t>
            </w:r>
          </w:p>
        </w:tc>
        <w:tc>
          <w:tcPr>
            <w:tcW w:w="1281" w:type="dxa"/>
            <w:tcBorders>
              <w:top w:val="nil"/>
              <w:left w:val="nil"/>
              <w:bottom w:val="single" w:color="auto" w:sz="4" w:space="0"/>
              <w:right w:val="single" w:color="auto" w:sz="4" w:space="0"/>
              <w:tl2br w:val="nil"/>
              <w:tr2bl w:val="nil"/>
            </w:tcBorders>
            <w:noWrap/>
            <w:vAlign w:val="center"/>
          </w:tcPr>
          <w:p>
            <w:pPr>
              <w:widowControl/>
              <w:jc w:val="center"/>
              <w:rPr>
                <w:rFonts w:ascii="Arial" w:hAnsi="Arial" w:cs="Arial"/>
                <w:color w:val="auto"/>
                <w:kern w:val="0"/>
                <w:sz w:val="20"/>
                <w:highlight w:val="none"/>
              </w:rPr>
            </w:pPr>
            <w:r>
              <w:rPr>
                <w:rFonts w:hint="eastAsia" w:ascii="Arial" w:hAnsi="Arial" w:cs="Arial"/>
                <w:color w:val="auto"/>
                <w:kern w:val="0"/>
                <w:sz w:val="20"/>
                <w:highlight w:val="none"/>
              </w:rPr>
              <w:t>2024/12/31</w:t>
            </w:r>
          </w:p>
        </w:tc>
        <w:tc>
          <w:tcPr>
            <w:tcW w:w="681" w:type="dxa"/>
            <w:tcBorders>
              <w:top w:val="nil"/>
              <w:left w:val="nil"/>
              <w:bottom w:val="single" w:color="auto" w:sz="4" w:space="0"/>
              <w:right w:val="single" w:color="auto" w:sz="4" w:space="0"/>
              <w:tl2br w:val="nil"/>
              <w:tr2bl w:val="nil"/>
            </w:tcBorders>
            <w:noWrap/>
            <w:vAlign w:val="center"/>
          </w:tcPr>
          <w:p>
            <w:pPr>
              <w:widowControl/>
              <w:jc w:val="center"/>
              <w:rPr>
                <w:rFonts w:ascii="Arial" w:hAnsi="Arial" w:cs="Arial"/>
                <w:color w:val="auto"/>
                <w:kern w:val="0"/>
                <w:sz w:val="20"/>
                <w:highlight w:val="none"/>
              </w:rPr>
            </w:pPr>
            <w:r>
              <w:rPr>
                <w:rFonts w:hint="eastAsia" w:ascii="Arial" w:hAnsi="Arial" w:cs="Arial"/>
                <w:color w:val="auto"/>
                <w:kern w:val="0"/>
                <w:sz w:val="20"/>
                <w:highlight w:val="none"/>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166" w:type="dxa"/>
            <w:tcBorders>
              <w:top w:val="nil"/>
              <w:left w:val="single" w:color="auto" w:sz="4" w:space="0"/>
              <w:bottom w:val="single" w:color="auto" w:sz="4" w:space="0"/>
              <w:right w:val="single" w:color="auto" w:sz="4" w:space="0"/>
              <w:tl2br w:val="nil"/>
              <w:tr2bl w:val="nil"/>
            </w:tcBorders>
            <w:noWrap/>
            <w:vAlign w:val="center"/>
          </w:tcPr>
          <w:p>
            <w:pPr>
              <w:widowControl/>
              <w:jc w:val="left"/>
              <w:rPr>
                <w:rFonts w:ascii="Arial" w:hAnsi="Arial" w:cs="Arial"/>
                <w:color w:val="auto"/>
                <w:kern w:val="0"/>
                <w:sz w:val="20"/>
                <w:highlight w:val="none"/>
              </w:rPr>
            </w:pPr>
            <w:r>
              <w:rPr>
                <w:rFonts w:hint="eastAsia" w:ascii="Arial" w:hAnsi="Arial" w:cs="Arial"/>
                <w:color w:val="auto"/>
                <w:kern w:val="0"/>
                <w:sz w:val="20"/>
                <w:highlight w:val="none"/>
              </w:rPr>
              <w:t>MQ</w:t>
            </w:r>
          </w:p>
        </w:tc>
        <w:tc>
          <w:tcPr>
            <w:tcW w:w="1200" w:type="dxa"/>
            <w:tcBorders>
              <w:top w:val="nil"/>
              <w:left w:val="nil"/>
              <w:bottom w:val="single" w:color="auto" w:sz="4" w:space="0"/>
              <w:right w:val="single" w:color="auto" w:sz="4" w:space="0"/>
              <w:tl2br w:val="nil"/>
              <w:tr2bl w:val="nil"/>
            </w:tcBorders>
            <w:noWrap/>
            <w:vAlign w:val="center"/>
          </w:tcPr>
          <w:p>
            <w:pPr>
              <w:widowControl/>
              <w:jc w:val="left"/>
              <w:rPr>
                <w:rFonts w:ascii="Arial" w:hAnsi="Arial" w:cs="Arial"/>
                <w:color w:val="auto"/>
                <w:kern w:val="0"/>
                <w:sz w:val="20"/>
                <w:highlight w:val="none"/>
              </w:rPr>
            </w:pPr>
            <w:r>
              <w:rPr>
                <w:rFonts w:hint="eastAsia" w:ascii="Arial" w:hAnsi="Arial" w:cs="Arial"/>
                <w:color w:val="auto"/>
                <w:kern w:val="0"/>
                <w:sz w:val="20"/>
                <w:highlight w:val="none"/>
              </w:rPr>
              <w:t>E0256LL</w:t>
            </w:r>
          </w:p>
        </w:tc>
        <w:tc>
          <w:tcPr>
            <w:tcW w:w="3210" w:type="dxa"/>
            <w:tcBorders>
              <w:top w:val="nil"/>
              <w:left w:val="nil"/>
              <w:bottom w:val="single" w:color="auto" w:sz="4" w:space="0"/>
              <w:right w:val="single" w:color="auto" w:sz="4" w:space="0"/>
              <w:tl2br w:val="nil"/>
              <w:tr2bl w:val="nil"/>
            </w:tcBorders>
            <w:noWrap/>
            <w:vAlign w:val="center"/>
          </w:tcPr>
          <w:p>
            <w:pPr>
              <w:widowControl/>
              <w:jc w:val="left"/>
              <w:rPr>
                <w:rFonts w:ascii="Arial" w:hAnsi="Arial" w:cs="Arial"/>
                <w:color w:val="auto"/>
                <w:kern w:val="0"/>
                <w:sz w:val="20"/>
                <w:highlight w:val="none"/>
              </w:rPr>
            </w:pPr>
            <w:r>
              <w:rPr>
                <w:rFonts w:hint="eastAsia" w:ascii="Arial" w:hAnsi="Arial" w:cs="Arial"/>
                <w:color w:val="auto"/>
                <w:kern w:val="0"/>
                <w:sz w:val="20"/>
                <w:highlight w:val="none"/>
              </w:rPr>
              <w:t>IBM MQ Processor Value Unit (PVU) Annual SW Subscription &amp; Support Renewal</w:t>
            </w:r>
          </w:p>
        </w:tc>
        <w:tc>
          <w:tcPr>
            <w:tcW w:w="1051" w:type="dxa"/>
            <w:tcBorders>
              <w:top w:val="nil"/>
              <w:left w:val="nil"/>
              <w:bottom w:val="single" w:color="auto" w:sz="4" w:space="0"/>
              <w:right w:val="single" w:color="auto" w:sz="4" w:space="0"/>
              <w:tl2br w:val="nil"/>
              <w:tr2bl w:val="nil"/>
            </w:tcBorders>
            <w:noWrap/>
            <w:vAlign w:val="center"/>
          </w:tcPr>
          <w:p>
            <w:pPr>
              <w:widowControl/>
              <w:jc w:val="center"/>
              <w:rPr>
                <w:rFonts w:ascii="Arial" w:hAnsi="Arial" w:cs="Arial"/>
                <w:color w:val="auto"/>
                <w:kern w:val="0"/>
                <w:sz w:val="20"/>
                <w:highlight w:val="none"/>
              </w:rPr>
            </w:pPr>
            <w:r>
              <w:rPr>
                <w:rFonts w:hint="eastAsia" w:ascii="Arial" w:hAnsi="Arial" w:cs="Arial"/>
                <w:color w:val="auto"/>
                <w:kern w:val="0"/>
                <w:sz w:val="20"/>
                <w:highlight w:val="none"/>
              </w:rPr>
              <w:t>2024/1/1</w:t>
            </w:r>
          </w:p>
        </w:tc>
        <w:tc>
          <w:tcPr>
            <w:tcW w:w="1281" w:type="dxa"/>
            <w:tcBorders>
              <w:top w:val="nil"/>
              <w:left w:val="single" w:color="auto" w:sz="4" w:space="0"/>
              <w:bottom w:val="single" w:color="auto" w:sz="4" w:space="0"/>
              <w:right w:val="single" w:color="auto" w:sz="4" w:space="0"/>
              <w:tl2br w:val="nil"/>
              <w:tr2bl w:val="nil"/>
            </w:tcBorders>
            <w:noWrap/>
            <w:vAlign w:val="center"/>
          </w:tcPr>
          <w:p>
            <w:pPr>
              <w:widowControl/>
              <w:jc w:val="center"/>
              <w:rPr>
                <w:rFonts w:ascii="Arial" w:hAnsi="Arial" w:cs="Arial"/>
                <w:color w:val="auto"/>
                <w:kern w:val="0"/>
                <w:sz w:val="20"/>
                <w:highlight w:val="none"/>
              </w:rPr>
            </w:pPr>
            <w:r>
              <w:rPr>
                <w:rFonts w:hint="eastAsia" w:ascii="Arial" w:hAnsi="Arial" w:cs="Arial"/>
                <w:color w:val="auto"/>
                <w:kern w:val="0"/>
                <w:sz w:val="20"/>
                <w:highlight w:val="none"/>
              </w:rPr>
              <w:t>2024/12/31</w:t>
            </w:r>
          </w:p>
        </w:tc>
        <w:tc>
          <w:tcPr>
            <w:tcW w:w="681" w:type="dxa"/>
            <w:tcBorders>
              <w:top w:val="nil"/>
              <w:left w:val="nil"/>
              <w:bottom w:val="single" w:color="auto" w:sz="4" w:space="0"/>
              <w:right w:val="single" w:color="auto" w:sz="4" w:space="0"/>
              <w:tl2br w:val="nil"/>
              <w:tr2bl w:val="nil"/>
            </w:tcBorders>
            <w:noWrap/>
            <w:vAlign w:val="center"/>
          </w:tcPr>
          <w:p>
            <w:pPr>
              <w:widowControl/>
              <w:jc w:val="center"/>
              <w:rPr>
                <w:rFonts w:ascii="Arial" w:hAnsi="Arial" w:cs="Arial"/>
                <w:color w:val="auto"/>
                <w:kern w:val="0"/>
                <w:sz w:val="20"/>
                <w:highlight w:val="none"/>
              </w:rPr>
            </w:pPr>
            <w:r>
              <w:rPr>
                <w:rFonts w:hint="eastAsia" w:ascii="Arial" w:hAnsi="Arial" w:cs="Arial"/>
                <w:color w:val="auto"/>
                <w:kern w:val="0"/>
                <w:sz w:val="20"/>
                <w:highlight w:val="none"/>
              </w:rPr>
              <w:t>200</w:t>
            </w:r>
          </w:p>
        </w:tc>
      </w:tr>
    </w:tbl>
    <w:p>
      <w:pPr>
        <w:pStyle w:val="32"/>
        <w:numPr>
          <w:ilvl w:val="0"/>
          <w:numId w:val="2"/>
        </w:numPr>
        <w:spacing w:line="360" w:lineRule="auto"/>
        <w:ind w:firstLineChars="0"/>
        <w:rPr>
          <w:rFonts w:ascii="宋体" w:cs="宋体"/>
          <w:color w:val="auto"/>
          <w:sz w:val="24"/>
          <w:szCs w:val="24"/>
          <w:highlight w:val="none"/>
        </w:rPr>
      </w:pPr>
      <w:r>
        <w:rPr>
          <w:rFonts w:hint="eastAsia" w:ascii="宋体" w:cs="宋体"/>
          <w:color w:val="auto"/>
          <w:sz w:val="24"/>
          <w:szCs w:val="24"/>
          <w:highlight w:val="none"/>
        </w:rPr>
        <w:t>维保内容</w:t>
      </w:r>
    </w:p>
    <w:p>
      <w:pPr>
        <w:adjustRightInd w:val="0"/>
        <w:snapToGrid w:val="0"/>
        <w:spacing w:line="360" w:lineRule="auto"/>
        <w:ind w:firstLine="480" w:firstLineChars="200"/>
        <w:rPr>
          <w:rFonts w:ascii="宋体" w:cs="仿宋"/>
          <w:bCs/>
          <w:color w:val="auto"/>
          <w:sz w:val="24"/>
          <w:szCs w:val="24"/>
          <w:highlight w:val="none"/>
        </w:rPr>
      </w:pPr>
      <w:r>
        <w:rPr>
          <w:rFonts w:ascii="宋体" w:cs="仿宋"/>
          <w:bCs/>
          <w:color w:val="auto"/>
          <w:sz w:val="24"/>
          <w:szCs w:val="24"/>
          <w:highlight w:val="none"/>
        </w:rPr>
        <w:t>2.1</w:t>
      </w:r>
      <w:r>
        <w:rPr>
          <w:rFonts w:hint="eastAsia" w:ascii="宋体" w:cs="仿宋"/>
          <w:bCs/>
          <w:color w:val="auto"/>
          <w:sz w:val="24"/>
          <w:szCs w:val="24"/>
          <w:highlight w:val="none"/>
        </w:rPr>
        <w:t>升级：</w:t>
      </w:r>
    </w:p>
    <w:p>
      <w:pPr>
        <w:adjustRightInd w:val="0"/>
        <w:snapToGrid w:val="0"/>
        <w:spacing w:line="360" w:lineRule="auto"/>
        <w:ind w:firstLine="480" w:firstLineChars="200"/>
        <w:rPr>
          <w:rFonts w:ascii="宋体" w:cs="仿宋"/>
          <w:bCs/>
          <w:color w:val="auto"/>
          <w:sz w:val="24"/>
          <w:szCs w:val="24"/>
          <w:highlight w:val="none"/>
        </w:rPr>
      </w:pPr>
      <w:r>
        <w:rPr>
          <w:rFonts w:hint="eastAsia" w:ascii="宋体" w:cs="仿宋"/>
          <w:bCs/>
          <w:color w:val="auto"/>
          <w:sz w:val="24"/>
          <w:szCs w:val="24"/>
          <w:highlight w:val="none"/>
        </w:rPr>
        <w:t>软件升级和支持（“S&amp;S”）服务有效期内，IBM软件只要新版本的发布，IBM 会向客户提供并授权客户使用市场可获得的最新版本、发行版本或更新版本。</w:t>
      </w:r>
      <w:r>
        <w:rPr>
          <w:rFonts w:hint="eastAsia" w:ascii="宋体" w:cs="仿宋"/>
          <w:bCs/>
          <w:color w:val="auto"/>
          <w:sz w:val="24"/>
          <w:szCs w:val="24"/>
          <w:highlight w:val="none"/>
        </w:rPr>
        <w:br w:type="textWrapping"/>
      </w:r>
      <w:r>
        <w:rPr>
          <w:rFonts w:hint="eastAsia" w:ascii="宋体" w:cs="仿宋"/>
          <w:bCs/>
          <w:color w:val="auto"/>
          <w:sz w:val="24"/>
          <w:szCs w:val="24"/>
          <w:highlight w:val="none"/>
        </w:rPr>
        <w:t xml:space="preserve">   </w:t>
      </w:r>
      <w:r>
        <w:rPr>
          <w:rFonts w:ascii="宋体" w:cs="仿宋"/>
          <w:bCs/>
          <w:color w:val="auto"/>
          <w:sz w:val="24"/>
          <w:szCs w:val="24"/>
          <w:highlight w:val="none"/>
        </w:rPr>
        <w:t xml:space="preserve"> 2.2</w:t>
      </w:r>
      <w:r>
        <w:rPr>
          <w:rFonts w:hint="eastAsia" w:ascii="宋体" w:cs="仿宋"/>
          <w:bCs/>
          <w:color w:val="auto"/>
          <w:sz w:val="24"/>
          <w:szCs w:val="24"/>
          <w:highlight w:val="none"/>
        </w:rPr>
        <w:t>补丁和介质的下载</w:t>
      </w:r>
    </w:p>
    <w:p>
      <w:pPr>
        <w:adjustRightInd w:val="0"/>
        <w:snapToGrid w:val="0"/>
        <w:spacing w:line="360" w:lineRule="auto"/>
        <w:ind w:firstLine="480" w:firstLineChars="200"/>
        <w:rPr>
          <w:rFonts w:ascii="宋体" w:cs="仿宋"/>
          <w:bCs/>
          <w:color w:val="auto"/>
          <w:sz w:val="24"/>
          <w:szCs w:val="24"/>
          <w:highlight w:val="none"/>
        </w:rPr>
      </w:pPr>
      <w:r>
        <w:rPr>
          <w:rFonts w:hint="eastAsia" w:ascii="宋体" w:cs="仿宋"/>
          <w:bCs/>
          <w:color w:val="auto"/>
          <w:sz w:val="24"/>
          <w:szCs w:val="24"/>
          <w:highlight w:val="none"/>
        </w:rPr>
        <w:t>PA 软件许可授权有效期内，可以到PAO网站</w:t>
      </w:r>
      <w:r>
        <w:rPr>
          <w:rFonts w:hint="eastAsia" w:ascii="宋体" w:cs="仿宋"/>
          <w:bCs/>
          <w:color w:val="auto"/>
          <w:sz w:val="24"/>
          <w:szCs w:val="24"/>
          <w:highlight w:val="none"/>
          <w:lang w:val="en-US" w:eastAsia="zh-CN"/>
        </w:rPr>
        <w:t>下</w:t>
      </w:r>
      <w:r>
        <w:rPr>
          <w:rFonts w:hint="eastAsia" w:ascii="宋体" w:cs="仿宋"/>
          <w:bCs/>
          <w:color w:val="auto"/>
          <w:sz w:val="24"/>
          <w:szCs w:val="24"/>
          <w:highlight w:val="none"/>
        </w:rPr>
        <w:t>载产品补丁包和介质。</w:t>
      </w:r>
    </w:p>
    <w:p>
      <w:pPr>
        <w:adjustRightInd w:val="0"/>
        <w:snapToGrid w:val="0"/>
        <w:spacing w:line="360" w:lineRule="auto"/>
        <w:ind w:firstLine="480" w:firstLineChars="200"/>
        <w:rPr>
          <w:rFonts w:ascii="宋体" w:cs="仿宋"/>
          <w:bCs/>
          <w:color w:val="auto"/>
          <w:sz w:val="24"/>
          <w:szCs w:val="24"/>
          <w:highlight w:val="none"/>
        </w:rPr>
      </w:pPr>
      <w:r>
        <w:rPr>
          <w:rFonts w:ascii="宋体" w:cs="仿宋"/>
          <w:bCs/>
          <w:color w:val="auto"/>
          <w:sz w:val="24"/>
          <w:szCs w:val="24"/>
          <w:highlight w:val="none"/>
        </w:rPr>
        <w:t xml:space="preserve">2.3 </w:t>
      </w:r>
      <w:r>
        <w:rPr>
          <w:rFonts w:hint="eastAsia" w:ascii="宋体" w:cs="仿宋"/>
          <w:bCs/>
          <w:color w:val="auto"/>
          <w:sz w:val="24"/>
          <w:szCs w:val="24"/>
          <w:highlight w:val="none"/>
        </w:rPr>
        <w:t>客户的 IT 组织内任何人，经授权均可访问 IBM PAO(Passport Advantage Online)网站。</w:t>
      </w:r>
    </w:p>
    <w:p>
      <w:pPr>
        <w:adjustRightInd w:val="0"/>
        <w:snapToGrid w:val="0"/>
        <w:spacing w:line="360" w:lineRule="auto"/>
        <w:ind w:firstLine="480" w:firstLineChars="200"/>
        <w:rPr>
          <w:rFonts w:ascii="宋体" w:cs="仿宋"/>
          <w:bCs/>
          <w:color w:val="auto"/>
          <w:sz w:val="24"/>
          <w:szCs w:val="24"/>
          <w:highlight w:val="none"/>
        </w:rPr>
      </w:pPr>
      <w:r>
        <w:rPr>
          <w:rFonts w:hint="eastAsia" w:ascii="宋体" w:cs="仿宋"/>
          <w:bCs/>
          <w:color w:val="auto"/>
          <w:sz w:val="24"/>
          <w:szCs w:val="24"/>
          <w:highlight w:val="none"/>
        </w:rPr>
        <w:t>客户可以进行注册、软件下载和介质访问、购买与续约、报告功能、权利、账户管理、参考等。</w:t>
      </w:r>
    </w:p>
    <w:p>
      <w:pPr>
        <w:adjustRightInd w:val="0"/>
        <w:snapToGrid w:val="0"/>
        <w:spacing w:line="360" w:lineRule="auto"/>
        <w:ind w:firstLine="480" w:firstLineChars="200"/>
        <w:rPr>
          <w:rFonts w:ascii="宋体" w:cs="仿宋"/>
          <w:bCs/>
          <w:color w:val="auto"/>
          <w:sz w:val="24"/>
          <w:szCs w:val="24"/>
          <w:highlight w:val="none"/>
        </w:rPr>
      </w:pPr>
      <w:r>
        <w:rPr>
          <w:rFonts w:hint="eastAsia" w:ascii="宋体" w:cs="仿宋"/>
          <w:bCs/>
          <w:color w:val="auto"/>
          <w:sz w:val="24"/>
          <w:szCs w:val="24"/>
          <w:highlight w:val="none"/>
        </w:rPr>
        <w:t>PAO网址</w:t>
      </w:r>
    </w:p>
    <w:p>
      <w:pPr>
        <w:adjustRightInd w:val="0"/>
        <w:snapToGrid w:val="0"/>
        <w:spacing w:line="360" w:lineRule="auto"/>
        <w:ind w:firstLine="480" w:firstLineChars="200"/>
        <w:rPr>
          <w:rFonts w:ascii="宋体" w:cs="仿宋"/>
          <w:bCs/>
          <w:color w:val="auto"/>
          <w:sz w:val="24"/>
          <w:szCs w:val="24"/>
          <w:highlight w:val="none"/>
        </w:rPr>
      </w:pPr>
      <w:r>
        <w:rPr>
          <w:rFonts w:hint="eastAsia" w:ascii="宋体" w:cs="仿宋"/>
          <w:bCs/>
          <w:color w:val="auto"/>
          <w:sz w:val="24"/>
          <w:szCs w:val="24"/>
          <w:highlight w:val="none"/>
        </w:rPr>
        <w:fldChar w:fldCharType="begin"/>
      </w:r>
      <w:r>
        <w:rPr>
          <w:color w:val="auto"/>
          <w:highlight w:val="none"/>
        </w:rPr>
        <w:instrText xml:space="preserve">HYPERLINK "http://www-01.ibm.com/software/cn/passportadvantage/pacustomers.html"</w:instrText>
      </w:r>
      <w:r>
        <w:rPr>
          <w:rFonts w:hint="eastAsia" w:ascii="宋体" w:cs="仿宋"/>
          <w:bCs/>
          <w:color w:val="auto"/>
          <w:sz w:val="24"/>
          <w:szCs w:val="24"/>
          <w:highlight w:val="none"/>
        </w:rPr>
        <w:fldChar w:fldCharType="separate"/>
      </w:r>
      <w:r>
        <w:rPr>
          <w:rFonts w:hint="eastAsia" w:ascii="宋体" w:cs="仿宋"/>
          <w:bCs/>
          <w:color w:val="auto"/>
          <w:sz w:val="24"/>
          <w:szCs w:val="24"/>
          <w:highlight w:val="none"/>
        </w:rPr>
        <w:t>http://www-01.ibm.com/software/cn/passportadvantage/pacustomers.html</w:t>
      </w:r>
      <w:r>
        <w:rPr>
          <w:rFonts w:hint="eastAsia" w:ascii="宋体" w:cs="仿宋"/>
          <w:bCs/>
          <w:color w:val="auto"/>
          <w:sz w:val="24"/>
          <w:szCs w:val="24"/>
          <w:highlight w:val="none"/>
        </w:rPr>
        <w:fldChar w:fldCharType="end"/>
      </w:r>
    </w:p>
    <w:p>
      <w:pPr>
        <w:adjustRightInd w:val="0"/>
        <w:snapToGrid w:val="0"/>
        <w:spacing w:line="360" w:lineRule="auto"/>
        <w:ind w:firstLine="480" w:firstLineChars="200"/>
        <w:rPr>
          <w:rFonts w:ascii="宋体" w:cs="仿宋"/>
          <w:bCs/>
          <w:color w:val="auto"/>
          <w:sz w:val="24"/>
          <w:szCs w:val="24"/>
          <w:highlight w:val="none"/>
        </w:rPr>
      </w:pPr>
      <w:r>
        <w:rPr>
          <w:rFonts w:hint="eastAsia" w:ascii="宋体" w:cs="仿宋"/>
          <w:bCs/>
          <w:color w:val="auto"/>
          <w:sz w:val="24"/>
          <w:szCs w:val="24"/>
          <w:highlight w:val="none"/>
        </w:rPr>
        <w:t>2.4 时刻在线的电子化支持(互联网/电子邮件)</w:t>
      </w:r>
    </w:p>
    <w:p>
      <w:pPr>
        <w:adjustRightInd w:val="0"/>
        <w:snapToGrid w:val="0"/>
        <w:spacing w:line="360" w:lineRule="auto"/>
        <w:ind w:firstLine="480" w:firstLineChars="200"/>
        <w:rPr>
          <w:rFonts w:ascii="宋体" w:cs="仿宋"/>
          <w:bCs/>
          <w:color w:val="auto"/>
          <w:sz w:val="24"/>
          <w:szCs w:val="24"/>
          <w:highlight w:val="none"/>
        </w:rPr>
      </w:pPr>
      <w:r>
        <w:rPr>
          <w:rFonts w:hint="eastAsia" w:ascii="宋体" w:cs="仿宋"/>
          <w:bCs/>
          <w:color w:val="auto"/>
          <w:sz w:val="24"/>
          <w:szCs w:val="24"/>
          <w:highlight w:val="none"/>
        </w:rPr>
        <w:t>IBM 电子服务请求，电子化方式每周7 天每天24 小时的基于互联网的在线提交服务请求，IBM支持社区网址：</w:t>
      </w:r>
      <w:r>
        <w:rPr>
          <w:rFonts w:hint="eastAsia" w:ascii="宋体" w:cs="仿宋"/>
          <w:bCs/>
          <w:color w:val="auto"/>
          <w:sz w:val="24"/>
          <w:szCs w:val="24"/>
          <w:highlight w:val="none"/>
        </w:rPr>
        <w:fldChar w:fldCharType="begin"/>
      </w:r>
      <w:r>
        <w:rPr>
          <w:color w:val="auto"/>
          <w:highlight w:val="none"/>
        </w:rPr>
        <w:instrText xml:space="preserve">HYPERLINK "https://www.ibm.com/mysupport/s/"</w:instrText>
      </w:r>
      <w:r>
        <w:rPr>
          <w:rFonts w:hint="eastAsia" w:ascii="宋体" w:cs="仿宋"/>
          <w:bCs/>
          <w:color w:val="auto"/>
          <w:sz w:val="24"/>
          <w:szCs w:val="24"/>
          <w:highlight w:val="none"/>
        </w:rPr>
        <w:fldChar w:fldCharType="separate"/>
      </w:r>
      <w:r>
        <w:rPr>
          <w:rFonts w:hint="eastAsia" w:ascii="宋体" w:cs="仿宋"/>
          <w:bCs/>
          <w:color w:val="auto"/>
          <w:sz w:val="24"/>
          <w:szCs w:val="24"/>
          <w:highlight w:val="none"/>
        </w:rPr>
        <w:t>https://www.ibm.com/mysupport/s/</w:t>
      </w:r>
      <w:r>
        <w:rPr>
          <w:rFonts w:hint="eastAsia" w:ascii="宋体" w:cs="仿宋"/>
          <w:bCs/>
          <w:color w:val="auto"/>
          <w:sz w:val="24"/>
          <w:szCs w:val="24"/>
          <w:highlight w:val="none"/>
        </w:rPr>
        <w:fldChar w:fldCharType="end"/>
      </w:r>
    </w:p>
    <w:p>
      <w:pPr>
        <w:adjustRightInd w:val="0"/>
        <w:snapToGrid w:val="0"/>
        <w:spacing w:line="360" w:lineRule="auto"/>
        <w:ind w:firstLine="480" w:firstLineChars="200"/>
        <w:rPr>
          <w:rFonts w:ascii="宋体" w:cs="仿宋"/>
          <w:bCs/>
          <w:color w:val="auto"/>
          <w:sz w:val="24"/>
          <w:szCs w:val="24"/>
          <w:highlight w:val="none"/>
        </w:rPr>
      </w:pPr>
      <w:r>
        <w:rPr>
          <w:rFonts w:hint="eastAsia" w:ascii="宋体" w:cs="仿宋"/>
          <w:bCs/>
          <w:color w:val="auto"/>
          <w:sz w:val="24"/>
          <w:szCs w:val="24"/>
          <w:highlight w:val="none"/>
        </w:rPr>
        <w:t>移动平台获取IBM软件技术信息，微信官方账号：“IBM软件技术支持”。</w:t>
      </w:r>
    </w:p>
    <w:p>
      <w:pPr>
        <w:adjustRightInd w:val="0"/>
        <w:snapToGrid w:val="0"/>
        <w:spacing w:line="360" w:lineRule="auto"/>
        <w:ind w:firstLine="480" w:firstLineChars="200"/>
        <w:rPr>
          <w:rFonts w:ascii="宋体" w:cs="仿宋"/>
          <w:bCs/>
          <w:color w:val="auto"/>
          <w:sz w:val="24"/>
          <w:szCs w:val="24"/>
          <w:highlight w:val="none"/>
        </w:rPr>
      </w:pPr>
      <w:r>
        <w:rPr>
          <w:rFonts w:hint="eastAsia" w:ascii="宋体" w:cs="仿宋"/>
          <w:bCs/>
          <w:color w:val="auto"/>
          <w:sz w:val="24"/>
          <w:szCs w:val="24"/>
          <w:highlight w:val="none"/>
        </w:rPr>
        <w:t>2.5 提供5×8 小时及7×24 小时(仅限“严重程度一”的问题)远程电话支持</w:t>
      </w:r>
    </w:p>
    <w:p>
      <w:pPr>
        <w:adjustRightInd w:val="0"/>
        <w:snapToGrid w:val="0"/>
        <w:spacing w:line="360" w:lineRule="auto"/>
        <w:ind w:firstLine="480" w:firstLineChars="200"/>
        <w:rPr>
          <w:rFonts w:ascii="宋体" w:cs="仿宋"/>
          <w:bCs/>
          <w:color w:val="auto"/>
          <w:sz w:val="24"/>
          <w:szCs w:val="24"/>
          <w:highlight w:val="none"/>
        </w:rPr>
      </w:pPr>
      <w:r>
        <w:rPr>
          <w:rFonts w:hint="eastAsia" w:ascii="宋体" w:cs="仿宋"/>
          <w:bCs/>
          <w:color w:val="auto"/>
          <w:sz w:val="24"/>
          <w:szCs w:val="24"/>
          <w:highlight w:val="none"/>
        </w:rPr>
        <w:t>工作时间内(上午8:30到下午17:00)，对于客户报告的技术问题，工程师会及时回复，若所有工程师都在占线状态，将在收到客户电话后两小时内由工程师予以回复。</w:t>
      </w:r>
    </w:p>
    <w:p>
      <w:pPr>
        <w:adjustRightInd w:val="0"/>
        <w:snapToGrid w:val="0"/>
        <w:spacing w:line="360" w:lineRule="auto"/>
        <w:ind w:firstLine="480" w:firstLineChars="200"/>
        <w:rPr>
          <w:rFonts w:ascii="宋体" w:cs="仿宋"/>
          <w:bCs/>
          <w:color w:val="auto"/>
          <w:sz w:val="24"/>
          <w:szCs w:val="24"/>
          <w:highlight w:val="none"/>
        </w:rPr>
      </w:pPr>
      <w:r>
        <w:rPr>
          <w:rFonts w:hint="eastAsia" w:ascii="宋体" w:cs="仿宋"/>
          <w:bCs/>
          <w:color w:val="auto"/>
          <w:sz w:val="24"/>
          <w:szCs w:val="24"/>
          <w:highlight w:val="none"/>
        </w:rPr>
        <w:t>非工作时间内，对客户报告的“严重程度一”的技术问题提供7×24小时远程电话支持，工程师将在收到客户电话后两小时内予以回复。</w:t>
      </w:r>
    </w:p>
    <w:p>
      <w:pPr>
        <w:adjustRightInd w:val="0"/>
        <w:snapToGrid w:val="0"/>
        <w:spacing w:line="360" w:lineRule="auto"/>
        <w:ind w:firstLine="480" w:firstLineChars="200"/>
        <w:rPr>
          <w:rFonts w:ascii="宋体" w:cs="仿宋"/>
          <w:bCs/>
          <w:color w:val="auto"/>
          <w:sz w:val="24"/>
          <w:szCs w:val="24"/>
          <w:highlight w:val="none"/>
        </w:rPr>
      </w:pPr>
      <w:r>
        <w:rPr>
          <w:rFonts w:hint="eastAsia" w:ascii="宋体" w:cs="仿宋"/>
          <w:bCs/>
          <w:color w:val="auto"/>
          <w:sz w:val="24"/>
          <w:szCs w:val="24"/>
          <w:highlight w:val="none"/>
        </w:rPr>
        <w:t>2.6 案例严重程度级别的定义</w:t>
      </w:r>
    </w:p>
    <w:p>
      <w:pPr>
        <w:adjustRightInd w:val="0"/>
        <w:snapToGrid w:val="0"/>
        <w:spacing w:line="360" w:lineRule="auto"/>
        <w:ind w:firstLine="480" w:firstLineChars="200"/>
        <w:rPr>
          <w:rFonts w:ascii="宋体" w:cs="仿宋"/>
          <w:bCs/>
          <w:color w:val="auto"/>
          <w:sz w:val="24"/>
          <w:szCs w:val="24"/>
          <w:highlight w:val="none"/>
        </w:rPr>
      </w:pPr>
      <w:r>
        <w:rPr>
          <w:rFonts w:hint="eastAsia" w:ascii="宋体" w:cs="仿宋"/>
          <w:bCs/>
          <w:color w:val="auto"/>
          <w:sz w:val="24"/>
          <w:szCs w:val="24"/>
          <w:highlight w:val="none"/>
        </w:rPr>
        <w:t>严重程度一</w:t>
      </w:r>
    </w:p>
    <w:p>
      <w:pPr>
        <w:adjustRightInd w:val="0"/>
        <w:snapToGrid w:val="0"/>
        <w:spacing w:line="360" w:lineRule="auto"/>
        <w:ind w:firstLine="480" w:firstLineChars="200"/>
        <w:rPr>
          <w:rFonts w:ascii="宋体" w:cs="仿宋"/>
          <w:bCs/>
          <w:color w:val="auto"/>
          <w:sz w:val="24"/>
          <w:szCs w:val="24"/>
          <w:highlight w:val="none"/>
        </w:rPr>
      </w:pPr>
      <w:r>
        <w:rPr>
          <w:rFonts w:hint="eastAsia" w:ascii="宋体" w:cs="仿宋"/>
          <w:bCs/>
          <w:color w:val="auto"/>
          <w:sz w:val="24"/>
          <w:szCs w:val="24"/>
          <w:highlight w:val="none"/>
        </w:rPr>
        <w:t>系统崩溃、无法启动或拒绝连接等原因导致客户无法获得任何系统服务，并对客户生产系统业务的正常运行造成重大影响。例如：数据库服务器宕机，系统宕机并影响了所有用户。</w:t>
      </w:r>
    </w:p>
    <w:p>
      <w:pPr>
        <w:adjustRightInd w:val="0"/>
        <w:snapToGrid w:val="0"/>
        <w:spacing w:line="360" w:lineRule="auto"/>
        <w:ind w:firstLine="480" w:firstLineChars="200"/>
        <w:rPr>
          <w:rFonts w:ascii="宋体" w:cs="仿宋"/>
          <w:bCs/>
          <w:color w:val="auto"/>
          <w:sz w:val="24"/>
          <w:szCs w:val="24"/>
          <w:highlight w:val="none"/>
        </w:rPr>
      </w:pPr>
      <w:r>
        <w:rPr>
          <w:rFonts w:hint="eastAsia" w:ascii="宋体" w:cs="仿宋"/>
          <w:bCs/>
          <w:color w:val="auto"/>
          <w:sz w:val="24"/>
          <w:szCs w:val="24"/>
          <w:highlight w:val="none"/>
        </w:rPr>
        <w:t>严重程度二</w:t>
      </w:r>
    </w:p>
    <w:p>
      <w:pPr>
        <w:adjustRightInd w:val="0"/>
        <w:snapToGrid w:val="0"/>
        <w:spacing w:line="360" w:lineRule="auto"/>
        <w:ind w:firstLine="480" w:firstLineChars="200"/>
        <w:rPr>
          <w:rFonts w:ascii="宋体" w:cs="仿宋"/>
          <w:bCs/>
          <w:color w:val="auto"/>
          <w:sz w:val="24"/>
          <w:szCs w:val="24"/>
          <w:highlight w:val="none"/>
        </w:rPr>
      </w:pPr>
      <w:r>
        <w:rPr>
          <w:rFonts w:hint="eastAsia" w:ascii="宋体" w:cs="仿宋"/>
          <w:bCs/>
          <w:color w:val="auto"/>
          <w:sz w:val="24"/>
          <w:szCs w:val="24"/>
          <w:highlight w:val="none"/>
        </w:rPr>
        <w:t>系统主要功能不能正常工作，并对客户业务的正常运行造成较大影响:生产系统不稳定，并有周期性中断。例如：生产系统部分应用出现间断性错误，需要查明原因。</w:t>
      </w:r>
    </w:p>
    <w:p>
      <w:pPr>
        <w:adjustRightInd w:val="0"/>
        <w:snapToGrid w:val="0"/>
        <w:spacing w:line="360" w:lineRule="auto"/>
        <w:ind w:firstLine="480" w:firstLineChars="200"/>
        <w:rPr>
          <w:rFonts w:ascii="宋体" w:cs="仿宋"/>
          <w:bCs/>
          <w:color w:val="auto"/>
          <w:sz w:val="24"/>
          <w:szCs w:val="24"/>
          <w:highlight w:val="none"/>
        </w:rPr>
      </w:pPr>
      <w:r>
        <w:rPr>
          <w:rFonts w:hint="eastAsia" w:ascii="宋体" w:cs="仿宋"/>
          <w:bCs/>
          <w:color w:val="auto"/>
          <w:sz w:val="24"/>
          <w:szCs w:val="24"/>
          <w:highlight w:val="none"/>
        </w:rPr>
        <w:t>严重程度三</w:t>
      </w:r>
    </w:p>
    <w:p>
      <w:pPr>
        <w:adjustRightInd w:val="0"/>
        <w:snapToGrid w:val="0"/>
        <w:spacing w:line="360" w:lineRule="auto"/>
        <w:ind w:firstLine="480" w:firstLineChars="200"/>
        <w:rPr>
          <w:rFonts w:ascii="宋体" w:cs="仿宋"/>
          <w:bCs/>
          <w:color w:val="auto"/>
          <w:sz w:val="24"/>
          <w:szCs w:val="24"/>
          <w:highlight w:val="none"/>
        </w:rPr>
      </w:pPr>
      <w:r>
        <w:rPr>
          <w:rFonts w:hint="eastAsia" w:ascii="宋体" w:cs="仿宋"/>
          <w:bCs/>
          <w:color w:val="auto"/>
          <w:sz w:val="24"/>
          <w:szCs w:val="24"/>
          <w:highlight w:val="none"/>
        </w:rPr>
        <w:t>生产系统有故障，但仍然可以运行，对客户业务系统的正常运行有一定的或轻微的影响；产品性能增强请求；非生产系统故障。例如：一个用户无法连接到服务器。</w:t>
      </w:r>
    </w:p>
    <w:p>
      <w:pPr>
        <w:adjustRightInd w:val="0"/>
        <w:snapToGrid w:val="0"/>
        <w:spacing w:line="360" w:lineRule="auto"/>
        <w:ind w:firstLine="480" w:firstLineChars="200"/>
        <w:rPr>
          <w:rFonts w:ascii="宋体" w:cs="仿宋"/>
          <w:bCs/>
          <w:color w:val="auto"/>
          <w:sz w:val="24"/>
          <w:szCs w:val="24"/>
          <w:highlight w:val="none"/>
        </w:rPr>
      </w:pPr>
      <w:r>
        <w:rPr>
          <w:rFonts w:hint="eastAsia" w:ascii="宋体" w:cs="仿宋"/>
          <w:bCs/>
          <w:color w:val="auto"/>
          <w:sz w:val="24"/>
          <w:szCs w:val="24"/>
          <w:highlight w:val="none"/>
        </w:rPr>
        <w:t>严重程度四</w:t>
      </w:r>
    </w:p>
    <w:p>
      <w:pPr>
        <w:adjustRightInd w:val="0"/>
        <w:snapToGrid w:val="0"/>
        <w:spacing w:line="360" w:lineRule="auto"/>
        <w:ind w:firstLine="480" w:firstLineChars="200"/>
        <w:rPr>
          <w:rFonts w:ascii="宋体" w:cs="仿宋"/>
          <w:bCs/>
          <w:color w:val="auto"/>
          <w:sz w:val="24"/>
          <w:szCs w:val="24"/>
          <w:highlight w:val="none"/>
        </w:rPr>
      </w:pPr>
      <w:r>
        <w:rPr>
          <w:rFonts w:hint="eastAsia" w:ascii="宋体" w:cs="仿宋"/>
          <w:bCs/>
          <w:color w:val="auto"/>
          <w:sz w:val="24"/>
          <w:szCs w:val="24"/>
          <w:highlight w:val="none"/>
        </w:rPr>
        <w:t>非重要功能故障，对客户业务系统正常运行的影响极小，或属非技术性请求。例如：文档不正确；有关的文档请求等。</w:t>
      </w:r>
    </w:p>
    <w:p>
      <w:pPr>
        <w:spacing w:line="240" w:lineRule="auto"/>
        <w:rPr>
          <w:rFonts w:ascii="宋体"/>
          <w:snapToGrid w:val="0"/>
          <w:color w:val="auto"/>
          <w:kern w:val="0"/>
          <w:sz w:val="24"/>
          <w:szCs w:val="24"/>
          <w:highlight w:val="none"/>
        </w:rPr>
      </w:pPr>
      <w:r>
        <w:rPr>
          <w:rFonts w:ascii="宋体"/>
          <w:snapToGrid w:val="0"/>
          <w:color w:val="auto"/>
          <w:kern w:val="0"/>
          <w:sz w:val="24"/>
          <w:szCs w:val="24"/>
          <w:highlight w:val="none"/>
        </w:rPr>
        <w:br w:type="page"/>
      </w:r>
    </w:p>
    <w:p>
      <w:pPr>
        <w:spacing w:line="360" w:lineRule="auto"/>
        <w:rPr>
          <w:rFonts w:ascii="宋体"/>
          <w:snapToGrid w:val="0"/>
          <w:color w:val="auto"/>
          <w:kern w:val="0"/>
          <w:sz w:val="24"/>
          <w:szCs w:val="24"/>
          <w:highlight w:val="none"/>
        </w:rPr>
      </w:pPr>
    </w:p>
    <w:p>
      <w:pPr>
        <w:pStyle w:val="3"/>
        <w:spacing w:before="0"/>
        <w:ind w:right="0" w:rightChars="0"/>
        <w:outlineLvl w:val="1"/>
        <w:rPr>
          <w:color w:val="auto"/>
          <w:highlight w:val="none"/>
        </w:rPr>
      </w:pPr>
      <w:bookmarkStart w:id="44" w:name="_Toc7533"/>
      <w:r>
        <w:rPr>
          <w:rFonts w:hint="eastAsia"/>
          <w:color w:val="auto"/>
          <w:highlight w:val="none"/>
        </w:rPr>
        <w:t>第</w:t>
      </w:r>
      <w:r>
        <w:rPr>
          <w:rFonts w:hint="eastAsia"/>
          <w:color w:val="auto"/>
          <w:highlight w:val="none"/>
          <w:lang w:val="en-US" w:eastAsia="zh-CN"/>
        </w:rPr>
        <w:t>四</w:t>
      </w:r>
      <w:r>
        <w:rPr>
          <w:rFonts w:hint="eastAsia"/>
          <w:color w:val="auto"/>
          <w:highlight w:val="none"/>
        </w:rPr>
        <w:t>章 商务条款</w:t>
      </w:r>
      <w:bookmarkEnd w:id="44"/>
    </w:p>
    <w:p>
      <w:pPr>
        <w:spacing w:line="360" w:lineRule="auto"/>
        <w:ind w:firstLine="482" w:firstLineChars="200"/>
        <w:jc w:val="left"/>
        <w:outlineLvl w:val="2"/>
        <w:rPr>
          <w:rFonts w:ascii="宋体"/>
          <w:b/>
          <w:snapToGrid w:val="0"/>
          <w:color w:val="auto"/>
          <w:kern w:val="0"/>
          <w:sz w:val="24"/>
          <w:szCs w:val="24"/>
          <w:highlight w:val="none"/>
        </w:rPr>
      </w:pPr>
      <w:bookmarkStart w:id="45" w:name="_Toc89675144"/>
      <w:bookmarkStart w:id="46" w:name="_Toc15059418"/>
      <w:r>
        <w:rPr>
          <w:rFonts w:hint="eastAsia" w:ascii="宋体"/>
          <w:b/>
          <w:snapToGrid w:val="0"/>
          <w:color w:val="auto"/>
          <w:kern w:val="0"/>
          <w:sz w:val="24"/>
          <w:szCs w:val="24"/>
          <w:highlight w:val="none"/>
        </w:rPr>
        <w:t>一、服务时间、地点</w:t>
      </w:r>
      <w:bookmarkEnd w:id="45"/>
      <w:bookmarkEnd w:id="46"/>
    </w:p>
    <w:p>
      <w:pPr>
        <w:spacing w:line="360" w:lineRule="auto"/>
        <w:ind w:firstLine="480" w:firstLineChars="200"/>
        <w:rPr>
          <w:rFonts w:ascii="宋体" w:cs="宋体"/>
          <w:snapToGrid w:val="0"/>
          <w:color w:val="auto"/>
          <w:kern w:val="0"/>
          <w:sz w:val="24"/>
          <w:szCs w:val="24"/>
          <w:highlight w:val="none"/>
        </w:rPr>
      </w:pPr>
      <w:r>
        <w:rPr>
          <w:rFonts w:hint="eastAsia" w:ascii="宋体" w:cs="宋体"/>
          <w:snapToGrid w:val="0"/>
          <w:color w:val="auto"/>
          <w:kern w:val="0"/>
          <w:sz w:val="24"/>
          <w:szCs w:val="24"/>
          <w:highlight w:val="none"/>
        </w:rPr>
        <w:t>（一）服务时间：</w:t>
      </w:r>
      <w:r>
        <w:rPr>
          <w:rFonts w:hint="eastAsia" w:cs="宋体"/>
          <w:snapToGrid w:val="0"/>
          <w:color w:val="auto"/>
          <w:kern w:val="0"/>
          <w:sz w:val="24"/>
          <w:szCs w:val="24"/>
          <w:highlight w:val="none"/>
        </w:rPr>
        <w:t>202</w:t>
      </w:r>
      <w:r>
        <w:rPr>
          <w:rFonts w:cs="宋体"/>
          <w:snapToGrid w:val="0"/>
          <w:color w:val="auto"/>
          <w:kern w:val="0"/>
          <w:sz w:val="24"/>
          <w:szCs w:val="24"/>
          <w:highlight w:val="none"/>
        </w:rPr>
        <w:t>4</w:t>
      </w:r>
      <w:r>
        <w:rPr>
          <w:rFonts w:hint="eastAsia" w:cs="宋体"/>
          <w:snapToGrid w:val="0"/>
          <w:color w:val="auto"/>
          <w:kern w:val="0"/>
          <w:sz w:val="24"/>
          <w:szCs w:val="24"/>
          <w:highlight w:val="none"/>
        </w:rPr>
        <w:t>年1月1日至202</w:t>
      </w:r>
      <w:r>
        <w:rPr>
          <w:rFonts w:cs="宋体"/>
          <w:snapToGrid w:val="0"/>
          <w:color w:val="auto"/>
          <w:kern w:val="0"/>
          <w:sz w:val="24"/>
          <w:szCs w:val="24"/>
          <w:highlight w:val="none"/>
        </w:rPr>
        <w:t>4</w:t>
      </w:r>
      <w:r>
        <w:rPr>
          <w:rFonts w:hint="eastAsia" w:cs="宋体"/>
          <w:snapToGrid w:val="0"/>
          <w:color w:val="auto"/>
          <w:kern w:val="0"/>
          <w:sz w:val="24"/>
          <w:szCs w:val="24"/>
          <w:highlight w:val="none"/>
        </w:rPr>
        <w:t>年12月31日</w:t>
      </w:r>
      <w:r>
        <w:rPr>
          <w:rFonts w:hint="eastAsia" w:ascii="宋体" w:cs="宋体"/>
          <w:snapToGrid w:val="0"/>
          <w:color w:val="auto"/>
          <w:kern w:val="0"/>
          <w:sz w:val="24"/>
          <w:szCs w:val="24"/>
          <w:highlight w:val="none"/>
        </w:rPr>
        <w:t>。</w:t>
      </w:r>
    </w:p>
    <w:p>
      <w:pPr>
        <w:snapToGrid w:val="0"/>
        <w:spacing w:line="360" w:lineRule="auto"/>
        <w:ind w:firstLine="480" w:firstLineChars="200"/>
        <w:rPr>
          <w:rFonts w:ascii="宋体" w:cs="宋体"/>
          <w:snapToGrid w:val="0"/>
          <w:color w:val="auto"/>
          <w:kern w:val="0"/>
          <w:sz w:val="24"/>
          <w:szCs w:val="24"/>
          <w:highlight w:val="none"/>
        </w:rPr>
      </w:pPr>
      <w:r>
        <w:rPr>
          <w:rFonts w:hint="eastAsia" w:ascii="宋体" w:cs="宋体"/>
          <w:snapToGrid w:val="0"/>
          <w:color w:val="auto"/>
          <w:kern w:val="0"/>
          <w:sz w:val="24"/>
          <w:szCs w:val="24"/>
          <w:highlight w:val="none"/>
        </w:rPr>
        <w:t>（二）服务地点：</w:t>
      </w:r>
      <w:bookmarkStart w:id="47" w:name="_Hlk55567930"/>
      <w:r>
        <w:rPr>
          <w:rFonts w:hint="eastAsia" w:ascii="宋体" w:cs="宋体"/>
          <w:snapToGrid w:val="0"/>
          <w:color w:val="auto"/>
          <w:kern w:val="0"/>
          <w:sz w:val="24"/>
          <w:szCs w:val="24"/>
          <w:highlight w:val="none"/>
        </w:rPr>
        <w:t>重庆市</w:t>
      </w:r>
      <w:bookmarkEnd w:id="47"/>
      <w:r>
        <w:rPr>
          <w:rFonts w:hint="eastAsia" w:ascii="宋体" w:cs="宋体"/>
          <w:snapToGrid w:val="0"/>
          <w:color w:val="auto"/>
          <w:kern w:val="0"/>
          <w:sz w:val="24"/>
          <w:szCs w:val="24"/>
          <w:highlight w:val="none"/>
        </w:rPr>
        <w:t>。</w:t>
      </w:r>
    </w:p>
    <w:p>
      <w:pPr>
        <w:spacing w:line="360" w:lineRule="auto"/>
        <w:ind w:firstLine="482" w:firstLineChars="200"/>
        <w:jc w:val="left"/>
        <w:outlineLvl w:val="2"/>
        <w:rPr>
          <w:rFonts w:hint="eastAsia" w:ascii="宋体"/>
          <w:b/>
          <w:snapToGrid w:val="0"/>
          <w:color w:val="auto"/>
          <w:kern w:val="0"/>
          <w:sz w:val="24"/>
          <w:szCs w:val="24"/>
          <w:highlight w:val="none"/>
        </w:rPr>
      </w:pPr>
      <w:r>
        <w:rPr>
          <w:rFonts w:hint="eastAsia" w:ascii="宋体"/>
          <w:b/>
          <w:snapToGrid w:val="0"/>
          <w:color w:val="auto"/>
          <w:kern w:val="0"/>
          <w:sz w:val="24"/>
          <w:szCs w:val="24"/>
          <w:highlight w:val="none"/>
        </w:rPr>
        <w:t>二、报价要求</w:t>
      </w:r>
    </w:p>
    <w:p>
      <w:pPr>
        <w:autoSpaceDE w:val="0"/>
        <w:autoSpaceDN w:val="0"/>
        <w:spacing w:line="360" w:lineRule="auto"/>
        <w:ind w:firstLine="480" w:firstLineChars="200"/>
        <w:jc w:val="left"/>
        <w:rPr>
          <w:rFonts w:ascii="宋体" w:cs="宋体"/>
          <w:snapToGrid w:val="0"/>
          <w:color w:val="auto"/>
          <w:kern w:val="0"/>
          <w:sz w:val="24"/>
          <w:szCs w:val="24"/>
          <w:highlight w:val="none"/>
        </w:rPr>
      </w:pPr>
      <w:bookmarkStart w:id="48" w:name="_Toc267320051"/>
      <w:bookmarkStart w:id="49" w:name="_Toc11109"/>
      <w:r>
        <w:rPr>
          <w:rFonts w:hint="eastAsia" w:ascii="宋体" w:cs="宋体"/>
          <w:snapToGrid w:val="0"/>
          <w:color w:val="auto"/>
          <w:kern w:val="0"/>
          <w:sz w:val="24"/>
          <w:szCs w:val="24"/>
          <w:highlight w:val="none"/>
        </w:rPr>
        <w:t>1、参选人应严格按照《参选文件格式》的“报价一览表”的格式认真填写。</w:t>
      </w:r>
      <w:r>
        <w:rPr>
          <w:rFonts w:ascii="宋体" w:cs="Cambria"/>
          <w:snapToGrid w:val="0"/>
          <w:color w:val="auto"/>
          <w:kern w:val="0"/>
          <w:sz w:val="24"/>
          <w:szCs w:val="24"/>
          <w:highlight w:val="none"/>
        </w:rPr>
        <w:t>报价一览表为</w:t>
      </w:r>
      <w:r>
        <w:rPr>
          <w:rFonts w:hint="eastAsia" w:ascii="宋体" w:cs="Cambria"/>
          <w:snapToGrid w:val="0"/>
          <w:color w:val="auto"/>
          <w:kern w:val="0"/>
          <w:sz w:val="24"/>
          <w:szCs w:val="24"/>
          <w:highlight w:val="none"/>
        </w:rPr>
        <w:t>一</w:t>
      </w:r>
      <w:r>
        <w:rPr>
          <w:rFonts w:ascii="宋体" w:cs="Cambria"/>
          <w:snapToGrid w:val="0"/>
          <w:color w:val="auto"/>
          <w:kern w:val="0"/>
          <w:sz w:val="24"/>
          <w:szCs w:val="24"/>
          <w:highlight w:val="none"/>
        </w:rPr>
        <w:t>年的合同总价</w:t>
      </w:r>
      <w:r>
        <w:rPr>
          <w:rFonts w:hint="eastAsia" w:ascii="宋体" w:cs="Cambria"/>
          <w:snapToGrid w:val="0"/>
          <w:color w:val="auto"/>
          <w:kern w:val="0"/>
          <w:sz w:val="24"/>
          <w:szCs w:val="24"/>
          <w:highlight w:val="none"/>
        </w:rPr>
        <w:t>。</w:t>
      </w:r>
    </w:p>
    <w:p>
      <w:pPr>
        <w:autoSpaceDE w:val="0"/>
        <w:autoSpaceDN w:val="0"/>
        <w:spacing w:line="360" w:lineRule="auto"/>
        <w:ind w:firstLine="480" w:firstLineChars="200"/>
        <w:jc w:val="left"/>
        <w:rPr>
          <w:rFonts w:ascii="宋体" w:cs="宋体"/>
          <w:snapToGrid w:val="0"/>
          <w:color w:val="auto"/>
          <w:kern w:val="0"/>
          <w:sz w:val="24"/>
          <w:szCs w:val="24"/>
          <w:highlight w:val="none"/>
        </w:rPr>
      </w:pPr>
      <w:r>
        <w:rPr>
          <w:rFonts w:ascii="宋体" w:cs="宋体"/>
          <w:snapToGrid w:val="0"/>
          <w:color w:val="auto"/>
          <w:kern w:val="0"/>
          <w:sz w:val="24"/>
          <w:szCs w:val="24"/>
          <w:highlight w:val="none"/>
        </w:rPr>
        <w:t>2</w:t>
      </w:r>
      <w:r>
        <w:rPr>
          <w:rFonts w:hint="eastAsia" w:ascii="宋体" w:cs="宋体"/>
          <w:snapToGrid w:val="0"/>
          <w:color w:val="auto"/>
          <w:kern w:val="0"/>
          <w:sz w:val="24"/>
          <w:szCs w:val="24"/>
          <w:highlight w:val="none"/>
        </w:rPr>
        <w:t>、报价单上应列明增值税专用发票的税率。</w:t>
      </w:r>
    </w:p>
    <w:p>
      <w:pPr>
        <w:spacing w:line="360" w:lineRule="auto"/>
        <w:ind w:firstLine="482" w:firstLineChars="200"/>
        <w:jc w:val="left"/>
        <w:outlineLvl w:val="2"/>
        <w:rPr>
          <w:rFonts w:hint="eastAsia" w:ascii="宋体"/>
          <w:b/>
          <w:snapToGrid w:val="0"/>
          <w:color w:val="auto"/>
          <w:kern w:val="0"/>
          <w:sz w:val="24"/>
          <w:szCs w:val="24"/>
          <w:highlight w:val="none"/>
        </w:rPr>
      </w:pPr>
      <w:r>
        <w:rPr>
          <w:rFonts w:hint="eastAsia" w:ascii="宋体"/>
          <w:b/>
          <w:snapToGrid w:val="0"/>
          <w:color w:val="auto"/>
          <w:kern w:val="0"/>
          <w:sz w:val="24"/>
          <w:szCs w:val="24"/>
          <w:highlight w:val="none"/>
        </w:rPr>
        <w:t>三、</w:t>
      </w:r>
      <w:bookmarkEnd w:id="48"/>
      <w:r>
        <w:rPr>
          <w:rFonts w:hint="eastAsia" w:ascii="宋体"/>
          <w:b/>
          <w:snapToGrid w:val="0"/>
          <w:color w:val="auto"/>
          <w:kern w:val="0"/>
          <w:sz w:val="24"/>
          <w:szCs w:val="24"/>
          <w:highlight w:val="none"/>
        </w:rPr>
        <w:t>付款方式</w:t>
      </w:r>
      <w:bookmarkStart w:id="50" w:name="_Toc267320054"/>
    </w:p>
    <w:p>
      <w:pPr>
        <w:pStyle w:val="15"/>
        <w:tabs>
          <w:tab w:val="left" w:pos="993"/>
        </w:tabs>
        <w:spacing w:line="360" w:lineRule="auto"/>
        <w:ind w:firstLine="480" w:firstLineChars="200"/>
        <w:jc w:val="left"/>
        <w:rPr>
          <w:rFonts w:cs="Arial"/>
          <w:color w:val="auto"/>
          <w:sz w:val="24"/>
          <w:szCs w:val="24"/>
          <w:highlight w:val="none"/>
        </w:rPr>
      </w:pPr>
      <w:bookmarkStart w:id="51" w:name="_Toc396723953"/>
      <w:bookmarkStart w:id="52" w:name="_Toc382919503"/>
      <w:bookmarkStart w:id="53" w:name="_Toc267320050"/>
      <w:r>
        <w:rPr>
          <w:rFonts w:hint="eastAsia" w:cs="Arial"/>
          <w:color w:val="auto"/>
          <w:sz w:val="24"/>
          <w:szCs w:val="24"/>
          <w:highlight w:val="none"/>
        </w:rPr>
        <w:t>1、签订合同后，甲方收到</w:t>
      </w:r>
      <w:r>
        <w:rPr>
          <w:rFonts w:hint="eastAsia" w:cs="宋体"/>
          <w:color w:val="auto"/>
          <w:sz w:val="24"/>
          <w:szCs w:val="24"/>
          <w:highlight w:val="none"/>
        </w:rPr>
        <w:t>当年度的原厂服务开通证明材料</w:t>
      </w:r>
      <w:r>
        <w:rPr>
          <w:rFonts w:hint="eastAsia" w:cs="Arial"/>
          <w:color w:val="auto"/>
          <w:sz w:val="24"/>
          <w:szCs w:val="24"/>
          <w:highlight w:val="none"/>
        </w:rPr>
        <w:t>，乙方提出申请并开具、送达合法足额税率1</w:t>
      </w:r>
      <w:r>
        <w:rPr>
          <w:rFonts w:cs="Arial"/>
          <w:color w:val="auto"/>
          <w:sz w:val="24"/>
          <w:szCs w:val="24"/>
          <w:highlight w:val="none"/>
        </w:rPr>
        <w:t>3%</w:t>
      </w:r>
      <w:r>
        <w:rPr>
          <w:rFonts w:hint="eastAsia" w:cs="Arial"/>
          <w:color w:val="auto"/>
          <w:sz w:val="24"/>
          <w:szCs w:val="24"/>
          <w:highlight w:val="none"/>
        </w:rPr>
        <w:t>增值税专用发票，以上材料经甲方审核无误后30个工作日内，甲方将服务年度维保费用的95%支付给乙方。</w:t>
      </w:r>
    </w:p>
    <w:p>
      <w:pPr>
        <w:pStyle w:val="15"/>
        <w:tabs>
          <w:tab w:val="left" w:pos="993"/>
        </w:tabs>
        <w:spacing w:line="360" w:lineRule="auto"/>
        <w:ind w:firstLine="480" w:firstLineChars="200"/>
        <w:jc w:val="left"/>
        <w:rPr>
          <w:rFonts w:cs="Arial"/>
          <w:color w:val="auto"/>
          <w:sz w:val="24"/>
          <w:szCs w:val="24"/>
          <w:highlight w:val="none"/>
        </w:rPr>
      </w:pPr>
      <w:r>
        <w:rPr>
          <w:rFonts w:hint="eastAsia" w:cs="Arial"/>
          <w:color w:val="auto"/>
          <w:sz w:val="24"/>
          <w:szCs w:val="24"/>
          <w:highlight w:val="none"/>
        </w:rPr>
        <w:t>2、 在服务年度满后，由乙方提出申请，经过甲方服务质量评审，服务质量达到合同约定的要求后，乙方出具合法足额税率1</w:t>
      </w:r>
      <w:r>
        <w:rPr>
          <w:rFonts w:cs="Arial"/>
          <w:color w:val="auto"/>
          <w:sz w:val="24"/>
          <w:szCs w:val="24"/>
          <w:highlight w:val="none"/>
        </w:rPr>
        <w:t>3%</w:t>
      </w:r>
      <w:r>
        <w:rPr>
          <w:rFonts w:hint="eastAsia" w:cs="Arial"/>
          <w:color w:val="auto"/>
          <w:sz w:val="24"/>
          <w:szCs w:val="24"/>
          <w:highlight w:val="none"/>
        </w:rPr>
        <w:t>增值税专用发票给甲方，甲方于收到发票 30个工作日内，将服务年度的余款（年维保费用5%）支付给乙方</w:t>
      </w:r>
    </w:p>
    <w:p>
      <w:pPr>
        <w:spacing w:line="360" w:lineRule="auto"/>
        <w:ind w:firstLine="482" w:firstLineChars="200"/>
        <w:jc w:val="left"/>
        <w:outlineLvl w:val="2"/>
        <w:rPr>
          <w:rFonts w:ascii="宋体"/>
          <w:b/>
          <w:snapToGrid w:val="0"/>
          <w:color w:val="auto"/>
          <w:kern w:val="0"/>
          <w:sz w:val="24"/>
          <w:szCs w:val="24"/>
          <w:highlight w:val="none"/>
        </w:rPr>
      </w:pPr>
      <w:r>
        <w:rPr>
          <w:rFonts w:hint="eastAsia" w:ascii="宋体"/>
          <w:b/>
          <w:snapToGrid w:val="0"/>
          <w:color w:val="auto"/>
          <w:kern w:val="0"/>
          <w:sz w:val="24"/>
          <w:szCs w:val="24"/>
          <w:highlight w:val="none"/>
        </w:rPr>
        <w:t>四</w:t>
      </w:r>
      <w:r>
        <w:rPr>
          <w:rFonts w:ascii="宋体"/>
          <w:b/>
          <w:snapToGrid w:val="0"/>
          <w:color w:val="auto"/>
          <w:kern w:val="0"/>
          <w:sz w:val="24"/>
          <w:szCs w:val="24"/>
          <w:highlight w:val="none"/>
        </w:rPr>
        <w:t>、</w:t>
      </w:r>
      <w:bookmarkEnd w:id="51"/>
      <w:bookmarkEnd w:id="52"/>
      <w:bookmarkEnd w:id="53"/>
      <w:r>
        <w:rPr>
          <w:rFonts w:hint="eastAsia" w:ascii="宋体"/>
          <w:b/>
          <w:snapToGrid w:val="0"/>
          <w:color w:val="auto"/>
          <w:kern w:val="0"/>
          <w:sz w:val="24"/>
          <w:szCs w:val="24"/>
          <w:highlight w:val="none"/>
        </w:rPr>
        <w:t>服务要求</w:t>
      </w:r>
    </w:p>
    <w:p>
      <w:pPr>
        <w:autoSpaceDE w:val="0"/>
        <w:autoSpaceDN w:val="0"/>
        <w:spacing w:line="360" w:lineRule="auto"/>
        <w:ind w:firstLine="480" w:firstLineChars="200"/>
        <w:jc w:val="left"/>
        <w:rPr>
          <w:rFonts w:ascii="宋体" w:cs="宋体"/>
          <w:snapToGrid w:val="0"/>
          <w:color w:val="auto"/>
          <w:kern w:val="0"/>
          <w:sz w:val="24"/>
          <w:szCs w:val="24"/>
          <w:highlight w:val="none"/>
        </w:rPr>
      </w:pPr>
      <w:r>
        <w:rPr>
          <w:rFonts w:hint="eastAsia" w:ascii="宋体" w:cs="宋体"/>
          <w:snapToGrid w:val="0"/>
          <w:color w:val="auto"/>
          <w:kern w:val="0"/>
          <w:sz w:val="24"/>
          <w:szCs w:val="24"/>
          <w:highlight w:val="none"/>
        </w:rPr>
        <w:t>1、为更好地为比选人提供优质可靠的维护服务，随时接受客户的技术服务支持，并为客户提供及时服务。</w:t>
      </w:r>
    </w:p>
    <w:p>
      <w:pPr>
        <w:autoSpaceDE w:val="0"/>
        <w:autoSpaceDN w:val="0"/>
        <w:spacing w:line="360" w:lineRule="auto"/>
        <w:ind w:firstLine="480" w:firstLineChars="200"/>
        <w:jc w:val="left"/>
        <w:rPr>
          <w:rFonts w:ascii="宋体" w:cs="宋体"/>
          <w:snapToGrid w:val="0"/>
          <w:color w:val="auto"/>
          <w:kern w:val="0"/>
          <w:sz w:val="24"/>
          <w:szCs w:val="24"/>
          <w:highlight w:val="none"/>
        </w:rPr>
      </w:pPr>
      <w:r>
        <w:rPr>
          <w:rFonts w:hint="eastAsia" w:ascii="宋体" w:cs="宋体"/>
          <w:snapToGrid w:val="0"/>
          <w:color w:val="auto"/>
          <w:kern w:val="0"/>
          <w:sz w:val="24"/>
          <w:szCs w:val="24"/>
          <w:highlight w:val="none"/>
        </w:rPr>
        <w:t>2、紧急故障，在比选人规定时间内无法解决，根据影响程度比选人有权要求参选人赔付一定金额违约金。</w:t>
      </w:r>
    </w:p>
    <w:p>
      <w:pPr>
        <w:autoSpaceDE w:val="0"/>
        <w:autoSpaceDN w:val="0"/>
        <w:spacing w:line="360" w:lineRule="auto"/>
        <w:ind w:firstLine="480" w:firstLineChars="200"/>
        <w:jc w:val="left"/>
        <w:rPr>
          <w:rFonts w:ascii="宋体" w:cs="宋体"/>
          <w:snapToGrid w:val="0"/>
          <w:color w:val="auto"/>
          <w:kern w:val="0"/>
          <w:sz w:val="24"/>
          <w:szCs w:val="24"/>
          <w:highlight w:val="none"/>
        </w:rPr>
      </w:pPr>
      <w:r>
        <w:rPr>
          <w:rFonts w:hint="eastAsia" w:ascii="宋体" w:cs="宋体"/>
          <w:snapToGrid w:val="0"/>
          <w:color w:val="auto"/>
          <w:kern w:val="0"/>
          <w:sz w:val="24"/>
          <w:szCs w:val="24"/>
          <w:highlight w:val="none"/>
        </w:rPr>
        <w:t>3、承诺对接触到的比选人所有信息和数据保密。</w:t>
      </w:r>
    </w:p>
    <w:bookmarkEnd w:id="49"/>
    <w:p>
      <w:pPr>
        <w:spacing w:line="360" w:lineRule="auto"/>
        <w:ind w:firstLine="482" w:firstLineChars="200"/>
        <w:jc w:val="left"/>
        <w:outlineLvl w:val="2"/>
        <w:rPr>
          <w:rFonts w:ascii="宋体"/>
          <w:b/>
          <w:snapToGrid w:val="0"/>
          <w:color w:val="auto"/>
          <w:kern w:val="0"/>
          <w:sz w:val="24"/>
          <w:szCs w:val="24"/>
          <w:highlight w:val="none"/>
        </w:rPr>
      </w:pPr>
      <w:bookmarkStart w:id="54" w:name="_Toc24684"/>
      <w:bookmarkStart w:id="55" w:name="_Toc451201927"/>
      <w:r>
        <w:rPr>
          <w:rFonts w:hint="eastAsia" w:ascii="宋体"/>
          <w:b/>
          <w:snapToGrid w:val="0"/>
          <w:color w:val="auto"/>
          <w:kern w:val="0"/>
          <w:sz w:val="24"/>
          <w:szCs w:val="24"/>
          <w:highlight w:val="none"/>
        </w:rPr>
        <w:t>五、知识产权</w:t>
      </w:r>
    </w:p>
    <w:p>
      <w:pPr>
        <w:snapToGrid w:val="0"/>
        <w:spacing w:line="360" w:lineRule="auto"/>
        <w:ind w:firstLine="480" w:firstLineChars="200"/>
        <w:rPr>
          <w:rFonts w:cs="宋体"/>
          <w:b/>
          <w:color w:val="auto"/>
          <w:sz w:val="24"/>
          <w:szCs w:val="24"/>
          <w:highlight w:val="none"/>
        </w:rPr>
      </w:pPr>
      <w:r>
        <w:rPr>
          <w:rFonts w:hint="eastAsia" w:ascii="宋体" w:cs="宋体"/>
          <w:snapToGrid w:val="0"/>
          <w:color w:val="auto"/>
          <w:kern w:val="0"/>
          <w:sz w:val="24"/>
          <w:szCs w:val="24"/>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w:t>
      </w:r>
    </w:p>
    <w:bookmarkEnd w:id="50"/>
    <w:bookmarkEnd w:id="54"/>
    <w:bookmarkEnd w:id="55"/>
    <w:p>
      <w:pPr>
        <w:spacing w:line="360" w:lineRule="auto"/>
        <w:ind w:firstLine="482" w:firstLineChars="200"/>
        <w:jc w:val="left"/>
        <w:outlineLvl w:val="2"/>
        <w:rPr>
          <w:rFonts w:ascii="宋体"/>
          <w:b/>
          <w:snapToGrid w:val="0"/>
          <w:color w:val="auto"/>
          <w:kern w:val="0"/>
          <w:sz w:val="24"/>
          <w:szCs w:val="24"/>
          <w:highlight w:val="none"/>
        </w:rPr>
      </w:pPr>
      <w:r>
        <w:rPr>
          <w:rFonts w:hint="eastAsia" w:ascii="宋体"/>
          <w:b/>
          <w:snapToGrid w:val="0"/>
          <w:color w:val="auto"/>
          <w:kern w:val="0"/>
          <w:sz w:val="24"/>
          <w:szCs w:val="24"/>
          <w:highlight w:val="none"/>
        </w:rPr>
        <w:t>六、其他</w:t>
      </w:r>
    </w:p>
    <w:p>
      <w:pPr>
        <w:autoSpaceDE w:val="0"/>
        <w:autoSpaceDN w:val="0"/>
        <w:spacing w:line="360" w:lineRule="auto"/>
        <w:ind w:firstLine="480" w:firstLineChars="200"/>
        <w:jc w:val="left"/>
        <w:rPr>
          <w:rFonts w:ascii="宋体" w:cs="宋体"/>
          <w:snapToGrid w:val="0"/>
          <w:color w:val="auto"/>
          <w:kern w:val="0"/>
          <w:sz w:val="24"/>
          <w:szCs w:val="24"/>
          <w:highlight w:val="none"/>
        </w:rPr>
      </w:pPr>
      <w:r>
        <w:rPr>
          <w:rFonts w:hint="eastAsia" w:ascii="宋体" w:cs="宋体"/>
          <w:snapToGrid w:val="0"/>
          <w:color w:val="auto"/>
          <w:kern w:val="0"/>
          <w:sz w:val="24"/>
          <w:szCs w:val="24"/>
          <w:highlight w:val="none"/>
        </w:rPr>
        <w:t>1、参选人必须在参选文件中对以上条款和服务承诺明确列出，承诺内容必须达到本篇及比选文件其他条款的要求。</w:t>
      </w:r>
    </w:p>
    <w:p>
      <w:pPr>
        <w:spacing w:line="360" w:lineRule="auto"/>
        <w:ind w:firstLine="480" w:firstLineChars="200"/>
        <w:rPr>
          <w:rFonts w:ascii="宋体" w:cs="宋体"/>
          <w:snapToGrid w:val="0"/>
          <w:color w:val="auto"/>
          <w:kern w:val="0"/>
          <w:sz w:val="24"/>
          <w:szCs w:val="24"/>
          <w:highlight w:val="none"/>
        </w:rPr>
      </w:pPr>
      <w:r>
        <w:rPr>
          <w:rFonts w:hint="eastAsia" w:ascii="宋体" w:cs="宋体"/>
          <w:snapToGrid w:val="0"/>
          <w:color w:val="auto"/>
          <w:kern w:val="0"/>
          <w:sz w:val="24"/>
          <w:szCs w:val="24"/>
          <w:highlight w:val="none"/>
        </w:rPr>
        <w:t>2、其他未尽事宜由供需双方在合同中详细约定。</w:t>
      </w:r>
    </w:p>
    <w:p>
      <w:pPr>
        <w:spacing w:line="240" w:lineRule="auto"/>
        <w:rPr>
          <w:rFonts w:ascii="宋体" w:cs="宋体"/>
          <w:snapToGrid w:val="0"/>
          <w:color w:val="auto"/>
          <w:kern w:val="0"/>
          <w:sz w:val="24"/>
          <w:szCs w:val="24"/>
          <w:highlight w:val="none"/>
        </w:rPr>
      </w:pPr>
      <w:r>
        <w:rPr>
          <w:rFonts w:ascii="宋体" w:cs="宋体"/>
          <w:snapToGrid w:val="0"/>
          <w:color w:val="auto"/>
          <w:kern w:val="0"/>
          <w:sz w:val="24"/>
          <w:szCs w:val="24"/>
          <w:highlight w:val="none"/>
        </w:rPr>
        <w:br w:type="page"/>
      </w:r>
    </w:p>
    <w:p>
      <w:pPr>
        <w:pStyle w:val="3"/>
        <w:spacing w:before="0"/>
        <w:ind w:right="0" w:rightChars="0"/>
        <w:outlineLvl w:val="1"/>
        <w:rPr>
          <w:color w:val="auto"/>
          <w:highlight w:val="none"/>
        </w:rPr>
      </w:pPr>
      <w:bookmarkStart w:id="56" w:name="_Toc23751"/>
      <w:bookmarkStart w:id="57" w:name="_Toc97681259"/>
      <w:r>
        <w:rPr>
          <w:rFonts w:hint="eastAsia"/>
          <w:color w:val="auto"/>
          <w:highlight w:val="none"/>
        </w:rPr>
        <w:t>第</w:t>
      </w:r>
      <w:r>
        <w:rPr>
          <w:color w:val="auto"/>
          <w:highlight w:val="none"/>
        </w:rPr>
        <w:t>五</w:t>
      </w:r>
      <w:r>
        <w:rPr>
          <w:rFonts w:hint="eastAsia"/>
          <w:color w:val="auto"/>
          <w:highlight w:val="none"/>
        </w:rPr>
        <w:t xml:space="preserve">章 </w:t>
      </w:r>
      <w:r>
        <w:rPr>
          <w:rFonts w:hint="eastAsia"/>
          <w:color w:val="auto"/>
          <w:highlight w:val="none"/>
          <w:lang w:val="en-US" w:eastAsia="zh-CN"/>
        </w:rPr>
        <w:t>评审</w:t>
      </w:r>
      <w:r>
        <w:rPr>
          <w:rFonts w:hint="eastAsia"/>
          <w:color w:val="auto"/>
          <w:highlight w:val="none"/>
        </w:rPr>
        <w:t>方法、</w:t>
      </w:r>
      <w:r>
        <w:rPr>
          <w:rFonts w:hint="eastAsia"/>
          <w:color w:val="auto"/>
          <w:highlight w:val="none"/>
          <w:lang w:val="en-US" w:eastAsia="zh-CN"/>
        </w:rPr>
        <w:t>评审</w:t>
      </w:r>
      <w:r>
        <w:rPr>
          <w:rFonts w:hint="eastAsia"/>
          <w:color w:val="auto"/>
          <w:highlight w:val="none"/>
        </w:rPr>
        <w:t>标准和参选无效条款</w:t>
      </w:r>
      <w:bookmarkEnd w:id="56"/>
    </w:p>
    <w:p>
      <w:pPr>
        <w:spacing w:line="360" w:lineRule="auto"/>
        <w:ind w:firstLine="482" w:firstLineChars="200"/>
        <w:jc w:val="left"/>
        <w:outlineLvl w:val="2"/>
        <w:rPr>
          <w:rFonts w:ascii="宋体"/>
          <w:b/>
          <w:snapToGrid w:val="0"/>
          <w:color w:val="auto"/>
          <w:kern w:val="0"/>
          <w:sz w:val="24"/>
          <w:szCs w:val="24"/>
          <w:highlight w:val="none"/>
        </w:rPr>
      </w:pPr>
      <w:r>
        <w:rPr>
          <w:rFonts w:hint="eastAsia" w:ascii="宋体"/>
          <w:b/>
          <w:snapToGrid w:val="0"/>
          <w:color w:val="auto"/>
          <w:kern w:val="0"/>
          <w:sz w:val="24"/>
          <w:szCs w:val="24"/>
          <w:highlight w:val="none"/>
        </w:rPr>
        <w:t>一、</w:t>
      </w:r>
      <w:r>
        <w:rPr>
          <w:rFonts w:hint="eastAsia" w:ascii="宋体"/>
          <w:b/>
          <w:snapToGrid w:val="0"/>
          <w:color w:val="auto"/>
          <w:kern w:val="0"/>
          <w:sz w:val="24"/>
          <w:szCs w:val="24"/>
          <w:highlight w:val="none"/>
          <w:lang w:val="en-US" w:eastAsia="zh-CN"/>
        </w:rPr>
        <w:t>评审</w:t>
      </w:r>
      <w:r>
        <w:rPr>
          <w:rFonts w:hint="eastAsia" w:ascii="宋体"/>
          <w:b/>
          <w:snapToGrid w:val="0"/>
          <w:color w:val="auto"/>
          <w:kern w:val="0"/>
          <w:sz w:val="24"/>
          <w:szCs w:val="24"/>
          <w:highlight w:val="none"/>
        </w:rPr>
        <w:t>方法</w:t>
      </w:r>
    </w:p>
    <w:p>
      <w:pPr>
        <w:autoSpaceDE w:val="0"/>
        <w:autoSpaceDN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（一）</w:t>
      </w:r>
      <w:r>
        <w:rPr>
          <w:rFonts w:hint="eastAsia" w:cs="宋体"/>
          <w:color w:val="auto"/>
          <w:sz w:val="24"/>
          <w:szCs w:val="24"/>
          <w:highlight w:val="none"/>
          <w:lang w:val="en-US" w:eastAsia="zh-CN"/>
        </w:rPr>
        <w:t>评审</w:t>
      </w:r>
      <w:r>
        <w:rPr>
          <w:rFonts w:hint="eastAsia" w:cs="宋体"/>
          <w:color w:val="auto"/>
          <w:sz w:val="24"/>
          <w:szCs w:val="24"/>
          <w:highlight w:val="none"/>
        </w:rPr>
        <w:t>方法定义</w:t>
      </w:r>
    </w:p>
    <w:p>
      <w:pPr>
        <w:snapToGrid w:val="0"/>
        <w:spacing w:line="360" w:lineRule="auto"/>
        <w:ind w:firstLine="480" w:firstLineChars="200"/>
        <w:rPr>
          <w:rFonts w:ascii="宋体" w:cs="宋体"/>
          <w:snapToGrid w:val="0"/>
          <w:color w:val="auto"/>
          <w:kern w:val="0"/>
          <w:sz w:val="24"/>
          <w:szCs w:val="24"/>
          <w:highlight w:val="none"/>
        </w:rPr>
      </w:pPr>
      <w:r>
        <w:rPr>
          <w:rFonts w:hint="eastAsia" w:ascii="宋体" w:cs="宋体"/>
          <w:color w:val="auto"/>
          <w:sz w:val="24"/>
          <w:szCs w:val="28"/>
          <w:highlight w:val="none"/>
        </w:rPr>
        <w:t>本项目采用最低价评分法进行</w:t>
      </w:r>
      <w:r>
        <w:rPr>
          <w:rFonts w:hint="eastAsia" w:ascii="宋体" w:cs="宋体"/>
          <w:color w:val="auto"/>
          <w:sz w:val="24"/>
          <w:szCs w:val="28"/>
          <w:highlight w:val="none"/>
          <w:lang w:val="en-US" w:eastAsia="zh-CN"/>
        </w:rPr>
        <w:t>评审</w:t>
      </w:r>
      <w:r>
        <w:rPr>
          <w:rFonts w:hint="eastAsia" w:ascii="宋体" w:cs="宋体"/>
          <w:color w:val="auto"/>
          <w:sz w:val="24"/>
          <w:szCs w:val="28"/>
          <w:highlight w:val="none"/>
        </w:rPr>
        <w:t>。最低价评分法是指在全部满足比选文件实质性要求前提下，依据统一的价格要素评定最低报价，以提出最低报价的参选公司作为中选候选人。满分为100分。</w:t>
      </w:r>
      <w:r>
        <w:rPr>
          <w:rFonts w:hint="eastAsia" w:ascii="宋体" w:cs="宋体"/>
          <w:color w:val="auto"/>
          <w:kern w:val="0"/>
          <w:sz w:val="24"/>
          <w:szCs w:val="28"/>
          <w:highlight w:val="none"/>
        </w:rPr>
        <w:t>若参与比选供应商不足三家，经专家评审小组判定，具有相对行业竞争力的，可继续进行评审。</w:t>
      </w:r>
    </w:p>
    <w:p>
      <w:pPr>
        <w:autoSpaceDE w:val="0"/>
        <w:autoSpaceDN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（二）比选程序</w:t>
      </w:r>
    </w:p>
    <w:p>
      <w:pPr>
        <w:snapToGrid w:val="0"/>
        <w:spacing w:line="360" w:lineRule="auto"/>
        <w:ind w:firstLine="480" w:firstLineChars="200"/>
        <w:rPr>
          <w:rFonts w:hint="eastAsia" w:ascii="宋体" w:cs="宋体"/>
          <w:snapToGrid w:val="0"/>
          <w:color w:val="auto"/>
          <w:kern w:val="0"/>
          <w:sz w:val="24"/>
          <w:szCs w:val="24"/>
          <w:highlight w:val="none"/>
        </w:rPr>
      </w:pPr>
      <w:r>
        <w:rPr>
          <w:rFonts w:hint="eastAsia" w:ascii="宋体" w:cs="宋体"/>
          <w:snapToGrid w:val="0"/>
          <w:color w:val="auto"/>
          <w:kern w:val="0"/>
          <w:sz w:val="24"/>
          <w:szCs w:val="24"/>
          <w:highlight w:val="none"/>
        </w:rPr>
        <w:t>评审工作由比选人依法组建的评审委员会进行，负责具体评审事务。按以下程序独立履行评审职责：</w:t>
      </w:r>
    </w:p>
    <w:p>
      <w:pPr>
        <w:snapToGrid w:val="0"/>
        <w:spacing w:line="360" w:lineRule="auto"/>
        <w:ind w:firstLine="480" w:firstLineChars="200"/>
        <w:rPr>
          <w:rFonts w:ascii="宋体" w:cs="宋体"/>
          <w:snapToGrid w:val="0"/>
          <w:color w:val="auto"/>
          <w:kern w:val="0"/>
          <w:sz w:val="24"/>
          <w:szCs w:val="24"/>
          <w:highlight w:val="none"/>
        </w:rPr>
      </w:pPr>
      <w:r>
        <w:rPr>
          <w:rFonts w:hint="eastAsia" w:ascii="宋体" w:cs="宋体"/>
          <w:snapToGrid w:val="0"/>
          <w:color w:val="auto"/>
          <w:kern w:val="0"/>
          <w:sz w:val="24"/>
          <w:szCs w:val="24"/>
          <w:highlight w:val="none"/>
        </w:rPr>
        <w:t>1、资格性检查。依据法律法规和比选文件的规定，对参选文件中的资格证明、参选保证金等进行审查，以确定参选人是否具备参选资格。资格性检查资料表如下：</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628"/>
        <w:gridCol w:w="3716"/>
        <w:gridCol w:w="3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8" w:type="dxa"/>
            <w:vAlign w:val="center"/>
          </w:tcPr>
          <w:p>
            <w:pPr>
              <w:spacing w:line="360" w:lineRule="auto"/>
              <w:jc w:val="center"/>
              <w:rPr>
                <w:rFonts w:ascii="宋体" w:cs="宋体"/>
                <w:b/>
                <w:snapToGrid w:val="0"/>
                <w:color w:val="auto"/>
                <w:kern w:val="0"/>
                <w:sz w:val="20"/>
                <w:szCs w:val="21"/>
                <w:highlight w:val="none"/>
              </w:rPr>
            </w:pPr>
            <w:r>
              <w:rPr>
                <w:rFonts w:hint="eastAsia" w:ascii="宋体" w:cs="宋体"/>
                <w:b/>
                <w:snapToGrid w:val="0"/>
                <w:color w:val="auto"/>
                <w:kern w:val="0"/>
                <w:sz w:val="20"/>
                <w:szCs w:val="21"/>
                <w:highlight w:val="none"/>
              </w:rPr>
              <w:t>序号</w:t>
            </w:r>
          </w:p>
        </w:tc>
        <w:tc>
          <w:tcPr>
            <w:tcW w:w="4344" w:type="dxa"/>
            <w:gridSpan w:val="2"/>
            <w:vAlign w:val="center"/>
          </w:tcPr>
          <w:p>
            <w:pPr>
              <w:spacing w:line="360" w:lineRule="auto"/>
              <w:jc w:val="center"/>
              <w:rPr>
                <w:rFonts w:ascii="宋体" w:cs="宋体"/>
                <w:b/>
                <w:snapToGrid w:val="0"/>
                <w:color w:val="auto"/>
                <w:kern w:val="0"/>
                <w:sz w:val="20"/>
                <w:szCs w:val="21"/>
                <w:highlight w:val="none"/>
              </w:rPr>
            </w:pPr>
            <w:r>
              <w:rPr>
                <w:rFonts w:hint="eastAsia" w:ascii="宋体" w:cs="宋体"/>
                <w:b/>
                <w:snapToGrid w:val="0"/>
                <w:color w:val="auto"/>
                <w:kern w:val="0"/>
                <w:sz w:val="20"/>
                <w:szCs w:val="21"/>
                <w:highlight w:val="none"/>
              </w:rPr>
              <w:t>检查因素</w:t>
            </w:r>
          </w:p>
        </w:tc>
        <w:tc>
          <w:tcPr>
            <w:tcW w:w="3580" w:type="dxa"/>
            <w:vAlign w:val="center"/>
          </w:tcPr>
          <w:p>
            <w:pPr>
              <w:spacing w:line="360" w:lineRule="auto"/>
              <w:jc w:val="center"/>
              <w:rPr>
                <w:rFonts w:ascii="宋体" w:cs="宋体"/>
                <w:b/>
                <w:snapToGrid w:val="0"/>
                <w:color w:val="auto"/>
                <w:kern w:val="0"/>
                <w:sz w:val="20"/>
                <w:szCs w:val="21"/>
                <w:highlight w:val="none"/>
              </w:rPr>
            </w:pPr>
            <w:r>
              <w:rPr>
                <w:rFonts w:hint="eastAsia" w:ascii="宋体" w:cs="宋体"/>
                <w:b/>
                <w:snapToGrid w:val="0"/>
                <w:color w:val="auto"/>
                <w:kern w:val="0"/>
                <w:sz w:val="20"/>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8" w:type="dxa"/>
            <w:vMerge w:val="restart"/>
            <w:vAlign w:val="center"/>
          </w:tcPr>
          <w:p>
            <w:pPr>
              <w:spacing w:line="360" w:lineRule="auto"/>
              <w:jc w:val="center"/>
              <w:rPr>
                <w:rFonts w:ascii="宋体" w:cs="宋体"/>
                <w:snapToGrid w:val="0"/>
                <w:color w:val="auto"/>
                <w:kern w:val="0"/>
                <w:sz w:val="20"/>
                <w:szCs w:val="21"/>
                <w:highlight w:val="none"/>
                <w:lang w:val="zh-CN"/>
              </w:rPr>
            </w:pPr>
            <w:r>
              <w:rPr>
                <w:rFonts w:hint="eastAsia" w:ascii="宋体" w:cs="宋体"/>
                <w:snapToGrid w:val="0"/>
                <w:color w:val="auto"/>
                <w:kern w:val="0"/>
                <w:sz w:val="20"/>
                <w:szCs w:val="21"/>
                <w:highlight w:val="none"/>
                <w:lang w:val="zh-CN"/>
              </w:rPr>
              <w:t>1</w:t>
            </w:r>
          </w:p>
        </w:tc>
        <w:tc>
          <w:tcPr>
            <w:tcW w:w="628" w:type="dxa"/>
            <w:vMerge w:val="restart"/>
            <w:vAlign w:val="center"/>
          </w:tcPr>
          <w:p>
            <w:pPr>
              <w:spacing w:line="360" w:lineRule="auto"/>
              <w:rPr>
                <w:rFonts w:ascii="宋体" w:cs="宋体"/>
                <w:snapToGrid w:val="0"/>
                <w:color w:val="auto"/>
                <w:kern w:val="0"/>
                <w:sz w:val="20"/>
                <w:szCs w:val="21"/>
                <w:highlight w:val="none"/>
                <w:lang w:val="zh-CN"/>
              </w:rPr>
            </w:pPr>
            <w:r>
              <w:rPr>
                <w:rFonts w:hint="eastAsia" w:ascii="宋体" w:cs="宋体"/>
                <w:snapToGrid w:val="0"/>
                <w:color w:val="auto"/>
                <w:kern w:val="0"/>
                <w:sz w:val="20"/>
                <w:szCs w:val="21"/>
                <w:highlight w:val="none"/>
                <w:lang w:val="zh-CN"/>
              </w:rPr>
              <w:t>基本资格条 件</w:t>
            </w:r>
          </w:p>
        </w:tc>
        <w:tc>
          <w:tcPr>
            <w:tcW w:w="3716" w:type="dxa"/>
            <w:vAlign w:val="center"/>
          </w:tcPr>
          <w:p>
            <w:pPr>
              <w:spacing w:line="360" w:lineRule="auto"/>
              <w:rPr>
                <w:rFonts w:ascii="宋体" w:cs="宋体"/>
                <w:snapToGrid w:val="0"/>
                <w:color w:val="auto"/>
                <w:kern w:val="0"/>
                <w:sz w:val="20"/>
                <w:szCs w:val="21"/>
                <w:highlight w:val="none"/>
              </w:rPr>
            </w:pPr>
            <w:r>
              <w:rPr>
                <w:rFonts w:hint="eastAsia" w:ascii="宋体" w:cs="宋体"/>
                <w:snapToGrid w:val="0"/>
                <w:color w:val="auto"/>
                <w:kern w:val="0"/>
                <w:sz w:val="20"/>
                <w:szCs w:val="21"/>
                <w:highlight w:val="none"/>
              </w:rPr>
              <w:t>（1）具有独立承担民事责任的能力</w:t>
            </w:r>
          </w:p>
        </w:tc>
        <w:tc>
          <w:tcPr>
            <w:tcW w:w="3580" w:type="dxa"/>
            <w:vAlign w:val="center"/>
          </w:tcPr>
          <w:p>
            <w:pPr>
              <w:spacing w:line="360" w:lineRule="auto"/>
              <w:rPr>
                <w:rFonts w:ascii="宋体" w:cs="宋体"/>
                <w:snapToGrid w:val="0"/>
                <w:color w:val="auto"/>
                <w:kern w:val="0"/>
                <w:sz w:val="20"/>
                <w:szCs w:val="21"/>
                <w:highlight w:val="none"/>
              </w:rPr>
            </w:pPr>
            <w:r>
              <w:rPr>
                <w:rFonts w:hint="eastAsia" w:ascii="宋体" w:cs="宋体"/>
                <w:snapToGrid w:val="0"/>
                <w:color w:val="auto"/>
                <w:kern w:val="0"/>
                <w:sz w:val="20"/>
                <w:szCs w:val="21"/>
                <w:highlight w:val="none"/>
              </w:rPr>
              <w:t>参选人有效营业执照（副本）或事业单位法人证书（副本）或个体工商户营业执照或有效的自然人身份证明；</w:t>
            </w:r>
          </w:p>
          <w:p>
            <w:pPr>
              <w:spacing w:line="360" w:lineRule="auto"/>
              <w:rPr>
                <w:rFonts w:ascii="宋体" w:cs="宋体"/>
                <w:snapToGrid w:val="0"/>
                <w:color w:val="auto"/>
                <w:kern w:val="0"/>
                <w:sz w:val="20"/>
                <w:szCs w:val="21"/>
                <w:highlight w:val="none"/>
              </w:rPr>
            </w:pPr>
            <w:r>
              <w:rPr>
                <w:rFonts w:hint="eastAsia" w:ascii="宋体" w:cs="宋体"/>
                <w:snapToGrid w:val="0"/>
                <w:color w:val="auto"/>
                <w:kern w:val="0"/>
                <w:sz w:val="20"/>
                <w:szCs w:val="21"/>
                <w:highlight w:val="none"/>
              </w:rPr>
              <w:t>参选人法定代表人身份证明和法定代表人授权代表委托书。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8" w:type="dxa"/>
            <w:vMerge w:val="continue"/>
            <w:vAlign w:val="center"/>
          </w:tcPr>
          <w:p>
            <w:pPr>
              <w:rPr>
                <w:color w:val="auto"/>
                <w:highlight w:val="none"/>
              </w:rPr>
            </w:pPr>
          </w:p>
        </w:tc>
        <w:tc>
          <w:tcPr>
            <w:tcW w:w="628" w:type="dxa"/>
            <w:vMerge w:val="continue"/>
            <w:vAlign w:val="center"/>
          </w:tcPr>
          <w:p>
            <w:pPr>
              <w:rPr>
                <w:color w:val="auto"/>
                <w:highlight w:val="none"/>
              </w:rPr>
            </w:pPr>
          </w:p>
        </w:tc>
        <w:tc>
          <w:tcPr>
            <w:tcW w:w="3716" w:type="dxa"/>
            <w:vAlign w:val="center"/>
          </w:tcPr>
          <w:p>
            <w:pPr>
              <w:spacing w:line="360" w:lineRule="auto"/>
              <w:rPr>
                <w:rFonts w:ascii="宋体" w:cs="宋体"/>
                <w:snapToGrid w:val="0"/>
                <w:color w:val="auto"/>
                <w:kern w:val="0"/>
                <w:sz w:val="20"/>
                <w:szCs w:val="21"/>
                <w:highlight w:val="none"/>
              </w:rPr>
            </w:pPr>
            <w:r>
              <w:rPr>
                <w:rFonts w:hint="eastAsia" w:ascii="宋体" w:cs="宋体"/>
                <w:snapToGrid w:val="0"/>
                <w:color w:val="auto"/>
                <w:kern w:val="0"/>
                <w:sz w:val="20"/>
                <w:szCs w:val="21"/>
                <w:highlight w:val="none"/>
                <w:lang w:val="zh-CN"/>
              </w:rPr>
              <w:t>（2）</w:t>
            </w:r>
            <w:r>
              <w:rPr>
                <w:rFonts w:hint="eastAsia" w:ascii="宋体" w:cs="宋体"/>
                <w:snapToGrid w:val="0"/>
                <w:color w:val="auto"/>
                <w:kern w:val="0"/>
                <w:sz w:val="20"/>
                <w:szCs w:val="21"/>
                <w:highlight w:val="none"/>
              </w:rPr>
              <w:t>具有良好的商业信誉和健全的财务会计制度</w:t>
            </w:r>
          </w:p>
        </w:tc>
        <w:tc>
          <w:tcPr>
            <w:tcW w:w="3580" w:type="dxa"/>
            <w:vAlign w:val="center"/>
          </w:tcPr>
          <w:p>
            <w:pPr>
              <w:pStyle w:val="10"/>
              <w:rPr>
                <w:rFonts w:ascii="宋体" w:cs="宋体"/>
                <w:snapToGrid w:val="0"/>
                <w:color w:val="auto"/>
                <w:kern w:val="0"/>
                <w:sz w:val="20"/>
                <w:szCs w:val="21"/>
                <w:highlight w:val="none"/>
              </w:rPr>
            </w:pPr>
            <w:r>
              <w:rPr>
                <w:rFonts w:hint="eastAsia" w:ascii="宋体" w:cs="宋体"/>
                <w:snapToGrid w:val="0"/>
                <w:color w:val="auto"/>
                <w:kern w:val="0"/>
                <w:sz w:val="20"/>
                <w:szCs w:val="21"/>
                <w:highlight w:val="none"/>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8" w:type="dxa"/>
            <w:vMerge w:val="continue"/>
            <w:vAlign w:val="center"/>
          </w:tcPr>
          <w:p>
            <w:pPr>
              <w:rPr>
                <w:color w:val="auto"/>
                <w:highlight w:val="none"/>
              </w:rPr>
            </w:pPr>
          </w:p>
        </w:tc>
        <w:tc>
          <w:tcPr>
            <w:tcW w:w="628" w:type="dxa"/>
            <w:vMerge w:val="continue"/>
            <w:vAlign w:val="center"/>
          </w:tcPr>
          <w:p>
            <w:pPr>
              <w:rPr>
                <w:color w:val="auto"/>
                <w:highlight w:val="none"/>
              </w:rPr>
            </w:pPr>
          </w:p>
        </w:tc>
        <w:tc>
          <w:tcPr>
            <w:tcW w:w="3716" w:type="dxa"/>
            <w:vAlign w:val="center"/>
          </w:tcPr>
          <w:p>
            <w:pPr>
              <w:spacing w:line="360" w:lineRule="auto"/>
              <w:rPr>
                <w:rFonts w:ascii="宋体" w:cs="宋体"/>
                <w:snapToGrid w:val="0"/>
                <w:color w:val="auto"/>
                <w:kern w:val="0"/>
                <w:sz w:val="20"/>
                <w:szCs w:val="21"/>
                <w:highlight w:val="none"/>
                <w:lang w:val="zh-CN"/>
              </w:rPr>
            </w:pPr>
            <w:r>
              <w:rPr>
                <w:rFonts w:hint="eastAsia" w:ascii="宋体" w:cs="宋体"/>
                <w:snapToGrid w:val="0"/>
                <w:color w:val="auto"/>
                <w:kern w:val="0"/>
                <w:sz w:val="20"/>
                <w:szCs w:val="21"/>
                <w:highlight w:val="none"/>
                <w:lang w:val="zh-CN"/>
              </w:rPr>
              <w:t>（3）具有履行合同所必需的设备和专业技术能力</w:t>
            </w:r>
          </w:p>
        </w:tc>
        <w:tc>
          <w:tcPr>
            <w:tcW w:w="3580" w:type="dxa"/>
            <w:vAlign w:val="center"/>
          </w:tcPr>
          <w:p>
            <w:pPr>
              <w:spacing w:line="360" w:lineRule="auto"/>
              <w:rPr>
                <w:rFonts w:ascii="宋体" w:cs="宋体"/>
                <w:snapToGrid w:val="0"/>
                <w:color w:val="auto"/>
                <w:kern w:val="0"/>
                <w:sz w:val="20"/>
                <w:szCs w:val="21"/>
                <w:highlight w:val="none"/>
              </w:rPr>
            </w:pPr>
            <w:r>
              <w:rPr>
                <w:rFonts w:hint="eastAsia" w:ascii="宋体" w:cs="宋体"/>
                <w:snapToGrid w:val="0"/>
                <w:color w:val="auto"/>
                <w:kern w:val="0"/>
                <w:sz w:val="20"/>
                <w:szCs w:val="21"/>
                <w:highlight w:val="none"/>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8" w:type="dxa"/>
            <w:vMerge w:val="continue"/>
            <w:vAlign w:val="center"/>
          </w:tcPr>
          <w:p>
            <w:pPr>
              <w:rPr>
                <w:color w:val="auto"/>
                <w:highlight w:val="none"/>
              </w:rPr>
            </w:pPr>
          </w:p>
        </w:tc>
        <w:tc>
          <w:tcPr>
            <w:tcW w:w="628" w:type="dxa"/>
            <w:vMerge w:val="continue"/>
            <w:vAlign w:val="center"/>
          </w:tcPr>
          <w:p>
            <w:pPr>
              <w:rPr>
                <w:color w:val="auto"/>
                <w:highlight w:val="none"/>
              </w:rPr>
            </w:pPr>
          </w:p>
        </w:tc>
        <w:tc>
          <w:tcPr>
            <w:tcW w:w="3716" w:type="dxa"/>
            <w:vAlign w:val="center"/>
          </w:tcPr>
          <w:p>
            <w:pPr>
              <w:spacing w:line="360" w:lineRule="auto"/>
              <w:rPr>
                <w:rFonts w:ascii="宋体" w:cs="宋体"/>
                <w:snapToGrid w:val="0"/>
                <w:color w:val="auto"/>
                <w:kern w:val="0"/>
                <w:sz w:val="20"/>
                <w:szCs w:val="21"/>
                <w:highlight w:val="none"/>
                <w:lang w:val="zh-CN"/>
              </w:rPr>
            </w:pPr>
            <w:r>
              <w:rPr>
                <w:rFonts w:hint="eastAsia" w:ascii="宋体" w:cs="宋体"/>
                <w:snapToGrid w:val="0"/>
                <w:color w:val="auto"/>
                <w:kern w:val="0"/>
                <w:sz w:val="20"/>
                <w:szCs w:val="21"/>
                <w:highlight w:val="none"/>
                <w:lang w:val="zh-CN"/>
              </w:rPr>
              <w:t>（4）有依法缴纳税收和社会保障金的良好记录</w:t>
            </w:r>
          </w:p>
        </w:tc>
        <w:tc>
          <w:tcPr>
            <w:tcW w:w="3580" w:type="dxa"/>
            <w:vAlign w:val="center"/>
          </w:tcPr>
          <w:p>
            <w:pPr>
              <w:spacing w:line="360" w:lineRule="auto"/>
              <w:jc w:val="left"/>
              <w:rPr>
                <w:rFonts w:ascii="宋体" w:cs="宋体"/>
                <w:snapToGrid w:val="0"/>
                <w:color w:val="auto"/>
                <w:kern w:val="0"/>
                <w:sz w:val="20"/>
                <w:szCs w:val="21"/>
                <w:highlight w:val="none"/>
              </w:rPr>
            </w:pPr>
            <w:r>
              <w:rPr>
                <w:rFonts w:hint="eastAsia" w:ascii="宋体" w:cs="宋体"/>
                <w:snapToGrid w:val="0"/>
                <w:color w:val="auto"/>
                <w:kern w:val="0"/>
                <w:sz w:val="20"/>
                <w:szCs w:val="21"/>
                <w:highlight w:val="none"/>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8" w:type="dxa"/>
            <w:vMerge w:val="continue"/>
            <w:vAlign w:val="center"/>
          </w:tcPr>
          <w:p>
            <w:pPr>
              <w:rPr>
                <w:color w:val="auto"/>
                <w:highlight w:val="none"/>
              </w:rPr>
            </w:pPr>
          </w:p>
        </w:tc>
        <w:tc>
          <w:tcPr>
            <w:tcW w:w="628" w:type="dxa"/>
            <w:vMerge w:val="continue"/>
            <w:vAlign w:val="center"/>
          </w:tcPr>
          <w:p>
            <w:pPr>
              <w:rPr>
                <w:color w:val="auto"/>
                <w:highlight w:val="none"/>
              </w:rPr>
            </w:pPr>
          </w:p>
        </w:tc>
        <w:tc>
          <w:tcPr>
            <w:tcW w:w="3716" w:type="dxa"/>
            <w:vAlign w:val="center"/>
          </w:tcPr>
          <w:p>
            <w:pPr>
              <w:spacing w:line="360" w:lineRule="auto"/>
              <w:rPr>
                <w:rFonts w:ascii="宋体" w:cs="宋体"/>
                <w:snapToGrid w:val="0"/>
                <w:color w:val="auto"/>
                <w:kern w:val="0"/>
                <w:sz w:val="20"/>
                <w:szCs w:val="21"/>
                <w:highlight w:val="none"/>
                <w:lang w:val="zh-CN"/>
              </w:rPr>
            </w:pPr>
            <w:r>
              <w:rPr>
                <w:rFonts w:hint="eastAsia" w:ascii="宋体" w:cs="宋体"/>
                <w:snapToGrid w:val="0"/>
                <w:color w:val="auto"/>
                <w:kern w:val="0"/>
                <w:sz w:val="20"/>
                <w:szCs w:val="21"/>
                <w:highlight w:val="none"/>
                <w:lang w:val="zh-CN"/>
              </w:rPr>
              <w:t>（</w:t>
            </w:r>
            <w:r>
              <w:rPr>
                <w:rFonts w:ascii="宋体" w:cs="宋体"/>
                <w:snapToGrid w:val="0"/>
                <w:color w:val="auto"/>
                <w:kern w:val="0"/>
                <w:sz w:val="20"/>
                <w:szCs w:val="21"/>
                <w:highlight w:val="none"/>
              </w:rPr>
              <w:t>5</w:t>
            </w:r>
            <w:r>
              <w:rPr>
                <w:rFonts w:hint="eastAsia" w:ascii="宋体" w:cs="宋体"/>
                <w:snapToGrid w:val="0"/>
                <w:color w:val="auto"/>
                <w:kern w:val="0"/>
                <w:sz w:val="20"/>
                <w:szCs w:val="21"/>
                <w:highlight w:val="none"/>
                <w:lang w:val="zh-CN"/>
              </w:rPr>
              <w:t>）三年内在经营活动中没有重大违法记录</w:t>
            </w:r>
          </w:p>
        </w:tc>
        <w:tc>
          <w:tcPr>
            <w:tcW w:w="3580" w:type="dxa"/>
            <w:vAlign w:val="center"/>
          </w:tcPr>
          <w:p>
            <w:pPr>
              <w:spacing w:line="360" w:lineRule="auto"/>
              <w:rPr>
                <w:rFonts w:ascii="宋体" w:cs="宋体"/>
                <w:snapToGrid w:val="0"/>
                <w:color w:val="auto"/>
                <w:kern w:val="0"/>
                <w:sz w:val="20"/>
                <w:szCs w:val="21"/>
                <w:highlight w:val="none"/>
              </w:rPr>
            </w:pPr>
            <w:r>
              <w:rPr>
                <w:rFonts w:hint="eastAsia" w:ascii="宋体" w:cs="宋体"/>
                <w:snapToGrid w:val="0"/>
                <w:color w:val="auto"/>
                <w:kern w:val="0"/>
                <w:sz w:val="20"/>
                <w:szCs w:val="21"/>
                <w:highlight w:val="none"/>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8" w:type="dxa"/>
            <w:vMerge w:val="continue"/>
            <w:vAlign w:val="center"/>
          </w:tcPr>
          <w:p>
            <w:pPr>
              <w:rPr>
                <w:color w:val="auto"/>
                <w:highlight w:val="none"/>
              </w:rPr>
            </w:pPr>
          </w:p>
        </w:tc>
        <w:tc>
          <w:tcPr>
            <w:tcW w:w="628" w:type="dxa"/>
            <w:vMerge w:val="continue"/>
            <w:vAlign w:val="center"/>
          </w:tcPr>
          <w:p>
            <w:pPr>
              <w:rPr>
                <w:color w:val="auto"/>
                <w:highlight w:val="none"/>
              </w:rPr>
            </w:pPr>
          </w:p>
        </w:tc>
        <w:tc>
          <w:tcPr>
            <w:tcW w:w="3716" w:type="dxa"/>
            <w:vAlign w:val="center"/>
          </w:tcPr>
          <w:p>
            <w:pPr>
              <w:spacing w:line="360" w:lineRule="auto"/>
              <w:rPr>
                <w:rFonts w:ascii="宋体" w:cs="宋体"/>
                <w:snapToGrid w:val="0"/>
                <w:color w:val="auto"/>
                <w:kern w:val="0"/>
                <w:sz w:val="20"/>
                <w:szCs w:val="21"/>
                <w:highlight w:val="none"/>
                <w:lang w:val="zh-CN"/>
              </w:rPr>
            </w:pPr>
            <w:r>
              <w:rPr>
                <w:rFonts w:hint="eastAsia" w:ascii="宋体" w:cs="宋体"/>
                <w:snapToGrid w:val="0"/>
                <w:color w:val="auto"/>
                <w:kern w:val="0"/>
                <w:sz w:val="20"/>
                <w:szCs w:val="21"/>
                <w:highlight w:val="none"/>
                <w:lang w:val="zh-CN"/>
              </w:rPr>
              <w:t>（</w:t>
            </w:r>
            <w:r>
              <w:rPr>
                <w:rFonts w:hint="eastAsia" w:ascii="宋体" w:cs="宋体"/>
                <w:snapToGrid w:val="0"/>
                <w:color w:val="auto"/>
                <w:kern w:val="0"/>
                <w:sz w:val="20"/>
                <w:szCs w:val="21"/>
                <w:highlight w:val="none"/>
              </w:rPr>
              <w:t>6</w:t>
            </w:r>
            <w:r>
              <w:rPr>
                <w:rFonts w:hint="eastAsia" w:ascii="宋体" w:cs="宋体"/>
                <w:snapToGrid w:val="0"/>
                <w:color w:val="auto"/>
                <w:kern w:val="0"/>
                <w:sz w:val="20"/>
                <w:szCs w:val="21"/>
                <w:highlight w:val="none"/>
                <w:lang w:val="zh-CN"/>
              </w:rPr>
              <w:t>）法人及法定代表人没有被人民法院列为失信被执行人名单</w:t>
            </w:r>
          </w:p>
        </w:tc>
        <w:tc>
          <w:tcPr>
            <w:tcW w:w="3580" w:type="dxa"/>
            <w:vAlign w:val="center"/>
          </w:tcPr>
          <w:p>
            <w:pPr>
              <w:spacing w:line="360" w:lineRule="auto"/>
              <w:rPr>
                <w:rFonts w:ascii="宋体" w:cs="宋体"/>
                <w:snapToGrid w:val="0"/>
                <w:color w:val="auto"/>
                <w:kern w:val="0"/>
                <w:sz w:val="20"/>
                <w:szCs w:val="21"/>
                <w:highlight w:val="none"/>
              </w:rPr>
            </w:pPr>
            <w:r>
              <w:rPr>
                <w:rFonts w:hint="eastAsia" w:ascii="宋体" w:cs="宋体"/>
                <w:snapToGrid w:val="0"/>
                <w:color w:val="auto"/>
                <w:kern w:val="0"/>
                <w:sz w:val="20"/>
                <w:szCs w:val="21"/>
                <w:highlight w:val="none"/>
              </w:rPr>
              <w:t>提供中国执行信息公开网截图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8" w:type="dxa"/>
            <w:vMerge w:val="restart"/>
            <w:vAlign w:val="center"/>
          </w:tcPr>
          <w:p>
            <w:pPr>
              <w:spacing w:line="360" w:lineRule="auto"/>
              <w:jc w:val="center"/>
              <w:rPr>
                <w:rFonts w:ascii="宋体" w:cs="宋体"/>
                <w:snapToGrid w:val="0"/>
                <w:color w:val="auto"/>
                <w:kern w:val="0"/>
                <w:sz w:val="20"/>
                <w:szCs w:val="21"/>
                <w:highlight w:val="none"/>
              </w:rPr>
            </w:pPr>
            <w:r>
              <w:rPr>
                <w:rFonts w:hint="eastAsia" w:ascii="宋体" w:cs="宋体"/>
                <w:snapToGrid w:val="0"/>
                <w:color w:val="auto"/>
                <w:kern w:val="0"/>
                <w:sz w:val="20"/>
                <w:szCs w:val="21"/>
                <w:highlight w:val="none"/>
              </w:rPr>
              <w:t>2</w:t>
            </w:r>
          </w:p>
        </w:tc>
        <w:tc>
          <w:tcPr>
            <w:tcW w:w="628" w:type="dxa"/>
            <w:vMerge w:val="restart"/>
            <w:vAlign w:val="center"/>
          </w:tcPr>
          <w:p>
            <w:pPr>
              <w:spacing w:line="360" w:lineRule="auto"/>
              <w:jc w:val="center"/>
              <w:rPr>
                <w:rFonts w:ascii="宋体" w:cs="宋体"/>
                <w:snapToGrid w:val="0"/>
                <w:color w:val="auto"/>
                <w:kern w:val="0"/>
                <w:sz w:val="20"/>
                <w:szCs w:val="21"/>
                <w:highlight w:val="none"/>
              </w:rPr>
            </w:pPr>
            <w:r>
              <w:rPr>
                <w:rFonts w:hint="eastAsia" w:ascii="宋体" w:cs="宋体"/>
                <w:snapToGrid w:val="0"/>
                <w:color w:val="auto"/>
                <w:kern w:val="0"/>
                <w:sz w:val="20"/>
                <w:szCs w:val="21"/>
                <w:highlight w:val="none"/>
                <w:lang w:val="zh-CN"/>
              </w:rPr>
              <w:t>特定资格条件</w:t>
            </w:r>
          </w:p>
        </w:tc>
        <w:tc>
          <w:tcPr>
            <w:tcW w:w="3716" w:type="dxa"/>
            <w:vAlign w:val="center"/>
          </w:tcPr>
          <w:p>
            <w:pPr>
              <w:spacing w:line="360" w:lineRule="auto"/>
              <w:rPr>
                <w:rFonts w:hint="eastAsia" w:ascii="宋体" w:eastAsia="宋体" w:cs="宋体"/>
                <w:snapToGrid w:val="0"/>
                <w:color w:val="auto"/>
                <w:kern w:val="0"/>
                <w:sz w:val="20"/>
                <w:szCs w:val="21"/>
                <w:highlight w:val="none"/>
                <w:lang w:val="zh-CN"/>
              </w:rPr>
            </w:pPr>
            <w:r>
              <w:rPr>
                <w:rFonts w:hint="eastAsia" w:ascii="宋体" w:cs="宋体"/>
                <w:snapToGrid w:val="0"/>
                <w:color w:val="auto"/>
                <w:kern w:val="0"/>
                <w:sz w:val="20"/>
                <w:szCs w:val="21"/>
                <w:highlight w:val="none"/>
                <w:lang w:val="zh-CN"/>
              </w:rPr>
              <w:t>（1）</w:t>
            </w:r>
            <w:r>
              <w:rPr>
                <w:rFonts w:ascii="宋体" w:cs="宋体"/>
                <w:snapToGrid w:val="0"/>
                <w:color w:val="auto"/>
                <w:kern w:val="0"/>
                <w:sz w:val="20"/>
                <w:szCs w:val="21"/>
                <w:highlight w:val="none"/>
                <w:lang w:val="zh-CN"/>
              </w:rPr>
              <w:t>2020年11月1日至今，参选人至少有一个银行的IBM相关软件维保产品的采购客户案例，案例以合同签订时间为准。同一家银行不同分、支行，或同一家银行在此期间的多次供货，均视为一个案例</w:t>
            </w:r>
          </w:p>
        </w:tc>
        <w:tc>
          <w:tcPr>
            <w:tcW w:w="3580" w:type="dxa"/>
            <w:vAlign w:val="center"/>
          </w:tcPr>
          <w:p>
            <w:pPr>
              <w:spacing w:line="360" w:lineRule="auto"/>
              <w:rPr>
                <w:rFonts w:ascii="宋体" w:cs="宋体"/>
                <w:snapToGrid w:val="0"/>
                <w:color w:val="auto"/>
                <w:kern w:val="0"/>
                <w:sz w:val="20"/>
                <w:szCs w:val="21"/>
                <w:highlight w:val="none"/>
              </w:rPr>
            </w:pPr>
            <w:r>
              <w:rPr>
                <w:rFonts w:ascii="宋体" w:cs="宋体"/>
                <w:snapToGrid w:val="0"/>
                <w:color w:val="auto"/>
                <w:kern w:val="0"/>
                <w:sz w:val="20"/>
                <w:szCs w:val="21"/>
                <w:highlight w:val="none"/>
              </w:rPr>
              <w:t>案例要求以下信息不可隐藏，包含：甲乙双方名称、双方印章、项目/产品的名称、合同/中选通知书签订时间等。以上证明文件若比选人存疑，参选人需提供原件备查,参选文件中须附相关证明文件复印件并逐页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8" w:type="dxa"/>
            <w:vMerge w:val="continue"/>
            <w:vAlign w:val="center"/>
          </w:tcPr>
          <w:p>
            <w:pPr>
              <w:rPr>
                <w:color w:val="auto"/>
                <w:highlight w:val="none"/>
              </w:rPr>
            </w:pPr>
          </w:p>
        </w:tc>
        <w:tc>
          <w:tcPr>
            <w:tcW w:w="628" w:type="dxa"/>
            <w:vMerge w:val="continue"/>
            <w:vAlign w:val="center"/>
          </w:tcPr>
          <w:p>
            <w:pPr>
              <w:rPr>
                <w:color w:val="auto"/>
                <w:highlight w:val="none"/>
              </w:rPr>
            </w:pPr>
          </w:p>
        </w:tc>
        <w:tc>
          <w:tcPr>
            <w:tcW w:w="3716" w:type="dxa"/>
            <w:vAlign w:val="center"/>
          </w:tcPr>
          <w:p>
            <w:pPr>
              <w:spacing w:line="360" w:lineRule="auto"/>
              <w:rPr>
                <w:rFonts w:hint="eastAsia" w:ascii="宋体" w:cs="宋体"/>
                <w:snapToGrid w:val="0"/>
                <w:color w:val="auto"/>
                <w:kern w:val="0"/>
                <w:sz w:val="20"/>
                <w:szCs w:val="21"/>
                <w:highlight w:val="none"/>
                <w:lang w:val="zh-CN"/>
              </w:rPr>
            </w:pPr>
            <w:r>
              <w:rPr>
                <w:rFonts w:hint="eastAsia" w:ascii="宋体" w:cs="宋体"/>
                <w:snapToGrid w:val="0"/>
                <w:color w:val="auto"/>
                <w:kern w:val="0"/>
                <w:sz w:val="20"/>
                <w:szCs w:val="21"/>
                <w:highlight w:val="none"/>
                <w:lang w:val="zh-CN"/>
              </w:rPr>
              <w:t>（2）</w:t>
            </w:r>
            <w:r>
              <w:rPr>
                <w:rFonts w:ascii="宋体" w:cs="宋体"/>
                <w:snapToGrid w:val="0"/>
                <w:color w:val="auto"/>
                <w:kern w:val="0"/>
                <w:sz w:val="20"/>
                <w:szCs w:val="21"/>
                <w:highlight w:val="none"/>
                <w:lang w:val="zh-CN"/>
              </w:rPr>
              <w:t>参选人包括原厂商或其合法代理商，若为代理商须提供产品原厂商对本项目的参选授权函原件或复印件</w:t>
            </w:r>
          </w:p>
        </w:tc>
        <w:tc>
          <w:tcPr>
            <w:tcW w:w="3580" w:type="dxa"/>
            <w:vAlign w:val="center"/>
          </w:tcPr>
          <w:p>
            <w:pPr>
              <w:spacing w:line="360" w:lineRule="auto"/>
              <w:rPr>
                <w:rFonts w:ascii="宋体" w:cs="宋体"/>
                <w:snapToGrid w:val="0"/>
                <w:color w:val="auto"/>
                <w:kern w:val="0"/>
                <w:sz w:val="20"/>
                <w:szCs w:val="21"/>
                <w:highlight w:val="none"/>
              </w:rPr>
            </w:pPr>
            <w:r>
              <w:rPr>
                <w:rFonts w:ascii="宋体" w:cs="宋体"/>
                <w:snapToGrid w:val="0"/>
                <w:color w:val="auto"/>
                <w:kern w:val="0"/>
                <w:sz w:val="20"/>
                <w:szCs w:val="21"/>
                <w:highlight w:val="none"/>
              </w:rPr>
              <w:t>以上证明文件若比选人存疑，参选人需提供原件备查，参选文件中须附相关证明文件复印件并逐页加盖公章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8" w:type="dxa"/>
            <w:vAlign w:val="center"/>
          </w:tcPr>
          <w:p>
            <w:pPr>
              <w:spacing w:line="360" w:lineRule="auto"/>
              <w:jc w:val="center"/>
              <w:rPr>
                <w:rFonts w:ascii="宋体" w:cs="宋体"/>
                <w:snapToGrid w:val="0"/>
                <w:color w:val="auto"/>
                <w:kern w:val="0"/>
                <w:sz w:val="20"/>
                <w:szCs w:val="21"/>
                <w:highlight w:val="none"/>
              </w:rPr>
            </w:pPr>
            <w:r>
              <w:rPr>
                <w:rFonts w:hint="eastAsia" w:ascii="宋体" w:cs="宋体"/>
                <w:snapToGrid w:val="0"/>
                <w:color w:val="auto"/>
                <w:kern w:val="0"/>
                <w:sz w:val="20"/>
                <w:szCs w:val="21"/>
                <w:highlight w:val="none"/>
              </w:rPr>
              <w:t>3</w:t>
            </w:r>
          </w:p>
        </w:tc>
        <w:tc>
          <w:tcPr>
            <w:tcW w:w="4344" w:type="dxa"/>
            <w:gridSpan w:val="2"/>
            <w:vAlign w:val="center"/>
          </w:tcPr>
          <w:p>
            <w:pPr>
              <w:spacing w:line="360" w:lineRule="auto"/>
              <w:rPr>
                <w:rFonts w:ascii="宋体" w:cs="宋体"/>
                <w:snapToGrid w:val="0"/>
                <w:color w:val="auto"/>
                <w:kern w:val="0"/>
                <w:sz w:val="20"/>
                <w:szCs w:val="21"/>
                <w:highlight w:val="none"/>
              </w:rPr>
            </w:pPr>
            <w:r>
              <w:rPr>
                <w:rFonts w:hint="eastAsia" w:ascii="宋体" w:cs="宋体"/>
                <w:snapToGrid w:val="0"/>
                <w:color w:val="auto"/>
                <w:kern w:val="0"/>
                <w:sz w:val="20"/>
                <w:szCs w:val="21"/>
                <w:highlight w:val="none"/>
              </w:rPr>
              <w:t>参选保证金</w:t>
            </w:r>
          </w:p>
        </w:tc>
        <w:tc>
          <w:tcPr>
            <w:tcW w:w="3580" w:type="dxa"/>
            <w:vAlign w:val="center"/>
          </w:tcPr>
          <w:p>
            <w:pPr>
              <w:spacing w:line="360" w:lineRule="auto"/>
              <w:rPr>
                <w:rFonts w:ascii="宋体" w:cs="宋体"/>
                <w:snapToGrid w:val="0"/>
                <w:color w:val="auto"/>
                <w:kern w:val="0"/>
                <w:sz w:val="20"/>
                <w:szCs w:val="21"/>
                <w:highlight w:val="none"/>
              </w:rPr>
            </w:pPr>
            <w:r>
              <w:rPr>
                <w:rFonts w:hint="eastAsia" w:ascii="宋体" w:cs="宋体"/>
                <w:snapToGrid w:val="0"/>
                <w:color w:val="auto"/>
                <w:kern w:val="0"/>
                <w:sz w:val="20"/>
                <w:szCs w:val="21"/>
                <w:highlight w:val="none"/>
              </w:rPr>
              <w:t>足额缴纳参选保证金</w:t>
            </w:r>
          </w:p>
        </w:tc>
      </w:tr>
    </w:tbl>
    <w:p>
      <w:pPr>
        <w:snapToGrid w:val="0"/>
        <w:spacing w:line="360" w:lineRule="auto"/>
        <w:ind w:firstLine="480" w:firstLineChars="200"/>
        <w:rPr>
          <w:rFonts w:ascii="宋体"/>
          <w:snapToGrid w:val="0"/>
          <w:color w:val="auto"/>
          <w:kern w:val="0"/>
          <w:sz w:val="24"/>
          <w:szCs w:val="24"/>
          <w:highlight w:val="none"/>
        </w:rPr>
      </w:pP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2、符合性检查。依据比选文件的规定，从</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人</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文件的有效性、完整性和对比选文件的响应程度进行审查，以确定是否对比选文件的实质性要求作出响应。符合性检查资料表如下：</w:t>
      </w:r>
    </w:p>
    <w:tbl>
      <w:tblPr>
        <w:tblStyle w:val="26"/>
        <w:tblW w:w="8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363"/>
        <w:gridCol w:w="1732"/>
        <w:gridCol w:w="4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0" w:type="dxa"/>
            <w:vAlign w:val="center"/>
          </w:tcPr>
          <w:p>
            <w:pPr>
              <w:spacing w:line="360" w:lineRule="auto"/>
              <w:jc w:val="center"/>
              <w:rPr>
                <w:rFonts w:ascii="宋体" w:cs="宋体"/>
                <w:b/>
                <w:color w:val="auto"/>
                <w:kern w:val="0"/>
                <w:sz w:val="20"/>
                <w:highlight w:val="none"/>
              </w:rPr>
            </w:pPr>
            <w:r>
              <w:rPr>
                <w:rFonts w:hint="eastAsia" w:ascii="宋体" w:cs="宋体"/>
                <w:b/>
                <w:color w:val="auto"/>
                <w:kern w:val="0"/>
                <w:sz w:val="20"/>
                <w:highlight w:val="none"/>
              </w:rPr>
              <w:t>序号</w:t>
            </w:r>
          </w:p>
        </w:tc>
        <w:tc>
          <w:tcPr>
            <w:tcW w:w="3095" w:type="dxa"/>
            <w:gridSpan w:val="2"/>
            <w:vAlign w:val="center"/>
          </w:tcPr>
          <w:p>
            <w:pPr>
              <w:spacing w:line="360" w:lineRule="auto"/>
              <w:jc w:val="center"/>
              <w:rPr>
                <w:rFonts w:ascii="宋体" w:cs="宋体"/>
                <w:b/>
                <w:color w:val="auto"/>
                <w:kern w:val="0"/>
                <w:sz w:val="20"/>
                <w:highlight w:val="none"/>
              </w:rPr>
            </w:pPr>
            <w:r>
              <w:rPr>
                <w:rFonts w:hint="eastAsia" w:ascii="宋体" w:cs="宋体"/>
                <w:b/>
                <w:color w:val="auto"/>
                <w:kern w:val="0"/>
                <w:sz w:val="20"/>
                <w:highlight w:val="none"/>
              </w:rPr>
              <w:t>评审因素</w:t>
            </w:r>
          </w:p>
        </w:tc>
        <w:tc>
          <w:tcPr>
            <w:tcW w:w="4724" w:type="dxa"/>
            <w:vAlign w:val="center"/>
          </w:tcPr>
          <w:p>
            <w:pPr>
              <w:spacing w:line="360" w:lineRule="auto"/>
              <w:jc w:val="center"/>
              <w:rPr>
                <w:rFonts w:ascii="宋体" w:cs="宋体"/>
                <w:b/>
                <w:color w:val="auto"/>
                <w:kern w:val="0"/>
                <w:sz w:val="20"/>
                <w:highlight w:val="none"/>
              </w:rPr>
            </w:pPr>
            <w:r>
              <w:rPr>
                <w:rFonts w:hint="eastAsia" w:ascii="宋体" w:cs="宋体"/>
                <w:b/>
                <w:color w:val="auto"/>
                <w:kern w:val="0"/>
                <w:sz w:val="20"/>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0" w:type="dxa"/>
            <w:vMerge w:val="restart"/>
            <w:vAlign w:val="center"/>
          </w:tcPr>
          <w:p>
            <w:pPr>
              <w:spacing w:line="360" w:lineRule="auto"/>
              <w:jc w:val="center"/>
              <w:rPr>
                <w:rFonts w:ascii="宋体" w:cs="宋体"/>
                <w:color w:val="auto"/>
                <w:kern w:val="0"/>
                <w:sz w:val="20"/>
                <w:highlight w:val="none"/>
              </w:rPr>
            </w:pPr>
            <w:r>
              <w:rPr>
                <w:rFonts w:hint="eastAsia" w:ascii="宋体" w:cs="宋体"/>
                <w:color w:val="auto"/>
                <w:kern w:val="0"/>
                <w:sz w:val="20"/>
                <w:highlight w:val="none"/>
              </w:rPr>
              <w:t>1</w:t>
            </w:r>
          </w:p>
        </w:tc>
        <w:tc>
          <w:tcPr>
            <w:tcW w:w="1363" w:type="dxa"/>
            <w:vMerge w:val="restart"/>
            <w:vAlign w:val="center"/>
          </w:tcPr>
          <w:p>
            <w:pPr>
              <w:spacing w:line="360" w:lineRule="auto"/>
              <w:rPr>
                <w:rFonts w:ascii="宋体" w:cs="宋体"/>
                <w:color w:val="auto"/>
                <w:kern w:val="0"/>
                <w:sz w:val="20"/>
                <w:highlight w:val="none"/>
              </w:rPr>
            </w:pPr>
            <w:r>
              <w:rPr>
                <w:rFonts w:hint="eastAsia" w:ascii="宋体" w:cs="宋体"/>
                <w:color w:val="auto"/>
                <w:kern w:val="0"/>
                <w:sz w:val="20"/>
                <w:highlight w:val="none"/>
              </w:rPr>
              <w:t>有效性审查</w:t>
            </w:r>
          </w:p>
        </w:tc>
        <w:tc>
          <w:tcPr>
            <w:tcW w:w="1732" w:type="dxa"/>
            <w:vAlign w:val="center"/>
          </w:tcPr>
          <w:p>
            <w:pPr>
              <w:spacing w:line="360" w:lineRule="auto"/>
              <w:rPr>
                <w:rFonts w:ascii="宋体" w:cs="宋体"/>
                <w:color w:val="auto"/>
                <w:kern w:val="0"/>
                <w:sz w:val="20"/>
                <w:highlight w:val="none"/>
              </w:rPr>
            </w:pPr>
            <w:r>
              <w:rPr>
                <w:rFonts w:hint="eastAsia" w:ascii="宋体" w:cs="宋体"/>
                <w:snapToGrid w:val="0"/>
                <w:color w:val="auto"/>
                <w:kern w:val="0"/>
                <w:sz w:val="20"/>
                <w:szCs w:val="2"/>
                <w:highlight w:val="none"/>
              </w:rPr>
              <w:t>参选</w:t>
            </w:r>
            <w:r>
              <w:rPr>
                <w:rFonts w:hint="eastAsia" w:ascii="宋体" w:cs="宋体"/>
                <w:color w:val="auto"/>
                <w:kern w:val="0"/>
                <w:sz w:val="20"/>
                <w:highlight w:val="none"/>
              </w:rPr>
              <w:t>文件签署</w:t>
            </w:r>
          </w:p>
        </w:tc>
        <w:tc>
          <w:tcPr>
            <w:tcW w:w="4724" w:type="dxa"/>
            <w:vAlign w:val="center"/>
          </w:tcPr>
          <w:p>
            <w:pPr>
              <w:spacing w:line="360" w:lineRule="auto"/>
              <w:rPr>
                <w:rFonts w:ascii="宋体" w:cs="宋体"/>
                <w:color w:val="auto"/>
                <w:kern w:val="0"/>
                <w:sz w:val="20"/>
                <w:highlight w:val="none"/>
              </w:rPr>
            </w:pPr>
            <w:r>
              <w:rPr>
                <w:rFonts w:hint="eastAsia" w:ascii="宋体" w:cs="宋体"/>
                <w:snapToGrid w:val="0"/>
                <w:color w:val="auto"/>
                <w:kern w:val="0"/>
                <w:sz w:val="20"/>
                <w:szCs w:val="2"/>
                <w:highlight w:val="none"/>
              </w:rPr>
              <w:t>参选</w:t>
            </w:r>
            <w:r>
              <w:rPr>
                <w:rFonts w:hint="eastAsia" w:ascii="宋体" w:cs="宋体"/>
                <w:color w:val="auto"/>
                <w:kern w:val="0"/>
                <w:sz w:val="20"/>
                <w:highlight w:val="none"/>
              </w:rPr>
              <w:t>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0" w:type="dxa"/>
            <w:vMerge w:val="continue"/>
            <w:vAlign w:val="center"/>
          </w:tcPr>
          <w:p>
            <w:pPr>
              <w:rPr>
                <w:color w:val="auto"/>
                <w:highlight w:val="none"/>
              </w:rPr>
            </w:pPr>
          </w:p>
        </w:tc>
        <w:tc>
          <w:tcPr>
            <w:tcW w:w="1363" w:type="dxa"/>
            <w:vMerge w:val="continue"/>
            <w:vAlign w:val="center"/>
          </w:tcPr>
          <w:p>
            <w:pPr>
              <w:rPr>
                <w:color w:val="auto"/>
                <w:highlight w:val="none"/>
              </w:rPr>
            </w:pPr>
          </w:p>
        </w:tc>
        <w:tc>
          <w:tcPr>
            <w:tcW w:w="1732" w:type="dxa"/>
            <w:vAlign w:val="center"/>
          </w:tcPr>
          <w:p>
            <w:pPr>
              <w:spacing w:line="360" w:lineRule="auto"/>
              <w:rPr>
                <w:rFonts w:ascii="宋体" w:cs="宋体"/>
                <w:color w:val="auto"/>
                <w:kern w:val="0"/>
                <w:sz w:val="20"/>
                <w:highlight w:val="none"/>
              </w:rPr>
            </w:pPr>
            <w:r>
              <w:rPr>
                <w:rFonts w:hint="eastAsia" w:ascii="宋体" w:cs="宋体"/>
                <w:color w:val="auto"/>
                <w:kern w:val="0"/>
                <w:sz w:val="20"/>
                <w:highlight w:val="none"/>
              </w:rPr>
              <w:t>法定代表人身份证明及授权委托书</w:t>
            </w:r>
          </w:p>
        </w:tc>
        <w:tc>
          <w:tcPr>
            <w:tcW w:w="4724" w:type="dxa"/>
            <w:vAlign w:val="center"/>
          </w:tcPr>
          <w:p>
            <w:pPr>
              <w:spacing w:line="360" w:lineRule="auto"/>
              <w:rPr>
                <w:rFonts w:ascii="宋体" w:cs="宋体"/>
                <w:color w:val="auto"/>
                <w:kern w:val="0"/>
                <w:sz w:val="20"/>
                <w:highlight w:val="none"/>
              </w:rPr>
            </w:pPr>
            <w:r>
              <w:rPr>
                <w:rFonts w:hint="eastAsia" w:ascii="宋体" w:cs="宋体"/>
                <w:color w:val="auto"/>
                <w:kern w:val="0"/>
                <w:sz w:val="20"/>
                <w:highlight w:val="none"/>
              </w:rPr>
              <w:t>法定代表人身份证明及授权委托书有效，符合比选文件规定的格式，签字或盖章齐全。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0" w:type="dxa"/>
            <w:vMerge w:val="continue"/>
            <w:vAlign w:val="center"/>
          </w:tcPr>
          <w:p>
            <w:pPr>
              <w:rPr>
                <w:color w:val="auto"/>
                <w:highlight w:val="none"/>
              </w:rPr>
            </w:pPr>
          </w:p>
        </w:tc>
        <w:tc>
          <w:tcPr>
            <w:tcW w:w="1363" w:type="dxa"/>
            <w:vMerge w:val="continue"/>
            <w:vAlign w:val="center"/>
          </w:tcPr>
          <w:p>
            <w:pPr>
              <w:rPr>
                <w:color w:val="auto"/>
                <w:highlight w:val="none"/>
              </w:rPr>
            </w:pPr>
          </w:p>
        </w:tc>
        <w:tc>
          <w:tcPr>
            <w:tcW w:w="1732" w:type="dxa"/>
            <w:vAlign w:val="center"/>
          </w:tcPr>
          <w:p>
            <w:pPr>
              <w:spacing w:line="360" w:lineRule="auto"/>
              <w:rPr>
                <w:rFonts w:ascii="宋体" w:cs="宋体"/>
                <w:color w:val="auto"/>
                <w:kern w:val="0"/>
                <w:sz w:val="20"/>
                <w:highlight w:val="none"/>
              </w:rPr>
            </w:pPr>
            <w:r>
              <w:rPr>
                <w:rFonts w:hint="eastAsia" w:ascii="宋体" w:cs="宋体"/>
                <w:snapToGrid w:val="0"/>
                <w:color w:val="auto"/>
                <w:kern w:val="0"/>
                <w:sz w:val="20"/>
                <w:szCs w:val="2"/>
                <w:highlight w:val="none"/>
              </w:rPr>
              <w:t>参选</w:t>
            </w:r>
            <w:r>
              <w:rPr>
                <w:rFonts w:hint="eastAsia" w:ascii="宋体" w:cs="宋体"/>
                <w:color w:val="auto"/>
                <w:kern w:val="0"/>
                <w:sz w:val="20"/>
                <w:highlight w:val="none"/>
              </w:rPr>
              <w:t>方案唯一</w:t>
            </w:r>
          </w:p>
        </w:tc>
        <w:tc>
          <w:tcPr>
            <w:tcW w:w="4724" w:type="dxa"/>
            <w:vAlign w:val="center"/>
          </w:tcPr>
          <w:p>
            <w:pPr>
              <w:spacing w:line="360" w:lineRule="auto"/>
              <w:rPr>
                <w:rFonts w:ascii="宋体" w:cs="宋体"/>
                <w:color w:val="auto"/>
                <w:kern w:val="0"/>
                <w:sz w:val="20"/>
                <w:highlight w:val="none"/>
              </w:rPr>
            </w:pPr>
            <w:r>
              <w:rPr>
                <w:rFonts w:hint="eastAsia" w:ascii="宋体" w:cs="宋体"/>
                <w:color w:val="auto"/>
                <w:kern w:val="0"/>
                <w:sz w:val="20"/>
                <w:highlight w:val="none"/>
              </w:rPr>
              <w:t>只能有一个方案</w:t>
            </w:r>
            <w:r>
              <w:rPr>
                <w:rFonts w:hint="eastAsia" w:ascii="宋体" w:cs="宋体"/>
                <w:snapToGrid w:val="0"/>
                <w:color w:val="auto"/>
                <w:kern w:val="0"/>
                <w:sz w:val="20"/>
                <w:szCs w:val="2"/>
                <w:highlight w:val="none"/>
              </w:rPr>
              <w:t>参选</w:t>
            </w:r>
            <w:r>
              <w:rPr>
                <w:rFonts w:hint="eastAsia" w:ascii="宋体" w:cs="宋体"/>
                <w:color w:val="auto"/>
                <w:kern w:val="0"/>
                <w:sz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0" w:type="dxa"/>
            <w:vMerge w:val="continue"/>
            <w:vAlign w:val="center"/>
          </w:tcPr>
          <w:p>
            <w:pPr>
              <w:rPr>
                <w:color w:val="auto"/>
                <w:highlight w:val="none"/>
              </w:rPr>
            </w:pPr>
          </w:p>
        </w:tc>
        <w:tc>
          <w:tcPr>
            <w:tcW w:w="1363" w:type="dxa"/>
            <w:vMerge w:val="continue"/>
            <w:vAlign w:val="center"/>
          </w:tcPr>
          <w:p>
            <w:pPr>
              <w:rPr>
                <w:color w:val="auto"/>
                <w:highlight w:val="none"/>
              </w:rPr>
            </w:pPr>
          </w:p>
        </w:tc>
        <w:tc>
          <w:tcPr>
            <w:tcW w:w="1732" w:type="dxa"/>
            <w:vAlign w:val="center"/>
          </w:tcPr>
          <w:p>
            <w:pPr>
              <w:spacing w:line="360" w:lineRule="auto"/>
              <w:rPr>
                <w:rFonts w:ascii="宋体" w:cs="宋体"/>
                <w:color w:val="auto"/>
                <w:kern w:val="0"/>
                <w:sz w:val="20"/>
                <w:highlight w:val="none"/>
              </w:rPr>
            </w:pPr>
            <w:r>
              <w:rPr>
                <w:rFonts w:hint="eastAsia" w:ascii="宋体" w:cs="宋体"/>
                <w:color w:val="auto"/>
                <w:kern w:val="0"/>
                <w:sz w:val="20"/>
                <w:highlight w:val="none"/>
              </w:rPr>
              <w:t>报价唯一</w:t>
            </w:r>
          </w:p>
        </w:tc>
        <w:tc>
          <w:tcPr>
            <w:tcW w:w="4724" w:type="dxa"/>
            <w:vAlign w:val="center"/>
          </w:tcPr>
          <w:p>
            <w:pPr>
              <w:spacing w:line="360" w:lineRule="auto"/>
              <w:rPr>
                <w:rFonts w:ascii="宋体" w:cs="宋体"/>
                <w:color w:val="auto"/>
                <w:kern w:val="0"/>
                <w:sz w:val="20"/>
                <w:highlight w:val="none"/>
              </w:rPr>
            </w:pPr>
            <w:r>
              <w:rPr>
                <w:rFonts w:hint="eastAsia" w:ascii="宋体" w:cs="宋体"/>
                <w:color w:val="auto"/>
                <w:kern w:val="0"/>
                <w:sz w:val="20"/>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0" w:type="dxa"/>
            <w:vMerge w:val="restart"/>
            <w:vAlign w:val="center"/>
          </w:tcPr>
          <w:p>
            <w:pPr>
              <w:spacing w:line="360" w:lineRule="auto"/>
              <w:jc w:val="center"/>
              <w:rPr>
                <w:rFonts w:ascii="宋体" w:cs="宋体"/>
                <w:color w:val="auto"/>
                <w:kern w:val="0"/>
                <w:sz w:val="20"/>
                <w:highlight w:val="none"/>
              </w:rPr>
            </w:pPr>
            <w:r>
              <w:rPr>
                <w:rFonts w:hint="eastAsia" w:ascii="宋体" w:cs="宋体"/>
                <w:color w:val="auto"/>
                <w:kern w:val="0"/>
                <w:sz w:val="20"/>
                <w:highlight w:val="none"/>
              </w:rPr>
              <w:t>2</w:t>
            </w:r>
          </w:p>
        </w:tc>
        <w:tc>
          <w:tcPr>
            <w:tcW w:w="1363" w:type="dxa"/>
            <w:vMerge w:val="restart"/>
            <w:vAlign w:val="center"/>
          </w:tcPr>
          <w:p>
            <w:pPr>
              <w:spacing w:line="360" w:lineRule="auto"/>
              <w:rPr>
                <w:rFonts w:ascii="宋体" w:cs="宋体"/>
                <w:color w:val="auto"/>
                <w:kern w:val="0"/>
                <w:sz w:val="20"/>
                <w:highlight w:val="none"/>
              </w:rPr>
            </w:pPr>
            <w:r>
              <w:rPr>
                <w:rFonts w:hint="eastAsia" w:ascii="宋体" w:cs="宋体"/>
                <w:color w:val="auto"/>
                <w:kern w:val="0"/>
                <w:sz w:val="20"/>
                <w:highlight w:val="none"/>
              </w:rPr>
              <w:t>完整性审查</w:t>
            </w:r>
          </w:p>
        </w:tc>
        <w:tc>
          <w:tcPr>
            <w:tcW w:w="1732" w:type="dxa"/>
            <w:vAlign w:val="center"/>
          </w:tcPr>
          <w:p>
            <w:pPr>
              <w:spacing w:line="360" w:lineRule="auto"/>
              <w:rPr>
                <w:rFonts w:ascii="宋体" w:cs="宋体"/>
                <w:color w:val="auto"/>
                <w:kern w:val="0"/>
                <w:sz w:val="20"/>
                <w:highlight w:val="none"/>
              </w:rPr>
            </w:pPr>
            <w:r>
              <w:rPr>
                <w:rFonts w:hint="eastAsia" w:ascii="宋体" w:cs="宋体"/>
                <w:snapToGrid w:val="0"/>
                <w:color w:val="auto"/>
                <w:kern w:val="0"/>
                <w:sz w:val="20"/>
                <w:szCs w:val="2"/>
                <w:highlight w:val="none"/>
              </w:rPr>
              <w:t>参选</w:t>
            </w:r>
            <w:r>
              <w:rPr>
                <w:rFonts w:hint="eastAsia" w:ascii="宋体" w:cs="宋体"/>
                <w:color w:val="auto"/>
                <w:kern w:val="0"/>
                <w:sz w:val="20"/>
                <w:highlight w:val="none"/>
              </w:rPr>
              <w:t>文件份数</w:t>
            </w:r>
          </w:p>
        </w:tc>
        <w:tc>
          <w:tcPr>
            <w:tcW w:w="4724" w:type="dxa"/>
            <w:vAlign w:val="center"/>
          </w:tcPr>
          <w:p>
            <w:pPr>
              <w:spacing w:line="360" w:lineRule="auto"/>
              <w:rPr>
                <w:rFonts w:ascii="宋体" w:cs="宋体"/>
                <w:color w:val="auto"/>
                <w:kern w:val="0"/>
                <w:sz w:val="20"/>
                <w:highlight w:val="none"/>
              </w:rPr>
            </w:pPr>
            <w:r>
              <w:rPr>
                <w:rFonts w:hint="eastAsia" w:ascii="宋体" w:cs="宋体"/>
                <w:snapToGrid w:val="0"/>
                <w:color w:val="auto"/>
                <w:kern w:val="0"/>
                <w:sz w:val="20"/>
                <w:szCs w:val="2"/>
                <w:highlight w:val="none"/>
              </w:rPr>
              <w:t>参选</w:t>
            </w:r>
            <w:r>
              <w:rPr>
                <w:rFonts w:hint="eastAsia" w:ascii="宋体" w:cs="宋体"/>
                <w:color w:val="auto"/>
                <w:kern w:val="0"/>
                <w:sz w:val="20"/>
                <w:highlight w:val="none"/>
              </w:rPr>
              <w:t>文件正、副本数量符合比选文件要求。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0" w:type="dxa"/>
            <w:vMerge w:val="continue"/>
            <w:vAlign w:val="center"/>
          </w:tcPr>
          <w:p>
            <w:pPr>
              <w:rPr>
                <w:color w:val="auto"/>
                <w:highlight w:val="none"/>
              </w:rPr>
            </w:pPr>
          </w:p>
        </w:tc>
        <w:tc>
          <w:tcPr>
            <w:tcW w:w="1363" w:type="dxa"/>
            <w:vMerge w:val="continue"/>
            <w:vAlign w:val="center"/>
          </w:tcPr>
          <w:p>
            <w:pPr>
              <w:rPr>
                <w:color w:val="auto"/>
                <w:highlight w:val="none"/>
              </w:rPr>
            </w:pPr>
          </w:p>
        </w:tc>
        <w:tc>
          <w:tcPr>
            <w:tcW w:w="1732" w:type="dxa"/>
            <w:vAlign w:val="center"/>
          </w:tcPr>
          <w:p>
            <w:pPr>
              <w:spacing w:line="360" w:lineRule="auto"/>
              <w:rPr>
                <w:rFonts w:ascii="宋体" w:cs="宋体"/>
                <w:color w:val="auto"/>
                <w:kern w:val="0"/>
                <w:sz w:val="20"/>
                <w:highlight w:val="none"/>
              </w:rPr>
            </w:pPr>
            <w:r>
              <w:rPr>
                <w:rFonts w:hint="eastAsia" w:ascii="宋体" w:cs="宋体"/>
                <w:snapToGrid w:val="0"/>
                <w:color w:val="auto"/>
                <w:kern w:val="0"/>
                <w:sz w:val="20"/>
                <w:szCs w:val="2"/>
                <w:highlight w:val="none"/>
              </w:rPr>
              <w:t>参选</w:t>
            </w:r>
            <w:r>
              <w:rPr>
                <w:rFonts w:hint="eastAsia" w:ascii="宋体" w:cs="宋体"/>
                <w:color w:val="auto"/>
                <w:kern w:val="0"/>
                <w:sz w:val="20"/>
                <w:highlight w:val="none"/>
              </w:rPr>
              <w:t>文件内容</w:t>
            </w:r>
          </w:p>
        </w:tc>
        <w:tc>
          <w:tcPr>
            <w:tcW w:w="4724" w:type="dxa"/>
            <w:vAlign w:val="center"/>
          </w:tcPr>
          <w:p>
            <w:pPr>
              <w:spacing w:line="360" w:lineRule="auto"/>
              <w:rPr>
                <w:rFonts w:ascii="宋体" w:cs="宋体"/>
                <w:color w:val="auto"/>
                <w:kern w:val="0"/>
                <w:sz w:val="20"/>
                <w:highlight w:val="none"/>
              </w:rPr>
            </w:pPr>
            <w:r>
              <w:rPr>
                <w:rFonts w:hint="eastAsia" w:ascii="宋体" w:cs="宋体"/>
                <w:snapToGrid w:val="0"/>
                <w:color w:val="auto"/>
                <w:kern w:val="0"/>
                <w:sz w:val="20"/>
                <w:szCs w:val="2"/>
                <w:highlight w:val="none"/>
              </w:rPr>
              <w:t>参选</w:t>
            </w:r>
            <w:r>
              <w:rPr>
                <w:rFonts w:hint="eastAsia" w:ascii="宋体" w:cs="宋体"/>
                <w:color w:val="auto"/>
                <w:kern w:val="0"/>
                <w:sz w:val="20"/>
                <w:highlight w:val="none"/>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0" w:type="dxa"/>
            <w:vMerge w:val="restart"/>
            <w:vAlign w:val="center"/>
          </w:tcPr>
          <w:p>
            <w:pPr>
              <w:spacing w:line="360" w:lineRule="auto"/>
              <w:jc w:val="center"/>
              <w:rPr>
                <w:rFonts w:ascii="宋体" w:cs="宋体"/>
                <w:color w:val="auto"/>
                <w:kern w:val="0"/>
                <w:sz w:val="20"/>
                <w:highlight w:val="none"/>
              </w:rPr>
            </w:pPr>
            <w:r>
              <w:rPr>
                <w:rFonts w:hint="eastAsia" w:ascii="宋体" w:cs="宋体"/>
                <w:color w:val="auto"/>
                <w:kern w:val="0"/>
                <w:sz w:val="20"/>
                <w:highlight w:val="none"/>
              </w:rPr>
              <w:t>3</w:t>
            </w:r>
          </w:p>
        </w:tc>
        <w:tc>
          <w:tcPr>
            <w:tcW w:w="1363" w:type="dxa"/>
            <w:vMerge w:val="restart"/>
            <w:vAlign w:val="center"/>
          </w:tcPr>
          <w:p>
            <w:pPr>
              <w:spacing w:line="360" w:lineRule="auto"/>
              <w:rPr>
                <w:rFonts w:ascii="宋体" w:cs="宋体"/>
                <w:color w:val="auto"/>
                <w:kern w:val="0"/>
                <w:sz w:val="20"/>
                <w:highlight w:val="none"/>
              </w:rPr>
            </w:pPr>
            <w:r>
              <w:rPr>
                <w:rFonts w:hint="eastAsia" w:ascii="宋体" w:cs="宋体"/>
                <w:color w:val="auto"/>
                <w:kern w:val="0"/>
                <w:sz w:val="20"/>
                <w:highlight w:val="none"/>
              </w:rPr>
              <w:t>响应程度审查</w:t>
            </w:r>
          </w:p>
        </w:tc>
        <w:tc>
          <w:tcPr>
            <w:tcW w:w="1732" w:type="dxa"/>
            <w:vAlign w:val="center"/>
          </w:tcPr>
          <w:p>
            <w:pPr>
              <w:spacing w:line="360" w:lineRule="auto"/>
              <w:rPr>
                <w:rFonts w:ascii="宋体" w:cs="宋体"/>
                <w:color w:val="auto"/>
                <w:kern w:val="0"/>
                <w:sz w:val="20"/>
                <w:highlight w:val="none"/>
              </w:rPr>
            </w:pPr>
            <w:r>
              <w:rPr>
                <w:rFonts w:hint="eastAsia" w:ascii="宋体" w:cs="宋体"/>
                <w:snapToGrid w:val="0"/>
                <w:color w:val="auto"/>
                <w:kern w:val="0"/>
                <w:sz w:val="20"/>
                <w:szCs w:val="2"/>
                <w:highlight w:val="none"/>
              </w:rPr>
              <w:t>参选</w:t>
            </w:r>
            <w:r>
              <w:rPr>
                <w:rFonts w:hint="eastAsia" w:ascii="宋体" w:cs="宋体"/>
                <w:color w:val="auto"/>
                <w:kern w:val="0"/>
                <w:sz w:val="20"/>
                <w:highlight w:val="none"/>
              </w:rPr>
              <w:t>文件内容</w:t>
            </w:r>
          </w:p>
        </w:tc>
        <w:tc>
          <w:tcPr>
            <w:tcW w:w="4724" w:type="dxa"/>
            <w:vAlign w:val="center"/>
          </w:tcPr>
          <w:p>
            <w:pPr>
              <w:pStyle w:val="16"/>
              <w:spacing w:line="360" w:lineRule="auto"/>
              <w:rPr>
                <w:rFonts w:ascii="宋体" w:cs="宋体"/>
                <w:color w:val="auto"/>
                <w:kern w:val="0"/>
                <w:sz w:val="20"/>
                <w:highlight w:val="none"/>
              </w:rPr>
            </w:pPr>
            <w:r>
              <w:rPr>
                <w:rFonts w:hint="eastAsia" w:ascii="宋体" w:hAnsi="Cambria Math" w:cs="宋体"/>
                <w:color w:val="auto"/>
                <w:kern w:val="0"/>
                <w:sz w:val="20"/>
                <w:szCs w:val="20"/>
                <w:highlight w:val="none"/>
                <w:lang w:val="en-US" w:eastAsia="zh-CN"/>
              </w:rPr>
              <w:t>根据商务条款偏离表内容与</w:t>
            </w:r>
            <w:r>
              <w:rPr>
                <w:rFonts w:hint="eastAsia" w:ascii="宋体" w:hAnsi="Cambria Math" w:eastAsia="宋体" w:cs="宋体"/>
                <w:color w:val="auto"/>
                <w:kern w:val="0"/>
                <w:sz w:val="20"/>
                <w:szCs w:val="20"/>
                <w:highlight w:val="none"/>
              </w:rPr>
              <w:t>比选文件第</w:t>
            </w:r>
            <w:r>
              <w:rPr>
                <w:rFonts w:hint="eastAsia" w:ascii="宋体" w:hAnsi="Cambria Math" w:cs="宋体"/>
                <w:color w:val="auto"/>
                <w:kern w:val="0"/>
                <w:sz w:val="20"/>
                <w:szCs w:val="20"/>
                <w:highlight w:val="none"/>
                <w:lang w:val="en-US" w:eastAsia="zh-CN"/>
              </w:rPr>
              <w:t>四</w:t>
            </w:r>
            <w:r>
              <w:rPr>
                <w:rFonts w:hint="eastAsia" w:ascii="宋体" w:hAnsi="Cambria Math" w:eastAsia="宋体" w:cs="宋体"/>
                <w:color w:val="auto"/>
                <w:kern w:val="0"/>
                <w:sz w:val="20"/>
                <w:szCs w:val="20"/>
                <w:highlight w:val="none"/>
              </w:rPr>
              <w:t>章规定的比选内容</w:t>
            </w:r>
            <w:r>
              <w:rPr>
                <w:rFonts w:hint="eastAsia" w:ascii="宋体" w:hAnsi="Cambria Math" w:cs="宋体"/>
                <w:color w:val="auto"/>
                <w:kern w:val="0"/>
                <w:sz w:val="20"/>
                <w:szCs w:val="20"/>
                <w:highlight w:val="none"/>
                <w:lang w:eastAsia="zh-CN"/>
              </w:rPr>
              <w:t>，</w:t>
            </w:r>
            <w:r>
              <w:rPr>
                <w:rFonts w:hint="eastAsia" w:ascii="宋体" w:hAnsi="Cambria Math" w:cs="宋体"/>
                <w:color w:val="auto"/>
                <w:kern w:val="0"/>
                <w:sz w:val="20"/>
                <w:szCs w:val="20"/>
                <w:highlight w:val="none"/>
                <w:lang w:val="en-US" w:eastAsia="zh-CN"/>
              </w:rPr>
              <w:t>确认参选人是否对</w:t>
            </w:r>
            <w:r>
              <w:rPr>
                <w:rFonts w:hint="eastAsia" w:ascii="宋体" w:hAnsi="Cambria Math" w:eastAsia="宋体" w:cs="宋体"/>
                <w:color w:val="auto"/>
                <w:kern w:val="0"/>
                <w:sz w:val="20"/>
                <w:szCs w:val="20"/>
                <w:highlight w:val="none"/>
              </w:rPr>
              <w:t>比选文件第</w:t>
            </w:r>
            <w:r>
              <w:rPr>
                <w:rFonts w:hint="eastAsia" w:ascii="宋体" w:hAnsi="Cambria Math" w:cs="宋体"/>
                <w:color w:val="auto"/>
                <w:kern w:val="0"/>
                <w:sz w:val="20"/>
                <w:szCs w:val="20"/>
                <w:highlight w:val="none"/>
                <w:lang w:val="en-US" w:eastAsia="zh-CN"/>
              </w:rPr>
              <w:t>四</w:t>
            </w:r>
            <w:r>
              <w:rPr>
                <w:rFonts w:hint="eastAsia" w:ascii="宋体" w:hAnsi="Cambria Math" w:eastAsia="宋体" w:cs="宋体"/>
                <w:color w:val="auto"/>
                <w:kern w:val="0"/>
                <w:sz w:val="20"/>
                <w:szCs w:val="20"/>
                <w:highlight w:val="none"/>
              </w:rPr>
              <w:t>章规定的比选内容作出响应。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0" w:type="dxa"/>
            <w:vMerge w:val="continue"/>
            <w:vAlign w:val="center"/>
          </w:tcPr>
          <w:p>
            <w:pPr>
              <w:rPr>
                <w:color w:val="auto"/>
                <w:highlight w:val="none"/>
              </w:rPr>
            </w:pPr>
          </w:p>
        </w:tc>
        <w:tc>
          <w:tcPr>
            <w:tcW w:w="1363" w:type="dxa"/>
            <w:vMerge w:val="continue"/>
            <w:vAlign w:val="center"/>
          </w:tcPr>
          <w:p>
            <w:pPr>
              <w:rPr>
                <w:color w:val="auto"/>
                <w:highlight w:val="none"/>
              </w:rPr>
            </w:pPr>
          </w:p>
        </w:tc>
        <w:tc>
          <w:tcPr>
            <w:tcW w:w="1732" w:type="dxa"/>
            <w:vAlign w:val="center"/>
          </w:tcPr>
          <w:p>
            <w:pPr>
              <w:spacing w:line="360" w:lineRule="auto"/>
              <w:rPr>
                <w:rFonts w:ascii="宋体" w:cs="宋体"/>
                <w:color w:val="auto"/>
                <w:kern w:val="0"/>
                <w:sz w:val="20"/>
                <w:highlight w:val="none"/>
              </w:rPr>
            </w:pPr>
            <w:r>
              <w:rPr>
                <w:rFonts w:hint="eastAsia" w:ascii="宋体" w:cs="宋体"/>
                <w:snapToGrid w:val="0"/>
                <w:color w:val="auto"/>
                <w:kern w:val="0"/>
                <w:sz w:val="20"/>
                <w:szCs w:val="2"/>
                <w:highlight w:val="none"/>
              </w:rPr>
              <w:t>参选</w:t>
            </w:r>
            <w:r>
              <w:rPr>
                <w:rFonts w:hint="eastAsia" w:ascii="宋体" w:cs="宋体"/>
                <w:color w:val="auto"/>
                <w:kern w:val="0"/>
                <w:sz w:val="20"/>
                <w:highlight w:val="none"/>
              </w:rPr>
              <w:t>有效期</w:t>
            </w:r>
          </w:p>
        </w:tc>
        <w:tc>
          <w:tcPr>
            <w:tcW w:w="4724" w:type="dxa"/>
            <w:vAlign w:val="center"/>
          </w:tcPr>
          <w:p>
            <w:pPr>
              <w:spacing w:line="360" w:lineRule="auto"/>
              <w:rPr>
                <w:rFonts w:ascii="宋体" w:cs="宋体"/>
                <w:color w:val="auto"/>
                <w:kern w:val="0"/>
                <w:sz w:val="20"/>
                <w:highlight w:val="none"/>
              </w:rPr>
            </w:pPr>
            <w:r>
              <w:rPr>
                <w:rFonts w:hint="eastAsia" w:ascii="宋体" w:cs="宋体"/>
                <w:color w:val="auto"/>
                <w:kern w:val="0"/>
                <w:sz w:val="20"/>
                <w:highlight w:val="none"/>
              </w:rPr>
              <w:t>满足比选文件规定。</w:t>
            </w:r>
          </w:p>
        </w:tc>
      </w:tr>
    </w:tbl>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3、澄清有关问题。对</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文件中含义不明确、同类问题表述不一致或者有明显文字和计算错误的内容，评审委员会可以书面形式（应当由评审委员会成员签字）要求</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人作出必要澄清、说明或者纠正。</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人的澄清、说明或者补正应当采用书面形式，由其授权的代表签字，并不得超出</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文件的范围或者改变</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文件的实质性内容。</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4、比较与评价。按比选文件中规定的比选方法和标准，对资格性检查和符合性检查合格的</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文件进行商务和技术评估，综合比较与评价。</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评审委员会成员应当独立对每个有效</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人的</w:t>
      </w:r>
      <w:r>
        <w:rPr>
          <w:rFonts w:hint="eastAsia" w:ascii="宋体" w:cs="宋体"/>
          <w:snapToGrid w:val="0"/>
          <w:color w:val="auto"/>
          <w:kern w:val="0"/>
          <w:sz w:val="24"/>
          <w:szCs w:val="24"/>
          <w:highlight w:val="none"/>
        </w:rPr>
        <w:t>参选文件</w:t>
      </w:r>
      <w:r>
        <w:rPr>
          <w:rFonts w:hint="eastAsia" w:ascii="宋体"/>
          <w:snapToGrid w:val="0"/>
          <w:color w:val="auto"/>
          <w:kern w:val="0"/>
          <w:sz w:val="24"/>
          <w:szCs w:val="24"/>
          <w:highlight w:val="none"/>
        </w:rPr>
        <w:t>进行评价、打分，对同一</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人同一评分项的打分偏离较大的，应对</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人的</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文件进行再次核对，确属打分有误的，应及时进行修正。复核后，汇总每个</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人每项评分因素的得分。</w:t>
      </w:r>
    </w:p>
    <w:p>
      <w:pPr>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5、推荐中选候选人名单。按评审后得分由高到低顺序排列推荐中选候选人。得分排名第一的</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人为第一中选候选人，以此类推排名</w:t>
      </w:r>
      <w:r>
        <w:rPr>
          <w:rFonts w:hint="eastAsia" w:ascii="宋体"/>
          <w:snapToGrid w:val="0"/>
          <w:color w:val="auto"/>
          <w:kern w:val="0"/>
          <w:sz w:val="24"/>
          <w:szCs w:val="24"/>
          <w:highlight w:val="none"/>
          <w:lang w:eastAsia="zh-CN"/>
        </w:rPr>
        <w:t>，推荐三名中选候选人</w:t>
      </w:r>
      <w:r>
        <w:rPr>
          <w:rFonts w:hint="eastAsia" w:ascii="宋体"/>
          <w:snapToGrid w:val="0"/>
          <w:color w:val="auto"/>
          <w:kern w:val="0"/>
          <w:sz w:val="24"/>
          <w:szCs w:val="24"/>
          <w:highlight w:val="none"/>
        </w:rPr>
        <w:t>。</w:t>
      </w:r>
    </w:p>
    <w:p>
      <w:pPr>
        <w:spacing w:line="360" w:lineRule="auto"/>
        <w:ind w:firstLine="482" w:firstLineChars="200"/>
        <w:jc w:val="left"/>
        <w:outlineLvl w:val="2"/>
        <w:rPr>
          <w:rFonts w:ascii="宋体"/>
          <w:b/>
          <w:snapToGrid w:val="0"/>
          <w:color w:val="auto"/>
          <w:kern w:val="0"/>
          <w:sz w:val="24"/>
          <w:szCs w:val="24"/>
          <w:highlight w:val="none"/>
        </w:rPr>
      </w:pPr>
      <w:r>
        <w:rPr>
          <w:rFonts w:hint="eastAsia" w:ascii="宋体"/>
          <w:b/>
          <w:snapToGrid w:val="0"/>
          <w:color w:val="auto"/>
          <w:kern w:val="0"/>
          <w:sz w:val="24"/>
          <w:szCs w:val="24"/>
          <w:highlight w:val="none"/>
        </w:rPr>
        <w:t>二、</w:t>
      </w:r>
      <w:r>
        <w:rPr>
          <w:rFonts w:hint="eastAsia" w:ascii="宋体"/>
          <w:b/>
          <w:snapToGrid w:val="0"/>
          <w:color w:val="auto"/>
          <w:kern w:val="0"/>
          <w:sz w:val="24"/>
          <w:szCs w:val="24"/>
          <w:highlight w:val="none"/>
          <w:lang w:val="en-US" w:eastAsia="zh-CN"/>
        </w:rPr>
        <w:t>评审</w:t>
      </w:r>
      <w:r>
        <w:rPr>
          <w:rFonts w:hint="eastAsia" w:ascii="宋体"/>
          <w:b/>
          <w:snapToGrid w:val="0"/>
          <w:color w:val="auto"/>
          <w:kern w:val="0"/>
          <w:sz w:val="24"/>
          <w:szCs w:val="24"/>
          <w:highlight w:val="none"/>
        </w:rPr>
        <w:t>标准</w:t>
      </w:r>
    </w:p>
    <w:p>
      <w:pPr>
        <w:spacing w:line="360" w:lineRule="auto"/>
        <w:ind w:firstLine="480" w:firstLineChars="200"/>
        <w:rPr>
          <w:rFonts w:ascii="宋体"/>
          <w:bCs/>
          <w:snapToGrid w:val="0"/>
          <w:color w:val="auto"/>
          <w:kern w:val="0"/>
          <w:sz w:val="24"/>
          <w:szCs w:val="24"/>
          <w:highlight w:val="none"/>
        </w:rPr>
      </w:pPr>
      <w:r>
        <w:rPr>
          <w:rFonts w:ascii="宋体"/>
          <w:bCs/>
          <w:snapToGrid w:val="0"/>
          <w:color w:val="auto"/>
          <w:kern w:val="0"/>
          <w:sz w:val="24"/>
          <w:szCs w:val="24"/>
          <w:highlight w:val="none"/>
        </w:rPr>
        <w:t>评分</w:t>
      </w:r>
      <w:r>
        <w:rPr>
          <w:rFonts w:hint="eastAsia" w:ascii="宋体"/>
          <w:bCs/>
          <w:snapToGrid w:val="0"/>
          <w:color w:val="auto"/>
          <w:kern w:val="0"/>
          <w:sz w:val="24"/>
          <w:szCs w:val="24"/>
          <w:highlight w:val="none"/>
        </w:rPr>
        <w:t>总分为1</w:t>
      </w:r>
      <w:r>
        <w:rPr>
          <w:rFonts w:ascii="宋体"/>
          <w:bCs/>
          <w:snapToGrid w:val="0"/>
          <w:color w:val="auto"/>
          <w:kern w:val="0"/>
          <w:sz w:val="24"/>
          <w:szCs w:val="24"/>
          <w:highlight w:val="none"/>
        </w:rPr>
        <w:t>00</w:t>
      </w:r>
      <w:r>
        <w:rPr>
          <w:rFonts w:hint="eastAsia" w:ascii="宋体"/>
          <w:bCs/>
          <w:snapToGrid w:val="0"/>
          <w:color w:val="auto"/>
          <w:kern w:val="0"/>
          <w:sz w:val="24"/>
          <w:szCs w:val="24"/>
          <w:highlight w:val="none"/>
        </w:rPr>
        <w:t>分，</w:t>
      </w:r>
      <w:r>
        <w:rPr>
          <w:rFonts w:ascii="宋体"/>
          <w:bCs/>
          <w:snapToGrid w:val="0"/>
          <w:color w:val="auto"/>
          <w:kern w:val="0"/>
          <w:sz w:val="24"/>
          <w:szCs w:val="24"/>
          <w:highlight w:val="none"/>
        </w:rPr>
        <w:t>具体标准如下：</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092"/>
        <w:gridCol w:w="1093"/>
        <w:gridCol w:w="971"/>
        <w:gridCol w:w="970"/>
        <w:gridCol w:w="3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78" w:type="dxa"/>
            <w:shd w:val="clear" w:color="auto" w:fill="auto"/>
            <w:noWrap/>
          </w:tcPr>
          <w:p>
            <w:pPr>
              <w:jc w:val="center"/>
              <w:rPr>
                <w:rFonts w:ascii="宋体"/>
                <w:b/>
                <w:color w:val="auto"/>
                <w:sz w:val="20"/>
                <w:highlight w:val="none"/>
              </w:rPr>
            </w:pPr>
            <w:r>
              <w:rPr>
                <w:rFonts w:hint="eastAsia" w:ascii="宋体"/>
                <w:b/>
                <w:color w:val="auto"/>
                <w:sz w:val="20"/>
                <w:highlight w:val="none"/>
              </w:rPr>
              <w:t>序号</w:t>
            </w:r>
          </w:p>
        </w:tc>
        <w:tc>
          <w:tcPr>
            <w:tcW w:w="1092" w:type="dxa"/>
            <w:shd w:val="clear" w:color="auto" w:fill="auto"/>
            <w:noWrap/>
          </w:tcPr>
          <w:p>
            <w:pPr>
              <w:jc w:val="center"/>
              <w:rPr>
                <w:rFonts w:ascii="宋体"/>
                <w:b/>
                <w:color w:val="auto"/>
                <w:sz w:val="20"/>
                <w:highlight w:val="none"/>
              </w:rPr>
            </w:pPr>
            <w:r>
              <w:rPr>
                <w:rFonts w:hint="eastAsia" w:ascii="宋体"/>
                <w:b/>
                <w:color w:val="auto"/>
                <w:sz w:val="20"/>
                <w:highlight w:val="none"/>
              </w:rPr>
              <w:t>分类</w:t>
            </w:r>
          </w:p>
        </w:tc>
        <w:tc>
          <w:tcPr>
            <w:tcW w:w="1093" w:type="dxa"/>
            <w:shd w:val="clear" w:color="auto" w:fill="auto"/>
            <w:noWrap/>
          </w:tcPr>
          <w:p>
            <w:pPr>
              <w:jc w:val="center"/>
              <w:rPr>
                <w:rFonts w:ascii="宋体"/>
                <w:b/>
                <w:color w:val="auto"/>
                <w:sz w:val="20"/>
                <w:highlight w:val="none"/>
              </w:rPr>
            </w:pPr>
            <w:r>
              <w:rPr>
                <w:rFonts w:hint="eastAsia" w:ascii="宋体"/>
                <w:b/>
                <w:color w:val="auto"/>
                <w:sz w:val="20"/>
                <w:highlight w:val="none"/>
              </w:rPr>
              <w:t>评分指标</w:t>
            </w:r>
          </w:p>
        </w:tc>
        <w:tc>
          <w:tcPr>
            <w:tcW w:w="971" w:type="dxa"/>
            <w:shd w:val="clear" w:color="auto" w:fill="auto"/>
            <w:noWrap/>
          </w:tcPr>
          <w:p>
            <w:pPr>
              <w:jc w:val="center"/>
              <w:rPr>
                <w:rFonts w:ascii="宋体"/>
                <w:b/>
                <w:color w:val="auto"/>
                <w:sz w:val="20"/>
                <w:highlight w:val="none"/>
              </w:rPr>
            </w:pPr>
            <w:r>
              <w:rPr>
                <w:rFonts w:hint="eastAsia" w:ascii="宋体"/>
                <w:b/>
                <w:color w:val="auto"/>
                <w:sz w:val="20"/>
                <w:highlight w:val="none"/>
              </w:rPr>
              <w:t>分项指标</w:t>
            </w:r>
          </w:p>
        </w:tc>
        <w:tc>
          <w:tcPr>
            <w:tcW w:w="970" w:type="dxa"/>
            <w:shd w:val="clear" w:color="auto" w:fill="auto"/>
            <w:noWrap/>
          </w:tcPr>
          <w:p>
            <w:pPr>
              <w:jc w:val="center"/>
              <w:rPr>
                <w:rFonts w:ascii="宋体"/>
                <w:b/>
                <w:color w:val="auto"/>
                <w:sz w:val="20"/>
                <w:highlight w:val="none"/>
              </w:rPr>
            </w:pPr>
            <w:r>
              <w:rPr>
                <w:rFonts w:hint="eastAsia" w:ascii="宋体"/>
                <w:b/>
                <w:color w:val="auto"/>
                <w:sz w:val="20"/>
                <w:highlight w:val="none"/>
              </w:rPr>
              <w:t>分项分值</w:t>
            </w:r>
          </w:p>
        </w:tc>
        <w:tc>
          <w:tcPr>
            <w:tcW w:w="3818" w:type="dxa"/>
            <w:shd w:val="clear" w:color="auto" w:fill="auto"/>
            <w:noWrap/>
          </w:tcPr>
          <w:p>
            <w:pPr>
              <w:jc w:val="center"/>
              <w:rPr>
                <w:rFonts w:ascii="宋体"/>
                <w:b/>
                <w:color w:val="auto"/>
                <w:sz w:val="20"/>
                <w:highlight w:val="none"/>
              </w:rPr>
            </w:pPr>
            <w:r>
              <w:rPr>
                <w:rFonts w:hint="eastAsia" w:ascii="宋体"/>
                <w:b/>
                <w:color w:val="auto"/>
                <w:sz w:val="20"/>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578" w:type="dxa"/>
            <w:shd w:val="clear" w:color="auto" w:fill="auto"/>
            <w:noWrap/>
            <w:vAlign w:val="center"/>
          </w:tcPr>
          <w:p>
            <w:pPr>
              <w:jc w:val="center"/>
              <w:rPr>
                <w:rFonts w:ascii="宋体"/>
                <w:color w:val="auto"/>
                <w:sz w:val="20"/>
                <w:highlight w:val="none"/>
              </w:rPr>
            </w:pPr>
            <w:r>
              <w:rPr>
                <w:rFonts w:hint="eastAsia" w:ascii="宋体"/>
                <w:color w:val="auto"/>
                <w:sz w:val="20"/>
                <w:highlight w:val="none"/>
              </w:rPr>
              <w:t>1</w:t>
            </w:r>
          </w:p>
        </w:tc>
        <w:tc>
          <w:tcPr>
            <w:tcW w:w="1092" w:type="dxa"/>
            <w:shd w:val="clear" w:color="auto" w:fill="auto"/>
            <w:noWrap/>
            <w:vAlign w:val="center"/>
          </w:tcPr>
          <w:p>
            <w:pPr>
              <w:jc w:val="center"/>
              <w:rPr>
                <w:rFonts w:ascii="宋体"/>
                <w:color w:val="auto"/>
                <w:sz w:val="20"/>
                <w:highlight w:val="none"/>
              </w:rPr>
            </w:pPr>
            <w:r>
              <w:rPr>
                <w:rFonts w:hint="eastAsia" w:ascii="宋体"/>
                <w:color w:val="auto"/>
                <w:sz w:val="20"/>
                <w:highlight w:val="none"/>
              </w:rPr>
              <w:t>商务评分(</w:t>
            </w:r>
            <w:r>
              <w:rPr>
                <w:rFonts w:ascii="宋体"/>
                <w:color w:val="auto"/>
                <w:sz w:val="20"/>
                <w:highlight w:val="none"/>
              </w:rPr>
              <w:t>100</w:t>
            </w:r>
            <w:r>
              <w:rPr>
                <w:rFonts w:hint="eastAsia" w:ascii="宋体"/>
                <w:color w:val="auto"/>
                <w:sz w:val="20"/>
                <w:highlight w:val="none"/>
              </w:rPr>
              <w:t>分)</w:t>
            </w:r>
          </w:p>
        </w:tc>
        <w:tc>
          <w:tcPr>
            <w:tcW w:w="1093" w:type="dxa"/>
            <w:shd w:val="clear" w:color="auto" w:fill="auto"/>
            <w:noWrap/>
            <w:vAlign w:val="center"/>
          </w:tcPr>
          <w:p>
            <w:pPr>
              <w:jc w:val="center"/>
              <w:rPr>
                <w:rFonts w:ascii="宋体"/>
                <w:color w:val="auto"/>
                <w:sz w:val="20"/>
                <w:highlight w:val="none"/>
              </w:rPr>
            </w:pPr>
            <w:r>
              <w:rPr>
                <w:rFonts w:hint="eastAsia" w:ascii="宋体"/>
                <w:snapToGrid w:val="0"/>
                <w:color w:val="auto"/>
                <w:sz w:val="20"/>
                <w:szCs w:val="2"/>
                <w:highlight w:val="none"/>
              </w:rPr>
              <w:t>参选</w:t>
            </w:r>
            <w:r>
              <w:rPr>
                <w:rFonts w:hint="eastAsia" w:ascii="宋体"/>
                <w:color w:val="auto"/>
                <w:sz w:val="20"/>
                <w:highlight w:val="none"/>
              </w:rPr>
              <w:t>总价</w:t>
            </w:r>
          </w:p>
          <w:p>
            <w:pPr>
              <w:jc w:val="center"/>
              <w:rPr>
                <w:rFonts w:ascii="宋体"/>
                <w:color w:val="auto"/>
                <w:sz w:val="20"/>
                <w:highlight w:val="none"/>
              </w:rPr>
            </w:pPr>
            <w:r>
              <w:rPr>
                <w:rFonts w:hint="eastAsia" w:ascii="宋体"/>
                <w:color w:val="auto"/>
                <w:sz w:val="20"/>
                <w:highlight w:val="none"/>
              </w:rPr>
              <w:t>（</w:t>
            </w:r>
            <w:r>
              <w:rPr>
                <w:rFonts w:ascii="宋体"/>
                <w:color w:val="auto"/>
                <w:sz w:val="20"/>
                <w:highlight w:val="none"/>
              </w:rPr>
              <w:t>100</w:t>
            </w:r>
            <w:r>
              <w:rPr>
                <w:rFonts w:hint="eastAsia" w:ascii="宋体"/>
                <w:color w:val="auto"/>
                <w:sz w:val="20"/>
                <w:highlight w:val="none"/>
              </w:rPr>
              <w:t>分）</w:t>
            </w:r>
          </w:p>
        </w:tc>
        <w:tc>
          <w:tcPr>
            <w:tcW w:w="971" w:type="dxa"/>
            <w:shd w:val="clear" w:color="auto" w:fill="auto"/>
            <w:noWrap/>
            <w:vAlign w:val="center"/>
          </w:tcPr>
          <w:p>
            <w:pPr>
              <w:jc w:val="center"/>
              <w:rPr>
                <w:rFonts w:ascii="宋体"/>
                <w:color w:val="auto"/>
                <w:sz w:val="20"/>
                <w:highlight w:val="none"/>
              </w:rPr>
            </w:pPr>
            <w:r>
              <w:rPr>
                <w:rFonts w:hint="eastAsia" w:ascii="宋体"/>
                <w:color w:val="auto"/>
                <w:sz w:val="20"/>
                <w:highlight w:val="none"/>
              </w:rPr>
              <w:t>参选价格</w:t>
            </w:r>
          </w:p>
        </w:tc>
        <w:tc>
          <w:tcPr>
            <w:tcW w:w="970" w:type="dxa"/>
            <w:shd w:val="clear" w:color="auto" w:fill="auto"/>
            <w:noWrap/>
            <w:vAlign w:val="center"/>
          </w:tcPr>
          <w:p>
            <w:pPr>
              <w:jc w:val="center"/>
              <w:rPr>
                <w:rFonts w:ascii="宋体"/>
                <w:b/>
                <w:color w:val="auto"/>
                <w:sz w:val="20"/>
                <w:highlight w:val="none"/>
              </w:rPr>
            </w:pPr>
            <w:r>
              <w:rPr>
                <w:rFonts w:ascii="宋体"/>
                <w:b/>
                <w:color w:val="auto"/>
                <w:sz w:val="20"/>
                <w:highlight w:val="none"/>
              </w:rPr>
              <w:t>10</w:t>
            </w:r>
            <w:r>
              <w:rPr>
                <w:rFonts w:hint="eastAsia" w:ascii="宋体"/>
                <w:b/>
                <w:color w:val="auto"/>
                <w:sz w:val="20"/>
                <w:highlight w:val="none"/>
              </w:rPr>
              <w:t>0</w:t>
            </w:r>
          </w:p>
        </w:tc>
        <w:tc>
          <w:tcPr>
            <w:tcW w:w="3818" w:type="dxa"/>
            <w:shd w:val="clear" w:color="auto" w:fill="auto"/>
            <w:noWrap/>
          </w:tcPr>
          <w:p>
            <w:pPr>
              <w:rPr>
                <w:rFonts w:hint="eastAsia" w:ascii="宋体"/>
                <w:color w:val="auto"/>
                <w:sz w:val="20"/>
                <w:highlight w:val="none"/>
              </w:rPr>
            </w:pPr>
            <w:r>
              <w:rPr>
                <w:rFonts w:hint="eastAsia" w:ascii="宋体"/>
                <w:color w:val="auto"/>
                <w:sz w:val="20"/>
                <w:highlight w:val="none"/>
              </w:rPr>
              <w:t>1.以有效报价的最低价作为评审基准价；</w:t>
            </w:r>
          </w:p>
          <w:p>
            <w:pPr>
              <w:rPr>
                <w:rFonts w:hint="eastAsia" w:ascii="宋体"/>
                <w:color w:val="auto"/>
                <w:sz w:val="20"/>
                <w:highlight w:val="none"/>
              </w:rPr>
            </w:pPr>
            <w:r>
              <w:rPr>
                <w:rFonts w:hint="eastAsia" w:ascii="宋体"/>
                <w:color w:val="auto"/>
                <w:sz w:val="20"/>
                <w:highlight w:val="none"/>
              </w:rPr>
              <w:t>2.计算各有效报价与基准价的偏离度。偏离度=（有效报价/评审基准价-1）*100%；</w:t>
            </w:r>
          </w:p>
          <w:p>
            <w:pPr>
              <w:rPr>
                <w:rFonts w:hint="eastAsia" w:ascii="宋体"/>
                <w:color w:val="auto"/>
                <w:sz w:val="20"/>
                <w:highlight w:val="none"/>
              </w:rPr>
            </w:pPr>
            <w:r>
              <w:rPr>
                <w:rFonts w:hint="eastAsia" w:ascii="宋体"/>
                <w:color w:val="auto"/>
                <w:sz w:val="20"/>
                <w:highlight w:val="none"/>
              </w:rPr>
              <w:t>3.报价向上每偏离基准价的1%扣1分，不足1%的不予扣减。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70" w:type="dxa"/>
            <w:gridSpan w:val="2"/>
            <w:shd w:val="clear" w:color="auto" w:fill="auto"/>
            <w:noWrap/>
          </w:tcPr>
          <w:p>
            <w:pPr>
              <w:jc w:val="center"/>
              <w:rPr>
                <w:rFonts w:ascii="宋体"/>
                <w:color w:val="auto"/>
                <w:sz w:val="22"/>
                <w:highlight w:val="none"/>
              </w:rPr>
            </w:pPr>
          </w:p>
        </w:tc>
        <w:tc>
          <w:tcPr>
            <w:tcW w:w="2064" w:type="dxa"/>
            <w:gridSpan w:val="2"/>
            <w:shd w:val="clear" w:color="auto" w:fill="auto"/>
            <w:noWrap/>
          </w:tcPr>
          <w:p>
            <w:pPr>
              <w:jc w:val="center"/>
              <w:rPr>
                <w:rFonts w:ascii="宋体"/>
                <w:b/>
                <w:color w:val="auto"/>
                <w:sz w:val="20"/>
                <w:highlight w:val="none"/>
              </w:rPr>
            </w:pPr>
            <w:r>
              <w:rPr>
                <w:rFonts w:hint="eastAsia" w:ascii="宋体"/>
                <w:b/>
                <w:color w:val="auto"/>
                <w:sz w:val="20"/>
                <w:highlight w:val="none"/>
              </w:rPr>
              <w:t>合计</w:t>
            </w:r>
          </w:p>
        </w:tc>
        <w:tc>
          <w:tcPr>
            <w:tcW w:w="970" w:type="dxa"/>
            <w:shd w:val="clear" w:color="auto" w:fill="auto"/>
            <w:noWrap/>
          </w:tcPr>
          <w:p>
            <w:pPr>
              <w:jc w:val="center"/>
              <w:rPr>
                <w:rFonts w:ascii="宋体"/>
                <w:b/>
                <w:color w:val="auto"/>
                <w:sz w:val="20"/>
                <w:highlight w:val="none"/>
              </w:rPr>
            </w:pPr>
            <w:r>
              <w:rPr>
                <w:rFonts w:hint="eastAsia" w:ascii="宋体"/>
                <w:b/>
                <w:color w:val="auto"/>
                <w:sz w:val="20"/>
                <w:highlight w:val="none"/>
              </w:rPr>
              <w:t>100</w:t>
            </w:r>
          </w:p>
        </w:tc>
        <w:tc>
          <w:tcPr>
            <w:tcW w:w="3818" w:type="dxa"/>
            <w:shd w:val="clear" w:color="auto" w:fill="auto"/>
            <w:noWrap/>
          </w:tcPr>
          <w:p>
            <w:pPr>
              <w:jc w:val="center"/>
              <w:rPr>
                <w:rFonts w:ascii="宋体"/>
                <w:b/>
                <w:color w:val="auto"/>
                <w:sz w:val="20"/>
                <w:highlight w:val="none"/>
              </w:rPr>
            </w:pPr>
          </w:p>
        </w:tc>
      </w:tr>
    </w:tbl>
    <w:p>
      <w:pPr>
        <w:spacing w:line="360" w:lineRule="auto"/>
        <w:ind w:firstLine="482" w:firstLineChars="200"/>
        <w:jc w:val="left"/>
        <w:outlineLvl w:val="2"/>
        <w:rPr>
          <w:rFonts w:ascii="宋体"/>
          <w:b/>
          <w:snapToGrid w:val="0"/>
          <w:color w:val="auto"/>
          <w:kern w:val="0"/>
          <w:sz w:val="24"/>
          <w:szCs w:val="24"/>
          <w:highlight w:val="none"/>
        </w:rPr>
      </w:pPr>
      <w:r>
        <w:rPr>
          <w:rFonts w:hint="eastAsia" w:ascii="宋体"/>
          <w:b/>
          <w:snapToGrid w:val="0"/>
          <w:color w:val="auto"/>
          <w:kern w:val="0"/>
          <w:sz w:val="24"/>
          <w:szCs w:val="24"/>
          <w:highlight w:val="none"/>
        </w:rPr>
        <w:t>三、无效</w:t>
      </w:r>
      <w:r>
        <w:rPr>
          <w:rFonts w:ascii="宋体"/>
          <w:b/>
          <w:snapToGrid w:val="0"/>
          <w:color w:val="auto"/>
          <w:kern w:val="0"/>
          <w:sz w:val="24"/>
          <w:szCs w:val="24"/>
          <w:highlight w:val="none"/>
        </w:rPr>
        <w:t>参选</w:t>
      </w:r>
      <w:r>
        <w:rPr>
          <w:rFonts w:hint="eastAsia" w:ascii="宋体"/>
          <w:b/>
          <w:snapToGrid w:val="0"/>
          <w:color w:val="auto"/>
          <w:kern w:val="0"/>
          <w:sz w:val="24"/>
          <w:szCs w:val="24"/>
          <w:highlight w:val="none"/>
        </w:rPr>
        <w:t>条款</w:t>
      </w:r>
    </w:p>
    <w:p>
      <w:pPr>
        <w:snapToGrid w:val="0"/>
        <w:spacing w:line="360" w:lineRule="auto"/>
        <w:ind w:firstLine="480" w:firstLineChars="200"/>
        <w:rPr>
          <w:rFonts w:ascii="宋体"/>
          <w:snapToGrid w:val="0"/>
          <w:color w:val="auto"/>
          <w:kern w:val="0"/>
          <w:sz w:val="24"/>
          <w:szCs w:val="24"/>
          <w:highlight w:val="none"/>
        </w:rPr>
      </w:pP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人或其</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文件出现下列情况之一者，应为无效</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w:t>
      </w:r>
    </w:p>
    <w:p>
      <w:pPr>
        <w:snapToGrid w:val="0"/>
        <w:spacing w:line="360" w:lineRule="auto"/>
        <w:ind w:firstLine="480" w:firstLineChars="200"/>
        <w:rPr>
          <w:rFonts w:ascii="Times New Roman" w:hAnsi="Times New Roman" w:cs="Times New Roman"/>
          <w:snapToGrid w:val="0"/>
          <w:color w:val="auto"/>
          <w:kern w:val="0"/>
          <w:sz w:val="24"/>
          <w:szCs w:val="24"/>
          <w:highlight w:val="none"/>
        </w:rPr>
      </w:pPr>
      <w:r>
        <w:rPr>
          <w:rFonts w:ascii="Times New Roman" w:hAnsi="Times New Roman" w:cs="Times New Roman"/>
          <w:snapToGrid w:val="0"/>
          <w:color w:val="auto"/>
          <w:kern w:val="0"/>
          <w:sz w:val="24"/>
          <w:szCs w:val="24"/>
          <w:highlight w:val="none"/>
        </w:rPr>
        <w:t>（一）参选人未按比选文件规定提交足额参选保证金的</w:t>
      </w:r>
      <w:r>
        <w:rPr>
          <w:rFonts w:hint="eastAsia" w:ascii="宋体"/>
          <w:snapToGrid w:val="0"/>
          <w:color w:val="auto"/>
          <w:kern w:val="0"/>
          <w:sz w:val="24"/>
          <w:szCs w:val="24"/>
          <w:highlight w:val="none"/>
        </w:rPr>
        <w:t>。</w:t>
      </w:r>
    </w:p>
    <w:p>
      <w:pPr>
        <w:snapToGrid w:val="0"/>
        <w:spacing w:line="360" w:lineRule="auto"/>
        <w:ind w:firstLine="480" w:firstLineChars="200"/>
        <w:rPr>
          <w:rFonts w:ascii="Times New Roman" w:hAnsi="Times New Roman" w:cs="Times New Roman"/>
          <w:snapToGrid w:val="0"/>
          <w:color w:val="auto"/>
          <w:kern w:val="0"/>
          <w:sz w:val="24"/>
          <w:szCs w:val="24"/>
          <w:highlight w:val="none"/>
        </w:rPr>
      </w:pPr>
      <w:r>
        <w:rPr>
          <w:rFonts w:ascii="Times New Roman" w:hAnsi="Times New Roman" w:cs="Times New Roman"/>
          <w:snapToGrid w:val="0"/>
          <w:color w:val="auto"/>
          <w:kern w:val="0"/>
          <w:sz w:val="24"/>
          <w:szCs w:val="24"/>
          <w:highlight w:val="none"/>
        </w:rPr>
        <w:t>（二）参选人未通过资格性检查，参选文件未通过符合性检查或参选文件经证实存在弄虚作假的</w:t>
      </w:r>
      <w:r>
        <w:rPr>
          <w:rFonts w:hint="eastAsia" w:ascii="宋体"/>
          <w:snapToGrid w:val="0"/>
          <w:color w:val="auto"/>
          <w:kern w:val="0"/>
          <w:sz w:val="24"/>
          <w:szCs w:val="24"/>
          <w:highlight w:val="none"/>
        </w:rPr>
        <w:t>。</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（三）</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人超出其营业执照或事业单位法人证书上经营范围（业务范围）</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的。</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（四）单位负责人为同一人或者存在直接控股、管理关系的不同</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人，不得参加同一合同项下的采购活动，上述</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人的</w:t>
      </w:r>
      <w:r>
        <w:rPr>
          <w:rFonts w:hint="eastAsia" w:ascii="宋体" w:cs="宋体"/>
          <w:snapToGrid w:val="0"/>
          <w:color w:val="auto"/>
          <w:kern w:val="0"/>
          <w:sz w:val="24"/>
          <w:szCs w:val="24"/>
          <w:highlight w:val="none"/>
        </w:rPr>
        <w:t>参选</w:t>
      </w:r>
      <w:r>
        <w:rPr>
          <w:rFonts w:hint="eastAsia" w:ascii="宋体"/>
          <w:snapToGrid w:val="0"/>
          <w:color w:val="auto"/>
          <w:kern w:val="0"/>
          <w:sz w:val="24"/>
          <w:szCs w:val="24"/>
          <w:highlight w:val="none"/>
        </w:rPr>
        <w:t>均无效。</w:t>
      </w:r>
    </w:p>
    <w:p>
      <w:pPr>
        <w:snapToGrid w:val="0"/>
        <w:spacing w:line="360" w:lineRule="auto"/>
        <w:ind w:firstLine="480" w:firstLineChars="200"/>
        <w:rPr>
          <w:rFonts w:ascii="Times New Roman" w:hAnsi="Times New Roman" w:cs="Times New Roman"/>
          <w:snapToGrid w:val="0"/>
          <w:color w:val="auto"/>
          <w:kern w:val="0"/>
          <w:sz w:val="24"/>
          <w:szCs w:val="24"/>
          <w:highlight w:val="none"/>
        </w:rPr>
      </w:pPr>
      <w:r>
        <w:rPr>
          <w:rFonts w:ascii="Times New Roman" w:hAnsi="Times New Roman" w:cs="Times New Roman"/>
          <w:snapToGrid w:val="0"/>
          <w:color w:val="auto"/>
          <w:kern w:val="0"/>
          <w:sz w:val="24"/>
          <w:szCs w:val="24"/>
          <w:highlight w:val="none"/>
        </w:rPr>
        <w:t>（五）同一分包的软件，制造商参与参选，再委托代理商参与参选的</w:t>
      </w:r>
      <w:r>
        <w:rPr>
          <w:rFonts w:hint="eastAsia" w:ascii="宋体"/>
          <w:snapToGrid w:val="0"/>
          <w:color w:val="auto"/>
          <w:kern w:val="0"/>
          <w:sz w:val="24"/>
          <w:szCs w:val="24"/>
          <w:highlight w:val="none"/>
        </w:rPr>
        <w:t>。</w:t>
      </w:r>
    </w:p>
    <w:p>
      <w:pPr>
        <w:snapToGrid w:val="0"/>
        <w:spacing w:line="360" w:lineRule="auto"/>
        <w:ind w:firstLine="480" w:firstLineChars="200"/>
        <w:rPr>
          <w:rFonts w:ascii="Times New Roman" w:hAnsi="Times New Roman" w:cs="Times New Roman"/>
          <w:snapToGrid w:val="0"/>
          <w:color w:val="auto"/>
          <w:kern w:val="0"/>
          <w:sz w:val="24"/>
          <w:szCs w:val="24"/>
          <w:highlight w:val="none"/>
        </w:rPr>
      </w:pPr>
      <w:r>
        <w:rPr>
          <w:rFonts w:ascii="Times New Roman" w:hAnsi="Times New Roman" w:cs="Times New Roman"/>
          <w:snapToGrid w:val="0"/>
          <w:color w:val="auto"/>
          <w:kern w:val="0"/>
          <w:sz w:val="24"/>
          <w:szCs w:val="24"/>
          <w:highlight w:val="none"/>
        </w:rPr>
        <w:t>（六）参选文件不满足比选文件第七章参选文件格式中所规定签字、盖章的</w:t>
      </w:r>
      <w:r>
        <w:rPr>
          <w:rFonts w:hint="eastAsia" w:ascii="宋体"/>
          <w:snapToGrid w:val="0"/>
          <w:color w:val="auto"/>
          <w:kern w:val="0"/>
          <w:sz w:val="24"/>
          <w:szCs w:val="24"/>
          <w:highlight w:val="none"/>
        </w:rPr>
        <w:t>。</w:t>
      </w:r>
    </w:p>
    <w:p>
      <w:pPr>
        <w:snapToGrid w:val="0"/>
        <w:spacing w:line="360" w:lineRule="auto"/>
        <w:ind w:firstLine="480" w:firstLineChars="200"/>
        <w:rPr>
          <w:rFonts w:ascii="Times New Roman" w:hAnsi="Times New Roman" w:cs="Times New Roman"/>
          <w:snapToGrid w:val="0"/>
          <w:color w:val="auto"/>
          <w:kern w:val="0"/>
          <w:sz w:val="24"/>
          <w:szCs w:val="24"/>
          <w:highlight w:val="none"/>
        </w:rPr>
      </w:pPr>
      <w:r>
        <w:rPr>
          <w:rFonts w:ascii="Times New Roman" w:hAnsi="Times New Roman" w:cs="Times New Roman"/>
          <w:snapToGrid w:val="0"/>
          <w:color w:val="auto"/>
          <w:kern w:val="0"/>
          <w:sz w:val="24"/>
          <w:szCs w:val="24"/>
          <w:highlight w:val="none"/>
        </w:rPr>
        <w:t>（七）参选文件出现多个参选方案或参选报价的</w:t>
      </w:r>
      <w:r>
        <w:rPr>
          <w:rFonts w:hint="eastAsia" w:ascii="宋体"/>
          <w:snapToGrid w:val="0"/>
          <w:color w:val="auto"/>
          <w:kern w:val="0"/>
          <w:sz w:val="24"/>
          <w:szCs w:val="24"/>
          <w:highlight w:val="none"/>
        </w:rPr>
        <w:t>。</w:t>
      </w:r>
    </w:p>
    <w:p>
      <w:pPr>
        <w:snapToGrid w:val="0"/>
        <w:spacing w:line="360" w:lineRule="auto"/>
        <w:ind w:firstLine="480" w:firstLineChars="200"/>
        <w:rPr>
          <w:rFonts w:ascii="Times New Roman" w:hAnsi="Times New Roman" w:cs="Times New Roman"/>
          <w:snapToGrid w:val="0"/>
          <w:color w:val="auto"/>
          <w:kern w:val="0"/>
          <w:sz w:val="24"/>
          <w:szCs w:val="24"/>
          <w:highlight w:val="none"/>
        </w:rPr>
      </w:pPr>
      <w:r>
        <w:rPr>
          <w:rFonts w:ascii="Times New Roman" w:hAnsi="Times New Roman" w:cs="Times New Roman"/>
          <w:snapToGrid w:val="0"/>
          <w:color w:val="auto"/>
          <w:kern w:val="0"/>
          <w:sz w:val="24"/>
          <w:szCs w:val="24"/>
          <w:highlight w:val="none"/>
        </w:rPr>
        <w:t>（八）参选报价超出最高限价的</w:t>
      </w:r>
      <w:r>
        <w:rPr>
          <w:rFonts w:hint="eastAsia" w:ascii="宋体"/>
          <w:snapToGrid w:val="0"/>
          <w:color w:val="auto"/>
          <w:kern w:val="0"/>
          <w:sz w:val="24"/>
          <w:szCs w:val="24"/>
          <w:highlight w:val="none"/>
        </w:rPr>
        <w:t>。</w:t>
      </w:r>
    </w:p>
    <w:p>
      <w:pPr>
        <w:snapToGrid w:val="0"/>
        <w:spacing w:line="360" w:lineRule="auto"/>
        <w:ind w:firstLine="480" w:firstLineChars="200"/>
        <w:rPr>
          <w:rFonts w:ascii="Times New Roman" w:hAnsi="Times New Roman" w:cs="Times New Roman"/>
          <w:snapToGrid w:val="0"/>
          <w:color w:val="auto"/>
          <w:kern w:val="0"/>
          <w:sz w:val="24"/>
          <w:szCs w:val="24"/>
          <w:highlight w:val="none"/>
        </w:rPr>
      </w:pPr>
      <w:r>
        <w:rPr>
          <w:rFonts w:ascii="Times New Roman" w:hAnsi="Times New Roman" w:cs="Times New Roman"/>
          <w:snapToGrid w:val="0"/>
          <w:color w:val="auto"/>
          <w:kern w:val="0"/>
          <w:sz w:val="24"/>
          <w:szCs w:val="24"/>
          <w:highlight w:val="none"/>
        </w:rPr>
        <w:t>（九）参选文件含有违反国家法律、法规的内容，或附有比选人不能接受的条件的。</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（十）出现影响比选公正的违法、违规行为的。</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（十一）与比选人、评审专家、其他参选人恶意串通。</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（十二）参选法人发生合并、分立、破产等重大变化后，不再具备比选要求的资格条件的。</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（十三）提供虚假材料谋取中选资格的。</w:t>
      </w:r>
    </w:p>
    <w:p>
      <w:pPr>
        <w:snapToGrid w:val="0"/>
        <w:spacing w:line="360" w:lineRule="auto"/>
        <w:ind w:firstLine="480" w:firstLineChars="200"/>
        <w:rPr>
          <w:rFonts w:ascii="宋体"/>
          <w:snapToGrid w:val="0"/>
          <w:color w:val="auto"/>
          <w:kern w:val="0"/>
          <w:sz w:val="24"/>
          <w:szCs w:val="24"/>
          <w:highlight w:val="none"/>
        </w:rPr>
      </w:pPr>
      <w:r>
        <w:rPr>
          <w:rFonts w:hint="eastAsia" w:ascii="宋体"/>
          <w:snapToGrid w:val="0"/>
          <w:color w:val="auto"/>
          <w:kern w:val="0"/>
          <w:sz w:val="24"/>
          <w:szCs w:val="24"/>
          <w:highlight w:val="none"/>
        </w:rPr>
        <w:t>（十四）参选文件含有比选人不能接受的附件条件的。</w:t>
      </w:r>
    </w:p>
    <w:p>
      <w:pPr>
        <w:snapToGrid w:val="0"/>
        <w:spacing w:line="360" w:lineRule="auto"/>
        <w:ind w:firstLine="480" w:firstLineChars="200"/>
        <w:outlineLvl w:val="2"/>
        <w:rPr>
          <w:rFonts w:hint="eastAsia" w:ascii="方正黑体_GBK" w:hAnsi="方正黑体_GBK" w:eastAsia="方正黑体_GBK" w:cs="方正黑体_GBK"/>
          <w:snapToGrid w:val="0"/>
          <w:color w:val="auto"/>
          <w:kern w:val="0"/>
          <w:sz w:val="24"/>
          <w:szCs w:val="24"/>
          <w:highlight w:val="none"/>
        </w:rPr>
      </w:pPr>
      <w:r>
        <w:rPr>
          <w:rFonts w:hint="eastAsia" w:ascii="方正黑体_GBK" w:hAnsi="方正黑体_GBK" w:eastAsia="方正黑体_GBK" w:cs="方正黑体_GBK"/>
          <w:snapToGrid w:val="0"/>
          <w:color w:val="auto"/>
          <w:kern w:val="0"/>
          <w:sz w:val="24"/>
          <w:szCs w:val="24"/>
          <w:highlight w:val="none"/>
        </w:rPr>
        <w:t>四、对评审委员会成员的纪律要求</w:t>
      </w:r>
    </w:p>
    <w:p>
      <w:pPr>
        <w:snapToGrid w:val="0"/>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pPr>
        <w:snapToGrid w:val="0"/>
        <w:spacing w:line="360" w:lineRule="auto"/>
        <w:ind w:firstLine="480" w:firstLineChars="200"/>
        <w:outlineLvl w:val="2"/>
        <w:rPr>
          <w:rFonts w:hint="eastAsia" w:ascii="方正黑体_GBK" w:hAnsi="方正黑体_GBK" w:eastAsia="方正黑体_GBK" w:cs="方正黑体_GBK"/>
          <w:snapToGrid w:val="0"/>
          <w:color w:val="auto"/>
          <w:kern w:val="0"/>
          <w:sz w:val="24"/>
          <w:szCs w:val="24"/>
          <w:highlight w:val="none"/>
        </w:rPr>
      </w:pPr>
      <w:r>
        <w:rPr>
          <w:rFonts w:hint="eastAsia" w:ascii="方正黑体_GBK" w:hAnsi="方正黑体_GBK" w:eastAsia="方正黑体_GBK" w:cs="方正黑体_GBK"/>
          <w:snapToGrid w:val="0"/>
          <w:color w:val="auto"/>
          <w:kern w:val="0"/>
          <w:sz w:val="24"/>
          <w:szCs w:val="24"/>
          <w:highlight w:val="none"/>
        </w:rPr>
        <w:t>五、对与评审活动有关的工作人员的纪律要求</w:t>
      </w:r>
    </w:p>
    <w:p>
      <w:pPr>
        <w:snapToGrid w:val="0"/>
        <w:spacing w:line="360" w:lineRule="auto"/>
        <w:ind w:firstLine="480" w:firstLineChars="200"/>
        <w:rPr>
          <w:rFonts w:hint="eastAsia" w:ascii="宋体"/>
          <w:snapToGrid w:val="0"/>
          <w:color w:val="auto"/>
          <w:kern w:val="0"/>
          <w:sz w:val="24"/>
          <w:szCs w:val="24"/>
          <w:highlight w:val="none"/>
        </w:rPr>
      </w:pPr>
      <w:r>
        <w:rPr>
          <w:rFonts w:hint="eastAsia" w:ascii="宋体"/>
          <w:snapToGrid w:val="0"/>
          <w:color w:val="auto"/>
          <w:kern w:val="0"/>
          <w:sz w:val="24"/>
          <w:szCs w:val="24"/>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pPr>
        <w:snapToGrid w:val="0"/>
        <w:spacing w:line="360" w:lineRule="auto"/>
        <w:ind w:firstLine="480" w:firstLineChars="200"/>
        <w:rPr>
          <w:rFonts w:ascii="宋体"/>
          <w:snapToGrid w:val="0"/>
          <w:color w:val="auto"/>
          <w:kern w:val="0"/>
          <w:sz w:val="24"/>
          <w:szCs w:val="24"/>
          <w:highlight w:val="none"/>
        </w:rPr>
      </w:pPr>
    </w:p>
    <w:p>
      <w:pPr>
        <w:snapToGrid/>
        <w:spacing w:line="240" w:lineRule="auto"/>
        <w:ind w:firstLine="0" w:firstLineChars="0"/>
        <w:rPr>
          <w:rFonts w:ascii="宋体"/>
          <w:snapToGrid w:val="0"/>
          <w:color w:val="auto"/>
          <w:kern w:val="0"/>
          <w:sz w:val="24"/>
          <w:szCs w:val="24"/>
          <w:highlight w:val="none"/>
        </w:rPr>
      </w:pPr>
      <w:r>
        <w:rPr>
          <w:rFonts w:ascii="宋体"/>
          <w:snapToGrid w:val="0"/>
          <w:color w:val="auto"/>
          <w:kern w:val="0"/>
          <w:sz w:val="24"/>
          <w:szCs w:val="24"/>
          <w:highlight w:val="none"/>
        </w:rPr>
        <w:br w:type="page"/>
      </w:r>
    </w:p>
    <w:p>
      <w:pPr>
        <w:pStyle w:val="3"/>
        <w:spacing w:before="0"/>
        <w:ind w:right="0" w:rightChars="0"/>
        <w:outlineLvl w:val="1"/>
        <w:rPr>
          <w:rFonts w:cs="Times New Roman"/>
          <w:bCs/>
          <w:color w:val="auto"/>
          <w:highlight w:val="none"/>
        </w:rPr>
      </w:pPr>
      <w:bookmarkStart w:id="58" w:name="_Toc24536"/>
      <w:r>
        <w:rPr>
          <w:rFonts w:hint="eastAsia" w:cs="Times New Roman"/>
          <w:color w:val="auto"/>
          <w:highlight w:val="none"/>
        </w:rPr>
        <w:t>第</w:t>
      </w:r>
      <w:r>
        <w:rPr>
          <w:rFonts w:hint="eastAsia" w:cs="Times New Roman"/>
          <w:color w:val="auto"/>
          <w:highlight w:val="none"/>
          <w:lang w:val="en-US" w:eastAsia="zh-CN"/>
        </w:rPr>
        <w:t>六</w:t>
      </w:r>
      <w:r>
        <w:rPr>
          <w:rFonts w:hint="eastAsia" w:cs="Times New Roman"/>
          <w:color w:val="auto"/>
          <w:highlight w:val="none"/>
        </w:rPr>
        <w:t>章 合同模板</w:t>
      </w:r>
      <w:bookmarkEnd w:id="57"/>
      <w:bookmarkEnd w:id="58"/>
    </w:p>
    <w:p>
      <w:pPr>
        <w:spacing w:line="360" w:lineRule="auto"/>
        <w:ind w:firstLine="480" w:firstLineChars="200"/>
        <w:rPr>
          <w:rFonts w:ascii="宋体" w:cs="宋体"/>
          <w:snapToGrid w:val="0"/>
          <w:color w:val="auto"/>
          <w:kern w:val="0"/>
          <w:sz w:val="24"/>
          <w:szCs w:val="24"/>
          <w:highlight w:val="none"/>
        </w:rPr>
      </w:pPr>
      <w:r>
        <w:rPr>
          <w:rFonts w:ascii="宋体" w:cs="宋体"/>
          <w:snapToGrid w:val="0"/>
          <w:color w:val="auto"/>
          <w:kern w:val="0"/>
          <w:sz w:val="24"/>
          <w:szCs w:val="24"/>
          <w:highlight w:val="none"/>
        </w:rPr>
        <w:t>（本章节合同条款及格式仅供参考，若比选文件与最终签订合同约定不一致，以最终签订合同的约定为准）</w:t>
      </w:r>
    </w:p>
    <w:p>
      <w:pPr>
        <w:rPr>
          <w:rFonts w:hint="eastAsia"/>
          <w:color w:val="auto"/>
          <w:highlight w:val="none"/>
        </w:rPr>
      </w:pPr>
      <w:r>
        <w:rPr>
          <w:rFonts w:hint="eastAsia"/>
          <w:color w:val="auto"/>
          <w:highlight w:val="none"/>
        </w:rPr>
        <w:br w:type="page"/>
      </w:r>
    </w:p>
    <w:p>
      <w:pPr>
        <w:pStyle w:val="15"/>
        <w:spacing w:line="360" w:lineRule="auto"/>
        <w:jc w:val="center"/>
        <w:outlineLvl w:val="9"/>
        <w:rPr>
          <w:b/>
          <w:bCs/>
          <w:color w:val="auto"/>
          <w:sz w:val="40"/>
          <w:szCs w:val="40"/>
          <w:highlight w:val="none"/>
        </w:rPr>
      </w:pPr>
      <w:r>
        <w:rPr>
          <w:b/>
          <w:bCs/>
          <w:color w:val="auto"/>
          <w:sz w:val="40"/>
          <w:szCs w:val="40"/>
          <w:highlight w:val="none"/>
        </w:rPr>
        <w:t>重庆三峡银行</w:t>
      </w:r>
    </w:p>
    <w:p>
      <w:pPr>
        <w:pStyle w:val="15"/>
        <w:spacing w:line="360" w:lineRule="auto"/>
        <w:jc w:val="center"/>
        <w:outlineLvl w:val="9"/>
        <w:rPr>
          <w:b/>
          <w:bCs/>
          <w:color w:val="auto"/>
          <w:sz w:val="40"/>
          <w:szCs w:val="40"/>
          <w:highlight w:val="none"/>
        </w:rPr>
      </w:pPr>
      <w:r>
        <w:rPr>
          <w:b/>
          <w:bCs/>
          <w:color w:val="auto"/>
          <w:sz w:val="40"/>
          <w:szCs w:val="40"/>
          <w:highlight w:val="none"/>
        </w:rPr>
        <w:t>技 术 服 务 合 同</w:t>
      </w:r>
    </w:p>
    <w:p>
      <w:pPr>
        <w:pStyle w:val="15"/>
        <w:spacing w:line="360" w:lineRule="auto"/>
        <w:jc w:val="center"/>
        <w:rPr>
          <w:bCs/>
          <w:color w:val="auto"/>
          <w:sz w:val="28"/>
          <w:szCs w:val="28"/>
          <w:highlight w:val="none"/>
        </w:rPr>
      </w:pPr>
      <w:r>
        <w:rPr>
          <w:bCs/>
          <w:color w:val="auto"/>
          <w:sz w:val="28"/>
          <w:szCs w:val="28"/>
          <w:highlight w:val="none"/>
        </w:rPr>
        <w:t>（</w:t>
      </w:r>
      <w:r>
        <w:rPr>
          <w:rFonts w:hint="eastAsia" w:cs="Cambria"/>
          <w:bCs/>
          <w:snapToGrid w:val="0"/>
          <w:color w:val="auto"/>
          <w:sz w:val="28"/>
          <w:szCs w:val="28"/>
          <w:highlight w:val="none"/>
        </w:rPr>
        <w:t>IBM相关软件原厂维保项目-2023年度</w:t>
      </w:r>
      <w:r>
        <w:rPr>
          <w:rFonts w:cs="Cambria"/>
          <w:bCs/>
          <w:snapToGrid w:val="0"/>
          <w:color w:val="auto"/>
          <w:sz w:val="28"/>
          <w:szCs w:val="28"/>
          <w:highlight w:val="none"/>
        </w:rPr>
        <w:t>采购</w:t>
      </w:r>
      <w:r>
        <w:rPr>
          <w:bCs/>
          <w:color w:val="auto"/>
          <w:sz w:val="28"/>
          <w:szCs w:val="28"/>
          <w:highlight w:val="none"/>
        </w:rPr>
        <w:t>）</w:t>
      </w:r>
    </w:p>
    <w:p>
      <w:pPr>
        <w:pStyle w:val="15"/>
        <w:spacing w:line="360" w:lineRule="auto"/>
        <w:ind w:firstLine="420" w:firstLineChars="200"/>
        <w:jc w:val="center"/>
        <w:rPr>
          <w:rFonts w:hint="eastAsia"/>
          <w:color w:val="auto"/>
          <w:highlight w:val="none"/>
        </w:rPr>
      </w:pPr>
      <w:r>
        <w:rPr>
          <w:color w:val="auto"/>
          <w:highlight w:val="none"/>
        </w:rPr>
        <w:t xml:space="preserve">                                               </w:t>
      </w:r>
    </w:p>
    <w:p>
      <w:pPr>
        <w:spacing w:line="360" w:lineRule="auto"/>
        <w:ind w:right="-42" w:rightChars="-15"/>
        <w:outlineLvl w:val="9"/>
        <w:rPr>
          <w:rFonts w:hint="eastAsia" w:ascii="宋体"/>
          <w:b/>
          <w:bCs/>
          <w:color w:val="auto"/>
          <w:sz w:val="24"/>
          <w:highlight w:val="none"/>
        </w:rPr>
      </w:pPr>
      <w:bookmarkStart w:id="59" w:name="_Toc97681260"/>
      <w:bookmarkStart w:id="60" w:name="_Toc79511973"/>
      <w:bookmarkStart w:id="61" w:name="_Toc79511960"/>
      <w:r>
        <w:rPr>
          <w:rFonts w:hint="eastAsia" w:ascii="宋体"/>
          <w:b/>
          <w:bCs/>
          <w:color w:val="auto"/>
          <w:sz w:val="24"/>
          <w:highlight w:val="none"/>
        </w:rPr>
        <w:t>甲  方：</w:t>
      </w:r>
      <w:r>
        <w:rPr>
          <w:rFonts w:hint="eastAsia" w:ascii="宋体"/>
          <w:bCs/>
          <w:color w:val="auto"/>
          <w:sz w:val="24"/>
          <w:highlight w:val="none"/>
          <w:u w:val="single"/>
        </w:rPr>
        <w:t>重庆三峡银行股份有限公司</w:t>
      </w:r>
      <w:bookmarkEnd w:id="59"/>
      <w:bookmarkEnd w:id="60"/>
      <w:bookmarkEnd w:id="61"/>
    </w:p>
    <w:p>
      <w:pPr>
        <w:spacing w:line="360" w:lineRule="auto"/>
        <w:ind w:right="-42" w:rightChars="-15"/>
        <w:rPr>
          <w:rFonts w:hint="eastAsia" w:ascii="宋体"/>
          <w:color w:val="auto"/>
          <w:sz w:val="24"/>
          <w:highlight w:val="none"/>
        </w:rPr>
      </w:pPr>
      <w:r>
        <w:rPr>
          <w:rFonts w:hint="eastAsia" w:ascii="宋体"/>
          <w:b/>
          <w:bCs/>
          <w:color w:val="auto"/>
          <w:sz w:val="24"/>
          <w:highlight w:val="none"/>
        </w:rPr>
        <w:t>地  址：</w:t>
      </w:r>
      <w:r>
        <w:rPr>
          <w:rFonts w:ascii="宋体"/>
          <w:color w:val="auto"/>
          <w:sz w:val="24"/>
          <w:highlight w:val="none"/>
          <w:u w:val="single"/>
        </w:rPr>
        <w:t>重庆市渝北区嘉州路88号中渝国际都会4号写字楼</w:t>
      </w:r>
    </w:p>
    <w:p>
      <w:pPr>
        <w:spacing w:line="360" w:lineRule="auto"/>
        <w:ind w:right="-42" w:rightChars="-15"/>
        <w:rPr>
          <w:rFonts w:hint="eastAsia" w:ascii="宋体"/>
          <w:b/>
          <w:color w:val="auto"/>
          <w:sz w:val="24"/>
          <w:highlight w:val="none"/>
        </w:rPr>
      </w:pPr>
      <w:r>
        <w:rPr>
          <w:rFonts w:hint="eastAsia" w:ascii="宋体"/>
          <w:b/>
          <w:color w:val="auto"/>
          <w:sz w:val="24"/>
          <w:highlight w:val="none"/>
        </w:rPr>
        <w:t>法定代表人：</w:t>
      </w:r>
      <w:r>
        <w:rPr>
          <w:rFonts w:hint="eastAsia" w:ascii="宋体"/>
          <w:color w:val="auto"/>
          <w:sz w:val="24"/>
          <w:highlight w:val="none"/>
          <w:u w:val="single"/>
        </w:rPr>
        <w:t>刘江桥</w:t>
      </w:r>
    </w:p>
    <w:p>
      <w:pPr>
        <w:spacing w:line="360" w:lineRule="auto"/>
        <w:ind w:right="-42" w:rightChars="-15"/>
        <w:rPr>
          <w:rFonts w:hint="eastAsia" w:ascii="宋体"/>
          <w:b/>
          <w:bCs/>
          <w:color w:val="auto"/>
          <w:sz w:val="24"/>
          <w:highlight w:val="none"/>
        </w:rPr>
      </w:pPr>
      <w:r>
        <w:rPr>
          <w:rFonts w:hint="eastAsia" w:ascii="宋体"/>
          <w:b/>
          <w:bCs/>
          <w:color w:val="auto"/>
          <w:sz w:val="24"/>
          <w:highlight w:val="none"/>
        </w:rPr>
        <w:t>邮  编：</w:t>
      </w:r>
      <w:r>
        <w:rPr>
          <w:rFonts w:hint="eastAsia" w:ascii="宋体"/>
          <w:color w:val="auto"/>
          <w:sz w:val="24"/>
          <w:highlight w:val="none"/>
          <w:u w:val="single"/>
        </w:rPr>
        <w:t xml:space="preserve">       </w:t>
      </w:r>
      <w:r>
        <w:rPr>
          <w:rFonts w:hint="eastAsia" w:ascii="宋体"/>
          <w:color w:val="auto"/>
          <w:sz w:val="24"/>
          <w:highlight w:val="none"/>
        </w:rPr>
        <w:t xml:space="preserve">  </w:t>
      </w:r>
    </w:p>
    <w:p>
      <w:pPr>
        <w:spacing w:line="360" w:lineRule="auto"/>
        <w:ind w:right="-42" w:rightChars="-15"/>
        <w:rPr>
          <w:rFonts w:hint="eastAsia" w:ascii="宋体"/>
          <w:b/>
          <w:bCs/>
          <w:color w:val="auto"/>
          <w:sz w:val="24"/>
          <w:highlight w:val="none"/>
        </w:rPr>
      </w:pPr>
      <w:r>
        <w:rPr>
          <w:rFonts w:hint="eastAsia" w:ascii="宋体"/>
          <w:b/>
          <w:bCs/>
          <w:color w:val="auto"/>
          <w:sz w:val="24"/>
          <w:highlight w:val="none"/>
        </w:rPr>
        <w:t>联系人：</w:t>
      </w:r>
      <w:r>
        <w:rPr>
          <w:rFonts w:hint="eastAsia" w:ascii="宋体"/>
          <w:color w:val="auto"/>
          <w:sz w:val="24"/>
          <w:highlight w:val="none"/>
          <w:u w:val="single"/>
        </w:rPr>
        <w:t xml:space="preserve">       </w:t>
      </w:r>
    </w:p>
    <w:p>
      <w:pPr>
        <w:spacing w:line="360" w:lineRule="auto"/>
        <w:ind w:right="-42" w:rightChars="-15"/>
        <w:rPr>
          <w:rFonts w:hint="eastAsia" w:ascii="宋体"/>
          <w:bCs/>
          <w:color w:val="auto"/>
          <w:sz w:val="24"/>
          <w:highlight w:val="none"/>
          <w:u w:val="single"/>
        </w:rPr>
      </w:pPr>
      <w:r>
        <w:rPr>
          <w:rFonts w:hint="eastAsia" w:ascii="宋体"/>
          <w:b/>
          <w:bCs/>
          <w:color w:val="auto"/>
          <w:sz w:val="24"/>
          <w:highlight w:val="none"/>
        </w:rPr>
        <w:t>电  话：</w:t>
      </w:r>
      <w:r>
        <w:rPr>
          <w:rFonts w:hint="eastAsia" w:ascii="宋体"/>
          <w:bCs/>
          <w:color w:val="auto"/>
          <w:sz w:val="24"/>
          <w:highlight w:val="none"/>
          <w:u w:val="single"/>
        </w:rPr>
        <w:t xml:space="preserve">       </w:t>
      </w:r>
    </w:p>
    <w:p>
      <w:pPr>
        <w:spacing w:line="360" w:lineRule="auto"/>
        <w:ind w:right="-42" w:rightChars="-15"/>
        <w:rPr>
          <w:rFonts w:hint="eastAsia" w:ascii="宋体"/>
          <w:b/>
          <w:bCs/>
          <w:color w:val="auto"/>
          <w:sz w:val="24"/>
          <w:highlight w:val="none"/>
        </w:rPr>
      </w:pPr>
      <w:r>
        <w:rPr>
          <w:rFonts w:hint="eastAsia" w:ascii="宋体"/>
          <w:b/>
          <w:bCs/>
          <w:color w:val="auto"/>
          <w:sz w:val="24"/>
          <w:highlight w:val="none"/>
        </w:rPr>
        <w:t>电子邮箱：</w:t>
      </w:r>
      <w:r>
        <w:rPr>
          <w:rFonts w:hint="eastAsia" w:ascii="宋体"/>
          <w:b/>
          <w:bCs/>
          <w:color w:val="auto"/>
          <w:sz w:val="24"/>
          <w:highlight w:val="none"/>
          <w:u w:val="single"/>
        </w:rPr>
        <w:t xml:space="preserve">     </w:t>
      </w:r>
    </w:p>
    <w:p>
      <w:pPr>
        <w:spacing w:line="360" w:lineRule="auto"/>
        <w:ind w:right="-42" w:rightChars="-15"/>
        <w:rPr>
          <w:rFonts w:hint="eastAsia" w:ascii="宋体"/>
          <w:b/>
          <w:bCs/>
          <w:color w:val="auto"/>
          <w:sz w:val="24"/>
          <w:highlight w:val="none"/>
        </w:rPr>
      </w:pPr>
    </w:p>
    <w:p>
      <w:pPr>
        <w:spacing w:line="360" w:lineRule="auto"/>
        <w:ind w:right="-42" w:rightChars="-15"/>
        <w:outlineLvl w:val="9"/>
        <w:rPr>
          <w:rFonts w:hint="eastAsia" w:ascii="宋体"/>
          <w:b/>
          <w:bCs/>
          <w:color w:val="auto"/>
          <w:sz w:val="24"/>
          <w:highlight w:val="none"/>
        </w:rPr>
      </w:pPr>
      <w:bookmarkStart w:id="62" w:name="_Toc79511961"/>
      <w:bookmarkStart w:id="63" w:name="_Toc97681261"/>
      <w:bookmarkStart w:id="64" w:name="_Toc79511974"/>
      <w:r>
        <w:rPr>
          <w:rFonts w:hint="eastAsia" w:ascii="宋体"/>
          <w:b/>
          <w:bCs/>
          <w:color w:val="auto"/>
          <w:sz w:val="24"/>
          <w:highlight w:val="none"/>
        </w:rPr>
        <w:t xml:space="preserve">乙  方：               </w:t>
      </w:r>
      <w:bookmarkEnd w:id="62"/>
      <w:bookmarkEnd w:id="63"/>
      <w:bookmarkEnd w:id="64"/>
    </w:p>
    <w:p>
      <w:pPr>
        <w:spacing w:line="360" w:lineRule="auto"/>
        <w:ind w:right="-42" w:rightChars="-15"/>
        <w:rPr>
          <w:rFonts w:hint="eastAsia" w:ascii="宋体"/>
          <w:color w:val="auto"/>
          <w:sz w:val="24"/>
          <w:highlight w:val="none"/>
          <w:u w:val="single"/>
        </w:rPr>
      </w:pPr>
      <w:r>
        <w:rPr>
          <w:rFonts w:hint="eastAsia" w:ascii="宋体"/>
          <w:b/>
          <w:bCs/>
          <w:color w:val="auto"/>
          <w:sz w:val="24"/>
          <w:highlight w:val="none"/>
        </w:rPr>
        <w:t>地  址：</w:t>
      </w:r>
      <w:r>
        <w:rPr>
          <w:rFonts w:hint="eastAsia" w:ascii="宋体"/>
          <w:color w:val="auto"/>
          <w:sz w:val="24"/>
          <w:highlight w:val="none"/>
          <w:u w:val="single"/>
        </w:rPr>
        <w:t xml:space="preserve">               </w:t>
      </w:r>
    </w:p>
    <w:p>
      <w:pPr>
        <w:spacing w:line="360" w:lineRule="auto"/>
        <w:ind w:right="-42" w:rightChars="-15"/>
        <w:rPr>
          <w:rFonts w:hint="eastAsia" w:ascii="宋体"/>
          <w:b/>
          <w:color w:val="auto"/>
          <w:sz w:val="24"/>
          <w:highlight w:val="none"/>
        </w:rPr>
      </w:pPr>
      <w:r>
        <w:rPr>
          <w:rFonts w:hint="eastAsia" w:ascii="宋体"/>
          <w:b/>
          <w:color w:val="auto"/>
          <w:sz w:val="24"/>
          <w:highlight w:val="none"/>
        </w:rPr>
        <w:t>法定代表人：</w:t>
      </w:r>
      <w:r>
        <w:rPr>
          <w:rFonts w:hint="eastAsia" w:ascii="宋体"/>
          <w:color w:val="auto"/>
          <w:sz w:val="24"/>
          <w:highlight w:val="none"/>
          <w:u w:val="single"/>
        </w:rPr>
        <w:t xml:space="preserve">       </w:t>
      </w:r>
    </w:p>
    <w:p>
      <w:pPr>
        <w:spacing w:line="360" w:lineRule="auto"/>
        <w:ind w:right="-42" w:rightChars="-15"/>
        <w:rPr>
          <w:rFonts w:hint="eastAsia" w:ascii="宋体"/>
          <w:b/>
          <w:bCs/>
          <w:color w:val="auto"/>
          <w:sz w:val="24"/>
          <w:highlight w:val="none"/>
        </w:rPr>
      </w:pPr>
      <w:r>
        <w:rPr>
          <w:rFonts w:hint="eastAsia" w:ascii="宋体"/>
          <w:b/>
          <w:bCs/>
          <w:color w:val="auto"/>
          <w:sz w:val="24"/>
          <w:highlight w:val="none"/>
        </w:rPr>
        <w:t>邮  编：</w:t>
      </w:r>
      <w:r>
        <w:rPr>
          <w:rFonts w:hint="eastAsia" w:ascii="宋体"/>
          <w:color w:val="auto"/>
          <w:sz w:val="24"/>
          <w:highlight w:val="none"/>
          <w:u w:val="single"/>
        </w:rPr>
        <w:t xml:space="preserve">         </w:t>
      </w:r>
    </w:p>
    <w:p>
      <w:pPr>
        <w:spacing w:line="360" w:lineRule="auto"/>
        <w:ind w:right="-42" w:rightChars="-15"/>
        <w:rPr>
          <w:rFonts w:hint="eastAsia" w:ascii="宋体"/>
          <w:b/>
          <w:bCs/>
          <w:color w:val="auto"/>
          <w:sz w:val="24"/>
          <w:highlight w:val="none"/>
        </w:rPr>
      </w:pPr>
      <w:r>
        <w:rPr>
          <w:rFonts w:hint="eastAsia" w:ascii="宋体"/>
          <w:b/>
          <w:bCs/>
          <w:color w:val="auto"/>
          <w:sz w:val="24"/>
          <w:highlight w:val="none"/>
        </w:rPr>
        <w:t>联系人：</w:t>
      </w:r>
      <w:r>
        <w:rPr>
          <w:rFonts w:hint="eastAsia" w:ascii="宋体"/>
          <w:color w:val="auto"/>
          <w:sz w:val="24"/>
          <w:highlight w:val="none"/>
          <w:u w:val="single"/>
        </w:rPr>
        <w:t xml:space="preserve">         </w:t>
      </w:r>
    </w:p>
    <w:p>
      <w:pPr>
        <w:spacing w:line="360" w:lineRule="auto"/>
        <w:ind w:right="-42" w:rightChars="-15"/>
        <w:rPr>
          <w:rFonts w:hint="eastAsia" w:ascii="宋体"/>
          <w:color w:val="auto"/>
          <w:sz w:val="24"/>
          <w:highlight w:val="none"/>
          <w:u w:val="single"/>
        </w:rPr>
      </w:pPr>
      <w:r>
        <w:rPr>
          <w:rFonts w:hint="eastAsia" w:ascii="宋体"/>
          <w:b/>
          <w:bCs/>
          <w:color w:val="auto"/>
          <w:sz w:val="24"/>
          <w:highlight w:val="none"/>
        </w:rPr>
        <w:t>电  话：</w:t>
      </w:r>
      <w:r>
        <w:rPr>
          <w:rFonts w:hint="eastAsia" w:ascii="宋体"/>
          <w:color w:val="auto"/>
          <w:sz w:val="24"/>
          <w:highlight w:val="none"/>
          <w:u w:val="single"/>
        </w:rPr>
        <w:t xml:space="preserve">         </w:t>
      </w:r>
    </w:p>
    <w:p>
      <w:pPr>
        <w:spacing w:line="360" w:lineRule="auto"/>
        <w:ind w:right="-42" w:rightChars="-15"/>
        <w:rPr>
          <w:rFonts w:hint="eastAsia" w:ascii="宋体"/>
          <w:b/>
          <w:bCs/>
          <w:color w:val="auto"/>
          <w:sz w:val="24"/>
          <w:highlight w:val="none"/>
        </w:rPr>
      </w:pPr>
      <w:r>
        <w:rPr>
          <w:rFonts w:hint="eastAsia" w:ascii="宋体"/>
          <w:b/>
          <w:bCs/>
          <w:color w:val="auto"/>
          <w:sz w:val="24"/>
          <w:highlight w:val="none"/>
        </w:rPr>
        <w:t>电子邮箱：</w:t>
      </w:r>
      <w:r>
        <w:rPr>
          <w:rFonts w:hint="eastAsia" w:ascii="宋体"/>
          <w:b/>
          <w:bCs/>
          <w:color w:val="auto"/>
          <w:sz w:val="24"/>
          <w:highlight w:val="none"/>
          <w:u w:val="single"/>
        </w:rPr>
        <w:t xml:space="preserve">     </w:t>
      </w:r>
    </w:p>
    <w:p>
      <w:pPr>
        <w:spacing w:line="360" w:lineRule="auto"/>
        <w:ind w:right="-42" w:rightChars="-15"/>
        <w:rPr>
          <w:rFonts w:hint="eastAsia" w:ascii="宋体"/>
          <w:color w:val="auto"/>
          <w:sz w:val="24"/>
          <w:highlight w:val="none"/>
          <w:u w:val="single"/>
        </w:rPr>
      </w:pPr>
    </w:p>
    <w:p>
      <w:pPr>
        <w:spacing w:line="360" w:lineRule="auto"/>
        <w:ind w:right="-42" w:rightChars="-15"/>
        <w:jc w:val="left"/>
        <w:rPr>
          <w:rFonts w:hint="eastAsia" w:ascii="宋体"/>
          <w:b/>
          <w:bCs/>
          <w:color w:val="auto"/>
          <w:sz w:val="24"/>
          <w:highlight w:val="none"/>
        </w:rPr>
      </w:pPr>
    </w:p>
    <w:p>
      <w:pPr>
        <w:spacing w:line="360" w:lineRule="auto"/>
        <w:ind w:right="-42" w:rightChars="-15"/>
        <w:jc w:val="left"/>
        <w:rPr>
          <w:rFonts w:hint="eastAsia" w:ascii="宋体"/>
          <w:b/>
          <w:bCs/>
          <w:color w:val="auto"/>
          <w:sz w:val="24"/>
          <w:highlight w:val="none"/>
        </w:rPr>
      </w:pPr>
      <w:r>
        <w:rPr>
          <w:rFonts w:hint="eastAsia" w:ascii="宋体"/>
          <w:b/>
          <w:bCs/>
          <w:color w:val="auto"/>
          <w:sz w:val="24"/>
          <w:highlight w:val="none"/>
        </w:rPr>
        <w:t>签订地点：重庆</w:t>
      </w:r>
    </w:p>
    <w:p>
      <w:pPr>
        <w:pStyle w:val="15"/>
        <w:spacing w:line="360" w:lineRule="auto"/>
        <w:jc w:val="left"/>
        <w:rPr>
          <w:rFonts w:hint="eastAsia"/>
          <w:color w:val="auto"/>
          <w:sz w:val="24"/>
          <w:szCs w:val="24"/>
          <w:highlight w:val="none"/>
        </w:rPr>
      </w:pPr>
    </w:p>
    <w:p>
      <w:pPr>
        <w:pStyle w:val="15"/>
        <w:spacing w:line="360" w:lineRule="auto"/>
        <w:jc w:val="left"/>
        <w:rPr>
          <w:rFonts w:hint="eastAsia"/>
          <w:color w:val="auto"/>
          <w:sz w:val="24"/>
          <w:szCs w:val="24"/>
          <w:highlight w:val="none"/>
        </w:rPr>
      </w:pPr>
    </w:p>
    <w:p>
      <w:pPr>
        <w:pStyle w:val="15"/>
        <w:spacing w:line="360" w:lineRule="auto"/>
        <w:ind w:left="101" w:leftChars="36" w:firstLine="480" w:firstLineChars="200"/>
        <w:jc w:val="left"/>
        <w:rPr>
          <w:color w:val="auto"/>
          <w:sz w:val="24"/>
          <w:szCs w:val="24"/>
          <w:highlight w:val="none"/>
        </w:rPr>
      </w:pPr>
      <w:r>
        <w:rPr>
          <w:color w:val="auto"/>
          <w:sz w:val="24"/>
          <w:szCs w:val="24"/>
          <w:highlight w:val="none"/>
        </w:rPr>
        <w:t>根据</w:t>
      </w:r>
      <w:r>
        <w:rPr>
          <w:rFonts w:hint="eastAsia"/>
          <w:color w:val="auto"/>
          <w:sz w:val="24"/>
          <w:szCs w:val="24"/>
          <w:highlight w:val="none"/>
        </w:rPr>
        <w:t>相关法律法规</w:t>
      </w:r>
      <w:r>
        <w:rPr>
          <w:color w:val="auto"/>
          <w:sz w:val="24"/>
          <w:szCs w:val="24"/>
          <w:highlight w:val="none"/>
        </w:rPr>
        <w:t>，经甲、乙双方共同协商，签订本合同，并共同遵守。</w:t>
      </w:r>
    </w:p>
    <w:p>
      <w:pPr>
        <w:pStyle w:val="15"/>
        <w:numPr>
          <w:ilvl w:val="0"/>
          <w:numId w:val="3"/>
        </w:numPr>
        <w:spacing w:line="360" w:lineRule="auto"/>
        <w:jc w:val="left"/>
        <w:outlineLvl w:val="9"/>
        <w:rPr>
          <w:color w:val="auto"/>
          <w:sz w:val="24"/>
          <w:highlight w:val="none"/>
        </w:rPr>
      </w:pPr>
      <w:bookmarkStart w:id="65" w:name="_Hlt524939677"/>
      <w:bookmarkEnd w:id="65"/>
      <w:bookmarkStart w:id="66" w:name="_合同款的支付"/>
      <w:bookmarkEnd w:id="66"/>
      <w:bookmarkStart w:id="67" w:name="_Hlt524940855"/>
      <w:bookmarkEnd w:id="67"/>
      <w:r>
        <w:rPr>
          <w:b/>
          <w:color w:val="auto"/>
          <w:sz w:val="24"/>
          <w:szCs w:val="24"/>
          <w:highlight w:val="none"/>
        </w:rPr>
        <w:t>合同标的</w:t>
      </w:r>
    </w:p>
    <w:p>
      <w:pPr>
        <w:pStyle w:val="15"/>
        <w:numPr>
          <w:ilvl w:val="1"/>
          <w:numId w:val="3"/>
        </w:numPr>
        <w:tabs>
          <w:tab w:val="left" w:pos="567"/>
          <w:tab w:val="left" w:pos="993"/>
        </w:tabs>
        <w:spacing w:line="360" w:lineRule="auto"/>
        <w:ind w:left="0" w:firstLine="426"/>
        <w:jc w:val="left"/>
        <w:rPr>
          <w:color w:val="auto"/>
          <w:sz w:val="24"/>
          <w:highlight w:val="none"/>
        </w:rPr>
      </w:pPr>
      <w:r>
        <w:rPr>
          <w:rFonts w:cs="Arial"/>
          <w:color w:val="auto"/>
          <w:sz w:val="24"/>
          <w:highlight w:val="none"/>
        </w:rPr>
        <w:t>甲方委托乙方</w:t>
      </w:r>
      <w:r>
        <w:rPr>
          <w:rFonts w:hint="eastAsia" w:cs="Arial"/>
          <w:color w:val="auto"/>
          <w:sz w:val="24"/>
          <w:highlight w:val="none"/>
        </w:rPr>
        <w:t>提供</w:t>
      </w:r>
      <w:r>
        <w:rPr>
          <w:rFonts w:cs="Arial"/>
          <w:color w:val="auto"/>
          <w:sz w:val="24"/>
          <w:highlight w:val="none"/>
          <w:u w:val="single"/>
        </w:rPr>
        <w:t xml:space="preserve">   </w:t>
      </w:r>
      <w:r>
        <w:rPr>
          <w:rFonts w:hint="eastAsia" w:cs="Arial"/>
          <w:color w:val="auto"/>
          <w:sz w:val="24"/>
          <w:highlight w:val="none"/>
          <w:u w:val="single"/>
          <w:lang w:bidi="ar-SA"/>
        </w:rPr>
        <w:t>IBM相关软件</w:t>
      </w:r>
      <w:r>
        <w:rPr>
          <w:rFonts w:cs="Arial"/>
          <w:color w:val="auto"/>
          <w:sz w:val="24"/>
          <w:highlight w:val="none"/>
          <w:u w:val="single"/>
          <w:lang w:bidi="ar-SA"/>
        </w:rPr>
        <w:t>的</w:t>
      </w:r>
      <w:r>
        <w:rPr>
          <w:rFonts w:hint="eastAsia" w:cs="Arial"/>
          <w:color w:val="auto"/>
          <w:sz w:val="24"/>
          <w:highlight w:val="none"/>
          <w:u w:val="single"/>
          <w:lang w:bidi="ar-SA"/>
        </w:rPr>
        <w:t>原厂</w:t>
      </w:r>
      <w:r>
        <w:rPr>
          <w:rFonts w:cs="Arial"/>
          <w:color w:val="auto"/>
          <w:sz w:val="24"/>
          <w:highlight w:val="none"/>
          <w:u w:val="single"/>
          <w:lang w:bidi="ar-SA"/>
        </w:rPr>
        <w:t>维保与技术支持服务</w:t>
      </w:r>
      <w:r>
        <w:rPr>
          <w:rFonts w:cs="Arial"/>
          <w:color w:val="auto"/>
          <w:sz w:val="24"/>
          <w:highlight w:val="none"/>
          <w:u w:val="single"/>
        </w:rPr>
        <w:t xml:space="preserve"> </w:t>
      </w:r>
      <w:r>
        <w:rPr>
          <w:rFonts w:cs="Arial"/>
          <w:color w:val="auto"/>
          <w:sz w:val="24"/>
          <w:highlight w:val="none"/>
        </w:rPr>
        <w:t>，</w:t>
      </w:r>
      <w:r>
        <w:rPr>
          <w:color w:val="auto"/>
          <w:sz w:val="24"/>
          <w:highlight w:val="none"/>
        </w:rPr>
        <w:t>保障甲方系统稳定运行，避免系统故障发生和对业务产生影响。</w:t>
      </w:r>
    </w:p>
    <w:p>
      <w:pPr>
        <w:pStyle w:val="15"/>
        <w:numPr>
          <w:ilvl w:val="0"/>
          <w:numId w:val="3"/>
        </w:numPr>
        <w:spacing w:line="360" w:lineRule="auto"/>
        <w:jc w:val="left"/>
        <w:outlineLvl w:val="9"/>
        <w:rPr>
          <w:b/>
          <w:color w:val="auto"/>
          <w:sz w:val="24"/>
          <w:szCs w:val="24"/>
          <w:highlight w:val="none"/>
        </w:rPr>
      </w:pPr>
      <w:r>
        <w:rPr>
          <w:b/>
          <w:bCs/>
          <w:color w:val="auto"/>
          <w:sz w:val="24"/>
          <w:highlight w:val="none"/>
        </w:rPr>
        <w:t>合同金额</w:t>
      </w:r>
    </w:p>
    <w:p>
      <w:pPr>
        <w:pStyle w:val="15"/>
        <w:numPr>
          <w:ilvl w:val="1"/>
          <w:numId w:val="3"/>
        </w:numPr>
        <w:tabs>
          <w:tab w:val="left" w:pos="426"/>
          <w:tab w:val="left" w:pos="567"/>
        </w:tabs>
        <w:spacing w:line="360" w:lineRule="auto"/>
        <w:ind w:left="0" w:firstLine="425"/>
        <w:jc w:val="left"/>
        <w:rPr>
          <w:bCs/>
          <w:color w:val="auto"/>
          <w:sz w:val="24"/>
          <w:highlight w:val="none"/>
        </w:rPr>
      </w:pPr>
      <w:r>
        <w:rPr>
          <w:rFonts w:hint="eastAsia"/>
          <w:bCs/>
          <w:color w:val="auto"/>
          <w:sz w:val="24"/>
          <w:highlight w:val="none"/>
        </w:rPr>
        <w:t>合同范围内的服务项目</w:t>
      </w:r>
      <w:r>
        <w:rPr>
          <w:bCs/>
          <w:color w:val="auto"/>
          <w:sz w:val="24"/>
          <w:highlight w:val="none"/>
        </w:rPr>
        <w:t>年</w:t>
      </w:r>
      <w:r>
        <w:rPr>
          <w:rFonts w:hint="eastAsia"/>
          <w:bCs/>
          <w:color w:val="auto"/>
          <w:sz w:val="24"/>
          <w:highlight w:val="none"/>
        </w:rPr>
        <w:t>维保服务</w:t>
      </w:r>
      <w:r>
        <w:rPr>
          <w:bCs/>
          <w:color w:val="auto"/>
          <w:sz w:val="24"/>
          <w:highlight w:val="none"/>
        </w:rPr>
        <w:t>费用为：</w:t>
      </w:r>
      <w:r>
        <w:rPr>
          <w:rFonts w:hint="eastAsia"/>
          <w:bCs/>
          <w:color w:val="auto"/>
          <w:sz w:val="24"/>
          <w:highlight w:val="none"/>
        </w:rPr>
        <w:t>含税价</w:t>
      </w:r>
      <w:r>
        <w:rPr>
          <w:bCs/>
          <w:color w:val="auto"/>
          <w:sz w:val="24"/>
          <w:highlight w:val="none"/>
        </w:rPr>
        <w:t>人民币</w:t>
      </w:r>
      <w:r>
        <w:rPr>
          <w:bCs/>
          <w:color w:val="auto"/>
          <w:sz w:val="24"/>
          <w:highlight w:val="none"/>
          <w:u w:val="single"/>
        </w:rPr>
        <w:t xml:space="preserve">           </w:t>
      </w:r>
      <w:r>
        <w:rPr>
          <w:bCs/>
          <w:color w:val="auto"/>
          <w:sz w:val="24"/>
          <w:highlight w:val="none"/>
        </w:rPr>
        <w:t>元（大写:</w:t>
      </w:r>
      <w:r>
        <w:rPr>
          <w:bCs/>
          <w:color w:val="auto"/>
          <w:sz w:val="24"/>
          <w:highlight w:val="none"/>
          <w:u w:val="single"/>
        </w:rPr>
        <w:t xml:space="preserve">          </w:t>
      </w:r>
      <w:r>
        <w:rPr>
          <w:bCs/>
          <w:color w:val="auto"/>
          <w:sz w:val="24"/>
          <w:highlight w:val="none"/>
        </w:rPr>
        <w:t>元整）。</w:t>
      </w:r>
    </w:p>
    <w:p>
      <w:pPr>
        <w:pStyle w:val="15"/>
        <w:numPr>
          <w:ilvl w:val="1"/>
          <w:numId w:val="3"/>
        </w:numPr>
        <w:tabs>
          <w:tab w:val="left" w:pos="567"/>
          <w:tab w:val="left" w:pos="993"/>
        </w:tabs>
        <w:spacing w:line="360" w:lineRule="auto"/>
        <w:ind w:left="0" w:firstLine="426"/>
        <w:jc w:val="left"/>
        <w:rPr>
          <w:bCs/>
          <w:color w:val="auto"/>
          <w:sz w:val="24"/>
          <w:highlight w:val="none"/>
        </w:rPr>
      </w:pPr>
      <w:r>
        <w:rPr>
          <w:rFonts w:cs="Arial"/>
          <w:color w:val="auto"/>
          <w:sz w:val="24"/>
          <w:highlight w:val="none"/>
        </w:rPr>
        <w:t>合同总金额（</w:t>
      </w:r>
      <w:r>
        <w:rPr>
          <w:color w:val="auto"/>
          <w:sz w:val="24"/>
          <w:highlight w:val="none"/>
        </w:rPr>
        <w:t>服务期内总费用价税合计）为：</w:t>
      </w:r>
      <w:r>
        <w:rPr>
          <w:bCs/>
          <w:color w:val="auto"/>
          <w:sz w:val="24"/>
          <w:highlight w:val="none"/>
          <w:u w:val="single"/>
        </w:rPr>
        <w:t xml:space="preserve">           元</w:t>
      </w:r>
      <w:r>
        <w:rPr>
          <w:bCs/>
          <w:color w:val="auto"/>
          <w:sz w:val="24"/>
          <w:highlight w:val="none"/>
        </w:rPr>
        <w:t>（大写:</w:t>
      </w:r>
      <w:r>
        <w:rPr>
          <w:bCs/>
          <w:color w:val="auto"/>
          <w:sz w:val="24"/>
          <w:highlight w:val="none"/>
          <w:u w:val="single"/>
        </w:rPr>
        <w:t xml:space="preserve">          元整</w:t>
      </w:r>
      <w:r>
        <w:rPr>
          <w:bCs/>
          <w:color w:val="auto"/>
          <w:sz w:val="24"/>
          <w:highlight w:val="none"/>
        </w:rPr>
        <w:t>）。</w:t>
      </w:r>
      <w:r>
        <w:rPr>
          <w:rFonts w:hint="eastAsia"/>
          <w:color w:val="auto"/>
          <w:sz w:val="24"/>
          <w:szCs w:val="24"/>
          <w:highlight w:val="none"/>
        </w:rPr>
        <w:t>其中不含税价为：</w:t>
      </w:r>
      <w:r>
        <w:rPr>
          <w:rFonts w:hint="eastAsia"/>
          <w:color w:val="auto"/>
          <w:sz w:val="24"/>
          <w:szCs w:val="24"/>
          <w:highlight w:val="none"/>
          <w:u w:val="single"/>
        </w:rPr>
        <w:t xml:space="preserve">       </w:t>
      </w:r>
      <w:r>
        <w:rPr>
          <w:bCs/>
          <w:color w:val="auto"/>
          <w:sz w:val="24"/>
          <w:highlight w:val="none"/>
          <w:u w:val="single"/>
        </w:rPr>
        <w:t>元</w:t>
      </w:r>
      <w:r>
        <w:rPr>
          <w:rFonts w:hint="eastAsia"/>
          <w:color w:val="auto"/>
          <w:sz w:val="24"/>
          <w:szCs w:val="24"/>
          <w:highlight w:val="none"/>
        </w:rPr>
        <w:t>（</w:t>
      </w:r>
      <w:r>
        <w:rPr>
          <w:rFonts w:hint="eastAsia"/>
          <w:color w:val="auto"/>
          <w:sz w:val="24"/>
          <w:szCs w:val="24"/>
          <w:highlight w:val="none"/>
          <w:u w:val="single"/>
        </w:rPr>
        <w:t>大写：         整）</w:t>
      </w:r>
      <w:r>
        <w:rPr>
          <w:rFonts w:hint="eastAsia"/>
          <w:color w:val="auto"/>
          <w:sz w:val="24"/>
          <w:szCs w:val="24"/>
          <w:highlight w:val="none"/>
        </w:rPr>
        <w:t>,税额为：</w:t>
      </w:r>
      <w:r>
        <w:rPr>
          <w:rFonts w:hint="eastAsia"/>
          <w:color w:val="auto"/>
          <w:sz w:val="24"/>
          <w:szCs w:val="24"/>
          <w:highlight w:val="none"/>
          <w:u w:val="single"/>
        </w:rPr>
        <w:t xml:space="preserve">       </w:t>
      </w:r>
      <w:r>
        <w:rPr>
          <w:bCs/>
          <w:color w:val="auto"/>
          <w:sz w:val="24"/>
          <w:highlight w:val="none"/>
          <w:u w:val="single"/>
        </w:rPr>
        <w:t>元</w:t>
      </w:r>
      <w:r>
        <w:rPr>
          <w:rFonts w:hint="eastAsia"/>
          <w:color w:val="auto"/>
          <w:sz w:val="24"/>
          <w:szCs w:val="24"/>
          <w:highlight w:val="none"/>
        </w:rPr>
        <w:t>（</w:t>
      </w:r>
      <w:r>
        <w:rPr>
          <w:rFonts w:hint="eastAsia"/>
          <w:color w:val="auto"/>
          <w:sz w:val="24"/>
          <w:szCs w:val="24"/>
          <w:highlight w:val="none"/>
          <w:u w:val="single"/>
        </w:rPr>
        <w:t>大写：         整）</w:t>
      </w:r>
      <w:r>
        <w:rPr>
          <w:rFonts w:hint="eastAsia"/>
          <w:color w:val="auto"/>
          <w:sz w:val="24"/>
          <w:szCs w:val="24"/>
          <w:highlight w:val="none"/>
        </w:rPr>
        <w:t>；不含税价格不因国家税率变化而变化，若在合同履行期间，如遇国家的税率调整，则价税合计应相应调整，以开具发票的时间为准。</w:t>
      </w:r>
    </w:p>
    <w:p>
      <w:pPr>
        <w:pStyle w:val="15"/>
        <w:numPr>
          <w:ilvl w:val="1"/>
          <w:numId w:val="3"/>
        </w:numPr>
        <w:tabs>
          <w:tab w:val="left" w:pos="567"/>
          <w:tab w:val="left" w:pos="993"/>
        </w:tabs>
        <w:spacing w:line="360" w:lineRule="auto"/>
        <w:ind w:left="0" w:firstLine="426"/>
        <w:jc w:val="left"/>
        <w:rPr>
          <w:bCs/>
          <w:color w:val="auto"/>
          <w:sz w:val="24"/>
          <w:highlight w:val="none"/>
        </w:rPr>
      </w:pPr>
      <w:r>
        <w:rPr>
          <w:bCs/>
          <w:color w:val="auto"/>
          <w:sz w:val="24"/>
          <w:highlight w:val="none"/>
        </w:rPr>
        <w:t>甲方根据其实际使用需求，保留有经提前书面告知乙方后，提前终止本合同的权利。若甲方提前终止合同，则根据实际服务天数折算服务费用</w:t>
      </w:r>
      <w:r>
        <w:rPr>
          <w:rFonts w:hint="eastAsia"/>
          <w:bCs/>
          <w:color w:val="auto"/>
          <w:sz w:val="24"/>
          <w:highlight w:val="none"/>
        </w:rPr>
        <w:t>，一年按365天计算</w:t>
      </w:r>
      <w:r>
        <w:rPr>
          <w:bCs/>
          <w:color w:val="auto"/>
          <w:sz w:val="24"/>
          <w:highlight w:val="none"/>
        </w:rPr>
        <w:t>。</w:t>
      </w:r>
    </w:p>
    <w:p>
      <w:pPr>
        <w:pStyle w:val="15"/>
        <w:numPr>
          <w:ilvl w:val="0"/>
          <w:numId w:val="3"/>
        </w:numPr>
        <w:spacing w:line="360" w:lineRule="auto"/>
        <w:jc w:val="left"/>
        <w:outlineLvl w:val="9"/>
        <w:rPr>
          <w:rFonts w:cs="Arial"/>
          <w:color w:val="auto"/>
          <w:sz w:val="24"/>
          <w:highlight w:val="none"/>
        </w:rPr>
      </w:pPr>
      <w:r>
        <w:rPr>
          <w:b/>
          <w:bCs/>
          <w:color w:val="auto"/>
          <w:sz w:val="24"/>
          <w:highlight w:val="none"/>
        </w:rPr>
        <w:t>服务期限</w:t>
      </w:r>
    </w:p>
    <w:p>
      <w:pPr>
        <w:pStyle w:val="8"/>
        <w:tabs>
          <w:tab w:val="left" w:pos="0"/>
          <w:tab w:val="left" w:pos="993"/>
        </w:tabs>
        <w:spacing w:line="360" w:lineRule="auto"/>
        <w:ind w:left="0" w:leftChars="0" w:firstLine="480" w:firstLineChars="200"/>
        <w:rPr>
          <w:rFonts w:hint="eastAsia" w:ascii="宋体" w:cs="Arial"/>
          <w:color w:val="auto"/>
          <w:sz w:val="24"/>
          <w:highlight w:val="none"/>
          <w:u w:val="single"/>
        </w:rPr>
      </w:pPr>
      <w:r>
        <w:rPr>
          <w:rFonts w:hint="eastAsia" w:ascii="宋体" w:cs="Arial"/>
          <w:color w:val="auto"/>
          <w:sz w:val="24"/>
          <w:highlight w:val="none"/>
        </w:rPr>
        <w:t>3.1  维保服务期：自</w:t>
      </w:r>
      <w:r>
        <w:rPr>
          <w:rFonts w:hint="eastAsia" w:ascii="宋体" w:cs="Arial"/>
          <w:color w:val="auto"/>
          <w:sz w:val="24"/>
          <w:highlight w:val="none"/>
          <w:u w:val="single"/>
        </w:rPr>
        <w:t xml:space="preserve"> </w:t>
      </w:r>
      <w:r>
        <w:rPr>
          <w:rFonts w:ascii="宋体" w:cs="Arial"/>
          <w:color w:val="auto"/>
          <w:sz w:val="24"/>
          <w:highlight w:val="none"/>
          <w:u w:val="single"/>
        </w:rPr>
        <w:t>2024</w:t>
      </w:r>
      <w:r>
        <w:rPr>
          <w:rFonts w:hint="eastAsia" w:ascii="宋体" w:cs="Arial"/>
          <w:color w:val="auto"/>
          <w:sz w:val="24"/>
          <w:highlight w:val="none"/>
          <w:u w:val="single"/>
        </w:rPr>
        <w:t xml:space="preserve">年 </w:t>
      </w:r>
      <w:r>
        <w:rPr>
          <w:rFonts w:ascii="宋体" w:cs="Arial"/>
          <w:color w:val="auto"/>
          <w:sz w:val="24"/>
          <w:highlight w:val="none"/>
          <w:u w:val="single"/>
        </w:rPr>
        <w:t>1</w:t>
      </w:r>
      <w:r>
        <w:rPr>
          <w:rFonts w:hint="eastAsia" w:ascii="宋体" w:cs="Arial"/>
          <w:color w:val="auto"/>
          <w:sz w:val="24"/>
          <w:highlight w:val="none"/>
          <w:u w:val="single"/>
        </w:rPr>
        <w:t xml:space="preserve"> 月 </w:t>
      </w:r>
      <w:r>
        <w:rPr>
          <w:rFonts w:ascii="宋体" w:cs="Arial"/>
          <w:color w:val="auto"/>
          <w:sz w:val="24"/>
          <w:highlight w:val="none"/>
          <w:u w:val="single"/>
        </w:rPr>
        <w:t>1</w:t>
      </w:r>
      <w:r>
        <w:rPr>
          <w:rFonts w:hint="eastAsia" w:ascii="宋体" w:cs="Arial"/>
          <w:color w:val="auto"/>
          <w:sz w:val="24"/>
          <w:highlight w:val="none"/>
          <w:u w:val="single"/>
        </w:rPr>
        <w:t xml:space="preserve"> 日</w:t>
      </w:r>
      <w:r>
        <w:rPr>
          <w:rFonts w:hint="eastAsia" w:ascii="宋体" w:cs="Arial"/>
          <w:color w:val="auto"/>
          <w:sz w:val="24"/>
          <w:highlight w:val="none"/>
        </w:rPr>
        <w:t>起，至</w:t>
      </w:r>
      <w:r>
        <w:rPr>
          <w:rFonts w:hint="eastAsia" w:ascii="宋体" w:cs="Arial"/>
          <w:color w:val="auto"/>
          <w:sz w:val="24"/>
          <w:highlight w:val="none"/>
          <w:u w:val="single"/>
        </w:rPr>
        <w:t xml:space="preserve"> </w:t>
      </w:r>
      <w:r>
        <w:rPr>
          <w:rFonts w:ascii="宋体" w:cs="Arial"/>
          <w:color w:val="auto"/>
          <w:sz w:val="24"/>
          <w:highlight w:val="none"/>
          <w:u w:val="single"/>
        </w:rPr>
        <w:t>2024</w:t>
      </w:r>
      <w:r>
        <w:rPr>
          <w:rFonts w:hint="eastAsia" w:ascii="宋体" w:cs="Arial"/>
          <w:color w:val="auto"/>
          <w:sz w:val="24"/>
          <w:highlight w:val="none"/>
          <w:u w:val="single"/>
        </w:rPr>
        <w:t xml:space="preserve">年 </w:t>
      </w:r>
      <w:r>
        <w:rPr>
          <w:rFonts w:ascii="宋体" w:cs="Arial"/>
          <w:color w:val="auto"/>
          <w:sz w:val="24"/>
          <w:highlight w:val="none"/>
          <w:u w:val="single"/>
        </w:rPr>
        <w:t>12</w:t>
      </w:r>
      <w:r>
        <w:rPr>
          <w:rFonts w:hint="eastAsia" w:ascii="宋体" w:cs="Arial"/>
          <w:color w:val="auto"/>
          <w:sz w:val="24"/>
          <w:highlight w:val="none"/>
          <w:u w:val="single"/>
        </w:rPr>
        <w:t xml:space="preserve">  月  </w:t>
      </w:r>
      <w:r>
        <w:rPr>
          <w:rFonts w:ascii="宋体" w:cs="Arial"/>
          <w:color w:val="auto"/>
          <w:sz w:val="24"/>
          <w:highlight w:val="none"/>
          <w:u w:val="single"/>
        </w:rPr>
        <w:t>31</w:t>
      </w:r>
      <w:r>
        <w:rPr>
          <w:rFonts w:hint="eastAsia" w:ascii="宋体" w:cs="Arial"/>
          <w:color w:val="auto"/>
          <w:sz w:val="24"/>
          <w:highlight w:val="none"/>
          <w:u w:val="single"/>
        </w:rPr>
        <w:t xml:space="preserve"> 日</w:t>
      </w:r>
      <w:r>
        <w:rPr>
          <w:rFonts w:hint="eastAsia" w:ascii="宋体" w:cs="Arial"/>
          <w:color w:val="auto"/>
          <w:sz w:val="24"/>
          <w:highlight w:val="none"/>
        </w:rPr>
        <w:t>止。</w:t>
      </w:r>
    </w:p>
    <w:p>
      <w:pPr>
        <w:pStyle w:val="8"/>
        <w:tabs>
          <w:tab w:val="left" w:pos="0"/>
          <w:tab w:val="left" w:pos="993"/>
        </w:tabs>
        <w:spacing w:line="360" w:lineRule="auto"/>
        <w:ind w:left="0" w:leftChars="0" w:firstLine="480" w:firstLineChars="200"/>
        <w:rPr>
          <w:rFonts w:hint="eastAsia" w:ascii="宋体" w:cs="Arial"/>
          <w:color w:val="auto"/>
          <w:sz w:val="24"/>
          <w:highlight w:val="none"/>
        </w:rPr>
      </w:pPr>
      <w:r>
        <w:rPr>
          <w:rFonts w:hint="eastAsia" w:ascii="宋体" w:cs="Arial"/>
          <w:color w:val="auto"/>
          <w:sz w:val="24"/>
          <w:highlight w:val="none"/>
        </w:rPr>
        <w:t>3.2  甲方在整个合同期内根据合同及附件条款全程考核乙方及其所代理原厂服务质量，若评定结果不合格，甲方有权扣除乙方相应的违约金并单方面终止本服务合同，且不再付剩余合同款项（评定标准见附件二）。</w:t>
      </w:r>
    </w:p>
    <w:p>
      <w:pPr>
        <w:pStyle w:val="15"/>
        <w:numPr>
          <w:ilvl w:val="0"/>
          <w:numId w:val="3"/>
        </w:numPr>
        <w:spacing w:line="360" w:lineRule="auto"/>
        <w:jc w:val="left"/>
        <w:outlineLvl w:val="9"/>
        <w:rPr>
          <w:b/>
          <w:bCs/>
          <w:color w:val="auto"/>
          <w:sz w:val="24"/>
          <w:highlight w:val="none"/>
        </w:rPr>
      </w:pPr>
      <w:r>
        <w:rPr>
          <w:b/>
          <w:bCs/>
          <w:color w:val="auto"/>
          <w:sz w:val="24"/>
          <w:highlight w:val="none"/>
        </w:rPr>
        <w:t>付款方式</w:t>
      </w:r>
    </w:p>
    <w:p>
      <w:pPr>
        <w:pStyle w:val="8"/>
        <w:tabs>
          <w:tab w:val="left" w:pos="0"/>
          <w:tab w:val="left" w:pos="993"/>
        </w:tabs>
        <w:spacing w:line="360" w:lineRule="auto"/>
        <w:ind w:left="0" w:leftChars="0" w:firstLine="480" w:firstLineChars="200"/>
        <w:rPr>
          <w:rFonts w:hint="eastAsia" w:ascii="宋体" w:cs="Arial"/>
          <w:color w:val="auto"/>
          <w:sz w:val="24"/>
          <w:highlight w:val="none"/>
        </w:rPr>
      </w:pPr>
      <w:r>
        <w:rPr>
          <w:rFonts w:hint="eastAsia" w:ascii="宋体" w:cs="Arial"/>
          <w:color w:val="auto"/>
          <w:sz w:val="24"/>
          <w:highlight w:val="none"/>
        </w:rPr>
        <w:t>4.1  签订合同后，甲方收到原厂盖章授权文件，乙方提出申请并开具、送达合法足额增值税专用发票，同时提供原厂出具的每年维保服务生效确认函原件，以上材料经甲方审核无误后30个工作日内，甲方将首个服务年度维保费用的95%支付给乙方。</w:t>
      </w:r>
    </w:p>
    <w:p>
      <w:pPr>
        <w:pStyle w:val="8"/>
        <w:tabs>
          <w:tab w:val="left" w:pos="0"/>
          <w:tab w:val="left" w:pos="993"/>
        </w:tabs>
        <w:spacing w:line="360" w:lineRule="auto"/>
        <w:ind w:left="0" w:leftChars="0" w:firstLine="480" w:firstLineChars="200"/>
        <w:rPr>
          <w:rFonts w:hint="eastAsia" w:ascii="宋体" w:cs="Arial"/>
          <w:color w:val="auto"/>
          <w:sz w:val="24"/>
          <w:highlight w:val="none"/>
        </w:rPr>
      </w:pPr>
      <w:r>
        <w:rPr>
          <w:rFonts w:hint="eastAsia" w:ascii="宋体" w:cs="Arial"/>
          <w:color w:val="auto"/>
          <w:sz w:val="24"/>
          <w:highlight w:val="none"/>
        </w:rPr>
        <w:t>4.2  在首个服务年度满后，由乙方提出申请，经过甲方服务质量评审，服务质量达到合同约定的要求后（评价标准参见本合同附件二），乙方出具合法足额增值税专用发票给甲方，甲方于收到发票 30个工作日内，将首个服务年度的余款（年维保费用5%）支付给乙方。</w:t>
      </w:r>
    </w:p>
    <w:p>
      <w:pPr>
        <w:pStyle w:val="8"/>
        <w:tabs>
          <w:tab w:val="left" w:pos="0"/>
          <w:tab w:val="left" w:pos="993"/>
        </w:tabs>
        <w:spacing w:line="360" w:lineRule="auto"/>
        <w:ind w:left="0" w:leftChars="0" w:firstLine="480" w:firstLineChars="200"/>
        <w:rPr>
          <w:rFonts w:hint="eastAsia" w:ascii="宋体" w:cs="Arial"/>
          <w:color w:val="auto"/>
          <w:sz w:val="24"/>
          <w:highlight w:val="none"/>
        </w:rPr>
      </w:pPr>
      <w:r>
        <w:rPr>
          <w:rFonts w:hint="eastAsia" w:ascii="宋体" w:cs="Arial"/>
          <w:color w:val="auto"/>
          <w:sz w:val="24"/>
          <w:highlight w:val="none"/>
        </w:rPr>
        <w:t>4.3  乙方须开具发票税率为</w:t>
      </w:r>
      <w:r>
        <w:rPr>
          <w:rFonts w:ascii="宋体" w:cs="Arial"/>
          <w:color w:val="auto"/>
          <w:sz w:val="24"/>
          <w:highlight w:val="none"/>
        </w:rPr>
        <w:t>13</w:t>
      </w:r>
      <w:r>
        <w:rPr>
          <w:rFonts w:hint="eastAsia" w:ascii="宋体" w:cs="Arial"/>
          <w:color w:val="auto"/>
          <w:sz w:val="24"/>
          <w:highlight w:val="none"/>
        </w:rPr>
        <w:t xml:space="preserve"> %的增值税专用发票。</w:t>
      </w:r>
    </w:p>
    <w:p>
      <w:pPr>
        <w:pStyle w:val="8"/>
        <w:tabs>
          <w:tab w:val="left" w:pos="0"/>
          <w:tab w:val="left" w:pos="993"/>
        </w:tabs>
        <w:spacing w:line="360" w:lineRule="auto"/>
        <w:ind w:left="0" w:leftChars="0" w:firstLine="480" w:firstLineChars="200"/>
        <w:rPr>
          <w:rFonts w:ascii="宋体" w:cs="Arial"/>
          <w:color w:val="auto"/>
          <w:sz w:val="24"/>
          <w:highlight w:val="none"/>
        </w:rPr>
      </w:pPr>
      <w:r>
        <w:rPr>
          <w:rFonts w:hint="eastAsia" w:ascii="宋体" w:cs="Arial"/>
          <w:color w:val="auto"/>
          <w:sz w:val="24"/>
          <w:highlight w:val="none"/>
        </w:rPr>
        <w:t>4.4  后续服务年度付款方式与首个服务年度一致。</w:t>
      </w:r>
    </w:p>
    <w:p>
      <w:pPr>
        <w:pStyle w:val="8"/>
        <w:tabs>
          <w:tab w:val="left" w:pos="0"/>
          <w:tab w:val="left" w:pos="993"/>
        </w:tabs>
        <w:spacing w:line="360" w:lineRule="auto"/>
        <w:ind w:left="0" w:leftChars="0" w:firstLine="480" w:firstLineChars="200"/>
        <w:rPr>
          <w:rFonts w:hint="eastAsia" w:ascii="宋体" w:cs="Arial"/>
          <w:color w:val="auto"/>
          <w:sz w:val="24"/>
          <w:highlight w:val="none"/>
        </w:rPr>
      </w:pPr>
      <w:r>
        <w:rPr>
          <w:rFonts w:hint="eastAsia" w:ascii="宋体" w:cs="Arial"/>
          <w:color w:val="auto"/>
          <w:sz w:val="24"/>
          <w:highlight w:val="none"/>
        </w:rPr>
        <w:t xml:space="preserve">4.5 </w:t>
      </w:r>
      <w:r>
        <w:rPr>
          <w:rFonts w:hint="eastAsia" w:cs="Arial"/>
          <w:color w:val="auto"/>
          <w:sz w:val="24"/>
          <w:highlight w:val="none"/>
        </w:rPr>
        <w:t xml:space="preserve"> 甲方</w:t>
      </w:r>
      <w:r>
        <w:rPr>
          <w:rFonts w:cs="Arial"/>
          <w:color w:val="auto"/>
          <w:sz w:val="24"/>
          <w:highlight w:val="none"/>
        </w:rPr>
        <w:t>按照本合同约定支付款项后，视为已向乙方及原厂履行完所有付款义务，若原厂</w:t>
      </w:r>
      <w:r>
        <w:rPr>
          <w:rFonts w:hint="eastAsia" w:cs="Arial"/>
          <w:color w:val="auto"/>
          <w:sz w:val="24"/>
          <w:highlight w:val="none"/>
        </w:rPr>
        <w:t>或</w:t>
      </w:r>
      <w:r>
        <w:rPr>
          <w:rFonts w:cs="Arial"/>
          <w:color w:val="auto"/>
          <w:sz w:val="24"/>
          <w:highlight w:val="none"/>
        </w:rPr>
        <w:t>任何第三方向甲方主张费用的，由乙方自行负责，给甲方造成损失的，乙方应赔偿</w:t>
      </w:r>
      <w:r>
        <w:rPr>
          <w:rFonts w:hint="eastAsia" w:cs="Arial"/>
          <w:color w:val="auto"/>
          <w:sz w:val="24"/>
          <w:highlight w:val="none"/>
        </w:rPr>
        <w:t>甲方</w:t>
      </w:r>
      <w:r>
        <w:rPr>
          <w:rFonts w:cs="Arial"/>
          <w:color w:val="auto"/>
          <w:sz w:val="24"/>
          <w:highlight w:val="none"/>
        </w:rPr>
        <w:t>。</w:t>
      </w:r>
    </w:p>
    <w:p>
      <w:pPr>
        <w:pStyle w:val="15"/>
        <w:numPr>
          <w:ilvl w:val="0"/>
          <w:numId w:val="3"/>
        </w:numPr>
        <w:spacing w:line="360" w:lineRule="auto"/>
        <w:jc w:val="left"/>
        <w:outlineLvl w:val="9"/>
        <w:rPr>
          <w:b/>
          <w:bCs/>
          <w:color w:val="auto"/>
          <w:sz w:val="24"/>
          <w:szCs w:val="24"/>
          <w:highlight w:val="none"/>
        </w:rPr>
      </w:pPr>
      <w:r>
        <w:rPr>
          <w:rFonts w:hint="eastAsia"/>
          <w:b/>
          <w:bCs/>
          <w:color w:val="auto"/>
          <w:sz w:val="24"/>
          <w:szCs w:val="24"/>
          <w:highlight w:val="none"/>
        </w:rPr>
        <w:t>维保</w:t>
      </w:r>
      <w:r>
        <w:rPr>
          <w:b/>
          <w:bCs/>
          <w:color w:val="auto"/>
          <w:sz w:val="24"/>
          <w:szCs w:val="24"/>
          <w:highlight w:val="none"/>
        </w:rPr>
        <w:t>方式</w:t>
      </w:r>
    </w:p>
    <w:p>
      <w:pPr>
        <w:adjustRightInd w:val="0"/>
        <w:snapToGrid w:val="0"/>
        <w:spacing w:line="360" w:lineRule="auto"/>
        <w:ind w:left="480"/>
        <w:jc w:val="left"/>
        <w:rPr>
          <w:rFonts w:hint="eastAsia" w:ascii="宋体"/>
          <w:color w:val="auto"/>
          <w:sz w:val="24"/>
          <w:highlight w:val="none"/>
        </w:rPr>
      </w:pPr>
      <w:r>
        <w:rPr>
          <w:rFonts w:hint="eastAsia" w:ascii="宋体"/>
          <w:color w:val="auto"/>
          <w:sz w:val="24"/>
          <w:highlight w:val="none"/>
        </w:rPr>
        <w:t>5.1</w:t>
      </w:r>
      <w:r>
        <w:rPr>
          <w:rFonts w:cs="Arial"/>
          <w:color w:val="auto"/>
          <w:sz w:val="24"/>
          <w:highlight w:val="none"/>
        </w:rPr>
        <w:t xml:space="preserve">  </w:t>
      </w:r>
      <w:r>
        <w:rPr>
          <w:rFonts w:hint="eastAsia" w:ascii="宋体"/>
          <w:color w:val="auto"/>
          <w:sz w:val="24"/>
          <w:highlight w:val="none"/>
        </w:rPr>
        <w:t>维保地点：</w:t>
      </w:r>
      <w:r>
        <w:rPr>
          <w:rFonts w:ascii="宋体"/>
          <w:color w:val="auto"/>
          <w:sz w:val="24"/>
          <w:highlight w:val="none"/>
        </w:rPr>
        <w:t>重庆市</w:t>
      </w:r>
      <w:r>
        <w:rPr>
          <w:rFonts w:hint="eastAsia" w:ascii="宋体"/>
          <w:color w:val="auto"/>
          <w:sz w:val="24"/>
          <w:highlight w:val="none"/>
        </w:rPr>
        <w:t xml:space="preserve"> </w:t>
      </w:r>
    </w:p>
    <w:p>
      <w:pPr>
        <w:adjustRightInd w:val="0"/>
        <w:snapToGrid w:val="0"/>
        <w:spacing w:line="360" w:lineRule="auto"/>
        <w:ind w:left="480"/>
        <w:jc w:val="left"/>
        <w:rPr>
          <w:rFonts w:ascii="宋体"/>
          <w:color w:val="auto"/>
          <w:sz w:val="24"/>
          <w:highlight w:val="none"/>
        </w:rPr>
      </w:pPr>
      <w:r>
        <w:rPr>
          <w:rFonts w:hint="eastAsia" w:ascii="宋体"/>
          <w:color w:val="auto"/>
          <w:sz w:val="24"/>
          <w:highlight w:val="none"/>
        </w:rPr>
        <w:t>5.2</w:t>
      </w:r>
      <w:r>
        <w:rPr>
          <w:rFonts w:cs="Arial"/>
          <w:color w:val="auto"/>
          <w:sz w:val="24"/>
          <w:highlight w:val="none"/>
        </w:rPr>
        <w:t xml:space="preserve">  </w:t>
      </w:r>
      <w:r>
        <w:rPr>
          <w:rFonts w:hint="eastAsia" w:ascii="宋体"/>
          <w:color w:val="auto"/>
          <w:sz w:val="24"/>
          <w:highlight w:val="none"/>
        </w:rPr>
        <w:t>维保厂商：国际商业机器（中国）有限公司（IBM）</w:t>
      </w:r>
    </w:p>
    <w:p>
      <w:pPr>
        <w:adjustRightInd w:val="0"/>
        <w:snapToGrid w:val="0"/>
        <w:spacing w:line="360" w:lineRule="auto"/>
        <w:ind w:left="480"/>
        <w:jc w:val="left"/>
        <w:rPr>
          <w:rFonts w:hint="eastAsia" w:ascii="宋体"/>
          <w:color w:val="auto"/>
          <w:sz w:val="24"/>
          <w:highlight w:val="none"/>
        </w:rPr>
      </w:pPr>
      <w:r>
        <w:rPr>
          <w:rFonts w:hint="eastAsia" w:ascii="宋体"/>
          <w:color w:val="auto"/>
          <w:sz w:val="24"/>
          <w:highlight w:val="none"/>
        </w:rPr>
        <w:t>5.3</w:t>
      </w:r>
      <w:r>
        <w:rPr>
          <w:rFonts w:cs="Arial"/>
          <w:color w:val="auto"/>
          <w:sz w:val="24"/>
          <w:highlight w:val="none"/>
        </w:rPr>
        <w:t xml:space="preserve">  </w:t>
      </w:r>
      <w:r>
        <w:rPr>
          <w:rFonts w:hint="eastAsia" w:ascii="宋体"/>
          <w:color w:val="auto"/>
          <w:sz w:val="24"/>
          <w:highlight w:val="none"/>
        </w:rPr>
        <w:t>维保服务内容：详见附件一。</w:t>
      </w:r>
    </w:p>
    <w:p>
      <w:pPr>
        <w:pStyle w:val="15"/>
        <w:numPr>
          <w:ilvl w:val="0"/>
          <w:numId w:val="3"/>
        </w:numPr>
        <w:spacing w:line="360" w:lineRule="auto"/>
        <w:jc w:val="left"/>
        <w:outlineLvl w:val="9"/>
        <w:rPr>
          <w:b/>
          <w:bCs/>
          <w:color w:val="auto"/>
          <w:sz w:val="24"/>
          <w:highlight w:val="none"/>
        </w:rPr>
      </w:pPr>
      <w:r>
        <w:rPr>
          <w:b/>
          <w:bCs/>
          <w:color w:val="auto"/>
          <w:sz w:val="24"/>
          <w:highlight w:val="none"/>
        </w:rPr>
        <w:t>服务要求</w:t>
      </w:r>
    </w:p>
    <w:p>
      <w:pPr>
        <w:pStyle w:val="15"/>
        <w:numPr>
          <w:ilvl w:val="1"/>
          <w:numId w:val="3"/>
        </w:numPr>
        <w:tabs>
          <w:tab w:val="left" w:pos="1134"/>
        </w:tabs>
        <w:spacing w:line="360" w:lineRule="auto"/>
        <w:ind w:left="0" w:firstLine="567"/>
        <w:jc w:val="left"/>
        <w:rPr>
          <w:color w:val="auto"/>
          <w:sz w:val="24"/>
          <w:highlight w:val="none"/>
        </w:rPr>
      </w:pPr>
      <w:r>
        <w:rPr>
          <w:rFonts w:hint="eastAsia"/>
          <w:color w:val="auto"/>
          <w:sz w:val="24"/>
          <w:highlight w:val="none"/>
        </w:rPr>
        <w:t>乙方</w:t>
      </w:r>
      <w:r>
        <w:rPr>
          <w:color w:val="auto"/>
          <w:sz w:val="24"/>
          <w:highlight w:val="none"/>
        </w:rPr>
        <w:t>应确保</w:t>
      </w:r>
      <w:r>
        <w:rPr>
          <w:rFonts w:hint="eastAsia"/>
          <w:color w:val="auto"/>
          <w:sz w:val="24"/>
          <w:highlight w:val="none"/>
        </w:rPr>
        <w:t>自身及原厂相关人员在甲方工作期间遵守</w:t>
      </w:r>
      <w:r>
        <w:rPr>
          <w:color w:val="auto"/>
          <w:sz w:val="24"/>
          <w:highlight w:val="none"/>
        </w:rPr>
        <w:t>相关</w:t>
      </w:r>
      <w:r>
        <w:rPr>
          <w:rFonts w:hint="eastAsia"/>
          <w:color w:val="auto"/>
          <w:sz w:val="24"/>
          <w:highlight w:val="none"/>
        </w:rPr>
        <w:t>法律法规</w:t>
      </w:r>
      <w:r>
        <w:rPr>
          <w:color w:val="auto"/>
          <w:sz w:val="24"/>
          <w:highlight w:val="none"/>
        </w:rPr>
        <w:t>、监管政策</w:t>
      </w:r>
      <w:r>
        <w:rPr>
          <w:rFonts w:hint="eastAsia"/>
          <w:color w:val="auto"/>
          <w:sz w:val="24"/>
          <w:highlight w:val="none"/>
        </w:rPr>
        <w:t>及银行业金融机构内部管理制度。</w:t>
      </w:r>
    </w:p>
    <w:p>
      <w:pPr>
        <w:pStyle w:val="15"/>
        <w:numPr>
          <w:ilvl w:val="1"/>
          <w:numId w:val="3"/>
        </w:numPr>
        <w:tabs>
          <w:tab w:val="left" w:pos="1134"/>
        </w:tabs>
        <w:spacing w:line="360" w:lineRule="auto"/>
        <w:ind w:left="0" w:firstLine="567"/>
        <w:jc w:val="left"/>
        <w:rPr>
          <w:color w:val="auto"/>
          <w:sz w:val="24"/>
          <w:highlight w:val="none"/>
        </w:rPr>
      </w:pPr>
      <w:r>
        <w:rPr>
          <w:rFonts w:hint="eastAsia"/>
          <w:color w:val="auto"/>
          <w:sz w:val="24"/>
          <w:highlight w:val="none"/>
        </w:rPr>
        <w:t>乙方</w:t>
      </w:r>
      <w:r>
        <w:rPr>
          <w:color w:val="auto"/>
          <w:sz w:val="24"/>
          <w:highlight w:val="none"/>
        </w:rPr>
        <w:t>向甲方提供的本合同项下维保服务须为原厂服务，</w:t>
      </w:r>
      <w:r>
        <w:rPr>
          <w:rFonts w:hint="eastAsia"/>
          <w:color w:val="auto"/>
          <w:sz w:val="24"/>
          <w:highlight w:val="none"/>
        </w:rPr>
        <w:t>为</w:t>
      </w:r>
      <w:r>
        <w:rPr>
          <w:color w:val="auto"/>
          <w:sz w:val="24"/>
          <w:highlight w:val="none"/>
        </w:rPr>
        <w:t>原厂服务标准和服务流程。乙方应提供原厂针对本项目出具的售后服务承诺证明文件或服务开通证明文件，确保甲方能通过原厂公开指定的服务渠道，如公开指定的售后服务支持热线、售后服务支持邮箱等，按本合同约定的服务标准获取原厂服务。如</w:t>
      </w:r>
      <w:r>
        <w:rPr>
          <w:rFonts w:hint="eastAsia"/>
          <w:color w:val="auto"/>
          <w:sz w:val="24"/>
          <w:highlight w:val="none"/>
        </w:rPr>
        <w:t>服务</w:t>
      </w:r>
      <w:r>
        <w:rPr>
          <w:color w:val="auto"/>
          <w:sz w:val="24"/>
          <w:highlight w:val="none"/>
        </w:rPr>
        <w:t>提供方非原厂，或未能通过原厂公开指定的服务渠道获取服务内容，或在原厂查询核实的服务方式、服务标准与本合同约定不一致，则</w:t>
      </w:r>
      <w:r>
        <w:rPr>
          <w:rFonts w:hint="eastAsia"/>
          <w:color w:val="auto"/>
          <w:sz w:val="24"/>
          <w:highlight w:val="none"/>
        </w:rPr>
        <w:t>乙方</w:t>
      </w:r>
      <w:r>
        <w:rPr>
          <w:color w:val="auto"/>
          <w:sz w:val="24"/>
          <w:highlight w:val="none"/>
        </w:rPr>
        <w:t>有义务</w:t>
      </w:r>
      <w:r>
        <w:rPr>
          <w:rFonts w:hint="eastAsia"/>
          <w:color w:val="auto"/>
          <w:sz w:val="24"/>
          <w:highlight w:val="none"/>
        </w:rPr>
        <w:t>为</w:t>
      </w:r>
      <w:r>
        <w:rPr>
          <w:color w:val="auto"/>
          <w:sz w:val="24"/>
          <w:highlight w:val="none"/>
        </w:rPr>
        <w:t>甲方从原厂处获取上述服务，并承担违约责任。</w:t>
      </w:r>
    </w:p>
    <w:p>
      <w:pPr>
        <w:pStyle w:val="15"/>
        <w:numPr>
          <w:ilvl w:val="1"/>
          <w:numId w:val="3"/>
        </w:numPr>
        <w:tabs>
          <w:tab w:val="left" w:pos="1134"/>
        </w:tabs>
        <w:spacing w:line="360" w:lineRule="auto"/>
        <w:ind w:left="0" w:firstLine="567"/>
        <w:jc w:val="left"/>
        <w:rPr>
          <w:rFonts w:hint="eastAsia"/>
          <w:color w:val="auto"/>
          <w:sz w:val="24"/>
          <w:highlight w:val="none"/>
        </w:rPr>
      </w:pPr>
      <w:r>
        <w:rPr>
          <w:rFonts w:hint="eastAsia"/>
          <w:color w:val="auto"/>
          <w:sz w:val="24"/>
          <w:highlight w:val="none"/>
        </w:rPr>
        <w:t>乙方保证遵守甲方《重庆三峡银行员工回避管理办法》中招录回避、任职回避、公务回避的相关要求。若发现乙方人员与甲方内部人员存在亲属关系，乙方应主动报告，并采取相应回避措施。</w:t>
      </w:r>
    </w:p>
    <w:p>
      <w:pPr>
        <w:pStyle w:val="15"/>
        <w:numPr>
          <w:ilvl w:val="1"/>
          <w:numId w:val="3"/>
        </w:numPr>
        <w:tabs>
          <w:tab w:val="left" w:pos="1134"/>
        </w:tabs>
        <w:spacing w:line="360" w:lineRule="auto"/>
        <w:ind w:left="0" w:firstLine="567"/>
        <w:jc w:val="left"/>
        <w:rPr>
          <w:rFonts w:hint="eastAsia"/>
          <w:color w:val="auto"/>
          <w:sz w:val="24"/>
          <w:highlight w:val="none"/>
        </w:rPr>
      </w:pPr>
      <w:r>
        <w:rPr>
          <w:rFonts w:hint="eastAsia"/>
          <w:color w:val="auto"/>
          <w:sz w:val="24"/>
          <w:highlight w:val="none"/>
        </w:rPr>
        <w:t>乙方保证其人员无不良记录，服务商与其建立合法的雇佣关系，依法履行用工管理职责。</w:t>
      </w:r>
    </w:p>
    <w:p>
      <w:pPr>
        <w:pStyle w:val="15"/>
        <w:numPr>
          <w:ilvl w:val="1"/>
          <w:numId w:val="3"/>
        </w:numPr>
        <w:tabs>
          <w:tab w:val="left" w:pos="1134"/>
        </w:tabs>
        <w:spacing w:line="360" w:lineRule="auto"/>
        <w:ind w:left="0" w:firstLine="567"/>
        <w:jc w:val="left"/>
        <w:rPr>
          <w:rFonts w:hint="eastAsia"/>
          <w:color w:val="auto"/>
          <w:sz w:val="24"/>
          <w:szCs w:val="24"/>
          <w:highlight w:val="none"/>
        </w:rPr>
      </w:pPr>
      <w:r>
        <w:rPr>
          <w:rFonts w:hint="eastAsia"/>
          <w:color w:val="auto"/>
          <w:sz w:val="24"/>
          <w:szCs w:val="24"/>
          <w:highlight w:val="none"/>
        </w:rPr>
        <w:t>乙方应该接受甲方的审核、评估以及外包检查，并配合接受来自监管机构的各项检查，配合对监管意见做出相应的管理、服务等的整改。</w:t>
      </w:r>
    </w:p>
    <w:p>
      <w:pPr>
        <w:pStyle w:val="15"/>
        <w:numPr>
          <w:ilvl w:val="1"/>
          <w:numId w:val="3"/>
        </w:numPr>
        <w:tabs>
          <w:tab w:val="left" w:pos="1134"/>
        </w:tabs>
        <w:spacing w:line="360" w:lineRule="auto"/>
        <w:ind w:left="0" w:firstLine="567"/>
        <w:jc w:val="left"/>
        <w:rPr>
          <w:color w:val="auto"/>
          <w:sz w:val="24"/>
          <w:szCs w:val="24"/>
          <w:highlight w:val="none"/>
        </w:rPr>
      </w:pPr>
      <w:r>
        <w:rPr>
          <w:rFonts w:hint="eastAsia"/>
          <w:color w:val="auto"/>
          <w:sz w:val="24"/>
          <w:szCs w:val="24"/>
          <w:highlight w:val="none"/>
        </w:rPr>
        <w:t>乙方定期通报外包事项，及时通报外包突发性事件及解决情况。</w:t>
      </w:r>
    </w:p>
    <w:p>
      <w:pPr>
        <w:pStyle w:val="15"/>
        <w:numPr>
          <w:ilvl w:val="0"/>
          <w:numId w:val="3"/>
        </w:numPr>
        <w:spacing w:line="360" w:lineRule="auto"/>
        <w:jc w:val="left"/>
        <w:outlineLvl w:val="9"/>
        <w:rPr>
          <w:b/>
          <w:bCs/>
          <w:color w:val="auto"/>
          <w:sz w:val="24"/>
          <w:highlight w:val="none"/>
        </w:rPr>
      </w:pPr>
      <w:r>
        <w:rPr>
          <w:b/>
          <w:bCs/>
          <w:color w:val="auto"/>
          <w:sz w:val="24"/>
          <w:highlight w:val="none"/>
        </w:rPr>
        <w:t>保密条款</w:t>
      </w:r>
    </w:p>
    <w:p>
      <w:pPr>
        <w:pStyle w:val="15"/>
        <w:numPr>
          <w:ilvl w:val="1"/>
          <w:numId w:val="3"/>
        </w:numPr>
        <w:tabs>
          <w:tab w:val="left" w:pos="1134"/>
        </w:tabs>
        <w:spacing w:line="360" w:lineRule="auto"/>
        <w:ind w:left="0" w:firstLine="567"/>
        <w:jc w:val="left"/>
        <w:rPr>
          <w:bCs/>
          <w:color w:val="auto"/>
          <w:sz w:val="24"/>
          <w:highlight w:val="none"/>
        </w:rPr>
      </w:pPr>
      <w:r>
        <w:rPr>
          <w:bCs/>
          <w:color w:val="auto"/>
          <w:sz w:val="24"/>
          <w:highlight w:val="none"/>
        </w:rPr>
        <w:t>保密范围：</w:t>
      </w:r>
    </w:p>
    <w:p>
      <w:pPr>
        <w:spacing w:line="360" w:lineRule="auto"/>
        <w:ind w:firstLine="840" w:firstLineChars="350"/>
        <w:rPr>
          <w:rFonts w:hint="eastAsia" w:ascii="宋体"/>
          <w:bCs/>
          <w:color w:val="auto"/>
          <w:sz w:val="24"/>
          <w:szCs w:val="21"/>
          <w:highlight w:val="none"/>
        </w:rPr>
      </w:pPr>
      <w:r>
        <w:rPr>
          <w:rFonts w:hint="eastAsia" w:ascii="宋体"/>
          <w:bCs/>
          <w:color w:val="auto"/>
          <w:sz w:val="24"/>
          <w:szCs w:val="21"/>
          <w:highlight w:val="none"/>
        </w:rPr>
        <w:t xml:space="preserve">7.1.1  </w:t>
      </w:r>
      <w:r>
        <w:rPr>
          <w:rFonts w:hint="eastAsia" w:ascii="宋体"/>
          <w:bCs/>
          <w:vanish/>
          <w:color w:val="auto"/>
          <w:sz w:val="24"/>
          <w:szCs w:val="21"/>
          <w:highlight w:val="none"/>
        </w:rPr>
        <w:t xml:space="preserve">7.1.1  </w:t>
      </w:r>
      <w:r>
        <w:rPr>
          <w:rFonts w:hint="eastAsia" w:ascii="宋体"/>
          <w:bCs/>
          <w:color w:val="auto"/>
          <w:sz w:val="24"/>
          <w:szCs w:val="21"/>
          <w:highlight w:val="none"/>
        </w:rPr>
        <w:t>本合同项下的所有条款。</w:t>
      </w:r>
    </w:p>
    <w:p>
      <w:pPr>
        <w:spacing w:line="360" w:lineRule="auto"/>
        <w:ind w:firstLine="840" w:firstLineChars="350"/>
        <w:rPr>
          <w:rFonts w:hint="eastAsia" w:ascii="宋体"/>
          <w:bCs/>
          <w:color w:val="auto"/>
          <w:sz w:val="24"/>
          <w:szCs w:val="21"/>
          <w:highlight w:val="none"/>
        </w:rPr>
      </w:pPr>
      <w:r>
        <w:rPr>
          <w:rFonts w:hint="eastAsia" w:ascii="宋体"/>
          <w:bCs/>
          <w:color w:val="auto"/>
          <w:sz w:val="24"/>
          <w:szCs w:val="21"/>
          <w:highlight w:val="none"/>
        </w:rPr>
        <w:t>7.1.2  乙方工程师在维保过程中接触到的甲方系统软件的相关信息及甲方其他经营管理信息（包括客户金融信息），甲乙双方为履行本合同向对方提供的一切资料。</w:t>
      </w:r>
    </w:p>
    <w:p>
      <w:pPr>
        <w:pStyle w:val="15"/>
        <w:numPr>
          <w:ilvl w:val="1"/>
          <w:numId w:val="3"/>
        </w:numPr>
        <w:tabs>
          <w:tab w:val="left" w:pos="1134"/>
        </w:tabs>
        <w:spacing w:line="360" w:lineRule="auto"/>
        <w:ind w:left="0" w:firstLine="567"/>
        <w:jc w:val="left"/>
        <w:rPr>
          <w:bCs/>
          <w:color w:val="auto"/>
          <w:sz w:val="24"/>
          <w:highlight w:val="none"/>
        </w:rPr>
      </w:pPr>
      <w:r>
        <w:rPr>
          <w:bCs/>
          <w:color w:val="auto"/>
          <w:sz w:val="24"/>
          <w:highlight w:val="none"/>
        </w:rPr>
        <w:t>保密责任：</w:t>
      </w:r>
    </w:p>
    <w:p>
      <w:pPr>
        <w:spacing w:line="360" w:lineRule="auto"/>
        <w:ind w:firstLine="840" w:firstLineChars="350"/>
        <w:rPr>
          <w:rFonts w:hint="eastAsia" w:ascii="宋体"/>
          <w:bCs/>
          <w:color w:val="auto"/>
          <w:sz w:val="24"/>
          <w:szCs w:val="21"/>
          <w:highlight w:val="none"/>
        </w:rPr>
      </w:pPr>
      <w:r>
        <w:rPr>
          <w:rFonts w:hint="eastAsia" w:ascii="宋体"/>
          <w:bCs/>
          <w:color w:val="auto"/>
          <w:sz w:val="24"/>
          <w:szCs w:val="21"/>
          <w:highlight w:val="none"/>
        </w:rPr>
        <w:t>7.2.1 乙方应对本合同所述的客户信息、技术资料、业务流程、数据等</w:t>
      </w:r>
      <w:r>
        <w:rPr>
          <w:rFonts w:ascii="宋体"/>
          <w:bCs/>
          <w:color w:val="auto"/>
          <w:sz w:val="24"/>
          <w:szCs w:val="21"/>
          <w:highlight w:val="none"/>
        </w:rPr>
        <w:t>重要</w:t>
      </w:r>
      <w:r>
        <w:rPr>
          <w:rFonts w:hint="eastAsia" w:ascii="宋体"/>
          <w:bCs/>
          <w:color w:val="auto"/>
          <w:sz w:val="24"/>
          <w:szCs w:val="21"/>
          <w:highlight w:val="none"/>
        </w:rPr>
        <w:t>信息采取保密措施，未经甲方的书面同意，乙方不得在合同允许范围外使用、披露、向无关人员或第三方透露，也不能就有关合同内容的任何部分进行新闻的发布、公开的宣称、否认或承认。</w:t>
      </w:r>
    </w:p>
    <w:p>
      <w:pPr>
        <w:spacing w:line="360" w:lineRule="auto"/>
        <w:ind w:firstLine="840" w:firstLineChars="350"/>
        <w:rPr>
          <w:rFonts w:hint="eastAsia" w:ascii="宋体"/>
          <w:bCs/>
          <w:color w:val="auto"/>
          <w:sz w:val="24"/>
          <w:szCs w:val="21"/>
          <w:highlight w:val="none"/>
        </w:rPr>
      </w:pPr>
      <w:r>
        <w:rPr>
          <w:rFonts w:hint="eastAsia" w:ascii="宋体"/>
          <w:bCs/>
          <w:color w:val="auto"/>
          <w:sz w:val="24"/>
          <w:szCs w:val="21"/>
          <w:highlight w:val="none"/>
        </w:rPr>
        <w:t>7.2.2 乙方不得以甲方名义开展活动，不得将甲方数据、信息以任何形式转移、挪用或谋取合同约定以外的利益。</w:t>
      </w:r>
    </w:p>
    <w:p>
      <w:pPr>
        <w:spacing w:line="360" w:lineRule="auto"/>
        <w:ind w:firstLine="840" w:firstLineChars="350"/>
        <w:rPr>
          <w:rFonts w:hint="eastAsia" w:ascii="宋体"/>
          <w:bCs/>
          <w:color w:val="auto"/>
          <w:sz w:val="24"/>
          <w:szCs w:val="21"/>
          <w:highlight w:val="none"/>
        </w:rPr>
      </w:pPr>
      <w:r>
        <w:rPr>
          <w:rFonts w:hint="eastAsia" w:ascii="宋体"/>
          <w:bCs/>
          <w:color w:val="auto"/>
          <w:sz w:val="24"/>
          <w:szCs w:val="21"/>
          <w:highlight w:val="none"/>
        </w:rPr>
        <w:t>7.2.3 乙方知道违反本条规定将给甲方客户权利以及甲方造成难以弥补的损失，为此同意承担由此产生的经济上和法律上的责任和损失。</w:t>
      </w:r>
    </w:p>
    <w:p>
      <w:pPr>
        <w:spacing w:line="360" w:lineRule="auto"/>
        <w:ind w:firstLine="840" w:firstLineChars="350"/>
        <w:rPr>
          <w:rFonts w:hint="eastAsia" w:ascii="宋体"/>
          <w:bCs/>
          <w:color w:val="auto"/>
          <w:sz w:val="24"/>
          <w:szCs w:val="21"/>
          <w:highlight w:val="none"/>
        </w:rPr>
      </w:pPr>
      <w:r>
        <w:rPr>
          <w:rFonts w:hint="eastAsia" w:ascii="宋体"/>
          <w:bCs/>
          <w:color w:val="auto"/>
          <w:sz w:val="24"/>
          <w:szCs w:val="21"/>
          <w:highlight w:val="none"/>
        </w:rPr>
        <w:t>7.2.4 乙方承认本合同中的技术资料和技术秘密为甲方所专有，将其对乙方进行披露并不意味着任何所有权、专利权的转让。</w:t>
      </w:r>
    </w:p>
    <w:p>
      <w:pPr>
        <w:spacing w:line="360" w:lineRule="auto"/>
        <w:ind w:firstLine="840" w:firstLineChars="350"/>
        <w:rPr>
          <w:rFonts w:hint="eastAsia" w:ascii="宋体"/>
          <w:bCs/>
          <w:color w:val="auto"/>
          <w:sz w:val="24"/>
          <w:szCs w:val="21"/>
          <w:highlight w:val="none"/>
        </w:rPr>
      </w:pPr>
      <w:r>
        <w:rPr>
          <w:rFonts w:hint="eastAsia" w:ascii="宋体"/>
          <w:bCs/>
          <w:color w:val="auto"/>
          <w:sz w:val="24"/>
          <w:szCs w:val="21"/>
          <w:highlight w:val="none"/>
        </w:rPr>
        <w:t>7.2.5 除非甲方特别声明，乙方对于保密信息的保密义务为无限期保密，直至甲方宣布解密或者保密信息实际上已经公开。</w:t>
      </w:r>
    </w:p>
    <w:p>
      <w:pPr>
        <w:spacing w:line="360" w:lineRule="auto"/>
        <w:ind w:firstLine="840" w:firstLineChars="350"/>
        <w:rPr>
          <w:rFonts w:hint="eastAsia" w:ascii="宋体"/>
          <w:bCs/>
          <w:color w:val="auto"/>
          <w:sz w:val="24"/>
          <w:szCs w:val="21"/>
          <w:highlight w:val="none"/>
        </w:rPr>
      </w:pPr>
      <w:r>
        <w:rPr>
          <w:rFonts w:hint="eastAsia" w:ascii="宋体"/>
          <w:bCs/>
          <w:color w:val="auto"/>
          <w:sz w:val="24"/>
          <w:szCs w:val="21"/>
          <w:highlight w:val="none"/>
        </w:rPr>
        <w:t>7.2.6 本合同项下乙方人员行为视为乙方行为，乙方应承担全部责任及损失。当客户信息不安全或客户权利受到重大不利影响时，甲方有权随时终止合同。</w:t>
      </w:r>
    </w:p>
    <w:p>
      <w:pPr>
        <w:pStyle w:val="15"/>
        <w:numPr>
          <w:ilvl w:val="0"/>
          <w:numId w:val="3"/>
        </w:numPr>
        <w:spacing w:line="360" w:lineRule="auto"/>
        <w:jc w:val="left"/>
        <w:outlineLvl w:val="9"/>
        <w:rPr>
          <w:b/>
          <w:color w:val="auto"/>
          <w:sz w:val="24"/>
          <w:szCs w:val="24"/>
          <w:highlight w:val="none"/>
        </w:rPr>
      </w:pPr>
      <w:r>
        <w:rPr>
          <w:b/>
          <w:color w:val="auto"/>
          <w:sz w:val="24"/>
          <w:szCs w:val="24"/>
          <w:highlight w:val="none"/>
        </w:rPr>
        <w:t>知识产权</w:t>
      </w:r>
    </w:p>
    <w:p>
      <w:pPr>
        <w:pStyle w:val="15"/>
        <w:spacing w:line="360" w:lineRule="auto"/>
        <w:ind w:firstLine="480" w:firstLineChars="200"/>
        <w:jc w:val="left"/>
        <w:rPr>
          <w:color w:val="auto"/>
          <w:sz w:val="24"/>
          <w:szCs w:val="24"/>
          <w:highlight w:val="none"/>
        </w:rPr>
      </w:pPr>
      <w:r>
        <w:rPr>
          <w:color w:val="auto"/>
          <w:sz w:val="24"/>
          <w:szCs w:val="24"/>
          <w:highlight w:val="none"/>
        </w:rPr>
        <w:t>乙方所提供的设备</w:t>
      </w:r>
      <w:r>
        <w:rPr>
          <w:rFonts w:hint="eastAsia"/>
          <w:color w:val="auto"/>
          <w:sz w:val="24"/>
          <w:szCs w:val="24"/>
          <w:highlight w:val="none"/>
        </w:rPr>
        <w:t>、软件</w:t>
      </w:r>
      <w:r>
        <w:rPr>
          <w:color w:val="auto"/>
          <w:sz w:val="24"/>
          <w:szCs w:val="24"/>
          <w:highlight w:val="none"/>
        </w:rPr>
        <w:t>及服务不得侵犯任何第三方的工业产权或知识产权，否则乙方将承担由此引起的法律责任和相关经济损失。</w:t>
      </w:r>
    </w:p>
    <w:p>
      <w:pPr>
        <w:pStyle w:val="15"/>
        <w:numPr>
          <w:ilvl w:val="0"/>
          <w:numId w:val="3"/>
        </w:numPr>
        <w:spacing w:line="360" w:lineRule="auto"/>
        <w:jc w:val="left"/>
        <w:outlineLvl w:val="9"/>
        <w:rPr>
          <w:b/>
          <w:bCs/>
          <w:color w:val="auto"/>
          <w:sz w:val="24"/>
          <w:szCs w:val="24"/>
          <w:highlight w:val="none"/>
        </w:rPr>
      </w:pPr>
      <w:r>
        <w:rPr>
          <w:b/>
          <w:bCs/>
          <w:color w:val="auto"/>
          <w:sz w:val="24"/>
          <w:szCs w:val="24"/>
          <w:highlight w:val="none"/>
        </w:rPr>
        <w:t>违约责任</w:t>
      </w:r>
    </w:p>
    <w:p>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9.1 如甲方逾期付款，则应向乙方偿付逾期付款的违约金。计算办法为自逾期一个月后的第二天起，每逾期一天支付应付逾期付款金额的万分之五的违约金，违约金总额不超过应付款额的20%。若乙方未提交付款申请与发票，或经甲方评价乙方所提供的服务未达到本合同约定的标准，则甲方逾期付款不承担违约责任。</w:t>
      </w:r>
    </w:p>
    <w:p>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9.2 如由于可归因于乙方原因（包括乙方自身责任，以及乙方未尽到督促、协调原厂的责任），致使逾期提供服务的，乙方则应向甲方偿付逾期服务的违约金。计算办法为每逾期1天以合同总金额为基数，按每日万分之五计算。</w:t>
      </w:r>
    </w:p>
    <w:p>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9.3 乙方未按合同规定履行服务项目（包括乙方自身未履行服务项目，以及乙方未督促、协调原厂履行服务项目），甲方有权解除合同，并有权要求乙方承担因此给甲方造成的损失。</w:t>
      </w:r>
    </w:p>
    <w:p>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9.4 维保期间，由于乙方代理的服务未达到合同约定的标准，对甲方造成的损失，甲方有权要求乙方赔偿，乙方应该承担赔偿责任。</w:t>
      </w:r>
    </w:p>
    <w:p>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9.5 因服务质量问题使甲方遭受损失的，乙方应赔偿甲方的全部损失。</w:t>
      </w:r>
    </w:p>
    <w:p>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9.6 任何一方违反“本合同保密条款”的约定，违约方应向守约方承担合同总金额10％的违约金，并赔偿由此造成的对方的损失。</w:t>
      </w:r>
    </w:p>
    <w:p>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9.7 未经甲方同意擅自更换服务人员的，甲方有权解除合同，不再支付剩余费用，并有权要求乙方承担因此给甲方造成的损失。</w:t>
      </w:r>
    </w:p>
    <w:p>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9.8 任何一方有破产、解散、重整、停止营业或其它严重影响债信之情事发生时，他方可终止本合同，但终止时已发生之债权债务关系不受影响。</w:t>
      </w:r>
    </w:p>
    <w:p>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9.</w:t>
      </w:r>
      <w:r>
        <w:rPr>
          <w:rFonts w:hint="eastAsia" w:ascii="宋体"/>
          <w:color w:val="auto"/>
          <w:sz w:val="24"/>
          <w:highlight w:val="none"/>
          <w:lang w:val="en-US" w:eastAsia="zh-CN"/>
        </w:rPr>
        <w:t>9</w:t>
      </w:r>
      <w:r>
        <w:rPr>
          <w:rFonts w:hint="eastAsia" w:ascii="宋体"/>
          <w:color w:val="auto"/>
          <w:sz w:val="24"/>
          <w:highlight w:val="none"/>
        </w:rPr>
        <w:t>合同变更或终止</w:t>
      </w:r>
      <w:r>
        <w:rPr>
          <w:rFonts w:hint="eastAsia"/>
          <w:color w:val="auto"/>
          <w:sz w:val="24"/>
          <w:highlight w:val="none"/>
        </w:rPr>
        <w:t>、解除</w:t>
      </w:r>
      <w:r>
        <w:rPr>
          <w:rFonts w:hint="eastAsia" w:ascii="宋体"/>
          <w:color w:val="auto"/>
          <w:sz w:val="24"/>
          <w:highlight w:val="none"/>
        </w:rPr>
        <w:t>条件触发时，乙方应将或督促、协调原厂将服务期间内所有信息、资料和设施交付给甲方，并配合甲方完成技术转移，保证甲方能够继续开展工作；并应立即停止使用并销毁包含甲方机密信息的所有物件，并证明该销毁情况；或者将这些物件归还</w:t>
      </w:r>
      <w:r>
        <w:rPr>
          <w:rFonts w:hint="eastAsia"/>
          <w:color w:val="auto"/>
          <w:sz w:val="24"/>
          <w:highlight w:val="none"/>
        </w:rPr>
        <w:t>甲方</w:t>
      </w:r>
      <w:r>
        <w:rPr>
          <w:rFonts w:hint="eastAsia" w:ascii="宋体"/>
          <w:color w:val="auto"/>
          <w:sz w:val="24"/>
          <w:highlight w:val="none"/>
        </w:rPr>
        <w:t>。</w:t>
      </w:r>
    </w:p>
    <w:p>
      <w:pPr>
        <w:adjustRightInd w:val="0"/>
        <w:snapToGrid w:val="0"/>
        <w:spacing w:line="360" w:lineRule="auto"/>
        <w:ind w:firstLine="480" w:firstLineChars="200"/>
        <w:jc w:val="left"/>
        <w:rPr>
          <w:rFonts w:ascii="宋体"/>
          <w:color w:val="auto"/>
          <w:sz w:val="24"/>
          <w:highlight w:val="none"/>
        </w:rPr>
      </w:pPr>
      <w:r>
        <w:rPr>
          <w:rFonts w:hint="eastAsia" w:ascii="宋体"/>
          <w:color w:val="auto"/>
          <w:sz w:val="24"/>
          <w:highlight w:val="none"/>
        </w:rPr>
        <w:t>9.1</w:t>
      </w:r>
      <w:r>
        <w:rPr>
          <w:rFonts w:hint="eastAsia" w:ascii="宋体"/>
          <w:color w:val="auto"/>
          <w:sz w:val="24"/>
          <w:highlight w:val="none"/>
          <w:lang w:val="en-US" w:eastAsia="zh-CN"/>
        </w:rPr>
        <w:t>0</w:t>
      </w:r>
      <w:r>
        <w:rPr>
          <w:rFonts w:hint="eastAsia" w:ascii="宋体"/>
          <w:color w:val="auto"/>
          <w:sz w:val="24"/>
          <w:highlight w:val="none"/>
        </w:rPr>
        <w:t xml:space="preserve"> 除本合同另有约定外，乙方违反本合同任意一条，应向甲方支付本合同总金额</w:t>
      </w:r>
      <w:r>
        <w:rPr>
          <w:rFonts w:ascii="宋体"/>
          <w:color w:val="auto"/>
          <w:sz w:val="24"/>
          <w:highlight w:val="none"/>
        </w:rPr>
        <w:t>5</w:t>
      </w:r>
      <w:r>
        <w:rPr>
          <w:rFonts w:hint="eastAsia" w:ascii="宋体"/>
          <w:color w:val="auto"/>
          <w:sz w:val="24"/>
          <w:highlight w:val="none"/>
        </w:rPr>
        <w:t>%的违约金。</w:t>
      </w:r>
    </w:p>
    <w:p>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9</w:t>
      </w:r>
      <w:r>
        <w:rPr>
          <w:rFonts w:ascii="宋体"/>
          <w:color w:val="auto"/>
          <w:sz w:val="24"/>
          <w:highlight w:val="none"/>
        </w:rPr>
        <w:t>.1</w:t>
      </w:r>
      <w:r>
        <w:rPr>
          <w:rFonts w:hint="eastAsia" w:ascii="宋体"/>
          <w:color w:val="auto"/>
          <w:sz w:val="24"/>
          <w:highlight w:val="none"/>
          <w:lang w:val="en-US" w:eastAsia="zh-CN"/>
        </w:rPr>
        <w:t>1</w:t>
      </w:r>
      <w:r>
        <w:rPr>
          <w:rFonts w:hint="eastAsia" w:ascii="宋体"/>
          <w:color w:val="auto"/>
          <w:sz w:val="24"/>
          <w:highlight w:val="none"/>
        </w:rPr>
        <w:t xml:space="preserve"> 本合同</w:t>
      </w:r>
      <w:r>
        <w:rPr>
          <w:rFonts w:ascii="宋体"/>
          <w:color w:val="auto"/>
          <w:sz w:val="24"/>
          <w:highlight w:val="none"/>
        </w:rPr>
        <w:t>项下乙方应支付的赔偿、</w:t>
      </w:r>
      <w:r>
        <w:rPr>
          <w:rFonts w:hint="eastAsia" w:ascii="宋体"/>
          <w:color w:val="auto"/>
          <w:sz w:val="24"/>
          <w:highlight w:val="none"/>
        </w:rPr>
        <w:t>违约金</w:t>
      </w:r>
      <w:r>
        <w:rPr>
          <w:rFonts w:ascii="宋体"/>
          <w:color w:val="auto"/>
          <w:sz w:val="24"/>
          <w:highlight w:val="none"/>
        </w:rPr>
        <w:t>、损失等，甲方均有权从</w:t>
      </w:r>
      <w:r>
        <w:rPr>
          <w:rFonts w:hint="eastAsia" w:ascii="宋体"/>
          <w:color w:val="auto"/>
          <w:sz w:val="24"/>
          <w:highlight w:val="none"/>
        </w:rPr>
        <w:t>任意</w:t>
      </w:r>
      <w:r>
        <w:rPr>
          <w:rFonts w:ascii="宋体"/>
          <w:color w:val="auto"/>
          <w:sz w:val="24"/>
          <w:highlight w:val="none"/>
        </w:rPr>
        <w:t>一</w:t>
      </w:r>
      <w:r>
        <w:rPr>
          <w:rFonts w:hint="eastAsia" w:ascii="宋体"/>
          <w:color w:val="auto"/>
          <w:sz w:val="24"/>
          <w:highlight w:val="none"/>
        </w:rPr>
        <w:t>笔</w:t>
      </w:r>
      <w:r>
        <w:rPr>
          <w:rFonts w:ascii="宋体"/>
          <w:color w:val="auto"/>
          <w:sz w:val="24"/>
          <w:highlight w:val="none"/>
        </w:rPr>
        <w:t>应支付给乙方的费用中优先扣除，如有不足</w:t>
      </w:r>
      <w:r>
        <w:rPr>
          <w:rFonts w:hint="eastAsia" w:ascii="宋体"/>
          <w:color w:val="auto"/>
          <w:sz w:val="24"/>
          <w:highlight w:val="none"/>
        </w:rPr>
        <w:t>，乙方</w:t>
      </w:r>
      <w:r>
        <w:rPr>
          <w:rFonts w:ascii="宋体"/>
          <w:color w:val="auto"/>
          <w:sz w:val="24"/>
          <w:highlight w:val="none"/>
        </w:rPr>
        <w:t>应另行筹措资金补足</w:t>
      </w:r>
      <w:r>
        <w:rPr>
          <w:rFonts w:hint="eastAsia" w:ascii="宋体"/>
          <w:color w:val="auto"/>
          <w:sz w:val="24"/>
          <w:highlight w:val="none"/>
        </w:rPr>
        <w:t>。</w:t>
      </w:r>
    </w:p>
    <w:p>
      <w:pPr>
        <w:pStyle w:val="15"/>
        <w:numPr>
          <w:ilvl w:val="0"/>
          <w:numId w:val="3"/>
        </w:numPr>
        <w:spacing w:line="360" w:lineRule="auto"/>
        <w:jc w:val="left"/>
        <w:outlineLvl w:val="9"/>
        <w:rPr>
          <w:b/>
          <w:bCs/>
          <w:color w:val="auto"/>
          <w:sz w:val="24"/>
          <w:szCs w:val="24"/>
          <w:highlight w:val="none"/>
        </w:rPr>
      </w:pPr>
      <w:r>
        <w:rPr>
          <w:b/>
          <w:bCs/>
          <w:color w:val="auto"/>
          <w:sz w:val="24"/>
          <w:szCs w:val="24"/>
          <w:highlight w:val="none"/>
        </w:rPr>
        <w:t>移转之限制</w:t>
      </w:r>
    </w:p>
    <w:p>
      <w:pPr>
        <w:pStyle w:val="15"/>
        <w:adjustRightInd w:val="0"/>
        <w:snapToGrid w:val="0"/>
        <w:spacing w:line="360" w:lineRule="auto"/>
        <w:ind w:firstLine="480" w:firstLineChars="200"/>
        <w:jc w:val="left"/>
        <w:rPr>
          <w:rFonts w:hint="eastAsia"/>
          <w:color w:val="auto"/>
          <w:sz w:val="24"/>
          <w:szCs w:val="24"/>
          <w:highlight w:val="none"/>
        </w:rPr>
      </w:pPr>
      <w:r>
        <w:rPr>
          <w:color w:val="auto"/>
          <w:sz w:val="24"/>
          <w:szCs w:val="24"/>
          <w:highlight w:val="none"/>
        </w:rPr>
        <w:t>任何一方非经他方书面同意，不得将本合同项下之任何权利、义务移转或让与第三人，否则本合同权利、义务不及于第三人，违约之一方并应</w:t>
      </w:r>
      <w:r>
        <w:rPr>
          <w:rFonts w:hint="eastAsia"/>
          <w:color w:val="auto"/>
          <w:sz w:val="24"/>
          <w:szCs w:val="24"/>
          <w:highlight w:val="none"/>
        </w:rPr>
        <w:t>按合同总金额的10%向守约方支付违约金，并承担因此造成的损失的赔偿责任。</w:t>
      </w:r>
    </w:p>
    <w:p>
      <w:pPr>
        <w:pStyle w:val="15"/>
        <w:numPr>
          <w:ilvl w:val="0"/>
          <w:numId w:val="3"/>
        </w:numPr>
        <w:spacing w:line="360" w:lineRule="auto"/>
        <w:jc w:val="left"/>
        <w:outlineLvl w:val="9"/>
        <w:rPr>
          <w:b/>
          <w:bCs/>
          <w:color w:val="auto"/>
          <w:sz w:val="24"/>
          <w:szCs w:val="24"/>
          <w:highlight w:val="none"/>
        </w:rPr>
      </w:pPr>
      <w:r>
        <w:rPr>
          <w:b/>
          <w:bCs/>
          <w:color w:val="auto"/>
          <w:sz w:val="24"/>
          <w:szCs w:val="24"/>
          <w:highlight w:val="none"/>
        </w:rPr>
        <w:t>不可抗力事由</w:t>
      </w:r>
    </w:p>
    <w:p>
      <w:pPr>
        <w:pStyle w:val="15"/>
        <w:spacing w:line="360" w:lineRule="auto"/>
        <w:ind w:firstLine="480" w:firstLineChars="200"/>
        <w:jc w:val="left"/>
        <w:rPr>
          <w:rFonts w:hint="eastAsia"/>
          <w:color w:val="auto"/>
          <w:sz w:val="24"/>
          <w:szCs w:val="24"/>
          <w:highlight w:val="none"/>
        </w:rPr>
      </w:pPr>
      <w:r>
        <w:rPr>
          <w:rFonts w:hint="eastAsia"/>
          <w:color w:val="auto"/>
          <w:sz w:val="24"/>
          <w:highlight w:val="none"/>
        </w:rPr>
        <w:t xml:space="preserve">11.1 </w:t>
      </w:r>
      <w:r>
        <w:rPr>
          <w:rFonts w:hint="eastAsia"/>
          <w:color w:val="auto"/>
          <w:sz w:val="24"/>
          <w:szCs w:val="24"/>
          <w:highlight w:val="none"/>
        </w:rPr>
        <w:t>不可抗力是指本合同生效后，发生不能预见并且对其发生和后果不能防止或避免的事件，如地震、台风、水灾、火灾、战争、传染病等，致使直接影响本合同的履行或不能按约定的条件履行。</w:t>
      </w:r>
    </w:p>
    <w:p>
      <w:pPr>
        <w:pStyle w:val="15"/>
        <w:spacing w:line="360" w:lineRule="auto"/>
        <w:ind w:firstLine="480" w:firstLineChars="200"/>
        <w:jc w:val="left"/>
        <w:rPr>
          <w:rFonts w:hint="eastAsia"/>
          <w:color w:val="auto"/>
          <w:sz w:val="24"/>
          <w:highlight w:val="none"/>
        </w:rPr>
      </w:pPr>
      <w:r>
        <w:rPr>
          <w:rFonts w:hint="eastAsia"/>
          <w:color w:val="auto"/>
          <w:sz w:val="24"/>
          <w:highlight w:val="none"/>
        </w:rPr>
        <w:t>11.2 发生不可抗力的一方应立即通知对方，并在十五天内提供不可抗力的详情及将有关证明文件送交对方。</w:t>
      </w:r>
    </w:p>
    <w:p>
      <w:pPr>
        <w:pStyle w:val="15"/>
        <w:spacing w:line="360" w:lineRule="auto"/>
        <w:ind w:firstLine="480" w:firstLineChars="200"/>
        <w:jc w:val="left"/>
        <w:rPr>
          <w:rFonts w:hint="eastAsia"/>
          <w:color w:val="auto"/>
          <w:sz w:val="24"/>
          <w:highlight w:val="none"/>
        </w:rPr>
      </w:pPr>
      <w:r>
        <w:rPr>
          <w:rFonts w:hint="eastAsia"/>
          <w:color w:val="auto"/>
          <w:sz w:val="24"/>
          <w:highlight w:val="none"/>
        </w:rPr>
        <w:t>11.3 发生不可抗力事件时，甲乙双方应协商以寻找一个合理的解决方法，并尽一切努力减轻不可抗力产生的后果。</w:t>
      </w:r>
    </w:p>
    <w:p>
      <w:pPr>
        <w:pStyle w:val="15"/>
        <w:spacing w:line="360" w:lineRule="auto"/>
        <w:ind w:firstLine="480" w:firstLineChars="200"/>
        <w:jc w:val="left"/>
        <w:rPr>
          <w:color w:val="auto"/>
          <w:sz w:val="24"/>
          <w:highlight w:val="none"/>
        </w:rPr>
      </w:pPr>
      <w:r>
        <w:rPr>
          <w:rFonts w:hint="eastAsia"/>
          <w:color w:val="auto"/>
          <w:sz w:val="24"/>
          <w:highlight w:val="none"/>
        </w:rPr>
        <w:t>11.4 如不可抗力事件持续三十天时，甲乙双方应友好协商解决本合同是否继续履行或终止的问题。</w:t>
      </w:r>
    </w:p>
    <w:p>
      <w:pPr>
        <w:pStyle w:val="15"/>
        <w:numPr>
          <w:ilvl w:val="0"/>
          <w:numId w:val="3"/>
        </w:numPr>
        <w:spacing w:line="360" w:lineRule="auto"/>
        <w:jc w:val="left"/>
        <w:outlineLvl w:val="9"/>
        <w:rPr>
          <w:b/>
          <w:bCs/>
          <w:color w:val="auto"/>
          <w:sz w:val="24"/>
          <w:szCs w:val="24"/>
          <w:highlight w:val="none"/>
        </w:rPr>
      </w:pPr>
      <w:r>
        <w:rPr>
          <w:b/>
          <w:bCs/>
          <w:color w:val="auto"/>
          <w:sz w:val="24"/>
          <w:szCs w:val="24"/>
          <w:highlight w:val="none"/>
        </w:rPr>
        <w:t xml:space="preserve"> 解决争议的方法</w:t>
      </w:r>
    </w:p>
    <w:p>
      <w:pPr>
        <w:pStyle w:val="15"/>
        <w:snapToGrid w:val="0"/>
        <w:spacing w:line="360" w:lineRule="auto"/>
        <w:ind w:firstLine="480" w:firstLineChars="200"/>
        <w:rPr>
          <w:rFonts w:hint="eastAsia"/>
          <w:color w:val="auto"/>
          <w:sz w:val="24"/>
          <w:highlight w:val="none"/>
        </w:rPr>
      </w:pPr>
      <w:r>
        <w:rPr>
          <w:rFonts w:hint="eastAsia"/>
          <w:color w:val="auto"/>
          <w:sz w:val="24"/>
          <w:highlight w:val="none"/>
        </w:rPr>
        <w:t>本合同的解释、效力、履行及其他事项，均适用中华人民共和国法律、法规，如无法律、法规规定，适用有关行政管理部门规章。本合同履行中双方发生任何争议，应协商解决，协商不成的，任何一方均可向</w:t>
      </w:r>
      <w:r>
        <w:rPr>
          <w:color w:val="auto"/>
          <w:sz w:val="24"/>
          <w:highlight w:val="none"/>
        </w:rPr>
        <w:t>重庆仲裁委员会按照该会届时有效的仲裁规则申请仲裁</w:t>
      </w:r>
      <w:r>
        <w:rPr>
          <w:rFonts w:hint="eastAsia"/>
          <w:color w:val="auto"/>
          <w:sz w:val="24"/>
          <w:highlight w:val="none"/>
        </w:rPr>
        <w:t>。</w:t>
      </w:r>
    </w:p>
    <w:p>
      <w:pPr>
        <w:pStyle w:val="15"/>
        <w:numPr>
          <w:ilvl w:val="0"/>
          <w:numId w:val="3"/>
        </w:numPr>
        <w:spacing w:line="360" w:lineRule="auto"/>
        <w:jc w:val="left"/>
        <w:outlineLvl w:val="9"/>
        <w:rPr>
          <w:rFonts w:hint="eastAsia"/>
          <w:b/>
          <w:bCs/>
          <w:color w:val="auto"/>
          <w:sz w:val="24"/>
          <w:szCs w:val="24"/>
          <w:highlight w:val="none"/>
        </w:rPr>
      </w:pPr>
      <w:r>
        <w:rPr>
          <w:rFonts w:hint="eastAsia"/>
          <w:b/>
          <w:bCs/>
          <w:color w:val="auto"/>
          <w:sz w:val="24"/>
          <w:szCs w:val="24"/>
          <w:highlight w:val="none"/>
        </w:rPr>
        <w:t>通知与送达</w:t>
      </w:r>
    </w:p>
    <w:p>
      <w:pPr>
        <w:pStyle w:val="15"/>
        <w:snapToGrid w:val="0"/>
        <w:spacing w:line="360" w:lineRule="auto"/>
        <w:ind w:firstLine="480" w:firstLineChars="200"/>
        <w:rPr>
          <w:color w:val="auto"/>
          <w:sz w:val="24"/>
          <w:szCs w:val="24"/>
          <w:highlight w:val="none"/>
        </w:rPr>
      </w:pPr>
      <w:r>
        <w:rPr>
          <w:rFonts w:hint="eastAsia"/>
          <w:color w:val="auto"/>
          <w:sz w:val="24"/>
          <w:szCs w:val="24"/>
          <w:highlight w:val="none"/>
        </w:rPr>
        <w:t>除双方另有约定，本合同项下的所有书面通知，按本合同首部载明的地址及联系方式进行，乙方地址、联系方式如有变动，应于</w:t>
      </w:r>
      <w:r>
        <w:rPr>
          <w:color w:val="auto"/>
          <w:sz w:val="24"/>
          <w:szCs w:val="24"/>
          <w:highlight w:val="none"/>
        </w:rPr>
        <w:t>10</w:t>
      </w:r>
      <w:r>
        <w:rPr>
          <w:rFonts w:hint="eastAsia"/>
          <w:color w:val="auto"/>
          <w:sz w:val="24"/>
          <w:szCs w:val="24"/>
          <w:highlight w:val="none"/>
        </w:rPr>
        <w:t>日内以书面形式通知甲方，甲方地址、联系方式如有变动，应采用公告、网上银行、电话银行等方式通知乙方。否则，向本合同首部载明的地址和联系方式发送有关文件，均视为送达。</w:t>
      </w:r>
    </w:p>
    <w:p>
      <w:pPr>
        <w:pStyle w:val="15"/>
        <w:snapToGrid w:val="0"/>
        <w:spacing w:line="360" w:lineRule="auto"/>
        <w:ind w:firstLine="480" w:firstLineChars="200"/>
        <w:rPr>
          <w:color w:val="auto"/>
          <w:sz w:val="24"/>
          <w:szCs w:val="24"/>
          <w:highlight w:val="none"/>
        </w:rPr>
      </w:pPr>
      <w:r>
        <w:rPr>
          <w:rFonts w:hint="eastAsia"/>
          <w:color w:val="auto"/>
          <w:sz w:val="24"/>
          <w:szCs w:val="24"/>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pPr>
        <w:pStyle w:val="15"/>
        <w:numPr>
          <w:ilvl w:val="0"/>
          <w:numId w:val="3"/>
        </w:numPr>
        <w:spacing w:line="360" w:lineRule="auto"/>
        <w:jc w:val="left"/>
        <w:outlineLvl w:val="9"/>
        <w:rPr>
          <w:b/>
          <w:color w:val="auto"/>
          <w:sz w:val="24"/>
          <w:szCs w:val="24"/>
          <w:highlight w:val="none"/>
        </w:rPr>
      </w:pPr>
      <w:r>
        <w:rPr>
          <w:b/>
          <w:bCs/>
          <w:color w:val="auto"/>
          <w:sz w:val="24"/>
          <w:szCs w:val="24"/>
          <w:highlight w:val="none"/>
        </w:rPr>
        <w:t xml:space="preserve">其它 </w:t>
      </w:r>
    </w:p>
    <w:p>
      <w:pPr>
        <w:pStyle w:val="32"/>
        <w:adjustRightInd w:val="0"/>
        <w:snapToGrid w:val="0"/>
        <w:spacing w:line="360" w:lineRule="auto"/>
        <w:jc w:val="left"/>
        <w:rPr>
          <w:rFonts w:hint="eastAsia" w:ascii="宋体"/>
          <w:color w:val="auto"/>
          <w:sz w:val="24"/>
          <w:highlight w:val="none"/>
        </w:rPr>
      </w:pPr>
      <w:r>
        <w:rPr>
          <w:rFonts w:hint="eastAsia" w:ascii="宋体"/>
          <w:color w:val="auto"/>
          <w:sz w:val="24"/>
          <w:highlight w:val="none"/>
        </w:rPr>
        <w:t>14.1 本合同自甲乙双方盖公章或合同章后生效。</w:t>
      </w:r>
    </w:p>
    <w:p>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pPr>
        <w:adjustRightInd w:val="0"/>
        <w:snapToGrid w:val="0"/>
        <w:spacing w:line="360" w:lineRule="auto"/>
        <w:ind w:firstLine="480" w:firstLineChars="200"/>
        <w:jc w:val="left"/>
        <w:rPr>
          <w:rFonts w:hint="eastAsia" w:ascii="宋体"/>
          <w:color w:val="auto"/>
          <w:sz w:val="24"/>
          <w:highlight w:val="none"/>
        </w:rPr>
      </w:pPr>
      <w:r>
        <w:rPr>
          <w:rFonts w:hint="eastAsia" w:ascii="宋体"/>
          <w:color w:val="auto"/>
          <w:sz w:val="24"/>
          <w:highlight w:val="none"/>
        </w:rPr>
        <w:t>14.3本合同及其附件一式肆份，甲、乙双方各持贰份，具有同等法律效力。</w:t>
      </w:r>
    </w:p>
    <w:p>
      <w:pPr>
        <w:pStyle w:val="15"/>
        <w:spacing w:line="360" w:lineRule="auto"/>
        <w:jc w:val="left"/>
        <w:outlineLvl w:val="9"/>
        <w:rPr>
          <w:b/>
          <w:bCs/>
          <w:color w:val="auto"/>
          <w:sz w:val="24"/>
          <w:szCs w:val="24"/>
          <w:highlight w:val="none"/>
        </w:rPr>
      </w:pPr>
      <w:r>
        <w:rPr>
          <w:b/>
          <w:bCs/>
          <w:color w:val="auto"/>
          <w:sz w:val="24"/>
          <w:szCs w:val="24"/>
          <w:highlight w:val="none"/>
        </w:rPr>
        <w:t>1</w:t>
      </w:r>
      <w:r>
        <w:rPr>
          <w:rFonts w:hint="eastAsia"/>
          <w:b/>
          <w:bCs/>
          <w:color w:val="auto"/>
          <w:sz w:val="24"/>
          <w:szCs w:val="24"/>
          <w:highlight w:val="none"/>
        </w:rPr>
        <w:t>5</w:t>
      </w:r>
      <w:r>
        <w:rPr>
          <w:b/>
          <w:bCs/>
          <w:color w:val="auto"/>
          <w:sz w:val="24"/>
          <w:szCs w:val="24"/>
          <w:highlight w:val="none"/>
        </w:rPr>
        <w:t xml:space="preserve"> 附件</w:t>
      </w:r>
    </w:p>
    <w:p>
      <w:pPr>
        <w:spacing w:line="360" w:lineRule="auto"/>
        <w:ind w:firstLine="559" w:firstLineChars="233"/>
        <w:rPr>
          <w:rFonts w:hint="eastAsia" w:ascii="宋体"/>
          <w:color w:val="auto"/>
          <w:sz w:val="24"/>
          <w:highlight w:val="none"/>
        </w:rPr>
      </w:pPr>
      <w:r>
        <w:rPr>
          <w:rFonts w:hint="eastAsia" w:ascii="宋体"/>
          <w:color w:val="auto"/>
          <w:sz w:val="24"/>
          <w:highlight w:val="none"/>
        </w:rPr>
        <w:t>本合同的附件与合同正本具有同等法律效力，主合同与附件如有冲突，以主合同为准。本合同附件如下：</w:t>
      </w:r>
    </w:p>
    <w:p>
      <w:pPr>
        <w:spacing w:line="360" w:lineRule="auto"/>
        <w:ind w:left="560"/>
        <w:outlineLvl w:val="9"/>
        <w:rPr>
          <w:rFonts w:hint="eastAsia" w:ascii="宋体"/>
          <w:color w:val="auto"/>
          <w:sz w:val="24"/>
          <w:highlight w:val="none"/>
        </w:rPr>
      </w:pPr>
      <w:r>
        <w:rPr>
          <w:rFonts w:hint="eastAsia" w:ascii="宋体"/>
          <w:color w:val="auto"/>
          <w:sz w:val="24"/>
          <w:highlight w:val="none"/>
        </w:rPr>
        <w:t>附件一：IBM 软件PA技术支持手册</w:t>
      </w:r>
    </w:p>
    <w:p>
      <w:pPr>
        <w:spacing w:line="360" w:lineRule="auto"/>
        <w:ind w:left="560"/>
        <w:outlineLvl w:val="9"/>
        <w:rPr>
          <w:rFonts w:hint="eastAsia" w:ascii="宋体"/>
          <w:color w:val="auto"/>
          <w:sz w:val="24"/>
          <w:highlight w:val="none"/>
        </w:rPr>
      </w:pPr>
      <w:r>
        <w:rPr>
          <w:rFonts w:hint="eastAsia" w:ascii="宋体"/>
          <w:color w:val="auto"/>
          <w:sz w:val="24"/>
          <w:highlight w:val="none"/>
        </w:rPr>
        <w:t>附件二：服务水平协议（SLA）</w:t>
      </w:r>
    </w:p>
    <w:p>
      <w:pPr>
        <w:spacing w:line="360" w:lineRule="auto"/>
        <w:ind w:left="560"/>
        <w:rPr>
          <w:rFonts w:hint="eastAsia" w:ascii="宋体"/>
          <w:color w:val="auto"/>
          <w:sz w:val="24"/>
          <w:highlight w:val="none"/>
        </w:rPr>
      </w:pPr>
      <w:r>
        <w:rPr>
          <w:rFonts w:hint="eastAsia" w:ascii="宋体"/>
          <w:color w:val="auto"/>
          <w:sz w:val="24"/>
          <w:highlight w:val="none"/>
        </w:rPr>
        <w:t>附件三：服务连续性预案</w:t>
      </w:r>
    </w:p>
    <w:p>
      <w:pPr>
        <w:spacing w:line="360" w:lineRule="auto"/>
        <w:ind w:left="560"/>
        <w:rPr>
          <w:rFonts w:hint="eastAsia" w:ascii="宋体"/>
          <w:color w:val="auto"/>
          <w:sz w:val="24"/>
          <w:highlight w:val="none"/>
        </w:rPr>
      </w:pPr>
      <w:r>
        <w:rPr>
          <w:rFonts w:hint="eastAsia" w:ascii="宋体"/>
          <w:color w:val="auto"/>
          <w:sz w:val="24"/>
          <w:highlight w:val="none"/>
        </w:rPr>
        <w:t>附件四：…</w:t>
      </w:r>
    </w:p>
    <w:p>
      <w:pPr>
        <w:pStyle w:val="15"/>
        <w:spacing w:line="360" w:lineRule="auto"/>
        <w:ind w:firstLine="480" w:firstLineChars="200"/>
        <w:jc w:val="left"/>
        <w:rPr>
          <w:color w:val="auto"/>
          <w:sz w:val="24"/>
          <w:szCs w:val="24"/>
          <w:highlight w:val="none"/>
        </w:rPr>
      </w:pPr>
      <w:r>
        <w:rPr>
          <w:rFonts w:hint="eastAsia"/>
          <w:color w:val="auto"/>
          <w:sz w:val="24"/>
          <w:szCs w:val="24"/>
          <w:highlight w:val="none"/>
        </w:rPr>
        <w:t>（以下无正文）</w:t>
      </w:r>
    </w:p>
    <w:p>
      <w:pPr>
        <w:spacing w:line="360" w:lineRule="auto"/>
        <w:ind w:firstLine="480" w:firstLineChars="200"/>
        <w:jc w:val="left"/>
        <w:rPr>
          <w:rFonts w:hint="eastAsia"/>
          <w:color w:val="auto"/>
          <w:sz w:val="24"/>
          <w:szCs w:val="24"/>
          <w:highlight w:val="none"/>
        </w:rPr>
      </w:pPr>
      <w:r>
        <w:rPr>
          <w:rFonts w:hint="eastAsia"/>
          <w:color w:val="auto"/>
          <w:sz w:val="24"/>
          <w:szCs w:val="24"/>
          <w:highlight w:val="none"/>
        </w:rPr>
        <w:br w:type="page"/>
      </w:r>
    </w:p>
    <w:p>
      <w:pPr>
        <w:rPr>
          <w:rFonts w:hint="eastAsia"/>
          <w:color w:val="auto"/>
          <w:highlight w:val="none"/>
        </w:rPr>
      </w:pPr>
    </w:p>
    <w:p>
      <w:pPr>
        <w:pStyle w:val="15"/>
        <w:spacing w:line="360" w:lineRule="auto"/>
        <w:ind w:firstLine="420"/>
        <w:jc w:val="left"/>
        <w:rPr>
          <w:color w:val="auto"/>
          <w:sz w:val="24"/>
          <w:szCs w:val="24"/>
          <w:highlight w:val="none"/>
        </w:rPr>
      </w:pPr>
      <w:r>
        <w:rPr>
          <w:rFonts w:hint="eastAsia"/>
          <w:color w:val="auto"/>
          <w:sz w:val="24"/>
          <w:szCs w:val="24"/>
          <w:highlight w:val="none"/>
        </w:rPr>
        <w:t>（本页</w:t>
      </w:r>
      <w:r>
        <w:rPr>
          <w:color w:val="auto"/>
          <w:sz w:val="24"/>
          <w:szCs w:val="24"/>
          <w:highlight w:val="none"/>
        </w:rPr>
        <w:t>无正文，为</w:t>
      </w:r>
      <w:r>
        <w:rPr>
          <w:rFonts w:hint="eastAsia"/>
          <w:color w:val="auto"/>
          <w:sz w:val="24"/>
          <w:szCs w:val="24"/>
          <w:highlight w:val="none"/>
        </w:rPr>
        <w:t>编号</w:t>
      </w:r>
      <w:r>
        <w:rPr>
          <w:rFonts w:hint="eastAsia"/>
          <w:bCs/>
          <w:color w:val="auto"/>
          <w:sz w:val="24"/>
          <w:szCs w:val="40"/>
          <w:highlight w:val="none"/>
        </w:rPr>
        <w:t>XXXXX</w:t>
      </w:r>
      <w:r>
        <w:rPr>
          <w:bCs/>
          <w:color w:val="auto"/>
          <w:sz w:val="24"/>
          <w:szCs w:val="40"/>
          <w:highlight w:val="none"/>
        </w:rPr>
        <w:t>XXX</w:t>
      </w:r>
      <w:r>
        <w:rPr>
          <w:color w:val="auto"/>
          <w:sz w:val="24"/>
          <w:szCs w:val="24"/>
          <w:highlight w:val="none"/>
        </w:rPr>
        <w:t xml:space="preserve"> 《</w:t>
      </w:r>
      <w:r>
        <w:rPr>
          <w:rFonts w:hint="eastAsia"/>
          <w:color w:val="auto"/>
          <w:sz w:val="24"/>
          <w:szCs w:val="24"/>
          <w:highlight w:val="none"/>
        </w:rPr>
        <w:t>重庆三峡银行技术服务合同（IBM相关软件原厂维保项目-2023年度</w:t>
      </w:r>
      <w:r>
        <w:rPr>
          <w:color w:val="auto"/>
          <w:sz w:val="24"/>
          <w:szCs w:val="24"/>
          <w:highlight w:val="none"/>
        </w:rPr>
        <w:t>采购</w:t>
      </w:r>
      <w:r>
        <w:rPr>
          <w:rFonts w:hint="eastAsia"/>
          <w:color w:val="auto"/>
          <w:sz w:val="24"/>
          <w:szCs w:val="24"/>
          <w:highlight w:val="none"/>
        </w:rPr>
        <w:t>）</w:t>
      </w:r>
      <w:r>
        <w:rPr>
          <w:color w:val="auto"/>
          <w:sz w:val="24"/>
          <w:szCs w:val="24"/>
          <w:highlight w:val="none"/>
        </w:rPr>
        <w:t>》</w:t>
      </w:r>
      <w:r>
        <w:rPr>
          <w:rFonts w:hint="eastAsia"/>
          <w:color w:val="auto"/>
          <w:sz w:val="24"/>
          <w:szCs w:val="24"/>
          <w:highlight w:val="none"/>
        </w:rPr>
        <w:t>签署页）</w:t>
      </w:r>
    </w:p>
    <w:tbl>
      <w:tblPr>
        <w:tblStyle w:val="26"/>
        <w:tblW w:w="85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8"/>
        <w:gridCol w:w="4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8" w:type="dxa"/>
            <w:tcBorders>
              <w:tl2br w:val="nil"/>
              <w:tr2bl w:val="nil"/>
            </w:tcBorders>
            <w:vAlign w:val="center"/>
          </w:tcPr>
          <w:p>
            <w:pPr>
              <w:pStyle w:val="11"/>
              <w:snapToGrid w:val="0"/>
              <w:spacing w:after="0" w:line="360" w:lineRule="auto"/>
              <w:ind w:left="0" w:leftChars="0"/>
              <w:rPr>
                <w:rFonts w:hint="eastAsia" w:ascii="宋体"/>
                <w:color w:val="auto"/>
                <w:sz w:val="24"/>
                <w:highlight w:val="none"/>
              </w:rPr>
            </w:pPr>
            <w:r>
              <w:rPr>
                <w:rFonts w:hint="eastAsia" w:ascii="宋体"/>
                <w:color w:val="auto"/>
                <w:sz w:val="24"/>
                <w:highlight w:val="none"/>
              </w:rPr>
              <w:t>甲方（签章）</w:t>
            </w:r>
          </w:p>
          <w:p>
            <w:pPr>
              <w:pStyle w:val="11"/>
              <w:snapToGrid w:val="0"/>
              <w:spacing w:after="0" w:line="360" w:lineRule="auto"/>
              <w:ind w:left="0" w:leftChars="0"/>
              <w:rPr>
                <w:rFonts w:hint="eastAsia" w:ascii="宋体"/>
                <w:color w:val="auto"/>
                <w:sz w:val="24"/>
                <w:highlight w:val="none"/>
              </w:rPr>
            </w:pPr>
          </w:p>
        </w:tc>
        <w:tc>
          <w:tcPr>
            <w:tcW w:w="4221" w:type="dxa"/>
            <w:tcBorders>
              <w:tl2br w:val="nil"/>
              <w:tr2bl w:val="nil"/>
            </w:tcBorders>
            <w:vAlign w:val="center"/>
          </w:tcPr>
          <w:p>
            <w:pPr>
              <w:pStyle w:val="11"/>
              <w:snapToGrid w:val="0"/>
              <w:spacing w:after="0" w:line="360" w:lineRule="auto"/>
              <w:ind w:left="0" w:leftChars="0"/>
              <w:rPr>
                <w:rFonts w:hint="eastAsia" w:ascii="宋体"/>
                <w:color w:val="auto"/>
                <w:sz w:val="24"/>
                <w:highlight w:val="none"/>
              </w:rPr>
            </w:pPr>
            <w:r>
              <w:rPr>
                <w:rFonts w:hint="eastAsia" w:ascii="宋体"/>
                <w:color w:val="auto"/>
                <w:sz w:val="24"/>
                <w:highlight w:val="none"/>
              </w:rPr>
              <w:t>乙方（签章）</w:t>
            </w:r>
          </w:p>
          <w:p>
            <w:pPr>
              <w:pStyle w:val="11"/>
              <w:snapToGrid w:val="0"/>
              <w:spacing w:after="0" w:line="360" w:lineRule="auto"/>
              <w:ind w:left="0" w:leftChars="0"/>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8" w:type="dxa"/>
            <w:tcBorders>
              <w:tl2br w:val="nil"/>
              <w:tr2bl w:val="nil"/>
            </w:tcBorders>
            <w:vAlign w:val="center"/>
          </w:tcPr>
          <w:p>
            <w:pPr>
              <w:pStyle w:val="11"/>
              <w:snapToGrid w:val="0"/>
              <w:spacing w:after="0" w:line="360" w:lineRule="auto"/>
              <w:ind w:left="0" w:leftChars="0"/>
              <w:rPr>
                <w:rFonts w:hint="eastAsia" w:ascii="宋体"/>
                <w:color w:val="auto"/>
                <w:sz w:val="24"/>
                <w:highlight w:val="none"/>
              </w:rPr>
            </w:pPr>
            <w:r>
              <w:rPr>
                <w:rFonts w:hint="eastAsia" w:ascii="宋体"/>
                <w:color w:val="auto"/>
                <w:sz w:val="24"/>
                <w:highlight w:val="none"/>
              </w:rPr>
              <w:t>单位名称：重庆三峡银行股份有限公司</w:t>
            </w:r>
          </w:p>
        </w:tc>
        <w:tc>
          <w:tcPr>
            <w:tcW w:w="4221" w:type="dxa"/>
            <w:tcBorders>
              <w:tl2br w:val="nil"/>
              <w:tr2bl w:val="nil"/>
            </w:tcBorders>
            <w:vAlign w:val="center"/>
          </w:tcPr>
          <w:p>
            <w:pPr>
              <w:pStyle w:val="11"/>
              <w:snapToGrid w:val="0"/>
              <w:spacing w:after="0" w:line="360" w:lineRule="auto"/>
              <w:ind w:left="0" w:leftChars="0"/>
              <w:rPr>
                <w:rFonts w:hint="eastAsia" w:ascii="宋体"/>
                <w:color w:val="auto"/>
                <w:sz w:val="24"/>
                <w:highlight w:val="none"/>
              </w:rPr>
            </w:pPr>
            <w:r>
              <w:rPr>
                <w:rFonts w:hint="eastAsia" w:ascii="宋体"/>
                <w:color w:val="auto"/>
                <w:sz w:val="24"/>
                <w:highlight w:val="none"/>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8" w:type="dxa"/>
            <w:tcBorders>
              <w:tl2br w:val="nil"/>
              <w:tr2bl w:val="nil"/>
            </w:tcBorders>
            <w:vAlign w:val="center"/>
          </w:tcPr>
          <w:p>
            <w:pPr>
              <w:pStyle w:val="11"/>
              <w:snapToGrid w:val="0"/>
              <w:spacing w:after="0" w:line="360" w:lineRule="auto"/>
              <w:ind w:left="0" w:leftChars="0"/>
              <w:rPr>
                <w:rFonts w:hint="eastAsia" w:ascii="宋体"/>
                <w:color w:val="auto"/>
                <w:sz w:val="24"/>
                <w:highlight w:val="none"/>
              </w:rPr>
            </w:pPr>
            <w:r>
              <w:rPr>
                <w:rFonts w:hint="eastAsia" w:ascii="宋体"/>
                <w:color w:val="auto"/>
                <w:sz w:val="24"/>
                <w:highlight w:val="none"/>
              </w:rPr>
              <w:t>单位地址：</w:t>
            </w:r>
          </w:p>
        </w:tc>
        <w:tc>
          <w:tcPr>
            <w:tcW w:w="4221" w:type="dxa"/>
            <w:tcBorders>
              <w:tl2br w:val="nil"/>
              <w:tr2bl w:val="nil"/>
            </w:tcBorders>
            <w:vAlign w:val="center"/>
          </w:tcPr>
          <w:p>
            <w:pPr>
              <w:pStyle w:val="11"/>
              <w:snapToGrid w:val="0"/>
              <w:spacing w:after="0" w:line="360" w:lineRule="auto"/>
              <w:ind w:left="0" w:leftChars="0"/>
              <w:rPr>
                <w:rFonts w:hint="eastAsia" w:ascii="宋体"/>
                <w:color w:val="auto"/>
                <w:sz w:val="24"/>
                <w:highlight w:val="none"/>
              </w:rPr>
            </w:pPr>
            <w:r>
              <w:rPr>
                <w:rFonts w:hint="eastAsia" w:ascii="宋体"/>
                <w:color w:val="auto"/>
                <w:sz w:val="24"/>
                <w:highlight w:val="none"/>
              </w:rPr>
              <w:t xml:space="preserve">单位地址：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8" w:type="dxa"/>
            <w:tcBorders>
              <w:tl2br w:val="nil"/>
              <w:tr2bl w:val="nil"/>
            </w:tcBorders>
            <w:vAlign w:val="center"/>
          </w:tcPr>
          <w:p>
            <w:pPr>
              <w:pStyle w:val="11"/>
              <w:snapToGrid w:val="0"/>
              <w:spacing w:after="0" w:line="360" w:lineRule="auto"/>
              <w:ind w:left="0" w:leftChars="0"/>
              <w:rPr>
                <w:rFonts w:hint="eastAsia" w:ascii="宋体"/>
                <w:color w:val="auto"/>
                <w:sz w:val="24"/>
                <w:highlight w:val="none"/>
              </w:rPr>
            </w:pPr>
            <w:r>
              <w:rPr>
                <w:rFonts w:hint="eastAsia" w:ascii="宋体"/>
                <w:color w:val="auto"/>
                <w:sz w:val="24"/>
                <w:highlight w:val="none"/>
              </w:rPr>
              <w:t>电话：</w:t>
            </w:r>
          </w:p>
        </w:tc>
        <w:tc>
          <w:tcPr>
            <w:tcW w:w="4221" w:type="dxa"/>
            <w:tcBorders>
              <w:tl2br w:val="nil"/>
              <w:tr2bl w:val="nil"/>
            </w:tcBorders>
            <w:vAlign w:val="center"/>
          </w:tcPr>
          <w:p>
            <w:pPr>
              <w:pStyle w:val="11"/>
              <w:snapToGrid w:val="0"/>
              <w:spacing w:after="0" w:line="360" w:lineRule="auto"/>
              <w:ind w:left="0" w:leftChars="0"/>
              <w:rPr>
                <w:rFonts w:hint="eastAsia" w:ascii="宋体"/>
                <w:color w:val="auto"/>
                <w:sz w:val="24"/>
                <w:highlight w:val="none"/>
              </w:rPr>
            </w:pPr>
            <w:r>
              <w:rPr>
                <w:rFonts w:hint="eastAsia" w:ascii="宋体"/>
                <w:color w:val="auto"/>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8" w:type="dxa"/>
            <w:tcBorders>
              <w:tl2br w:val="nil"/>
              <w:tr2bl w:val="nil"/>
            </w:tcBorders>
            <w:vAlign w:val="center"/>
          </w:tcPr>
          <w:p>
            <w:pPr>
              <w:pStyle w:val="11"/>
              <w:snapToGrid w:val="0"/>
              <w:spacing w:after="0" w:line="360" w:lineRule="auto"/>
              <w:ind w:left="0" w:leftChars="0"/>
              <w:rPr>
                <w:rFonts w:hint="eastAsia" w:ascii="宋体"/>
                <w:color w:val="auto"/>
                <w:sz w:val="24"/>
                <w:highlight w:val="none"/>
              </w:rPr>
            </w:pPr>
            <w:r>
              <w:rPr>
                <w:rFonts w:hint="eastAsia" w:ascii="宋体"/>
                <w:color w:val="auto"/>
                <w:sz w:val="24"/>
                <w:highlight w:val="none"/>
              </w:rPr>
              <w:t>传真：</w:t>
            </w:r>
          </w:p>
        </w:tc>
        <w:tc>
          <w:tcPr>
            <w:tcW w:w="4221" w:type="dxa"/>
            <w:tcBorders>
              <w:tl2br w:val="nil"/>
              <w:tr2bl w:val="nil"/>
            </w:tcBorders>
            <w:vAlign w:val="center"/>
          </w:tcPr>
          <w:p>
            <w:pPr>
              <w:pStyle w:val="11"/>
              <w:snapToGrid w:val="0"/>
              <w:spacing w:after="0" w:line="360" w:lineRule="auto"/>
              <w:ind w:left="0" w:leftChars="0"/>
              <w:rPr>
                <w:rFonts w:hint="eastAsia" w:ascii="宋体"/>
                <w:color w:val="auto"/>
                <w:sz w:val="24"/>
                <w:highlight w:val="none"/>
              </w:rPr>
            </w:pPr>
            <w:r>
              <w:rPr>
                <w:rFonts w:hint="eastAsia" w:ascii="宋体"/>
                <w:color w:val="auto"/>
                <w:sz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8" w:type="dxa"/>
            <w:tcBorders>
              <w:tl2br w:val="nil"/>
              <w:tr2bl w:val="nil"/>
            </w:tcBorders>
            <w:vAlign w:val="center"/>
          </w:tcPr>
          <w:p>
            <w:pPr>
              <w:pStyle w:val="11"/>
              <w:snapToGrid w:val="0"/>
              <w:spacing w:after="0" w:line="360" w:lineRule="auto"/>
              <w:ind w:left="0" w:leftChars="0"/>
              <w:rPr>
                <w:rFonts w:hint="eastAsia" w:ascii="宋体"/>
                <w:color w:val="auto"/>
                <w:sz w:val="24"/>
                <w:highlight w:val="none"/>
              </w:rPr>
            </w:pPr>
            <w:r>
              <w:rPr>
                <w:rFonts w:hint="eastAsia" w:ascii="宋体"/>
                <w:color w:val="auto"/>
                <w:sz w:val="24"/>
                <w:highlight w:val="none"/>
              </w:rPr>
              <w:t>开户银行：</w:t>
            </w:r>
          </w:p>
        </w:tc>
        <w:tc>
          <w:tcPr>
            <w:tcW w:w="4221" w:type="dxa"/>
            <w:tcBorders>
              <w:tl2br w:val="nil"/>
              <w:tr2bl w:val="nil"/>
            </w:tcBorders>
            <w:vAlign w:val="center"/>
          </w:tcPr>
          <w:p>
            <w:pPr>
              <w:pStyle w:val="11"/>
              <w:snapToGrid w:val="0"/>
              <w:spacing w:after="0" w:line="360" w:lineRule="auto"/>
              <w:ind w:left="0" w:leftChars="0"/>
              <w:rPr>
                <w:rFonts w:hint="eastAsia" w:ascii="宋体"/>
                <w:color w:val="auto"/>
                <w:sz w:val="24"/>
                <w:highlight w:val="none"/>
              </w:rPr>
            </w:pPr>
            <w:r>
              <w:rPr>
                <w:rFonts w:hint="eastAsia" w:ascii="宋体"/>
                <w:color w:val="auto"/>
                <w:sz w:val="24"/>
                <w:highlight w:val="none"/>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8" w:type="dxa"/>
            <w:tcBorders>
              <w:tl2br w:val="nil"/>
              <w:tr2bl w:val="nil"/>
            </w:tcBorders>
            <w:vAlign w:val="center"/>
          </w:tcPr>
          <w:p>
            <w:pPr>
              <w:pStyle w:val="11"/>
              <w:snapToGrid w:val="0"/>
              <w:spacing w:after="0" w:line="360" w:lineRule="auto"/>
              <w:ind w:left="0" w:leftChars="0"/>
              <w:rPr>
                <w:rFonts w:hint="eastAsia" w:ascii="宋体"/>
                <w:color w:val="auto"/>
                <w:sz w:val="24"/>
                <w:highlight w:val="none"/>
              </w:rPr>
            </w:pPr>
            <w:r>
              <w:rPr>
                <w:rFonts w:hint="eastAsia" w:ascii="宋体"/>
                <w:color w:val="auto"/>
                <w:sz w:val="24"/>
                <w:highlight w:val="none"/>
              </w:rPr>
              <w:t>账号：</w:t>
            </w:r>
          </w:p>
        </w:tc>
        <w:tc>
          <w:tcPr>
            <w:tcW w:w="4221" w:type="dxa"/>
            <w:tcBorders>
              <w:tl2br w:val="nil"/>
              <w:tr2bl w:val="nil"/>
            </w:tcBorders>
            <w:vAlign w:val="center"/>
          </w:tcPr>
          <w:p>
            <w:pPr>
              <w:pStyle w:val="11"/>
              <w:snapToGrid w:val="0"/>
              <w:spacing w:after="0" w:line="360" w:lineRule="auto"/>
              <w:ind w:left="0" w:leftChars="0"/>
              <w:rPr>
                <w:rFonts w:hint="eastAsia" w:ascii="宋体"/>
                <w:color w:val="auto"/>
                <w:sz w:val="24"/>
                <w:highlight w:val="none"/>
              </w:rPr>
            </w:pPr>
            <w:r>
              <w:rPr>
                <w:rFonts w:hint="eastAsia" w:ascii="宋体"/>
                <w:color w:val="auto"/>
                <w:sz w:val="24"/>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8" w:type="dxa"/>
            <w:tcBorders>
              <w:tl2br w:val="nil"/>
              <w:tr2bl w:val="nil"/>
            </w:tcBorders>
            <w:vAlign w:val="center"/>
          </w:tcPr>
          <w:p>
            <w:pPr>
              <w:pStyle w:val="11"/>
              <w:snapToGrid w:val="0"/>
              <w:spacing w:after="0" w:line="360" w:lineRule="auto"/>
              <w:ind w:left="0" w:leftChars="0"/>
              <w:rPr>
                <w:rFonts w:hint="eastAsia" w:ascii="宋体"/>
                <w:color w:val="auto"/>
                <w:sz w:val="24"/>
                <w:highlight w:val="none"/>
              </w:rPr>
            </w:pPr>
            <w:r>
              <w:rPr>
                <w:rFonts w:hint="eastAsia" w:ascii="宋体"/>
                <w:color w:val="auto"/>
                <w:sz w:val="24"/>
                <w:highlight w:val="none"/>
              </w:rPr>
              <w:t>税号：</w:t>
            </w:r>
          </w:p>
        </w:tc>
        <w:tc>
          <w:tcPr>
            <w:tcW w:w="4221" w:type="dxa"/>
            <w:tcBorders>
              <w:tl2br w:val="nil"/>
              <w:tr2bl w:val="nil"/>
            </w:tcBorders>
            <w:vAlign w:val="center"/>
          </w:tcPr>
          <w:p>
            <w:pPr>
              <w:pStyle w:val="11"/>
              <w:snapToGrid w:val="0"/>
              <w:spacing w:after="0" w:line="360" w:lineRule="auto"/>
              <w:ind w:left="0" w:leftChars="0"/>
              <w:rPr>
                <w:rFonts w:hint="eastAsia" w:ascii="宋体"/>
                <w:color w:val="auto"/>
                <w:sz w:val="24"/>
                <w:highlight w:val="none"/>
              </w:rPr>
            </w:pPr>
            <w:r>
              <w:rPr>
                <w:rFonts w:hint="eastAsia" w:ascii="宋体"/>
                <w:color w:val="auto"/>
                <w:sz w:val="24"/>
                <w:highlight w:val="none"/>
              </w:rPr>
              <w:t>税号：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9" w:type="dxa"/>
            <w:gridSpan w:val="2"/>
            <w:tcBorders>
              <w:tl2br w:val="nil"/>
              <w:tr2bl w:val="nil"/>
            </w:tcBorders>
            <w:vAlign w:val="center"/>
          </w:tcPr>
          <w:p>
            <w:pPr>
              <w:pStyle w:val="11"/>
              <w:snapToGrid w:val="0"/>
              <w:spacing w:after="0" w:line="360" w:lineRule="auto"/>
              <w:ind w:left="0" w:leftChars="0"/>
              <w:rPr>
                <w:rFonts w:hint="eastAsia" w:ascii="宋体"/>
                <w:color w:val="auto"/>
                <w:sz w:val="24"/>
                <w:highlight w:val="none"/>
              </w:rPr>
            </w:pPr>
            <w:r>
              <w:rPr>
                <w:rFonts w:hint="eastAsia" w:ascii="宋体"/>
                <w:color w:val="auto"/>
                <w:sz w:val="24"/>
                <w:highlight w:val="none"/>
              </w:rPr>
              <w:t>日期：</w:t>
            </w:r>
          </w:p>
        </w:tc>
      </w:tr>
    </w:tbl>
    <w:p>
      <w:pPr>
        <w:spacing w:line="360" w:lineRule="auto"/>
        <w:rPr>
          <w:rFonts w:hint="eastAsia" w:ascii="宋体"/>
          <w:b/>
          <w:color w:val="auto"/>
          <w:sz w:val="24"/>
          <w:highlight w:val="none"/>
        </w:rPr>
      </w:pPr>
    </w:p>
    <w:p>
      <w:pPr>
        <w:spacing w:line="360" w:lineRule="auto"/>
        <w:outlineLvl w:val="9"/>
        <w:rPr>
          <w:rFonts w:ascii="宋体"/>
          <w:b/>
          <w:color w:val="auto"/>
          <w:sz w:val="24"/>
          <w:highlight w:val="none"/>
        </w:rPr>
      </w:pPr>
      <w:r>
        <w:rPr>
          <w:rFonts w:hint="eastAsia" w:ascii="宋体"/>
          <w:b/>
          <w:color w:val="auto"/>
          <w:sz w:val="24"/>
          <w:highlight w:val="none"/>
        </w:rPr>
        <w:br w:type="page"/>
      </w:r>
      <w:r>
        <w:rPr>
          <w:rFonts w:hint="eastAsia" w:ascii="宋体"/>
          <w:b/>
          <w:color w:val="auto"/>
          <w:sz w:val="24"/>
          <w:highlight w:val="none"/>
        </w:rPr>
        <w:t xml:space="preserve">附件一： </w:t>
      </w:r>
    </w:p>
    <w:p>
      <w:pPr>
        <w:jc w:val="center"/>
        <w:outlineLvl w:val="9"/>
        <w:rPr>
          <w:color w:val="auto"/>
          <w:sz w:val="24"/>
          <w:highlight w:val="none"/>
        </w:rPr>
      </w:pPr>
      <w:r>
        <w:rPr>
          <w:b/>
          <w:bCs/>
          <w:color w:val="auto"/>
          <w:sz w:val="32"/>
          <w:szCs w:val="32"/>
          <w:highlight w:val="none"/>
        </w:rPr>
        <w:t>IBM 软件PA技术支持手册</w:t>
      </w:r>
    </w:p>
    <w:p>
      <w:pPr>
        <w:pStyle w:val="34"/>
        <w:tabs>
          <w:tab w:val="left" w:pos="420"/>
          <w:tab w:val="right" w:leader="dot" w:pos="8963"/>
        </w:tabs>
        <w:spacing w:line="360" w:lineRule="auto"/>
        <w:outlineLvl w:val="9"/>
        <w:rPr>
          <w:rFonts w:hint="eastAsia" w:ascii="宋体"/>
          <w:b/>
          <w:bCs/>
          <w:color w:val="auto"/>
          <w:sz w:val="24"/>
          <w:szCs w:val="24"/>
          <w:highlight w:val="none"/>
        </w:rPr>
      </w:pPr>
      <w:bookmarkStart w:id="68" w:name="OLE_LINK13"/>
      <w:bookmarkStart w:id="69" w:name="_Toc81214211"/>
      <w:bookmarkStart w:id="70" w:name="OLE_LINK12"/>
      <w:bookmarkStart w:id="71" w:name="OLE_LINK16"/>
      <w:bookmarkStart w:id="72" w:name="OLE_LINK17"/>
      <w:r>
        <w:rPr>
          <w:rFonts w:hint="eastAsia" w:ascii="宋体"/>
          <w:color w:val="auto"/>
          <w:sz w:val="24"/>
          <w:szCs w:val="24"/>
          <w:highlight w:val="none"/>
        </w:rPr>
        <w:t>一、IBM的软件升级与技术支持服务内容</w:t>
      </w:r>
      <w:bookmarkEnd w:id="68"/>
      <w:bookmarkEnd w:id="69"/>
      <w:bookmarkEnd w:id="70"/>
    </w:p>
    <w:p>
      <w:pPr>
        <w:autoSpaceDE w:val="0"/>
        <w:autoSpaceDN w:val="0"/>
        <w:adjustRightInd w:val="0"/>
        <w:ind w:firstLine="482" w:firstLineChars="200"/>
        <w:rPr>
          <w:rFonts w:hint="eastAsia" w:ascii="宋体"/>
          <w:b/>
          <w:bCs/>
          <w:color w:val="auto"/>
          <w:sz w:val="24"/>
          <w:highlight w:val="none"/>
        </w:rPr>
      </w:pPr>
      <w:r>
        <w:rPr>
          <w:rFonts w:hint="eastAsia" w:ascii="宋体"/>
          <w:b/>
          <w:bCs/>
          <w:color w:val="auto"/>
          <w:sz w:val="24"/>
          <w:highlight w:val="none"/>
        </w:rPr>
        <w:t>（一）升级：</w:t>
      </w:r>
    </w:p>
    <w:p>
      <w:pPr>
        <w:autoSpaceDE w:val="0"/>
        <w:autoSpaceDN w:val="0"/>
        <w:adjustRightInd w:val="0"/>
        <w:rPr>
          <w:rFonts w:hint="eastAsia" w:ascii="宋体"/>
          <w:color w:val="auto"/>
          <w:sz w:val="24"/>
          <w:highlight w:val="none"/>
        </w:rPr>
      </w:pPr>
      <w:r>
        <w:rPr>
          <w:rFonts w:hint="eastAsia" w:ascii="宋体"/>
          <w:color w:val="auto"/>
          <w:sz w:val="24"/>
          <w:highlight w:val="none"/>
        </w:rPr>
        <w:t>软件升级和支持（“S&amp;S”）服务有效期内，IBM软件只要新版本的发布，IBM 会向客户提供并授权客户使用市场可获得的最新版本、发行版本或更新版本。</w:t>
      </w:r>
    </w:p>
    <w:p>
      <w:pPr>
        <w:autoSpaceDE w:val="0"/>
        <w:autoSpaceDN w:val="0"/>
        <w:adjustRightInd w:val="0"/>
        <w:ind w:firstLine="482" w:firstLineChars="200"/>
        <w:rPr>
          <w:rFonts w:hint="eastAsia" w:ascii="宋体"/>
          <w:b/>
          <w:bCs/>
          <w:color w:val="auto"/>
          <w:sz w:val="24"/>
          <w:highlight w:val="none"/>
        </w:rPr>
      </w:pPr>
      <w:r>
        <w:rPr>
          <w:rFonts w:hint="eastAsia" w:ascii="宋体"/>
          <w:b/>
          <w:bCs/>
          <w:color w:val="auto"/>
          <w:sz w:val="24"/>
          <w:highlight w:val="none"/>
        </w:rPr>
        <w:t>（二）补丁和介质的下载</w:t>
      </w:r>
    </w:p>
    <w:p>
      <w:pPr>
        <w:autoSpaceDE w:val="0"/>
        <w:autoSpaceDN w:val="0"/>
        <w:adjustRightInd w:val="0"/>
        <w:rPr>
          <w:rFonts w:hint="eastAsia" w:ascii="宋体"/>
          <w:b/>
          <w:bCs/>
          <w:color w:val="auto"/>
          <w:sz w:val="24"/>
          <w:highlight w:val="none"/>
        </w:rPr>
      </w:pPr>
      <w:r>
        <w:rPr>
          <w:rFonts w:hint="eastAsia" w:ascii="宋体"/>
          <w:color w:val="auto"/>
          <w:sz w:val="24"/>
          <w:highlight w:val="none"/>
        </w:rPr>
        <w:t>PA 软件许可授权有效期内，可以到PAO网站载产品补丁包和介质。</w:t>
      </w:r>
    </w:p>
    <w:p>
      <w:pPr>
        <w:autoSpaceDE w:val="0"/>
        <w:autoSpaceDN w:val="0"/>
        <w:adjustRightInd w:val="0"/>
        <w:ind w:firstLine="482" w:firstLineChars="200"/>
        <w:rPr>
          <w:rFonts w:hint="eastAsia" w:ascii="宋体"/>
          <w:b/>
          <w:bCs/>
          <w:color w:val="auto"/>
          <w:sz w:val="24"/>
          <w:highlight w:val="none"/>
        </w:rPr>
      </w:pPr>
      <w:r>
        <w:rPr>
          <w:rFonts w:hint="eastAsia" w:ascii="宋体"/>
          <w:b/>
          <w:bCs/>
          <w:color w:val="auto"/>
          <w:sz w:val="24"/>
          <w:highlight w:val="none"/>
        </w:rPr>
        <w:t>（三）客户的 IT 组织内任何人，经授权均可访问 IBM PAO(Passport Advantage Online)网站。</w:t>
      </w:r>
    </w:p>
    <w:p>
      <w:pPr>
        <w:autoSpaceDE w:val="0"/>
        <w:autoSpaceDN w:val="0"/>
        <w:adjustRightInd w:val="0"/>
        <w:ind w:firstLine="482" w:firstLineChars="200"/>
        <w:rPr>
          <w:rFonts w:hint="eastAsia" w:ascii="宋体"/>
          <w:color w:val="auto"/>
          <w:sz w:val="24"/>
          <w:highlight w:val="none"/>
        </w:rPr>
      </w:pPr>
      <w:r>
        <w:rPr>
          <w:rFonts w:hint="eastAsia" w:ascii="宋体"/>
          <w:b/>
          <w:bCs/>
          <w:color w:val="auto"/>
          <w:sz w:val="24"/>
          <w:highlight w:val="none"/>
        </w:rPr>
        <w:t>1、</w:t>
      </w:r>
      <w:r>
        <w:rPr>
          <w:rFonts w:hint="eastAsia" w:ascii="宋体"/>
          <w:color w:val="auto"/>
          <w:sz w:val="24"/>
          <w:highlight w:val="none"/>
        </w:rPr>
        <w:t>客户可以进行注册、软件下载和介质访问、购买与续约、报告功能、权利、账户管理、参考等。</w:t>
      </w:r>
    </w:p>
    <w:p>
      <w:pPr>
        <w:widowControl/>
        <w:numPr>
          <w:ilvl w:val="0"/>
          <w:numId w:val="4"/>
        </w:numPr>
        <w:autoSpaceDE w:val="0"/>
        <w:autoSpaceDN w:val="0"/>
        <w:adjustRightInd w:val="0"/>
        <w:ind w:left="0" w:firstLine="480" w:firstLineChars="200"/>
        <w:jc w:val="left"/>
        <w:rPr>
          <w:rFonts w:hint="eastAsia" w:ascii="宋体"/>
          <w:b/>
          <w:bCs/>
          <w:color w:val="auto"/>
          <w:sz w:val="24"/>
          <w:highlight w:val="none"/>
        </w:rPr>
      </w:pPr>
      <w:r>
        <w:rPr>
          <w:rFonts w:hint="eastAsia" w:ascii="宋体"/>
          <w:color w:val="auto"/>
          <w:sz w:val="24"/>
          <w:highlight w:val="none"/>
        </w:rPr>
        <w:t>2、PAO网址</w:t>
      </w:r>
      <w:r>
        <w:rPr>
          <w:rFonts w:hint="eastAsia" w:ascii="宋体"/>
          <w:color w:val="auto"/>
          <w:sz w:val="24"/>
          <w:highlight w:val="none"/>
          <w:u w:val="single"/>
        </w:rPr>
        <w:t>https://www.ibm.com/software/passportadvantage/pao_customer.html</w:t>
      </w:r>
    </w:p>
    <w:p>
      <w:pPr>
        <w:autoSpaceDE w:val="0"/>
        <w:autoSpaceDN w:val="0"/>
        <w:adjustRightInd w:val="0"/>
        <w:ind w:firstLine="361" w:firstLineChars="150"/>
        <w:rPr>
          <w:rFonts w:hint="eastAsia" w:ascii="宋体"/>
          <w:b/>
          <w:bCs/>
          <w:color w:val="auto"/>
          <w:sz w:val="24"/>
          <w:highlight w:val="none"/>
        </w:rPr>
      </w:pPr>
      <w:r>
        <w:rPr>
          <w:rFonts w:hint="eastAsia" w:ascii="宋体"/>
          <w:b/>
          <w:bCs/>
          <w:color w:val="auto"/>
          <w:sz w:val="24"/>
          <w:highlight w:val="none"/>
        </w:rPr>
        <w:t>（四）时刻在线的电子化支持(互联网/电子邮件)</w:t>
      </w:r>
    </w:p>
    <w:p>
      <w:pPr>
        <w:autoSpaceDE w:val="0"/>
        <w:autoSpaceDN w:val="0"/>
        <w:adjustRightInd w:val="0"/>
        <w:ind w:firstLine="360" w:firstLineChars="150"/>
        <w:rPr>
          <w:rFonts w:hint="eastAsia" w:ascii="宋体"/>
          <w:color w:val="auto"/>
          <w:sz w:val="24"/>
          <w:highlight w:val="none"/>
        </w:rPr>
      </w:pPr>
      <w:r>
        <w:rPr>
          <w:rFonts w:hint="eastAsia" w:ascii="宋体"/>
          <w:color w:val="auto"/>
          <w:sz w:val="24"/>
          <w:highlight w:val="none"/>
        </w:rPr>
        <w:t>IBM 电子服务请求，电子化方式每周7天每天24小时的基于互联网的在线提交服务请求，IBM支持社区网址：</w:t>
      </w:r>
      <w:r>
        <w:rPr>
          <w:rFonts w:hint="eastAsia" w:ascii="宋体"/>
          <w:color w:val="auto"/>
          <w:sz w:val="24"/>
          <w:highlight w:val="none"/>
          <w:u w:val="single"/>
        </w:rPr>
        <w:t>https://www.ibm.com/mysupport/s/?language=zh_CN</w:t>
      </w:r>
      <w:r>
        <w:rPr>
          <w:rFonts w:hint="eastAsia" w:ascii="宋体"/>
          <w:color w:val="auto"/>
          <w:sz w:val="24"/>
          <w:highlight w:val="none"/>
        </w:rPr>
        <w:t>移动平台获取IBM软件技术信息，微信官方账号：“IBM软件技术支持”</w:t>
      </w:r>
    </w:p>
    <w:p>
      <w:pPr>
        <w:autoSpaceDE w:val="0"/>
        <w:autoSpaceDN w:val="0"/>
        <w:adjustRightInd w:val="0"/>
        <w:ind w:firstLine="361" w:firstLineChars="150"/>
        <w:rPr>
          <w:rFonts w:hint="eastAsia" w:ascii="宋体"/>
          <w:b/>
          <w:bCs/>
          <w:color w:val="auto"/>
          <w:sz w:val="24"/>
          <w:highlight w:val="none"/>
        </w:rPr>
      </w:pPr>
      <w:r>
        <w:rPr>
          <w:rFonts w:hint="eastAsia" w:ascii="宋体"/>
          <w:b/>
          <w:bCs/>
          <w:color w:val="auto"/>
          <w:sz w:val="24"/>
          <w:highlight w:val="none"/>
        </w:rPr>
        <w:t>（五）提供5×8 小时及7×24 小时(仅限“严重程度一”的问题)远程电话支持</w:t>
      </w:r>
    </w:p>
    <w:p>
      <w:pPr>
        <w:autoSpaceDE w:val="0"/>
        <w:autoSpaceDN w:val="0"/>
        <w:adjustRightInd w:val="0"/>
        <w:ind w:firstLine="360" w:firstLineChars="150"/>
        <w:rPr>
          <w:rFonts w:hint="eastAsia" w:ascii="宋体"/>
          <w:color w:val="auto"/>
          <w:sz w:val="24"/>
          <w:highlight w:val="none"/>
        </w:rPr>
      </w:pPr>
      <w:r>
        <w:rPr>
          <w:rFonts w:hint="eastAsia" w:ascii="宋体"/>
          <w:color w:val="auto"/>
          <w:sz w:val="24"/>
          <w:highlight w:val="none"/>
        </w:rPr>
        <w:t>工作时间内(上午8:30到下午17:00)，对于客户报告的技术问题,工程师会及时复，若所有工程师都在占线状态，将在收到客户电话后两小时内由工程师予以回复.</w:t>
      </w:r>
    </w:p>
    <w:p>
      <w:pPr>
        <w:autoSpaceDE w:val="0"/>
        <w:autoSpaceDN w:val="0"/>
        <w:adjustRightInd w:val="0"/>
        <w:ind w:firstLine="360" w:firstLineChars="150"/>
        <w:rPr>
          <w:rFonts w:hint="eastAsia" w:ascii="宋体"/>
          <w:color w:val="auto"/>
          <w:sz w:val="24"/>
          <w:highlight w:val="none"/>
        </w:rPr>
      </w:pPr>
      <w:r>
        <w:rPr>
          <w:rFonts w:hint="eastAsia" w:ascii="宋体"/>
          <w:color w:val="auto"/>
          <w:sz w:val="24"/>
          <w:highlight w:val="none"/>
        </w:rPr>
        <w:t>非工作时间内,对客户报告的“严重程度一”的技术问题提供7×24小时远程电话支持,工程师将在收到客户电话后两小时内予以回复</w:t>
      </w:r>
      <w:bookmarkEnd w:id="71"/>
      <w:bookmarkEnd w:id="72"/>
      <w:r>
        <w:rPr>
          <w:rFonts w:hint="eastAsia" w:ascii="宋体"/>
          <w:color w:val="auto"/>
          <w:sz w:val="24"/>
          <w:highlight w:val="none"/>
        </w:rPr>
        <w:t xml:space="preserve">. </w:t>
      </w:r>
      <w:bookmarkStart w:id="73" w:name="_Toc327884401"/>
    </w:p>
    <w:p>
      <w:pPr>
        <w:outlineLvl w:val="9"/>
        <w:rPr>
          <w:rFonts w:hint="eastAsia" w:ascii="宋体"/>
          <w:color w:val="auto"/>
          <w:sz w:val="24"/>
          <w:szCs w:val="24"/>
          <w:highlight w:val="none"/>
        </w:rPr>
      </w:pPr>
      <w:bookmarkStart w:id="74" w:name="_Toc79511975"/>
      <w:bookmarkStart w:id="75" w:name="_Toc79511962"/>
      <w:bookmarkStart w:id="76" w:name="_Toc81214212"/>
      <w:bookmarkStart w:id="77" w:name="_Toc97681262"/>
      <w:r>
        <w:rPr>
          <w:rFonts w:hint="eastAsia" w:ascii="宋体"/>
          <w:color w:val="auto"/>
          <w:sz w:val="24"/>
          <w:szCs w:val="24"/>
          <w:highlight w:val="none"/>
          <w:lang w:val="en-US"/>
        </w:rPr>
        <w:t>二、案例</w:t>
      </w:r>
      <w:r>
        <w:rPr>
          <w:rFonts w:hint="eastAsia" w:ascii="宋体"/>
          <w:color w:val="auto"/>
          <w:sz w:val="24"/>
          <w:szCs w:val="24"/>
          <w:highlight w:val="none"/>
        </w:rPr>
        <w:t>严重程度级别的定义</w:t>
      </w:r>
      <w:bookmarkEnd w:id="73"/>
      <w:bookmarkEnd w:id="74"/>
      <w:bookmarkEnd w:id="75"/>
      <w:bookmarkEnd w:id="76"/>
      <w:bookmarkEnd w:id="77"/>
    </w:p>
    <w:p>
      <w:pPr>
        <w:widowControl/>
        <w:autoSpaceDE w:val="0"/>
        <w:autoSpaceDN w:val="0"/>
        <w:adjustRightInd w:val="0"/>
        <w:ind w:left="420"/>
        <w:jc w:val="left"/>
        <w:rPr>
          <w:rFonts w:hint="eastAsia" w:ascii="宋体"/>
          <w:color w:val="auto"/>
          <w:sz w:val="24"/>
          <w:highlight w:val="none"/>
        </w:rPr>
      </w:pPr>
      <w:r>
        <w:rPr>
          <w:rFonts w:hint="eastAsia" w:ascii="宋体"/>
          <w:color w:val="auto"/>
          <w:sz w:val="24"/>
          <w:highlight w:val="none"/>
        </w:rPr>
        <w:t>严重程度一</w:t>
      </w:r>
    </w:p>
    <w:p>
      <w:pPr>
        <w:autoSpaceDE w:val="0"/>
        <w:autoSpaceDN w:val="0"/>
        <w:adjustRightInd w:val="0"/>
        <w:rPr>
          <w:rFonts w:hint="eastAsia" w:ascii="宋体"/>
          <w:color w:val="auto"/>
          <w:sz w:val="24"/>
          <w:highlight w:val="none"/>
        </w:rPr>
      </w:pPr>
      <w:r>
        <w:rPr>
          <w:rFonts w:hint="eastAsia" w:ascii="宋体"/>
          <w:color w:val="auto"/>
          <w:sz w:val="24"/>
          <w:highlight w:val="none"/>
        </w:rPr>
        <w:t>系统崩溃、无法启动或拒绝连接等原因导致客户无法获得任何系统服务,并对客户生产系统业务的正常运行造成重大影响.</w:t>
      </w:r>
    </w:p>
    <w:p>
      <w:pPr>
        <w:autoSpaceDE w:val="0"/>
        <w:autoSpaceDN w:val="0"/>
        <w:adjustRightInd w:val="0"/>
        <w:rPr>
          <w:rFonts w:hint="eastAsia" w:ascii="宋体"/>
          <w:color w:val="auto"/>
          <w:sz w:val="24"/>
          <w:highlight w:val="none"/>
        </w:rPr>
      </w:pPr>
      <w:r>
        <w:rPr>
          <w:rFonts w:hint="eastAsia" w:ascii="宋体"/>
          <w:color w:val="auto"/>
          <w:sz w:val="24"/>
          <w:highlight w:val="none"/>
        </w:rPr>
        <w:t>例如:数据库服务器宕机,系统宕机并影响了所有用户。</w:t>
      </w:r>
    </w:p>
    <w:p>
      <w:pPr>
        <w:widowControl/>
        <w:autoSpaceDE w:val="0"/>
        <w:autoSpaceDN w:val="0"/>
        <w:adjustRightInd w:val="0"/>
        <w:ind w:left="420"/>
        <w:jc w:val="left"/>
        <w:rPr>
          <w:rFonts w:hint="eastAsia" w:ascii="宋体"/>
          <w:color w:val="auto"/>
          <w:sz w:val="24"/>
          <w:highlight w:val="none"/>
        </w:rPr>
      </w:pPr>
      <w:r>
        <w:rPr>
          <w:rFonts w:hint="eastAsia" w:ascii="宋体"/>
          <w:color w:val="auto"/>
          <w:sz w:val="24"/>
          <w:highlight w:val="none"/>
        </w:rPr>
        <w:t>严重程度二</w:t>
      </w:r>
    </w:p>
    <w:p>
      <w:pPr>
        <w:autoSpaceDE w:val="0"/>
        <w:autoSpaceDN w:val="0"/>
        <w:adjustRightInd w:val="0"/>
        <w:rPr>
          <w:rFonts w:hint="eastAsia" w:ascii="宋体"/>
          <w:color w:val="auto"/>
          <w:sz w:val="24"/>
          <w:highlight w:val="none"/>
        </w:rPr>
      </w:pPr>
      <w:r>
        <w:rPr>
          <w:rFonts w:hint="eastAsia" w:ascii="宋体"/>
          <w:color w:val="auto"/>
          <w:sz w:val="24"/>
          <w:highlight w:val="none"/>
        </w:rPr>
        <w:t>系统主要功能不能正常工作,并对客户业务的正常运行造成较大影响:生产系统不稳定,并有周期性中断.</w:t>
      </w:r>
    </w:p>
    <w:p>
      <w:pPr>
        <w:autoSpaceDE w:val="0"/>
        <w:autoSpaceDN w:val="0"/>
        <w:adjustRightInd w:val="0"/>
        <w:rPr>
          <w:rFonts w:hint="eastAsia" w:ascii="宋体"/>
          <w:color w:val="auto"/>
          <w:sz w:val="24"/>
          <w:highlight w:val="none"/>
        </w:rPr>
      </w:pPr>
      <w:r>
        <w:rPr>
          <w:rFonts w:hint="eastAsia" w:ascii="宋体"/>
          <w:color w:val="auto"/>
          <w:sz w:val="24"/>
          <w:highlight w:val="none"/>
        </w:rPr>
        <w:t>例如:生产系统部分应用出现间断性错误,需要查明原因。</w:t>
      </w:r>
    </w:p>
    <w:p>
      <w:pPr>
        <w:widowControl/>
        <w:autoSpaceDE w:val="0"/>
        <w:autoSpaceDN w:val="0"/>
        <w:adjustRightInd w:val="0"/>
        <w:ind w:left="420"/>
        <w:jc w:val="left"/>
        <w:rPr>
          <w:rFonts w:hint="eastAsia" w:ascii="宋体"/>
          <w:color w:val="auto"/>
          <w:sz w:val="24"/>
          <w:highlight w:val="none"/>
        </w:rPr>
      </w:pPr>
      <w:r>
        <w:rPr>
          <w:rFonts w:hint="eastAsia" w:ascii="宋体"/>
          <w:color w:val="auto"/>
          <w:sz w:val="24"/>
          <w:highlight w:val="none"/>
        </w:rPr>
        <w:t>严重程度三</w:t>
      </w:r>
    </w:p>
    <w:p>
      <w:pPr>
        <w:autoSpaceDE w:val="0"/>
        <w:autoSpaceDN w:val="0"/>
        <w:adjustRightInd w:val="0"/>
        <w:rPr>
          <w:rFonts w:hint="eastAsia" w:ascii="宋体"/>
          <w:color w:val="auto"/>
          <w:sz w:val="24"/>
          <w:highlight w:val="none"/>
        </w:rPr>
      </w:pPr>
      <w:r>
        <w:rPr>
          <w:rFonts w:hint="eastAsia" w:ascii="宋体"/>
          <w:color w:val="auto"/>
          <w:sz w:val="24"/>
          <w:highlight w:val="none"/>
        </w:rPr>
        <w:t>生产系统有故障,但仍然可以运行,对客户业务系统的正常运行有一定的或轻微的影响;产品性能增强请求;非生产系统故障.</w:t>
      </w:r>
    </w:p>
    <w:p>
      <w:pPr>
        <w:autoSpaceDE w:val="0"/>
        <w:autoSpaceDN w:val="0"/>
        <w:adjustRightInd w:val="0"/>
        <w:rPr>
          <w:rFonts w:hint="eastAsia" w:ascii="宋体"/>
          <w:color w:val="auto"/>
          <w:sz w:val="24"/>
          <w:highlight w:val="none"/>
        </w:rPr>
      </w:pPr>
      <w:r>
        <w:rPr>
          <w:rFonts w:hint="eastAsia" w:ascii="宋体"/>
          <w:color w:val="auto"/>
          <w:sz w:val="24"/>
          <w:highlight w:val="none"/>
        </w:rPr>
        <w:t>例如:一个用户无法连接到服务器.</w:t>
      </w:r>
    </w:p>
    <w:p>
      <w:pPr>
        <w:widowControl/>
        <w:autoSpaceDE w:val="0"/>
        <w:autoSpaceDN w:val="0"/>
        <w:adjustRightInd w:val="0"/>
        <w:ind w:left="420"/>
        <w:jc w:val="left"/>
        <w:rPr>
          <w:rFonts w:hint="eastAsia" w:ascii="宋体"/>
          <w:color w:val="auto"/>
          <w:sz w:val="24"/>
          <w:highlight w:val="none"/>
        </w:rPr>
      </w:pPr>
      <w:r>
        <w:rPr>
          <w:rFonts w:hint="eastAsia" w:ascii="宋体"/>
          <w:color w:val="auto"/>
          <w:sz w:val="24"/>
          <w:highlight w:val="none"/>
        </w:rPr>
        <w:t>严重程度四</w:t>
      </w:r>
    </w:p>
    <w:p>
      <w:pPr>
        <w:autoSpaceDE w:val="0"/>
        <w:autoSpaceDN w:val="0"/>
        <w:adjustRightInd w:val="0"/>
        <w:rPr>
          <w:rFonts w:hint="eastAsia" w:ascii="宋体"/>
          <w:color w:val="auto"/>
          <w:sz w:val="24"/>
          <w:highlight w:val="none"/>
        </w:rPr>
      </w:pPr>
      <w:r>
        <w:rPr>
          <w:rFonts w:hint="eastAsia" w:ascii="宋体"/>
          <w:color w:val="auto"/>
          <w:sz w:val="24"/>
          <w:highlight w:val="none"/>
        </w:rPr>
        <w:t>非重要功能故障，对客户业务系统正常运行的影响极小，或属非技术性请求。</w:t>
      </w:r>
    </w:p>
    <w:p>
      <w:pPr>
        <w:autoSpaceDE w:val="0"/>
        <w:autoSpaceDN w:val="0"/>
        <w:adjustRightInd w:val="0"/>
        <w:rPr>
          <w:rFonts w:hint="eastAsia" w:ascii="宋体"/>
          <w:color w:val="auto"/>
          <w:sz w:val="24"/>
          <w:highlight w:val="none"/>
        </w:rPr>
      </w:pPr>
      <w:r>
        <w:rPr>
          <w:rFonts w:hint="eastAsia" w:ascii="宋体"/>
          <w:color w:val="auto"/>
          <w:sz w:val="24"/>
          <w:highlight w:val="none"/>
        </w:rPr>
        <w:t>例如：文档不正确；有关的文档请求等。</w:t>
      </w:r>
      <w:bookmarkStart w:id="78" w:name="_Toc54505784"/>
      <w:bookmarkStart w:id="79" w:name="_Toc295116307"/>
    </w:p>
    <w:p>
      <w:pPr>
        <w:jc w:val="center"/>
        <w:outlineLvl w:val="9"/>
        <w:rPr>
          <w:rFonts w:hint="eastAsia"/>
          <w:color w:val="auto"/>
          <w:highlight w:val="none"/>
        </w:rPr>
      </w:pPr>
      <w:bookmarkStart w:id="80" w:name="_Toc79511976"/>
      <w:bookmarkStart w:id="81" w:name="_Toc81214213"/>
      <w:bookmarkStart w:id="82" w:name="_Toc79511963"/>
      <w:bookmarkStart w:id="83" w:name="_Toc97681263"/>
      <w:r>
        <w:rPr>
          <w:rFonts w:hint="eastAsia"/>
          <w:color w:val="auto"/>
          <w:highlight w:val="none"/>
        </w:rPr>
        <w:t>三、IBM客户支持服务流程</w:t>
      </w:r>
      <w:bookmarkEnd w:id="78"/>
      <w:bookmarkEnd w:id="79"/>
      <w:bookmarkEnd w:id="80"/>
      <w:bookmarkEnd w:id="81"/>
      <w:bookmarkEnd w:id="82"/>
      <w:bookmarkEnd w:id="83"/>
    </w:p>
    <w:p>
      <w:pPr>
        <w:ind w:firstLine="480" w:firstLineChars="200"/>
        <w:rPr>
          <w:rFonts w:hint="eastAsia" w:ascii="宋体"/>
          <w:bCs/>
          <w:color w:val="auto"/>
          <w:sz w:val="24"/>
          <w:highlight w:val="none"/>
        </w:rPr>
      </w:pPr>
      <w:r>
        <w:rPr>
          <w:rFonts w:hint="eastAsia" w:ascii="宋体"/>
          <w:bCs/>
          <w:color w:val="auto"/>
          <w:sz w:val="24"/>
          <w:highlight w:val="none"/>
        </w:rPr>
        <w:t>IBM软件产品售后问题申请与解决流程主要包括三个阶段：</w:t>
      </w:r>
    </w:p>
    <w:p>
      <w:pPr>
        <w:rPr>
          <w:rFonts w:hint="eastAsia" w:ascii="宋体"/>
          <w:bCs/>
          <w:color w:val="auto"/>
          <w:sz w:val="24"/>
          <w:highlight w:val="none"/>
        </w:rPr>
      </w:pPr>
    </w:p>
    <w:p>
      <w:pPr>
        <w:jc w:val="center"/>
        <w:rPr>
          <w:rFonts w:hint="eastAsia" w:ascii="宋体"/>
          <w:b/>
          <w:color w:val="auto"/>
          <w:sz w:val="24"/>
          <w:highlight w:val="none"/>
        </w:rPr>
      </w:pPr>
      <w:r>
        <w:rPr>
          <w:rFonts w:hint="eastAsia" w:ascii="宋体"/>
          <w:b/>
          <w:color w:val="auto"/>
          <w:sz w:val="24"/>
          <w:highlight w:val="none"/>
        </w:rPr>
        <w:t>客户技术支持流程图</w:t>
      </w:r>
    </w:p>
    <w:p>
      <w:pPr>
        <w:jc w:val="center"/>
        <w:rPr>
          <w:rFonts w:hint="eastAsia" w:ascii="宋体"/>
          <w:b/>
          <w:color w:val="auto"/>
          <w:sz w:val="24"/>
          <w:highlight w:val="none"/>
        </w:rPr>
      </w:pPr>
    </w:p>
    <w:p>
      <w:pPr>
        <w:jc w:val="center"/>
        <w:rPr>
          <w:rFonts w:hint="eastAsia" w:ascii="宋体"/>
          <w:b/>
          <w:color w:val="auto"/>
          <w:sz w:val="24"/>
          <w:highlight w:val="none"/>
        </w:rPr>
      </w:pPr>
      <w:r>
        <w:rPr>
          <w:rFonts w:ascii="宋体"/>
          <w:b/>
          <w:color w:val="auto"/>
          <w:sz w:val="24"/>
          <w:highlight w:val="none"/>
          <w:lang w:val="en-US" w:eastAsia="zh-CN"/>
        </w:rPr>
        <w:drawing>
          <wp:inline distT="0" distB="0" distL="85090" distR="85090">
            <wp:extent cx="5321300" cy="2984500"/>
            <wp:effectExtent l="0" t="0" r="46" b="18"/>
            <wp:docPr id="1"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pic:cNvPicPr>
                      <a:picLocks noChangeAspect="1"/>
                    </pic:cNvPicPr>
                  </pic:nvPicPr>
                  <pic:blipFill>
                    <a:blip r:embed="rId4"/>
                    <a:stretch>
                      <a:fillRect/>
                    </a:stretch>
                  </pic:blipFill>
                  <pic:spPr>
                    <a:xfrm>
                      <a:off x="0" y="0"/>
                      <a:ext cx="5321300" cy="2984500"/>
                    </a:xfrm>
                    <a:prstGeom prst="rect">
                      <a:avLst/>
                    </a:prstGeom>
                    <a:noFill/>
                    <a:ln w="9525" cap="flat" cmpd="sng">
                      <a:noFill/>
                      <a:prstDash val="solid"/>
                      <a:miter/>
                    </a:ln>
                  </pic:spPr>
                </pic:pic>
              </a:graphicData>
            </a:graphic>
          </wp:inline>
        </w:drawing>
      </w:r>
    </w:p>
    <w:p>
      <w:pPr>
        <w:rPr>
          <w:rFonts w:hint="eastAsia" w:ascii="宋体"/>
          <w:color w:val="auto"/>
          <w:sz w:val="24"/>
          <w:highlight w:val="none"/>
        </w:rPr>
      </w:pPr>
    </w:p>
    <w:p>
      <w:pPr>
        <w:outlineLvl w:val="9"/>
        <w:rPr>
          <w:rFonts w:hint="eastAsia" w:ascii="宋体"/>
          <w:b/>
          <w:bCs/>
          <w:color w:val="auto"/>
          <w:sz w:val="24"/>
          <w:highlight w:val="none"/>
        </w:rPr>
      </w:pPr>
      <w:r>
        <w:rPr>
          <w:rFonts w:hint="eastAsia" w:ascii="宋体"/>
          <w:b/>
          <w:bCs/>
          <w:color w:val="auto"/>
          <w:sz w:val="24"/>
          <w:highlight w:val="none"/>
        </w:rPr>
        <w:t>第一阶段：向客户问题协调员或在线技术支持社区提供以下信息：</w:t>
      </w:r>
    </w:p>
    <w:p>
      <w:pPr>
        <w:widowControl/>
        <w:numPr>
          <w:ilvl w:val="0"/>
          <w:numId w:val="5"/>
        </w:numPr>
        <w:jc w:val="left"/>
        <w:rPr>
          <w:rFonts w:hint="eastAsia" w:ascii="宋体"/>
          <w:color w:val="auto"/>
          <w:sz w:val="24"/>
          <w:highlight w:val="none"/>
        </w:rPr>
      </w:pPr>
      <w:r>
        <w:rPr>
          <w:rFonts w:hint="eastAsia" w:ascii="宋体"/>
          <w:color w:val="auto"/>
          <w:sz w:val="24"/>
          <w:highlight w:val="none"/>
        </w:rPr>
        <w:t>您的基本信息，包括姓名、公司名称和联系电话；</w:t>
      </w:r>
    </w:p>
    <w:p>
      <w:pPr>
        <w:widowControl/>
        <w:numPr>
          <w:ilvl w:val="0"/>
          <w:numId w:val="5"/>
        </w:numPr>
        <w:jc w:val="left"/>
        <w:rPr>
          <w:rFonts w:hint="eastAsia" w:ascii="宋体"/>
          <w:color w:val="auto"/>
          <w:sz w:val="24"/>
          <w:highlight w:val="none"/>
        </w:rPr>
      </w:pPr>
      <w:r>
        <w:rPr>
          <w:rFonts w:hint="eastAsia" w:ascii="宋体"/>
          <w:color w:val="auto"/>
          <w:sz w:val="24"/>
          <w:highlight w:val="none"/>
        </w:rPr>
        <w:t>产品相关信息，包括产品版本号、补丁级别、操作系统及版本号、产品相关配置信息；</w:t>
      </w:r>
    </w:p>
    <w:p>
      <w:pPr>
        <w:widowControl/>
        <w:numPr>
          <w:ilvl w:val="0"/>
          <w:numId w:val="5"/>
        </w:numPr>
        <w:jc w:val="left"/>
        <w:rPr>
          <w:rFonts w:hint="eastAsia" w:ascii="宋体"/>
          <w:color w:val="auto"/>
          <w:sz w:val="24"/>
          <w:highlight w:val="none"/>
        </w:rPr>
      </w:pPr>
      <w:r>
        <w:rPr>
          <w:rFonts w:hint="eastAsia" w:ascii="宋体"/>
          <w:color w:val="auto"/>
          <w:sz w:val="24"/>
          <w:highlight w:val="none"/>
        </w:rPr>
        <w:t>贵公司客户号，适用于DAA (Data, AI &amp; Automation), AI Applications, Security等等软件产品，客户号可以在您的软件许可证上得到</w:t>
      </w:r>
    </w:p>
    <w:p>
      <w:pPr>
        <w:rPr>
          <w:rFonts w:hint="eastAsia" w:ascii="宋体"/>
          <w:color w:val="auto"/>
          <w:sz w:val="24"/>
          <w:highlight w:val="none"/>
        </w:rPr>
      </w:pPr>
      <w:r>
        <w:rPr>
          <w:rFonts w:hint="eastAsia" w:ascii="宋体"/>
          <w:color w:val="auto"/>
          <w:sz w:val="24"/>
          <w:highlight w:val="none"/>
        </w:rPr>
        <w:t>IBM客户问题协调员将对您的信息进行登记，并转接给相应的IBM软件技术支持工程师</w:t>
      </w:r>
    </w:p>
    <w:p>
      <w:pPr>
        <w:outlineLvl w:val="9"/>
        <w:rPr>
          <w:rFonts w:hint="eastAsia" w:ascii="宋体"/>
          <w:b/>
          <w:bCs/>
          <w:color w:val="auto"/>
          <w:sz w:val="24"/>
          <w:highlight w:val="none"/>
        </w:rPr>
      </w:pPr>
      <w:r>
        <w:rPr>
          <w:rFonts w:hint="eastAsia" w:ascii="宋体"/>
          <w:b/>
          <w:bCs/>
          <w:color w:val="auto"/>
          <w:sz w:val="24"/>
          <w:highlight w:val="none"/>
        </w:rPr>
        <w:t>第二阶段：向IBM软件技术支持工程师提供：</w:t>
      </w:r>
    </w:p>
    <w:p>
      <w:pPr>
        <w:widowControl/>
        <w:numPr>
          <w:ilvl w:val="0"/>
          <w:numId w:val="5"/>
        </w:numPr>
        <w:jc w:val="left"/>
        <w:rPr>
          <w:rFonts w:hint="eastAsia" w:ascii="宋体"/>
          <w:color w:val="auto"/>
          <w:sz w:val="24"/>
          <w:highlight w:val="none"/>
        </w:rPr>
      </w:pPr>
      <w:r>
        <w:rPr>
          <w:rFonts w:hint="eastAsia" w:ascii="宋体"/>
          <w:color w:val="auto"/>
          <w:sz w:val="24"/>
          <w:highlight w:val="none"/>
        </w:rPr>
        <w:t>产品相关信息，包括产品版本号、补丁级别、操作系统及版本号、产品相关配置信息；</w:t>
      </w:r>
    </w:p>
    <w:p>
      <w:pPr>
        <w:widowControl/>
        <w:numPr>
          <w:ilvl w:val="0"/>
          <w:numId w:val="5"/>
        </w:numPr>
        <w:jc w:val="left"/>
        <w:rPr>
          <w:rFonts w:hint="eastAsia" w:ascii="宋体"/>
          <w:color w:val="auto"/>
          <w:sz w:val="24"/>
          <w:highlight w:val="none"/>
        </w:rPr>
      </w:pPr>
      <w:r>
        <w:rPr>
          <w:rFonts w:hint="eastAsia" w:ascii="宋体"/>
          <w:color w:val="auto"/>
          <w:sz w:val="24"/>
          <w:highlight w:val="none"/>
        </w:rPr>
        <w:t>其他相关信息，如网络配置信息、数据库信息和应用系统信息等；</w:t>
      </w:r>
    </w:p>
    <w:p>
      <w:pPr>
        <w:widowControl/>
        <w:numPr>
          <w:ilvl w:val="0"/>
          <w:numId w:val="5"/>
        </w:numPr>
        <w:jc w:val="left"/>
        <w:rPr>
          <w:rFonts w:hint="eastAsia" w:ascii="宋体"/>
          <w:color w:val="auto"/>
          <w:sz w:val="24"/>
          <w:highlight w:val="none"/>
        </w:rPr>
      </w:pPr>
      <w:r>
        <w:rPr>
          <w:rFonts w:hint="eastAsia" w:ascii="宋体"/>
          <w:color w:val="auto"/>
          <w:sz w:val="24"/>
          <w:highlight w:val="none"/>
        </w:rPr>
        <w:t>错误描述，如发生频率、引起错误的相关操作、重现错误的步骤、错误现象、错误日志信息等。</w:t>
      </w:r>
    </w:p>
    <w:p>
      <w:pPr>
        <w:rPr>
          <w:rFonts w:hint="eastAsia" w:ascii="宋体"/>
          <w:color w:val="auto"/>
          <w:sz w:val="24"/>
          <w:highlight w:val="none"/>
        </w:rPr>
      </w:pPr>
      <w:r>
        <w:rPr>
          <w:rFonts w:hint="eastAsia" w:ascii="宋体"/>
          <w:color w:val="auto"/>
          <w:sz w:val="24"/>
          <w:highlight w:val="none"/>
        </w:rPr>
        <w:t>我们的工程师将协助您分析问题的原因，采取相应解决措施。</w:t>
      </w:r>
    </w:p>
    <w:p>
      <w:pPr>
        <w:rPr>
          <w:rFonts w:hint="eastAsia" w:ascii="宋体"/>
          <w:color w:val="auto"/>
          <w:sz w:val="24"/>
          <w:highlight w:val="none"/>
        </w:rPr>
      </w:pPr>
    </w:p>
    <w:p>
      <w:pPr>
        <w:outlineLvl w:val="9"/>
        <w:rPr>
          <w:rFonts w:hint="eastAsia" w:ascii="宋体"/>
          <w:b/>
          <w:bCs/>
          <w:color w:val="auto"/>
          <w:sz w:val="24"/>
          <w:highlight w:val="none"/>
        </w:rPr>
      </w:pPr>
      <w:r>
        <w:rPr>
          <w:rFonts w:hint="eastAsia" w:ascii="宋体"/>
          <w:b/>
          <w:bCs/>
          <w:color w:val="auto"/>
          <w:sz w:val="24"/>
          <w:highlight w:val="none"/>
        </w:rPr>
        <w:t>第三阶段：当您的技术问题需要更多资源协同解决时，该问题申请将自动进入本阶段</w:t>
      </w:r>
    </w:p>
    <w:p>
      <w:pPr>
        <w:rPr>
          <w:rFonts w:hint="eastAsia" w:ascii="宋体"/>
          <w:color w:val="auto"/>
          <w:sz w:val="24"/>
          <w:highlight w:val="none"/>
        </w:rPr>
      </w:pPr>
      <w:r>
        <w:rPr>
          <w:rFonts w:hint="eastAsia" w:ascii="宋体"/>
          <w:color w:val="auto"/>
          <w:sz w:val="24"/>
          <w:highlight w:val="none"/>
        </w:rPr>
        <w:t>由IBM SME技术工程师协调IBM全球技术资源，并向客户提交最终解决方案。</w:t>
      </w:r>
    </w:p>
    <w:p>
      <w:pPr>
        <w:jc w:val="center"/>
        <w:outlineLvl w:val="9"/>
        <w:rPr>
          <w:rFonts w:hint="eastAsia"/>
          <w:color w:val="auto"/>
          <w:highlight w:val="none"/>
        </w:rPr>
      </w:pPr>
      <w:bookmarkStart w:id="84" w:name="_Toc79511977"/>
      <w:bookmarkStart w:id="85" w:name="_Toc97681264"/>
      <w:bookmarkStart w:id="86" w:name="_Toc295116308"/>
      <w:bookmarkStart w:id="87" w:name="_Toc79511964"/>
      <w:bookmarkStart w:id="88" w:name="_Toc81214214"/>
      <w:bookmarkStart w:id="89" w:name="_Toc54505785"/>
    </w:p>
    <w:p>
      <w:pPr>
        <w:jc w:val="center"/>
        <w:outlineLvl w:val="9"/>
        <w:rPr>
          <w:rFonts w:hint="eastAsia"/>
          <w:color w:val="auto"/>
          <w:highlight w:val="none"/>
        </w:rPr>
      </w:pPr>
      <w:r>
        <w:rPr>
          <w:rFonts w:hint="eastAsia"/>
          <w:color w:val="auto"/>
          <w:highlight w:val="none"/>
        </w:rPr>
        <w:t>四、IBM中国PA专业技术支持服务热线</w:t>
      </w:r>
      <w:bookmarkEnd w:id="84"/>
      <w:bookmarkEnd w:id="85"/>
      <w:bookmarkEnd w:id="86"/>
      <w:bookmarkEnd w:id="87"/>
      <w:bookmarkEnd w:id="88"/>
      <w:bookmarkEnd w:id="89"/>
    </w:p>
    <w:p>
      <w:pPr>
        <w:ind w:firstLine="480" w:firstLineChars="200"/>
        <w:rPr>
          <w:rFonts w:hint="eastAsia" w:ascii="宋体"/>
          <w:color w:val="auto"/>
          <w:sz w:val="24"/>
          <w:highlight w:val="none"/>
        </w:rPr>
      </w:pPr>
      <w:r>
        <w:rPr>
          <w:rFonts w:hint="eastAsia" w:ascii="宋体"/>
          <w:color w:val="auto"/>
          <w:sz w:val="24"/>
          <w:highlight w:val="none"/>
        </w:rPr>
        <w:t>IBM软件技术支持服务热线：800-8101818-5200（电信座机用户）或400-8101818-5200（手机用户）</w:t>
      </w:r>
    </w:p>
    <w:p>
      <w:pPr>
        <w:rPr>
          <w:rStyle w:val="28"/>
          <w:rFonts w:hint="eastAsia" w:ascii="宋体"/>
          <w:color w:val="auto"/>
          <w:sz w:val="24"/>
          <w:highlight w:val="none"/>
        </w:rPr>
      </w:pPr>
      <w:r>
        <w:rPr>
          <w:rFonts w:hint="eastAsia" w:ascii="宋体"/>
          <w:color w:val="auto"/>
          <w:sz w:val="24"/>
          <w:highlight w:val="none"/>
        </w:rPr>
        <w:t>更多信息可查看：</w:t>
      </w:r>
      <w:r>
        <w:rPr>
          <w:rFonts w:hint="eastAsia" w:ascii="宋体"/>
          <w:color w:val="auto"/>
          <w:sz w:val="24"/>
          <w:highlight w:val="none"/>
        </w:rPr>
        <w:fldChar w:fldCharType="begin"/>
      </w:r>
      <w:r>
        <w:rPr>
          <w:color w:val="auto"/>
          <w:highlight w:val="none"/>
        </w:rPr>
        <w:instrText xml:space="preserve">HYPERLINK "https://www.ibm.com/planetwide/cn/"</w:instrText>
      </w:r>
      <w:r>
        <w:rPr>
          <w:rFonts w:hint="eastAsia" w:ascii="宋体"/>
          <w:color w:val="auto"/>
          <w:sz w:val="24"/>
          <w:highlight w:val="none"/>
        </w:rPr>
        <w:fldChar w:fldCharType="separate"/>
      </w:r>
      <w:r>
        <w:rPr>
          <w:rFonts w:hint="eastAsia" w:ascii="宋体"/>
          <w:color w:val="auto"/>
          <w:sz w:val="24"/>
          <w:highlight w:val="none"/>
        </w:rPr>
        <w:t>https://www.ibm.com/planetwide/cn/</w:t>
      </w:r>
      <w:r>
        <w:rPr>
          <w:rFonts w:hint="eastAsia" w:ascii="宋体"/>
          <w:color w:val="auto"/>
          <w:sz w:val="24"/>
          <w:highlight w:val="none"/>
        </w:rPr>
        <w:fldChar w:fldCharType="end"/>
      </w:r>
    </w:p>
    <w:p>
      <w:pPr>
        <w:outlineLvl w:val="9"/>
        <w:rPr>
          <w:rFonts w:hint="eastAsia"/>
          <w:color w:val="auto"/>
          <w:highlight w:val="none"/>
        </w:rPr>
      </w:pPr>
      <w:bookmarkStart w:id="90" w:name="_Toc79511978"/>
      <w:bookmarkStart w:id="91" w:name="_Toc81214215"/>
      <w:bookmarkStart w:id="92" w:name="_Toc79511965"/>
      <w:bookmarkStart w:id="93" w:name="_Toc97681265"/>
      <w:r>
        <w:rPr>
          <w:rFonts w:hint="eastAsia"/>
          <w:color w:val="auto"/>
          <w:highlight w:val="none"/>
        </w:rPr>
        <w:t>（一）如何通过网站上的IBM支持社区以向IBM支持部门提交问题单</w:t>
      </w:r>
      <w:bookmarkEnd w:id="90"/>
      <w:bookmarkEnd w:id="91"/>
      <w:bookmarkEnd w:id="92"/>
      <w:bookmarkEnd w:id="93"/>
    </w:p>
    <w:p>
      <w:pPr>
        <w:ind w:firstLine="480" w:firstLineChars="200"/>
        <w:rPr>
          <w:rFonts w:hint="eastAsia" w:ascii="宋体"/>
          <w:color w:val="auto"/>
          <w:sz w:val="24"/>
          <w:highlight w:val="none"/>
        </w:rPr>
      </w:pPr>
      <w:r>
        <w:rPr>
          <w:rFonts w:hint="eastAsia" w:ascii="宋体"/>
          <w:color w:val="auto"/>
          <w:sz w:val="24"/>
          <w:highlight w:val="none"/>
        </w:rPr>
        <w:t>1、如果已经有IBM ID和密码请直接登录https://www.ibm.com/mysupport/s/?language=zh_CN</w:t>
      </w:r>
    </w:p>
    <w:p>
      <w:pPr>
        <w:ind w:firstLine="480" w:firstLineChars="200"/>
        <w:rPr>
          <w:rFonts w:hint="eastAsia" w:ascii="宋体"/>
          <w:color w:val="auto"/>
          <w:sz w:val="24"/>
          <w:highlight w:val="none"/>
        </w:rPr>
      </w:pPr>
      <w:r>
        <w:rPr>
          <w:rFonts w:hint="eastAsia" w:ascii="宋体"/>
          <w:color w:val="auto"/>
          <w:sz w:val="24"/>
          <w:highlight w:val="none"/>
        </w:rPr>
        <w:t>2、没有IBM ID：</w:t>
      </w:r>
      <w:r>
        <w:rPr>
          <w:rFonts w:hint="eastAsia" w:ascii="宋体"/>
          <w:color w:val="auto"/>
          <w:sz w:val="24"/>
          <w:highlight w:val="none"/>
        </w:rPr>
        <w:fldChar w:fldCharType="begin"/>
      </w:r>
      <w:r>
        <w:rPr>
          <w:color w:val="auto"/>
          <w:highlight w:val="none"/>
        </w:rPr>
        <w:instrText xml:space="preserve">HYPERLINK "https://www.ibm.com/account/us-en/signup/register.html"</w:instrText>
      </w:r>
      <w:r>
        <w:rPr>
          <w:rFonts w:hint="eastAsia" w:ascii="宋体"/>
          <w:color w:val="auto"/>
          <w:sz w:val="24"/>
          <w:highlight w:val="none"/>
        </w:rPr>
        <w:fldChar w:fldCharType="separate"/>
      </w:r>
      <w:r>
        <w:rPr>
          <w:rFonts w:hint="eastAsia" w:ascii="宋体"/>
          <w:color w:val="auto"/>
          <w:sz w:val="24"/>
          <w:highlight w:val="none"/>
        </w:rPr>
        <w:t>创建IBM 帐户</w:t>
      </w:r>
      <w:r>
        <w:rPr>
          <w:rFonts w:hint="eastAsia" w:ascii="宋体"/>
          <w:color w:val="auto"/>
          <w:sz w:val="24"/>
          <w:highlight w:val="none"/>
        </w:rPr>
        <w:fldChar w:fldCharType="end"/>
      </w:r>
      <w:r>
        <w:rPr>
          <w:rFonts w:hint="eastAsia" w:ascii="宋体"/>
          <w:color w:val="auto"/>
          <w:sz w:val="24"/>
          <w:highlight w:val="none"/>
        </w:rPr>
        <w:t>（</w:t>
      </w:r>
      <w:r>
        <w:rPr>
          <w:rFonts w:hint="eastAsia" w:ascii="宋体"/>
          <w:color w:val="auto"/>
          <w:sz w:val="24"/>
          <w:highlight w:val="none"/>
        </w:rPr>
        <w:fldChar w:fldCharType="begin"/>
      </w:r>
      <w:r>
        <w:rPr>
          <w:color w:val="auto"/>
          <w:highlight w:val="none"/>
        </w:rPr>
        <w:instrText xml:space="preserve">HYPERLINK "https://www.ibm.com/account/reg/us-en/signup?formid=urx-19776"</w:instrText>
      </w:r>
      <w:r>
        <w:rPr>
          <w:rFonts w:hint="eastAsia" w:ascii="宋体"/>
          <w:color w:val="auto"/>
          <w:sz w:val="24"/>
          <w:highlight w:val="none"/>
        </w:rPr>
        <w:fldChar w:fldCharType="separate"/>
      </w:r>
      <w:r>
        <w:rPr>
          <w:rFonts w:hint="eastAsia" w:ascii="宋体"/>
          <w:color w:val="auto"/>
          <w:sz w:val="24"/>
          <w:highlight w:val="none"/>
        </w:rPr>
        <w:t>https://www.ibm.com/account/reg/us-en/signup?formid=urx-19776</w:t>
      </w:r>
      <w:r>
        <w:rPr>
          <w:rFonts w:hint="eastAsia" w:ascii="宋体"/>
          <w:color w:val="auto"/>
          <w:sz w:val="24"/>
          <w:highlight w:val="none"/>
        </w:rPr>
        <w:fldChar w:fldCharType="end"/>
      </w:r>
      <w:r>
        <w:rPr>
          <w:rFonts w:hint="eastAsia" w:ascii="宋体"/>
          <w:color w:val="auto"/>
          <w:sz w:val="24"/>
          <w:highlight w:val="none"/>
        </w:rPr>
        <w:t>），此时将显示“我的IBM”注册表单。B、创建表单、创建密码，然后单击继续。C、查看有关电子邮件和通信的信息。选中框（如果适合）。D、单击提交。此时将显示感谢消息。</w:t>
      </w:r>
    </w:p>
    <w:p>
      <w:pPr>
        <w:ind w:firstLine="360" w:firstLineChars="150"/>
        <w:rPr>
          <w:rFonts w:hint="eastAsia" w:ascii="宋体"/>
          <w:color w:val="auto"/>
          <w:sz w:val="24"/>
          <w:highlight w:val="none"/>
        </w:rPr>
      </w:pPr>
      <w:r>
        <w:rPr>
          <w:rFonts w:hint="eastAsia" w:ascii="宋体"/>
          <w:color w:val="auto"/>
          <w:sz w:val="24"/>
          <w:highlight w:val="none"/>
        </w:rPr>
        <w:t>3、首次登录后可以通过右上角的“Profile”,也就是“个人档案”，来更改语言和时区。</w:t>
      </w:r>
    </w:p>
    <w:p>
      <w:pPr>
        <w:ind w:firstLine="360" w:firstLineChars="150"/>
        <w:rPr>
          <w:rFonts w:hint="eastAsia" w:ascii="宋体"/>
          <w:color w:val="auto"/>
          <w:sz w:val="24"/>
          <w:highlight w:val="none"/>
        </w:rPr>
      </w:pPr>
      <w:r>
        <w:rPr>
          <w:rFonts w:hint="eastAsia" w:ascii="宋体"/>
          <w:color w:val="auto"/>
          <w:sz w:val="24"/>
          <w:highlight w:val="none"/>
        </w:rPr>
        <w:t>4、用IBM ID和密码登录IBM支持社区后，通过点击右上角的“支持访问（Support access）”来设置和确认贵公司的 IBM 客户编号，可以通过贵公司的管理员(一般是IBM系统主联系人)来获得寻求 IBM 售后支持的权限。</w:t>
      </w:r>
    </w:p>
    <w:p>
      <w:pPr>
        <w:ind w:firstLine="480" w:firstLineChars="200"/>
        <w:rPr>
          <w:rFonts w:hint="eastAsia" w:ascii="宋体"/>
          <w:color w:val="auto"/>
          <w:sz w:val="24"/>
          <w:highlight w:val="none"/>
        </w:rPr>
      </w:pPr>
      <w:r>
        <w:rPr>
          <w:rFonts w:hint="eastAsia" w:ascii="宋体"/>
          <w:color w:val="auto"/>
          <w:sz w:val="24"/>
          <w:highlight w:val="none"/>
        </w:rPr>
        <w:t>5、有时您有快速问题、需要快速更新或者只是倾向于以交谈方式进行沟通。您还可以在IBM支持社区上单击</w:t>
      </w:r>
      <w:r>
        <w:rPr>
          <w:rFonts w:hint="eastAsia" w:ascii="宋体"/>
          <w:b/>
          <w:bCs/>
          <w:color w:val="auto"/>
          <w:sz w:val="24"/>
          <w:highlight w:val="none"/>
        </w:rPr>
        <w:t>Chat with Support</w:t>
      </w:r>
      <w:r>
        <w:rPr>
          <w:rFonts w:hint="eastAsia" w:ascii="宋体"/>
          <w:color w:val="auto"/>
          <w:sz w:val="24"/>
          <w:highlight w:val="none"/>
        </w:rPr>
        <w:t>按钮以开始交谈（如果未显示这些按钮，那么交谈对于您的产品不可用）</w:t>
      </w:r>
    </w:p>
    <w:p>
      <w:pPr>
        <w:ind w:firstLine="480" w:firstLineChars="200"/>
        <w:rPr>
          <w:rFonts w:hint="eastAsia" w:ascii="宋体"/>
          <w:color w:val="auto"/>
          <w:sz w:val="24"/>
          <w:highlight w:val="none"/>
        </w:rPr>
      </w:pPr>
      <w:r>
        <w:rPr>
          <w:rFonts w:hint="eastAsia" w:ascii="宋体"/>
          <w:color w:val="auto"/>
          <w:sz w:val="24"/>
          <w:highlight w:val="none"/>
        </w:rPr>
        <w:t>6、点击IBM 支持社区的右上角或者中间的的“打开案例”提交软件技术问题；您可以在“查看您的案例”中查看您所提交的问题单。</w:t>
      </w:r>
    </w:p>
    <w:p>
      <w:pPr>
        <w:ind w:firstLine="480" w:firstLineChars="200"/>
        <w:rPr>
          <w:rFonts w:hint="eastAsia" w:ascii="宋体"/>
          <w:color w:val="auto"/>
          <w:sz w:val="24"/>
          <w:highlight w:val="none"/>
        </w:rPr>
      </w:pPr>
      <w:r>
        <w:rPr>
          <w:rFonts w:hint="eastAsia" w:ascii="宋体"/>
          <w:color w:val="auto"/>
          <w:sz w:val="24"/>
          <w:highlight w:val="none"/>
        </w:rPr>
        <w:t>7、如果想了解更多关于IBM支持社区的使用请查看以下个视频和IBM支持指南：</w:t>
      </w:r>
    </w:p>
    <w:p>
      <w:pPr>
        <w:ind w:firstLine="420"/>
        <w:rPr>
          <w:rFonts w:hint="eastAsia" w:ascii="宋体"/>
          <w:color w:val="auto"/>
          <w:sz w:val="24"/>
          <w:highlight w:val="none"/>
        </w:rPr>
      </w:pPr>
      <w:r>
        <w:rPr>
          <w:rFonts w:hint="eastAsia" w:ascii="宋体"/>
          <w:color w:val="auto"/>
          <w:sz w:val="24"/>
          <w:highlight w:val="none"/>
        </w:rPr>
        <w:t xml:space="preserve">视频1 - </w:t>
      </w:r>
      <w:r>
        <w:rPr>
          <w:rFonts w:hint="eastAsia" w:ascii="宋体"/>
          <w:color w:val="auto"/>
          <w:sz w:val="24"/>
          <w:highlight w:val="none"/>
        </w:rPr>
        <w:fldChar w:fldCharType="begin"/>
      </w:r>
      <w:r>
        <w:rPr>
          <w:color w:val="auto"/>
          <w:highlight w:val="none"/>
        </w:rPr>
        <w:instrText xml:space="preserve">HYPERLINK "https://mediacenter.ibm.com/media/t/1_hjcvgybl"</w:instrText>
      </w:r>
      <w:r>
        <w:rPr>
          <w:rFonts w:hint="eastAsia" w:ascii="宋体"/>
          <w:color w:val="auto"/>
          <w:sz w:val="24"/>
          <w:highlight w:val="none"/>
        </w:rPr>
        <w:fldChar w:fldCharType="separate"/>
      </w:r>
      <w:r>
        <w:rPr>
          <w:rFonts w:hint="eastAsia" w:ascii="宋体"/>
          <w:color w:val="auto"/>
          <w:sz w:val="24"/>
          <w:highlight w:val="none"/>
        </w:rPr>
        <w:t>Introducing the IBM Support Community: Search</w:t>
      </w:r>
      <w:r>
        <w:rPr>
          <w:rFonts w:hint="eastAsia" w:ascii="宋体"/>
          <w:color w:val="auto"/>
          <w:sz w:val="24"/>
          <w:highlight w:val="none"/>
        </w:rPr>
        <w:fldChar w:fldCharType="end"/>
      </w:r>
    </w:p>
    <w:p>
      <w:pPr>
        <w:ind w:firstLine="420"/>
        <w:rPr>
          <w:rFonts w:hint="eastAsia" w:ascii="宋体"/>
          <w:color w:val="auto"/>
          <w:sz w:val="24"/>
          <w:highlight w:val="none"/>
        </w:rPr>
      </w:pPr>
      <w:r>
        <w:rPr>
          <w:rFonts w:hint="eastAsia" w:ascii="宋体"/>
          <w:color w:val="auto"/>
          <w:sz w:val="24"/>
          <w:highlight w:val="none"/>
        </w:rPr>
        <w:t xml:space="preserve">视频 2 - </w:t>
      </w:r>
      <w:r>
        <w:rPr>
          <w:rFonts w:hint="eastAsia" w:ascii="宋体"/>
          <w:color w:val="auto"/>
          <w:sz w:val="24"/>
          <w:highlight w:val="none"/>
        </w:rPr>
        <w:fldChar w:fldCharType="begin"/>
      </w:r>
      <w:r>
        <w:rPr>
          <w:color w:val="auto"/>
          <w:highlight w:val="none"/>
        </w:rPr>
        <w:instrText xml:space="preserve">HYPERLINK "https://mediacenter.ibm.com/media/t/1_47uqs38j"</w:instrText>
      </w:r>
      <w:r>
        <w:rPr>
          <w:rFonts w:hint="eastAsia" w:ascii="宋体"/>
          <w:color w:val="auto"/>
          <w:sz w:val="24"/>
          <w:highlight w:val="none"/>
        </w:rPr>
        <w:fldChar w:fldCharType="separate"/>
      </w:r>
      <w:r>
        <w:rPr>
          <w:rFonts w:hint="eastAsia" w:ascii="宋体"/>
          <w:color w:val="auto"/>
          <w:sz w:val="24"/>
          <w:highlight w:val="none"/>
        </w:rPr>
        <w:t>IBM Support Community: Open And Manage Cases</w:t>
      </w:r>
      <w:r>
        <w:rPr>
          <w:rFonts w:hint="eastAsia" w:ascii="宋体"/>
          <w:color w:val="auto"/>
          <w:sz w:val="24"/>
          <w:highlight w:val="none"/>
        </w:rPr>
        <w:fldChar w:fldCharType="end"/>
      </w:r>
    </w:p>
    <w:p>
      <w:pPr>
        <w:ind w:left="420"/>
        <w:rPr>
          <w:rFonts w:hint="eastAsia" w:ascii="宋体"/>
          <w:color w:val="auto"/>
          <w:sz w:val="24"/>
          <w:highlight w:val="none"/>
        </w:rPr>
      </w:pPr>
      <w:r>
        <w:rPr>
          <w:rStyle w:val="28"/>
          <w:rFonts w:hint="eastAsia" w:ascii="宋体"/>
          <w:color w:val="auto"/>
          <w:sz w:val="24"/>
          <w:highlight w:val="none"/>
        </w:rPr>
        <w:t>支持指南：</w:t>
      </w:r>
      <w:r>
        <w:rPr>
          <w:rFonts w:hint="eastAsia" w:ascii="宋体"/>
          <w:color w:val="auto"/>
          <w:sz w:val="24"/>
          <w:highlight w:val="none"/>
        </w:rPr>
        <w:fldChar w:fldCharType="begin"/>
      </w:r>
      <w:r>
        <w:rPr>
          <w:color w:val="auto"/>
          <w:highlight w:val="none"/>
        </w:rPr>
        <w:instrText xml:space="preserve">HYPERLINK "https://www-01.ibm.com/support/docview.wss?uid=ibm10870026"</w:instrText>
      </w:r>
      <w:r>
        <w:rPr>
          <w:rFonts w:hint="eastAsia" w:ascii="宋体"/>
          <w:color w:val="auto"/>
          <w:sz w:val="24"/>
          <w:highlight w:val="none"/>
        </w:rPr>
        <w:fldChar w:fldCharType="separate"/>
      </w:r>
      <w:r>
        <w:rPr>
          <w:rFonts w:hint="eastAsia" w:ascii="宋体"/>
          <w:color w:val="auto"/>
          <w:sz w:val="24"/>
          <w:highlight w:val="none"/>
        </w:rPr>
        <w:t>https://www-01.ibm.com/support/docview.wss?uid=ibm10870026</w:t>
      </w:r>
      <w:r>
        <w:rPr>
          <w:rFonts w:hint="eastAsia" w:ascii="宋体"/>
          <w:color w:val="auto"/>
          <w:sz w:val="24"/>
          <w:highlight w:val="none"/>
        </w:rPr>
        <w:fldChar w:fldCharType="end"/>
      </w:r>
    </w:p>
    <w:p>
      <w:pPr>
        <w:ind w:firstLine="360" w:firstLineChars="150"/>
        <w:outlineLvl w:val="9"/>
        <w:rPr>
          <w:rFonts w:hint="eastAsia" w:ascii="宋体"/>
          <w:color w:val="auto"/>
          <w:sz w:val="24"/>
          <w:highlight w:val="none"/>
        </w:rPr>
      </w:pPr>
      <w:bookmarkStart w:id="94" w:name="_Toc81214216"/>
      <w:r>
        <w:rPr>
          <w:rFonts w:hint="eastAsia" w:ascii="宋体"/>
          <w:color w:val="auto"/>
          <w:sz w:val="24"/>
          <w:highlight w:val="none"/>
        </w:rPr>
        <w:t>（二）如何在PAO网站进行申请注册</w:t>
      </w:r>
      <w:bookmarkEnd w:id="94"/>
    </w:p>
    <w:p>
      <w:pPr>
        <w:ind w:firstLine="420"/>
        <w:rPr>
          <w:rFonts w:hint="eastAsia" w:ascii="宋体" w:cs="Arial"/>
          <w:color w:val="auto"/>
          <w:sz w:val="24"/>
          <w:highlight w:val="none"/>
          <w:lang w:bidi="ar-SA"/>
        </w:rPr>
      </w:pPr>
      <w:bookmarkStart w:id="95" w:name="OLE_LINK2"/>
      <w:bookmarkStart w:id="96" w:name="OLE_LINK3"/>
      <w:r>
        <w:rPr>
          <w:rFonts w:hint="eastAsia" w:ascii="宋体" w:cs="Arial"/>
          <w:color w:val="auto"/>
          <w:sz w:val="24"/>
          <w:highlight w:val="none"/>
          <w:lang w:bidi="ar-SA"/>
        </w:rPr>
        <w:t>PA 软件许可授权有效期内的客户</w:t>
      </w:r>
      <w:bookmarkEnd w:id="95"/>
      <w:bookmarkEnd w:id="96"/>
      <w:r>
        <w:rPr>
          <w:rFonts w:hint="eastAsia" w:ascii="宋体" w:cs="Arial"/>
          <w:color w:val="auto"/>
          <w:sz w:val="24"/>
          <w:highlight w:val="none"/>
          <w:lang w:bidi="ar-SA"/>
        </w:rPr>
        <w:t>，可以到 PAO 网站载产品免费升级版和补丁包，网址如下:</w:t>
      </w:r>
    </w:p>
    <w:p>
      <w:pPr>
        <w:pStyle w:val="35"/>
        <w:ind w:left="420" w:firstLine="0" w:firstLineChars="0"/>
        <w:rPr>
          <w:rFonts w:hint="eastAsia" w:ascii="宋体" w:cs="Arial"/>
          <w:color w:val="auto"/>
          <w:kern w:val="0"/>
          <w:sz w:val="24"/>
          <w:highlight w:val="none"/>
          <w:lang w:bidi="ar-SA"/>
        </w:rPr>
      </w:pPr>
      <w:bookmarkStart w:id="97" w:name="OLE_LINK8"/>
      <w:bookmarkStart w:id="98" w:name="OLE_LINK9"/>
      <w:r>
        <w:rPr>
          <w:rFonts w:hint="eastAsia" w:ascii="宋体" w:cs="Arial"/>
          <w:color w:val="auto"/>
          <w:kern w:val="0"/>
          <w:sz w:val="24"/>
          <w:highlight w:val="none"/>
          <w:lang w:bidi="ar-SA"/>
        </w:rPr>
        <w:t>https://www.ibm.com/software/passportadvantage/pao_customer.html</w:t>
      </w:r>
    </w:p>
    <w:bookmarkEnd w:id="97"/>
    <w:bookmarkEnd w:id="98"/>
    <w:p>
      <w:pPr>
        <w:ind w:firstLine="420"/>
        <w:rPr>
          <w:rFonts w:hint="eastAsia" w:ascii="宋体" w:cs="Arial"/>
          <w:color w:val="auto"/>
          <w:sz w:val="24"/>
          <w:highlight w:val="none"/>
          <w:lang w:bidi="ar-SA"/>
        </w:rPr>
      </w:pPr>
      <w:r>
        <w:rPr>
          <w:rFonts w:hint="eastAsia" w:ascii="宋体" w:cs="Arial"/>
          <w:color w:val="auto"/>
          <w:sz w:val="24"/>
          <w:highlight w:val="none"/>
          <w:lang w:bidi="ar-SA"/>
        </w:rPr>
        <w:t>客户可以进行注册、软件下载和介质访问、购买与续约、报告功能、权利、账户管理、参考等。</w:t>
      </w:r>
    </w:p>
    <w:p>
      <w:pPr>
        <w:ind w:firstLine="420"/>
        <w:rPr>
          <w:rFonts w:hint="eastAsia" w:ascii="宋体" w:cs="Arial"/>
          <w:color w:val="auto"/>
          <w:sz w:val="24"/>
          <w:highlight w:val="none"/>
          <w:lang w:bidi="ar-SA"/>
        </w:rPr>
      </w:pPr>
      <w:r>
        <w:rPr>
          <w:rFonts w:hint="eastAsia" w:ascii="宋体" w:cs="Arial"/>
          <w:color w:val="auto"/>
          <w:sz w:val="24"/>
          <w:highlight w:val="none"/>
          <w:lang w:bidi="ar-SA"/>
        </w:rPr>
        <w:t>使用使用 PAO 网站时，需要输入用户名和密码，如果用户需要验证身份、获取密码。具体步骤如下</w:t>
      </w:r>
    </w:p>
    <w:p>
      <w:pPr>
        <w:pStyle w:val="36"/>
        <w:widowControl/>
        <w:ind w:firstLine="420"/>
        <w:rPr>
          <w:rFonts w:hint="eastAsia" w:ascii="宋体"/>
          <w:color w:val="auto"/>
          <w:kern w:val="2"/>
          <w:highlight w:val="none"/>
        </w:rPr>
      </w:pPr>
      <w:r>
        <w:rPr>
          <w:rFonts w:hint="eastAsia" w:ascii="宋体"/>
          <w:color w:val="auto"/>
          <w:kern w:val="2"/>
          <w:highlight w:val="none"/>
        </w:rPr>
        <w:t>1.请到</w:t>
      </w:r>
      <w:r>
        <w:rPr>
          <w:rStyle w:val="28"/>
          <w:rFonts w:hint="eastAsia" w:ascii="宋体" w:cs="Times New Roman"/>
          <w:color w:val="auto"/>
          <w:kern w:val="2"/>
          <w:highlight w:val="none"/>
          <w:shd w:val="clear" w:color="auto" w:fill="FFFFFF"/>
          <w:lang w:bidi="ar-SA"/>
        </w:rPr>
        <w:fldChar w:fldCharType="begin"/>
      </w:r>
      <w:r>
        <w:rPr>
          <w:color w:val="auto"/>
          <w:highlight w:val="none"/>
        </w:rPr>
        <w:instrText xml:space="preserve">HYPERLINK "http://www-01.ibm.com/software/cn/passportadvantage/"</w:instrText>
      </w:r>
      <w:r>
        <w:rPr>
          <w:rStyle w:val="28"/>
          <w:rFonts w:hint="eastAsia" w:ascii="宋体" w:cs="Times New Roman"/>
          <w:color w:val="auto"/>
          <w:kern w:val="2"/>
          <w:highlight w:val="none"/>
          <w:shd w:val="clear" w:color="auto" w:fill="FFFFFF"/>
          <w:lang w:bidi="ar-SA"/>
        </w:rPr>
        <w:fldChar w:fldCharType="separate"/>
      </w:r>
      <w:r>
        <w:rPr>
          <w:rStyle w:val="28"/>
          <w:rFonts w:hint="eastAsia" w:ascii="宋体" w:cs="Times New Roman"/>
          <w:color w:val="auto"/>
          <w:kern w:val="2"/>
          <w:highlight w:val="none"/>
          <w:shd w:val="clear" w:color="auto" w:fill="FFFFFF"/>
          <w:lang w:bidi="ar-SA"/>
        </w:rPr>
        <w:t>http://www-01.ibm.com/software/cn/passportadvantage/</w:t>
      </w:r>
      <w:r>
        <w:rPr>
          <w:rStyle w:val="28"/>
          <w:rFonts w:hint="eastAsia" w:ascii="宋体" w:cs="Times New Roman"/>
          <w:color w:val="auto"/>
          <w:kern w:val="2"/>
          <w:highlight w:val="none"/>
          <w:shd w:val="clear" w:color="auto" w:fill="FFFFFF"/>
          <w:lang w:bidi="ar-SA"/>
        </w:rPr>
        <w:fldChar w:fldCharType="end"/>
      </w:r>
    </w:p>
    <w:p>
      <w:pPr>
        <w:pStyle w:val="37"/>
        <w:ind w:firstLine="420"/>
        <w:rPr>
          <w:rFonts w:hint="eastAsia" w:ascii="宋体" w:eastAsia="宋体" w:cs="Arial"/>
          <w:color w:val="auto"/>
          <w:kern w:val="2"/>
          <w:sz w:val="24"/>
          <w:szCs w:val="24"/>
          <w:highlight w:val="none"/>
          <w:lang w:bidi="ar-SA"/>
        </w:rPr>
      </w:pPr>
      <w:r>
        <w:rPr>
          <w:rFonts w:hint="eastAsia" w:ascii="宋体" w:eastAsia="宋体" w:cs="Arial"/>
          <w:color w:val="auto"/>
          <w:kern w:val="2"/>
          <w:sz w:val="24"/>
          <w:szCs w:val="24"/>
          <w:highlight w:val="none"/>
          <w:lang w:bidi="ar-SA"/>
        </w:rPr>
        <w:t>2.请点击 Passport Advantage Online 选项。</w:t>
      </w:r>
    </w:p>
    <w:p>
      <w:pPr>
        <w:pStyle w:val="37"/>
        <w:ind w:left="420"/>
        <w:rPr>
          <w:rFonts w:hint="eastAsia" w:ascii="宋体" w:eastAsia="宋体" w:cs="Arial"/>
          <w:color w:val="auto"/>
          <w:kern w:val="2"/>
          <w:sz w:val="24"/>
          <w:szCs w:val="24"/>
          <w:highlight w:val="none"/>
          <w:lang w:bidi="ar-SA"/>
        </w:rPr>
      </w:pPr>
      <w:r>
        <w:rPr>
          <w:rFonts w:hint="eastAsia" w:ascii="宋体" w:eastAsia="宋体" w:cs="Arial"/>
          <w:color w:val="auto"/>
          <w:kern w:val="2"/>
          <w:sz w:val="24"/>
          <w:szCs w:val="24"/>
          <w:highlight w:val="none"/>
          <w:lang w:bidi="ar-SA"/>
        </w:rPr>
        <w:t>3.请点击PAO for Customer 选项，之后选择Sign in to your PAO Site（经销商应点击PAO for Business Partners 选项）。</w:t>
      </w:r>
    </w:p>
    <w:p>
      <w:pPr>
        <w:pStyle w:val="37"/>
        <w:ind w:firstLine="420"/>
        <w:rPr>
          <w:rFonts w:hint="eastAsia" w:ascii="宋体" w:eastAsia="宋体" w:cs="Arial"/>
          <w:color w:val="auto"/>
          <w:kern w:val="2"/>
          <w:sz w:val="24"/>
          <w:szCs w:val="24"/>
          <w:highlight w:val="none"/>
          <w:lang w:bidi="ar-SA"/>
        </w:rPr>
      </w:pPr>
      <w:r>
        <w:rPr>
          <w:rFonts w:hint="eastAsia" w:ascii="宋体" w:eastAsia="宋体" w:cs="Arial"/>
          <w:color w:val="auto"/>
          <w:kern w:val="2"/>
          <w:sz w:val="24"/>
          <w:szCs w:val="24"/>
          <w:highlight w:val="none"/>
          <w:lang w:bidi="ar-SA"/>
        </w:rPr>
        <w:t>4.新用户请点击create an IBMid进行注册。</w:t>
      </w:r>
    </w:p>
    <w:p>
      <w:pPr>
        <w:pStyle w:val="37"/>
        <w:ind w:firstLine="420"/>
        <w:rPr>
          <w:rFonts w:hint="eastAsia" w:ascii="宋体" w:eastAsia="宋体" w:cs="Arial"/>
          <w:color w:val="auto"/>
          <w:kern w:val="2"/>
          <w:sz w:val="24"/>
          <w:szCs w:val="24"/>
          <w:highlight w:val="none"/>
          <w:lang w:bidi="ar-SA"/>
        </w:rPr>
      </w:pPr>
      <w:r>
        <w:rPr>
          <w:rFonts w:hint="eastAsia" w:ascii="宋体" w:eastAsia="宋体" w:cs="Arial"/>
          <w:color w:val="auto"/>
          <w:kern w:val="2"/>
          <w:sz w:val="24"/>
          <w:szCs w:val="24"/>
          <w:highlight w:val="none"/>
          <w:lang w:bidi="ar-SA"/>
        </w:rPr>
        <w:t>5.请完成必填项的请求详细信息。（注：所有的登录凭据需要从客户端建立）。</w:t>
      </w:r>
    </w:p>
    <w:p>
      <w:pPr>
        <w:pStyle w:val="37"/>
        <w:rPr>
          <w:rFonts w:hint="eastAsia" w:ascii="宋体" w:eastAsia="宋体" w:cs="Arial"/>
          <w:color w:val="auto"/>
          <w:kern w:val="2"/>
          <w:sz w:val="24"/>
          <w:szCs w:val="24"/>
          <w:highlight w:val="none"/>
          <w:lang w:bidi="ar-SA"/>
        </w:rPr>
      </w:pPr>
      <w:r>
        <w:rPr>
          <w:rFonts w:hint="eastAsia" w:ascii="宋体" w:eastAsia="宋体" w:cs="Arial"/>
          <w:color w:val="auto"/>
          <w:kern w:val="2"/>
          <w:sz w:val="24"/>
          <w:szCs w:val="24"/>
          <w:highlight w:val="none"/>
          <w:lang w:bidi="ar-SA"/>
        </w:rPr>
        <w:t>     -  IBM ID：请填写您的电子邮件地址、姓名、设置8位密码。</w:t>
      </w:r>
    </w:p>
    <w:p>
      <w:pPr>
        <w:pStyle w:val="37"/>
        <w:rPr>
          <w:rFonts w:hint="eastAsia" w:ascii="宋体" w:eastAsia="宋体" w:cs="Arial"/>
          <w:color w:val="auto"/>
          <w:kern w:val="2"/>
          <w:sz w:val="24"/>
          <w:szCs w:val="24"/>
          <w:highlight w:val="none"/>
          <w:lang w:bidi="ar-SA"/>
        </w:rPr>
      </w:pPr>
      <w:r>
        <w:rPr>
          <w:rFonts w:hint="eastAsia" w:ascii="宋体" w:eastAsia="宋体" w:cs="Arial"/>
          <w:color w:val="auto"/>
          <w:kern w:val="2"/>
          <w:sz w:val="24"/>
          <w:szCs w:val="24"/>
          <w:highlight w:val="none"/>
          <w:lang w:bidi="ar-SA"/>
        </w:rPr>
        <w:t>     -  激活IBMid：注册邮箱地址收到7位数的确认代码后请30分钟内输入。</w:t>
      </w:r>
    </w:p>
    <w:p>
      <w:pPr>
        <w:pStyle w:val="37"/>
        <w:ind w:left="420"/>
        <w:rPr>
          <w:rFonts w:hint="eastAsia" w:ascii="宋体" w:eastAsia="宋体" w:cs="Arial"/>
          <w:color w:val="auto"/>
          <w:kern w:val="2"/>
          <w:sz w:val="24"/>
          <w:szCs w:val="24"/>
          <w:highlight w:val="none"/>
          <w:lang w:bidi="ar-SA"/>
        </w:rPr>
      </w:pPr>
      <w:r>
        <w:rPr>
          <w:rFonts w:hint="eastAsia" w:ascii="宋体" w:eastAsia="宋体" w:cs="Arial"/>
          <w:color w:val="auto"/>
          <w:kern w:val="2"/>
          <w:sz w:val="24"/>
          <w:szCs w:val="24"/>
          <w:highlight w:val="none"/>
          <w:lang w:bidi="ar-SA"/>
        </w:rPr>
        <w:t>6.</w:t>
      </w:r>
      <w:r>
        <w:rPr>
          <w:rFonts w:hint="eastAsia" w:ascii="宋体" w:eastAsia="宋体" w:cs="Arial"/>
          <w:color w:val="auto"/>
          <w:sz w:val="24"/>
          <w:szCs w:val="24"/>
          <w:highlight w:val="none"/>
          <w:lang w:bidi="ar-SA"/>
        </w:rPr>
        <w:t xml:space="preserve"> </w:t>
      </w:r>
      <w:r>
        <w:rPr>
          <w:rFonts w:hint="eastAsia" w:ascii="宋体" w:eastAsia="宋体" w:cs="Arial"/>
          <w:color w:val="auto"/>
          <w:kern w:val="2"/>
          <w:sz w:val="24"/>
          <w:szCs w:val="24"/>
          <w:highlight w:val="none"/>
          <w:lang w:bidi="ar-SA"/>
        </w:rPr>
        <w:t>输入确认代码后点击创建账户。下一个Self-nomination页面会要求你输入实体编号(Site Number)和申请理由，填写完成后点击提交就完成PAO注册流程，接下来请联系公司主联系人授权。主联系人同意授权就可以登录PAO了。</w:t>
      </w:r>
    </w:p>
    <w:p>
      <w:pPr>
        <w:pStyle w:val="38"/>
        <w:ind w:left="420"/>
        <w:rPr>
          <w:rFonts w:hint="eastAsia" w:ascii="宋体" w:eastAsia="宋体" w:cs="Arial"/>
          <w:color w:val="auto"/>
          <w:kern w:val="2"/>
          <w:sz w:val="24"/>
          <w:szCs w:val="24"/>
          <w:highlight w:val="none"/>
          <w:lang w:bidi="ar-SA"/>
        </w:rPr>
      </w:pPr>
      <w:r>
        <w:rPr>
          <w:rFonts w:hint="eastAsia" w:ascii="宋体" w:eastAsia="宋体" w:cs="Arial"/>
          <w:color w:val="auto"/>
          <w:kern w:val="2"/>
          <w:sz w:val="24"/>
          <w:szCs w:val="24"/>
          <w:highlight w:val="none"/>
          <w:lang w:bidi="ar-SA"/>
        </w:rPr>
        <w:t>7.</w:t>
      </w:r>
      <w:r>
        <w:rPr>
          <w:rFonts w:hint="eastAsia" w:ascii="宋体" w:eastAsia="宋体" w:cs="Arial"/>
          <w:color w:val="auto"/>
          <w:sz w:val="24"/>
          <w:szCs w:val="24"/>
          <w:highlight w:val="none"/>
          <w:lang w:bidi="ar-SA"/>
        </w:rPr>
        <w:t xml:space="preserve"> </w:t>
      </w:r>
      <w:r>
        <w:rPr>
          <w:rFonts w:hint="eastAsia" w:ascii="宋体" w:eastAsia="宋体" w:cs="Arial"/>
          <w:color w:val="auto"/>
          <w:kern w:val="2"/>
          <w:sz w:val="24"/>
          <w:szCs w:val="24"/>
          <w:highlight w:val="none"/>
          <w:lang w:bidi="ar-SA"/>
        </w:rPr>
        <w:t>有关PAO网站的一切问题，您可以发邮件到apecare@sg.ibm.com获得帮助，或者可以通过这个网站查找并拨打eCustomer Care热线：</w:t>
      </w:r>
    </w:p>
    <w:p>
      <w:pPr>
        <w:pStyle w:val="37"/>
        <w:ind w:left="420"/>
        <w:rPr>
          <w:rFonts w:hint="eastAsia" w:ascii="宋体" w:eastAsia="宋体"/>
          <w:color w:val="auto"/>
          <w:kern w:val="2"/>
          <w:sz w:val="24"/>
          <w:szCs w:val="24"/>
          <w:highlight w:val="none"/>
        </w:rPr>
      </w:pPr>
      <w:r>
        <w:rPr>
          <w:rStyle w:val="28"/>
          <w:rFonts w:hint="eastAsia" w:ascii="宋体" w:eastAsia="宋体" w:cs="Times New Roman"/>
          <w:color w:val="auto"/>
          <w:kern w:val="2"/>
          <w:sz w:val="24"/>
          <w:szCs w:val="24"/>
          <w:highlight w:val="none"/>
          <w:lang w:bidi="ar-SA"/>
        </w:rPr>
        <w:fldChar w:fldCharType="begin"/>
      </w:r>
      <w:r>
        <w:rPr>
          <w:color w:val="auto"/>
          <w:highlight w:val="none"/>
        </w:rPr>
        <w:instrText xml:space="preserve">HYPERLINK "https://www-112.ibm.com/software/howtobuy/passportadvantage/homepage/ecarec"</w:instrText>
      </w:r>
      <w:r>
        <w:rPr>
          <w:rStyle w:val="28"/>
          <w:rFonts w:hint="eastAsia" w:ascii="宋体" w:eastAsia="宋体" w:cs="Times New Roman"/>
          <w:color w:val="auto"/>
          <w:kern w:val="2"/>
          <w:sz w:val="24"/>
          <w:szCs w:val="24"/>
          <w:highlight w:val="none"/>
          <w:lang w:bidi="ar-SA"/>
        </w:rPr>
        <w:fldChar w:fldCharType="separate"/>
      </w:r>
      <w:r>
        <w:rPr>
          <w:rStyle w:val="28"/>
          <w:rFonts w:hint="eastAsia" w:ascii="宋体" w:eastAsia="宋体" w:cs="Times New Roman"/>
          <w:color w:val="auto"/>
          <w:kern w:val="2"/>
          <w:sz w:val="24"/>
          <w:szCs w:val="24"/>
          <w:highlight w:val="none"/>
          <w:lang w:bidi="ar-SA"/>
        </w:rPr>
        <w:t>https://www-112.ibm.com/software/howtobuy/passportadvantage/homepage/ecarec</w:t>
      </w:r>
      <w:r>
        <w:rPr>
          <w:rStyle w:val="28"/>
          <w:rFonts w:hint="eastAsia" w:ascii="宋体" w:eastAsia="宋体" w:cs="Times New Roman"/>
          <w:color w:val="auto"/>
          <w:kern w:val="2"/>
          <w:sz w:val="24"/>
          <w:szCs w:val="24"/>
          <w:highlight w:val="none"/>
          <w:lang w:bidi="ar-SA"/>
        </w:rPr>
        <w:fldChar w:fldCharType="end"/>
      </w:r>
    </w:p>
    <w:p>
      <w:pPr>
        <w:ind w:firstLine="360" w:firstLineChars="150"/>
        <w:outlineLvl w:val="9"/>
        <w:rPr>
          <w:rFonts w:hint="eastAsia" w:ascii="宋体"/>
          <w:color w:val="auto"/>
          <w:sz w:val="24"/>
          <w:highlight w:val="none"/>
        </w:rPr>
      </w:pPr>
      <w:bookmarkStart w:id="99" w:name="_Toc81214217"/>
      <w:r>
        <w:rPr>
          <w:rFonts w:hint="eastAsia" w:ascii="宋体"/>
          <w:color w:val="auto"/>
          <w:sz w:val="24"/>
          <w:highlight w:val="none"/>
        </w:rPr>
        <w:t>（三）如何通过PAO网站下载软件的步骤说明</w:t>
      </w:r>
      <w:bookmarkEnd w:id="99"/>
    </w:p>
    <w:p>
      <w:pPr>
        <w:pStyle w:val="37"/>
        <w:ind w:left="420"/>
        <w:rPr>
          <w:rFonts w:hint="eastAsia" w:ascii="宋体" w:eastAsia="宋体" w:cs="Times New Roman"/>
          <w:color w:val="auto"/>
          <w:kern w:val="2"/>
          <w:sz w:val="24"/>
          <w:szCs w:val="24"/>
          <w:highlight w:val="none"/>
          <w:lang w:bidi="ar-SA"/>
        </w:rPr>
      </w:pPr>
      <w:r>
        <w:rPr>
          <w:rFonts w:hint="eastAsia" w:ascii="宋体" w:eastAsia="宋体" w:cs="Times New Roman"/>
          <w:color w:val="auto"/>
          <w:kern w:val="2"/>
          <w:sz w:val="24"/>
          <w:szCs w:val="24"/>
          <w:highlight w:val="none"/>
          <w:lang w:bidi="ar-SA"/>
        </w:rPr>
        <w:t>1、访问Passport Advantage Online网站：</w:t>
      </w:r>
      <w:r>
        <w:rPr>
          <w:rStyle w:val="28"/>
          <w:rFonts w:hint="eastAsia" w:ascii="宋体" w:eastAsia="宋体" w:cs="Times New Roman"/>
          <w:color w:val="auto"/>
          <w:kern w:val="2"/>
          <w:sz w:val="24"/>
          <w:szCs w:val="24"/>
          <w:highlight w:val="none"/>
          <w:lang w:bidi="ar-SA"/>
        </w:rPr>
        <w:fldChar w:fldCharType="begin"/>
      </w:r>
      <w:r>
        <w:rPr>
          <w:color w:val="auto"/>
          <w:highlight w:val="none"/>
        </w:rPr>
        <w:instrText xml:space="preserve">HYPERLINK "http://www.ibm.com/software/passportadvantage"</w:instrText>
      </w:r>
      <w:r>
        <w:rPr>
          <w:rStyle w:val="28"/>
          <w:rFonts w:hint="eastAsia" w:ascii="宋体" w:eastAsia="宋体" w:cs="Times New Roman"/>
          <w:color w:val="auto"/>
          <w:kern w:val="2"/>
          <w:sz w:val="24"/>
          <w:szCs w:val="24"/>
          <w:highlight w:val="none"/>
          <w:lang w:bidi="ar-SA"/>
        </w:rPr>
        <w:fldChar w:fldCharType="separate"/>
      </w:r>
      <w:r>
        <w:rPr>
          <w:rStyle w:val="28"/>
          <w:rFonts w:hint="eastAsia" w:ascii="宋体" w:eastAsia="宋体" w:cs="Times New Roman"/>
          <w:color w:val="auto"/>
          <w:kern w:val="2"/>
          <w:sz w:val="24"/>
          <w:szCs w:val="24"/>
          <w:highlight w:val="none"/>
          <w:lang w:bidi="ar-SA"/>
        </w:rPr>
        <w:t>http://www.ibm.com/software/passportadvantage</w:t>
      </w:r>
      <w:r>
        <w:rPr>
          <w:rStyle w:val="28"/>
          <w:rFonts w:hint="eastAsia" w:ascii="宋体" w:eastAsia="宋体" w:cs="Times New Roman"/>
          <w:color w:val="auto"/>
          <w:kern w:val="2"/>
          <w:sz w:val="24"/>
          <w:szCs w:val="24"/>
          <w:highlight w:val="none"/>
          <w:lang w:bidi="ar-SA"/>
        </w:rPr>
        <w:fldChar w:fldCharType="end"/>
      </w:r>
      <w:r>
        <w:rPr>
          <w:rStyle w:val="28"/>
          <w:rFonts w:hint="eastAsia" w:ascii="宋体" w:eastAsia="宋体" w:cs="Times New Roman"/>
          <w:color w:val="auto"/>
          <w:kern w:val="2"/>
          <w:sz w:val="24"/>
          <w:szCs w:val="24"/>
          <w:highlight w:val="none"/>
          <w:lang w:bidi="ar-SA"/>
        </w:rPr>
        <w:t> </w:t>
      </w:r>
    </w:p>
    <w:p>
      <w:pPr>
        <w:pStyle w:val="37"/>
        <w:ind w:left="420"/>
        <w:rPr>
          <w:rFonts w:hint="eastAsia" w:ascii="宋体" w:eastAsia="宋体" w:cs="Times New Roman"/>
          <w:color w:val="auto"/>
          <w:kern w:val="2"/>
          <w:sz w:val="24"/>
          <w:szCs w:val="24"/>
          <w:highlight w:val="none"/>
          <w:lang w:bidi="ar-SA"/>
        </w:rPr>
      </w:pPr>
      <w:r>
        <w:rPr>
          <w:rFonts w:hint="eastAsia" w:ascii="宋体" w:eastAsia="宋体" w:cs="Times New Roman"/>
          <w:color w:val="auto"/>
          <w:kern w:val="2"/>
          <w:sz w:val="24"/>
          <w:szCs w:val="24"/>
          <w:highlight w:val="none"/>
          <w:lang w:bidi="ar-SA"/>
        </w:rPr>
        <w:t>2、请点击Passport Advantage Online选项，之后选择Sign in to your PAO Site。</w:t>
      </w:r>
    </w:p>
    <w:p>
      <w:pPr>
        <w:pStyle w:val="37"/>
        <w:ind w:left="420"/>
        <w:rPr>
          <w:rFonts w:hint="eastAsia" w:ascii="宋体" w:eastAsia="宋体" w:cs="Times New Roman"/>
          <w:color w:val="auto"/>
          <w:kern w:val="2"/>
          <w:sz w:val="24"/>
          <w:szCs w:val="24"/>
          <w:highlight w:val="none"/>
          <w:lang w:bidi="ar-SA"/>
        </w:rPr>
      </w:pPr>
      <w:r>
        <w:rPr>
          <w:rFonts w:hint="eastAsia" w:ascii="宋体" w:eastAsia="宋体" w:cs="Times New Roman"/>
          <w:color w:val="auto"/>
          <w:kern w:val="2"/>
          <w:sz w:val="24"/>
          <w:szCs w:val="24"/>
          <w:highlight w:val="none"/>
          <w:lang w:bidi="ar-SA"/>
        </w:rPr>
        <w:t>3、输入您的IBM ID和密码。</w:t>
      </w:r>
    </w:p>
    <w:p>
      <w:pPr>
        <w:pStyle w:val="37"/>
        <w:ind w:left="420"/>
        <w:rPr>
          <w:rFonts w:hint="eastAsia" w:ascii="宋体" w:eastAsia="宋体" w:cs="Times New Roman"/>
          <w:color w:val="auto"/>
          <w:kern w:val="2"/>
          <w:sz w:val="24"/>
          <w:szCs w:val="24"/>
          <w:highlight w:val="none"/>
          <w:lang w:bidi="ar-SA"/>
        </w:rPr>
      </w:pPr>
      <w:r>
        <w:rPr>
          <w:rFonts w:hint="eastAsia" w:ascii="宋体" w:eastAsia="宋体" w:cs="Times New Roman"/>
          <w:color w:val="auto"/>
          <w:kern w:val="2"/>
          <w:sz w:val="24"/>
          <w:szCs w:val="24"/>
          <w:highlight w:val="none"/>
          <w:lang w:bidi="ar-SA"/>
        </w:rPr>
        <w:t>4、从页面的左侧导航选择下载软件。</w:t>
      </w:r>
    </w:p>
    <w:p>
      <w:pPr>
        <w:pStyle w:val="37"/>
        <w:ind w:left="420"/>
        <w:rPr>
          <w:rFonts w:hint="eastAsia" w:ascii="宋体" w:eastAsia="宋体" w:cs="Times New Roman"/>
          <w:color w:val="auto"/>
          <w:kern w:val="2"/>
          <w:sz w:val="24"/>
          <w:szCs w:val="24"/>
          <w:highlight w:val="none"/>
          <w:lang w:bidi="ar-SA"/>
        </w:rPr>
      </w:pPr>
      <w:r>
        <w:rPr>
          <w:rFonts w:hint="eastAsia" w:ascii="宋体" w:eastAsia="宋体" w:cs="Times New Roman"/>
          <w:color w:val="auto"/>
          <w:kern w:val="2"/>
          <w:sz w:val="24"/>
          <w:szCs w:val="24"/>
          <w:highlight w:val="none"/>
          <w:lang w:bidi="ar-SA"/>
        </w:rPr>
        <w:t>5、选择所提供的协议编号，然后单击Continue（继续）。</w:t>
      </w:r>
    </w:p>
    <w:p>
      <w:pPr>
        <w:pStyle w:val="37"/>
        <w:ind w:left="420"/>
        <w:rPr>
          <w:rFonts w:hint="eastAsia" w:ascii="宋体" w:eastAsia="宋体" w:cs="Times New Roman"/>
          <w:color w:val="auto"/>
          <w:kern w:val="2"/>
          <w:sz w:val="24"/>
          <w:szCs w:val="24"/>
          <w:highlight w:val="none"/>
          <w:lang w:bidi="ar-SA"/>
        </w:rPr>
      </w:pPr>
      <w:r>
        <w:rPr>
          <w:rFonts w:hint="eastAsia" w:ascii="宋体" w:eastAsia="宋体" w:cs="Times New Roman"/>
          <w:color w:val="auto"/>
          <w:kern w:val="2"/>
          <w:sz w:val="24"/>
          <w:szCs w:val="24"/>
          <w:highlight w:val="none"/>
          <w:lang w:bidi="ar-SA"/>
        </w:rPr>
        <w:t>6、输入您想要下载的产品编号（Part Number）然后点击查找键 （注：如果不清楚产品编号也可以使用产品描述来查找 ）。</w:t>
      </w:r>
    </w:p>
    <w:p>
      <w:pPr>
        <w:pStyle w:val="37"/>
        <w:ind w:left="420"/>
        <w:rPr>
          <w:rFonts w:hint="eastAsia" w:ascii="宋体" w:eastAsia="宋体" w:cs="Times New Roman"/>
          <w:color w:val="auto"/>
          <w:kern w:val="2"/>
          <w:sz w:val="24"/>
          <w:szCs w:val="24"/>
          <w:highlight w:val="none"/>
          <w:lang w:bidi="ar-SA"/>
        </w:rPr>
      </w:pPr>
      <w:r>
        <w:rPr>
          <w:rFonts w:hint="eastAsia" w:ascii="宋体" w:eastAsia="宋体" w:cs="Times New Roman"/>
          <w:color w:val="auto"/>
          <w:kern w:val="2"/>
          <w:sz w:val="24"/>
          <w:szCs w:val="24"/>
          <w:highlight w:val="none"/>
          <w:lang w:bidi="ar-SA"/>
        </w:rPr>
        <w:t>7、点击下载的软件产品后弹出选择框选择您对应的操作系统和语言。</w:t>
      </w:r>
    </w:p>
    <w:p>
      <w:pPr>
        <w:pStyle w:val="37"/>
        <w:ind w:left="420"/>
        <w:rPr>
          <w:rFonts w:hint="eastAsia" w:ascii="宋体" w:eastAsia="宋体" w:cs="Times New Roman"/>
          <w:color w:val="auto"/>
          <w:kern w:val="2"/>
          <w:sz w:val="24"/>
          <w:szCs w:val="24"/>
          <w:highlight w:val="none"/>
          <w:lang w:bidi="ar-SA"/>
        </w:rPr>
      </w:pPr>
      <w:r>
        <w:rPr>
          <w:rFonts w:hint="eastAsia" w:ascii="宋体" w:eastAsia="宋体" w:cs="Times New Roman"/>
          <w:color w:val="auto"/>
          <w:kern w:val="2"/>
          <w:sz w:val="24"/>
          <w:szCs w:val="24"/>
          <w:highlight w:val="none"/>
          <w:lang w:bidi="ar-SA"/>
        </w:rPr>
        <w:t>8、选择软件然后进行下载，或者是展开选择个人文件（eAssemblies）选择软件，然后下载。</w:t>
      </w:r>
    </w:p>
    <w:p>
      <w:pPr>
        <w:pStyle w:val="37"/>
        <w:ind w:left="420"/>
        <w:rPr>
          <w:rFonts w:hint="eastAsia" w:ascii="宋体" w:eastAsia="宋体" w:cs="Times New Roman"/>
          <w:color w:val="auto"/>
          <w:kern w:val="2"/>
          <w:sz w:val="24"/>
          <w:szCs w:val="24"/>
          <w:highlight w:val="none"/>
          <w:lang w:bidi="ar-SA"/>
        </w:rPr>
      </w:pPr>
      <w:r>
        <w:rPr>
          <w:rFonts w:hint="eastAsia" w:ascii="宋体" w:eastAsia="宋体" w:cs="Times New Roman"/>
          <w:b/>
          <w:color w:val="auto"/>
          <w:kern w:val="2"/>
          <w:sz w:val="24"/>
          <w:szCs w:val="24"/>
          <w:highlight w:val="none"/>
          <w:lang w:bidi="ar-SA"/>
        </w:rPr>
        <w:t>如果在注册或使用 PAO 网站过程中遇到任何问题，</w:t>
      </w:r>
      <w:r>
        <w:rPr>
          <w:rFonts w:hint="eastAsia" w:ascii="宋体" w:eastAsia="宋体"/>
          <w:color w:val="auto"/>
          <w:sz w:val="24"/>
          <w:szCs w:val="24"/>
          <w:highlight w:val="none"/>
        </w:rPr>
        <w:fldChar w:fldCharType="begin"/>
      </w:r>
      <w:r>
        <w:rPr>
          <w:color w:val="auto"/>
          <w:highlight w:val="none"/>
        </w:rPr>
        <w:instrText xml:space="preserve">HYPERLINK "mailto:您可以发邮件到apecare@sg.ibm.com"</w:instrText>
      </w:r>
      <w:r>
        <w:rPr>
          <w:rFonts w:hint="eastAsia" w:ascii="宋体" w:eastAsia="宋体"/>
          <w:color w:val="auto"/>
          <w:sz w:val="24"/>
          <w:szCs w:val="24"/>
          <w:highlight w:val="none"/>
        </w:rPr>
        <w:fldChar w:fldCharType="separate"/>
      </w:r>
      <w:r>
        <w:rPr>
          <w:rFonts w:hint="eastAsia" w:ascii="宋体" w:eastAsia="宋体"/>
          <w:color w:val="auto"/>
          <w:sz w:val="24"/>
          <w:szCs w:val="24"/>
          <w:highlight w:val="none"/>
        </w:rPr>
        <w:t>您可以发邮件到</w:t>
      </w:r>
      <w:r>
        <w:rPr>
          <w:rStyle w:val="28"/>
          <w:rFonts w:hint="eastAsia" w:ascii="宋体" w:eastAsia="宋体" w:cs="Times New Roman"/>
          <w:b/>
          <w:color w:val="auto"/>
          <w:kern w:val="2"/>
          <w:sz w:val="24"/>
          <w:szCs w:val="24"/>
          <w:highlight w:val="none"/>
          <w:lang w:bidi="ar-SA"/>
        </w:rPr>
        <w:t>apecare@sg.ibm.com</w:t>
      </w:r>
      <w:r>
        <w:rPr>
          <w:rFonts w:hint="eastAsia" w:ascii="宋体" w:eastAsia="宋体"/>
          <w:color w:val="auto"/>
          <w:sz w:val="24"/>
          <w:szCs w:val="24"/>
          <w:highlight w:val="none"/>
        </w:rPr>
        <w:fldChar w:fldCharType="end"/>
      </w:r>
      <w:r>
        <w:rPr>
          <w:rFonts w:hint="eastAsia" w:ascii="宋体" w:eastAsia="宋体" w:cs="Times New Roman"/>
          <w:b/>
          <w:color w:val="auto"/>
          <w:kern w:val="2"/>
          <w:sz w:val="24"/>
          <w:szCs w:val="24"/>
          <w:highlight w:val="none"/>
          <w:lang w:bidi="ar-SA"/>
        </w:rPr>
        <w:t>获得帮助，或者通过这个网站查找并拨打eCustomer Care热线：</w:t>
      </w:r>
    </w:p>
    <w:p>
      <w:pPr>
        <w:pStyle w:val="37"/>
        <w:ind w:left="420"/>
        <w:rPr>
          <w:rFonts w:hint="eastAsia" w:ascii="宋体" w:eastAsia="宋体"/>
          <w:color w:val="auto"/>
          <w:sz w:val="24"/>
          <w:szCs w:val="24"/>
          <w:highlight w:val="none"/>
        </w:rPr>
      </w:pPr>
      <w:r>
        <w:rPr>
          <w:rStyle w:val="28"/>
          <w:rFonts w:hint="eastAsia" w:ascii="宋体" w:eastAsia="宋体" w:cs="Times New Roman"/>
          <w:color w:val="auto"/>
          <w:kern w:val="2"/>
          <w:sz w:val="24"/>
          <w:szCs w:val="24"/>
          <w:highlight w:val="none"/>
          <w:lang w:bidi="ar-SA"/>
        </w:rPr>
        <w:fldChar w:fldCharType="begin"/>
      </w:r>
      <w:r>
        <w:rPr>
          <w:color w:val="auto"/>
          <w:highlight w:val="none"/>
        </w:rPr>
        <w:instrText xml:space="preserve">HYPERLINK "https://www-112.ibm.com/software/howtobuy/passportadvantage/homepage/ecarec"</w:instrText>
      </w:r>
      <w:r>
        <w:rPr>
          <w:rStyle w:val="28"/>
          <w:rFonts w:hint="eastAsia" w:ascii="宋体" w:eastAsia="宋体" w:cs="Times New Roman"/>
          <w:color w:val="auto"/>
          <w:kern w:val="2"/>
          <w:sz w:val="24"/>
          <w:szCs w:val="24"/>
          <w:highlight w:val="none"/>
          <w:lang w:bidi="ar-SA"/>
        </w:rPr>
        <w:fldChar w:fldCharType="separate"/>
      </w:r>
      <w:r>
        <w:rPr>
          <w:rStyle w:val="28"/>
          <w:rFonts w:hint="eastAsia" w:ascii="宋体" w:eastAsia="宋体" w:cs="Times New Roman"/>
          <w:color w:val="auto"/>
          <w:kern w:val="2"/>
          <w:sz w:val="24"/>
          <w:szCs w:val="24"/>
          <w:highlight w:val="none"/>
          <w:lang w:bidi="ar-SA"/>
        </w:rPr>
        <w:t>https://www-112.ibm.com/software/howtobuy/passportadvantage/homepage/ecarec</w:t>
      </w:r>
      <w:r>
        <w:rPr>
          <w:rStyle w:val="28"/>
          <w:rFonts w:hint="eastAsia" w:ascii="宋体" w:eastAsia="宋体" w:cs="Times New Roman"/>
          <w:color w:val="auto"/>
          <w:kern w:val="2"/>
          <w:sz w:val="24"/>
          <w:szCs w:val="24"/>
          <w:highlight w:val="none"/>
          <w:lang w:bidi="ar-SA"/>
        </w:rPr>
        <w:fldChar w:fldCharType="end"/>
      </w:r>
    </w:p>
    <w:p>
      <w:pPr>
        <w:ind w:firstLine="360" w:firstLineChars="150"/>
        <w:outlineLvl w:val="9"/>
        <w:rPr>
          <w:rFonts w:hint="eastAsia" w:ascii="宋体"/>
          <w:color w:val="auto"/>
          <w:sz w:val="24"/>
          <w:highlight w:val="none"/>
        </w:rPr>
      </w:pPr>
      <w:bookmarkStart w:id="100" w:name="_Toc81214218"/>
      <w:r>
        <w:rPr>
          <w:rFonts w:hint="eastAsia" w:ascii="宋体"/>
          <w:bCs/>
          <w:color w:val="auto"/>
          <w:sz w:val="24"/>
          <w:highlight w:val="none"/>
        </w:rPr>
        <w:t>（四）IBM软件产品相关网站链接</w:t>
      </w:r>
      <w:bookmarkEnd w:id="100"/>
      <w:r>
        <w:rPr>
          <w:rFonts w:hint="eastAsia" w:ascii="宋体"/>
          <w:bCs/>
          <w:color w:val="auto"/>
          <w:sz w:val="24"/>
          <w:highlight w:val="none"/>
        </w:rPr>
        <w:t xml:space="preserve"> </w:t>
      </w:r>
    </w:p>
    <w:p>
      <w:pPr>
        <w:rPr>
          <w:rFonts w:hint="eastAsia" w:ascii="宋体"/>
          <w:color w:val="auto"/>
          <w:sz w:val="24"/>
          <w:highlight w:val="none"/>
        </w:rPr>
      </w:pPr>
      <w:r>
        <w:rPr>
          <w:rFonts w:hint="eastAsia" w:ascii="宋体"/>
          <w:color w:val="auto"/>
          <w:sz w:val="24"/>
          <w:highlight w:val="none"/>
        </w:rPr>
        <w:t>IBM支持指南-了解IBM如何为您提供技术支持和帮助：</w:t>
      </w:r>
    </w:p>
    <w:p>
      <w:pPr>
        <w:rPr>
          <w:rFonts w:hint="eastAsia" w:ascii="宋体"/>
          <w:color w:val="auto"/>
          <w:sz w:val="24"/>
          <w:highlight w:val="none"/>
        </w:rPr>
      </w:pPr>
      <w:r>
        <w:rPr>
          <w:rStyle w:val="28"/>
          <w:rFonts w:hint="eastAsia" w:ascii="宋体"/>
          <w:color w:val="auto"/>
          <w:sz w:val="24"/>
          <w:highlight w:val="none"/>
        </w:rPr>
        <w:fldChar w:fldCharType="begin"/>
      </w:r>
      <w:r>
        <w:rPr>
          <w:color w:val="auto"/>
          <w:highlight w:val="none"/>
        </w:rPr>
        <w:instrText xml:space="preserve">HYPERLINK "https://www-01.ibm.com/support/docview.wss?uid=ibm10870026"</w:instrText>
      </w:r>
      <w:r>
        <w:rPr>
          <w:rStyle w:val="28"/>
          <w:rFonts w:hint="eastAsia" w:ascii="宋体"/>
          <w:color w:val="auto"/>
          <w:sz w:val="24"/>
          <w:highlight w:val="none"/>
        </w:rPr>
        <w:fldChar w:fldCharType="separate"/>
      </w:r>
      <w:r>
        <w:rPr>
          <w:rStyle w:val="28"/>
          <w:rFonts w:hint="eastAsia" w:ascii="宋体"/>
          <w:color w:val="auto"/>
          <w:sz w:val="24"/>
          <w:highlight w:val="none"/>
        </w:rPr>
        <w:t>https://www-01.ibm.com/support/docview.wss?uid=ibm10870026</w:t>
      </w:r>
      <w:r>
        <w:rPr>
          <w:rStyle w:val="28"/>
          <w:rFonts w:hint="eastAsia" w:ascii="宋体"/>
          <w:color w:val="auto"/>
          <w:sz w:val="24"/>
          <w:highlight w:val="none"/>
        </w:rPr>
        <w:fldChar w:fldCharType="end"/>
      </w:r>
    </w:p>
    <w:p>
      <w:pPr>
        <w:rPr>
          <w:rFonts w:hint="eastAsia" w:ascii="宋体"/>
          <w:color w:val="auto"/>
          <w:sz w:val="24"/>
          <w:highlight w:val="none"/>
        </w:rPr>
      </w:pPr>
      <w:r>
        <w:rPr>
          <w:rFonts w:hint="eastAsia" w:ascii="宋体"/>
          <w:color w:val="auto"/>
          <w:sz w:val="24"/>
          <w:highlight w:val="none"/>
        </w:rPr>
        <w:t>如需IBM产品相关信息，请访问国际互联网：</w:t>
      </w:r>
    </w:p>
    <w:p>
      <w:pPr>
        <w:rPr>
          <w:rFonts w:hint="eastAsia" w:ascii="宋体"/>
          <w:color w:val="auto"/>
          <w:sz w:val="24"/>
          <w:highlight w:val="none"/>
        </w:rPr>
      </w:pPr>
      <w:r>
        <w:rPr>
          <w:rStyle w:val="28"/>
          <w:rFonts w:hint="eastAsia" w:ascii="宋体"/>
          <w:color w:val="auto"/>
          <w:sz w:val="24"/>
          <w:highlight w:val="none"/>
        </w:rPr>
        <w:t xml:space="preserve">http://www.ibm.com/support/cn/zh/ </w:t>
      </w:r>
    </w:p>
    <w:p>
      <w:pPr>
        <w:rPr>
          <w:rStyle w:val="28"/>
          <w:rFonts w:hint="eastAsia" w:ascii="宋体"/>
          <w:color w:val="auto"/>
          <w:sz w:val="24"/>
          <w:highlight w:val="none"/>
        </w:rPr>
      </w:pPr>
      <w:r>
        <w:rPr>
          <w:rFonts w:hint="eastAsia" w:ascii="宋体"/>
          <w:color w:val="auto"/>
          <w:sz w:val="24"/>
          <w:highlight w:val="none"/>
        </w:rPr>
        <w:t>IBM 软件PA网站：</w:t>
      </w:r>
      <w:r>
        <w:rPr>
          <w:rStyle w:val="28"/>
          <w:rFonts w:hint="eastAsia" w:ascii="宋体"/>
          <w:color w:val="auto"/>
          <w:sz w:val="24"/>
          <w:highlight w:val="none"/>
        </w:rPr>
        <w:fldChar w:fldCharType="begin"/>
      </w:r>
      <w:r>
        <w:rPr>
          <w:color w:val="auto"/>
          <w:highlight w:val="none"/>
        </w:rPr>
        <w:instrText xml:space="preserve">HYPERLINK "F:\\WeChat Files\\WeChat Files\\wxid_0451164511622\\FileStorage\\File\\Documents\\WeChat Files\\wxid_0451164511622\\FileStorage\\File\\Documents\\WeChat Files\\wxid_0451164511622\\var\\folders\\36\\wkqj2_rd4pvd2_y76qyj4qr00000gn\\T\\TemporaryItems\\notes\\https:\\www.ibm.com\\software\\passportadvantage"</w:instrText>
      </w:r>
      <w:r>
        <w:rPr>
          <w:rStyle w:val="28"/>
          <w:rFonts w:hint="eastAsia" w:ascii="宋体"/>
          <w:color w:val="auto"/>
          <w:sz w:val="24"/>
          <w:highlight w:val="none"/>
        </w:rPr>
        <w:fldChar w:fldCharType="separate"/>
      </w:r>
    </w:p>
    <w:p>
      <w:pPr>
        <w:rPr>
          <w:rFonts w:hint="eastAsia" w:ascii="宋体"/>
          <w:color w:val="auto"/>
          <w:sz w:val="24"/>
          <w:highlight w:val="none"/>
        </w:rPr>
      </w:pPr>
      <w:r>
        <w:rPr>
          <w:rStyle w:val="28"/>
          <w:rFonts w:hint="eastAsia" w:ascii="宋体"/>
          <w:color w:val="auto"/>
          <w:sz w:val="24"/>
          <w:highlight w:val="none"/>
        </w:rPr>
        <w:t>https://www.ibm.com/software/passportadvantage/</w:t>
      </w:r>
      <w:r>
        <w:rPr>
          <w:rStyle w:val="28"/>
          <w:rFonts w:hint="eastAsia" w:ascii="宋体"/>
          <w:color w:val="auto"/>
          <w:sz w:val="24"/>
          <w:highlight w:val="none"/>
        </w:rPr>
        <w:fldChar w:fldCharType="end"/>
      </w:r>
    </w:p>
    <w:p>
      <w:pPr>
        <w:rPr>
          <w:rFonts w:hint="eastAsia" w:ascii="宋体"/>
          <w:color w:val="auto"/>
          <w:sz w:val="24"/>
          <w:highlight w:val="none"/>
        </w:rPr>
      </w:pPr>
      <w:r>
        <w:rPr>
          <w:rFonts w:hint="eastAsia" w:ascii="宋体"/>
          <w:color w:val="auto"/>
          <w:sz w:val="24"/>
          <w:highlight w:val="none"/>
        </w:rPr>
        <w:t>IBM 产品支持社区 （支持社区在线开问题单和在线技术支持链接）：</w:t>
      </w:r>
    </w:p>
    <w:p>
      <w:pPr>
        <w:rPr>
          <w:rFonts w:hint="eastAsia" w:ascii="宋体"/>
          <w:color w:val="auto"/>
          <w:sz w:val="24"/>
          <w:highlight w:val="none"/>
        </w:rPr>
      </w:pPr>
      <w:r>
        <w:rPr>
          <w:rFonts w:hint="eastAsia" w:ascii="宋体"/>
          <w:color w:val="auto"/>
          <w:sz w:val="24"/>
          <w:highlight w:val="none"/>
          <w:u w:val="single"/>
        </w:rPr>
        <w:t>https://www.ibm.com/mysupport/s/?language=zh_CN</w:t>
      </w:r>
    </w:p>
    <w:p>
      <w:pPr>
        <w:rPr>
          <w:rFonts w:hint="eastAsia" w:ascii="宋体"/>
          <w:color w:val="auto"/>
          <w:sz w:val="24"/>
          <w:highlight w:val="none"/>
        </w:rPr>
      </w:pPr>
      <w:r>
        <w:rPr>
          <w:rFonts w:hint="eastAsia" w:ascii="宋体"/>
          <w:color w:val="auto"/>
          <w:sz w:val="24"/>
          <w:highlight w:val="none"/>
        </w:rPr>
        <w:t>IBM 支持门户网站：</w:t>
      </w:r>
    </w:p>
    <w:p>
      <w:pPr>
        <w:rPr>
          <w:rFonts w:hint="eastAsia" w:ascii="宋体"/>
          <w:color w:val="auto"/>
          <w:sz w:val="24"/>
          <w:highlight w:val="none"/>
        </w:rPr>
      </w:pPr>
      <w:r>
        <w:rPr>
          <w:rStyle w:val="28"/>
          <w:rFonts w:hint="eastAsia" w:ascii="宋体"/>
          <w:color w:val="auto"/>
          <w:sz w:val="24"/>
          <w:highlight w:val="none"/>
        </w:rPr>
        <w:fldChar w:fldCharType="begin"/>
      </w:r>
      <w:r>
        <w:rPr>
          <w:color w:val="auto"/>
          <w:highlight w:val="none"/>
        </w:rPr>
        <w:instrText xml:space="preserve">HYPERLINK "https://www.ibm.com/support/home/"</w:instrText>
      </w:r>
      <w:r>
        <w:rPr>
          <w:rStyle w:val="28"/>
          <w:rFonts w:hint="eastAsia" w:ascii="宋体"/>
          <w:color w:val="auto"/>
          <w:sz w:val="24"/>
          <w:highlight w:val="none"/>
        </w:rPr>
        <w:fldChar w:fldCharType="separate"/>
      </w:r>
      <w:r>
        <w:rPr>
          <w:rStyle w:val="28"/>
          <w:rFonts w:hint="eastAsia" w:ascii="宋体"/>
          <w:color w:val="auto"/>
          <w:sz w:val="24"/>
          <w:highlight w:val="none"/>
        </w:rPr>
        <w:t>https://www.ibm.com/support/home/</w:t>
      </w:r>
      <w:r>
        <w:rPr>
          <w:rStyle w:val="28"/>
          <w:rFonts w:hint="eastAsia" w:ascii="宋体"/>
          <w:color w:val="auto"/>
          <w:sz w:val="24"/>
          <w:highlight w:val="none"/>
        </w:rPr>
        <w:fldChar w:fldCharType="end"/>
      </w:r>
    </w:p>
    <w:p>
      <w:pPr>
        <w:rPr>
          <w:rFonts w:hint="eastAsia" w:ascii="宋体"/>
          <w:color w:val="auto"/>
          <w:sz w:val="24"/>
          <w:highlight w:val="none"/>
        </w:rPr>
      </w:pPr>
      <w:r>
        <w:rPr>
          <w:rFonts w:hint="eastAsia" w:ascii="宋体"/>
          <w:color w:val="auto"/>
          <w:sz w:val="24"/>
          <w:highlight w:val="none"/>
        </w:rPr>
        <w:t>IBM知识库中心（IBM产品文档）</w:t>
      </w:r>
    </w:p>
    <w:p>
      <w:pPr>
        <w:rPr>
          <w:rStyle w:val="28"/>
          <w:rFonts w:hint="eastAsia" w:ascii="宋体"/>
          <w:color w:val="auto"/>
          <w:sz w:val="24"/>
          <w:highlight w:val="none"/>
        </w:rPr>
      </w:pPr>
      <w:r>
        <w:rPr>
          <w:rFonts w:hint="eastAsia" w:ascii="宋体"/>
          <w:color w:val="auto"/>
          <w:sz w:val="24"/>
          <w:highlight w:val="none"/>
        </w:rPr>
        <w:t>https://www.ibm.com/docs/en</w:t>
      </w:r>
      <w:r>
        <w:rPr>
          <w:rStyle w:val="28"/>
          <w:rFonts w:hint="eastAsia" w:ascii="宋体"/>
          <w:color w:val="auto"/>
          <w:sz w:val="24"/>
          <w:highlight w:val="none"/>
        </w:rPr>
        <w:t xml:space="preserve"> （英文）</w:t>
      </w:r>
    </w:p>
    <w:p>
      <w:pPr>
        <w:rPr>
          <w:rFonts w:hint="eastAsia" w:ascii="宋体"/>
          <w:color w:val="auto"/>
          <w:sz w:val="24"/>
          <w:highlight w:val="none"/>
        </w:rPr>
      </w:pPr>
      <w:r>
        <w:rPr>
          <w:rFonts w:hint="eastAsia" w:ascii="宋体"/>
          <w:color w:val="auto"/>
          <w:sz w:val="24"/>
          <w:highlight w:val="none"/>
        </w:rPr>
        <w:t>https://www.ibm.com/docs/zh</w:t>
      </w:r>
      <w:r>
        <w:rPr>
          <w:rStyle w:val="28"/>
          <w:rFonts w:hint="eastAsia" w:ascii="宋体"/>
          <w:color w:val="auto"/>
          <w:sz w:val="24"/>
          <w:highlight w:val="none"/>
        </w:rPr>
        <w:t>（中文）</w:t>
      </w:r>
    </w:p>
    <w:p>
      <w:pPr>
        <w:rPr>
          <w:rFonts w:hint="eastAsia" w:ascii="宋体"/>
          <w:color w:val="auto"/>
          <w:sz w:val="24"/>
          <w:highlight w:val="none"/>
        </w:rPr>
      </w:pPr>
      <w:r>
        <w:rPr>
          <w:rFonts w:hint="eastAsia" w:ascii="宋体"/>
          <w:color w:val="auto"/>
          <w:sz w:val="24"/>
          <w:highlight w:val="none"/>
        </w:rPr>
        <w:t>IBM软件生命周期查询网址：</w:t>
      </w:r>
    </w:p>
    <w:p>
      <w:pPr>
        <w:rPr>
          <w:rFonts w:hint="eastAsia" w:ascii="宋体"/>
          <w:color w:val="auto"/>
          <w:sz w:val="24"/>
          <w:highlight w:val="none"/>
        </w:rPr>
      </w:pPr>
      <w:r>
        <w:rPr>
          <w:rStyle w:val="28"/>
          <w:rFonts w:hint="eastAsia" w:ascii="宋体"/>
          <w:color w:val="auto"/>
          <w:sz w:val="24"/>
          <w:highlight w:val="none"/>
        </w:rPr>
        <w:fldChar w:fldCharType="begin"/>
      </w:r>
      <w:r>
        <w:rPr>
          <w:color w:val="auto"/>
          <w:highlight w:val="none"/>
        </w:rPr>
        <w:instrText xml:space="preserve">HYPERLINK "https://www.ibm.com/support/home/pages/lifecycle/index.html"</w:instrText>
      </w:r>
      <w:r>
        <w:rPr>
          <w:rStyle w:val="28"/>
          <w:rFonts w:hint="eastAsia" w:ascii="宋体"/>
          <w:color w:val="auto"/>
          <w:sz w:val="24"/>
          <w:highlight w:val="none"/>
        </w:rPr>
        <w:fldChar w:fldCharType="separate"/>
      </w:r>
      <w:r>
        <w:rPr>
          <w:rStyle w:val="28"/>
          <w:rFonts w:hint="eastAsia" w:ascii="宋体"/>
          <w:color w:val="auto"/>
          <w:sz w:val="24"/>
          <w:highlight w:val="none"/>
        </w:rPr>
        <w:t>https://www.ibm.com/support/home/pages/lifecycle/index.html</w:t>
      </w:r>
      <w:r>
        <w:rPr>
          <w:rStyle w:val="28"/>
          <w:rFonts w:hint="eastAsia" w:ascii="宋体"/>
          <w:color w:val="auto"/>
          <w:sz w:val="24"/>
          <w:highlight w:val="none"/>
        </w:rPr>
        <w:fldChar w:fldCharType="end"/>
      </w:r>
    </w:p>
    <w:p>
      <w:pPr>
        <w:rPr>
          <w:rFonts w:hint="eastAsia" w:ascii="宋体"/>
          <w:color w:val="auto"/>
          <w:sz w:val="24"/>
          <w:highlight w:val="none"/>
        </w:rPr>
      </w:pPr>
      <w:r>
        <w:rPr>
          <w:rFonts w:hint="eastAsia" w:ascii="宋体"/>
          <w:color w:val="auto"/>
          <w:sz w:val="24"/>
          <w:highlight w:val="none"/>
        </w:rPr>
        <w:t>IBM中国主页：</w:t>
      </w:r>
    </w:p>
    <w:p>
      <w:pPr>
        <w:rPr>
          <w:rFonts w:hint="eastAsia" w:ascii="宋体"/>
          <w:color w:val="auto"/>
          <w:sz w:val="24"/>
          <w:highlight w:val="none"/>
        </w:rPr>
      </w:pPr>
      <w:r>
        <w:rPr>
          <w:rStyle w:val="28"/>
          <w:rFonts w:hint="eastAsia" w:ascii="宋体"/>
          <w:color w:val="auto"/>
          <w:sz w:val="24"/>
          <w:highlight w:val="none"/>
        </w:rPr>
        <w:fldChar w:fldCharType="begin"/>
      </w:r>
      <w:r>
        <w:rPr>
          <w:color w:val="auto"/>
          <w:highlight w:val="none"/>
        </w:rPr>
        <w:instrText xml:space="preserve">HYPERLINK "https://www.ibm.com/cn-zh/"</w:instrText>
      </w:r>
      <w:r>
        <w:rPr>
          <w:rStyle w:val="28"/>
          <w:rFonts w:hint="eastAsia" w:ascii="宋体"/>
          <w:color w:val="auto"/>
          <w:sz w:val="24"/>
          <w:highlight w:val="none"/>
        </w:rPr>
        <w:fldChar w:fldCharType="separate"/>
      </w:r>
      <w:r>
        <w:rPr>
          <w:rStyle w:val="28"/>
          <w:rFonts w:hint="eastAsia" w:ascii="宋体"/>
          <w:color w:val="auto"/>
          <w:sz w:val="24"/>
          <w:highlight w:val="none"/>
        </w:rPr>
        <w:t>https://www.ibm.com/cn-zh/</w:t>
      </w:r>
      <w:r>
        <w:rPr>
          <w:rStyle w:val="28"/>
          <w:rFonts w:hint="eastAsia" w:ascii="宋体"/>
          <w:color w:val="auto"/>
          <w:sz w:val="24"/>
          <w:highlight w:val="none"/>
        </w:rPr>
        <w:fldChar w:fldCharType="end"/>
      </w:r>
    </w:p>
    <w:p>
      <w:pPr>
        <w:rPr>
          <w:rFonts w:hint="eastAsia" w:ascii="宋体"/>
          <w:bCs/>
          <w:color w:val="auto"/>
          <w:sz w:val="24"/>
          <w:highlight w:val="none"/>
        </w:rPr>
      </w:pPr>
      <w:r>
        <w:rPr>
          <w:rFonts w:hint="eastAsia" w:ascii="宋体"/>
          <w:color w:val="auto"/>
          <w:sz w:val="24"/>
          <w:highlight w:val="none"/>
        </w:rPr>
        <w:t>IBM DeveloperWorks：</w:t>
      </w:r>
      <w:r>
        <w:rPr>
          <w:rFonts w:hint="eastAsia" w:ascii="宋体"/>
          <w:bCs/>
          <w:color w:val="auto"/>
          <w:sz w:val="24"/>
          <w:highlight w:val="none"/>
        </w:rPr>
        <w:t>查找开发人员所需的教程、工具和社区：</w:t>
      </w:r>
    </w:p>
    <w:p>
      <w:pPr>
        <w:rPr>
          <w:rFonts w:hint="eastAsia" w:ascii="宋体"/>
          <w:color w:val="auto"/>
          <w:sz w:val="24"/>
          <w:highlight w:val="none"/>
        </w:rPr>
      </w:pPr>
      <w:r>
        <w:rPr>
          <w:rStyle w:val="28"/>
          <w:rFonts w:hint="eastAsia" w:ascii="宋体"/>
          <w:color w:val="auto"/>
          <w:sz w:val="24"/>
          <w:highlight w:val="none"/>
        </w:rPr>
        <w:fldChar w:fldCharType="begin"/>
      </w:r>
      <w:r>
        <w:rPr>
          <w:color w:val="auto"/>
          <w:highlight w:val="none"/>
        </w:rPr>
        <w:instrText xml:space="preserve">HYPERLINK "https://developer.ibm.com/"</w:instrText>
      </w:r>
      <w:r>
        <w:rPr>
          <w:rStyle w:val="28"/>
          <w:rFonts w:hint="eastAsia" w:ascii="宋体"/>
          <w:color w:val="auto"/>
          <w:sz w:val="24"/>
          <w:highlight w:val="none"/>
        </w:rPr>
        <w:fldChar w:fldCharType="separate"/>
      </w:r>
      <w:r>
        <w:rPr>
          <w:rStyle w:val="28"/>
          <w:rFonts w:hint="eastAsia" w:ascii="宋体"/>
          <w:color w:val="auto"/>
          <w:sz w:val="24"/>
          <w:highlight w:val="none"/>
        </w:rPr>
        <w:t>https://developer.ibm.com/</w:t>
      </w:r>
      <w:r>
        <w:rPr>
          <w:rStyle w:val="28"/>
          <w:rFonts w:hint="eastAsia" w:ascii="宋体"/>
          <w:color w:val="auto"/>
          <w:sz w:val="24"/>
          <w:highlight w:val="none"/>
        </w:rPr>
        <w:fldChar w:fldCharType="end"/>
      </w:r>
    </w:p>
    <w:p>
      <w:pPr>
        <w:rPr>
          <w:rFonts w:hint="eastAsia" w:ascii="宋体"/>
          <w:b/>
          <w:bCs/>
          <w:color w:val="auto"/>
          <w:sz w:val="24"/>
          <w:highlight w:val="none"/>
        </w:rPr>
      </w:pPr>
    </w:p>
    <w:p>
      <w:pPr>
        <w:jc w:val="center"/>
        <w:rPr>
          <w:rFonts w:hint="eastAsia" w:ascii="宋体"/>
          <w:b/>
          <w:bCs/>
          <w:color w:val="auto"/>
          <w:sz w:val="24"/>
          <w:highlight w:val="none"/>
        </w:rPr>
      </w:pPr>
      <w:r>
        <w:rPr>
          <w:rFonts w:hint="eastAsia" w:ascii="宋体"/>
          <w:b/>
          <w:bCs/>
          <w:color w:val="auto"/>
          <w:sz w:val="24"/>
          <w:highlight w:val="none"/>
        </w:rPr>
        <w:t>IBM软件专业技术支持服务内容如有变化，恕不另行通知。</w:t>
      </w:r>
    </w:p>
    <w:p>
      <w:pPr>
        <w:jc w:val="center"/>
        <w:rPr>
          <w:rFonts w:hint="eastAsia" w:ascii="宋体"/>
          <w:b/>
          <w:bCs/>
          <w:color w:val="auto"/>
          <w:sz w:val="24"/>
          <w:highlight w:val="none"/>
        </w:rPr>
      </w:pPr>
      <w:r>
        <w:rPr>
          <w:rFonts w:hint="eastAsia" w:ascii="宋体"/>
          <w:b/>
          <w:bCs/>
          <w:color w:val="auto"/>
          <w:sz w:val="24"/>
          <w:highlight w:val="none"/>
        </w:rPr>
        <w:t>本手册最终解释权归国际商业机器中国有限公司所有，最新信息请登录IBM技术支持网查询。</w:t>
      </w:r>
    </w:p>
    <w:p>
      <w:pPr>
        <w:jc w:val="center"/>
        <w:rPr>
          <w:rFonts w:hint="eastAsia" w:ascii="宋体"/>
          <w:b/>
          <w:bCs/>
          <w:color w:val="auto"/>
          <w:sz w:val="24"/>
          <w:highlight w:val="none"/>
        </w:rPr>
      </w:pPr>
      <w:r>
        <w:rPr>
          <w:rFonts w:hint="eastAsia" w:ascii="宋体"/>
          <w:b/>
          <w:bCs/>
          <w:color w:val="auto"/>
          <w:sz w:val="24"/>
          <w:highlight w:val="none"/>
        </w:rPr>
        <w:t>网址：https://www-01.ibm.com/support/docview.wss?uid=ibm10870026</w:t>
      </w:r>
    </w:p>
    <w:p>
      <w:pPr>
        <w:spacing w:line="360" w:lineRule="auto"/>
        <w:rPr>
          <w:rFonts w:ascii="宋体"/>
          <w:b/>
          <w:color w:val="auto"/>
          <w:sz w:val="24"/>
          <w:highlight w:val="none"/>
        </w:rPr>
      </w:pPr>
    </w:p>
    <w:p>
      <w:pPr>
        <w:rPr>
          <w:rFonts w:ascii="宋体"/>
          <w:b/>
          <w:color w:val="auto"/>
          <w:sz w:val="24"/>
          <w:highlight w:val="none"/>
        </w:rPr>
      </w:pPr>
      <w:r>
        <w:rPr>
          <w:rFonts w:ascii="宋体"/>
          <w:b/>
          <w:color w:val="auto"/>
          <w:sz w:val="24"/>
          <w:highlight w:val="none"/>
        </w:rPr>
        <w:br w:type="page"/>
      </w:r>
    </w:p>
    <w:p>
      <w:pPr>
        <w:pStyle w:val="2"/>
        <w:rPr>
          <w:color w:val="auto"/>
          <w:highlight w:val="none"/>
        </w:rPr>
      </w:pPr>
    </w:p>
    <w:p>
      <w:pPr>
        <w:spacing w:line="360" w:lineRule="auto"/>
        <w:outlineLvl w:val="9"/>
        <w:rPr>
          <w:rFonts w:hint="eastAsia" w:ascii="宋体"/>
          <w:b/>
          <w:color w:val="auto"/>
          <w:sz w:val="24"/>
          <w:highlight w:val="none"/>
        </w:rPr>
      </w:pPr>
      <w:r>
        <w:rPr>
          <w:rFonts w:hint="eastAsia" w:ascii="宋体"/>
          <w:b/>
          <w:color w:val="auto"/>
          <w:sz w:val="24"/>
          <w:highlight w:val="none"/>
        </w:rPr>
        <w:t>附件二：</w:t>
      </w:r>
    </w:p>
    <w:p>
      <w:pPr>
        <w:jc w:val="center"/>
        <w:outlineLvl w:val="9"/>
        <w:rPr>
          <w:b/>
          <w:color w:val="auto"/>
          <w:sz w:val="32"/>
          <w:highlight w:val="none"/>
        </w:rPr>
      </w:pPr>
      <w:r>
        <w:rPr>
          <w:rFonts w:hint="eastAsia"/>
          <w:b/>
          <w:color w:val="auto"/>
          <w:sz w:val="32"/>
          <w:highlight w:val="none"/>
        </w:rPr>
        <w:t>服务</w:t>
      </w:r>
      <w:r>
        <w:rPr>
          <w:b/>
          <w:color w:val="auto"/>
          <w:sz w:val="32"/>
          <w:highlight w:val="none"/>
        </w:rPr>
        <w:t>水平协议</w:t>
      </w:r>
      <w:r>
        <w:rPr>
          <w:rFonts w:hint="eastAsia"/>
          <w:b/>
          <w:color w:val="auto"/>
          <w:sz w:val="32"/>
          <w:highlight w:val="none"/>
        </w:rPr>
        <w:t>（SLA）</w:t>
      </w:r>
    </w:p>
    <w:p>
      <w:pPr>
        <w:spacing w:line="360" w:lineRule="auto"/>
        <w:ind w:firstLine="480" w:firstLineChars="200"/>
        <w:rPr>
          <w:rFonts w:hint="eastAsia" w:ascii="宋体"/>
          <w:color w:val="auto"/>
          <w:sz w:val="24"/>
          <w:highlight w:val="none"/>
        </w:rPr>
      </w:pPr>
      <w:r>
        <w:rPr>
          <w:rFonts w:hint="eastAsia" w:ascii="宋体"/>
          <w:color w:val="auto"/>
          <w:sz w:val="24"/>
          <w:highlight w:val="none"/>
        </w:rPr>
        <w:t>本服务水平协议（SLA）的目标是为了清晰地定义由xxxxxx公司（乙方）在本项目中为重庆三峡银行（甲方）提供的服务水平，本服务水平协议（SLA）主要：</w:t>
      </w:r>
    </w:p>
    <w:p>
      <w:pPr>
        <w:spacing w:line="360" w:lineRule="auto"/>
        <w:ind w:firstLine="480" w:firstLineChars="200"/>
        <w:rPr>
          <w:rFonts w:hint="eastAsia" w:ascii="宋体"/>
          <w:color w:val="auto"/>
          <w:sz w:val="24"/>
          <w:highlight w:val="none"/>
        </w:rPr>
      </w:pPr>
      <w:r>
        <w:rPr>
          <w:rFonts w:hint="eastAsia" w:ascii="宋体"/>
          <w:color w:val="auto"/>
          <w:sz w:val="24"/>
          <w:highlight w:val="none"/>
        </w:rPr>
        <w:t>甲方将定期对乙方进行考评，乙方提供的服务必须满足以下服务水平和指标要求，否则按每项违约金标准收取相应金额违约金。违约金标准中违约金扣除合计金额按主合同违约责任约定限定，违约金金额以人民币计算，由甲方直接扣除合同款项，若款项为预支付，甲方有权追回扣除部分款项。</w:t>
      </w:r>
    </w:p>
    <w:p>
      <w:pPr>
        <w:spacing w:line="360" w:lineRule="auto"/>
        <w:ind w:firstLine="480" w:firstLineChars="200"/>
        <w:rPr>
          <w:rFonts w:hint="eastAsia" w:ascii="宋体"/>
          <w:color w:val="auto"/>
          <w:sz w:val="24"/>
          <w:highlight w:val="none"/>
        </w:rPr>
      </w:pPr>
      <w:r>
        <w:rPr>
          <w:rFonts w:hint="eastAsia" w:ascii="宋体"/>
          <w:color w:val="auto"/>
          <w:sz w:val="24"/>
          <w:highlight w:val="none"/>
        </w:rPr>
        <w:t>合同名称：                                         评价期间：</w:t>
      </w:r>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150"/>
        <w:gridCol w:w="1606"/>
        <w:gridCol w:w="1656"/>
        <w:gridCol w:w="3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16" w:type="dxa"/>
            <w:vAlign w:val="center"/>
          </w:tcPr>
          <w:p>
            <w:pPr>
              <w:widowControl/>
              <w:jc w:val="center"/>
              <w:rPr>
                <w:rFonts w:ascii="宋体" w:cs="宋体"/>
                <w:b/>
                <w:bCs/>
                <w:color w:val="auto"/>
                <w:kern w:val="0"/>
                <w:szCs w:val="21"/>
                <w:highlight w:val="none"/>
              </w:rPr>
            </w:pPr>
            <w:r>
              <w:rPr>
                <w:rFonts w:hint="eastAsia" w:ascii="宋体" w:cs="宋体"/>
                <w:b/>
                <w:bCs/>
                <w:color w:val="auto"/>
                <w:kern w:val="0"/>
                <w:szCs w:val="21"/>
                <w:highlight w:val="none"/>
              </w:rPr>
              <w:t>序号</w:t>
            </w:r>
          </w:p>
        </w:tc>
        <w:tc>
          <w:tcPr>
            <w:tcW w:w="1150" w:type="dxa"/>
            <w:vAlign w:val="center"/>
          </w:tcPr>
          <w:p>
            <w:pPr>
              <w:widowControl/>
              <w:jc w:val="center"/>
              <w:rPr>
                <w:rFonts w:ascii="宋体" w:cs="宋体"/>
                <w:b/>
                <w:bCs/>
                <w:color w:val="auto"/>
                <w:kern w:val="0"/>
                <w:szCs w:val="21"/>
                <w:highlight w:val="none"/>
              </w:rPr>
            </w:pPr>
            <w:r>
              <w:rPr>
                <w:rFonts w:hint="eastAsia" w:ascii="宋体" w:cs="宋体"/>
                <w:b/>
                <w:bCs/>
                <w:color w:val="auto"/>
                <w:kern w:val="0"/>
                <w:szCs w:val="21"/>
                <w:highlight w:val="none"/>
              </w:rPr>
              <w:t>服务内容</w:t>
            </w:r>
          </w:p>
        </w:tc>
        <w:tc>
          <w:tcPr>
            <w:tcW w:w="1606" w:type="dxa"/>
            <w:vAlign w:val="center"/>
          </w:tcPr>
          <w:p>
            <w:pPr>
              <w:widowControl/>
              <w:jc w:val="center"/>
              <w:rPr>
                <w:rFonts w:ascii="宋体" w:cs="宋体"/>
                <w:b/>
                <w:bCs/>
                <w:color w:val="auto"/>
                <w:kern w:val="0"/>
                <w:szCs w:val="21"/>
                <w:highlight w:val="none"/>
              </w:rPr>
            </w:pPr>
            <w:r>
              <w:rPr>
                <w:rFonts w:hint="eastAsia" w:ascii="宋体" w:cs="宋体"/>
                <w:b/>
                <w:bCs/>
                <w:color w:val="auto"/>
                <w:kern w:val="0"/>
                <w:szCs w:val="21"/>
                <w:highlight w:val="none"/>
              </w:rPr>
              <w:t>内容描述</w:t>
            </w:r>
          </w:p>
        </w:tc>
        <w:tc>
          <w:tcPr>
            <w:tcW w:w="1656" w:type="dxa"/>
            <w:vAlign w:val="center"/>
          </w:tcPr>
          <w:p>
            <w:pPr>
              <w:widowControl/>
              <w:jc w:val="center"/>
              <w:rPr>
                <w:rFonts w:ascii="宋体" w:cs="宋体"/>
                <w:b/>
                <w:bCs/>
                <w:color w:val="auto"/>
                <w:kern w:val="0"/>
                <w:szCs w:val="21"/>
                <w:highlight w:val="none"/>
              </w:rPr>
            </w:pPr>
            <w:r>
              <w:rPr>
                <w:rFonts w:hint="eastAsia" w:ascii="宋体" w:cs="宋体"/>
                <w:b/>
                <w:bCs/>
                <w:color w:val="auto"/>
                <w:kern w:val="0"/>
                <w:szCs w:val="21"/>
                <w:highlight w:val="none"/>
              </w:rPr>
              <w:t>质量要求及指标</w:t>
            </w:r>
          </w:p>
        </w:tc>
        <w:tc>
          <w:tcPr>
            <w:tcW w:w="3594" w:type="dxa"/>
            <w:vAlign w:val="center"/>
          </w:tcPr>
          <w:p>
            <w:pPr>
              <w:widowControl/>
              <w:jc w:val="center"/>
              <w:rPr>
                <w:rFonts w:ascii="宋体" w:cs="宋体"/>
                <w:b/>
                <w:bCs/>
                <w:color w:val="auto"/>
                <w:kern w:val="0"/>
                <w:szCs w:val="21"/>
                <w:highlight w:val="none"/>
              </w:rPr>
            </w:pPr>
            <w:r>
              <w:rPr>
                <w:rFonts w:hint="eastAsia" w:ascii="宋体" w:cs="宋体"/>
                <w:b/>
                <w:bCs/>
                <w:color w:val="auto"/>
                <w:kern w:val="0"/>
                <w:szCs w:val="21"/>
                <w:highlight w:val="none"/>
              </w:rPr>
              <w:t>违约金标准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516" w:type="dxa"/>
            <w:vAlign w:val="center"/>
          </w:tcPr>
          <w:p>
            <w:pPr>
              <w:widowControl/>
              <w:jc w:val="center"/>
              <w:rPr>
                <w:rFonts w:ascii="宋体" w:cs="宋体"/>
                <w:color w:val="auto"/>
                <w:kern w:val="0"/>
                <w:szCs w:val="21"/>
                <w:highlight w:val="none"/>
              </w:rPr>
            </w:pPr>
            <w:r>
              <w:rPr>
                <w:rFonts w:hint="eastAsia" w:ascii="宋体" w:cs="宋体"/>
                <w:color w:val="auto"/>
                <w:kern w:val="0"/>
                <w:szCs w:val="21"/>
                <w:highlight w:val="none"/>
              </w:rPr>
              <w:t>1</w:t>
            </w:r>
          </w:p>
        </w:tc>
        <w:tc>
          <w:tcPr>
            <w:tcW w:w="1150" w:type="dxa"/>
            <w:vAlign w:val="center"/>
          </w:tcPr>
          <w:p>
            <w:pPr>
              <w:widowControl/>
              <w:jc w:val="center"/>
              <w:rPr>
                <w:rFonts w:ascii="宋体" w:cs="宋体"/>
                <w:color w:val="auto"/>
                <w:kern w:val="0"/>
                <w:sz w:val="24"/>
                <w:szCs w:val="24"/>
                <w:highlight w:val="none"/>
              </w:rPr>
            </w:pPr>
            <w:r>
              <w:rPr>
                <w:rFonts w:hint="eastAsia" w:ascii="宋体" w:cs="宋体"/>
                <w:color w:val="auto"/>
                <w:kern w:val="0"/>
                <w:sz w:val="24"/>
                <w:szCs w:val="24"/>
                <w:highlight w:val="none"/>
              </w:rPr>
              <w:t>原厂维保服务生效证明文件</w:t>
            </w:r>
          </w:p>
        </w:tc>
        <w:tc>
          <w:tcPr>
            <w:tcW w:w="1606" w:type="dxa"/>
            <w:vAlign w:val="center"/>
          </w:tcPr>
          <w:p>
            <w:pPr>
              <w:widowControl/>
              <w:rPr>
                <w:rFonts w:ascii="宋体" w:cs="宋体"/>
                <w:color w:val="auto"/>
                <w:kern w:val="0"/>
                <w:sz w:val="24"/>
                <w:szCs w:val="24"/>
                <w:highlight w:val="none"/>
              </w:rPr>
            </w:pPr>
            <w:r>
              <w:rPr>
                <w:rFonts w:hint="eastAsia" w:ascii="宋体" w:cs="宋体"/>
                <w:color w:val="auto"/>
                <w:kern w:val="0"/>
                <w:sz w:val="24"/>
                <w:szCs w:val="24"/>
                <w:highlight w:val="none"/>
              </w:rPr>
              <w:t>在合同签订后提供原厂维保服务生效证明文件。</w:t>
            </w:r>
          </w:p>
        </w:tc>
        <w:tc>
          <w:tcPr>
            <w:tcW w:w="1656" w:type="dxa"/>
            <w:vAlign w:val="center"/>
          </w:tcPr>
          <w:p>
            <w:pPr>
              <w:widowControl/>
              <w:rPr>
                <w:rFonts w:ascii="宋体" w:cs="宋体"/>
                <w:color w:val="auto"/>
                <w:kern w:val="0"/>
                <w:sz w:val="24"/>
                <w:szCs w:val="24"/>
                <w:highlight w:val="none"/>
              </w:rPr>
            </w:pPr>
            <w:r>
              <w:rPr>
                <w:rFonts w:hint="eastAsia" w:ascii="宋体" w:cs="宋体"/>
                <w:color w:val="auto"/>
                <w:kern w:val="0"/>
                <w:sz w:val="24"/>
                <w:szCs w:val="24"/>
                <w:highlight w:val="none"/>
              </w:rPr>
              <w:t>提供原厂维保服务生效证明文件。</w:t>
            </w:r>
          </w:p>
        </w:tc>
        <w:tc>
          <w:tcPr>
            <w:tcW w:w="3594" w:type="dxa"/>
            <w:vAlign w:val="center"/>
          </w:tcPr>
          <w:p>
            <w:pPr>
              <w:widowControl/>
              <w:rPr>
                <w:rFonts w:ascii="宋体" w:cs="宋体"/>
                <w:color w:val="auto"/>
                <w:kern w:val="0"/>
                <w:sz w:val="24"/>
                <w:szCs w:val="24"/>
                <w:highlight w:val="none"/>
              </w:rPr>
            </w:pPr>
            <w:r>
              <w:rPr>
                <w:rFonts w:hint="eastAsia" w:ascii="宋体" w:cs="宋体"/>
                <w:color w:val="auto"/>
                <w:kern w:val="0"/>
                <w:sz w:val="24"/>
                <w:szCs w:val="24"/>
                <w:highlight w:val="none"/>
              </w:rPr>
              <w:t>若未能提供原厂维保服务生效证明文件，将扣除年维保服务费用的100%。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516" w:type="dxa"/>
            <w:vAlign w:val="center"/>
          </w:tcPr>
          <w:p>
            <w:pPr>
              <w:widowControl/>
              <w:jc w:val="center"/>
              <w:rPr>
                <w:rFonts w:ascii="宋体" w:cs="宋体"/>
                <w:color w:val="auto"/>
                <w:kern w:val="0"/>
                <w:szCs w:val="21"/>
                <w:highlight w:val="none"/>
              </w:rPr>
            </w:pPr>
            <w:r>
              <w:rPr>
                <w:rFonts w:hint="eastAsia" w:ascii="宋体" w:cs="宋体"/>
                <w:color w:val="auto"/>
                <w:kern w:val="0"/>
                <w:szCs w:val="21"/>
                <w:highlight w:val="none"/>
              </w:rPr>
              <w:t>2</w:t>
            </w:r>
          </w:p>
        </w:tc>
        <w:tc>
          <w:tcPr>
            <w:tcW w:w="1150" w:type="dxa"/>
            <w:vAlign w:val="center"/>
          </w:tcPr>
          <w:p>
            <w:pPr>
              <w:widowControl/>
              <w:jc w:val="center"/>
              <w:rPr>
                <w:rFonts w:ascii="宋体" w:cs="宋体"/>
                <w:color w:val="auto"/>
                <w:kern w:val="0"/>
                <w:sz w:val="24"/>
                <w:szCs w:val="24"/>
                <w:highlight w:val="none"/>
              </w:rPr>
            </w:pPr>
            <w:r>
              <w:rPr>
                <w:rFonts w:hint="eastAsia" w:ascii="宋体" w:cs="宋体"/>
                <w:color w:val="auto"/>
                <w:kern w:val="0"/>
                <w:sz w:val="24"/>
                <w:szCs w:val="24"/>
                <w:highlight w:val="none"/>
              </w:rPr>
              <w:t>最终用户</w:t>
            </w:r>
          </w:p>
        </w:tc>
        <w:tc>
          <w:tcPr>
            <w:tcW w:w="1606" w:type="dxa"/>
            <w:vAlign w:val="center"/>
          </w:tcPr>
          <w:p>
            <w:pPr>
              <w:widowControl/>
              <w:rPr>
                <w:rFonts w:ascii="宋体" w:cs="宋体"/>
                <w:color w:val="auto"/>
                <w:kern w:val="0"/>
                <w:sz w:val="24"/>
                <w:szCs w:val="24"/>
                <w:highlight w:val="none"/>
              </w:rPr>
            </w:pPr>
            <w:r>
              <w:rPr>
                <w:rFonts w:hint="eastAsia" w:ascii="宋体" w:cs="宋体"/>
                <w:color w:val="auto"/>
                <w:kern w:val="0"/>
                <w:sz w:val="24"/>
                <w:szCs w:val="24"/>
                <w:highlight w:val="none"/>
              </w:rPr>
              <w:t>提供的原厂维保服务生效证明文件的最终用户为甲方。</w:t>
            </w:r>
          </w:p>
        </w:tc>
        <w:tc>
          <w:tcPr>
            <w:tcW w:w="1656" w:type="dxa"/>
            <w:vAlign w:val="center"/>
          </w:tcPr>
          <w:p>
            <w:pPr>
              <w:widowControl/>
              <w:rPr>
                <w:rFonts w:ascii="宋体" w:cs="宋体"/>
                <w:color w:val="auto"/>
                <w:kern w:val="0"/>
                <w:sz w:val="24"/>
                <w:szCs w:val="24"/>
                <w:highlight w:val="none"/>
              </w:rPr>
            </w:pPr>
            <w:r>
              <w:rPr>
                <w:rFonts w:hint="eastAsia" w:ascii="宋体" w:cs="宋体"/>
                <w:color w:val="auto"/>
                <w:kern w:val="0"/>
                <w:sz w:val="24"/>
                <w:szCs w:val="24"/>
                <w:highlight w:val="none"/>
              </w:rPr>
              <w:t>原厂维保服务生效证明文件的最终用户为甲方。</w:t>
            </w:r>
          </w:p>
        </w:tc>
        <w:tc>
          <w:tcPr>
            <w:tcW w:w="3594" w:type="dxa"/>
            <w:vAlign w:val="center"/>
          </w:tcPr>
          <w:p>
            <w:pPr>
              <w:widowControl/>
              <w:rPr>
                <w:rFonts w:ascii="宋体" w:cs="宋体"/>
                <w:color w:val="auto"/>
                <w:kern w:val="0"/>
                <w:sz w:val="24"/>
                <w:szCs w:val="24"/>
                <w:highlight w:val="none"/>
              </w:rPr>
            </w:pPr>
            <w:r>
              <w:rPr>
                <w:rFonts w:hint="eastAsia" w:ascii="宋体" w:cs="宋体"/>
                <w:color w:val="auto"/>
                <w:kern w:val="0"/>
                <w:sz w:val="24"/>
                <w:szCs w:val="24"/>
                <w:highlight w:val="none"/>
              </w:rPr>
              <w:t>若原厂维保服务生效证明文件的最终用户不为甲方，将扣除年维保服务费用的100%。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516" w:type="dxa"/>
            <w:vAlign w:val="center"/>
          </w:tcPr>
          <w:p>
            <w:pPr>
              <w:widowControl/>
              <w:jc w:val="center"/>
              <w:rPr>
                <w:rFonts w:ascii="宋体" w:cs="宋体"/>
                <w:color w:val="auto"/>
                <w:kern w:val="0"/>
                <w:szCs w:val="21"/>
                <w:highlight w:val="none"/>
              </w:rPr>
            </w:pPr>
            <w:r>
              <w:rPr>
                <w:rFonts w:hint="eastAsia" w:ascii="宋体" w:cs="宋体"/>
                <w:color w:val="auto"/>
                <w:kern w:val="0"/>
                <w:szCs w:val="21"/>
                <w:highlight w:val="none"/>
              </w:rPr>
              <w:t>3</w:t>
            </w:r>
          </w:p>
        </w:tc>
        <w:tc>
          <w:tcPr>
            <w:tcW w:w="1150" w:type="dxa"/>
            <w:vAlign w:val="center"/>
          </w:tcPr>
          <w:p>
            <w:pPr>
              <w:widowControl/>
              <w:jc w:val="center"/>
              <w:rPr>
                <w:rFonts w:ascii="宋体" w:cs="宋体"/>
                <w:color w:val="auto"/>
                <w:kern w:val="0"/>
                <w:sz w:val="24"/>
                <w:szCs w:val="24"/>
                <w:highlight w:val="none"/>
              </w:rPr>
            </w:pPr>
            <w:r>
              <w:rPr>
                <w:rFonts w:hint="eastAsia" w:ascii="宋体" w:cs="宋体"/>
                <w:color w:val="auto"/>
                <w:kern w:val="0"/>
                <w:sz w:val="24"/>
                <w:szCs w:val="24"/>
                <w:highlight w:val="none"/>
              </w:rPr>
              <w:t>维保服务时间</w:t>
            </w:r>
          </w:p>
        </w:tc>
        <w:tc>
          <w:tcPr>
            <w:tcW w:w="1606" w:type="dxa"/>
            <w:vAlign w:val="center"/>
          </w:tcPr>
          <w:p>
            <w:pPr>
              <w:widowControl/>
              <w:rPr>
                <w:rFonts w:ascii="宋体" w:cs="宋体"/>
                <w:color w:val="auto"/>
                <w:kern w:val="0"/>
                <w:sz w:val="24"/>
                <w:szCs w:val="24"/>
                <w:highlight w:val="none"/>
              </w:rPr>
            </w:pPr>
            <w:r>
              <w:rPr>
                <w:rFonts w:hint="eastAsia" w:ascii="宋体" w:cs="宋体"/>
                <w:color w:val="auto"/>
                <w:kern w:val="0"/>
                <w:sz w:val="24"/>
                <w:szCs w:val="24"/>
                <w:highlight w:val="none"/>
              </w:rPr>
              <w:t>提供的原厂维保服务生效证明文件的维保服务时间应与合同约定的维保服务时间一致。</w:t>
            </w:r>
          </w:p>
        </w:tc>
        <w:tc>
          <w:tcPr>
            <w:tcW w:w="1656" w:type="dxa"/>
            <w:vAlign w:val="center"/>
          </w:tcPr>
          <w:p>
            <w:pPr>
              <w:widowControl/>
              <w:rPr>
                <w:rFonts w:ascii="宋体" w:cs="宋体"/>
                <w:color w:val="auto"/>
                <w:kern w:val="0"/>
                <w:sz w:val="24"/>
                <w:szCs w:val="24"/>
                <w:highlight w:val="none"/>
              </w:rPr>
            </w:pPr>
            <w:r>
              <w:rPr>
                <w:rFonts w:hint="eastAsia" w:ascii="宋体" w:cs="宋体"/>
                <w:color w:val="auto"/>
                <w:kern w:val="0"/>
                <w:sz w:val="24"/>
                <w:szCs w:val="24"/>
                <w:highlight w:val="none"/>
              </w:rPr>
              <w:t>原厂维保服务生效证明文件的维保服务时间应与合同约定的维保服务时间一致。</w:t>
            </w:r>
          </w:p>
        </w:tc>
        <w:tc>
          <w:tcPr>
            <w:tcW w:w="3594" w:type="dxa"/>
            <w:vAlign w:val="center"/>
          </w:tcPr>
          <w:p>
            <w:pPr>
              <w:widowControl/>
              <w:rPr>
                <w:rFonts w:ascii="宋体" w:cs="宋体"/>
                <w:color w:val="auto"/>
                <w:kern w:val="0"/>
                <w:sz w:val="24"/>
                <w:szCs w:val="24"/>
                <w:highlight w:val="none"/>
              </w:rPr>
            </w:pPr>
            <w:r>
              <w:rPr>
                <w:rFonts w:hint="eastAsia" w:ascii="宋体" w:cs="宋体"/>
                <w:color w:val="auto"/>
                <w:kern w:val="0"/>
                <w:sz w:val="24"/>
                <w:szCs w:val="24"/>
                <w:highlight w:val="none"/>
              </w:rPr>
              <w:t>若原厂维保服务生效证明文件的维保服务时间与合同约定的维保服务时间不一致，根据差异的天数/合同约定的维保服务天数=偏差率，扣除年维保服务费用*偏差率。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516" w:type="dxa"/>
            <w:vAlign w:val="center"/>
          </w:tcPr>
          <w:p>
            <w:pPr>
              <w:widowControl/>
              <w:jc w:val="center"/>
              <w:rPr>
                <w:rFonts w:hint="eastAsia" w:ascii="宋体" w:eastAsia="宋体" w:cs="宋体"/>
                <w:color w:val="auto"/>
                <w:kern w:val="0"/>
                <w:szCs w:val="21"/>
                <w:highlight w:val="none"/>
                <w:lang w:eastAsia="zh-CN"/>
              </w:rPr>
            </w:pPr>
            <w:r>
              <w:rPr>
                <w:rFonts w:hint="eastAsia" w:ascii="宋体" w:cs="宋体"/>
                <w:color w:val="auto"/>
                <w:kern w:val="0"/>
                <w:szCs w:val="21"/>
                <w:highlight w:val="none"/>
                <w:lang w:val="en-US" w:eastAsia="zh-CN"/>
              </w:rPr>
              <w:t>4</w:t>
            </w:r>
          </w:p>
        </w:tc>
        <w:tc>
          <w:tcPr>
            <w:tcW w:w="1150" w:type="dxa"/>
            <w:vAlign w:val="center"/>
          </w:tcPr>
          <w:p>
            <w:pPr>
              <w:widowControl/>
              <w:jc w:val="center"/>
              <w:rPr>
                <w:rFonts w:ascii="宋体" w:cs="宋体"/>
                <w:color w:val="auto"/>
                <w:kern w:val="0"/>
                <w:sz w:val="24"/>
                <w:szCs w:val="24"/>
                <w:highlight w:val="none"/>
              </w:rPr>
            </w:pPr>
            <w:r>
              <w:rPr>
                <w:rFonts w:hint="eastAsia" w:ascii="宋体" w:cs="宋体"/>
                <w:color w:val="auto"/>
                <w:kern w:val="0"/>
                <w:sz w:val="24"/>
                <w:szCs w:val="24"/>
                <w:highlight w:val="none"/>
              </w:rPr>
              <w:t>故障解决率</w:t>
            </w:r>
          </w:p>
        </w:tc>
        <w:tc>
          <w:tcPr>
            <w:tcW w:w="1606" w:type="dxa"/>
            <w:vAlign w:val="center"/>
          </w:tcPr>
          <w:p>
            <w:pPr>
              <w:widowControl/>
              <w:rPr>
                <w:rFonts w:ascii="宋体" w:cs="宋体"/>
                <w:color w:val="auto"/>
                <w:kern w:val="0"/>
                <w:sz w:val="24"/>
                <w:szCs w:val="24"/>
                <w:highlight w:val="none"/>
              </w:rPr>
            </w:pPr>
            <w:r>
              <w:rPr>
                <w:rFonts w:hint="eastAsia" w:ascii="宋体" w:cs="宋体"/>
                <w:color w:val="auto"/>
                <w:kern w:val="0"/>
                <w:sz w:val="24"/>
                <w:szCs w:val="24"/>
                <w:highlight w:val="none"/>
              </w:rPr>
              <w:t>能够积极解决出现的故障，给予有效的解决办法和预防措施</w:t>
            </w:r>
          </w:p>
        </w:tc>
        <w:tc>
          <w:tcPr>
            <w:tcW w:w="1656" w:type="dxa"/>
            <w:vAlign w:val="center"/>
          </w:tcPr>
          <w:p>
            <w:pPr>
              <w:widowControl/>
              <w:rPr>
                <w:rFonts w:ascii="宋体" w:cs="宋体"/>
                <w:color w:val="auto"/>
                <w:kern w:val="0"/>
                <w:sz w:val="24"/>
                <w:szCs w:val="24"/>
                <w:highlight w:val="none"/>
              </w:rPr>
            </w:pPr>
            <w:r>
              <w:rPr>
                <w:rFonts w:hint="eastAsia" w:ascii="宋体" w:cs="宋体"/>
                <w:color w:val="auto"/>
                <w:kern w:val="0"/>
                <w:sz w:val="24"/>
                <w:szCs w:val="24"/>
                <w:highlight w:val="none"/>
              </w:rPr>
              <w:t>故障解决率=100%</w:t>
            </w:r>
          </w:p>
        </w:tc>
        <w:tc>
          <w:tcPr>
            <w:tcW w:w="3594" w:type="dxa"/>
            <w:vAlign w:val="center"/>
          </w:tcPr>
          <w:p>
            <w:pPr>
              <w:widowControl/>
              <w:rPr>
                <w:rFonts w:ascii="宋体" w:cs="宋体"/>
                <w:color w:val="auto"/>
                <w:kern w:val="0"/>
                <w:sz w:val="24"/>
                <w:szCs w:val="24"/>
                <w:highlight w:val="none"/>
              </w:rPr>
            </w:pPr>
            <w:r>
              <w:rPr>
                <w:rFonts w:hint="eastAsia" w:ascii="宋体" w:cs="宋体"/>
                <w:color w:val="auto"/>
                <w:kern w:val="0"/>
                <w:sz w:val="24"/>
                <w:szCs w:val="24"/>
                <w:highlight w:val="none"/>
              </w:rPr>
              <w:t>出现故障未能及时给予有效解决办法和预防措施的，一次扣除年维保服务费用的2%。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516" w:type="dxa"/>
            <w:vAlign w:val="center"/>
          </w:tcPr>
          <w:p>
            <w:pPr>
              <w:widowControl/>
              <w:jc w:val="center"/>
              <w:rPr>
                <w:rFonts w:hint="eastAsia" w:ascii="宋体" w:eastAsia="宋体" w:cs="宋体"/>
                <w:color w:val="auto"/>
                <w:kern w:val="0"/>
                <w:szCs w:val="21"/>
                <w:highlight w:val="none"/>
                <w:lang w:eastAsia="zh-CN"/>
              </w:rPr>
            </w:pPr>
            <w:r>
              <w:rPr>
                <w:rFonts w:hint="eastAsia" w:ascii="宋体" w:cs="宋体"/>
                <w:color w:val="auto"/>
                <w:kern w:val="0"/>
                <w:szCs w:val="21"/>
                <w:highlight w:val="none"/>
                <w:lang w:val="en-US" w:eastAsia="zh-CN"/>
              </w:rPr>
              <w:t>5</w:t>
            </w:r>
          </w:p>
        </w:tc>
        <w:tc>
          <w:tcPr>
            <w:tcW w:w="1150" w:type="dxa"/>
            <w:vAlign w:val="center"/>
          </w:tcPr>
          <w:p>
            <w:pPr>
              <w:widowControl/>
              <w:jc w:val="center"/>
              <w:rPr>
                <w:rFonts w:ascii="宋体" w:cs="宋体"/>
                <w:color w:val="auto"/>
                <w:kern w:val="0"/>
                <w:sz w:val="24"/>
                <w:szCs w:val="24"/>
                <w:highlight w:val="none"/>
              </w:rPr>
            </w:pPr>
            <w:r>
              <w:rPr>
                <w:rFonts w:hint="eastAsia" w:ascii="宋体" w:cs="宋体"/>
                <w:color w:val="auto"/>
                <w:kern w:val="0"/>
                <w:sz w:val="24"/>
                <w:szCs w:val="24"/>
                <w:highlight w:val="none"/>
              </w:rPr>
              <w:t>响应时间保证</w:t>
            </w:r>
          </w:p>
        </w:tc>
        <w:tc>
          <w:tcPr>
            <w:tcW w:w="1606" w:type="dxa"/>
            <w:vAlign w:val="center"/>
          </w:tcPr>
          <w:p>
            <w:pPr>
              <w:widowControl/>
              <w:rPr>
                <w:rFonts w:ascii="宋体" w:cs="宋体"/>
                <w:color w:val="auto"/>
                <w:kern w:val="0"/>
                <w:sz w:val="24"/>
                <w:szCs w:val="24"/>
                <w:highlight w:val="none"/>
              </w:rPr>
            </w:pPr>
            <w:r>
              <w:rPr>
                <w:rFonts w:hint="eastAsia" w:ascii="宋体" w:cs="宋体"/>
                <w:color w:val="auto"/>
                <w:kern w:val="0"/>
                <w:sz w:val="24"/>
                <w:szCs w:val="24"/>
                <w:highlight w:val="none"/>
              </w:rPr>
              <w:t>提供7×24小时的电话服务和故障现场救援；其中电话响应不超过10分钟，现场响应不超过24小时</w:t>
            </w:r>
          </w:p>
        </w:tc>
        <w:tc>
          <w:tcPr>
            <w:tcW w:w="1656" w:type="dxa"/>
            <w:vAlign w:val="center"/>
          </w:tcPr>
          <w:p>
            <w:pPr>
              <w:widowControl/>
              <w:jc w:val="left"/>
              <w:rPr>
                <w:rFonts w:ascii="宋体" w:cs="宋体"/>
                <w:color w:val="auto"/>
                <w:kern w:val="0"/>
                <w:sz w:val="24"/>
                <w:szCs w:val="24"/>
                <w:highlight w:val="none"/>
              </w:rPr>
            </w:pPr>
            <w:r>
              <w:rPr>
                <w:rFonts w:hint="eastAsia" w:ascii="宋体" w:cs="宋体"/>
                <w:color w:val="auto"/>
                <w:kern w:val="0"/>
                <w:sz w:val="24"/>
                <w:szCs w:val="24"/>
                <w:highlight w:val="none"/>
              </w:rPr>
              <w:t>不得违反承诺响应时间。</w:t>
            </w:r>
            <w:r>
              <w:rPr>
                <w:rFonts w:hint="eastAsia" w:ascii="宋体" w:cs="宋体"/>
                <w:color w:val="auto"/>
                <w:kern w:val="0"/>
                <w:sz w:val="24"/>
                <w:szCs w:val="24"/>
                <w:highlight w:val="none"/>
              </w:rPr>
              <w:br w:type="textWrapping"/>
            </w:r>
          </w:p>
        </w:tc>
        <w:tc>
          <w:tcPr>
            <w:tcW w:w="3594" w:type="dxa"/>
            <w:vAlign w:val="center"/>
          </w:tcPr>
          <w:p>
            <w:pPr>
              <w:widowControl/>
              <w:rPr>
                <w:rFonts w:ascii="宋体" w:cs="宋体"/>
                <w:color w:val="auto"/>
                <w:kern w:val="0"/>
                <w:sz w:val="24"/>
                <w:szCs w:val="24"/>
                <w:highlight w:val="none"/>
              </w:rPr>
            </w:pPr>
            <w:r>
              <w:rPr>
                <w:rFonts w:hint="eastAsia" w:ascii="宋体" w:cs="宋体"/>
                <w:color w:val="auto"/>
                <w:kern w:val="0"/>
                <w:sz w:val="24"/>
                <w:szCs w:val="24"/>
                <w:highlight w:val="none"/>
              </w:rPr>
              <w:t>如违反承诺的响应时间要求，每次扣除100元违约金;若因严重违反响应时间导致事件升级，一次扣除年维保服务费用的2%。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516" w:type="dxa"/>
            <w:vAlign w:val="center"/>
          </w:tcPr>
          <w:p>
            <w:pPr>
              <w:widowControl/>
              <w:jc w:val="center"/>
              <w:rPr>
                <w:rFonts w:hint="eastAsia" w:ascii="宋体" w:eastAsia="宋体" w:cs="宋体"/>
                <w:color w:val="auto"/>
                <w:kern w:val="0"/>
                <w:szCs w:val="21"/>
                <w:highlight w:val="none"/>
                <w:lang w:eastAsia="zh-CN"/>
              </w:rPr>
            </w:pPr>
            <w:r>
              <w:rPr>
                <w:rFonts w:hint="eastAsia" w:ascii="宋体" w:cs="宋体"/>
                <w:color w:val="auto"/>
                <w:kern w:val="0"/>
                <w:szCs w:val="21"/>
                <w:highlight w:val="none"/>
                <w:lang w:val="en-US" w:eastAsia="zh-CN"/>
              </w:rPr>
              <w:t>6</w:t>
            </w:r>
          </w:p>
        </w:tc>
        <w:tc>
          <w:tcPr>
            <w:tcW w:w="1150" w:type="dxa"/>
            <w:vAlign w:val="center"/>
          </w:tcPr>
          <w:p>
            <w:pPr>
              <w:widowControl/>
              <w:jc w:val="center"/>
              <w:rPr>
                <w:rFonts w:ascii="宋体" w:cs="宋体"/>
                <w:color w:val="auto"/>
                <w:kern w:val="0"/>
                <w:sz w:val="24"/>
                <w:szCs w:val="24"/>
                <w:highlight w:val="none"/>
              </w:rPr>
            </w:pPr>
            <w:r>
              <w:rPr>
                <w:rFonts w:hint="eastAsia" w:ascii="宋体" w:cs="宋体"/>
                <w:color w:val="auto"/>
                <w:kern w:val="0"/>
                <w:sz w:val="24"/>
                <w:szCs w:val="24"/>
                <w:highlight w:val="none"/>
              </w:rPr>
              <w:t>客户满意度</w:t>
            </w:r>
          </w:p>
        </w:tc>
        <w:tc>
          <w:tcPr>
            <w:tcW w:w="1606" w:type="dxa"/>
            <w:vAlign w:val="center"/>
          </w:tcPr>
          <w:p>
            <w:pPr>
              <w:widowControl/>
              <w:rPr>
                <w:rFonts w:ascii="宋体" w:cs="宋体"/>
                <w:color w:val="auto"/>
                <w:kern w:val="0"/>
                <w:sz w:val="24"/>
                <w:szCs w:val="24"/>
                <w:highlight w:val="none"/>
              </w:rPr>
            </w:pPr>
            <w:r>
              <w:rPr>
                <w:rFonts w:hint="eastAsia" w:ascii="宋体" w:cs="宋体"/>
                <w:color w:val="auto"/>
                <w:kern w:val="0"/>
                <w:sz w:val="24"/>
                <w:szCs w:val="24"/>
                <w:highlight w:val="none"/>
              </w:rPr>
              <w:t>衡量甲方内部人员对乙方所提供服务的满意情况</w:t>
            </w:r>
          </w:p>
        </w:tc>
        <w:tc>
          <w:tcPr>
            <w:tcW w:w="1656" w:type="dxa"/>
            <w:vAlign w:val="center"/>
          </w:tcPr>
          <w:p>
            <w:pPr>
              <w:widowControl/>
              <w:rPr>
                <w:rFonts w:ascii="宋体" w:cs="宋体"/>
                <w:color w:val="auto"/>
                <w:kern w:val="0"/>
                <w:sz w:val="24"/>
                <w:szCs w:val="24"/>
                <w:highlight w:val="none"/>
              </w:rPr>
            </w:pPr>
            <w:r>
              <w:rPr>
                <w:rFonts w:hint="eastAsia" w:ascii="宋体" w:cs="宋体"/>
                <w:color w:val="auto"/>
                <w:kern w:val="0"/>
                <w:sz w:val="24"/>
                <w:szCs w:val="24"/>
                <w:highlight w:val="none"/>
              </w:rPr>
              <w:t>客户满意度级别为：1级（非常不满意）；2级（不满意）；3级（一般满意）；4级（满意）；5级（非常满意）（服务满意度不低于3级）</w:t>
            </w:r>
          </w:p>
        </w:tc>
        <w:tc>
          <w:tcPr>
            <w:tcW w:w="3594" w:type="dxa"/>
            <w:vAlign w:val="center"/>
          </w:tcPr>
          <w:p>
            <w:pPr>
              <w:widowControl/>
              <w:rPr>
                <w:rFonts w:ascii="宋体" w:cs="宋体"/>
                <w:color w:val="auto"/>
                <w:kern w:val="0"/>
                <w:sz w:val="24"/>
                <w:szCs w:val="24"/>
                <w:highlight w:val="none"/>
              </w:rPr>
            </w:pPr>
          </w:p>
        </w:tc>
      </w:tr>
    </w:tbl>
    <w:p>
      <w:pPr>
        <w:spacing w:line="360" w:lineRule="auto"/>
        <w:rPr>
          <w:rFonts w:hint="eastAsia" w:ascii="宋体"/>
          <w:b/>
          <w:color w:val="auto"/>
          <w:sz w:val="24"/>
          <w:highlight w:val="none"/>
        </w:rPr>
      </w:pPr>
    </w:p>
    <w:p>
      <w:pPr>
        <w:spacing w:line="360" w:lineRule="auto"/>
        <w:rPr>
          <w:rFonts w:hint="eastAsia" w:ascii="宋体"/>
          <w:b/>
          <w:color w:val="auto"/>
          <w:sz w:val="24"/>
          <w:highlight w:val="none"/>
        </w:rPr>
      </w:pPr>
    </w:p>
    <w:p>
      <w:pPr>
        <w:spacing w:line="360" w:lineRule="auto"/>
        <w:rPr>
          <w:rFonts w:hint="eastAsia" w:ascii="宋体"/>
          <w:b/>
          <w:color w:val="auto"/>
          <w:sz w:val="24"/>
          <w:highlight w:val="none"/>
        </w:rPr>
      </w:pPr>
      <w:r>
        <w:rPr>
          <w:rFonts w:hint="eastAsia" w:ascii="宋体"/>
          <w:b/>
          <w:color w:val="auto"/>
          <w:sz w:val="24"/>
          <w:highlight w:val="none"/>
        </w:rPr>
        <w:t>附件三：</w:t>
      </w:r>
    </w:p>
    <w:p>
      <w:pPr>
        <w:jc w:val="center"/>
        <w:rPr>
          <w:rFonts w:hint="eastAsia"/>
          <w:b/>
          <w:color w:val="auto"/>
          <w:sz w:val="32"/>
          <w:highlight w:val="none"/>
        </w:rPr>
      </w:pPr>
      <w:r>
        <w:rPr>
          <w:rFonts w:hint="eastAsia"/>
          <w:b/>
          <w:color w:val="auto"/>
          <w:sz w:val="32"/>
          <w:highlight w:val="none"/>
        </w:rPr>
        <w:t>服务连续性预案</w:t>
      </w:r>
    </w:p>
    <w:p>
      <w:pPr>
        <w:jc w:val="center"/>
        <w:rPr>
          <w:rFonts w:hint="eastAsia" w:ascii="方正小标宋_GBK" w:eastAsia="方正小标宋_GBK"/>
          <w:color w:val="auto"/>
          <w:sz w:val="24"/>
          <w:highlight w:val="none"/>
        </w:rPr>
      </w:pPr>
      <w:r>
        <w:rPr>
          <w:rFonts w:hint="eastAsia" w:ascii="方正小标宋_GBK" w:eastAsia="方正小标宋_GBK"/>
          <w:color w:val="auto"/>
          <w:sz w:val="24"/>
          <w:highlight w:val="none"/>
        </w:rPr>
        <w:t>（应考虑供应链风险产生的影响）</w:t>
      </w:r>
    </w:p>
    <w:p>
      <w:pPr>
        <w:spacing w:line="360" w:lineRule="auto"/>
        <w:ind w:firstLine="480"/>
        <w:rPr>
          <w:rStyle w:val="39"/>
          <w:color w:val="auto"/>
          <w:kern w:val="0"/>
          <w:highlight w:val="none"/>
        </w:rPr>
      </w:pPr>
    </w:p>
    <w:p>
      <w:pPr>
        <w:spacing w:line="360" w:lineRule="auto"/>
        <w:rPr>
          <w:rFonts w:hint="eastAsia" w:ascii="宋体"/>
          <w:b/>
          <w:color w:val="auto"/>
          <w:sz w:val="24"/>
          <w:highlight w:val="none"/>
        </w:rPr>
      </w:pPr>
    </w:p>
    <w:p>
      <w:pPr>
        <w:jc w:val="center"/>
        <w:rPr>
          <w:rFonts w:hint="eastAsia"/>
          <w:b/>
          <w:color w:val="auto"/>
          <w:sz w:val="32"/>
          <w:highlight w:val="none"/>
        </w:rPr>
      </w:pPr>
    </w:p>
    <w:p>
      <w:pPr>
        <w:spacing w:line="360" w:lineRule="auto"/>
        <w:rPr>
          <w:rFonts w:ascii="宋体" w:cs="宋体"/>
          <w:snapToGrid w:val="0"/>
          <w:color w:val="auto"/>
          <w:kern w:val="0"/>
          <w:sz w:val="24"/>
          <w:szCs w:val="24"/>
          <w:highlight w:val="none"/>
        </w:rPr>
      </w:pPr>
    </w:p>
    <w:p>
      <w:pPr>
        <w:spacing w:line="360" w:lineRule="auto"/>
        <w:rPr>
          <w:rFonts w:ascii="宋体" w:cs="宋体"/>
          <w:snapToGrid w:val="0"/>
          <w:color w:val="auto"/>
          <w:kern w:val="0"/>
          <w:sz w:val="24"/>
          <w:szCs w:val="24"/>
          <w:highlight w:val="none"/>
        </w:rPr>
      </w:pPr>
    </w:p>
    <w:p>
      <w:pPr>
        <w:spacing w:before="0"/>
        <w:ind w:right="0" w:rightChars="0"/>
        <w:outlineLvl w:val="9"/>
        <w:rPr>
          <w:rFonts w:hint="eastAsia"/>
          <w:color w:val="auto"/>
          <w:highlight w:val="none"/>
        </w:rPr>
      </w:pPr>
      <w:bookmarkStart w:id="101" w:name="_Toc89675170"/>
      <w:bookmarkStart w:id="102" w:name="_Toc303066034"/>
      <w:r>
        <w:rPr>
          <w:rFonts w:hint="eastAsia"/>
          <w:color w:val="auto"/>
          <w:highlight w:val="none"/>
        </w:rPr>
        <w:br w:type="page"/>
      </w:r>
    </w:p>
    <w:p>
      <w:pPr>
        <w:pStyle w:val="3"/>
        <w:spacing w:before="0"/>
        <w:ind w:right="0" w:rightChars="0"/>
        <w:outlineLvl w:val="1"/>
        <w:rPr>
          <w:rFonts w:hint="eastAsia" w:ascii="宋体" w:eastAsia="宋体" w:cs="Times New Roman"/>
          <w:color w:val="auto"/>
          <w:highlight w:val="none"/>
        </w:rPr>
      </w:pPr>
      <w:bookmarkStart w:id="103" w:name="_Toc25656"/>
      <w:r>
        <w:rPr>
          <w:rFonts w:hint="eastAsia" w:ascii="宋体" w:eastAsia="宋体" w:cs="Times New Roman"/>
          <w:color w:val="auto"/>
          <w:highlight w:val="none"/>
        </w:rPr>
        <w:t>第七章 参选文件</w:t>
      </w:r>
      <w:bookmarkEnd w:id="101"/>
      <w:bookmarkEnd w:id="102"/>
      <w:bookmarkStart w:id="104" w:name="_Toc303066035"/>
      <w:r>
        <w:rPr>
          <w:rFonts w:hint="eastAsia" w:ascii="宋体" w:eastAsia="宋体" w:cs="Times New Roman"/>
          <w:color w:val="auto"/>
          <w:highlight w:val="none"/>
        </w:rPr>
        <w:t>格式</w:t>
      </w:r>
      <w:bookmarkEnd w:id="103"/>
    </w:p>
    <w:bookmarkEnd w:id="104"/>
    <w:p>
      <w:pPr>
        <w:tabs>
          <w:tab w:val="left" w:pos="6516"/>
        </w:tabs>
        <w:autoSpaceDE w:val="0"/>
        <w:autoSpaceDN w:val="0"/>
        <w:adjustRightInd w:val="0"/>
        <w:snapToGrid w:val="0"/>
        <w:spacing w:line="360" w:lineRule="auto"/>
        <w:ind w:firstLine="1265" w:firstLineChars="450"/>
        <w:rPr>
          <w:rFonts w:ascii="宋体"/>
          <w:b/>
          <w:color w:val="auto"/>
          <w:kern w:val="0"/>
          <w:highlight w:val="none"/>
          <w:u w:val="single"/>
        </w:rPr>
      </w:pPr>
    </w:p>
    <w:p>
      <w:pPr>
        <w:tabs>
          <w:tab w:val="left" w:pos="6516"/>
        </w:tabs>
        <w:autoSpaceDE w:val="0"/>
        <w:autoSpaceDN w:val="0"/>
        <w:adjustRightInd w:val="0"/>
        <w:snapToGrid w:val="0"/>
        <w:spacing w:line="360" w:lineRule="auto"/>
        <w:jc w:val="center"/>
        <w:outlineLvl w:val="9"/>
        <w:rPr>
          <w:rFonts w:hint="eastAsia" w:ascii="宋体"/>
          <w:b/>
          <w:color w:val="auto"/>
          <w:kern w:val="0"/>
          <w:sz w:val="44"/>
          <w:szCs w:val="44"/>
          <w:highlight w:val="none"/>
          <w:lang w:val="en-US" w:eastAsia="zh-CN"/>
        </w:rPr>
      </w:pPr>
      <w:r>
        <w:rPr>
          <w:rFonts w:hint="eastAsia" w:ascii="宋体"/>
          <w:b/>
          <w:color w:val="auto"/>
          <w:kern w:val="0"/>
          <w:sz w:val="44"/>
          <w:szCs w:val="44"/>
          <w:highlight w:val="none"/>
          <w:lang w:val="en-US" w:eastAsia="zh-CN"/>
        </w:rPr>
        <w:t>重庆三峡银行</w:t>
      </w:r>
    </w:p>
    <w:p>
      <w:pPr>
        <w:tabs>
          <w:tab w:val="left" w:pos="6516"/>
        </w:tabs>
        <w:autoSpaceDE w:val="0"/>
        <w:autoSpaceDN w:val="0"/>
        <w:adjustRightInd w:val="0"/>
        <w:snapToGrid w:val="0"/>
        <w:spacing w:line="360" w:lineRule="auto"/>
        <w:jc w:val="center"/>
        <w:outlineLvl w:val="9"/>
        <w:rPr>
          <w:rFonts w:ascii="宋体"/>
          <w:b/>
          <w:color w:val="auto"/>
          <w:kern w:val="0"/>
          <w:sz w:val="44"/>
          <w:szCs w:val="44"/>
          <w:highlight w:val="none"/>
        </w:rPr>
      </w:pPr>
      <w:r>
        <w:rPr>
          <w:rFonts w:hint="eastAsia" w:ascii="宋体" w:cs="Cambria"/>
          <w:b/>
          <w:snapToGrid w:val="0"/>
          <w:color w:val="auto"/>
          <w:kern w:val="0"/>
          <w:sz w:val="44"/>
          <w:szCs w:val="44"/>
          <w:highlight w:val="none"/>
        </w:rPr>
        <w:t>IBM相关软件原厂维保项目-2023年度</w:t>
      </w:r>
      <w:r>
        <w:rPr>
          <w:rFonts w:ascii="宋体" w:cs="Cambria"/>
          <w:b/>
          <w:snapToGrid w:val="0"/>
          <w:color w:val="auto"/>
          <w:kern w:val="0"/>
          <w:sz w:val="44"/>
          <w:szCs w:val="44"/>
          <w:highlight w:val="none"/>
        </w:rPr>
        <w:t>采购</w:t>
      </w:r>
    </w:p>
    <w:p>
      <w:pPr>
        <w:tabs>
          <w:tab w:val="left" w:pos="6516"/>
        </w:tabs>
        <w:autoSpaceDE w:val="0"/>
        <w:autoSpaceDN w:val="0"/>
        <w:adjustRightInd w:val="0"/>
        <w:snapToGrid w:val="0"/>
        <w:spacing w:line="360" w:lineRule="auto"/>
        <w:jc w:val="center"/>
        <w:rPr>
          <w:rFonts w:ascii="宋体"/>
          <w:b/>
          <w:color w:val="auto"/>
          <w:kern w:val="0"/>
          <w:sz w:val="40"/>
          <w:highlight w:val="none"/>
        </w:rPr>
      </w:pPr>
    </w:p>
    <w:p>
      <w:pPr>
        <w:tabs>
          <w:tab w:val="left" w:pos="3600"/>
          <w:tab w:val="left" w:pos="4480"/>
          <w:tab w:val="left" w:pos="5360"/>
        </w:tabs>
        <w:autoSpaceDE w:val="0"/>
        <w:autoSpaceDN w:val="0"/>
        <w:adjustRightInd w:val="0"/>
        <w:snapToGrid w:val="0"/>
        <w:spacing w:line="360" w:lineRule="auto"/>
        <w:rPr>
          <w:rFonts w:ascii="宋体"/>
          <w:color w:val="auto"/>
          <w:kern w:val="0"/>
          <w:sz w:val="44"/>
          <w:highlight w:val="none"/>
        </w:rPr>
      </w:pPr>
    </w:p>
    <w:p>
      <w:pPr>
        <w:tabs>
          <w:tab w:val="left" w:pos="3600"/>
          <w:tab w:val="left" w:pos="4480"/>
          <w:tab w:val="left" w:pos="5360"/>
        </w:tabs>
        <w:autoSpaceDE w:val="0"/>
        <w:autoSpaceDN w:val="0"/>
        <w:adjustRightInd w:val="0"/>
        <w:snapToGrid w:val="0"/>
        <w:spacing w:line="360" w:lineRule="auto"/>
        <w:rPr>
          <w:rFonts w:ascii="宋体"/>
          <w:color w:val="auto"/>
          <w:kern w:val="0"/>
          <w:sz w:val="44"/>
          <w:highlight w:val="none"/>
        </w:rPr>
      </w:pPr>
    </w:p>
    <w:p>
      <w:pPr>
        <w:tabs>
          <w:tab w:val="left" w:pos="3600"/>
          <w:tab w:val="left" w:pos="4480"/>
          <w:tab w:val="left" w:pos="5360"/>
        </w:tabs>
        <w:autoSpaceDE w:val="0"/>
        <w:autoSpaceDN w:val="0"/>
        <w:adjustRightInd w:val="0"/>
        <w:snapToGrid w:val="0"/>
        <w:spacing w:line="360" w:lineRule="auto"/>
        <w:rPr>
          <w:rFonts w:ascii="宋体"/>
          <w:color w:val="auto"/>
          <w:kern w:val="0"/>
          <w:sz w:val="44"/>
          <w:highlight w:val="none"/>
        </w:rPr>
      </w:pPr>
    </w:p>
    <w:p>
      <w:pPr>
        <w:tabs>
          <w:tab w:val="left" w:pos="3600"/>
          <w:tab w:val="left" w:pos="4480"/>
          <w:tab w:val="left" w:pos="5360"/>
        </w:tabs>
        <w:autoSpaceDE w:val="0"/>
        <w:autoSpaceDN w:val="0"/>
        <w:adjustRightInd w:val="0"/>
        <w:snapToGrid w:val="0"/>
        <w:spacing w:line="360" w:lineRule="auto"/>
        <w:jc w:val="center"/>
        <w:outlineLvl w:val="9"/>
        <w:rPr>
          <w:rFonts w:ascii="宋体"/>
          <w:b/>
          <w:color w:val="auto"/>
          <w:kern w:val="0"/>
          <w:sz w:val="84"/>
          <w:highlight w:val="none"/>
        </w:rPr>
      </w:pPr>
      <w:r>
        <w:rPr>
          <w:rFonts w:hint="eastAsia" w:ascii="宋体"/>
          <w:b/>
          <w:color w:val="auto"/>
          <w:kern w:val="0"/>
          <w:sz w:val="84"/>
          <w:highlight w:val="none"/>
          <w:lang w:val="en-US" w:eastAsia="zh-CN"/>
        </w:rPr>
        <w:t>参</w:t>
      </w:r>
      <w:r>
        <w:rPr>
          <w:rFonts w:hint="eastAsia" w:ascii="宋体"/>
          <w:b/>
          <w:color w:val="auto"/>
          <w:kern w:val="0"/>
          <w:sz w:val="84"/>
          <w:highlight w:val="none"/>
        </w:rPr>
        <w:t xml:space="preserve">  </w:t>
      </w:r>
      <w:r>
        <w:rPr>
          <w:rFonts w:hint="eastAsia" w:ascii="宋体"/>
          <w:b/>
          <w:color w:val="auto"/>
          <w:kern w:val="0"/>
          <w:sz w:val="84"/>
          <w:highlight w:val="none"/>
          <w:lang w:val="en-US" w:eastAsia="zh-CN"/>
        </w:rPr>
        <w:t>选</w:t>
      </w:r>
      <w:r>
        <w:rPr>
          <w:rFonts w:hint="eastAsia" w:ascii="宋体"/>
          <w:b/>
          <w:color w:val="auto"/>
          <w:kern w:val="0"/>
          <w:sz w:val="84"/>
          <w:highlight w:val="none"/>
        </w:rPr>
        <w:t xml:space="preserve">  文  件</w:t>
      </w:r>
    </w:p>
    <w:p>
      <w:pPr>
        <w:autoSpaceDE w:val="0"/>
        <w:autoSpaceDN w:val="0"/>
        <w:adjustRightInd w:val="0"/>
        <w:snapToGrid w:val="0"/>
        <w:spacing w:line="360" w:lineRule="auto"/>
        <w:rPr>
          <w:rFonts w:ascii="宋体"/>
          <w:color w:val="auto"/>
          <w:kern w:val="0"/>
          <w:sz w:val="16"/>
          <w:highlight w:val="none"/>
        </w:rPr>
      </w:pPr>
    </w:p>
    <w:p>
      <w:pPr>
        <w:autoSpaceDE w:val="0"/>
        <w:autoSpaceDN w:val="0"/>
        <w:adjustRightInd w:val="0"/>
        <w:snapToGrid w:val="0"/>
        <w:spacing w:line="360" w:lineRule="auto"/>
        <w:rPr>
          <w:rFonts w:ascii="宋体"/>
          <w:b/>
          <w:color w:val="auto"/>
          <w:kern w:val="0"/>
          <w:sz w:val="20"/>
          <w:highlight w:val="none"/>
        </w:rPr>
      </w:pPr>
    </w:p>
    <w:p>
      <w:pPr>
        <w:autoSpaceDE w:val="0"/>
        <w:autoSpaceDN w:val="0"/>
        <w:adjustRightInd w:val="0"/>
        <w:snapToGrid w:val="0"/>
        <w:spacing w:line="360" w:lineRule="auto"/>
        <w:rPr>
          <w:rFonts w:ascii="宋体"/>
          <w:b/>
          <w:color w:val="auto"/>
          <w:kern w:val="0"/>
          <w:sz w:val="20"/>
          <w:highlight w:val="none"/>
        </w:rPr>
      </w:pPr>
    </w:p>
    <w:p>
      <w:pPr>
        <w:autoSpaceDE w:val="0"/>
        <w:autoSpaceDN w:val="0"/>
        <w:adjustRightInd w:val="0"/>
        <w:snapToGrid w:val="0"/>
        <w:spacing w:line="360" w:lineRule="auto"/>
        <w:rPr>
          <w:rFonts w:ascii="宋体"/>
          <w:b/>
          <w:color w:val="auto"/>
          <w:kern w:val="0"/>
          <w:sz w:val="20"/>
          <w:highlight w:val="none"/>
        </w:rPr>
      </w:pPr>
    </w:p>
    <w:p>
      <w:pPr>
        <w:autoSpaceDE w:val="0"/>
        <w:autoSpaceDN w:val="0"/>
        <w:adjustRightInd w:val="0"/>
        <w:snapToGrid w:val="0"/>
        <w:spacing w:line="360" w:lineRule="auto"/>
        <w:rPr>
          <w:rFonts w:ascii="宋体"/>
          <w:b/>
          <w:color w:val="auto"/>
          <w:kern w:val="0"/>
          <w:sz w:val="20"/>
          <w:highlight w:val="none"/>
        </w:rPr>
      </w:pPr>
    </w:p>
    <w:p>
      <w:pPr>
        <w:autoSpaceDE w:val="0"/>
        <w:autoSpaceDN w:val="0"/>
        <w:adjustRightInd w:val="0"/>
        <w:snapToGrid w:val="0"/>
        <w:spacing w:line="360" w:lineRule="auto"/>
        <w:rPr>
          <w:rFonts w:ascii="宋体"/>
          <w:b/>
          <w:color w:val="auto"/>
          <w:kern w:val="0"/>
          <w:sz w:val="20"/>
          <w:highlight w:val="none"/>
        </w:rPr>
      </w:pPr>
    </w:p>
    <w:p>
      <w:pPr>
        <w:autoSpaceDE w:val="0"/>
        <w:autoSpaceDN w:val="0"/>
        <w:adjustRightInd w:val="0"/>
        <w:snapToGrid w:val="0"/>
        <w:spacing w:line="360" w:lineRule="auto"/>
        <w:rPr>
          <w:rFonts w:ascii="宋体"/>
          <w:b/>
          <w:color w:val="auto"/>
          <w:kern w:val="0"/>
          <w:sz w:val="20"/>
          <w:highlight w:val="none"/>
        </w:rPr>
      </w:pPr>
    </w:p>
    <w:p>
      <w:pPr>
        <w:autoSpaceDE w:val="0"/>
        <w:autoSpaceDN w:val="0"/>
        <w:adjustRightInd w:val="0"/>
        <w:snapToGrid w:val="0"/>
        <w:spacing w:line="360" w:lineRule="auto"/>
        <w:rPr>
          <w:rFonts w:ascii="宋体"/>
          <w:b/>
          <w:color w:val="auto"/>
          <w:kern w:val="0"/>
          <w:sz w:val="20"/>
          <w:highlight w:val="none"/>
        </w:rPr>
      </w:pPr>
    </w:p>
    <w:p>
      <w:pPr>
        <w:autoSpaceDE w:val="0"/>
        <w:autoSpaceDN w:val="0"/>
        <w:adjustRightInd w:val="0"/>
        <w:snapToGrid w:val="0"/>
        <w:spacing w:line="360" w:lineRule="auto"/>
        <w:rPr>
          <w:rFonts w:ascii="宋体"/>
          <w:b/>
          <w:color w:val="auto"/>
          <w:kern w:val="0"/>
          <w:sz w:val="20"/>
          <w:highlight w:val="none"/>
        </w:rPr>
      </w:pPr>
    </w:p>
    <w:p>
      <w:pPr>
        <w:autoSpaceDE w:val="0"/>
        <w:autoSpaceDN w:val="0"/>
        <w:adjustRightInd w:val="0"/>
        <w:snapToGrid w:val="0"/>
        <w:spacing w:line="360" w:lineRule="auto"/>
        <w:rPr>
          <w:rFonts w:ascii="宋体"/>
          <w:b/>
          <w:color w:val="auto"/>
          <w:kern w:val="0"/>
          <w:sz w:val="20"/>
          <w:highlight w:val="none"/>
        </w:rPr>
      </w:pPr>
    </w:p>
    <w:p>
      <w:pPr>
        <w:tabs>
          <w:tab w:val="left" w:pos="6080"/>
          <w:tab w:val="left" w:pos="6640"/>
        </w:tabs>
        <w:autoSpaceDE w:val="0"/>
        <w:autoSpaceDN w:val="0"/>
        <w:adjustRightInd w:val="0"/>
        <w:snapToGrid w:val="0"/>
        <w:spacing w:line="360" w:lineRule="auto"/>
        <w:jc w:val="center"/>
        <w:outlineLvl w:val="9"/>
        <w:rPr>
          <w:rFonts w:ascii="宋体"/>
          <w:b/>
          <w:color w:val="auto"/>
          <w:w w:val="99"/>
          <w:kern w:val="0"/>
          <w:highlight w:val="none"/>
        </w:rPr>
      </w:pPr>
      <w:r>
        <w:rPr>
          <w:rFonts w:hint="eastAsia" w:ascii="宋体"/>
          <w:b/>
          <w:snapToGrid w:val="0"/>
          <w:color w:val="auto"/>
          <w:w w:val="99"/>
          <w:kern w:val="0"/>
          <w:szCs w:val="2"/>
          <w:highlight w:val="none"/>
        </w:rPr>
        <w:t>参选</w:t>
      </w:r>
      <w:r>
        <w:rPr>
          <w:rFonts w:hint="eastAsia" w:ascii="宋体"/>
          <w:b/>
          <w:color w:val="auto"/>
          <w:w w:val="99"/>
          <w:kern w:val="0"/>
          <w:highlight w:val="none"/>
        </w:rPr>
        <w:t>人</w:t>
      </w:r>
      <w:r>
        <w:rPr>
          <w:rFonts w:hint="eastAsia" w:ascii="宋体"/>
          <w:b/>
          <w:color w:val="auto"/>
          <w:spacing w:val="1"/>
          <w:w w:val="99"/>
          <w:kern w:val="0"/>
          <w:highlight w:val="none"/>
        </w:rPr>
        <w:t>：</w:t>
      </w:r>
      <w:r>
        <w:rPr>
          <w:rFonts w:hint="eastAsia" w:ascii="宋体"/>
          <w:b/>
          <w:color w:val="auto"/>
          <w:w w:val="198"/>
          <w:kern w:val="0"/>
          <w:highlight w:val="none"/>
          <w:u w:val="single"/>
        </w:rPr>
        <w:t xml:space="preserve"> 　　　　 　　</w:t>
      </w:r>
      <w:r>
        <w:rPr>
          <w:rFonts w:hint="eastAsia" w:ascii="宋体"/>
          <w:b/>
          <w:color w:val="auto"/>
          <w:w w:val="99"/>
          <w:kern w:val="0"/>
          <w:highlight w:val="none"/>
        </w:rPr>
        <w:t>（盖单位公章）</w:t>
      </w:r>
    </w:p>
    <w:p>
      <w:pPr>
        <w:tabs>
          <w:tab w:val="left" w:pos="6080"/>
          <w:tab w:val="left" w:pos="6640"/>
        </w:tabs>
        <w:autoSpaceDE w:val="0"/>
        <w:autoSpaceDN w:val="0"/>
        <w:adjustRightInd w:val="0"/>
        <w:snapToGrid w:val="0"/>
        <w:spacing w:line="360" w:lineRule="auto"/>
        <w:jc w:val="center"/>
        <w:outlineLvl w:val="9"/>
        <w:rPr>
          <w:rFonts w:ascii="宋体"/>
          <w:b/>
          <w:color w:val="auto"/>
          <w:kern w:val="0"/>
          <w:highlight w:val="none"/>
        </w:rPr>
      </w:pPr>
      <w:r>
        <w:rPr>
          <w:rFonts w:hint="eastAsia" w:ascii="宋体"/>
          <w:b/>
          <w:color w:val="auto"/>
          <w:w w:val="99"/>
          <w:kern w:val="0"/>
          <w:highlight w:val="none"/>
        </w:rPr>
        <w:t>法定代表人或其委托代理人：</w:t>
      </w:r>
      <w:r>
        <w:rPr>
          <w:rFonts w:hint="eastAsia" w:ascii="宋体"/>
          <w:b/>
          <w:color w:val="auto"/>
          <w:w w:val="198"/>
          <w:kern w:val="0"/>
          <w:highlight w:val="none"/>
          <w:u w:val="single"/>
        </w:rPr>
        <w:t xml:space="preserve"> 　　 　</w:t>
      </w:r>
      <w:r>
        <w:rPr>
          <w:rFonts w:hint="eastAsia" w:ascii="宋体"/>
          <w:b/>
          <w:color w:val="auto"/>
          <w:w w:val="99"/>
          <w:kern w:val="0"/>
          <w:highlight w:val="none"/>
        </w:rPr>
        <w:t>（签字）</w:t>
      </w:r>
    </w:p>
    <w:p>
      <w:pPr>
        <w:tabs>
          <w:tab w:val="left" w:pos="3280"/>
          <w:tab w:val="left" w:pos="4680"/>
          <w:tab w:val="left" w:pos="6080"/>
        </w:tabs>
        <w:autoSpaceDE w:val="0"/>
        <w:autoSpaceDN w:val="0"/>
        <w:adjustRightInd w:val="0"/>
        <w:snapToGrid w:val="0"/>
        <w:spacing w:line="360" w:lineRule="auto"/>
        <w:jc w:val="center"/>
        <w:outlineLvl w:val="9"/>
        <w:rPr>
          <w:rFonts w:ascii="宋体"/>
          <w:b/>
          <w:color w:val="auto"/>
          <w:w w:val="99"/>
          <w:kern w:val="0"/>
          <w:highlight w:val="none"/>
        </w:rPr>
      </w:pPr>
      <w:r>
        <w:rPr>
          <w:rFonts w:hint="eastAsia" w:ascii="宋体"/>
          <w:b/>
          <w:color w:val="auto"/>
          <w:w w:val="99"/>
          <w:kern w:val="0"/>
          <w:highlight w:val="none"/>
          <w:u w:val="single"/>
        </w:rPr>
        <w:t xml:space="preserve">     　</w:t>
      </w:r>
      <w:r>
        <w:rPr>
          <w:rFonts w:hint="eastAsia" w:ascii="宋体"/>
          <w:b/>
          <w:color w:val="auto"/>
          <w:w w:val="99"/>
          <w:kern w:val="0"/>
          <w:highlight w:val="none"/>
        </w:rPr>
        <w:t>年月日</w:t>
      </w:r>
    </w:p>
    <w:p>
      <w:pPr>
        <w:tabs>
          <w:tab w:val="left" w:pos="3280"/>
          <w:tab w:val="left" w:pos="4680"/>
          <w:tab w:val="left" w:pos="6080"/>
        </w:tabs>
        <w:autoSpaceDE w:val="0"/>
        <w:autoSpaceDN w:val="0"/>
        <w:adjustRightInd w:val="0"/>
        <w:snapToGrid w:val="0"/>
        <w:spacing w:line="360" w:lineRule="auto"/>
        <w:jc w:val="center"/>
        <w:rPr>
          <w:rFonts w:ascii="宋体"/>
          <w:b/>
          <w:color w:val="auto"/>
          <w:kern w:val="0"/>
          <w:highlight w:val="none"/>
        </w:rPr>
      </w:pPr>
    </w:p>
    <w:p>
      <w:pPr>
        <w:tabs>
          <w:tab w:val="left" w:pos="6300"/>
        </w:tabs>
        <w:snapToGrid w:val="0"/>
        <w:spacing w:line="360" w:lineRule="auto"/>
        <w:ind w:right="-39" w:rightChars="-14"/>
        <w:jc w:val="center"/>
        <w:outlineLvl w:val="9"/>
        <w:rPr>
          <w:rFonts w:ascii="宋体"/>
          <w:b/>
          <w:snapToGrid w:val="0"/>
          <w:color w:val="auto"/>
          <w:kern w:val="0"/>
          <w:sz w:val="36"/>
          <w:szCs w:val="28"/>
          <w:highlight w:val="none"/>
        </w:rPr>
      </w:pPr>
      <w:r>
        <w:rPr>
          <w:rFonts w:hint="eastAsia" w:ascii="宋体"/>
          <w:b/>
          <w:snapToGrid w:val="0"/>
          <w:color w:val="auto"/>
          <w:kern w:val="0"/>
          <w:sz w:val="36"/>
          <w:szCs w:val="28"/>
          <w:highlight w:val="none"/>
        </w:rPr>
        <w:t>目  录</w:t>
      </w:r>
    </w:p>
    <w:p>
      <w:pPr>
        <w:bidi w:val="0"/>
        <w:outlineLvl w:val="9"/>
        <w:rPr>
          <w:color w:val="auto"/>
          <w:highlight w:val="none"/>
        </w:rPr>
      </w:pPr>
      <w:r>
        <w:rPr>
          <w:rFonts w:hint="eastAsia"/>
          <w:color w:val="auto"/>
          <w:highlight w:val="none"/>
          <w:lang w:val="en-US" w:eastAsia="zh-CN"/>
        </w:rPr>
        <w:t>一、</w:t>
      </w:r>
      <w:r>
        <w:rPr>
          <w:rFonts w:hint="eastAsia"/>
          <w:color w:val="auto"/>
          <w:highlight w:val="none"/>
        </w:rPr>
        <w:t>参选函</w:t>
      </w:r>
    </w:p>
    <w:p>
      <w:pPr>
        <w:bidi w:val="0"/>
        <w:outlineLvl w:val="9"/>
        <w:rPr>
          <w:color w:val="auto"/>
          <w:highlight w:val="none"/>
        </w:rPr>
      </w:pPr>
      <w:r>
        <w:rPr>
          <w:rFonts w:hint="eastAsia"/>
          <w:color w:val="auto"/>
          <w:highlight w:val="none"/>
          <w:lang w:val="en-US" w:eastAsia="zh-CN"/>
        </w:rPr>
        <w:t>二、</w:t>
      </w:r>
      <w:r>
        <w:rPr>
          <w:rFonts w:hint="eastAsia"/>
          <w:color w:val="auto"/>
          <w:highlight w:val="none"/>
        </w:rPr>
        <w:t>报价一览表</w:t>
      </w:r>
    </w:p>
    <w:p>
      <w:pPr>
        <w:bidi w:val="0"/>
        <w:outlineLvl w:val="9"/>
        <w:rPr>
          <w:rFonts w:hint="eastAsia"/>
          <w:color w:val="auto"/>
          <w:highlight w:val="none"/>
          <w:lang w:val="en-US" w:eastAsia="zh-CN"/>
        </w:rPr>
      </w:pPr>
      <w:r>
        <w:rPr>
          <w:rFonts w:hint="eastAsia"/>
          <w:color w:val="auto"/>
          <w:highlight w:val="none"/>
          <w:lang w:val="en-US" w:eastAsia="zh-CN"/>
        </w:rPr>
        <w:t>三、资格性文件</w:t>
      </w:r>
    </w:p>
    <w:p>
      <w:pPr>
        <w:bidi w:val="0"/>
        <w:outlineLvl w:val="9"/>
        <w:rPr>
          <w:color w:val="auto"/>
          <w:highlight w:val="none"/>
        </w:rPr>
      </w:pPr>
      <w:r>
        <w:rPr>
          <w:rFonts w:hint="eastAsia"/>
          <w:color w:val="auto"/>
          <w:highlight w:val="none"/>
          <w:lang w:val="en-US" w:eastAsia="zh-CN"/>
        </w:rPr>
        <w:t>四、</w:t>
      </w:r>
      <w:r>
        <w:rPr>
          <w:rFonts w:hint="eastAsia"/>
          <w:color w:val="auto"/>
          <w:highlight w:val="none"/>
        </w:rPr>
        <w:t>参选人业绩证明文件复印件</w:t>
      </w:r>
    </w:p>
    <w:p>
      <w:pPr>
        <w:bidi w:val="0"/>
        <w:outlineLvl w:val="9"/>
        <w:rPr>
          <w:color w:val="auto"/>
          <w:highlight w:val="none"/>
        </w:rPr>
      </w:pPr>
      <w:r>
        <w:rPr>
          <w:rFonts w:hint="eastAsia"/>
          <w:color w:val="auto"/>
          <w:highlight w:val="none"/>
          <w:lang w:val="en-US" w:eastAsia="zh-CN"/>
        </w:rPr>
        <w:t>五、</w:t>
      </w:r>
      <w:r>
        <w:rPr>
          <w:rFonts w:hint="eastAsia"/>
          <w:color w:val="auto"/>
          <w:highlight w:val="none"/>
        </w:rPr>
        <w:t>商务条款偏离度</w:t>
      </w:r>
    </w:p>
    <w:p>
      <w:pPr>
        <w:bidi w:val="0"/>
        <w:outlineLvl w:val="9"/>
        <w:rPr>
          <w:color w:val="auto"/>
          <w:highlight w:val="none"/>
        </w:rPr>
      </w:pPr>
      <w:r>
        <w:rPr>
          <w:rFonts w:hint="eastAsia"/>
          <w:color w:val="auto"/>
          <w:highlight w:val="none"/>
          <w:lang w:val="en-US" w:eastAsia="zh-CN"/>
        </w:rPr>
        <w:t>六、</w:t>
      </w:r>
      <w:r>
        <w:rPr>
          <w:rFonts w:hint="eastAsia"/>
          <w:color w:val="auto"/>
          <w:highlight w:val="none"/>
        </w:rPr>
        <w:t>服务水平协议（SLA）</w:t>
      </w:r>
    </w:p>
    <w:p>
      <w:pPr>
        <w:bidi w:val="0"/>
        <w:outlineLvl w:val="9"/>
        <w:rPr>
          <w:color w:val="auto"/>
          <w:highlight w:val="none"/>
        </w:rPr>
      </w:pPr>
      <w:r>
        <w:rPr>
          <w:rFonts w:hint="eastAsia"/>
          <w:color w:val="auto"/>
          <w:highlight w:val="none"/>
          <w:lang w:val="en-US" w:eastAsia="zh-CN"/>
        </w:rPr>
        <w:t>七、</w:t>
      </w:r>
      <w:r>
        <w:rPr>
          <w:rFonts w:hint="eastAsia"/>
          <w:color w:val="auto"/>
          <w:highlight w:val="none"/>
        </w:rPr>
        <w:t>服务连续性预案</w:t>
      </w:r>
    </w:p>
    <w:p>
      <w:pPr>
        <w:bidi w:val="0"/>
        <w:outlineLvl w:val="9"/>
        <w:rPr>
          <w:rFonts w:hint="default"/>
          <w:color w:val="auto"/>
          <w:highlight w:val="none"/>
          <w:lang w:val="en-US" w:eastAsia="zh-CN"/>
        </w:rPr>
      </w:pPr>
      <w:r>
        <w:rPr>
          <w:rFonts w:hint="eastAsia"/>
          <w:color w:val="auto"/>
          <w:highlight w:val="none"/>
          <w:lang w:val="en-US" w:eastAsia="zh-CN"/>
        </w:rPr>
        <w:t>八、其他（如有）</w:t>
      </w:r>
    </w:p>
    <w:p>
      <w:pPr>
        <w:snapToGrid/>
        <w:spacing w:line="240" w:lineRule="auto"/>
        <w:ind w:firstLine="0" w:firstLineChars="0"/>
        <w:rPr>
          <w:rFonts w:ascii="宋体"/>
          <w:snapToGrid w:val="0"/>
          <w:color w:val="auto"/>
          <w:kern w:val="0"/>
          <w:sz w:val="24"/>
          <w:szCs w:val="24"/>
          <w:highlight w:val="none"/>
        </w:rPr>
      </w:pPr>
      <w:r>
        <w:rPr>
          <w:rFonts w:ascii="宋体"/>
          <w:snapToGrid w:val="0"/>
          <w:color w:val="auto"/>
          <w:kern w:val="0"/>
          <w:sz w:val="24"/>
          <w:szCs w:val="24"/>
          <w:highlight w:val="none"/>
        </w:rPr>
        <w:br w:type="page"/>
      </w:r>
    </w:p>
    <w:p>
      <w:pPr>
        <w:pStyle w:val="5"/>
        <w:numPr>
          <w:ilvl w:val="-1"/>
          <w:numId w:val="0"/>
        </w:numPr>
        <w:ind w:left="0" w:firstLine="0" w:firstLineChars="0"/>
        <w:jc w:val="center"/>
        <w:outlineLvl w:val="2"/>
        <w:rPr>
          <w:bCs w:val="0"/>
          <w:color w:val="auto"/>
          <w:kern w:val="0"/>
          <w:sz w:val="28"/>
          <w:szCs w:val="28"/>
          <w:highlight w:val="none"/>
        </w:rPr>
      </w:pPr>
      <w:r>
        <w:rPr>
          <w:rFonts w:hint="eastAsia" w:cs="Cambria"/>
          <w:bCs w:val="0"/>
          <w:snapToGrid/>
          <w:color w:val="auto"/>
          <w:sz w:val="28"/>
          <w:szCs w:val="28"/>
          <w:highlight w:val="none"/>
          <w:lang w:val="en-US" w:eastAsia="zh-CN"/>
        </w:rPr>
        <w:t>一、</w:t>
      </w:r>
      <w:r>
        <w:rPr>
          <w:rFonts w:hint="eastAsia" w:cs="Cambria"/>
          <w:bCs w:val="0"/>
          <w:snapToGrid/>
          <w:color w:val="auto"/>
          <w:sz w:val="28"/>
          <w:szCs w:val="28"/>
          <w:highlight w:val="none"/>
        </w:rPr>
        <w:t>参选函</w:t>
      </w:r>
    </w:p>
    <w:p>
      <w:pPr>
        <w:tabs>
          <w:tab w:val="left" w:pos="6300"/>
        </w:tabs>
        <w:snapToGrid w:val="0"/>
        <w:spacing w:line="360" w:lineRule="auto"/>
        <w:ind w:right="-39" w:rightChars="-14"/>
        <w:rPr>
          <w:rFonts w:ascii="宋体"/>
          <w:snapToGrid w:val="0"/>
          <w:color w:val="auto"/>
          <w:kern w:val="0"/>
          <w:sz w:val="24"/>
          <w:szCs w:val="24"/>
          <w:highlight w:val="none"/>
          <w:u w:val="single"/>
        </w:rPr>
      </w:pPr>
    </w:p>
    <w:p>
      <w:pPr>
        <w:tabs>
          <w:tab w:val="left" w:pos="6300"/>
        </w:tabs>
        <w:snapToGrid w:val="0"/>
        <w:spacing w:line="360" w:lineRule="auto"/>
        <w:ind w:right="-39" w:rightChars="-14"/>
        <w:rPr>
          <w:rFonts w:ascii="宋体"/>
          <w:snapToGrid w:val="0"/>
          <w:color w:val="auto"/>
          <w:kern w:val="0"/>
          <w:sz w:val="24"/>
          <w:szCs w:val="24"/>
          <w:highlight w:val="none"/>
        </w:rPr>
      </w:pPr>
      <w:r>
        <w:rPr>
          <w:rFonts w:hint="eastAsia" w:ascii="宋体"/>
          <w:snapToGrid w:val="0"/>
          <w:color w:val="auto"/>
          <w:kern w:val="0"/>
          <w:sz w:val="24"/>
          <w:szCs w:val="24"/>
          <w:highlight w:val="none"/>
          <w:u w:val="single"/>
        </w:rPr>
        <w:t>重庆三峡银行股份有限公司</w:t>
      </w:r>
      <w:r>
        <w:rPr>
          <w:rFonts w:hint="eastAsia" w:ascii="宋体"/>
          <w:snapToGrid w:val="0"/>
          <w:color w:val="auto"/>
          <w:kern w:val="0"/>
          <w:sz w:val="24"/>
          <w:szCs w:val="24"/>
          <w:highlight w:val="none"/>
        </w:rPr>
        <w:t>：</w:t>
      </w:r>
    </w:p>
    <w:p>
      <w:pPr>
        <w:tabs>
          <w:tab w:val="left" w:pos="6300"/>
        </w:tabs>
        <w:snapToGrid w:val="0"/>
        <w:spacing w:line="360" w:lineRule="auto"/>
        <w:ind w:right="-39" w:rightChars="-14" w:firstLine="570"/>
        <w:rPr>
          <w:rFonts w:ascii="宋体"/>
          <w:snapToGrid w:val="0"/>
          <w:color w:val="auto"/>
          <w:kern w:val="0"/>
          <w:sz w:val="24"/>
          <w:szCs w:val="24"/>
          <w:highlight w:val="none"/>
        </w:rPr>
      </w:pPr>
      <w:r>
        <w:rPr>
          <w:rFonts w:hint="eastAsia" w:ascii="宋体"/>
          <w:snapToGrid w:val="0"/>
          <w:color w:val="auto"/>
          <w:kern w:val="0"/>
          <w:sz w:val="24"/>
          <w:szCs w:val="24"/>
          <w:highlight w:val="none"/>
        </w:rPr>
        <w:t>我方收到</w:t>
      </w:r>
      <w:r>
        <w:rPr>
          <w:rFonts w:hint="eastAsia" w:ascii="宋体"/>
          <w:snapToGrid w:val="0"/>
          <w:color w:val="auto"/>
          <w:kern w:val="0"/>
          <w:sz w:val="24"/>
          <w:szCs w:val="24"/>
          <w:highlight w:val="none"/>
          <w:u w:val="single"/>
        </w:rPr>
        <w:t>___________________</w:t>
      </w:r>
      <w:r>
        <w:rPr>
          <w:rFonts w:hint="eastAsia" w:ascii="宋体"/>
          <w:snapToGrid w:val="0"/>
          <w:color w:val="auto"/>
          <w:kern w:val="0"/>
          <w:sz w:val="24"/>
          <w:szCs w:val="24"/>
          <w:highlight w:val="none"/>
        </w:rPr>
        <w:t>比选文件，经详细研究，决定参加该比选项目的</w:t>
      </w:r>
      <w:r>
        <w:rPr>
          <w:rFonts w:hint="eastAsia" w:ascii="宋体" w:cs="Cambria"/>
          <w:snapToGrid w:val="0"/>
          <w:color w:val="auto"/>
          <w:kern w:val="0"/>
          <w:sz w:val="24"/>
          <w:szCs w:val="24"/>
          <w:highlight w:val="none"/>
        </w:rPr>
        <w:t>参选</w:t>
      </w:r>
      <w:r>
        <w:rPr>
          <w:rFonts w:hint="eastAsia" w:ascii="宋体"/>
          <w:snapToGrid w:val="0"/>
          <w:color w:val="auto"/>
          <w:kern w:val="0"/>
          <w:sz w:val="24"/>
          <w:szCs w:val="24"/>
          <w:highlight w:val="none"/>
        </w:rPr>
        <w:t>。</w:t>
      </w:r>
    </w:p>
    <w:p>
      <w:pPr>
        <w:tabs>
          <w:tab w:val="left" w:pos="6300"/>
        </w:tabs>
        <w:autoSpaceDE w:val="0"/>
        <w:snapToGrid w:val="0"/>
        <w:spacing w:line="360" w:lineRule="auto"/>
        <w:ind w:right="-39" w:rightChars="-14" w:firstLine="573"/>
        <w:rPr>
          <w:rFonts w:ascii="宋体"/>
          <w:snapToGrid w:val="0"/>
          <w:color w:val="auto"/>
          <w:kern w:val="0"/>
          <w:sz w:val="24"/>
          <w:szCs w:val="24"/>
          <w:highlight w:val="none"/>
        </w:rPr>
      </w:pPr>
      <w:r>
        <w:rPr>
          <w:rFonts w:hint="eastAsia" w:ascii="宋体"/>
          <w:snapToGrid w:val="0"/>
          <w:color w:val="auto"/>
          <w:kern w:val="0"/>
          <w:sz w:val="24"/>
          <w:szCs w:val="24"/>
          <w:highlight w:val="none"/>
        </w:rPr>
        <w:t>1、愿意按照比选文件中的一切要求，以人民币小写：，人民币大写：的</w:t>
      </w:r>
      <w:r>
        <w:rPr>
          <w:rFonts w:hint="eastAsia" w:ascii="宋体" w:cs="Cambria"/>
          <w:snapToGrid w:val="0"/>
          <w:color w:val="auto"/>
          <w:kern w:val="0"/>
          <w:sz w:val="24"/>
          <w:szCs w:val="24"/>
          <w:highlight w:val="none"/>
        </w:rPr>
        <w:t>参选</w:t>
      </w:r>
      <w:r>
        <w:rPr>
          <w:rFonts w:hint="eastAsia" w:ascii="宋体"/>
          <w:snapToGrid w:val="0"/>
          <w:color w:val="auto"/>
          <w:kern w:val="0"/>
          <w:sz w:val="24"/>
          <w:szCs w:val="24"/>
          <w:highlight w:val="none"/>
        </w:rPr>
        <w:t>总价承担和完成本项目。</w:t>
      </w:r>
    </w:p>
    <w:p>
      <w:pPr>
        <w:tabs>
          <w:tab w:val="left" w:pos="6300"/>
        </w:tabs>
        <w:snapToGrid w:val="0"/>
        <w:spacing w:line="360" w:lineRule="auto"/>
        <w:ind w:right="-39" w:rightChars="-14" w:firstLine="570"/>
        <w:rPr>
          <w:rFonts w:ascii="宋体"/>
          <w:snapToGrid w:val="0"/>
          <w:color w:val="auto"/>
          <w:kern w:val="0"/>
          <w:sz w:val="24"/>
          <w:szCs w:val="24"/>
          <w:highlight w:val="none"/>
        </w:rPr>
      </w:pPr>
      <w:r>
        <w:rPr>
          <w:rFonts w:hint="eastAsia" w:ascii="宋体"/>
          <w:snapToGrid w:val="0"/>
          <w:color w:val="auto"/>
          <w:kern w:val="0"/>
          <w:sz w:val="24"/>
          <w:szCs w:val="24"/>
          <w:highlight w:val="none"/>
        </w:rPr>
        <w:t>2、我方现提交的</w:t>
      </w:r>
      <w:r>
        <w:rPr>
          <w:rFonts w:hint="eastAsia" w:ascii="宋体" w:cs="Cambria"/>
          <w:snapToGrid w:val="0"/>
          <w:color w:val="auto"/>
          <w:kern w:val="0"/>
          <w:sz w:val="24"/>
          <w:szCs w:val="24"/>
          <w:highlight w:val="none"/>
        </w:rPr>
        <w:t>参选</w:t>
      </w:r>
      <w:r>
        <w:rPr>
          <w:rFonts w:hint="eastAsia" w:ascii="宋体"/>
          <w:snapToGrid w:val="0"/>
          <w:color w:val="auto"/>
          <w:kern w:val="0"/>
          <w:sz w:val="24"/>
          <w:szCs w:val="24"/>
          <w:highlight w:val="none"/>
        </w:rPr>
        <w:t>文件为：</w:t>
      </w:r>
      <w:r>
        <w:rPr>
          <w:rFonts w:hint="eastAsia" w:ascii="宋体" w:cs="Cambria"/>
          <w:snapToGrid w:val="0"/>
          <w:color w:val="auto"/>
          <w:kern w:val="0"/>
          <w:sz w:val="24"/>
          <w:szCs w:val="24"/>
          <w:highlight w:val="none"/>
        </w:rPr>
        <w:t>参选</w:t>
      </w:r>
      <w:r>
        <w:rPr>
          <w:rFonts w:hint="eastAsia" w:ascii="宋体"/>
          <w:snapToGrid w:val="0"/>
          <w:color w:val="auto"/>
          <w:kern w:val="0"/>
          <w:sz w:val="24"/>
          <w:szCs w:val="24"/>
          <w:highlight w:val="none"/>
        </w:rPr>
        <w:t>文件正本一份，副本一份</w:t>
      </w:r>
      <w:r>
        <w:rPr>
          <w:rFonts w:hint="eastAsia" w:ascii="宋体"/>
          <w:snapToGrid w:val="0"/>
          <w:color w:val="auto"/>
          <w:kern w:val="0"/>
          <w:sz w:val="24"/>
          <w:szCs w:val="24"/>
          <w:highlight w:val="none"/>
          <w:lang w:eastAsia="zh-CN"/>
        </w:rPr>
        <w:t>，</w:t>
      </w:r>
      <w:r>
        <w:rPr>
          <w:rFonts w:hint="eastAsia" w:ascii="宋体"/>
          <w:snapToGrid w:val="0"/>
          <w:color w:val="auto"/>
          <w:kern w:val="0"/>
          <w:sz w:val="24"/>
          <w:szCs w:val="24"/>
          <w:highlight w:val="none"/>
        </w:rPr>
        <w:t>电子文件一份。</w:t>
      </w:r>
    </w:p>
    <w:p>
      <w:pPr>
        <w:tabs>
          <w:tab w:val="left" w:pos="6300"/>
        </w:tabs>
        <w:snapToGrid w:val="0"/>
        <w:spacing w:line="360" w:lineRule="auto"/>
        <w:ind w:right="-39" w:rightChars="-14" w:firstLine="570"/>
        <w:rPr>
          <w:rFonts w:ascii="宋体"/>
          <w:snapToGrid w:val="0"/>
          <w:color w:val="auto"/>
          <w:kern w:val="0"/>
          <w:sz w:val="24"/>
          <w:szCs w:val="24"/>
          <w:highlight w:val="none"/>
        </w:rPr>
      </w:pPr>
      <w:r>
        <w:rPr>
          <w:rFonts w:hint="eastAsia" w:ascii="宋体"/>
          <w:snapToGrid w:val="0"/>
          <w:color w:val="auto"/>
          <w:kern w:val="0"/>
          <w:sz w:val="24"/>
          <w:szCs w:val="24"/>
          <w:highlight w:val="none"/>
        </w:rPr>
        <w:t>3、如果我方</w:t>
      </w:r>
      <w:r>
        <w:rPr>
          <w:rFonts w:hint="eastAsia" w:ascii="宋体" w:cs="Cambria"/>
          <w:snapToGrid w:val="0"/>
          <w:color w:val="auto"/>
          <w:kern w:val="0"/>
          <w:sz w:val="24"/>
          <w:szCs w:val="24"/>
          <w:highlight w:val="none"/>
        </w:rPr>
        <w:t>参选</w:t>
      </w:r>
      <w:r>
        <w:rPr>
          <w:rFonts w:hint="eastAsia" w:ascii="宋体"/>
          <w:snapToGrid w:val="0"/>
          <w:color w:val="auto"/>
          <w:kern w:val="0"/>
          <w:sz w:val="24"/>
          <w:szCs w:val="24"/>
          <w:highlight w:val="none"/>
        </w:rPr>
        <w:t>文件被接受，我方将履行比选文件中规定的各项要求，按相关法律法规和合同约定条款承担我方的责任。</w:t>
      </w:r>
    </w:p>
    <w:p>
      <w:pPr>
        <w:tabs>
          <w:tab w:val="left" w:pos="6300"/>
        </w:tabs>
        <w:snapToGrid w:val="0"/>
        <w:spacing w:line="360" w:lineRule="auto"/>
        <w:ind w:right="-39" w:rightChars="-14" w:firstLine="570"/>
        <w:rPr>
          <w:rFonts w:ascii="宋体"/>
          <w:snapToGrid w:val="0"/>
          <w:color w:val="auto"/>
          <w:kern w:val="0"/>
          <w:sz w:val="24"/>
          <w:szCs w:val="24"/>
          <w:highlight w:val="none"/>
        </w:rPr>
      </w:pPr>
      <w:r>
        <w:rPr>
          <w:rFonts w:hint="eastAsia" w:ascii="宋体"/>
          <w:snapToGrid w:val="0"/>
          <w:color w:val="auto"/>
          <w:kern w:val="0"/>
          <w:sz w:val="24"/>
          <w:szCs w:val="24"/>
          <w:highlight w:val="none"/>
        </w:rPr>
        <w:t>4、我方愿意提供比选文件中要求的所有资料，并对其真实性负责。</w:t>
      </w:r>
    </w:p>
    <w:p>
      <w:pPr>
        <w:tabs>
          <w:tab w:val="left" w:pos="6300"/>
        </w:tabs>
        <w:snapToGrid w:val="0"/>
        <w:spacing w:line="360" w:lineRule="auto"/>
        <w:ind w:right="-39" w:rightChars="-14" w:firstLine="570"/>
        <w:rPr>
          <w:rFonts w:ascii="宋体"/>
          <w:snapToGrid w:val="0"/>
          <w:color w:val="auto"/>
          <w:kern w:val="0"/>
          <w:sz w:val="24"/>
          <w:szCs w:val="24"/>
          <w:highlight w:val="none"/>
        </w:rPr>
      </w:pPr>
      <w:r>
        <w:rPr>
          <w:rFonts w:hint="eastAsia" w:ascii="宋体"/>
          <w:snapToGrid w:val="0"/>
          <w:color w:val="auto"/>
          <w:kern w:val="0"/>
          <w:sz w:val="24"/>
          <w:szCs w:val="24"/>
          <w:highlight w:val="none"/>
        </w:rPr>
        <w:t>5、我方理解最低价格不是中选的唯一条件。</w:t>
      </w:r>
    </w:p>
    <w:p>
      <w:pPr>
        <w:tabs>
          <w:tab w:val="left" w:pos="6300"/>
        </w:tabs>
        <w:snapToGrid w:val="0"/>
        <w:spacing w:line="360" w:lineRule="auto"/>
        <w:ind w:right="-39" w:rightChars="-14" w:firstLine="570"/>
        <w:rPr>
          <w:rFonts w:ascii="宋体"/>
          <w:snapToGrid w:val="0"/>
          <w:color w:val="auto"/>
          <w:kern w:val="0"/>
          <w:sz w:val="24"/>
          <w:szCs w:val="24"/>
          <w:highlight w:val="none"/>
        </w:rPr>
      </w:pPr>
      <w:r>
        <w:rPr>
          <w:rFonts w:hint="eastAsia" w:ascii="宋体"/>
          <w:snapToGrid w:val="0"/>
          <w:color w:val="auto"/>
          <w:kern w:val="0"/>
          <w:sz w:val="24"/>
          <w:szCs w:val="24"/>
          <w:highlight w:val="none"/>
        </w:rPr>
        <w:t>6、</w:t>
      </w:r>
      <w:r>
        <w:rPr>
          <w:rFonts w:hint="eastAsia" w:ascii="宋体" w:cs="Cambria"/>
          <w:snapToGrid w:val="0"/>
          <w:color w:val="auto"/>
          <w:kern w:val="0"/>
          <w:sz w:val="24"/>
          <w:szCs w:val="24"/>
          <w:highlight w:val="none"/>
        </w:rPr>
        <w:t>参选</w:t>
      </w:r>
      <w:r>
        <w:rPr>
          <w:rFonts w:hint="eastAsia" w:ascii="宋体"/>
          <w:snapToGrid w:val="0"/>
          <w:color w:val="auto"/>
          <w:kern w:val="0"/>
          <w:sz w:val="24"/>
          <w:szCs w:val="24"/>
          <w:highlight w:val="none"/>
        </w:rPr>
        <w:t>有效期为</w:t>
      </w:r>
      <w:r>
        <w:rPr>
          <w:rFonts w:hint="eastAsia" w:ascii="宋体" w:cs="Cambria"/>
          <w:snapToGrid w:val="0"/>
          <w:color w:val="auto"/>
          <w:kern w:val="0"/>
          <w:sz w:val="24"/>
          <w:szCs w:val="24"/>
          <w:highlight w:val="none"/>
        </w:rPr>
        <w:t>参选</w:t>
      </w:r>
      <w:r>
        <w:rPr>
          <w:rFonts w:hint="eastAsia" w:ascii="宋体"/>
          <w:snapToGrid w:val="0"/>
          <w:color w:val="auto"/>
          <w:kern w:val="0"/>
          <w:sz w:val="24"/>
          <w:szCs w:val="24"/>
          <w:highlight w:val="none"/>
        </w:rPr>
        <w:t>截止日期后90天内。</w:t>
      </w:r>
    </w:p>
    <w:p>
      <w:pPr>
        <w:tabs>
          <w:tab w:val="left" w:pos="6300"/>
        </w:tabs>
        <w:snapToGrid w:val="0"/>
        <w:spacing w:line="360" w:lineRule="auto"/>
        <w:ind w:right="-39" w:rightChars="-14" w:firstLine="570"/>
        <w:rPr>
          <w:rFonts w:ascii="宋体"/>
          <w:snapToGrid w:val="0"/>
          <w:color w:val="auto"/>
          <w:kern w:val="0"/>
          <w:sz w:val="24"/>
          <w:szCs w:val="24"/>
          <w:highlight w:val="none"/>
        </w:rPr>
      </w:pPr>
    </w:p>
    <w:p>
      <w:pPr>
        <w:tabs>
          <w:tab w:val="left" w:pos="6300"/>
        </w:tabs>
        <w:snapToGrid w:val="0"/>
        <w:spacing w:line="360" w:lineRule="auto"/>
        <w:ind w:right="-39" w:rightChars="-14"/>
        <w:rPr>
          <w:rFonts w:ascii="宋体"/>
          <w:snapToGrid w:val="0"/>
          <w:color w:val="auto"/>
          <w:kern w:val="0"/>
          <w:sz w:val="24"/>
          <w:szCs w:val="24"/>
          <w:highlight w:val="none"/>
        </w:rPr>
      </w:pPr>
    </w:p>
    <w:p>
      <w:pPr>
        <w:tabs>
          <w:tab w:val="left" w:pos="6300"/>
        </w:tabs>
        <w:snapToGrid w:val="0"/>
        <w:spacing w:line="360" w:lineRule="auto"/>
        <w:ind w:right="-39" w:rightChars="-14" w:firstLine="570"/>
        <w:rPr>
          <w:rFonts w:ascii="宋体"/>
          <w:snapToGrid w:val="0"/>
          <w:color w:val="auto"/>
          <w:kern w:val="0"/>
          <w:sz w:val="24"/>
          <w:szCs w:val="24"/>
          <w:highlight w:val="none"/>
        </w:rPr>
      </w:pPr>
      <w:r>
        <w:rPr>
          <w:rFonts w:hint="eastAsia" w:ascii="宋体" w:cs="Cambria"/>
          <w:snapToGrid w:val="0"/>
          <w:color w:val="auto"/>
          <w:kern w:val="0"/>
          <w:sz w:val="24"/>
          <w:szCs w:val="24"/>
          <w:highlight w:val="none"/>
        </w:rPr>
        <w:t>参选</w:t>
      </w:r>
      <w:r>
        <w:rPr>
          <w:rFonts w:hint="eastAsia" w:ascii="宋体"/>
          <w:snapToGrid w:val="0"/>
          <w:color w:val="auto"/>
          <w:kern w:val="0"/>
          <w:sz w:val="24"/>
          <w:szCs w:val="24"/>
          <w:highlight w:val="none"/>
        </w:rPr>
        <w:t>人（公章）：</w:t>
      </w:r>
    </w:p>
    <w:p>
      <w:pPr>
        <w:tabs>
          <w:tab w:val="left" w:pos="6300"/>
        </w:tabs>
        <w:snapToGrid w:val="0"/>
        <w:spacing w:line="360" w:lineRule="auto"/>
        <w:ind w:right="-39" w:rightChars="-14" w:firstLine="570"/>
        <w:rPr>
          <w:rFonts w:ascii="宋体"/>
          <w:snapToGrid w:val="0"/>
          <w:color w:val="auto"/>
          <w:kern w:val="0"/>
          <w:sz w:val="24"/>
          <w:szCs w:val="24"/>
          <w:highlight w:val="none"/>
        </w:rPr>
      </w:pPr>
      <w:r>
        <w:rPr>
          <w:rFonts w:hint="eastAsia" w:ascii="宋体"/>
          <w:snapToGrid w:val="0"/>
          <w:color w:val="auto"/>
          <w:kern w:val="0"/>
          <w:sz w:val="24"/>
          <w:szCs w:val="24"/>
          <w:highlight w:val="none"/>
        </w:rPr>
        <w:t xml:space="preserve">地址：  </w:t>
      </w:r>
    </w:p>
    <w:p>
      <w:pPr>
        <w:tabs>
          <w:tab w:val="left" w:pos="6300"/>
        </w:tabs>
        <w:snapToGrid w:val="0"/>
        <w:spacing w:line="360" w:lineRule="auto"/>
        <w:ind w:right="-39" w:rightChars="-14" w:firstLine="570"/>
        <w:rPr>
          <w:rFonts w:ascii="宋体"/>
          <w:snapToGrid w:val="0"/>
          <w:color w:val="auto"/>
          <w:kern w:val="0"/>
          <w:sz w:val="24"/>
          <w:szCs w:val="24"/>
          <w:highlight w:val="none"/>
        </w:rPr>
      </w:pPr>
      <w:r>
        <w:rPr>
          <w:rFonts w:hint="eastAsia" w:ascii="宋体"/>
          <w:snapToGrid w:val="0"/>
          <w:color w:val="auto"/>
          <w:kern w:val="0"/>
          <w:sz w:val="24"/>
          <w:szCs w:val="24"/>
          <w:highlight w:val="none"/>
        </w:rPr>
        <w:t>电话：                           传真：</w:t>
      </w:r>
    </w:p>
    <w:p>
      <w:pPr>
        <w:tabs>
          <w:tab w:val="left" w:pos="6300"/>
        </w:tabs>
        <w:snapToGrid w:val="0"/>
        <w:spacing w:line="360" w:lineRule="auto"/>
        <w:ind w:right="-39" w:rightChars="-14" w:firstLine="570"/>
        <w:rPr>
          <w:rFonts w:ascii="宋体"/>
          <w:snapToGrid w:val="0"/>
          <w:color w:val="auto"/>
          <w:kern w:val="0"/>
          <w:sz w:val="24"/>
          <w:szCs w:val="24"/>
          <w:highlight w:val="none"/>
        </w:rPr>
      </w:pPr>
      <w:r>
        <w:rPr>
          <w:rFonts w:hint="eastAsia" w:ascii="宋体"/>
          <w:snapToGrid w:val="0"/>
          <w:color w:val="auto"/>
          <w:kern w:val="0"/>
          <w:sz w:val="24"/>
          <w:szCs w:val="24"/>
          <w:highlight w:val="none"/>
        </w:rPr>
        <w:t xml:space="preserve">网址：                         </w:t>
      </w:r>
    </w:p>
    <w:p>
      <w:pPr>
        <w:tabs>
          <w:tab w:val="left" w:pos="6300"/>
        </w:tabs>
        <w:snapToGrid w:val="0"/>
        <w:spacing w:line="360" w:lineRule="auto"/>
        <w:ind w:right="-39" w:rightChars="-14" w:firstLine="6540" w:firstLineChars="2725"/>
        <w:rPr>
          <w:rFonts w:ascii="宋体"/>
          <w:snapToGrid w:val="0"/>
          <w:color w:val="auto"/>
          <w:kern w:val="0"/>
          <w:sz w:val="24"/>
          <w:szCs w:val="24"/>
          <w:highlight w:val="none"/>
        </w:rPr>
      </w:pPr>
    </w:p>
    <w:p>
      <w:pPr>
        <w:tabs>
          <w:tab w:val="left" w:pos="6300"/>
        </w:tabs>
        <w:snapToGrid w:val="0"/>
        <w:spacing w:line="360" w:lineRule="auto"/>
        <w:ind w:right="-39" w:rightChars="-14" w:firstLine="5400" w:firstLineChars="2250"/>
        <w:rPr>
          <w:rFonts w:ascii="宋体"/>
          <w:snapToGrid w:val="0"/>
          <w:color w:val="auto"/>
          <w:kern w:val="0"/>
          <w:sz w:val="24"/>
          <w:szCs w:val="24"/>
          <w:highlight w:val="none"/>
        </w:rPr>
      </w:pPr>
      <w:r>
        <w:rPr>
          <w:rFonts w:hint="eastAsia" w:ascii="宋体"/>
          <w:snapToGrid w:val="0"/>
          <w:color w:val="auto"/>
          <w:kern w:val="0"/>
          <w:sz w:val="24"/>
          <w:szCs w:val="24"/>
          <w:highlight w:val="none"/>
        </w:rPr>
        <w:t>年     月     日</w:t>
      </w:r>
    </w:p>
    <w:p>
      <w:pPr>
        <w:widowControl/>
        <w:spacing w:line="360" w:lineRule="auto"/>
        <w:jc w:val="left"/>
        <w:rPr>
          <w:rFonts w:ascii="宋体"/>
          <w:snapToGrid w:val="0"/>
          <w:color w:val="auto"/>
          <w:kern w:val="0"/>
          <w:sz w:val="24"/>
          <w:szCs w:val="24"/>
          <w:highlight w:val="none"/>
        </w:rPr>
      </w:pPr>
    </w:p>
    <w:p>
      <w:pPr>
        <w:tabs>
          <w:tab w:val="left" w:pos="6300"/>
        </w:tabs>
        <w:snapToGrid w:val="0"/>
        <w:spacing w:line="360" w:lineRule="auto"/>
        <w:rPr>
          <w:rFonts w:ascii="宋体"/>
          <w:snapToGrid w:val="0"/>
          <w:color w:val="auto"/>
          <w:kern w:val="0"/>
          <w:sz w:val="24"/>
          <w:szCs w:val="24"/>
          <w:highlight w:val="none"/>
        </w:rPr>
      </w:pPr>
    </w:p>
    <w:p>
      <w:pPr>
        <w:widowControl/>
        <w:spacing w:line="360" w:lineRule="auto"/>
        <w:jc w:val="left"/>
        <w:rPr>
          <w:rFonts w:ascii="宋体"/>
          <w:snapToGrid w:val="0"/>
          <w:color w:val="auto"/>
          <w:kern w:val="0"/>
          <w:sz w:val="24"/>
          <w:szCs w:val="24"/>
          <w:highlight w:val="none"/>
        </w:rPr>
      </w:pPr>
    </w:p>
    <w:p>
      <w:pPr>
        <w:widowControl/>
        <w:spacing w:line="360" w:lineRule="auto"/>
        <w:jc w:val="left"/>
        <w:rPr>
          <w:rFonts w:ascii="宋体"/>
          <w:snapToGrid w:val="0"/>
          <w:color w:val="auto"/>
          <w:kern w:val="0"/>
          <w:sz w:val="24"/>
          <w:szCs w:val="24"/>
          <w:highlight w:val="none"/>
        </w:rPr>
      </w:pPr>
    </w:p>
    <w:p>
      <w:pPr>
        <w:widowControl/>
        <w:spacing w:line="360" w:lineRule="auto"/>
        <w:jc w:val="left"/>
        <w:rPr>
          <w:rFonts w:ascii="宋体"/>
          <w:snapToGrid w:val="0"/>
          <w:color w:val="auto"/>
          <w:kern w:val="0"/>
          <w:sz w:val="24"/>
          <w:szCs w:val="24"/>
          <w:highlight w:val="none"/>
        </w:rPr>
      </w:pPr>
    </w:p>
    <w:p>
      <w:pPr>
        <w:pStyle w:val="5"/>
        <w:numPr>
          <w:ilvl w:val="-1"/>
          <w:numId w:val="0"/>
        </w:numPr>
        <w:ind w:left="0" w:firstLine="0" w:firstLineChars="0"/>
        <w:jc w:val="center"/>
        <w:outlineLvl w:val="2"/>
        <w:rPr>
          <w:color w:val="auto"/>
          <w:kern w:val="0"/>
          <w:sz w:val="28"/>
          <w:szCs w:val="28"/>
          <w:highlight w:val="none"/>
        </w:rPr>
      </w:pPr>
      <w:r>
        <w:rPr>
          <w:rFonts w:hint="eastAsia" w:cs="Cambria"/>
          <w:bCs w:val="0"/>
          <w:snapToGrid/>
          <w:color w:val="auto"/>
          <w:sz w:val="28"/>
          <w:szCs w:val="28"/>
          <w:highlight w:val="none"/>
          <w:lang w:val="en-US" w:eastAsia="zh-CN"/>
        </w:rPr>
        <w:t>二、</w:t>
      </w:r>
      <w:r>
        <w:rPr>
          <w:rFonts w:hint="eastAsia" w:cs="Cambria"/>
          <w:bCs w:val="0"/>
          <w:snapToGrid/>
          <w:color w:val="auto"/>
          <w:sz w:val="28"/>
          <w:szCs w:val="28"/>
          <w:highlight w:val="none"/>
        </w:rPr>
        <w:t>报价一览表</w:t>
      </w:r>
    </w:p>
    <w:p>
      <w:pPr>
        <w:tabs>
          <w:tab w:val="left" w:pos="6300"/>
        </w:tabs>
        <w:snapToGrid w:val="0"/>
        <w:spacing w:line="360" w:lineRule="auto"/>
        <w:jc w:val="center"/>
        <w:rPr>
          <w:rFonts w:ascii="宋体"/>
          <w:b/>
          <w:snapToGrid w:val="0"/>
          <w:color w:val="auto"/>
          <w:kern w:val="0"/>
          <w:sz w:val="24"/>
          <w:szCs w:val="24"/>
          <w:highlight w:val="none"/>
        </w:rPr>
      </w:pP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0"/>
        <w:gridCol w:w="3341"/>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napToGrid w:val="0"/>
                <w:color w:val="auto"/>
                <w:kern w:val="0"/>
                <w:sz w:val="24"/>
                <w:szCs w:val="24"/>
                <w:highlight w:val="none"/>
              </w:rPr>
            </w:pPr>
            <w:r>
              <w:rPr>
                <w:rFonts w:hint="eastAsia" w:ascii="宋体" w:cs="Cambria"/>
                <w:snapToGrid w:val="0"/>
                <w:color w:val="auto"/>
                <w:kern w:val="0"/>
                <w:sz w:val="24"/>
                <w:szCs w:val="24"/>
                <w:highlight w:val="none"/>
              </w:rPr>
              <w:t>参选</w:t>
            </w:r>
            <w:r>
              <w:rPr>
                <w:rFonts w:hint="eastAsia" w:ascii="宋体"/>
                <w:snapToGrid w:val="0"/>
                <w:color w:val="auto"/>
                <w:kern w:val="0"/>
                <w:sz w:val="24"/>
                <w:szCs w:val="24"/>
                <w:highlight w:val="none"/>
              </w:rPr>
              <w:t>人全称</w:t>
            </w:r>
          </w:p>
        </w:tc>
        <w:tc>
          <w:tcPr>
            <w:tcW w:w="593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napToGrid w:val="0"/>
                <w:color w:val="auto"/>
                <w:kern w:val="0"/>
                <w:sz w:val="24"/>
                <w:szCs w:val="24"/>
                <w:highlight w:val="none"/>
              </w:rPr>
            </w:pPr>
            <w:r>
              <w:rPr>
                <w:rFonts w:hint="eastAsia" w:ascii="宋体"/>
                <w:snapToGrid w:val="0"/>
                <w:color w:val="auto"/>
                <w:kern w:val="0"/>
                <w:sz w:val="24"/>
                <w:szCs w:val="24"/>
                <w:highlight w:val="none"/>
              </w:rPr>
              <w:t>比选项目名称</w:t>
            </w:r>
          </w:p>
        </w:tc>
        <w:tc>
          <w:tcPr>
            <w:tcW w:w="33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Cambria"/>
                <w:color w:val="auto"/>
                <w:sz w:val="24"/>
                <w:szCs w:val="24"/>
                <w:highlight w:val="none"/>
              </w:rPr>
            </w:pPr>
            <w:r>
              <w:rPr>
                <w:rFonts w:hint="eastAsia" w:ascii="宋体"/>
                <w:snapToGrid w:val="0"/>
                <w:color w:val="auto"/>
                <w:sz w:val="24"/>
                <w:szCs w:val="24"/>
                <w:highlight w:val="none"/>
              </w:rPr>
              <w:t>参选</w:t>
            </w:r>
            <w:r>
              <w:rPr>
                <w:rFonts w:hint="eastAsia" w:ascii="宋体"/>
                <w:color w:val="auto"/>
                <w:sz w:val="24"/>
                <w:szCs w:val="24"/>
                <w:highlight w:val="none"/>
              </w:rPr>
              <w:t>总价（含税）</w:t>
            </w:r>
          </w:p>
        </w:tc>
        <w:tc>
          <w:tcPr>
            <w:tcW w:w="25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szCs w:val="24"/>
                <w:highlight w:val="none"/>
              </w:rPr>
            </w:pPr>
            <w:r>
              <w:rPr>
                <w:rFonts w:hint="eastAsia" w:ascii="宋体"/>
                <w:color w:val="auto"/>
                <w:sz w:val="24"/>
                <w:szCs w:val="24"/>
                <w:highlight w:val="none"/>
              </w:rPr>
              <w:t>维保服务时限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napToGrid w:val="0"/>
                <w:color w:val="auto"/>
                <w:kern w:val="0"/>
                <w:sz w:val="24"/>
                <w:szCs w:val="24"/>
                <w:highlight w:val="none"/>
              </w:rPr>
            </w:pPr>
            <w:r>
              <w:rPr>
                <w:rFonts w:hint="eastAsia" w:ascii="宋体" w:cs="宋体"/>
                <w:snapToGrid w:val="0"/>
                <w:color w:val="auto"/>
                <w:kern w:val="0"/>
                <w:sz w:val="24"/>
                <w:szCs w:val="24"/>
                <w:highlight w:val="none"/>
              </w:rPr>
              <w:t>IBM相关软件原厂维保项目-2023年度</w:t>
            </w:r>
            <w:r>
              <w:rPr>
                <w:rFonts w:ascii="宋体" w:cs="宋体"/>
                <w:snapToGrid w:val="0"/>
                <w:color w:val="auto"/>
                <w:kern w:val="0"/>
                <w:sz w:val="24"/>
                <w:szCs w:val="24"/>
                <w:highlight w:val="none"/>
              </w:rPr>
              <w:t>采购</w:t>
            </w:r>
          </w:p>
        </w:tc>
        <w:tc>
          <w:tcPr>
            <w:tcW w:w="334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olor w:val="auto"/>
                <w:sz w:val="24"/>
                <w:szCs w:val="24"/>
                <w:highlight w:val="none"/>
              </w:rPr>
            </w:pPr>
            <w:r>
              <w:rPr>
                <w:rFonts w:hint="eastAsia" w:ascii="宋体"/>
                <w:color w:val="auto"/>
                <w:sz w:val="24"/>
                <w:szCs w:val="24"/>
                <w:highlight w:val="none"/>
              </w:rPr>
              <w:t>小写：</w:t>
            </w:r>
          </w:p>
        </w:tc>
        <w:tc>
          <w:tcPr>
            <w:tcW w:w="25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852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snapToGrid w:val="0"/>
                <w:color w:val="auto"/>
                <w:kern w:val="0"/>
                <w:sz w:val="24"/>
                <w:szCs w:val="24"/>
                <w:highlight w:val="none"/>
              </w:rPr>
            </w:pPr>
            <w:r>
              <w:rPr>
                <w:rFonts w:hint="eastAsia" w:ascii="宋体"/>
                <w:snapToGrid w:val="0"/>
                <w:color w:val="auto"/>
                <w:kern w:val="0"/>
                <w:sz w:val="24"/>
                <w:szCs w:val="24"/>
                <w:highlight w:val="none"/>
              </w:rPr>
              <w:t>大写：人民币</w:t>
            </w:r>
            <w:r>
              <w:rPr>
                <w:rFonts w:hint="eastAsia" w:ascii="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napToGrid w:val="0"/>
                <w:color w:val="auto"/>
                <w:kern w:val="0"/>
                <w:sz w:val="24"/>
                <w:szCs w:val="24"/>
                <w:highlight w:val="none"/>
              </w:rPr>
            </w:pPr>
            <w:r>
              <w:rPr>
                <w:rFonts w:hint="eastAsia" w:ascii="宋体"/>
                <w:snapToGrid w:val="0"/>
                <w:color w:val="auto"/>
                <w:kern w:val="0"/>
                <w:sz w:val="24"/>
                <w:szCs w:val="24"/>
                <w:highlight w:val="none"/>
              </w:rPr>
              <w:t>开具发票类型</w:t>
            </w:r>
          </w:p>
        </w:tc>
        <w:tc>
          <w:tcPr>
            <w:tcW w:w="593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auto"/>
                <w:sz w:val="24"/>
                <w:szCs w:val="24"/>
                <w:highlight w:val="none"/>
              </w:rPr>
            </w:pPr>
            <w:r>
              <w:rPr>
                <w:rFonts w:hint="eastAsia" w:ascii="宋体"/>
                <w:color w:val="auto"/>
                <w:sz w:val="24"/>
                <w:szCs w:val="24"/>
                <w:highlight w:val="none"/>
              </w:rPr>
              <w:t>税率为__</w:t>
            </w:r>
            <w:r>
              <w:rPr>
                <w:rFonts w:hint="eastAsia" w:ascii="宋体"/>
                <w:color w:val="auto"/>
                <w:sz w:val="24"/>
                <w:szCs w:val="24"/>
                <w:highlight w:val="none"/>
                <w:lang w:val="en-US" w:eastAsia="zh-CN"/>
              </w:rPr>
              <w:t>13</w:t>
            </w:r>
            <w:r>
              <w:rPr>
                <w:rFonts w:hint="eastAsia" w:ascii="宋体"/>
                <w:color w:val="auto"/>
                <w:sz w:val="24"/>
                <w:szCs w:val="24"/>
                <w:highlight w:val="none"/>
              </w:rPr>
              <w:t>_%的增值税专用发票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522" w:type="dxa"/>
            <w:gridSpan w:val="3"/>
            <w:tcBorders>
              <w:top w:val="single" w:color="auto" w:sz="4" w:space="0"/>
              <w:left w:val="single" w:color="auto" w:sz="4" w:space="0"/>
              <w:bottom w:val="single" w:color="auto" w:sz="4" w:space="0"/>
              <w:right w:val="single" w:color="auto" w:sz="4" w:space="0"/>
            </w:tcBorders>
          </w:tcPr>
          <w:p>
            <w:pPr>
              <w:pStyle w:val="16"/>
              <w:spacing w:line="360" w:lineRule="auto"/>
              <w:rPr>
                <w:rFonts w:ascii="宋体"/>
                <w:snapToGrid w:val="0"/>
                <w:color w:val="auto"/>
                <w:kern w:val="0"/>
                <w:sz w:val="24"/>
                <w:szCs w:val="24"/>
                <w:highlight w:val="none"/>
              </w:rPr>
            </w:pPr>
          </w:p>
          <w:p>
            <w:pPr>
              <w:pStyle w:val="16"/>
              <w:spacing w:line="360" w:lineRule="auto"/>
              <w:rPr>
                <w:rFonts w:ascii="宋体"/>
                <w:snapToGrid w:val="0"/>
                <w:color w:val="auto"/>
                <w:kern w:val="0"/>
                <w:sz w:val="24"/>
                <w:szCs w:val="24"/>
                <w:highlight w:val="none"/>
              </w:rPr>
            </w:pPr>
            <w:r>
              <w:rPr>
                <w:rFonts w:hint="eastAsia" w:ascii="宋体"/>
                <w:snapToGrid w:val="0"/>
                <w:color w:val="auto"/>
                <w:kern w:val="0"/>
                <w:sz w:val="24"/>
                <w:szCs w:val="24"/>
                <w:highlight w:val="none"/>
              </w:rPr>
              <w:t>备注：</w:t>
            </w:r>
          </w:p>
        </w:tc>
      </w:tr>
    </w:tbl>
    <w:p>
      <w:pPr>
        <w:pStyle w:val="16"/>
        <w:spacing w:line="360" w:lineRule="auto"/>
        <w:rPr>
          <w:rFonts w:ascii="宋体"/>
          <w:color w:val="auto"/>
          <w:sz w:val="24"/>
          <w:szCs w:val="24"/>
          <w:highlight w:val="none"/>
        </w:rPr>
      </w:pPr>
      <w:r>
        <w:rPr>
          <w:rFonts w:hint="eastAsia" w:ascii="宋体"/>
          <w:color w:val="auto"/>
          <w:sz w:val="24"/>
          <w:szCs w:val="24"/>
          <w:highlight w:val="none"/>
        </w:rPr>
        <w:t>注：若含有多种税率，请注明各自金额比重，否则统一按低税率核算价格得分。若遇国家税率调整，则保持不含税价不变，重新计算含税价格。</w:t>
      </w:r>
    </w:p>
    <w:p>
      <w:pPr>
        <w:spacing w:line="360" w:lineRule="auto"/>
        <w:ind w:right="-39" w:rightChars="-14"/>
        <w:rPr>
          <w:rFonts w:ascii="宋体"/>
          <w:color w:val="auto"/>
          <w:sz w:val="24"/>
          <w:szCs w:val="24"/>
          <w:highlight w:val="none"/>
        </w:rPr>
      </w:pPr>
    </w:p>
    <w:p>
      <w:pPr>
        <w:spacing w:line="360" w:lineRule="auto"/>
        <w:ind w:right="-39" w:rightChars="-14"/>
        <w:rPr>
          <w:rFonts w:ascii="宋体"/>
          <w:snapToGrid w:val="0"/>
          <w:color w:val="auto"/>
          <w:kern w:val="0"/>
          <w:sz w:val="24"/>
          <w:szCs w:val="24"/>
          <w:highlight w:val="none"/>
        </w:rPr>
      </w:pPr>
      <w:r>
        <w:rPr>
          <w:rFonts w:hint="eastAsia" w:ascii="宋体" w:cs="等线 Light"/>
          <w:snapToGrid w:val="0"/>
          <w:color w:val="auto"/>
          <w:kern w:val="0"/>
          <w:sz w:val="24"/>
          <w:szCs w:val="24"/>
          <w:highlight w:val="none"/>
        </w:rPr>
        <w:t>参选</w:t>
      </w:r>
      <w:r>
        <w:rPr>
          <w:rFonts w:hint="eastAsia" w:ascii="宋体"/>
          <w:snapToGrid w:val="0"/>
          <w:color w:val="auto"/>
          <w:kern w:val="0"/>
          <w:sz w:val="24"/>
          <w:szCs w:val="24"/>
          <w:highlight w:val="none"/>
        </w:rPr>
        <w:t>人：                            法人授权代表：</w:t>
      </w:r>
    </w:p>
    <w:p>
      <w:pPr>
        <w:spacing w:line="360" w:lineRule="auto"/>
        <w:ind w:right="-39" w:rightChars="-14"/>
        <w:rPr>
          <w:rFonts w:ascii="宋体"/>
          <w:snapToGrid w:val="0"/>
          <w:color w:val="auto"/>
          <w:kern w:val="0"/>
          <w:sz w:val="24"/>
          <w:szCs w:val="24"/>
          <w:highlight w:val="none"/>
        </w:rPr>
      </w:pPr>
      <w:r>
        <w:rPr>
          <w:rFonts w:hint="eastAsia" w:ascii="宋体"/>
          <w:snapToGrid w:val="0"/>
          <w:color w:val="auto"/>
          <w:kern w:val="0"/>
          <w:sz w:val="24"/>
          <w:szCs w:val="24"/>
          <w:highlight w:val="none"/>
        </w:rPr>
        <w:t xml:space="preserve">  （公章）                               （签章）</w:t>
      </w:r>
    </w:p>
    <w:p>
      <w:pPr>
        <w:spacing w:line="360" w:lineRule="auto"/>
        <w:ind w:right="-39" w:rightChars="-14"/>
        <w:jc w:val="right"/>
        <w:rPr>
          <w:rFonts w:ascii="宋体"/>
          <w:snapToGrid w:val="0"/>
          <w:color w:val="auto"/>
          <w:kern w:val="0"/>
          <w:sz w:val="24"/>
          <w:szCs w:val="24"/>
          <w:highlight w:val="none"/>
        </w:rPr>
      </w:pPr>
      <w:r>
        <w:rPr>
          <w:rFonts w:hint="eastAsia" w:ascii="宋体"/>
          <w:snapToGrid w:val="0"/>
          <w:color w:val="auto"/>
          <w:kern w:val="0"/>
          <w:sz w:val="24"/>
          <w:szCs w:val="24"/>
          <w:highlight w:val="none"/>
        </w:rPr>
        <w:t xml:space="preserve">                                     年     月     日</w:t>
      </w:r>
    </w:p>
    <w:p>
      <w:pPr>
        <w:snapToGrid w:val="0"/>
        <w:spacing w:line="360" w:lineRule="auto"/>
        <w:rPr>
          <w:rFonts w:ascii="宋体"/>
          <w:snapToGrid w:val="0"/>
          <w:color w:val="auto"/>
          <w:kern w:val="0"/>
          <w:sz w:val="24"/>
          <w:szCs w:val="24"/>
          <w:highlight w:val="none"/>
        </w:rPr>
      </w:pPr>
    </w:p>
    <w:p>
      <w:pPr>
        <w:snapToGrid w:val="0"/>
        <w:spacing w:line="360" w:lineRule="auto"/>
        <w:rPr>
          <w:rFonts w:ascii="宋体"/>
          <w:snapToGrid w:val="0"/>
          <w:color w:val="auto"/>
          <w:kern w:val="0"/>
          <w:sz w:val="24"/>
          <w:szCs w:val="24"/>
          <w:highlight w:val="none"/>
        </w:rPr>
      </w:pPr>
    </w:p>
    <w:p>
      <w:pPr>
        <w:snapToGrid w:val="0"/>
        <w:spacing w:line="360" w:lineRule="auto"/>
        <w:rPr>
          <w:rFonts w:ascii="宋体"/>
          <w:snapToGrid w:val="0"/>
          <w:color w:val="auto"/>
          <w:kern w:val="0"/>
          <w:sz w:val="24"/>
          <w:szCs w:val="24"/>
          <w:highlight w:val="none"/>
        </w:rPr>
      </w:pPr>
      <w:r>
        <w:rPr>
          <w:rFonts w:hint="eastAsia" w:ascii="宋体"/>
          <w:snapToGrid w:val="0"/>
          <w:color w:val="auto"/>
          <w:kern w:val="0"/>
          <w:sz w:val="24"/>
          <w:szCs w:val="24"/>
          <w:highlight w:val="none"/>
        </w:rPr>
        <w:t>有关说明：</w:t>
      </w:r>
    </w:p>
    <w:p>
      <w:pPr>
        <w:snapToGrid w:val="0"/>
        <w:spacing w:line="360" w:lineRule="auto"/>
        <w:jc w:val="center"/>
        <w:rPr>
          <w:rFonts w:ascii="宋体"/>
          <w:snapToGrid w:val="0"/>
          <w:color w:val="auto"/>
          <w:kern w:val="0"/>
          <w:sz w:val="24"/>
          <w:szCs w:val="24"/>
          <w:highlight w:val="none"/>
        </w:rPr>
      </w:pPr>
      <w:r>
        <w:rPr>
          <w:rFonts w:hint="eastAsia" w:ascii="宋体"/>
          <w:snapToGrid w:val="0"/>
          <w:color w:val="auto"/>
          <w:kern w:val="0"/>
          <w:sz w:val="24"/>
          <w:szCs w:val="24"/>
          <w:highlight w:val="none"/>
        </w:rPr>
        <w:t>报价一览表在开标大会上当众宣读，务必填写清楚，准确无误。表格可扩展。</w:t>
      </w:r>
    </w:p>
    <w:p>
      <w:pPr>
        <w:tabs>
          <w:tab w:val="left" w:pos="6300"/>
        </w:tabs>
        <w:snapToGrid w:val="0"/>
        <w:spacing w:line="360" w:lineRule="auto"/>
        <w:jc w:val="center"/>
        <w:rPr>
          <w:rFonts w:ascii="宋体"/>
          <w:b/>
          <w:snapToGrid w:val="0"/>
          <w:color w:val="auto"/>
          <w:kern w:val="0"/>
          <w:sz w:val="24"/>
          <w:szCs w:val="24"/>
          <w:highlight w:val="none"/>
        </w:rPr>
      </w:pPr>
      <w:r>
        <w:rPr>
          <w:rFonts w:hint="eastAsia" w:ascii="宋体"/>
          <w:snapToGrid w:val="0"/>
          <w:color w:val="auto"/>
          <w:kern w:val="0"/>
          <w:sz w:val="24"/>
          <w:szCs w:val="24"/>
          <w:highlight w:val="none"/>
        </w:rPr>
        <w:br w:type="page"/>
      </w:r>
    </w:p>
    <w:p>
      <w:pPr>
        <w:pStyle w:val="5"/>
        <w:numPr>
          <w:ilvl w:val="0"/>
          <w:numId w:val="0"/>
        </w:numPr>
        <w:ind w:leftChars="0"/>
        <w:jc w:val="center"/>
        <w:outlineLvl w:val="2"/>
        <w:rPr>
          <w:rFonts w:hint="eastAsia" w:cs="Cambria"/>
          <w:bCs w:val="0"/>
          <w:snapToGrid/>
          <w:color w:val="auto"/>
          <w:sz w:val="28"/>
          <w:szCs w:val="28"/>
          <w:highlight w:val="none"/>
          <w:lang w:val="en-US" w:eastAsia="zh-CN"/>
        </w:rPr>
      </w:pPr>
      <w:r>
        <w:rPr>
          <w:rFonts w:hint="eastAsia" w:cs="Cambria"/>
          <w:bCs w:val="0"/>
          <w:snapToGrid/>
          <w:color w:val="auto"/>
          <w:sz w:val="28"/>
          <w:szCs w:val="28"/>
          <w:highlight w:val="none"/>
          <w:lang w:val="en-US" w:eastAsia="zh-CN"/>
        </w:rPr>
        <w:t>三、资格性文件</w:t>
      </w:r>
    </w:p>
    <w:p>
      <w:pPr>
        <w:pStyle w:val="6"/>
        <w:bidi w:val="0"/>
        <w:ind w:left="0" w:leftChars="0" w:right="0" w:rightChars="0" w:firstLine="0" w:firstLineChars="0"/>
        <w:jc w:val="center"/>
        <w:outlineLvl w:val="3"/>
        <w:rPr>
          <w:b/>
          <w:bCs w:val="0"/>
          <w:color w:val="auto"/>
          <w:sz w:val="24"/>
          <w:szCs w:val="24"/>
          <w:highlight w:val="none"/>
        </w:rPr>
      </w:pPr>
      <w:r>
        <w:rPr>
          <w:rFonts w:hint="eastAsia"/>
          <w:b/>
          <w:bCs w:val="0"/>
          <w:color w:val="auto"/>
          <w:sz w:val="24"/>
          <w:szCs w:val="24"/>
          <w:highlight w:val="none"/>
          <w:lang w:val="en-US" w:eastAsia="zh-CN"/>
        </w:rPr>
        <w:t>（一）</w:t>
      </w:r>
      <w:r>
        <w:rPr>
          <w:rFonts w:hint="eastAsia"/>
          <w:b/>
          <w:bCs w:val="0"/>
          <w:color w:val="auto"/>
          <w:sz w:val="24"/>
          <w:szCs w:val="24"/>
          <w:highlight w:val="none"/>
        </w:rPr>
        <w:t>参选人基本情况介绍，资质证明等</w:t>
      </w:r>
    </w:p>
    <w:tbl>
      <w:tblPr>
        <w:tblStyle w:val="26"/>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692"/>
        <w:gridCol w:w="825"/>
        <w:gridCol w:w="384"/>
        <w:gridCol w:w="1479"/>
        <w:gridCol w:w="176"/>
        <w:gridCol w:w="723"/>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参选人名称</w:t>
            </w:r>
          </w:p>
        </w:tc>
        <w:tc>
          <w:tcPr>
            <w:tcW w:w="7128" w:type="dxa"/>
            <w:gridSpan w:val="8"/>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978" w:type="dxa"/>
            <w:gridSpan w:val="4"/>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c>
          <w:tcPr>
            <w:tcW w:w="147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671" w:type="dxa"/>
            <w:gridSpan w:val="3"/>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07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901" w:type="dxa"/>
            <w:gridSpan w:val="3"/>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c>
          <w:tcPr>
            <w:tcW w:w="147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671" w:type="dxa"/>
            <w:gridSpan w:val="3"/>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107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2901" w:type="dxa"/>
            <w:gridSpan w:val="3"/>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c>
          <w:tcPr>
            <w:tcW w:w="147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p>
        </w:tc>
        <w:tc>
          <w:tcPr>
            <w:tcW w:w="1671" w:type="dxa"/>
            <w:gridSpan w:val="3"/>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组织结构</w:t>
            </w:r>
          </w:p>
        </w:tc>
        <w:tc>
          <w:tcPr>
            <w:tcW w:w="7128" w:type="dxa"/>
            <w:gridSpan w:val="8"/>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07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692" w:type="dxa"/>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c>
          <w:tcPr>
            <w:tcW w:w="1209"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655"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c>
          <w:tcPr>
            <w:tcW w:w="72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772" w:type="dxa"/>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107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692" w:type="dxa"/>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c>
          <w:tcPr>
            <w:tcW w:w="1209"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655"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c>
          <w:tcPr>
            <w:tcW w:w="72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772" w:type="dxa"/>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2769" w:type="dxa"/>
            <w:gridSpan w:val="2"/>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c>
          <w:tcPr>
            <w:tcW w:w="4359" w:type="dxa"/>
            <w:gridSpan w:val="6"/>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企业资质等级</w:t>
            </w:r>
          </w:p>
        </w:tc>
        <w:tc>
          <w:tcPr>
            <w:tcW w:w="2769" w:type="dxa"/>
            <w:gridSpan w:val="2"/>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c>
          <w:tcPr>
            <w:tcW w:w="825"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tc>
        <w:tc>
          <w:tcPr>
            <w:tcW w:w="2039"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tc>
        <w:tc>
          <w:tcPr>
            <w:tcW w:w="1495" w:type="dxa"/>
            <w:gridSpan w:val="2"/>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2769" w:type="dxa"/>
            <w:gridSpan w:val="2"/>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c>
          <w:tcPr>
            <w:tcW w:w="825" w:type="dxa"/>
            <w:vMerge w:val="continue"/>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2039"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高级职称人员</w:t>
            </w:r>
          </w:p>
        </w:tc>
        <w:tc>
          <w:tcPr>
            <w:tcW w:w="1495" w:type="dxa"/>
            <w:gridSpan w:val="2"/>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2769" w:type="dxa"/>
            <w:gridSpan w:val="2"/>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c>
          <w:tcPr>
            <w:tcW w:w="825" w:type="dxa"/>
            <w:vMerge w:val="continue"/>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2039"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中级职称人员</w:t>
            </w:r>
          </w:p>
        </w:tc>
        <w:tc>
          <w:tcPr>
            <w:tcW w:w="1495" w:type="dxa"/>
            <w:gridSpan w:val="2"/>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2769" w:type="dxa"/>
            <w:gridSpan w:val="2"/>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c>
          <w:tcPr>
            <w:tcW w:w="825" w:type="dxa"/>
            <w:vMerge w:val="continue"/>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2039"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初级职称人员</w:t>
            </w:r>
          </w:p>
        </w:tc>
        <w:tc>
          <w:tcPr>
            <w:tcW w:w="1495" w:type="dxa"/>
            <w:gridSpan w:val="2"/>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2769" w:type="dxa"/>
            <w:gridSpan w:val="2"/>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c>
          <w:tcPr>
            <w:tcW w:w="825" w:type="dxa"/>
            <w:vMerge w:val="continue"/>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p>
        </w:tc>
        <w:tc>
          <w:tcPr>
            <w:tcW w:w="2039"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技工</w:t>
            </w:r>
          </w:p>
        </w:tc>
        <w:tc>
          <w:tcPr>
            <w:tcW w:w="1495" w:type="dxa"/>
            <w:gridSpan w:val="2"/>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128" w:type="dxa"/>
            <w:gridSpan w:val="8"/>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128" w:type="dxa"/>
            <w:gridSpan w:val="8"/>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4"/>
                <w:szCs w:val="24"/>
                <w:highlight w:val="none"/>
              </w:rPr>
            </w:pPr>
          </w:p>
        </w:tc>
      </w:tr>
    </w:tbl>
    <w:p>
      <w:pPr>
        <w:widowControl/>
        <w:spacing w:line="360" w:lineRule="auto"/>
        <w:jc w:val="left"/>
        <w:rPr>
          <w:rFonts w:ascii="宋体" w:hAnsi="宋体"/>
          <w:b/>
          <w:snapToGrid w:val="0"/>
          <w:color w:val="auto"/>
          <w:kern w:val="0"/>
          <w:sz w:val="24"/>
          <w:szCs w:val="24"/>
          <w:highlight w:val="none"/>
        </w:rPr>
      </w:pPr>
      <w:r>
        <w:rPr>
          <w:rFonts w:hint="eastAsia" w:ascii="宋体" w:hAnsi="宋体"/>
          <w:color w:val="auto"/>
          <w:sz w:val="24"/>
          <w:szCs w:val="24"/>
          <w:highlight w:val="none"/>
        </w:rPr>
        <w:t>注：附营业执照（副本）、</w:t>
      </w:r>
      <w:r>
        <w:rPr>
          <w:rFonts w:hint="eastAsia" w:ascii="宋体" w:hAnsi="宋体"/>
          <w:color w:val="auto"/>
          <w:sz w:val="24"/>
          <w:szCs w:val="24"/>
          <w:highlight w:val="none"/>
          <w:lang w:val="en-US" w:eastAsia="zh-CN"/>
        </w:rPr>
        <w:t>总公司授权委托书、</w:t>
      </w:r>
      <w:r>
        <w:rPr>
          <w:rFonts w:hint="eastAsia" w:ascii="宋体" w:hAnsi="宋体"/>
          <w:color w:val="auto"/>
          <w:sz w:val="24"/>
          <w:szCs w:val="24"/>
          <w:highlight w:val="none"/>
        </w:rPr>
        <w:t>资质证明复印件等。</w:t>
      </w:r>
    </w:p>
    <w:p>
      <w:pPr>
        <w:pStyle w:val="6"/>
        <w:numPr>
          <w:ilvl w:val="0"/>
          <w:numId w:val="0"/>
        </w:numPr>
        <w:ind w:left="0" w:leftChars="0" w:right="0" w:rightChars="0" w:firstLine="0" w:firstLineChars="0"/>
        <w:jc w:val="center"/>
        <w:outlineLvl w:val="3"/>
        <w:rPr>
          <w:rStyle w:val="40"/>
          <w:b/>
          <w:bCs w:val="0"/>
          <w:color w:val="auto"/>
          <w:sz w:val="24"/>
          <w:szCs w:val="24"/>
          <w:highlight w:val="none"/>
        </w:rPr>
      </w:pPr>
      <w:r>
        <w:rPr>
          <w:rStyle w:val="40"/>
          <w:rFonts w:hint="eastAsia"/>
          <w:b/>
          <w:bCs w:val="0"/>
          <w:color w:val="auto"/>
          <w:sz w:val="24"/>
          <w:szCs w:val="24"/>
          <w:highlight w:val="none"/>
          <w:lang w:val="en-US" w:eastAsia="zh-CN"/>
        </w:rPr>
        <w:t>（二）</w:t>
      </w:r>
      <w:r>
        <w:rPr>
          <w:rStyle w:val="40"/>
          <w:rFonts w:hint="eastAsia"/>
          <w:b/>
          <w:bCs w:val="0"/>
          <w:color w:val="auto"/>
          <w:sz w:val="24"/>
          <w:szCs w:val="24"/>
          <w:highlight w:val="none"/>
        </w:rPr>
        <w:t>法定代表人身份证明及授权委托书</w:t>
      </w:r>
    </w:p>
    <w:p>
      <w:pPr>
        <w:jc w:val="center"/>
        <w:rPr>
          <w:b/>
          <w:bCs/>
          <w:snapToGrid w:val="0"/>
          <w:color w:val="auto"/>
          <w:sz w:val="24"/>
          <w:szCs w:val="24"/>
          <w:highlight w:val="none"/>
        </w:rPr>
      </w:pPr>
      <w:r>
        <w:rPr>
          <w:rFonts w:hint="eastAsia"/>
          <w:b/>
          <w:bCs/>
          <w:snapToGrid w:val="0"/>
          <w:color w:val="auto"/>
          <w:sz w:val="24"/>
          <w:szCs w:val="24"/>
          <w:highlight w:val="none"/>
        </w:rPr>
        <w:t>法定代表人身份证明书</w:t>
      </w:r>
    </w:p>
    <w:p>
      <w:pPr>
        <w:tabs>
          <w:tab w:val="left" w:pos="6300"/>
        </w:tabs>
        <w:snapToGrid w:val="0"/>
        <w:spacing w:line="360" w:lineRule="auto"/>
        <w:ind w:firstLine="570"/>
        <w:rPr>
          <w:rFonts w:ascii="宋体" w:hAnsi="宋体"/>
          <w:snapToGrid w:val="0"/>
          <w:color w:val="auto"/>
          <w:kern w:val="0"/>
          <w:sz w:val="24"/>
          <w:szCs w:val="24"/>
          <w:highlight w:val="none"/>
        </w:rPr>
      </w:pPr>
    </w:p>
    <w:p>
      <w:pPr>
        <w:tabs>
          <w:tab w:val="left" w:pos="6300"/>
        </w:tabs>
        <w:snapToGrid w:val="0"/>
        <w:spacing w:line="360" w:lineRule="auto"/>
        <w:ind w:firstLine="57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项目名称：</w:t>
      </w:r>
      <w:r>
        <w:rPr>
          <w:rFonts w:hint="eastAsia" w:ascii="宋体" w:hAnsi="宋体"/>
          <w:snapToGrid w:val="0"/>
          <w:color w:val="auto"/>
          <w:kern w:val="0"/>
          <w:sz w:val="24"/>
          <w:szCs w:val="24"/>
          <w:highlight w:val="none"/>
          <w:lang w:val="en-US" w:eastAsia="zh-CN"/>
        </w:rPr>
        <w:t>重庆三峡银行</w:t>
      </w:r>
      <w:r>
        <w:rPr>
          <w:rFonts w:hint="eastAsia" w:ascii="宋体" w:cs="宋体"/>
          <w:snapToGrid w:val="0"/>
          <w:color w:val="auto"/>
          <w:kern w:val="0"/>
          <w:sz w:val="24"/>
          <w:szCs w:val="24"/>
          <w:highlight w:val="none"/>
        </w:rPr>
        <w:t>IBM相关软件原厂维保项目-2023年度</w:t>
      </w:r>
      <w:r>
        <w:rPr>
          <w:rFonts w:ascii="宋体" w:cs="宋体"/>
          <w:snapToGrid w:val="0"/>
          <w:color w:val="auto"/>
          <w:kern w:val="0"/>
          <w:sz w:val="24"/>
          <w:szCs w:val="24"/>
          <w:highlight w:val="none"/>
        </w:rPr>
        <w:t>采购</w:t>
      </w:r>
    </w:p>
    <w:p>
      <w:pPr>
        <w:tabs>
          <w:tab w:val="left" w:pos="6300"/>
        </w:tabs>
        <w:snapToGrid w:val="0"/>
        <w:spacing w:line="360" w:lineRule="auto"/>
        <w:ind w:firstLine="570"/>
        <w:rPr>
          <w:rFonts w:ascii="宋体" w:hAnsi="宋体"/>
          <w:snapToGrid w:val="0"/>
          <w:color w:val="auto"/>
          <w:kern w:val="0"/>
          <w:sz w:val="24"/>
          <w:szCs w:val="24"/>
          <w:highlight w:val="none"/>
        </w:rPr>
      </w:pPr>
    </w:p>
    <w:p>
      <w:pPr>
        <w:tabs>
          <w:tab w:val="left" w:pos="6300"/>
        </w:tabs>
        <w:snapToGrid w:val="0"/>
        <w:spacing w:line="360" w:lineRule="auto"/>
        <w:ind w:firstLine="57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致：</w:t>
      </w:r>
      <w:r>
        <w:rPr>
          <w:rFonts w:hint="eastAsia" w:ascii="宋体" w:hAnsi="宋体"/>
          <w:snapToGrid w:val="0"/>
          <w:color w:val="auto"/>
          <w:kern w:val="0"/>
          <w:sz w:val="24"/>
          <w:szCs w:val="24"/>
          <w:highlight w:val="none"/>
          <w:u w:val="single"/>
        </w:rPr>
        <w:t xml:space="preserve"> 重庆三峡银行股份有限公司  </w:t>
      </w:r>
      <w:r>
        <w:rPr>
          <w:rFonts w:hint="eastAsia" w:ascii="宋体" w:hAnsi="宋体"/>
          <w:snapToGrid w:val="0"/>
          <w:color w:val="auto"/>
          <w:kern w:val="0"/>
          <w:sz w:val="24"/>
          <w:szCs w:val="24"/>
          <w:highlight w:val="none"/>
        </w:rPr>
        <w:t>：</w:t>
      </w:r>
    </w:p>
    <w:p>
      <w:pPr>
        <w:tabs>
          <w:tab w:val="left" w:pos="6300"/>
        </w:tabs>
        <w:snapToGrid w:val="0"/>
        <w:spacing w:line="360" w:lineRule="auto"/>
        <w:ind w:firstLine="57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（法定代表人姓名）在（</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人名称）任（职务名称）职务，是（</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人名称）的法定代表人。</w:t>
      </w:r>
    </w:p>
    <w:p>
      <w:pPr>
        <w:tabs>
          <w:tab w:val="left" w:pos="6300"/>
        </w:tabs>
        <w:snapToGrid w:val="0"/>
        <w:spacing w:line="360" w:lineRule="auto"/>
        <w:ind w:firstLine="570"/>
        <w:rPr>
          <w:rFonts w:ascii="宋体" w:hAnsi="宋体"/>
          <w:snapToGrid w:val="0"/>
          <w:color w:val="auto"/>
          <w:kern w:val="0"/>
          <w:sz w:val="24"/>
          <w:szCs w:val="24"/>
          <w:highlight w:val="none"/>
        </w:rPr>
      </w:pPr>
    </w:p>
    <w:p>
      <w:pPr>
        <w:tabs>
          <w:tab w:val="left" w:pos="6300"/>
        </w:tabs>
        <w:snapToGrid w:val="0"/>
        <w:spacing w:line="360" w:lineRule="auto"/>
        <w:ind w:firstLine="57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特此证明。</w:t>
      </w:r>
    </w:p>
    <w:p>
      <w:pPr>
        <w:tabs>
          <w:tab w:val="left" w:pos="6300"/>
        </w:tabs>
        <w:snapToGrid w:val="0"/>
        <w:spacing w:line="360" w:lineRule="auto"/>
        <w:ind w:firstLine="570"/>
        <w:rPr>
          <w:rFonts w:ascii="宋体" w:hAnsi="宋体"/>
          <w:snapToGrid w:val="0"/>
          <w:color w:val="auto"/>
          <w:kern w:val="0"/>
          <w:sz w:val="24"/>
          <w:szCs w:val="24"/>
          <w:highlight w:val="none"/>
        </w:rPr>
      </w:pPr>
    </w:p>
    <w:p>
      <w:pPr>
        <w:tabs>
          <w:tab w:val="left" w:pos="6300"/>
        </w:tabs>
        <w:snapToGrid w:val="0"/>
        <w:spacing w:line="360" w:lineRule="auto"/>
        <w:ind w:firstLine="570"/>
        <w:rPr>
          <w:rFonts w:ascii="宋体" w:hAnsi="宋体"/>
          <w:snapToGrid w:val="0"/>
          <w:color w:val="auto"/>
          <w:kern w:val="0"/>
          <w:sz w:val="24"/>
          <w:szCs w:val="24"/>
          <w:highlight w:val="none"/>
        </w:rPr>
      </w:pPr>
    </w:p>
    <w:p>
      <w:pPr>
        <w:tabs>
          <w:tab w:val="left" w:pos="6300"/>
        </w:tabs>
        <w:snapToGrid w:val="0"/>
        <w:spacing w:line="360" w:lineRule="auto"/>
        <w:ind w:firstLine="570"/>
        <w:rPr>
          <w:rFonts w:ascii="宋体" w:hAnsi="宋体"/>
          <w:snapToGrid w:val="0"/>
          <w:color w:val="auto"/>
          <w:kern w:val="0"/>
          <w:sz w:val="24"/>
          <w:szCs w:val="24"/>
          <w:highlight w:val="none"/>
        </w:rPr>
      </w:pPr>
    </w:p>
    <w:p>
      <w:pPr>
        <w:tabs>
          <w:tab w:val="left" w:pos="6300"/>
        </w:tabs>
        <w:snapToGrid w:val="0"/>
        <w:spacing w:line="360" w:lineRule="auto"/>
        <w:ind w:firstLine="57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                                             （</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人公章）</w:t>
      </w:r>
    </w:p>
    <w:p>
      <w:pPr>
        <w:tabs>
          <w:tab w:val="left" w:pos="6300"/>
        </w:tabs>
        <w:snapToGrid w:val="0"/>
        <w:spacing w:line="360" w:lineRule="auto"/>
        <w:ind w:firstLine="570"/>
        <w:rPr>
          <w:rFonts w:ascii="宋体" w:hAnsi="宋体"/>
          <w:snapToGrid w:val="0"/>
          <w:color w:val="auto"/>
          <w:kern w:val="0"/>
          <w:sz w:val="24"/>
          <w:szCs w:val="24"/>
          <w:highlight w:val="none"/>
        </w:rPr>
      </w:pPr>
    </w:p>
    <w:p>
      <w:pPr>
        <w:tabs>
          <w:tab w:val="left" w:pos="6300"/>
        </w:tabs>
        <w:snapToGrid w:val="0"/>
        <w:spacing w:line="360" w:lineRule="auto"/>
        <w:ind w:firstLine="57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                                             年   月   日</w:t>
      </w:r>
    </w:p>
    <w:p>
      <w:pPr>
        <w:tabs>
          <w:tab w:val="left" w:pos="6300"/>
        </w:tabs>
        <w:snapToGrid w:val="0"/>
        <w:spacing w:line="360" w:lineRule="auto"/>
        <w:ind w:firstLine="570"/>
        <w:rPr>
          <w:rFonts w:ascii="宋体" w:hAnsi="宋体"/>
          <w:snapToGrid w:val="0"/>
          <w:color w:val="auto"/>
          <w:kern w:val="0"/>
          <w:sz w:val="24"/>
          <w:szCs w:val="24"/>
          <w:highlight w:val="none"/>
        </w:rPr>
      </w:pPr>
    </w:p>
    <w:p>
      <w:pPr>
        <w:tabs>
          <w:tab w:val="left" w:pos="6300"/>
        </w:tabs>
        <w:snapToGrid w:val="0"/>
        <w:spacing w:line="360" w:lineRule="auto"/>
        <w:ind w:firstLine="57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（附：法定代表人身份证正反面复印件）</w:t>
      </w:r>
    </w:p>
    <w:p>
      <w:pPr>
        <w:tabs>
          <w:tab w:val="left" w:pos="6300"/>
        </w:tabs>
        <w:snapToGrid w:val="0"/>
        <w:spacing w:line="360" w:lineRule="auto"/>
        <w:ind w:firstLine="570"/>
        <w:rPr>
          <w:rFonts w:ascii="宋体" w:hAnsi="宋体"/>
          <w:snapToGrid w:val="0"/>
          <w:color w:val="auto"/>
          <w:kern w:val="0"/>
          <w:sz w:val="24"/>
          <w:szCs w:val="24"/>
          <w:highlight w:val="none"/>
        </w:rPr>
      </w:pPr>
    </w:p>
    <w:p>
      <w:pPr>
        <w:tabs>
          <w:tab w:val="left" w:pos="6300"/>
        </w:tabs>
        <w:snapToGrid w:val="0"/>
        <w:spacing w:line="360" w:lineRule="auto"/>
        <w:ind w:firstLine="570"/>
        <w:rPr>
          <w:rFonts w:ascii="宋体" w:hAnsi="宋体"/>
          <w:snapToGrid w:val="0"/>
          <w:color w:val="auto"/>
          <w:kern w:val="0"/>
          <w:sz w:val="24"/>
          <w:szCs w:val="24"/>
          <w:highlight w:val="none"/>
        </w:rPr>
      </w:pPr>
    </w:p>
    <w:p>
      <w:pPr>
        <w:tabs>
          <w:tab w:val="left" w:pos="6300"/>
        </w:tabs>
        <w:snapToGrid w:val="0"/>
        <w:spacing w:line="360" w:lineRule="auto"/>
        <w:ind w:firstLine="570"/>
        <w:rPr>
          <w:rFonts w:ascii="宋体" w:hAnsi="宋体"/>
          <w:snapToGrid w:val="0"/>
          <w:color w:val="auto"/>
          <w:kern w:val="0"/>
          <w:sz w:val="24"/>
          <w:szCs w:val="24"/>
          <w:highlight w:val="none"/>
        </w:rPr>
      </w:pPr>
    </w:p>
    <w:p>
      <w:pPr>
        <w:spacing w:line="520" w:lineRule="exact"/>
        <w:jc w:val="center"/>
        <w:rPr>
          <w:rStyle w:val="41"/>
          <w:color w:val="auto"/>
          <w:highlight w:val="none"/>
        </w:rPr>
      </w:pPr>
      <w:r>
        <w:rPr>
          <w:rFonts w:hint="eastAsia"/>
          <w:snapToGrid w:val="0"/>
          <w:color w:val="auto"/>
          <w:kern w:val="0"/>
          <w:sz w:val="24"/>
          <w:szCs w:val="24"/>
          <w:highlight w:val="none"/>
        </w:rPr>
        <w:br w:type="column"/>
      </w:r>
      <w:r>
        <w:rPr>
          <w:rStyle w:val="41"/>
          <w:rFonts w:hint="eastAsia"/>
          <w:color w:val="auto"/>
          <w:highlight w:val="none"/>
        </w:rPr>
        <w:t>法定代表人授权委托书</w:t>
      </w:r>
    </w:p>
    <w:p>
      <w:pPr>
        <w:tabs>
          <w:tab w:val="left" w:pos="6300"/>
        </w:tabs>
        <w:snapToGrid w:val="0"/>
        <w:spacing w:line="520" w:lineRule="exact"/>
        <w:ind w:firstLine="570"/>
        <w:rPr>
          <w:rFonts w:ascii="宋体" w:hAnsi="宋体"/>
          <w:snapToGrid w:val="0"/>
          <w:color w:val="auto"/>
          <w:kern w:val="0"/>
          <w:sz w:val="24"/>
          <w:szCs w:val="24"/>
          <w:highlight w:val="none"/>
        </w:rPr>
      </w:pPr>
    </w:p>
    <w:p>
      <w:pPr>
        <w:bidi w:val="0"/>
        <w:spacing w:line="520" w:lineRule="exact"/>
        <w:rPr>
          <w:rFonts w:hint="eastAsia"/>
          <w:color w:val="auto"/>
          <w:sz w:val="24"/>
          <w:szCs w:val="24"/>
          <w:highlight w:val="none"/>
        </w:rPr>
      </w:pPr>
      <w:r>
        <w:rPr>
          <w:rFonts w:hint="eastAsia"/>
          <w:color w:val="auto"/>
          <w:sz w:val="24"/>
          <w:szCs w:val="24"/>
          <w:highlight w:val="none"/>
        </w:rPr>
        <w:t>项目名称：</w:t>
      </w:r>
      <w:r>
        <w:rPr>
          <w:rFonts w:hint="eastAsia" w:ascii="宋体" w:hAnsi="宋体"/>
          <w:snapToGrid w:val="0"/>
          <w:color w:val="auto"/>
          <w:kern w:val="0"/>
          <w:sz w:val="24"/>
          <w:szCs w:val="24"/>
          <w:highlight w:val="none"/>
          <w:lang w:val="en-US" w:eastAsia="zh-CN"/>
        </w:rPr>
        <w:t>重庆三峡银行</w:t>
      </w:r>
      <w:r>
        <w:rPr>
          <w:rFonts w:hint="eastAsia"/>
          <w:color w:val="auto"/>
          <w:sz w:val="24"/>
          <w:szCs w:val="24"/>
          <w:highlight w:val="none"/>
        </w:rPr>
        <w:t>基础软件原厂维保项目-2023年度采购</w:t>
      </w:r>
    </w:p>
    <w:p>
      <w:pPr>
        <w:bidi w:val="0"/>
        <w:spacing w:line="520" w:lineRule="exact"/>
        <w:rPr>
          <w:color w:val="auto"/>
          <w:sz w:val="24"/>
          <w:szCs w:val="24"/>
          <w:highlight w:val="none"/>
        </w:rPr>
      </w:pPr>
    </w:p>
    <w:p>
      <w:pPr>
        <w:bidi w:val="0"/>
        <w:spacing w:line="520" w:lineRule="exact"/>
        <w:rPr>
          <w:color w:val="auto"/>
          <w:sz w:val="24"/>
          <w:szCs w:val="24"/>
          <w:highlight w:val="none"/>
        </w:rPr>
      </w:pPr>
      <w:r>
        <w:rPr>
          <w:rFonts w:hint="eastAsia"/>
          <w:color w:val="auto"/>
          <w:sz w:val="24"/>
          <w:szCs w:val="24"/>
          <w:highlight w:val="none"/>
        </w:rPr>
        <w:t>致：重庆三峡银行股份有限公司：</w:t>
      </w:r>
    </w:p>
    <w:p>
      <w:pPr>
        <w:bidi w:val="0"/>
        <w:spacing w:line="520" w:lineRule="exact"/>
        <w:ind w:firstLine="480" w:firstLineChars="200"/>
        <w:rPr>
          <w:color w:val="auto"/>
          <w:sz w:val="24"/>
          <w:szCs w:val="24"/>
          <w:highlight w:val="none"/>
        </w:rPr>
      </w:pPr>
      <w:r>
        <w:rPr>
          <w:rFonts w:hint="eastAsia"/>
          <w:color w:val="auto"/>
          <w:sz w:val="24"/>
          <w:szCs w:val="24"/>
          <w:highlight w:val="none"/>
        </w:rPr>
        <w:t>（参选人法定代表人名称）是（参选人名称）的法定代表人，特授权（被授权人姓名及身份证代码）代表我单位全权办理上述项目的参选、谈判、签约等具体工作，并签署全部有关文件、协议及合同。</w:t>
      </w:r>
    </w:p>
    <w:p>
      <w:pPr>
        <w:bidi w:val="0"/>
        <w:spacing w:line="520" w:lineRule="exact"/>
        <w:ind w:firstLine="480" w:firstLineChars="200"/>
        <w:rPr>
          <w:color w:val="auto"/>
          <w:sz w:val="24"/>
          <w:szCs w:val="24"/>
          <w:highlight w:val="none"/>
        </w:rPr>
      </w:pPr>
      <w:r>
        <w:rPr>
          <w:rFonts w:hint="eastAsia"/>
          <w:color w:val="auto"/>
          <w:sz w:val="24"/>
          <w:szCs w:val="24"/>
          <w:highlight w:val="none"/>
        </w:rPr>
        <w:t>我单位对被授权人的签字负全部责任。</w:t>
      </w:r>
    </w:p>
    <w:p>
      <w:pPr>
        <w:bidi w:val="0"/>
        <w:spacing w:line="520" w:lineRule="exact"/>
        <w:ind w:firstLine="480" w:firstLineChars="200"/>
        <w:rPr>
          <w:color w:val="auto"/>
          <w:sz w:val="24"/>
          <w:szCs w:val="24"/>
          <w:highlight w:val="none"/>
        </w:rPr>
      </w:pPr>
      <w:r>
        <w:rPr>
          <w:rFonts w:hint="eastAsia"/>
          <w:color w:val="auto"/>
          <w:sz w:val="24"/>
          <w:szCs w:val="24"/>
          <w:highlight w:val="none"/>
        </w:rPr>
        <w:t>在撤消授权的书面通知以前，本授权书一直有效。被授权人在授权书有效期内签署的所有文件不因授权的撤消而失效。</w:t>
      </w:r>
    </w:p>
    <w:p>
      <w:pPr>
        <w:bidi w:val="0"/>
        <w:spacing w:line="520" w:lineRule="exact"/>
        <w:rPr>
          <w:color w:val="auto"/>
          <w:sz w:val="24"/>
          <w:szCs w:val="24"/>
          <w:highlight w:val="none"/>
        </w:rPr>
      </w:pPr>
    </w:p>
    <w:p>
      <w:pPr>
        <w:bidi w:val="0"/>
        <w:spacing w:line="520" w:lineRule="exact"/>
        <w:rPr>
          <w:color w:val="auto"/>
          <w:sz w:val="24"/>
          <w:szCs w:val="24"/>
          <w:highlight w:val="none"/>
        </w:rPr>
      </w:pPr>
    </w:p>
    <w:p>
      <w:pPr>
        <w:bidi w:val="0"/>
        <w:spacing w:line="520" w:lineRule="exact"/>
        <w:ind w:firstLine="480" w:firstLineChars="200"/>
        <w:rPr>
          <w:color w:val="auto"/>
          <w:sz w:val="24"/>
          <w:szCs w:val="24"/>
          <w:highlight w:val="none"/>
        </w:rPr>
      </w:pPr>
      <w:r>
        <w:rPr>
          <w:rFonts w:hint="eastAsia"/>
          <w:color w:val="auto"/>
          <w:sz w:val="24"/>
          <w:szCs w:val="24"/>
          <w:highlight w:val="none"/>
        </w:rPr>
        <w:t>被授权人：                            参选人法定代表人：</w:t>
      </w:r>
    </w:p>
    <w:p>
      <w:pPr>
        <w:bidi w:val="0"/>
        <w:spacing w:line="520" w:lineRule="exact"/>
        <w:ind w:firstLine="480" w:firstLineChars="200"/>
        <w:rPr>
          <w:color w:val="auto"/>
          <w:sz w:val="24"/>
          <w:szCs w:val="24"/>
          <w:highlight w:val="none"/>
        </w:rPr>
      </w:pPr>
      <w:r>
        <w:rPr>
          <w:rFonts w:hint="eastAsia"/>
          <w:color w:val="auto"/>
          <w:sz w:val="24"/>
          <w:szCs w:val="24"/>
          <w:highlight w:val="none"/>
        </w:rPr>
        <w:t>（签字或盖章）                        （签字或盖章）</w:t>
      </w:r>
    </w:p>
    <w:p>
      <w:pPr>
        <w:bidi w:val="0"/>
        <w:spacing w:line="520" w:lineRule="exact"/>
        <w:rPr>
          <w:color w:val="auto"/>
          <w:sz w:val="24"/>
          <w:szCs w:val="24"/>
          <w:highlight w:val="none"/>
        </w:rPr>
      </w:pPr>
    </w:p>
    <w:p>
      <w:pPr>
        <w:bidi w:val="0"/>
        <w:spacing w:line="520" w:lineRule="exact"/>
        <w:rPr>
          <w:color w:val="auto"/>
          <w:sz w:val="24"/>
          <w:szCs w:val="24"/>
          <w:highlight w:val="none"/>
        </w:rPr>
      </w:pPr>
      <w:r>
        <w:rPr>
          <w:rFonts w:hint="eastAsia"/>
          <w:color w:val="auto"/>
          <w:sz w:val="24"/>
          <w:szCs w:val="24"/>
          <w:highlight w:val="none"/>
        </w:rPr>
        <w:t>（附：被授权人身份证正反面复印件）</w:t>
      </w:r>
    </w:p>
    <w:p>
      <w:pPr>
        <w:tabs>
          <w:tab w:val="left" w:pos="6300"/>
        </w:tabs>
        <w:snapToGrid w:val="0"/>
        <w:spacing w:line="360" w:lineRule="auto"/>
        <w:ind w:right="0" w:firstLine="480" w:firstLineChars="200"/>
        <w:jc w:val="left"/>
        <w:rPr>
          <w:rFonts w:hint="eastAsia" w:ascii="宋体"/>
          <w:snapToGrid w:val="0"/>
          <w:kern w:val="0"/>
          <w:sz w:val="24"/>
        </w:rPr>
      </w:pPr>
      <w:r>
        <w:rPr>
          <w:rFonts w:hint="eastAsia" w:ascii="宋体"/>
          <w:snapToGrid w:val="0"/>
          <w:kern w:val="0"/>
          <w:sz w:val="24"/>
          <w:lang w:val="en-US" w:eastAsia="zh-CN"/>
        </w:rPr>
        <w:t>注</w:t>
      </w:r>
      <w:r>
        <w:rPr>
          <w:rFonts w:hint="eastAsia" w:ascii="宋体"/>
          <w:snapToGrid w:val="0"/>
          <w:kern w:val="0"/>
          <w:sz w:val="24"/>
          <w:lang w:eastAsia="zh-CN"/>
        </w:rPr>
        <w:t>：</w:t>
      </w:r>
      <w:r>
        <w:rPr>
          <w:rFonts w:hint="eastAsia" w:ascii="宋体"/>
          <w:snapToGrid w:val="0"/>
          <w:kern w:val="0"/>
          <w:sz w:val="24"/>
        </w:rPr>
        <w:t>若为法定代表人办理并签署</w:t>
      </w:r>
      <w:r>
        <w:rPr>
          <w:rFonts w:hint="eastAsia" w:ascii="宋体"/>
          <w:snapToGrid w:val="0"/>
          <w:kern w:val="0"/>
          <w:sz w:val="24"/>
          <w:lang w:val="en-US" w:eastAsia="zh-CN"/>
        </w:rPr>
        <w:t>参选</w:t>
      </w:r>
      <w:r>
        <w:rPr>
          <w:rFonts w:hint="eastAsia" w:ascii="宋体"/>
          <w:snapToGrid w:val="0"/>
          <w:kern w:val="0"/>
          <w:sz w:val="24"/>
        </w:rPr>
        <w:t>文件的，不提供此文件。</w:t>
      </w:r>
    </w:p>
    <w:p>
      <w:pPr>
        <w:bidi w:val="0"/>
        <w:spacing w:line="520" w:lineRule="exact"/>
        <w:rPr>
          <w:color w:val="auto"/>
          <w:sz w:val="24"/>
          <w:szCs w:val="24"/>
          <w:highlight w:val="none"/>
        </w:rPr>
      </w:pPr>
    </w:p>
    <w:p>
      <w:pPr>
        <w:bidi w:val="0"/>
        <w:spacing w:line="520" w:lineRule="exact"/>
        <w:rPr>
          <w:color w:val="auto"/>
          <w:sz w:val="24"/>
          <w:szCs w:val="24"/>
          <w:highlight w:val="none"/>
        </w:rPr>
      </w:pPr>
    </w:p>
    <w:p>
      <w:pPr>
        <w:bidi w:val="0"/>
        <w:spacing w:line="520" w:lineRule="exact"/>
        <w:jc w:val="right"/>
        <w:rPr>
          <w:color w:val="auto"/>
          <w:sz w:val="24"/>
          <w:szCs w:val="24"/>
          <w:highlight w:val="none"/>
        </w:rPr>
      </w:pPr>
      <w:r>
        <w:rPr>
          <w:rFonts w:hint="eastAsia"/>
          <w:color w:val="auto"/>
          <w:sz w:val="24"/>
          <w:szCs w:val="24"/>
          <w:highlight w:val="none"/>
        </w:rPr>
        <w:t>（参选人公章）</w:t>
      </w:r>
    </w:p>
    <w:p>
      <w:pPr>
        <w:bidi w:val="0"/>
        <w:spacing w:line="520" w:lineRule="exact"/>
        <w:jc w:val="right"/>
        <w:rPr>
          <w:color w:val="auto"/>
          <w:sz w:val="24"/>
          <w:szCs w:val="24"/>
          <w:highlight w:val="none"/>
        </w:rPr>
      </w:pPr>
      <w:r>
        <w:rPr>
          <w:rFonts w:hint="eastAsia"/>
          <w:color w:val="auto"/>
          <w:sz w:val="24"/>
          <w:szCs w:val="24"/>
          <w:highlight w:val="none"/>
        </w:rPr>
        <w:t>年   月   日</w:t>
      </w:r>
    </w:p>
    <w:p>
      <w:pPr>
        <w:bidi w:val="0"/>
        <w:rPr>
          <w:color w:val="auto"/>
          <w:sz w:val="24"/>
          <w:szCs w:val="24"/>
          <w:highlight w:val="none"/>
        </w:rPr>
      </w:pPr>
    </w:p>
    <w:p>
      <w:pPr>
        <w:bidi w:val="0"/>
        <w:rPr>
          <w:rFonts w:hint="eastAsia"/>
          <w:color w:val="auto"/>
          <w:sz w:val="24"/>
          <w:szCs w:val="24"/>
          <w:highlight w:val="none"/>
          <w:lang w:val="en-US" w:eastAsia="zh-CN"/>
        </w:rPr>
      </w:pPr>
      <w:r>
        <w:rPr>
          <w:rFonts w:hint="eastAsia"/>
          <w:color w:val="auto"/>
          <w:sz w:val="24"/>
          <w:szCs w:val="24"/>
          <w:highlight w:val="none"/>
        </w:rPr>
        <w:br w:type="page"/>
      </w:r>
    </w:p>
    <w:p>
      <w:pPr>
        <w:pStyle w:val="6"/>
        <w:keepNext w:val="0"/>
        <w:keepLines w:val="0"/>
        <w:pageBreakBefore w:val="0"/>
        <w:widowControl w:val="0"/>
        <w:kinsoku/>
        <w:wordWrap/>
        <w:overflowPunct/>
        <w:topLinePunct w:val="0"/>
        <w:autoSpaceDE w:val="0"/>
        <w:autoSpaceDN w:val="0"/>
        <w:bidi w:val="0"/>
        <w:adjustRightInd/>
        <w:snapToGrid/>
        <w:spacing w:line="520" w:lineRule="exact"/>
        <w:ind w:left="0" w:leftChars="0" w:right="0" w:rightChars="0" w:firstLine="0" w:firstLineChars="0"/>
        <w:jc w:val="center"/>
        <w:textAlignment w:val="auto"/>
        <w:outlineLvl w:val="3"/>
        <w:rPr>
          <w:b/>
          <w:bCs w:val="0"/>
          <w:color w:val="auto"/>
          <w:sz w:val="24"/>
          <w:szCs w:val="24"/>
          <w:highlight w:val="none"/>
        </w:rPr>
      </w:pPr>
      <w:r>
        <w:rPr>
          <w:rFonts w:hint="eastAsia"/>
          <w:b/>
          <w:bCs w:val="0"/>
          <w:color w:val="auto"/>
          <w:sz w:val="24"/>
          <w:szCs w:val="24"/>
          <w:highlight w:val="none"/>
          <w:lang w:val="en-US" w:eastAsia="zh-CN"/>
        </w:rPr>
        <w:t>（三）</w:t>
      </w:r>
      <w:r>
        <w:rPr>
          <w:rFonts w:hint="eastAsia"/>
          <w:b/>
          <w:bCs w:val="0"/>
          <w:color w:val="auto"/>
          <w:sz w:val="24"/>
          <w:szCs w:val="24"/>
          <w:highlight w:val="none"/>
        </w:rPr>
        <w:t>书面声明</w:t>
      </w:r>
    </w:p>
    <w:p>
      <w:pPr>
        <w:bidi w:val="0"/>
        <w:spacing w:line="520" w:lineRule="exact"/>
        <w:rPr>
          <w:color w:val="auto"/>
          <w:sz w:val="24"/>
          <w:szCs w:val="24"/>
          <w:highlight w:val="none"/>
        </w:rPr>
      </w:pPr>
    </w:p>
    <w:p>
      <w:pPr>
        <w:bidi w:val="0"/>
        <w:spacing w:line="520" w:lineRule="exact"/>
        <w:rPr>
          <w:color w:val="auto"/>
          <w:sz w:val="24"/>
          <w:szCs w:val="24"/>
          <w:highlight w:val="none"/>
        </w:rPr>
      </w:pPr>
      <w:r>
        <w:rPr>
          <w:rFonts w:hint="eastAsia"/>
          <w:color w:val="auto"/>
          <w:sz w:val="24"/>
          <w:szCs w:val="24"/>
          <w:highlight w:val="none"/>
        </w:rPr>
        <w:t>项目名称：</w:t>
      </w:r>
      <w:r>
        <w:rPr>
          <w:rFonts w:hint="eastAsia" w:ascii="宋体" w:hAnsi="宋体"/>
          <w:snapToGrid w:val="0"/>
          <w:color w:val="auto"/>
          <w:kern w:val="0"/>
          <w:sz w:val="24"/>
          <w:szCs w:val="24"/>
          <w:highlight w:val="none"/>
          <w:lang w:val="en-US" w:eastAsia="zh-CN"/>
        </w:rPr>
        <w:t>重庆三峡银行</w:t>
      </w:r>
      <w:r>
        <w:rPr>
          <w:rFonts w:hint="eastAsia" w:ascii="宋体" w:cs="宋体"/>
          <w:snapToGrid w:val="0"/>
          <w:color w:val="auto"/>
          <w:kern w:val="0"/>
          <w:sz w:val="24"/>
          <w:szCs w:val="24"/>
          <w:highlight w:val="none"/>
        </w:rPr>
        <w:t>IBM相关软件原厂维保项目-2023年度</w:t>
      </w:r>
      <w:r>
        <w:rPr>
          <w:rFonts w:ascii="宋体" w:cs="宋体"/>
          <w:snapToGrid w:val="0"/>
          <w:color w:val="auto"/>
          <w:kern w:val="0"/>
          <w:sz w:val="24"/>
          <w:szCs w:val="24"/>
          <w:highlight w:val="none"/>
        </w:rPr>
        <w:t>采购</w:t>
      </w:r>
    </w:p>
    <w:p>
      <w:pPr>
        <w:bidi w:val="0"/>
        <w:spacing w:line="520" w:lineRule="exact"/>
        <w:rPr>
          <w:color w:val="auto"/>
          <w:sz w:val="24"/>
          <w:szCs w:val="24"/>
          <w:highlight w:val="none"/>
        </w:rPr>
      </w:pPr>
    </w:p>
    <w:p>
      <w:pPr>
        <w:bidi w:val="0"/>
        <w:spacing w:line="520" w:lineRule="exact"/>
        <w:rPr>
          <w:color w:val="auto"/>
          <w:sz w:val="24"/>
          <w:szCs w:val="24"/>
          <w:highlight w:val="none"/>
        </w:rPr>
      </w:pPr>
      <w:r>
        <w:rPr>
          <w:rFonts w:hint="eastAsia"/>
          <w:color w:val="auto"/>
          <w:sz w:val="24"/>
          <w:szCs w:val="24"/>
          <w:highlight w:val="none"/>
        </w:rPr>
        <w:t>致：重庆三峡银行股份有限公司：</w:t>
      </w:r>
    </w:p>
    <w:p>
      <w:pPr>
        <w:bidi w:val="0"/>
        <w:spacing w:line="520" w:lineRule="exact"/>
        <w:ind w:firstLine="480" w:firstLineChars="200"/>
        <w:rPr>
          <w:color w:val="auto"/>
          <w:sz w:val="24"/>
          <w:szCs w:val="24"/>
          <w:highlight w:val="none"/>
        </w:rPr>
      </w:pPr>
      <w:r>
        <w:rPr>
          <w:rFonts w:hint="eastAsia"/>
          <w:color w:val="auto"/>
          <w:sz w:val="24"/>
          <w:szCs w:val="24"/>
          <w:highlight w:val="none"/>
        </w:rPr>
        <w:t>（参选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参选人资格条件</w:t>
      </w:r>
      <w:r>
        <w:rPr>
          <w:rFonts w:hint="eastAsia"/>
          <w:color w:val="auto"/>
          <w:sz w:val="24"/>
          <w:szCs w:val="24"/>
          <w:highlight w:val="none"/>
          <w:lang w:eastAsia="zh-CN"/>
        </w:rPr>
        <w:t>，</w:t>
      </w:r>
      <w:r>
        <w:rPr>
          <w:rFonts w:hint="eastAsia"/>
          <w:color w:val="auto"/>
          <w:sz w:val="24"/>
          <w:szCs w:val="24"/>
          <w:highlight w:val="none"/>
          <w:lang w:val="en-US" w:eastAsia="zh-CN"/>
        </w:rPr>
        <w:t>未曾与比选人发生过纠纷，未曾在与比选人合作过程中不遵守比选文件及合同约定或在比选人项目中存在弄虚作假行为</w:t>
      </w:r>
      <w:r>
        <w:rPr>
          <w:rFonts w:hint="eastAsia"/>
          <w:color w:val="auto"/>
          <w:sz w:val="24"/>
          <w:szCs w:val="24"/>
          <w:highlight w:val="none"/>
        </w:rPr>
        <w:t>。我方对以上声明负全部法律责任。</w:t>
      </w:r>
    </w:p>
    <w:p>
      <w:pPr>
        <w:bidi w:val="0"/>
        <w:spacing w:line="520" w:lineRule="exact"/>
        <w:ind w:firstLine="480" w:firstLineChars="200"/>
        <w:rPr>
          <w:color w:val="auto"/>
          <w:sz w:val="24"/>
          <w:szCs w:val="24"/>
          <w:highlight w:val="none"/>
        </w:rPr>
      </w:pPr>
      <w:r>
        <w:rPr>
          <w:rFonts w:hint="eastAsia"/>
          <w:color w:val="auto"/>
          <w:sz w:val="24"/>
          <w:szCs w:val="24"/>
          <w:highlight w:val="none"/>
        </w:rPr>
        <w:t>特此声明。</w:t>
      </w:r>
    </w:p>
    <w:p>
      <w:pPr>
        <w:bidi w:val="0"/>
        <w:spacing w:line="520" w:lineRule="exact"/>
        <w:rPr>
          <w:color w:val="auto"/>
          <w:sz w:val="24"/>
          <w:szCs w:val="24"/>
          <w:highlight w:val="none"/>
        </w:rPr>
      </w:pPr>
    </w:p>
    <w:p>
      <w:pPr>
        <w:bidi w:val="0"/>
        <w:spacing w:line="520" w:lineRule="exact"/>
        <w:rPr>
          <w:color w:val="auto"/>
          <w:sz w:val="24"/>
          <w:szCs w:val="24"/>
          <w:highlight w:val="none"/>
        </w:rPr>
      </w:pPr>
    </w:p>
    <w:p>
      <w:pPr>
        <w:bidi w:val="0"/>
        <w:spacing w:line="520" w:lineRule="exact"/>
        <w:rPr>
          <w:color w:val="auto"/>
          <w:sz w:val="24"/>
          <w:szCs w:val="24"/>
          <w:highlight w:val="none"/>
        </w:rPr>
      </w:pPr>
    </w:p>
    <w:p>
      <w:pPr>
        <w:bidi w:val="0"/>
        <w:spacing w:line="520" w:lineRule="exact"/>
        <w:jc w:val="right"/>
        <w:rPr>
          <w:color w:val="auto"/>
          <w:sz w:val="24"/>
          <w:szCs w:val="24"/>
          <w:highlight w:val="none"/>
        </w:rPr>
      </w:pPr>
      <w:r>
        <w:rPr>
          <w:rFonts w:hint="eastAsia"/>
          <w:color w:val="auto"/>
          <w:sz w:val="24"/>
          <w:szCs w:val="24"/>
          <w:highlight w:val="none"/>
        </w:rPr>
        <w:t>（参选人公章）</w:t>
      </w:r>
    </w:p>
    <w:p>
      <w:pPr>
        <w:bidi w:val="0"/>
        <w:spacing w:line="520" w:lineRule="exact"/>
        <w:jc w:val="right"/>
        <w:rPr>
          <w:color w:val="auto"/>
          <w:sz w:val="24"/>
          <w:szCs w:val="24"/>
          <w:highlight w:val="none"/>
        </w:rPr>
      </w:pPr>
      <w:r>
        <w:rPr>
          <w:rFonts w:hint="eastAsia"/>
          <w:color w:val="auto"/>
          <w:sz w:val="24"/>
          <w:szCs w:val="24"/>
          <w:highlight w:val="none"/>
        </w:rPr>
        <w:t>年   月   日</w:t>
      </w:r>
    </w:p>
    <w:p>
      <w:pPr>
        <w:spacing w:line="360" w:lineRule="auto"/>
        <w:jc w:val="left"/>
        <w:rPr>
          <w:rFonts w:ascii="宋体" w:hAnsi="宋体" w:cs="等线 Light"/>
          <w:snapToGrid w:val="0"/>
          <w:color w:val="auto"/>
          <w:kern w:val="0"/>
          <w:sz w:val="24"/>
          <w:szCs w:val="24"/>
          <w:highlight w:val="none"/>
        </w:rPr>
      </w:pPr>
    </w:p>
    <w:p>
      <w:pPr>
        <w:ind w:firstLine="0" w:firstLineChars="0"/>
        <w:jc w:val="center"/>
        <w:outlineLvl w:val="3"/>
        <w:rPr>
          <w:rStyle w:val="42"/>
          <w:color w:val="auto"/>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宋体" w:hAnsi="宋体" w:cs="等线 Light"/>
          <w:snapToGrid w:val="0"/>
          <w:color w:val="auto"/>
          <w:kern w:val="0"/>
          <w:sz w:val="24"/>
          <w:szCs w:val="24"/>
          <w:highlight w:val="none"/>
        </w:rPr>
        <w:br w:type="page"/>
      </w:r>
      <w:r>
        <w:rPr>
          <w:rStyle w:val="42"/>
          <w:color w:val="auto"/>
          <w:sz w:val="24"/>
          <w:szCs w:val="24"/>
          <w:highlight w:val="none"/>
        </w:rPr>
        <w:t>（四）中国执行信息公开网截图</w:t>
      </w:r>
    </w:p>
    <w:p>
      <w:pPr>
        <w:pStyle w:val="2"/>
        <w:rPr>
          <w:color w:val="auto"/>
          <w:sz w:val="24"/>
          <w:szCs w:val="24"/>
          <w:highlight w:val="none"/>
        </w:rPr>
      </w:pPr>
    </w:p>
    <w:p>
      <w:pPr>
        <w:pStyle w:val="6"/>
        <w:bidi w:val="0"/>
        <w:ind w:firstLine="0" w:firstLineChars="0"/>
        <w:jc w:val="center"/>
        <w:outlineLvl w:val="3"/>
        <w:rPr>
          <w:rFonts w:hint="eastAsia"/>
          <w:b/>
          <w:bCs w:val="0"/>
          <w:color w:val="auto"/>
          <w:sz w:val="24"/>
          <w:szCs w:val="24"/>
          <w:highlight w:val="none"/>
          <w:lang w:val="en-US" w:eastAsia="zh-CN"/>
        </w:rPr>
      </w:pPr>
      <w:r>
        <w:rPr>
          <w:rFonts w:hint="eastAsia"/>
          <w:b/>
          <w:bCs w:val="0"/>
          <w:color w:val="auto"/>
          <w:sz w:val="24"/>
          <w:szCs w:val="24"/>
          <w:highlight w:val="none"/>
          <w:lang w:eastAsia="zh-CN"/>
        </w:rPr>
        <w:t>（</w:t>
      </w:r>
      <w:r>
        <w:rPr>
          <w:rFonts w:hint="eastAsia"/>
          <w:b/>
          <w:bCs w:val="0"/>
          <w:color w:val="auto"/>
          <w:sz w:val="24"/>
          <w:szCs w:val="24"/>
          <w:highlight w:val="none"/>
          <w:lang w:val="en-US" w:eastAsia="zh-CN"/>
        </w:rPr>
        <w:t>五</w:t>
      </w:r>
      <w:r>
        <w:rPr>
          <w:rFonts w:hint="eastAsia"/>
          <w:b/>
          <w:bCs w:val="0"/>
          <w:color w:val="auto"/>
          <w:sz w:val="24"/>
          <w:szCs w:val="24"/>
          <w:highlight w:val="none"/>
          <w:lang w:eastAsia="zh-CN"/>
        </w:rPr>
        <w:t>）</w:t>
      </w:r>
      <w:r>
        <w:rPr>
          <w:rFonts w:hint="eastAsia"/>
          <w:b/>
          <w:bCs w:val="0"/>
          <w:color w:val="auto"/>
          <w:sz w:val="24"/>
          <w:szCs w:val="24"/>
          <w:highlight w:val="none"/>
          <w:lang w:val="en-US" w:eastAsia="zh-CN"/>
        </w:rPr>
        <w:t>原厂参选授权书（加盖公章）</w:t>
      </w:r>
    </w:p>
    <w:p>
      <w:pPr>
        <w:rPr>
          <w:rFonts w:hint="eastAsia"/>
          <w:color w:val="auto"/>
          <w:sz w:val="24"/>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color w:val="auto"/>
          <w:sz w:val="24"/>
          <w:szCs w:val="24"/>
          <w:highlight w:val="none"/>
          <w:lang w:val="en-US" w:eastAsia="zh-CN"/>
        </w:rPr>
        <w:t>详见第一章内容</w:t>
      </w:r>
    </w:p>
    <w:p>
      <w:pPr>
        <w:pStyle w:val="6"/>
        <w:ind w:firstLine="0" w:firstLineChars="0"/>
        <w:jc w:val="center"/>
        <w:outlineLvl w:val="3"/>
        <w:rPr>
          <w:rFonts w:hint="eastAsia"/>
          <w:b/>
          <w:bCs w:val="0"/>
          <w:color w:val="auto"/>
          <w:sz w:val="24"/>
          <w:szCs w:val="24"/>
          <w:highlight w:val="none"/>
          <w:lang w:val="en-US" w:eastAsia="zh-CN"/>
        </w:rPr>
      </w:pPr>
      <w:r>
        <w:rPr>
          <w:rFonts w:hint="eastAsia"/>
          <w:b/>
          <w:bCs w:val="0"/>
          <w:color w:val="auto"/>
          <w:sz w:val="24"/>
          <w:szCs w:val="24"/>
          <w:highlight w:val="none"/>
          <w:lang w:val="en-US" w:eastAsia="zh-CN"/>
        </w:rPr>
        <w:t>（六）维保服务案例</w:t>
      </w:r>
    </w:p>
    <w:p>
      <w:pPr>
        <w:rPr>
          <w:rFonts w:hint="default"/>
          <w:color w:val="auto"/>
          <w:sz w:val="24"/>
          <w:szCs w:val="24"/>
          <w:highlight w:val="none"/>
          <w:lang w:val="en-US" w:eastAsia="zh-CN"/>
        </w:rPr>
      </w:pPr>
      <w:r>
        <w:rPr>
          <w:rFonts w:hint="eastAsia"/>
          <w:color w:val="auto"/>
          <w:sz w:val="24"/>
          <w:szCs w:val="24"/>
          <w:highlight w:val="none"/>
          <w:lang w:val="en-US" w:eastAsia="zh-CN"/>
        </w:rPr>
        <w:t>详见第一章内容</w:t>
      </w:r>
    </w:p>
    <w:p>
      <w:pPr>
        <w:pStyle w:val="6"/>
        <w:bidi w:val="0"/>
        <w:ind w:firstLine="0" w:firstLineChars="0"/>
        <w:jc w:val="center"/>
        <w:outlineLvl w:val="3"/>
        <w:rPr>
          <w:rStyle w:val="42"/>
          <w:b w:val="0"/>
          <w:bCs/>
          <w:i/>
          <w:iCs/>
          <w:color w:val="auto"/>
          <w:sz w:val="24"/>
          <w:szCs w:val="24"/>
          <w:highlight w:val="none"/>
        </w:rPr>
      </w:pPr>
      <w:r>
        <w:rPr>
          <w:rFonts w:hint="eastAsia" w:cs="等线 Light"/>
          <w:color w:val="auto"/>
          <w:kern w:val="0"/>
          <w:sz w:val="24"/>
          <w:szCs w:val="24"/>
          <w:highlight w:val="none"/>
        </w:rPr>
        <w:br w:type="page"/>
      </w:r>
      <w:r>
        <w:rPr>
          <w:rStyle w:val="27"/>
          <w:rFonts w:hint="eastAsia" w:ascii="宋体" w:hAnsi="宋体" w:eastAsia="宋体"/>
          <w:b/>
          <w:bCs/>
          <w:snapToGrid w:val="0"/>
          <w:color w:val="auto"/>
          <w:kern w:val="0"/>
          <w:sz w:val="24"/>
          <w:szCs w:val="24"/>
          <w:highlight w:val="none"/>
        </w:rPr>
        <w:t>（</w:t>
      </w:r>
      <w:r>
        <w:rPr>
          <w:rStyle w:val="27"/>
          <w:rFonts w:hint="eastAsia" w:ascii="宋体" w:hAnsi="宋体" w:eastAsia="宋体"/>
          <w:b/>
          <w:bCs/>
          <w:snapToGrid w:val="0"/>
          <w:color w:val="auto"/>
          <w:kern w:val="0"/>
          <w:sz w:val="24"/>
          <w:szCs w:val="24"/>
          <w:highlight w:val="none"/>
          <w:lang w:val="en-US" w:eastAsia="zh-CN"/>
        </w:rPr>
        <w:t>七</w:t>
      </w:r>
      <w:r>
        <w:rPr>
          <w:rStyle w:val="27"/>
          <w:rFonts w:hint="eastAsia" w:ascii="宋体" w:hAnsi="宋体" w:eastAsia="宋体"/>
          <w:b/>
          <w:bCs/>
          <w:snapToGrid w:val="0"/>
          <w:color w:val="auto"/>
          <w:kern w:val="0"/>
          <w:sz w:val="24"/>
          <w:szCs w:val="24"/>
          <w:highlight w:val="none"/>
        </w:rPr>
        <w:t>）参选保证金</w:t>
      </w:r>
    </w:p>
    <w:p>
      <w:pPr>
        <w:autoSpaceDE w:val="0"/>
        <w:autoSpaceDN w:val="0"/>
        <w:adjustRightInd w:val="0"/>
        <w:snapToGrid w:val="0"/>
        <w:spacing w:line="360" w:lineRule="auto"/>
        <w:ind w:firstLine="0"/>
        <w:jc w:val="left"/>
        <w:rPr>
          <w:rFonts w:ascii="宋体" w:hAnsi="宋体"/>
          <w:snapToGrid w:val="0"/>
          <w:color w:val="auto"/>
          <w:kern w:val="0"/>
          <w:sz w:val="24"/>
          <w:szCs w:val="24"/>
          <w:highlight w:val="none"/>
        </w:rPr>
      </w:pPr>
      <w:r>
        <w:rPr>
          <w:rFonts w:ascii="宋体" w:hAnsi="宋体"/>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2828925" cy="0"/>
                        </a:xfrm>
                        <a:prstGeom prst="line">
                          <a:avLst/>
                        </a:prstGeom>
                        <a:noFill/>
                        <a:ln w="3175">
                          <a:solidFill>
                            <a:srgbClr val="000000"/>
                          </a:solidFill>
                          <a:round/>
                        </a:ln>
                        <a:effectLst/>
                      </wps:spPr>
                      <wps:bodyPr/>
                    </wps:wsp>
                  </a:graphicData>
                </a:graphic>
              </wp:anchor>
            </w:drawing>
          </mc:Choice>
          <mc:Fallback>
            <w:pict>
              <v:line id="_x0000_s1026" o:spid="_x0000_s1026" o:spt="20" style="position:absolute;left:0pt;margin-left:-2.25pt;margin-top:18.6pt;height:0pt;width:222.75pt;z-index:251659264;mso-width-relative:page;mso-height-relative:page;" filled="f" stroked="t" coordsize="21600,21600" o:gfxdata="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gOc&#10;Y9gAAAAIAQAADwAAAAAAAAABACAAAAAiAAAAZHJzL2Rvd25yZXYueG1sUEsBAhQAFAAAAAgAh07i&#10;QLqfEyDpAQAAuAMAAA4AAAAAAAAAAQAgAAAAJwEAAGRycy9lMm9Eb2MueG1sUEsFBgAAAAAGAAYA&#10;WQEAAIIFAAAAAA==&#10;">
                <v:fill on="f" focussize="0,0"/>
                <v:stroke weight="0.25pt" color="#000000" joinstyle="round"/>
                <v:imagedata o:title=""/>
                <o:lock v:ext="edit" aspectratio="f"/>
              </v:line>
            </w:pict>
          </mc:Fallback>
        </mc:AlternateContent>
      </w:r>
      <w:r>
        <w:rPr>
          <w:rFonts w:hint="eastAsia" w:ascii="宋体" w:hAnsi="宋体"/>
          <w:snapToGrid w:val="0"/>
          <w:color w:val="auto"/>
          <w:kern w:val="0"/>
          <w:sz w:val="24"/>
          <w:szCs w:val="24"/>
          <w:highlight w:val="none"/>
        </w:rPr>
        <w:t>注：附</w:t>
      </w:r>
      <w:r>
        <w:rPr>
          <w:rFonts w:hint="eastAsia" w:ascii="宋体" w:hAnsi="宋体" w:cs="等线 Light"/>
          <w:snapToGrid w:val="0"/>
          <w:color w:val="auto"/>
          <w:kern w:val="0"/>
          <w:sz w:val="24"/>
          <w:szCs w:val="24"/>
          <w:highlight w:val="none"/>
        </w:rPr>
        <w:t>参选</w:t>
      </w:r>
      <w:r>
        <w:rPr>
          <w:rFonts w:hint="eastAsia" w:ascii="宋体" w:hAnsi="宋体"/>
          <w:snapToGrid w:val="0"/>
          <w:color w:val="auto"/>
          <w:kern w:val="0"/>
          <w:sz w:val="24"/>
          <w:szCs w:val="24"/>
          <w:highlight w:val="none"/>
        </w:rPr>
        <w:t>保证金交款凭据复印件</w:t>
      </w:r>
    </w:p>
    <w:p>
      <w:pPr>
        <w:spacing w:line="360" w:lineRule="auto"/>
        <w:rPr>
          <w:rFonts w:ascii="宋体" w:hAnsi="宋体" w:cs="等线 Light"/>
          <w:color w:val="auto"/>
          <w:sz w:val="24"/>
          <w:szCs w:val="24"/>
          <w:highlight w:val="none"/>
        </w:rPr>
      </w:pPr>
    </w:p>
    <w:p>
      <w:pPr>
        <w:spacing w:line="360" w:lineRule="auto"/>
        <w:ind w:firstLine="2400"/>
        <w:rPr>
          <w:rFonts w:ascii="宋体" w:hAnsi="宋体" w:cs="等线 Light"/>
          <w:color w:val="auto"/>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5"/>
        <w:numPr>
          <w:ilvl w:val="0"/>
          <w:numId w:val="0"/>
        </w:numPr>
        <w:ind w:leftChars="0"/>
        <w:jc w:val="center"/>
        <w:outlineLvl w:val="2"/>
        <w:rPr>
          <w:b w:val="0"/>
          <w:color w:val="auto"/>
          <w:kern w:val="0"/>
          <w:sz w:val="24"/>
          <w:highlight w:val="none"/>
        </w:rPr>
      </w:pPr>
      <w:r>
        <w:rPr>
          <w:rFonts w:hint="eastAsia" w:cs="Cambria"/>
          <w:bCs w:val="0"/>
          <w:snapToGrid/>
          <w:color w:val="auto"/>
          <w:sz w:val="24"/>
          <w:szCs w:val="24"/>
          <w:highlight w:val="none"/>
          <w:lang w:val="en-US" w:eastAsia="zh-CN"/>
        </w:rPr>
        <w:t>四、</w:t>
      </w:r>
      <w:r>
        <w:rPr>
          <w:rFonts w:hint="eastAsia" w:cs="Cambria"/>
          <w:bCs w:val="0"/>
          <w:snapToGrid/>
          <w:color w:val="auto"/>
          <w:sz w:val="24"/>
          <w:szCs w:val="24"/>
          <w:highlight w:val="none"/>
        </w:rPr>
        <w:t>参选人业绩证明文件复印件</w:t>
      </w:r>
    </w:p>
    <w:p>
      <w:pPr>
        <w:bidi w:val="0"/>
        <w:rPr>
          <w:color w:val="auto"/>
          <w:sz w:val="24"/>
          <w:szCs w:val="24"/>
          <w:highlight w:val="none"/>
        </w:rPr>
      </w:pPr>
      <w:r>
        <w:rPr>
          <w:rFonts w:hint="eastAsia"/>
          <w:color w:val="auto"/>
          <w:sz w:val="24"/>
          <w:szCs w:val="24"/>
          <w:highlight w:val="none"/>
        </w:rPr>
        <w:t>（中选通知书、合同等）</w:t>
      </w:r>
    </w:p>
    <w:p>
      <w:pPr>
        <w:tabs>
          <w:tab w:val="left" w:pos="6300"/>
        </w:tabs>
        <w:snapToGrid w:val="0"/>
        <w:spacing w:line="360" w:lineRule="auto"/>
        <w:jc w:val="center"/>
        <w:rPr>
          <w:rFonts w:ascii="宋体" w:hAnsi="宋体"/>
          <w:snapToGrid w:val="0"/>
          <w:color w:val="auto"/>
          <w:kern w:val="0"/>
          <w:sz w:val="24"/>
          <w:szCs w:val="24"/>
          <w:highlight w:val="none"/>
        </w:rPr>
      </w:pPr>
    </w:p>
    <w:p>
      <w:pPr>
        <w:rPr>
          <w:color w:val="auto"/>
          <w:kern w:val="0"/>
          <w:sz w:val="24"/>
          <w:szCs w:val="24"/>
          <w:highlight w:val="none"/>
        </w:rPr>
      </w:pPr>
      <w:r>
        <w:rPr>
          <w:rFonts w:hint="eastAsia"/>
          <w:color w:val="auto"/>
          <w:kern w:val="0"/>
          <w:sz w:val="24"/>
          <w:szCs w:val="24"/>
          <w:highlight w:val="none"/>
        </w:rPr>
        <w:br w:type="page"/>
      </w:r>
    </w:p>
    <w:p>
      <w:pPr>
        <w:pStyle w:val="5"/>
        <w:bidi w:val="0"/>
        <w:jc w:val="center"/>
        <w:outlineLvl w:val="2"/>
        <w:rPr>
          <w:color w:val="auto"/>
          <w:sz w:val="28"/>
          <w:szCs w:val="28"/>
          <w:highlight w:val="none"/>
        </w:rPr>
      </w:pPr>
      <w:r>
        <w:rPr>
          <w:rFonts w:hint="eastAsia"/>
          <w:color w:val="auto"/>
          <w:sz w:val="28"/>
          <w:szCs w:val="28"/>
          <w:highlight w:val="none"/>
          <w:lang w:val="en-US" w:eastAsia="zh-CN"/>
        </w:rPr>
        <w:t>五、</w:t>
      </w:r>
      <w:r>
        <w:rPr>
          <w:rFonts w:hint="eastAsia"/>
          <w:color w:val="auto"/>
          <w:sz w:val="28"/>
          <w:szCs w:val="28"/>
          <w:highlight w:val="none"/>
        </w:rPr>
        <w:t>商务条款偏离表</w:t>
      </w:r>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1911"/>
        <w:gridCol w:w="2052"/>
        <w:gridCol w:w="2350"/>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43"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11"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比选文件条目号</w:t>
            </w:r>
          </w:p>
        </w:tc>
        <w:tc>
          <w:tcPr>
            <w:tcW w:w="2052"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比选文件商务条款</w:t>
            </w:r>
          </w:p>
        </w:tc>
        <w:tc>
          <w:tcPr>
            <w:tcW w:w="2350"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参选文件对应商务条款</w:t>
            </w:r>
          </w:p>
        </w:tc>
        <w:tc>
          <w:tcPr>
            <w:tcW w:w="1166"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1911"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2052"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235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1166"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1911"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2052"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235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1166"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1911"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2052"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235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1166"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1911"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2052"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235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1166"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1911"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2052"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235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1166"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1911"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2052"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235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1166"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1911"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2052"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235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1166"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1911"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2052"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235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1166"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1911"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2052"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235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1166"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1911"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2052"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235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1166"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1911"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2052"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235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1166"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1911"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2052"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235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1166"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1911"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2052"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235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c>
          <w:tcPr>
            <w:tcW w:w="1166"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4"/>
                <w:szCs w:val="24"/>
                <w:highlight w:val="none"/>
              </w:rPr>
            </w:pPr>
          </w:p>
        </w:tc>
      </w:tr>
    </w:tbl>
    <w:p>
      <w:pPr>
        <w:pStyle w:val="2"/>
        <w:rPr>
          <w:rFonts w:hint="default" w:eastAsia="宋体"/>
          <w:color w:val="auto"/>
          <w:sz w:val="24"/>
          <w:szCs w:val="24"/>
          <w:highlight w:val="none"/>
          <w:lang w:val="en-US" w:eastAsia="zh-CN"/>
        </w:rPr>
      </w:pPr>
      <w:r>
        <w:rPr>
          <w:rFonts w:hint="eastAsia"/>
          <w:color w:val="auto"/>
          <w:sz w:val="24"/>
          <w:szCs w:val="24"/>
          <w:highlight w:val="none"/>
          <w:lang w:val="en-US" w:eastAsia="zh-CN"/>
        </w:rPr>
        <w:t>注：根据比选文件第四章内容，逐一填写说明与响应。</w:t>
      </w:r>
    </w:p>
    <w:p>
      <w:pPr>
        <w:widowControl/>
        <w:spacing w:line="360" w:lineRule="auto"/>
        <w:jc w:val="center"/>
        <w:rPr>
          <w:rFonts w:ascii="宋体" w:hAnsi="宋体"/>
          <w:b/>
          <w:snapToGrid w:val="0"/>
          <w:color w:val="auto"/>
          <w:kern w:val="0"/>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5"/>
        <w:numPr>
          <w:ilvl w:val="-1"/>
          <w:numId w:val="0"/>
        </w:numPr>
        <w:spacing w:line="520" w:lineRule="exact"/>
        <w:ind w:left="0" w:firstLine="0" w:firstLineChars="0"/>
        <w:jc w:val="center"/>
        <w:outlineLvl w:val="2"/>
        <w:rPr>
          <w:rFonts w:cs="Cambria"/>
          <w:bCs w:val="0"/>
          <w:snapToGrid/>
          <w:color w:val="auto"/>
          <w:sz w:val="28"/>
          <w:szCs w:val="28"/>
          <w:highlight w:val="none"/>
        </w:rPr>
      </w:pPr>
      <w:r>
        <w:rPr>
          <w:rFonts w:hint="eastAsia" w:cs="Cambria"/>
          <w:bCs w:val="0"/>
          <w:snapToGrid/>
          <w:color w:val="auto"/>
          <w:sz w:val="28"/>
          <w:szCs w:val="28"/>
          <w:highlight w:val="none"/>
          <w:lang w:val="en-US" w:eastAsia="zh-CN"/>
        </w:rPr>
        <w:t>六、</w:t>
      </w:r>
      <w:r>
        <w:rPr>
          <w:rFonts w:hint="eastAsia" w:cs="Cambria"/>
          <w:bCs w:val="0"/>
          <w:snapToGrid/>
          <w:color w:val="auto"/>
          <w:sz w:val="28"/>
          <w:szCs w:val="28"/>
          <w:highlight w:val="none"/>
        </w:rPr>
        <w:t>服务水平协议（SLA）</w:t>
      </w:r>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150"/>
        <w:gridCol w:w="1605"/>
        <w:gridCol w:w="2024"/>
        <w:gridCol w:w="3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17" w:type="dxa"/>
            <w:vAlign w:val="center"/>
          </w:tcPr>
          <w:p>
            <w:pPr>
              <w:widowControl/>
              <w:jc w:val="center"/>
              <w:rPr>
                <w:rFonts w:ascii="宋体" w:cs="宋体"/>
                <w:b/>
                <w:bCs/>
                <w:color w:val="auto"/>
                <w:kern w:val="0"/>
                <w:sz w:val="24"/>
                <w:szCs w:val="24"/>
                <w:highlight w:val="none"/>
              </w:rPr>
            </w:pPr>
            <w:r>
              <w:rPr>
                <w:rFonts w:hint="eastAsia" w:ascii="宋体" w:cs="宋体"/>
                <w:b/>
                <w:bCs/>
                <w:color w:val="auto"/>
                <w:kern w:val="0"/>
                <w:sz w:val="24"/>
                <w:szCs w:val="24"/>
                <w:highlight w:val="none"/>
              </w:rPr>
              <w:t>序号</w:t>
            </w:r>
          </w:p>
        </w:tc>
        <w:tc>
          <w:tcPr>
            <w:tcW w:w="1150" w:type="dxa"/>
            <w:vAlign w:val="center"/>
          </w:tcPr>
          <w:p>
            <w:pPr>
              <w:widowControl/>
              <w:jc w:val="center"/>
              <w:rPr>
                <w:rFonts w:ascii="宋体" w:cs="宋体"/>
                <w:b/>
                <w:bCs/>
                <w:color w:val="auto"/>
                <w:kern w:val="0"/>
                <w:sz w:val="24"/>
                <w:szCs w:val="24"/>
                <w:highlight w:val="none"/>
              </w:rPr>
            </w:pPr>
            <w:r>
              <w:rPr>
                <w:rFonts w:hint="eastAsia" w:ascii="宋体" w:cs="宋体"/>
                <w:b/>
                <w:bCs/>
                <w:color w:val="auto"/>
                <w:kern w:val="0"/>
                <w:sz w:val="24"/>
                <w:szCs w:val="24"/>
                <w:highlight w:val="none"/>
              </w:rPr>
              <w:t>服务内容</w:t>
            </w:r>
          </w:p>
        </w:tc>
        <w:tc>
          <w:tcPr>
            <w:tcW w:w="1605" w:type="dxa"/>
            <w:vAlign w:val="center"/>
          </w:tcPr>
          <w:p>
            <w:pPr>
              <w:widowControl/>
              <w:jc w:val="center"/>
              <w:rPr>
                <w:rFonts w:ascii="宋体" w:cs="宋体"/>
                <w:b/>
                <w:bCs/>
                <w:color w:val="auto"/>
                <w:kern w:val="0"/>
                <w:sz w:val="24"/>
                <w:szCs w:val="24"/>
                <w:highlight w:val="none"/>
              </w:rPr>
            </w:pPr>
            <w:r>
              <w:rPr>
                <w:rFonts w:hint="eastAsia" w:ascii="宋体" w:cs="宋体"/>
                <w:b/>
                <w:bCs/>
                <w:color w:val="auto"/>
                <w:kern w:val="0"/>
                <w:sz w:val="24"/>
                <w:szCs w:val="24"/>
                <w:highlight w:val="none"/>
              </w:rPr>
              <w:t>内容描述</w:t>
            </w:r>
          </w:p>
        </w:tc>
        <w:tc>
          <w:tcPr>
            <w:tcW w:w="2024" w:type="dxa"/>
            <w:vAlign w:val="center"/>
          </w:tcPr>
          <w:p>
            <w:pPr>
              <w:widowControl/>
              <w:jc w:val="center"/>
              <w:rPr>
                <w:rFonts w:ascii="宋体" w:cs="宋体"/>
                <w:b/>
                <w:bCs/>
                <w:color w:val="auto"/>
                <w:kern w:val="0"/>
                <w:sz w:val="24"/>
                <w:szCs w:val="24"/>
                <w:highlight w:val="none"/>
              </w:rPr>
            </w:pPr>
            <w:r>
              <w:rPr>
                <w:rFonts w:hint="eastAsia" w:ascii="宋体" w:cs="宋体"/>
                <w:b/>
                <w:bCs/>
                <w:color w:val="auto"/>
                <w:kern w:val="0"/>
                <w:sz w:val="24"/>
                <w:szCs w:val="24"/>
                <w:highlight w:val="none"/>
              </w:rPr>
              <w:t>质量要求及指标</w:t>
            </w:r>
          </w:p>
        </w:tc>
        <w:tc>
          <w:tcPr>
            <w:tcW w:w="3226" w:type="dxa"/>
            <w:vAlign w:val="center"/>
          </w:tcPr>
          <w:p>
            <w:pPr>
              <w:widowControl/>
              <w:jc w:val="center"/>
              <w:rPr>
                <w:rFonts w:ascii="宋体" w:cs="宋体"/>
                <w:b/>
                <w:bCs/>
                <w:color w:val="auto"/>
                <w:kern w:val="0"/>
                <w:sz w:val="24"/>
                <w:szCs w:val="24"/>
                <w:highlight w:val="none"/>
              </w:rPr>
            </w:pPr>
            <w:r>
              <w:rPr>
                <w:rFonts w:hint="eastAsia" w:ascii="宋体" w:cs="宋体"/>
                <w:b/>
                <w:bCs/>
                <w:color w:val="auto"/>
                <w:kern w:val="0"/>
                <w:sz w:val="24"/>
                <w:szCs w:val="24"/>
                <w:highlight w:val="none"/>
              </w:rPr>
              <w:t>违约金标准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517" w:type="dxa"/>
            <w:vAlign w:val="center"/>
          </w:tcPr>
          <w:p>
            <w:pPr>
              <w:widowControl/>
              <w:jc w:val="center"/>
              <w:rPr>
                <w:rFonts w:ascii="宋体" w:cs="宋体"/>
                <w:color w:val="auto"/>
                <w:kern w:val="0"/>
                <w:sz w:val="24"/>
                <w:szCs w:val="24"/>
                <w:highlight w:val="none"/>
              </w:rPr>
            </w:pPr>
            <w:r>
              <w:rPr>
                <w:rFonts w:hint="eastAsia" w:ascii="宋体" w:cs="宋体"/>
                <w:color w:val="auto"/>
                <w:kern w:val="0"/>
                <w:sz w:val="24"/>
                <w:szCs w:val="24"/>
                <w:highlight w:val="none"/>
              </w:rPr>
              <w:t>1</w:t>
            </w:r>
          </w:p>
        </w:tc>
        <w:tc>
          <w:tcPr>
            <w:tcW w:w="1150" w:type="dxa"/>
            <w:vAlign w:val="center"/>
          </w:tcPr>
          <w:p>
            <w:pPr>
              <w:widowControl/>
              <w:jc w:val="center"/>
              <w:rPr>
                <w:rFonts w:ascii="宋体" w:cs="宋体"/>
                <w:color w:val="auto"/>
                <w:kern w:val="0"/>
                <w:sz w:val="24"/>
                <w:szCs w:val="24"/>
                <w:highlight w:val="none"/>
              </w:rPr>
            </w:pPr>
            <w:r>
              <w:rPr>
                <w:rFonts w:hint="eastAsia" w:ascii="宋体" w:cs="宋体"/>
                <w:color w:val="auto"/>
                <w:kern w:val="0"/>
                <w:sz w:val="24"/>
                <w:szCs w:val="24"/>
                <w:highlight w:val="none"/>
              </w:rPr>
              <w:t>原厂维保服务生效证明文件</w:t>
            </w:r>
          </w:p>
        </w:tc>
        <w:tc>
          <w:tcPr>
            <w:tcW w:w="1605" w:type="dxa"/>
            <w:vAlign w:val="center"/>
          </w:tcPr>
          <w:p>
            <w:pPr>
              <w:widowControl/>
              <w:rPr>
                <w:rFonts w:ascii="宋体" w:cs="宋体"/>
                <w:color w:val="auto"/>
                <w:kern w:val="0"/>
                <w:sz w:val="24"/>
                <w:szCs w:val="24"/>
                <w:highlight w:val="none"/>
              </w:rPr>
            </w:pPr>
            <w:r>
              <w:rPr>
                <w:rFonts w:hint="eastAsia" w:ascii="宋体" w:cs="宋体"/>
                <w:color w:val="auto"/>
                <w:kern w:val="0"/>
                <w:sz w:val="24"/>
                <w:szCs w:val="24"/>
                <w:highlight w:val="none"/>
              </w:rPr>
              <w:t>在合同签订后提供原厂维保服务生效证明文件。</w:t>
            </w:r>
          </w:p>
        </w:tc>
        <w:tc>
          <w:tcPr>
            <w:tcW w:w="2024" w:type="dxa"/>
            <w:vAlign w:val="center"/>
          </w:tcPr>
          <w:p>
            <w:pPr>
              <w:widowControl/>
              <w:rPr>
                <w:rFonts w:ascii="宋体" w:cs="宋体"/>
                <w:color w:val="auto"/>
                <w:kern w:val="0"/>
                <w:sz w:val="24"/>
                <w:szCs w:val="24"/>
                <w:highlight w:val="none"/>
              </w:rPr>
            </w:pPr>
            <w:r>
              <w:rPr>
                <w:rFonts w:hint="eastAsia" w:ascii="宋体" w:cs="宋体"/>
                <w:color w:val="auto"/>
                <w:kern w:val="0"/>
                <w:sz w:val="24"/>
                <w:szCs w:val="24"/>
                <w:highlight w:val="none"/>
              </w:rPr>
              <w:t>提供原厂维保服务生效证明文件。</w:t>
            </w:r>
          </w:p>
        </w:tc>
        <w:tc>
          <w:tcPr>
            <w:tcW w:w="3226" w:type="dxa"/>
            <w:vAlign w:val="center"/>
          </w:tcPr>
          <w:p>
            <w:pPr>
              <w:widowControl/>
              <w:rPr>
                <w:rFonts w:ascii="宋体" w:cs="宋体"/>
                <w:color w:val="auto"/>
                <w:kern w:val="0"/>
                <w:sz w:val="24"/>
                <w:szCs w:val="24"/>
                <w:highlight w:val="none"/>
              </w:rPr>
            </w:pPr>
            <w:r>
              <w:rPr>
                <w:rFonts w:hint="eastAsia" w:ascii="宋体" w:cs="宋体"/>
                <w:color w:val="auto"/>
                <w:kern w:val="0"/>
                <w:sz w:val="24"/>
                <w:szCs w:val="24"/>
                <w:highlight w:val="none"/>
              </w:rPr>
              <w:t>若未能提供原厂维保服务生效证明文件，将扣除年维保服务费用的100%。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517" w:type="dxa"/>
            <w:vAlign w:val="center"/>
          </w:tcPr>
          <w:p>
            <w:pPr>
              <w:widowControl/>
              <w:jc w:val="center"/>
              <w:rPr>
                <w:rFonts w:ascii="宋体" w:cs="宋体"/>
                <w:color w:val="auto"/>
                <w:kern w:val="0"/>
                <w:sz w:val="24"/>
                <w:szCs w:val="24"/>
                <w:highlight w:val="none"/>
              </w:rPr>
            </w:pPr>
            <w:r>
              <w:rPr>
                <w:rFonts w:hint="eastAsia" w:ascii="宋体" w:cs="宋体"/>
                <w:color w:val="auto"/>
                <w:kern w:val="0"/>
                <w:sz w:val="24"/>
                <w:szCs w:val="24"/>
                <w:highlight w:val="none"/>
              </w:rPr>
              <w:t>2</w:t>
            </w:r>
          </w:p>
        </w:tc>
        <w:tc>
          <w:tcPr>
            <w:tcW w:w="1150" w:type="dxa"/>
            <w:vAlign w:val="center"/>
          </w:tcPr>
          <w:p>
            <w:pPr>
              <w:widowControl/>
              <w:jc w:val="center"/>
              <w:rPr>
                <w:rFonts w:ascii="宋体" w:cs="宋体"/>
                <w:color w:val="auto"/>
                <w:kern w:val="0"/>
                <w:sz w:val="24"/>
                <w:szCs w:val="24"/>
                <w:highlight w:val="none"/>
              </w:rPr>
            </w:pPr>
            <w:r>
              <w:rPr>
                <w:rFonts w:hint="eastAsia" w:ascii="宋体" w:cs="宋体"/>
                <w:color w:val="auto"/>
                <w:kern w:val="0"/>
                <w:sz w:val="24"/>
                <w:szCs w:val="24"/>
                <w:highlight w:val="none"/>
              </w:rPr>
              <w:t>最终用户</w:t>
            </w:r>
          </w:p>
        </w:tc>
        <w:tc>
          <w:tcPr>
            <w:tcW w:w="1605" w:type="dxa"/>
            <w:vAlign w:val="center"/>
          </w:tcPr>
          <w:p>
            <w:pPr>
              <w:widowControl/>
              <w:rPr>
                <w:rFonts w:ascii="宋体" w:cs="宋体"/>
                <w:color w:val="auto"/>
                <w:kern w:val="0"/>
                <w:sz w:val="24"/>
                <w:szCs w:val="24"/>
                <w:highlight w:val="none"/>
              </w:rPr>
            </w:pPr>
            <w:r>
              <w:rPr>
                <w:rFonts w:hint="eastAsia" w:ascii="宋体" w:cs="宋体"/>
                <w:color w:val="auto"/>
                <w:kern w:val="0"/>
                <w:sz w:val="24"/>
                <w:szCs w:val="24"/>
                <w:highlight w:val="none"/>
              </w:rPr>
              <w:t>提供的原厂维保服务生效证明文件的最终用户为甲方。</w:t>
            </w:r>
          </w:p>
        </w:tc>
        <w:tc>
          <w:tcPr>
            <w:tcW w:w="2024" w:type="dxa"/>
            <w:vAlign w:val="center"/>
          </w:tcPr>
          <w:p>
            <w:pPr>
              <w:widowControl/>
              <w:rPr>
                <w:rFonts w:ascii="宋体" w:cs="宋体"/>
                <w:color w:val="auto"/>
                <w:kern w:val="0"/>
                <w:sz w:val="24"/>
                <w:szCs w:val="24"/>
                <w:highlight w:val="none"/>
              </w:rPr>
            </w:pPr>
            <w:r>
              <w:rPr>
                <w:rFonts w:hint="eastAsia" w:ascii="宋体" w:cs="宋体"/>
                <w:color w:val="auto"/>
                <w:kern w:val="0"/>
                <w:sz w:val="24"/>
                <w:szCs w:val="24"/>
                <w:highlight w:val="none"/>
              </w:rPr>
              <w:t>原厂维保服务生效证明文件的最终用户为甲方。</w:t>
            </w:r>
          </w:p>
        </w:tc>
        <w:tc>
          <w:tcPr>
            <w:tcW w:w="3226" w:type="dxa"/>
            <w:vAlign w:val="center"/>
          </w:tcPr>
          <w:p>
            <w:pPr>
              <w:widowControl/>
              <w:rPr>
                <w:rFonts w:ascii="宋体" w:cs="宋体"/>
                <w:color w:val="auto"/>
                <w:kern w:val="0"/>
                <w:sz w:val="24"/>
                <w:szCs w:val="24"/>
                <w:highlight w:val="none"/>
              </w:rPr>
            </w:pPr>
            <w:r>
              <w:rPr>
                <w:rFonts w:hint="eastAsia" w:ascii="宋体" w:cs="宋体"/>
                <w:color w:val="auto"/>
                <w:kern w:val="0"/>
                <w:sz w:val="24"/>
                <w:szCs w:val="24"/>
                <w:highlight w:val="none"/>
              </w:rPr>
              <w:t>若原厂维保服务生效证明文件的最终用户不为甲方，将扣除年维保服务费用的100%。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517" w:type="dxa"/>
            <w:vAlign w:val="center"/>
          </w:tcPr>
          <w:p>
            <w:pPr>
              <w:widowControl/>
              <w:jc w:val="center"/>
              <w:rPr>
                <w:rFonts w:ascii="宋体" w:cs="宋体"/>
                <w:color w:val="auto"/>
                <w:kern w:val="0"/>
                <w:sz w:val="24"/>
                <w:szCs w:val="24"/>
                <w:highlight w:val="none"/>
              </w:rPr>
            </w:pPr>
            <w:r>
              <w:rPr>
                <w:rFonts w:hint="eastAsia" w:ascii="宋体" w:cs="宋体"/>
                <w:color w:val="auto"/>
                <w:kern w:val="0"/>
                <w:sz w:val="24"/>
                <w:szCs w:val="24"/>
                <w:highlight w:val="none"/>
              </w:rPr>
              <w:t>3</w:t>
            </w:r>
          </w:p>
        </w:tc>
        <w:tc>
          <w:tcPr>
            <w:tcW w:w="1150" w:type="dxa"/>
            <w:vAlign w:val="center"/>
          </w:tcPr>
          <w:p>
            <w:pPr>
              <w:widowControl/>
              <w:jc w:val="center"/>
              <w:rPr>
                <w:rFonts w:ascii="宋体" w:cs="宋体"/>
                <w:color w:val="auto"/>
                <w:kern w:val="0"/>
                <w:sz w:val="24"/>
                <w:szCs w:val="24"/>
                <w:highlight w:val="none"/>
              </w:rPr>
            </w:pPr>
            <w:r>
              <w:rPr>
                <w:rFonts w:hint="eastAsia" w:ascii="宋体" w:cs="宋体"/>
                <w:color w:val="auto"/>
                <w:kern w:val="0"/>
                <w:sz w:val="24"/>
                <w:szCs w:val="24"/>
                <w:highlight w:val="none"/>
              </w:rPr>
              <w:t>维保服务时间</w:t>
            </w:r>
          </w:p>
        </w:tc>
        <w:tc>
          <w:tcPr>
            <w:tcW w:w="1605" w:type="dxa"/>
            <w:vAlign w:val="center"/>
          </w:tcPr>
          <w:p>
            <w:pPr>
              <w:widowControl/>
              <w:rPr>
                <w:rFonts w:ascii="宋体" w:cs="宋体"/>
                <w:color w:val="auto"/>
                <w:kern w:val="0"/>
                <w:sz w:val="24"/>
                <w:szCs w:val="24"/>
                <w:highlight w:val="none"/>
              </w:rPr>
            </w:pPr>
            <w:r>
              <w:rPr>
                <w:rFonts w:hint="eastAsia" w:ascii="宋体" w:cs="宋体"/>
                <w:color w:val="auto"/>
                <w:kern w:val="0"/>
                <w:sz w:val="24"/>
                <w:szCs w:val="24"/>
                <w:highlight w:val="none"/>
              </w:rPr>
              <w:t>提供的原厂维保服务生效证明文件的维保服务时间应与合同约定的维保服务时间一致。</w:t>
            </w:r>
          </w:p>
        </w:tc>
        <w:tc>
          <w:tcPr>
            <w:tcW w:w="2024" w:type="dxa"/>
            <w:vAlign w:val="center"/>
          </w:tcPr>
          <w:p>
            <w:pPr>
              <w:widowControl/>
              <w:rPr>
                <w:rFonts w:ascii="宋体" w:cs="宋体"/>
                <w:color w:val="auto"/>
                <w:kern w:val="0"/>
                <w:sz w:val="24"/>
                <w:szCs w:val="24"/>
                <w:highlight w:val="none"/>
              </w:rPr>
            </w:pPr>
            <w:r>
              <w:rPr>
                <w:rFonts w:hint="eastAsia" w:ascii="宋体" w:cs="宋体"/>
                <w:color w:val="auto"/>
                <w:kern w:val="0"/>
                <w:sz w:val="24"/>
                <w:szCs w:val="24"/>
                <w:highlight w:val="none"/>
              </w:rPr>
              <w:t>原厂维保服务生效证明文件的维保服务时间应与合同约定的维保服务时间一致。</w:t>
            </w:r>
          </w:p>
        </w:tc>
        <w:tc>
          <w:tcPr>
            <w:tcW w:w="3226" w:type="dxa"/>
            <w:vAlign w:val="center"/>
          </w:tcPr>
          <w:p>
            <w:pPr>
              <w:widowControl/>
              <w:rPr>
                <w:rFonts w:ascii="宋体" w:cs="宋体"/>
                <w:color w:val="auto"/>
                <w:kern w:val="0"/>
                <w:sz w:val="24"/>
                <w:szCs w:val="24"/>
                <w:highlight w:val="none"/>
              </w:rPr>
            </w:pPr>
            <w:r>
              <w:rPr>
                <w:rFonts w:hint="eastAsia" w:ascii="宋体" w:cs="宋体"/>
                <w:color w:val="auto"/>
                <w:kern w:val="0"/>
                <w:sz w:val="24"/>
                <w:szCs w:val="24"/>
                <w:highlight w:val="none"/>
              </w:rPr>
              <w:t>若原厂维保服务生效证明文件的维保服务时间与合同约定的维保服务时间不一致，根据差异的天数/合同约定的维保服务天数=偏差率，扣除年维保服务费用*偏差率。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517" w:type="dxa"/>
            <w:vAlign w:val="center"/>
          </w:tcPr>
          <w:p>
            <w:pPr>
              <w:widowControl/>
              <w:jc w:val="center"/>
              <w:rPr>
                <w:rFonts w:hint="eastAsia" w:ascii="宋体" w:cs="宋体"/>
                <w:color w:val="auto"/>
                <w:kern w:val="0"/>
                <w:sz w:val="24"/>
                <w:szCs w:val="24"/>
                <w:highlight w:val="none"/>
              </w:rPr>
            </w:pPr>
            <w:r>
              <w:rPr>
                <w:rFonts w:hint="eastAsia" w:ascii="宋体" w:cs="宋体"/>
                <w:color w:val="auto"/>
                <w:kern w:val="0"/>
                <w:sz w:val="24"/>
                <w:szCs w:val="24"/>
                <w:highlight w:val="none"/>
                <w:lang w:eastAsia="zh-CN"/>
              </w:rPr>
              <w:t>4</w:t>
            </w:r>
          </w:p>
        </w:tc>
        <w:tc>
          <w:tcPr>
            <w:tcW w:w="1150" w:type="dxa"/>
            <w:vAlign w:val="center"/>
          </w:tcPr>
          <w:p>
            <w:pPr>
              <w:widowControl/>
              <w:jc w:val="center"/>
              <w:rPr>
                <w:rFonts w:ascii="宋体" w:cs="宋体"/>
                <w:color w:val="auto"/>
                <w:kern w:val="0"/>
                <w:sz w:val="24"/>
                <w:szCs w:val="24"/>
                <w:highlight w:val="none"/>
              </w:rPr>
            </w:pPr>
            <w:r>
              <w:rPr>
                <w:rFonts w:hint="eastAsia" w:ascii="宋体" w:cs="宋体"/>
                <w:color w:val="auto"/>
                <w:kern w:val="0"/>
                <w:sz w:val="24"/>
                <w:szCs w:val="24"/>
                <w:highlight w:val="none"/>
              </w:rPr>
              <w:t>故障解决率</w:t>
            </w:r>
          </w:p>
        </w:tc>
        <w:tc>
          <w:tcPr>
            <w:tcW w:w="1605" w:type="dxa"/>
            <w:vAlign w:val="center"/>
          </w:tcPr>
          <w:p>
            <w:pPr>
              <w:widowControl/>
              <w:rPr>
                <w:rFonts w:ascii="宋体" w:cs="宋体"/>
                <w:color w:val="auto"/>
                <w:kern w:val="0"/>
                <w:sz w:val="24"/>
                <w:szCs w:val="24"/>
                <w:highlight w:val="none"/>
              </w:rPr>
            </w:pPr>
            <w:r>
              <w:rPr>
                <w:rFonts w:hint="eastAsia" w:ascii="宋体" w:cs="宋体"/>
                <w:color w:val="auto"/>
                <w:kern w:val="0"/>
                <w:sz w:val="24"/>
                <w:szCs w:val="24"/>
                <w:highlight w:val="none"/>
              </w:rPr>
              <w:t>能够积极解决出现的故障，给予有效的解决办法和预防措施</w:t>
            </w:r>
          </w:p>
        </w:tc>
        <w:tc>
          <w:tcPr>
            <w:tcW w:w="2024" w:type="dxa"/>
            <w:vAlign w:val="center"/>
          </w:tcPr>
          <w:p>
            <w:pPr>
              <w:widowControl/>
              <w:rPr>
                <w:rFonts w:ascii="宋体" w:cs="宋体"/>
                <w:color w:val="auto"/>
                <w:kern w:val="0"/>
                <w:sz w:val="24"/>
                <w:szCs w:val="24"/>
                <w:highlight w:val="none"/>
              </w:rPr>
            </w:pPr>
            <w:r>
              <w:rPr>
                <w:rFonts w:hint="eastAsia" w:ascii="宋体" w:cs="宋体"/>
                <w:color w:val="auto"/>
                <w:kern w:val="0"/>
                <w:sz w:val="24"/>
                <w:szCs w:val="24"/>
                <w:highlight w:val="none"/>
              </w:rPr>
              <w:t>故障解决率=100%</w:t>
            </w:r>
          </w:p>
        </w:tc>
        <w:tc>
          <w:tcPr>
            <w:tcW w:w="3226" w:type="dxa"/>
            <w:vAlign w:val="center"/>
          </w:tcPr>
          <w:p>
            <w:pPr>
              <w:widowControl/>
              <w:rPr>
                <w:rFonts w:ascii="宋体" w:cs="宋体"/>
                <w:color w:val="auto"/>
                <w:kern w:val="0"/>
                <w:sz w:val="24"/>
                <w:szCs w:val="24"/>
                <w:highlight w:val="none"/>
              </w:rPr>
            </w:pPr>
            <w:r>
              <w:rPr>
                <w:rFonts w:hint="eastAsia" w:ascii="宋体" w:cs="宋体"/>
                <w:color w:val="auto"/>
                <w:kern w:val="0"/>
                <w:sz w:val="24"/>
                <w:szCs w:val="24"/>
                <w:highlight w:val="none"/>
              </w:rPr>
              <w:t>出现故障未能及时给予有效解决办法和预防措施的，一次扣除年维保服务费用的2%。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517" w:type="dxa"/>
            <w:vAlign w:val="center"/>
          </w:tcPr>
          <w:p>
            <w:pPr>
              <w:widowControl/>
              <w:jc w:val="center"/>
              <w:rPr>
                <w:rFonts w:hint="eastAsia" w:ascii="宋体" w:cs="宋体"/>
                <w:color w:val="auto"/>
                <w:kern w:val="0"/>
                <w:sz w:val="24"/>
                <w:szCs w:val="24"/>
                <w:highlight w:val="none"/>
              </w:rPr>
            </w:pPr>
            <w:r>
              <w:rPr>
                <w:rFonts w:hint="eastAsia" w:ascii="宋体" w:cs="宋体"/>
                <w:color w:val="auto"/>
                <w:kern w:val="0"/>
                <w:sz w:val="24"/>
                <w:szCs w:val="24"/>
                <w:highlight w:val="none"/>
                <w:lang w:eastAsia="zh-CN"/>
              </w:rPr>
              <w:t>5</w:t>
            </w:r>
          </w:p>
        </w:tc>
        <w:tc>
          <w:tcPr>
            <w:tcW w:w="1150" w:type="dxa"/>
            <w:vAlign w:val="center"/>
          </w:tcPr>
          <w:p>
            <w:pPr>
              <w:widowControl/>
              <w:jc w:val="center"/>
              <w:rPr>
                <w:rFonts w:ascii="宋体" w:cs="宋体"/>
                <w:color w:val="auto"/>
                <w:kern w:val="0"/>
                <w:sz w:val="24"/>
                <w:szCs w:val="24"/>
                <w:highlight w:val="none"/>
              </w:rPr>
            </w:pPr>
            <w:r>
              <w:rPr>
                <w:rFonts w:hint="eastAsia" w:ascii="宋体" w:cs="宋体"/>
                <w:color w:val="auto"/>
                <w:kern w:val="0"/>
                <w:sz w:val="24"/>
                <w:szCs w:val="24"/>
                <w:highlight w:val="none"/>
              </w:rPr>
              <w:t>响应时间保证</w:t>
            </w:r>
          </w:p>
        </w:tc>
        <w:tc>
          <w:tcPr>
            <w:tcW w:w="1605" w:type="dxa"/>
            <w:vAlign w:val="center"/>
          </w:tcPr>
          <w:p>
            <w:pPr>
              <w:widowControl/>
              <w:rPr>
                <w:rFonts w:ascii="宋体" w:cs="宋体"/>
                <w:color w:val="auto"/>
                <w:kern w:val="0"/>
                <w:sz w:val="24"/>
                <w:szCs w:val="24"/>
                <w:highlight w:val="none"/>
              </w:rPr>
            </w:pPr>
            <w:r>
              <w:rPr>
                <w:rFonts w:hint="eastAsia" w:ascii="宋体" w:cs="宋体"/>
                <w:color w:val="auto"/>
                <w:kern w:val="0"/>
                <w:sz w:val="24"/>
                <w:szCs w:val="24"/>
                <w:highlight w:val="none"/>
              </w:rPr>
              <w:t>提供7×24小时的电话服务和故障现场救援；其中电话响应不超过10分钟，现场响应不超过24小时</w:t>
            </w:r>
          </w:p>
        </w:tc>
        <w:tc>
          <w:tcPr>
            <w:tcW w:w="2024" w:type="dxa"/>
            <w:vAlign w:val="center"/>
          </w:tcPr>
          <w:p>
            <w:pPr>
              <w:widowControl/>
              <w:jc w:val="left"/>
              <w:rPr>
                <w:rFonts w:ascii="宋体" w:cs="宋体"/>
                <w:color w:val="auto"/>
                <w:kern w:val="0"/>
                <w:sz w:val="24"/>
                <w:szCs w:val="24"/>
                <w:highlight w:val="none"/>
              </w:rPr>
            </w:pPr>
            <w:r>
              <w:rPr>
                <w:rFonts w:hint="eastAsia" w:ascii="宋体" w:cs="宋体"/>
                <w:color w:val="auto"/>
                <w:kern w:val="0"/>
                <w:sz w:val="24"/>
                <w:szCs w:val="24"/>
                <w:highlight w:val="none"/>
              </w:rPr>
              <w:t>不得违反承诺响应时间。</w:t>
            </w:r>
            <w:r>
              <w:rPr>
                <w:rFonts w:hint="eastAsia" w:ascii="宋体" w:cs="宋体"/>
                <w:color w:val="auto"/>
                <w:kern w:val="0"/>
                <w:sz w:val="24"/>
                <w:szCs w:val="24"/>
                <w:highlight w:val="none"/>
              </w:rPr>
              <w:br w:type="textWrapping"/>
            </w:r>
          </w:p>
        </w:tc>
        <w:tc>
          <w:tcPr>
            <w:tcW w:w="3226" w:type="dxa"/>
            <w:vAlign w:val="center"/>
          </w:tcPr>
          <w:p>
            <w:pPr>
              <w:widowControl/>
              <w:rPr>
                <w:rFonts w:ascii="宋体" w:cs="宋体"/>
                <w:color w:val="auto"/>
                <w:kern w:val="0"/>
                <w:sz w:val="24"/>
                <w:szCs w:val="24"/>
                <w:highlight w:val="none"/>
              </w:rPr>
            </w:pPr>
            <w:r>
              <w:rPr>
                <w:rFonts w:hint="eastAsia" w:ascii="宋体" w:cs="宋体"/>
                <w:color w:val="auto"/>
                <w:kern w:val="0"/>
                <w:sz w:val="24"/>
                <w:szCs w:val="24"/>
                <w:highlight w:val="none"/>
              </w:rPr>
              <w:t>如违反承诺的响应时间要求，每次扣除100元违约金;若因严重违反响应时间导致事件升级，一次扣除年维保服务费用的2%。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17" w:type="dxa"/>
            <w:vAlign w:val="center"/>
          </w:tcPr>
          <w:p>
            <w:pPr>
              <w:widowControl/>
              <w:jc w:val="center"/>
              <w:rPr>
                <w:rFonts w:hint="eastAsia" w:ascii="宋体" w:cs="宋体"/>
                <w:color w:val="auto"/>
                <w:kern w:val="0"/>
                <w:sz w:val="24"/>
                <w:szCs w:val="24"/>
                <w:highlight w:val="none"/>
              </w:rPr>
            </w:pPr>
            <w:r>
              <w:rPr>
                <w:rFonts w:hint="eastAsia" w:ascii="宋体" w:cs="宋体"/>
                <w:color w:val="auto"/>
                <w:kern w:val="0"/>
                <w:sz w:val="24"/>
                <w:szCs w:val="24"/>
                <w:highlight w:val="none"/>
                <w:lang w:eastAsia="zh-CN"/>
              </w:rPr>
              <w:t>6</w:t>
            </w:r>
          </w:p>
        </w:tc>
        <w:tc>
          <w:tcPr>
            <w:tcW w:w="1150" w:type="dxa"/>
            <w:vAlign w:val="center"/>
          </w:tcPr>
          <w:p>
            <w:pPr>
              <w:widowControl/>
              <w:jc w:val="center"/>
              <w:rPr>
                <w:rFonts w:ascii="宋体" w:cs="宋体"/>
                <w:color w:val="auto"/>
                <w:kern w:val="0"/>
                <w:sz w:val="24"/>
                <w:szCs w:val="24"/>
                <w:highlight w:val="none"/>
              </w:rPr>
            </w:pPr>
            <w:r>
              <w:rPr>
                <w:rFonts w:hint="eastAsia" w:ascii="宋体" w:cs="宋体"/>
                <w:color w:val="auto"/>
                <w:kern w:val="0"/>
                <w:sz w:val="24"/>
                <w:szCs w:val="24"/>
                <w:highlight w:val="none"/>
              </w:rPr>
              <w:t>客户满意度</w:t>
            </w:r>
          </w:p>
        </w:tc>
        <w:tc>
          <w:tcPr>
            <w:tcW w:w="1605" w:type="dxa"/>
            <w:vAlign w:val="center"/>
          </w:tcPr>
          <w:p>
            <w:pPr>
              <w:widowControl/>
              <w:rPr>
                <w:rFonts w:ascii="宋体" w:cs="宋体"/>
                <w:color w:val="auto"/>
                <w:kern w:val="0"/>
                <w:sz w:val="24"/>
                <w:szCs w:val="24"/>
                <w:highlight w:val="none"/>
              </w:rPr>
            </w:pPr>
            <w:r>
              <w:rPr>
                <w:rFonts w:hint="eastAsia" w:ascii="宋体" w:cs="宋体"/>
                <w:color w:val="auto"/>
                <w:kern w:val="0"/>
                <w:sz w:val="24"/>
                <w:szCs w:val="24"/>
                <w:highlight w:val="none"/>
              </w:rPr>
              <w:t>衡量甲方内部人员对乙方所提供服务的满意情况</w:t>
            </w:r>
          </w:p>
        </w:tc>
        <w:tc>
          <w:tcPr>
            <w:tcW w:w="2024" w:type="dxa"/>
            <w:vAlign w:val="center"/>
          </w:tcPr>
          <w:p>
            <w:pPr>
              <w:widowControl/>
              <w:rPr>
                <w:rFonts w:ascii="宋体" w:cs="宋体"/>
                <w:color w:val="auto"/>
                <w:kern w:val="0"/>
                <w:sz w:val="24"/>
                <w:szCs w:val="24"/>
                <w:highlight w:val="none"/>
              </w:rPr>
            </w:pPr>
            <w:r>
              <w:rPr>
                <w:rFonts w:hint="eastAsia" w:ascii="宋体" w:cs="宋体"/>
                <w:color w:val="auto"/>
                <w:kern w:val="0"/>
                <w:sz w:val="24"/>
                <w:szCs w:val="24"/>
                <w:highlight w:val="none"/>
              </w:rPr>
              <w:t>客户满意度级别为：1级（非常不满意）；2级（不满意）；3级（一般满意）；4级（满意）；5级（非常满意）（服务满意度不低于3级）</w:t>
            </w:r>
          </w:p>
        </w:tc>
        <w:tc>
          <w:tcPr>
            <w:tcW w:w="3226" w:type="dxa"/>
            <w:vAlign w:val="center"/>
          </w:tcPr>
          <w:p>
            <w:pPr>
              <w:widowControl/>
              <w:rPr>
                <w:rFonts w:ascii="宋体" w:cs="宋体"/>
                <w:color w:val="auto"/>
                <w:kern w:val="0"/>
                <w:sz w:val="24"/>
                <w:szCs w:val="24"/>
                <w:highlight w:val="none"/>
              </w:rPr>
            </w:pPr>
          </w:p>
        </w:tc>
      </w:tr>
    </w:tbl>
    <w:p>
      <w:pPr>
        <w:numPr>
          <w:ilvl w:val="0"/>
          <w:numId w:val="0"/>
        </w:numPr>
        <w:ind w:left="420" w:hanging="420" w:firstLineChars="0"/>
        <w:jc w:val="center"/>
        <w:outlineLvl w:val="0"/>
        <w:rPr>
          <w:rFonts w:ascii="Times New Roman" w:hAnsi="Times New Roman" w:cs="Times New Roman"/>
          <w:bCs w:val="0"/>
          <w:snapToGrid/>
          <w:color w:val="auto"/>
          <w:sz w:val="28"/>
          <w:szCs w:val="28"/>
          <w:highlight w:val="none"/>
        </w:rPr>
      </w:pPr>
      <w:r>
        <w:rPr>
          <w:rFonts w:ascii="Times New Roman" w:hAnsi="Times New Roman" w:cs="Times New Roman"/>
          <w:bCs w:val="0"/>
          <w:snapToGrid/>
          <w:color w:val="auto"/>
          <w:sz w:val="28"/>
          <w:szCs w:val="28"/>
          <w:highlight w:val="none"/>
        </w:rPr>
        <w:br w:type="page"/>
      </w:r>
      <w:bookmarkStart w:id="105" w:name="_Toc17327"/>
      <w:bookmarkStart w:id="106" w:name="_Toc31633"/>
      <w:r>
        <w:rPr>
          <w:rFonts w:hint="eastAsia" w:ascii="Times New Roman" w:hAnsi="Times New Roman" w:cs="Times New Roman"/>
          <w:bCs w:val="0"/>
          <w:snapToGrid/>
          <w:color w:val="auto"/>
          <w:sz w:val="28"/>
          <w:szCs w:val="28"/>
          <w:highlight w:val="none"/>
          <w:lang w:val="en-US" w:eastAsia="zh-CN"/>
        </w:rPr>
        <w:t>七、</w:t>
      </w:r>
      <w:r>
        <w:rPr>
          <w:rFonts w:hint="eastAsia" w:ascii="Times New Roman" w:hAnsi="Times New Roman" w:cs="Times New Roman"/>
          <w:bCs w:val="0"/>
          <w:snapToGrid/>
          <w:color w:val="auto"/>
          <w:sz w:val="28"/>
          <w:szCs w:val="28"/>
          <w:highlight w:val="none"/>
        </w:rPr>
        <w:t>服务连续性预案</w:t>
      </w:r>
      <w:bookmarkEnd w:id="105"/>
      <w:bookmarkEnd w:id="106"/>
    </w:p>
    <w:p>
      <w:pPr>
        <w:jc w:val="center"/>
        <w:rPr>
          <w:rFonts w:ascii="方正小标宋_GBK" w:eastAsia="方正小标宋_GBK"/>
          <w:color w:val="auto"/>
          <w:sz w:val="24"/>
          <w:highlight w:val="none"/>
        </w:rPr>
      </w:pPr>
      <w:r>
        <w:rPr>
          <w:rFonts w:hint="eastAsia" w:ascii="方正小标宋_GBK" w:eastAsia="方正小标宋_GBK"/>
          <w:color w:val="auto"/>
          <w:sz w:val="24"/>
          <w:highlight w:val="none"/>
        </w:rPr>
        <w:t>（应考虑供应链风险产生的影响）</w:t>
      </w:r>
    </w:p>
    <w:p>
      <w:pPr>
        <w:spacing w:line="240" w:lineRule="auto"/>
        <w:ind w:firstLine="0" w:firstLineChars="0"/>
        <w:rPr>
          <w:rFonts w:ascii="宋体"/>
          <w:snapToGrid w:val="0"/>
          <w:color w:val="auto"/>
          <w:kern w:val="0"/>
          <w:sz w:val="24"/>
          <w:szCs w:val="24"/>
          <w:highlight w:val="none"/>
        </w:rPr>
      </w:pPr>
      <w:r>
        <w:rPr>
          <w:rFonts w:ascii="宋体"/>
          <w:snapToGrid w:val="0"/>
          <w:color w:val="auto"/>
          <w:kern w:val="0"/>
          <w:sz w:val="24"/>
          <w:szCs w:val="24"/>
          <w:highlight w:val="none"/>
        </w:rPr>
        <w:br w:type="page"/>
      </w:r>
    </w:p>
    <w:p>
      <w:pPr>
        <w:pStyle w:val="5"/>
        <w:bidi w:val="0"/>
        <w:ind w:firstLine="0" w:firstLineChars="0"/>
        <w:jc w:val="center"/>
        <w:outlineLvl w:val="2"/>
        <w:rPr>
          <w:rFonts w:hint="eastAsia"/>
          <w:color w:val="auto"/>
          <w:sz w:val="28"/>
          <w:szCs w:val="28"/>
          <w:highlight w:val="none"/>
          <w:lang w:val="en-US" w:eastAsia="zh-CN"/>
        </w:rPr>
      </w:pPr>
      <w:r>
        <w:rPr>
          <w:rFonts w:hint="eastAsia"/>
          <w:color w:val="auto"/>
          <w:sz w:val="28"/>
          <w:szCs w:val="28"/>
          <w:highlight w:val="none"/>
          <w:lang w:val="en-US" w:eastAsia="zh-CN"/>
        </w:rPr>
        <w:t>八、其他（如有）</w:t>
      </w:r>
    </w:p>
    <w:p>
      <w:pPr>
        <w:pStyle w:val="2"/>
        <w:rPr>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roman"/>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Lucida Grande">
    <w:altName w:val="Segoe UI"/>
    <w:panose1 w:val="020B0600040502020204"/>
    <w:charset w:val="00"/>
    <w:family w:val="swiss"/>
    <w:pitch w:val="default"/>
    <w:sig w:usb0="00000000" w:usb1="00000000" w:usb2="00000000" w:usb3="00000000" w:csb0="000001BF"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Lucida Sans">
    <w:panose1 w:val="020B0602030504020204"/>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824F0"/>
    <w:multiLevelType w:val="multilevel"/>
    <w:tmpl w:val="04B824F0"/>
    <w:lvl w:ilvl="0" w:tentative="0">
      <w:start w:val="1"/>
      <w:numFmt w:val="decimal"/>
      <w:lvlText w:val="%1."/>
      <w:lvlJc w:val="left"/>
      <w:pPr>
        <w:ind w:left="840" w:hanging="360"/>
      </w:pPr>
      <w:rPr>
        <w:rFonts w:hint="default"/>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CB0630E"/>
    <w:multiLevelType w:val="multilevel"/>
    <w:tmpl w:val="0CB0630E"/>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2">
    <w:nsid w:val="3E42298E"/>
    <w:multiLevelType w:val="multilevel"/>
    <w:tmpl w:val="3E42298E"/>
    <w:lvl w:ilvl="0" w:tentative="0">
      <w:start w:val="1"/>
      <w:numFmt w:val="decimal"/>
      <w:lvlText w:val="%1"/>
      <w:lvlJc w:val="left"/>
      <w:pPr>
        <w:tabs>
          <w:tab w:val="left" w:pos="0"/>
        </w:tabs>
        <w:ind w:left="425" w:hanging="425"/>
      </w:pPr>
      <w:rPr>
        <w:b/>
      </w:rPr>
    </w:lvl>
    <w:lvl w:ilvl="1" w:tentative="0">
      <w:start w:val="1"/>
      <w:numFmt w:val="decimal"/>
      <w:lvlText w:val="%1.%2"/>
      <w:lvlJc w:val="left"/>
      <w:pPr>
        <w:tabs>
          <w:tab w:val="left" w:pos="0"/>
        </w:tabs>
        <w:ind w:left="992" w:hanging="567"/>
      </w:pPr>
      <w:rPr>
        <w:b w:val="0"/>
      </w:rPr>
    </w:lvl>
    <w:lvl w:ilvl="2" w:tentative="0">
      <w:start w:val="1"/>
      <w:numFmt w:val="decimal"/>
      <w:lvlText w:val="%1.%2.%3"/>
      <w:lvlJc w:val="left"/>
      <w:pPr>
        <w:tabs>
          <w:tab w:val="left" w:pos="0"/>
        </w:tabs>
        <w:ind w:left="1418"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abstractNum w:abstractNumId="3">
    <w:nsid w:val="43194A5A"/>
    <w:multiLevelType w:val="multilevel"/>
    <w:tmpl w:val="43194A5A"/>
    <w:lvl w:ilvl="0" w:tentative="0">
      <w:start w:val="1"/>
      <w:numFmt w:val="bullet"/>
      <w:lvlText w:val=""/>
      <w:lvlJc w:val="left"/>
      <w:pPr>
        <w:tabs>
          <w:tab w:val="left" w:pos="0"/>
        </w:tabs>
        <w:ind w:left="420" w:hanging="420"/>
      </w:pPr>
      <w:rPr>
        <w:rFonts w:hint="default" w:ascii="Wingdings" w:hAnsi="Wingdings"/>
      </w:rPr>
    </w:lvl>
    <w:lvl w:ilvl="1" w:tentative="0">
      <w:start w:val="1"/>
      <w:numFmt w:val="bullet"/>
      <w:lvlText w:val=""/>
      <w:lvlJc w:val="left"/>
      <w:pPr>
        <w:tabs>
          <w:tab w:val="left" w:pos="0"/>
        </w:tabs>
        <w:ind w:left="840" w:hanging="420"/>
      </w:pPr>
      <w:rPr>
        <w:rFonts w:hint="default" w:ascii="Wingdings" w:hAnsi="Wingdings"/>
      </w:rPr>
    </w:lvl>
    <w:lvl w:ilvl="2" w:tentative="0">
      <w:start w:val="1"/>
      <w:numFmt w:val="bullet"/>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abstractNum w:abstractNumId="4">
    <w:nsid w:val="45529E80"/>
    <w:multiLevelType w:val="multilevel"/>
    <w:tmpl w:val="45529E80"/>
    <w:lvl w:ilvl="0" w:tentative="0">
      <w:start w:val="1"/>
      <w:numFmt w:val="decimal"/>
      <w:suff w:val="nothing"/>
      <w:lvlText w:val="%1、"/>
      <w:lvlJc w:val="left"/>
      <w:pPr>
        <w:ind w:left="900" w:hanging="420"/>
      </w:pPr>
      <w:rPr>
        <w:rFonts w:hint="eastAsia"/>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4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ZmY1ODA0NTUyNTIzOGU4NGRmM2JhYjg3Y2Q0YjMifQ=="/>
  </w:docVars>
  <w:rsids>
    <w:rsidRoot w:val="00000000"/>
    <w:rsid w:val="00AB0862"/>
    <w:rsid w:val="053C6EDC"/>
    <w:rsid w:val="0F3E7AF0"/>
    <w:rsid w:val="19B5329A"/>
    <w:rsid w:val="1FAD683E"/>
    <w:rsid w:val="3B021A53"/>
    <w:rsid w:val="3B0F7AAC"/>
    <w:rsid w:val="3CB35E85"/>
    <w:rsid w:val="5EEE40E4"/>
    <w:rsid w:val="661E0C8B"/>
    <w:rsid w:val="6ADF3661"/>
    <w:rsid w:val="71AC0731"/>
    <w:rsid w:val="73FF57D6"/>
    <w:rsid w:val="75FE4C8A"/>
    <w:rsid w:val="78090A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mbria Math" w:hAnsi="Cambria Math" w:eastAsia="宋体" w:cs="Cambria Math"/>
      <w:kern w:val="2"/>
      <w:sz w:val="28"/>
      <w:szCs w:val="20"/>
      <w:lang w:val="en-US" w:eastAsia="zh-CN" w:bidi="ar-SA"/>
    </w:rPr>
  </w:style>
  <w:style w:type="paragraph" w:styleId="3">
    <w:name w:val="heading 1"/>
    <w:basedOn w:val="1"/>
    <w:next w:val="1"/>
    <w:autoRedefine/>
    <w:qFormat/>
    <w:uiPriority w:val="0"/>
    <w:pPr>
      <w:tabs>
        <w:tab w:val="left" w:pos="3360"/>
      </w:tabs>
      <w:snapToGrid w:val="0"/>
      <w:spacing w:before="120" w:line="360" w:lineRule="auto"/>
      <w:ind w:right="-14" w:rightChars="-14"/>
      <w:jc w:val="center"/>
      <w:outlineLvl w:val="0"/>
    </w:pPr>
    <w:rPr>
      <w:rFonts w:ascii="宋体" w:cs="等线 Light"/>
      <w:b/>
      <w:snapToGrid w:val="0"/>
      <w:kern w:val="0"/>
      <w:sz w:val="44"/>
      <w:szCs w:val="44"/>
    </w:rPr>
  </w:style>
  <w:style w:type="paragraph" w:styleId="4">
    <w:name w:val="heading 2"/>
    <w:basedOn w:val="1"/>
    <w:next w:val="1"/>
    <w:link w:val="41"/>
    <w:qFormat/>
    <w:uiPriority w:val="0"/>
    <w:pPr>
      <w:spacing w:line="360" w:lineRule="auto"/>
      <w:ind w:firstLine="200" w:firstLineChars="200"/>
      <w:outlineLvl w:val="1"/>
    </w:pPr>
    <w:rPr>
      <w:rFonts w:ascii="宋体" w:cs="Arial"/>
      <w:b/>
      <w:bCs/>
      <w:snapToGrid w:val="0"/>
      <w:sz w:val="24"/>
      <w:szCs w:val="24"/>
    </w:rPr>
  </w:style>
  <w:style w:type="paragraph" w:styleId="5">
    <w:name w:val="heading 3"/>
    <w:basedOn w:val="1"/>
    <w:next w:val="1"/>
    <w:link w:val="42"/>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40"/>
    <w:autoRedefine/>
    <w:qFormat/>
    <w:uiPriority w:val="0"/>
    <w:pPr>
      <w:keepNext w:val="0"/>
      <w:keepLines w:val="0"/>
      <w:spacing w:line="600" w:lineRule="exact"/>
      <w:ind w:firstLine="1044" w:firstLineChars="200"/>
      <w:outlineLvl w:val="3"/>
    </w:pPr>
    <w:rPr>
      <w:rFonts w:ascii="Calibri Light" w:hAnsi="Calibri Light" w:eastAsia="宋体" w:cs="Times New Roman"/>
      <w:bCs/>
      <w:szCs w:val="28"/>
    </w:rPr>
  </w:style>
  <w:style w:type="character" w:default="1" w:styleId="27">
    <w:name w:val="Default Paragraph Font"/>
    <w:autoRedefine/>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semiHidden/>
    <w:unhideWhenUsed/>
    <w:qFormat/>
    <w:uiPriority w:val="99"/>
    <w:pPr>
      <w:spacing w:before="100" w:beforeAutospacing="1" w:after="120"/>
    </w:pPr>
  </w:style>
  <w:style w:type="paragraph" w:styleId="7">
    <w:name w:val="index 8"/>
    <w:basedOn w:val="1"/>
    <w:next w:val="1"/>
    <w:autoRedefine/>
    <w:qFormat/>
    <w:uiPriority w:val="0"/>
    <w:pPr>
      <w:ind w:left="2940"/>
    </w:pPr>
  </w:style>
  <w:style w:type="paragraph" w:styleId="8">
    <w:name w:val="Normal Indent"/>
    <w:autoRedefine/>
    <w:qFormat/>
    <w:uiPriority w:val="0"/>
    <w:pPr>
      <w:widowControl w:val="0"/>
      <w:ind w:left="200" w:leftChars="200"/>
      <w:jc w:val="both"/>
    </w:pPr>
    <w:rPr>
      <w:rFonts w:ascii="Times New Roman" w:hAnsi="Times New Roman" w:eastAsia="宋体" w:cs="Times New Roman"/>
      <w:kern w:val="2"/>
      <w:sz w:val="21"/>
      <w:szCs w:val="24"/>
      <w:lang w:val="en-US" w:eastAsia="zh-CN" w:bidi="ar-SA"/>
    </w:rPr>
  </w:style>
  <w:style w:type="paragraph" w:styleId="9">
    <w:name w:val="Document Map"/>
    <w:basedOn w:val="1"/>
    <w:autoRedefine/>
    <w:qFormat/>
    <w:uiPriority w:val="0"/>
    <w:rPr>
      <w:rFonts w:ascii="微软雅黑" w:hAnsi="微软雅黑"/>
      <w:sz w:val="18"/>
      <w:szCs w:val="18"/>
    </w:rPr>
  </w:style>
  <w:style w:type="paragraph" w:styleId="10">
    <w:name w:val="annotation text"/>
    <w:basedOn w:val="1"/>
    <w:autoRedefine/>
    <w:qFormat/>
    <w:uiPriority w:val="0"/>
    <w:pPr>
      <w:jc w:val="left"/>
    </w:pPr>
  </w:style>
  <w:style w:type="paragraph" w:styleId="11">
    <w:name w:val="Body Text Indent"/>
    <w:next w:val="12"/>
    <w:autoRedefine/>
    <w:qFormat/>
    <w:uiPriority w:val="0"/>
    <w:pPr>
      <w:widowControl w:val="0"/>
      <w:spacing w:after="120"/>
      <w:ind w:left="200" w:leftChars="200"/>
      <w:jc w:val="both"/>
    </w:pPr>
    <w:rPr>
      <w:rFonts w:ascii="Times New Roman" w:hAnsi="Times New Roman" w:eastAsia="宋体" w:cs="Times New Roman"/>
      <w:kern w:val="2"/>
      <w:sz w:val="21"/>
      <w:szCs w:val="24"/>
      <w:lang w:val="en-US" w:eastAsia="zh-CN" w:bidi="ar-SA"/>
    </w:rPr>
  </w:style>
  <w:style w:type="paragraph" w:styleId="12">
    <w:name w:val="Balloon Text"/>
    <w:basedOn w:val="1"/>
    <w:autoRedefine/>
    <w:qFormat/>
    <w:uiPriority w:val="0"/>
    <w:rPr>
      <w:sz w:val="18"/>
      <w:szCs w:val="18"/>
    </w:rPr>
  </w:style>
  <w:style w:type="paragraph" w:styleId="13">
    <w:name w:val="toc 5"/>
    <w:basedOn w:val="1"/>
    <w:next w:val="1"/>
    <w:autoRedefine/>
    <w:qFormat/>
    <w:uiPriority w:val="0"/>
    <w:pPr>
      <w:ind w:left="1680"/>
    </w:pPr>
  </w:style>
  <w:style w:type="paragraph" w:styleId="14">
    <w:name w:val="toc 3"/>
    <w:basedOn w:val="1"/>
    <w:next w:val="1"/>
    <w:autoRedefine/>
    <w:qFormat/>
    <w:uiPriority w:val="0"/>
    <w:pPr>
      <w:ind w:left="840"/>
    </w:pPr>
  </w:style>
  <w:style w:type="paragraph" w:styleId="15">
    <w:name w:val="Plain Text"/>
    <w:autoRedefine/>
    <w:qFormat/>
    <w:uiPriority w:val="0"/>
    <w:pPr>
      <w:widowControl w:val="0"/>
      <w:jc w:val="both"/>
    </w:pPr>
    <w:rPr>
      <w:rFonts w:ascii="宋体" w:hAnsi="Times New Roman" w:eastAsia="宋体" w:cs="Times New Roman"/>
      <w:kern w:val="2"/>
      <w:sz w:val="21"/>
      <w:szCs w:val="21"/>
      <w:lang w:val="en-US" w:eastAsia="zh-CN" w:bidi="ar-SA"/>
    </w:rPr>
  </w:style>
  <w:style w:type="paragraph" w:styleId="16">
    <w:name w:val="Date"/>
    <w:basedOn w:val="1"/>
    <w:next w:val="1"/>
    <w:autoRedefine/>
    <w:qFormat/>
    <w:uiPriority w:val="0"/>
    <w:rPr>
      <w:rFonts w:ascii="Times New Roman" w:hAnsi="Times New Roman" w:cs="Times New Roman"/>
    </w:rPr>
  </w:style>
  <w:style w:type="paragraph" w:styleId="17">
    <w:name w:val="footer"/>
    <w:basedOn w:val="1"/>
    <w:autoRedefine/>
    <w:qFormat/>
    <w:uiPriority w:val="0"/>
    <w:pPr>
      <w:tabs>
        <w:tab w:val="center" w:pos="4153"/>
        <w:tab w:val="right" w:pos="8306"/>
      </w:tabs>
      <w:snapToGrid w:val="0"/>
      <w:jc w:val="left"/>
    </w:pPr>
    <w:rPr>
      <w:sz w:val="18"/>
      <w:szCs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0"/>
    <w:pPr>
      <w:tabs>
        <w:tab w:val="left" w:pos="1260"/>
        <w:tab w:val="left" w:pos="1685"/>
        <w:tab w:val="right" w:leader="dot" w:pos="8400"/>
      </w:tabs>
      <w:spacing w:line="480" w:lineRule="auto"/>
      <w:ind w:firstLine="100" w:firstLineChars="100"/>
    </w:pPr>
    <w:rPr>
      <w:szCs w:val="44"/>
    </w:rPr>
  </w:style>
  <w:style w:type="paragraph" w:styleId="20">
    <w:name w:val="toc 4"/>
    <w:basedOn w:val="1"/>
    <w:next w:val="1"/>
    <w:autoRedefine/>
    <w:qFormat/>
    <w:uiPriority w:val="0"/>
    <w:pPr>
      <w:ind w:left="1260"/>
    </w:pPr>
  </w:style>
  <w:style w:type="paragraph" w:styleId="21">
    <w:name w:val="toc 6"/>
    <w:basedOn w:val="1"/>
    <w:next w:val="1"/>
    <w:autoRedefine/>
    <w:qFormat/>
    <w:uiPriority w:val="0"/>
    <w:pPr>
      <w:ind w:left="2100"/>
    </w:pPr>
  </w:style>
  <w:style w:type="paragraph" w:styleId="22">
    <w:name w:val="index 9"/>
    <w:basedOn w:val="1"/>
    <w:next w:val="1"/>
    <w:autoRedefine/>
    <w:qFormat/>
    <w:uiPriority w:val="0"/>
    <w:pPr>
      <w:ind w:left="3360"/>
    </w:pPr>
  </w:style>
  <w:style w:type="paragraph" w:styleId="23">
    <w:name w:val="toc 2"/>
    <w:basedOn w:val="1"/>
    <w:next w:val="1"/>
    <w:autoRedefine/>
    <w:qFormat/>
    <w:uiPriority w:val="0"/>
    <w:pPr>
      <w:ind w:left="200" w:leftChars="200"/>
    </w:pPr>
  </w:style>
  <w:style w:type="paragraph" w:styleId="24">
    <w:name w:val="Normal (Web)"/>
    <w:basedOn w:val="1"/>
    <w:autoRedefine/>
    <w:qFormat/>
    <w:uiPriority w:val="0"/>
    <w:rPr>
      <w:rFonts w:ascii="Times New Roman" w:hAnsi="Times New Roman" w:cs="Times New Roman"/>
      <w:sz w:val="24"/>
      <w:szCs w:val="24"/>
    </w:rPr>
  </w:style>
  <w:style w:type="paragraph" w:styleId="25">
    <w:name w:val="annotation subject"/>
    <w:next w:val="17"/>
    <w:autoRedefine/>
    <w:qFormat/>
    <w:uiPriority w:val="0"/>
    <w:pPr>
      <w:widowControl w:val="0"/>
      <w:jc w:val="left"/>
    </w:pPr>
    <w:rPr>
      <w:rFonts w:ascii="Times New Roman" w:hAnsi="Times New Roman" w:eastAsia="宋体" w:cs="Times New Roman"/>
      <w:b/>
      <w:bCs/>
      <w:kern w:val="2"/>
      <w:sz w:val="21"/>
      <w:szCs w:val="24"/>
      <w:lang w:val="en-US" w:eastAsia="zh-CN" w:bidi="ar-SA"/>
    </w:rPr>
  </w:style>
  <w:style w:type="character" w:styleId="28">
    <w:name w:val="Hyperlink"/>
    <w:autoRedefine/>
    <w:qFormat/>
    <w:uiPriority w:val="0"/>
    <w:rPr>
      <w:color w:val="0563C1"/>
      <w:u w:val="single"/>
    </w:rPr>
  </w:style>
  <w:style w:type="character" w:styleId="29">
    <w:name w:val="annotation reference"/>
    <w:basedOn w:val="27"/>
    <w:autoRedefine/>
    <w:qFormat/>
    <w:uiPriority w:val="0"/>
    <w:rPr>
      <w:sz w:val="21"/>
      <w:szCs w:val="21"/>
    </w:rPr>
  </w:style>
  <w:style w:type="paragraph" w:customStyle="1" w:styleId="30">
    <w:name w:val="样式 正文缩进 + 小四 左侧:  2 字符"/>
    <w:next w:val="12"/>
    <w:autoRedefine/>
    <w:qFormat/>
    <w:uiPriority w:val="0"/>
    <w:pPr>
      <w:widowControl w:val="0"/>
      <w:adjustRightInd w:val="0"/>
      <w:spacing w:before="60" w:after="60"/>
      <w:ind w:left="420" w:firstLine="225" w:firstLineChars="225"/>
      <w:jc w:val="both"/>
    </w:pPr>
    <w:rPr>
      <w:rFonts w:ascii="Cambria Math" w:hAnsi="Cambria Math" w:eastAsia="等线 Light" w:cs="Cambria Math"/>
      <w:kern w:val="2"/>
      <w:sz w:val="20"/>
      <w:szCs w:val="20"/>
      <w:lang w:val="en-US" w:eastAsia="zh-CN" w:bidi="ar-SA"/>
    </w:rPr>
  </w:style>
  <w:style w:type="paragraph" w:customStyle="1" w:styleId="31">
    <w:name w:val="列表段落1"/>
    <w:next w:val="12"/>
    <w:autoRedefine/>
    <w:qFormat/>
    <w:uiPriority w:val="0"/>
    <w:pPr>
      <w:widowControl w:val="0"/>
      <w:ind w:firstLine="200" w:firstLineChars="200"/>
      <w:jc w:val="both"/>
    </w:pPr>
    <w:rPr>
      <w:rFonts w:ascii="Cambria Math" w:hAnsi="Cambria Math" w:eastAsia="等线 Light" w:cs="Cambria Math"/>
      <w:kern w:val="2"/>
      <w:sz w:val="28"/>
      <w:szCs w:val="20"/>
      <w:lang w:val="en-US" w:eastAsia="zh-CN" w:bidi="ar-SA"/>
    </w:rPr>
  </w:style>
  <w:style w:type="paragraph" w:styleId="32">
    <w:name w:val="List Paragraph"/>
    <w:next w:val="9"/>
    <w:autoRedefine/>
    <w:qFormat/>
    <w:uiPriority w:val="0"/>
    <w:pPr>
      <w:widowControl w:val="0"/>
      <w:ind w:firstLine="200" w:firstLineChars="200"/>
      <w:jc w:val="both"/>
    </w:pPr>
    <w:rPr>
      <w:rFonts w:ascii="Cambria Math" w:hAnsi="Cambria Math" w:eastAsia="宋体" w:cs="Cambria Math"/>
      <w:kern w:val="2"/>
      <w:sz w:val="28"/>
      <w:szCs w:val="20"/>
      <w:lang w:val="en-US" w:eastAsia="zh-CN" w:bidi="ar-SA"/>
    </w:rPr>
  </w:style>
  <w:style w:type="paragraph" w:customStyle="1" w:styleId="33">
    <w:name w:val="TOC Heading"/>
    <w:basedOn w:val="3"/>
    <w:next w:val="1"/>
    <w:autoRedefine/>
    <w:qFormat/>
    <w:uiPriority w:val="0"/>
    <w:pPr>
      <w:keepNext/>
      <w:keepLines/>
      <w:widowControl/>
      <w:tabs>
        <w:tab w:val="clear" w:pos="3360"/>
      </w:tabs>
      <w:snapToGrid/>
      <w:spacing w:before="240" w:line="259" w:lineRule="auto"/>
      <w:ind w:right="0" w:rightChars="0"/>
      <w:jc w:val="left"/>
      <w:outlineLvl w:val="9"/>
    </w:pPr>
    <w:rPr>
      <w:rFonts w:ascii="Calibri" w:hAnsi="Calibri" w:eastAsia="宋体" w:cs="Arial"/>
      <w:b w:val="0"/>
      <w:snapToGrid/>
      <w:color w:val="2F5496"/>
      <w:sz w:val="32"/>
      <w:szCs w:val="32"/>
    </w:rPr>
  </w:style>
  <w:style w:type="paragraph" w:customStyle="1" w:styleId="34">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
    <w:name w:val="列表段落"/>
    <w:autoRedefine/>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36">
    <w:name w:val="Default Text"/>
    <w:autoRedefine/>
    <w:qFormat/>
    <w:uiPriority w:val="0"/>
    <w:pPr>
      <w:widowControl w:val="0"/>
      <w:autoSpaceDE w:val="0"/>
      <w:autoSpaceDN w:val="0"/>
      <w:adjustRightInd w:val="0"/>
      <w:jc w:val="left"/>
    </w:pPr>
    <w:rPr>
      <w:rFonts w:ascii="Arial" w:hAnsi="Arial" w:eastAsia="宋体" w:cs="Arial"/>
      <w:kern w:val="0"/>
      <w:sz w:val="24"/>
      <w:szCs w:val="24"/>
      <w:lang w:val="en-US" w:eastAsia="zh-CN" w:bidi="ar-SA"/>
    </w:rPr>
  </w:style>
  <w:style w:type="paragraph" w:customStyle="1" w:styleId="37">
    <w:name w:val="p3"/>
    <w:autoRedefine/>
    <w:qFormat/>
    <w:uiPriority w:val="0"/>
    <w:pPr>
      <w:widowControl/>
      <w:jc w:val="left"/>
    </w:pPr>
    <w:rPr>
      <w:rFonts w:ascii="Lucida Grande" w:hAnsi="Lucida Grande" w:eastAsia="等线" w:cs="Lucida Grande"/>
      <w:kern w:val="0"/>
      <w:sz w:val="15"/>
      <w:szCs w:val="15"/>
      <w:lang w:val="en-US" w:eastAsia="zh-CN" w:bidi="ar-SA"/>
    </w:rPr>
  </w:style>
  <w:style w:type="paragraph" w:customStyle="1" w:styleId="38">
    <w:name w:val="p4"/>
    <w:autoRedefine/>
    <w:qFormat/>
    <w:uiPriority w:val="0"/>
    <w:pPr>
      <w:widowControl/>
      <w:jc w:val="left"/>
    </w:pPr>
    <w:rPr>
      <w:rFonts w:ascii="Times" w:hAnsi="Times" w:eastAsia="等线" w:cs="Times New Roman"/>
      <w:color w:val="3E3E3E"/>
      <w:kern w:val="0"/>
      <w:sz w:val="18"/>
      <w:szCs w:val="18"/>
      <w:lang w:val="en-US" w:eastAsia="zh-CN" w:bidi="ar-SA"/>
    </w:rPr>
  </w:style>
  <w:style w:type="character" w:customStyle="1" w:styleId="39">
    <w:name w:val="font_text_1"/>
    <w:autoRedefine/>
    <w:qFormat/>
    <w:uiPriority w:val="0"/>
  </w:style>
  <w:style w:type="character" w:customStyle="1" w:styleId="40">
    <w:name w:val="标题 4 Char"/>
    <w:link w:val="6"/>
    <w:autoRedefine/>
    <w:qFormat/>
    <w:uiPriority w:val="0"/>
    <w:rPr>
      <w:rFonts w:ascii="Calibri Light" w:hAnsi="Calibri Light" w:eastAsia="宋体" w:cs="Times New Roman"/>
      <w:bCs/>
      <w:szCs w:val="28"/>
    </w:rPr>
  </w:style>
  <w:style w:type="character" w:customStyle="1" w:styleId="41">
    <w:name w:val="标题 2 Char"/>
    <w:basedOn w:val="27"/>
    <w:link w:val="4"/>
    <w:autoRedefine/>
    <w:qFormat/>
    <w:uiPriority w:val="9"/>
    <w:rPr>
      <w:rFonts w:ascii="宋体" w:cs="Arial"/>
      <w:b/>
      <w:bCs/>
      <w:snapToGrid w:val="0"/>
      <w:sz w:val="24"/>
      <w:szCs w:val="24"/>
    </w:rPr>
  </w:style>
  <w:style w:type="character" w:customStyle="1" w:styleId="42">
    <w:name w:val="标题 3 Char"/>
    <w:basedOn w:val="27"/>
    <w:link w:val="5"/>
    <w:autoRedefine/>
    <w:qFormat/>
    <w:uiPriority w:val="9"/>
    <w:rPr>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46</Pages>
  <Words>0</Words>
  <Characters>17896</Characters>
  <Lines>0</Lines>
  <Paragraphs>739</Paragraphs>
  <TotalTime>0</TotalTime>
  <ScaleCrop>false</ScaleCrop>
  <LinksUpToDate>false</LinksUpToDate>
  <CharactersWithSpaces>23862</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2020-08-04T02:17:00Z</dcterms:created>
  <dc:creator>Rachel Chen</dc:creator>
  <cp:lastModifiedBy>交易中心-罗</cp:lastModifiedBy>
  <dcterms:modified xsi:type="dcterms:W3CDTF">2024-02-06T09:50:10Z</dcterms:modified>
  <cp:revision>625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99FA4F53AA1C40409FC463E999D6E48D_13</vt:lpwstr>
  </property>
</Properties>
</file>