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firstLineChars="0"/>
        <w:rPr>
          <w:rFonts w:ascii="Times New Roman" w:hAnsi="Times New Roman"/>
          <w:color w:val="auto"/>
          <w:highlight w:val="none"/>
          <w:shd w:val="clear" w:color="auto" w:fill="auto"/>
        </w:rPr>
      </w:pPr>
    </w:p>
    <w:p>
      <w:pPr>
        <w:spacing w:line="360" w:lineRule="auto"/>
        <w:ind w:firstLine="0" w:firstLineChars="0"/>
        <w:rPr>
          <w:rFonts w:ascii="Times New Roman" w:hAnsi="Times New Roman" w:cs="Cambria"/>
          <w:b/>
          <w:snapToGrid w:val="0"/>
          <w:color w:val="auto"/>
          <w:kern w:val="0"/>
          <w:sz w:val="52"/>
          <w:szCs w:val="84"/>
          <w:highlight w:val="none"/>
          <w:shd w:val="clear" w:color="auto" w:fill="auto"/>
        </w:rPr>
      </w:pPr>
    </w:p>
    <w:p>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重庆三峡银行</w:t>
      </w:r>
    </w:p>
    <w:p>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u w:val="none"/>
          <w:shd w:val="clear" w:color="auto" w:fill="auto"/>
          <w:lang w:val="en-US" w:eastAsia="zh-CN"/>
        </w:rPr>
        <w:t>第三代手机银行</w:t>
      </w:r>
      <w:r>
        <w:rPr>
          <w:rFonts w:hint="eastAsia" w:ascii="Times New Roman" w:hAnsi="Times New Roman" w:cs="Times New Roman"/>
          <w:b/>
          <w:snapToGrid w:val="0"/>
          <w:color w:val="auto"/>
          <w:kern w:val="0"/>
          <w:sz w:val="48"/>
          <w:szCs w:val="84"/>
          <w:highlight w:val="none"/>
          <w:shd w:val="clear" w:color="auto" w:fill="auto"/>
        </w:rPr>
        <w:t>项目</w:t>
      </w:r>
    </w:p>
    <w:p>
      <w:pPr>
        <w:spacing w:line="360" w:lineRule="auto"/>
        <w:ind w:firstLine="0" w:firstLineChars="0"/>
        <w:jc w:val="left"/>
        <w:rPr>
          <w:rFonts w:ascii="Times New Roman" w:hAnsi="Times New Roman" w:cs="Times New Roman"/>
          <w:snapToGrid w:val="0"/>
          <w:color w:val="auto"/>
          <w:kern w:val="0"/>
          <w:sz w:val="18"/>
          <w:highlight w:val="none"/>
          <w:shd w:val="clear" w:color="auto" w:fill="auto"/>
        </w:rPr>
      </w:pPr>
    </w:p>
    <w:p>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pPr>
        <w:spacing w:line="360" w:lineRule="auto"/>
        <w:ind w:firstLine="0" w:firstLineChars="0"/>
        <w:jc w:val="center"/>
        <w:rPr>
          <w:rFonts w:ascii="Times New Roman" w:hAnsi="Times New Roman" w:cs="Times New Roman"/>
          <w:b/>
          <w:snapToGrid w:val="0"/>
          <w:color w:val="auto"/>
          <w:kern w:val="0"/>
          <w:sz w:val="84"/>
          <w:szCs w:val="84"/>
          <w:highlight w:val="none"/>
          <w:shd w:val="clear" w:color="auto" w:fill="auto"/>
        </w:rPr>
      </w:pPr>
      <w:r>
        <w:rPr>
          <w:rFonts w:hint="eastAsia" w:ascii="Times New Roman" w:hAnsi="Times New Roman" w:cs="Times New Roman"/>
          <w:b/>
          <w:snapToGrid w:val="0"/>
          <w:color w:val="auto"/>
          <w:kern w:val="0"/>
          <w:sz w:val="96"/>
          <w:szCs w:val="96"/>
          <w:highlight w:val="none"/>
          <w:shd w:val="clear" w:color="auto" w:fill="auto"/>
        </w:rPr>
        <w:t>比选</w:t>
      </w:r>
      <w:r>
        <w:rPr>
          <w:rFonts w:ascii="Times New Roman" w:hAnsi="Times New Roman" w:cs="Times New Roman"/>
          <w:b/>
          <w:snapToGrid w:val="0"/>
          <w:color w:val="auto"/>
          <w:kern w:val="0"/>
          <w:sz w:val="96"/>
          <w:szCs w:val="96"/>
          <w:highlight w:val="none"/>
          <w:shd w:val="clear" w:color="auto" w:fill="auto"/>
        </w:rPr>
        <w:t>文件</w:t>
      </w:r>
    </w:p>
    <w:p>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pPr>
        <w:ind w:firstLine="0" w:firstLineChars="0"/>
        <w:rPr>
          <w:rFonts w:ascii="Times New Roman" w:hAnsi="Times New Roman"/>
          <w:color w:val="auto"/>
          <w:highlight w:val="none"/>
          <w:shd w:val="clear" w:color="auto" w:fill="auto"/>
        </w:rPr>
      </w:pPr>
    </w:p>
    <w:p>
      <w:pPr>
        <w:pStyle w:val="8"/>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Cs/>
                <w:snapToGrid w:val="0"/>
                <w:color w:val="auto"/>
                <w:kern w:val="0"/>
                <w:szCs w:val="24"/>
                <w:highlight w:val="none"/>
                <w:shd w:val="clear" w:color="auto" w:fill="auto"/>
              </w:rPr>
              <w:t>（盖单位法人章）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lang w:val="en-US" w:eastAsia="zh-CN"/>
              </w:rPr>
              <w:t>2024</w:t>
            </w:r>
            <w:r>
              <w:rPr>
                <w:rFonts w:ascii="Times New Roman" w:hAnsi="Times New Roman" w:cs="Times New Roman"/>
                <w:b/>
                <w:snapToGrid w:val="0"/>
                <w:color w:val="auto"/>
                <w:kern w:val="0"/>
                <w:sz w:val="30"/>
                <w:szCs w:val="30"/>
                <w:highlight w:val="none"/>
                <w:shd w:val="clear" w:color="auto" w:fill="auto"/>
              </w:rPr>
              <w:t>年</w:t>
            </w:r>
            <w:r>
              <w:rPr>
                <w:rFonts w:hint="eastAsia" w:ascii="Times New Roman" w:hAnsi="Times New Roman" w:cs="Times New Roman"/>
                <w:b/>
                <w:snapToGrid w:val="0"/>
                <w:color w:val="auto"/>
                <w:kern w:val="0"/>
                <w:sz w:val="30"/>
                <w:szCs w:val="30"/>
                <w:highlight w:val="none"/>
                <w:shd w:val="clear" w:color="auto" w:fill="auto"/>
                <w:lang w:val="en-US" w:eastAsia="zh-CN"/>
              </w:rPr>
              <w:t>4</w:t>
            </w:r>
            <w:r>
              <w:rPr>
                <w:rFonts w:ascii="Times New Roman" w:hAnsi="Times New Roman" w:cs="Times New Roman"/>
                <w:b/>
                <w:snapToGrid w:val="0"/>
                <w:color w:val="auto"/>
                <w:kern w:val="0"/>
                <w:sz w:val="30"/>
                <w:szCs w:val="30"/>
                <w:highlight w:val="none"/>
                <w:shd w:val="clear" w:color="auto" w:fill="auto"/>
              </w:rPr>
              <w:t>月</w:t>
            </w:r>
          </w:p>
        </w:tc>
        <w:tc>
          <w:tcPr>
            <w:tcW w:w="2020" w:type="dxa"/>
            <w:vMerge w:val="continue"/>
            <w:tcBorders>
              <w:tl2br w:val="nil"/>
              <w:tr2bl w:val="nil"/>
            </w:tcBorders>
            <w:vAlign w:val="center"/>
          </w:tcPr>
          <w:p/>
        </w:tc>
      </w:tr>
    </w:tbl>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sectPr>
          <w:pgSz w:w="11906" w:h="16838"/>
          <w:pgMar w:top="1440" w:right="1800" w:bottom="1440" w:left="1800" w:header="851" w:footer="992" w:gutter="0"/>
          <w:pgNumType w:fmt="numberInDash" w:start="1"/>
          <w:cols w:space="720" w:num="1"/>
          <w:docGrid w:type="lines" w:linePitch="312" w:charSpace="0"/>
        </w:sectPr>
      </w:pPr>
    </w:p>
    <w:p>
      <w:pPr>
        <w:snapToGrid w:val="0"/>
        <w:spacing w:line="360" w:lineRule="auto"/>
        <w:ind w:firstLine="0" w:firstLineChars="0"/>
        <w:jc w:val="center"/>
        <w:rPr>
          <w:rFonts w:ascii="Times New Roman" w:hAnsi="Times New Roman"/>
          <w:b/>
          <w:snapToGrid w:val="0"/>
          <w:color w:val="auto"/>
          <w:kern w:val="0"/>
          <w:sz w:val="44"/>
          <w:szCs w:val="44"/>
          <w:highlight w:val="none"/>
          <w:shd w:val="clear" w:color="auto" w:fill="auto"/>
        </w:rPr>
      </w:pPr>
      <w:r>
        <w:rPr>
          <w:rFonts w:hint="eastAsia" w:ascii="Times New Roman" w:hAnsi="Times New Roman"/>
          <w:b/>
          <w:snapToGrid w:val="0"/>
          <w:color w:val="auto"/>
          <w:kern w:val="0"/>
          <w:sz w:val="44"/>
          <w:szCs w:val="44"/>
          <w:highlight w:val="none"/>
          <w:shd w:val="clear" w:color="auto" w:fill="auto"/>
        </w:rPr>
        <w:t>目录</w:t>
      </w:r>
    </w:p>
    <w:p>
      <w:pPr>
        <w:pStyle w:val="17"/>
        <w:tabs>
          <w:tab w:val="right" w:leader="dot" w:pos="8306"/>
        </w:tabs>
      </w:pPr>
      <w:r>
        <w:rPr>
          <w:rFonts w:hint="eastAsia" w:ascii="Times New Roman" w:hAnsi="Times New Roman"/>
          <w:snapToGrid w:val="0"/>
          <w:color w:val="auto"/>
          <w:kern w:val="0"/>
          <w:szCs w:val="24"/>
          <w:highlight w:val="none"/>
          <w:shd w:val="clear" w:color="auto" w:fill="auto"/>
        </w:rPr>
        <w:fldChar w:fldCharType="begin"/>
      </w:r>
      <w:r>
        <w:rPr>
          <w:rFonts w:hint="eastAsia" w:ascii="Times New Roman" w:hAnsi="Times New Roman"/>
          <w:snapToGrid w:val="0"/>
          <w:color w:val="auto"/>
          <w:kern w:val="0"/>
          <w:szCs w:val="24"/>
          <w:highlight w:val="none"/>
          <w:shd w:val="clear" w:color="auto" w:fill="auto"/>
        </w:rPr>
        <w:instrText xml:space="preserve">TOC \o "1-1" \h \z \u</w:instrText>
      </w:r>
      <w:r>
        <w:rPr>
          <w:rFonts w:ascii="Times New Roman" w:hAnsi="Times New Roman"/>
          <w:snapToGrid w:val="0"/>
          <w:color w:val="auto"/>
          <w:kern w:val="0"/>
          <w:szCs w:val="24"/>
          <w:highlight w:val="none"/>
          <w:shd w:val="clear" w:color="auto" w:fill="auto"/>
        </w:rPr>
        <w:instrText xml:space="preserve"> </w:instrText>
      </w:r>
      <w:r>
        <w:rPr>
          <w:rFonts w:ascii="Times New Roman" w:hAnsi="Times New Roman"/>
          <w:snapToGrid w:val="0"/>
          <w:color w:val="auto"/>
          <w:kern w:val="0"/>
          <w:szCs w:val="24"/>
          <w:highlight w:val="none"/>
          <w:shd w:val="clear" w:color="auto" w:fill="auto"/>
        </w:rPr>
        <w:fldChar w:fldCharType="separate"/>
      </w: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_Toc19764 </w:instrText>
      </w:r>
      <w:r>
        <w:rPr>
          <w:rFonts w:ascii="Times New Roman" w:hAnsi="Times New Roman"/>
          <w:snapToGrid w:val="0"/>
          <w:kern w:val="0"/>
          <w:szCs w:val="24"/>
          <w:highlight w:val="none"/>
          <w:shd w:val="clear" w:color="auto" w:fill="auto"/>
        </w:rPr>
        <w:fldChar w:fldCharType="separate"/>
      </w:r>
      <w:r>
        <w:rPr>
          <w:rFonts w:hint="eastAsia" w:ascii="Times New Roman" w:hAnsi="Times New Roman"/>
          <w:highlight w:val="none"/>
          <w:shd w:val="clear" w:color="auto" w:fill="auto"/>
        </w:rPr>
        <w:t xml:space="preserve">第一章 </w:t>
      </w:r>
      <w:r>
        <w:rPr>
          <w:rFonts w:hint="eastAsia" w:ascii="Times New Roman" w:hAnsi="Times New Roman"/>
          <w:szCs w:val="32"/>
          <w:highlight w:val="none"/>
          <w:shd w:val="clear" w:color="auto" w:fill="auto"/>
        </w:rPr>
        <w:t>比选公告</w:t>
      </w:r>
      <w:r>
        <w:tab/>
      </w:r>
      <w:r>
        <w:fldChar w:fldCharType="begin"/>
      </w:r>
      <w:r>
        <w:instrText xml:space="preserve"> PAGEREF _Toc19764 \h </w:instrText>
      </w:r>
      <w:r>
        <w:fldChar w:fldCharType="separate"/>
      </w:r>
      <w:r>
        <w:t>- 1 -</w:t>
      </w:r>
      <w:r>
        <w:fldChar w:fldCharType="end"/>
      </w:r>
      <w:r>
        <w:rPr>
          <w:rFonts w:ascii="Times New Roman" w:hAnsi="Times New Roman"/>
          <w:snapToGrid w:val="0"/>
          <w:color w:val="auto"/>
          <w:kern w:val="0"/>
          <w:szCs w:val="24"/>
          <w:highlight w:val="none"/>
          <w:shd w:val="clear" w:color="auto" w:fill="auto"/>
        </w:rPr>
        <w:fldChar w:fldCharType="end"/>
      </w:r>
    </w:p>
    <w:p>
      <w:pPr>
        <w:pStyle w:val="17"/>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_Toc14409 </w:instrText>
      </w:r>
      <w:r>
        <w:rPr>
          <w:rFonts w:ascii="Times New Roman" w:hAnsi="Times New Roman"/>
          <w:snapToGrid w:val="0"/>
          <w:kern w:val="0"/>
          <w:szCs w:val="24"/>
          <w:highlight w:val="none"/>
          <w:shd w:val="clear" w:color="auto" w:fill="auto"/>
        </w:rPr>
        <w:fldChar w:fldCharType="separate"/>
      </w:r>
      <w:r>
        <w:rPr>
          <w:rFonts w:hint="eastAsia" w:ascii="Times New Roman" w:hAnsi="Times New Roman"/>
          <w:highlight w:val="none"/>
          <w:shd w:val="clear" w:color="auto" w:fill="auto"/>
        </w:rPr>
        <w:t>第二章 参选人须知</w:t>
      </w:r>
      <w:r>
        <w:tab/>
      </w:r>
      <w:r>
        <w:fldChar w:fldCharType="begin"/>
      </w:r>
      <w:r>
        <w:instrText xml:space="preserve"> PAGEREF _Toc14409 \h </w:instrText>
      </w:r>
      <w:r>
        <w:fldChar w:fldCharType="separate"/>
      </w:r>
      <w:r>
        <w:t>- 6 -</w:t>
      </w:r>
      <w:r>
        <w:fldChar w:fldCharType="end"/>
      </w:r>
      <w:r>
        <w:rPr>
          <w:rFonts w:ascii="Times New Roman" w:hAnsi="Times New Roman"/>
          <w:snapToGrid w:val="0"/>
          <w:color w:val="auto"/>
          <w:kern w:val="0"/>
          <w:szCs w:val="24"/>
          <w:highlight w:val="none"/>
          <w:shd w:val="clear" w:color="auto" w:fill="auto"/>
        </w:rPr>
        <w:fldChar w:fldCharType="end"/>
      </w:r>
    </w:p>
    <w:p>
      <w:pPr>
        <w:pStyle w:val="17"/>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_Toc31837 </w:instrText>
      </w:r>
      <w:r>
        <w:rPr>
          <w:rFonts w:ascii="Times New Roman" w:hAnsi="Times New Roman"/>
          <w:snapToGrid w:val="0"/>
          <w:kern w:val="0"/>
          <w:szCs w:val="24"/>
          <w:highlight w:val="none"/>
          <w:shd w:val="clear" w:color="auto" w:fill="auto"/>
        </w:rPr>
        <w:fldChar w:fldCharType="separate"/>
      </w:r>
      <w:r>
        <w:rPr>
          <w:rFonts w:hint="eastAsia" w:ascii="Times New Roman" w:hAnsi="Times New Roman"/>
          <w:highlight w:val="none"/>
          <w:shd w:val="clear" w:color="auto" w:fill="auto"/>
        </w:rPr>
        <w:t>第三章 项目要求</w:t>
      </w:r>
      <w:r>
        <w:tab/>
      </w:r>
      <w:r>
        <w:fldChar w:fldCharType="begin"/>
      </w:r>
      <w:r>
        <w:instrText xml:space="preserve"> PAGEREF _Toc31837 \h </w:instrText>
      </w:r>
      <w:r>
        <w:fldChar w:fldCharType="separate"/>
      </w:r>
      <w:r>
        <w:t>- 16 -</w:t>
      </w:r>
      <w:r>
        <w:fldChar w:fldCharType="end"/>
      </w:r>
      <w:r>
        <w:rPr>
          <w:rFonts w:ascii="Times New Roman" w:hAnsi="Times New Roman"/>
          <w:snapToGrid w:val="0"/>
          <w:color w:val="auto"/>
          <w:kern w:val="0"/>
          <w:szCs w:val="24"/>
          <w:highlight w:val="none"/>
          <w:shd w:val="clear" w:color="auto" w:fill="auto"/>
        </w:rPr>
        <w:fldChar w:fldCharType="end"/>
      </w:r>
    </w:p>
    <w:p>
      <w:pPr>
        <w:pStyle w:val="17"/>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_Toc29394 </w:instrText>
      </w:r>
      <w:r>
        <w:rPr>
          <w:rFonts w:ascii="Times New Roman" w:hAnsi="Times New Roman"/>
          <w:snapToGrid w:val="0"/>
          <w:kern w:val="0"/>
          <w:szCs w:val="24"/>
          <w:highlight w:val="none"/>
          <w:shd w:val="clear" w:color="auto" w:fill="auto"/>
        </w:rPr>
        <w:fldChar w:fldCharType="separate"/>
      </w:r>
      <w:r>
        <w:rPr>
          <w:rFonts w:hint="eastAsia" w:ascii="Times New Roman" w:hAnsi="Times New Roman"/>
          <w:highlight w:val="none"/>
          <w:shd w:val="clear" w:color="auto" w:fill="auto"/>
        </w:rPr>
        <w:t>第四章 评审办法（综合评估法）</w:t>
      </w:r>
      <w:r>
        <w:tab/>
      </w:r>
      <w:r>
        <w:fldChar w:fldCharType="begin"/>
      </w:r>
      <w:r>
        <w:instrText xml:space="preserve"> PAGEREF _Toc29394 \h </w:instrText>
      </w:r>
      <w:r>
        <w:fldChar w:fldCharType="separate"/>
      </w:r>
      <w:r>
        <w:t>- 69 -</w:t>
      </w:r>
      <w:r>
        <w:fldChar w:fldCharType="end"/>
      </w:r>
      <w:r>
        <w:rPr>
          <w:rFonts w:ascii="Times New Roman" w:hAnsi="Times New Roman"/>
          <w:snapToGrid w:val="0"/>
          <w:color w:val="auto"/>
          <w:kern w:val="0"/>
          <w:szCs w:val="24"/>
          <w:highlight w:val="none"/>
          <w:shd w:val="clear" w:color="auto" w:fill="auto"/>
        </w:rPr>
        <w:fldChar w:fldCharType="end"/>
      </w:r>
    </w:p>
    <w:p>
      <w:pPr>
        <w:pStyle w:val="17"/>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_Toc3920 </w:instrText>
      </w:r>
      <w:r>
        <w:rPr>
          <w:rFonts w:ascii="Times New Roman" w:hAnsi="Times New Roman"/>
          <w:snapToGrid w:val="0"/>
          <w:kern w:val="0"/>
          <w:szCs w:val="24"/>
          <w:highlight w:val="none"/>
          <w:shd w:val="clear" w:color="auto" w:fill="auto"/>
        </w:rPr>
        <w:fldChar w:fldCharType="separate"/>
      </w:r>
      <w:r>
        <w:rPr>
          <w:rFonts w:hint="eastAsia" w:ascii="Times New Roman" w:hAnsi="Times New Roman"/>
          <w:highlight w:val="none"/>
          <w:shd w:val="clear" w:color="auto" w:fill="auto"/>
        </w:rPr>
        <w:t>第五章 合同</w:t>
      </w:r>
      <w:r>
        <w:rPr>
          <w:rFonts w:ascii="Times New Roman" w:hAnsi="Times New Roman"/>
          <w:highlight w:val="none"/>
          <w:shd w:val="clear" w:color="auto" w:fill="auto"/>
        </w:rPr>
        <w:t>模板</w:t>
      </w:r>
      <w:r>
        <w:tab/>
      </w:r>
      <w:r>
        <w:fldChar w:fldCharType="begin"/>
      </w:r>
      <w:r>
        <w:instrText xml:space="preserve"> PAGEREF _Toc3920 \h </w:instrText>
      </w:r>
      <w:r>
        <w:fldChar w:fldCharType="separate"/>
      </w:r>
      <w:r>
        <w:t>- 77 -</w:t>
      </w:r>
      <w:r>
        <w:fldChar w:fldCharType="end"/>
      </w:r>
      <w:r>
        <w:rPr>
          <w:rFonts w:ascii="Times New Roman" w:hAnsi="Times New Roman"/>
          <w:snapToGrid w:val="0"/>
          <w:color w:val="auto"/>
          <w:kern w:val="0"/>
          <w:szCs w:val="24"/>
          <w:highlight w:val="none"/>
          <w:shd w:val="clear" w:color="auto" w:fill="auto"/>
        </w:rPr>
        <w:fldChar w:fldCharType="end"/>
      </w:r>
    </w:p>
    <w:p>
      <w:pPr>
        <w:pStyle w:val="17"/>
        <w:tabs>
          <w:tab w:val="right" w:leader="dot" w:pos="8306"/>
        </w:tabs>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kern w:val="0"/>
          <w:szCs w:val="24"/>
          <w:highlight w:val="none"/>
          <w:shd w:val="clear" w:color="auto" w:fill="auto"/>
        </w:rPr>
        <w:instrText xml:space="preserve"> HYPERLINK \l _Toc8818 </w:instrText>
      </w:r>
      <w:r>
        <w:rPr>
          <w:rFonts w:ascii="Times New Roman" w:hAnsi="Times New Roman"/>
          <w:snapToGrid w:val="0"/>
          <w:kern w:val="0"/>
          <w:szCs w:val="24"/>
          <w:highlight w:val="none"/>
          <w:shd w:val="clear" w:color="auto" w:fill="auto"/>
        </w:rPr>
        <w:fldChar w:fldCharType="separate"/>
      </w:r>
      <w:r>
        <w:rPr>
          <w:rFonts w:hint="eastAsia" w:ascii="Times New Roman" w:hAnsi="Times New Roman"/>
          <w:highlight w:val="none"/>
          <w:shd w:val="clear" w:color="auto" w:fill="auto"/>
        </w:rPr>
        <w:t>第六章 参选文件格式</w:t>
      </w:r>
      <w:r>
        <w:tab/>
      </w:r>
      <w:r>
        <w:fldChar w:fldCharType="begin"/>
      </w:r>
      <w:r>
        <w:instrText xml:space="preserve"> PAGEREF _Toc8818 \h </w:instrText>
      </w:r>
      <w:r>
        <w:fldChar w:fldCharType="separate"/>
      </w:r>
      <w:r>
        <w:t>- 135 -</w:t>
      </w:r>
      <w:r>
        <w:fldChar w:fldCharType="end"/>
      </w:r>
      <w:r>
        <w:rPr>
          <w:rFonts w:ascii="Times New Roman" w:hAnsi="Times New Roman"/>
          <w:snapToGrid w:val="0"/>
          <w:color w:val="auto"/>
          <w:kern w:val="0"/>
          <w:szCs w:val="24"/>
          <w:highlight w:val="none"/>
          <w:shd w:val="clear" w:color="auto" w:fill="auto"/>
        </w:rPr>
        <w:fldChar w:fldCharType="end"/>
      </w:r>
    </w:p>
    <w:p>
      <w:pPr>
        <w:widowControl/>
        <w:jc w:val="left"/>
        <w:rPr>
          <w:rFonts w:ascii="Times New Roman" w:hAnsi="Times New Roman"/>
          <w:snapToGrid w:val="0"/>
          <w:color w:val="auto"/>
          <w:kern w:val="0"/>
          <w:szCs w:val="24"/>
          <w:highlight w:val="none"/>
          <w:shd w:val="clear" w:color="auto" w:fill="auto"/>
        </w:rPr>
      </w:pPr>
      <w:r>
        <w:rPr>
          <w:rFonts w:ascii="Times New Roman" w:hAnsi="Times New Roman"/>
          <w:snapToGrid w:val="0"/>
          <w:color w:val="auto"/>
          <w:kern w:val="0"/>
          <w:szCs w:val="24"/>
          <w:highlight w:val="none"/>
          <w:shd w:val="clear" w:color="auto" w:fill="auto"/>
        </w:rPr>
        <w:fldChar w:fldCharType="end"/>
      </w:r>
    </w:p>
    <w:p>
      <w:pPr>
        <w:widowControl/>
        <w:jc w:val="left"/>
        <w:rPr>
          <w:rFonts w:ascii="Times New Roman" w:hAnsi="Times New Roman"/>
          <w:snapToGrid w:val="0"/>
          <w:color w:val="auto"/>
          <w:kern w:val="0"/>
          <w:szCs w:val="24"/>
          <w:highlight w:val="none"/>
          <w:shd w:val="clear" w:color="auto" w:fill="auto"/>
        </w:rPr>
        <w:sectPr>
          <w:footerReference r:id="rId5" w:type="default"/>
          <w:pgSz w:w="11906" w:h="16838"/>
          <w:pgMar w:top="1440" w:right="1800" w:bottom="1440" w:left="1800" w:header="851" w:footer="992" w:gutter="0"/>
          <w:pgNumType w:fmt="numberInDash" w:start="1"/>
          <w:cols w:space="720" w:num="1"/>
          <w:docGrid w:type="lines" w:linePitch="312" w:charSpace="0"/>
        </w:sectPr>
      </w:pPr>
    </w:p>
    <w:p>
      <w:pPr>
        <w:pStyle w:val="2"/>
        <w:rPr>
          <w:rFonts w:hint="eastAsia" w:ascii="Times New Roman" w:hAnsi="Times New Roman"/>
          <w:color w:val="auto"/>
          <w:sz w:val="44"/>
          <w:szCs w:val="32"/>
          <w:highlight w:val="none"/>
          <w:shd w:val="clear" w:color="auto" w:fill="auto"/>
        </w:rPr>
      </w:pPr>
      <w:bookmarkStart w:id="0" w:name="_Toc440628903"/>
      <w:bookmarkStart w:id="1" w:name="_Toc6745"/>
      <w:bookmarkStart w:id="2" w:name="_Toc469574661"/>
      <w:bookmarkStart w:id="3" w:name="_Toc26860"/>
      <w:bookmarkStart w:id="4" w:name="_Toc19764"/>
      <w:r>
        <w:rPr>
          <w:rFonts w:hint="eastAsia" w:ascii="Times New Roman" w:hAnsi="Times New Roman"/>
          <w:color w:val="auto"/>
          <w:highlight w:val="none"/>
          <w:shd w:val="clear" w:color="auto" w:fill="auto"/>
        </w:rPr>
        <w:t>第一章</w:t>
      </w:r>
      <w:bookmarkEnd w:id="0"/>
      <w:r>
        <w:rPr>
          <w:rFonts w:hint="eastAsia" w:ascii="Times New Roman" w:hAnsi="Times New Roman"/>
          <w:color w:val="auto"/>
          <w:highlight w:val="none"/>
          <w:shd w:val="clear" w:color="auto" w:fill="auto"/>
        </w:rPr>
        <w:t xml:space="preserve"> </w:t>
      </w:r>
      <w:bookmarkEnd w:id="1"/>
      <w:bookmarkEnd w:id="2"/>
      <w:r>
        <w:rPr>
          <w:rFonts w:hint="eastAsia" w:ascii="Times New Roman" w:hAnsi="Times New Roman"/>
          <w:color w:val="auto"/>
          <w:sz w:val="44"/>
          <w:szCs w:val="32"/>
          <w:highlight w:val="none"/>
          <w:shd w:val="clear" w:color="auto" w:fill="auto"/>
        </w:rPr>
        <w:t>比选公告</w:t>
      </w:r>
      <w:bookmarkEnd w:id="3"/>
      <w:bookmarkEnd w:id="4"/>
    </w:p>
    <w:p>
      <w:pPr>
        <w:rPr>
          <w:rFonts w:hint="eastAsia"/>
        </w:rPr>
      </w:pPr>
      <w:bookmarkStart w:id="5" w:name="_Toc55379218"/>
      <w:bookmarkStart w:id="6" w:name="_Toc89675127"/>
    </w:p>
    <w:p>
      <w:pPr>
        <w:pStyle w:val="14"/>
        <w:keepNext w:val="0"/>
        <w:keepLines w:val="0"/>
        <w:pageBreakBefore w:val="0"/>
        <w:widowControl w:val="0"/>
        <w:tabs>
          <w:tab w:val="center" w:pos="4201"/>
          <w:tab w:val="right" w:leader="dot" w:pos="9298"/>
        </w:tabs>
        <w:kinsoku/>
        <w:wordWrap/>
        <w:overflowPunct/>
        <w:topLinePunct w:val="0"/>
        <w:autoSpaceDE/>
        <w:autoSpaceDN/>
        <w:bidi w:val="0"/>
        <w:adjustRightInd/>
        <w:snapToGrid/>
        <w:spacing w:line="360" w:lineRule="auto"/>
        <w:textAlignment w:val="auto"/>
        <w:rPr>
          <w:rFonts w:hint="eastAsia" w:ascii="Times New Roman" w:hAnsi="Times New Roman" w:eastAsia="宋体" w:cs="Cambria"/>
          <w:snapToGrid w:val="0"/>
          <w:color w:val="auto"/>
          <w:kern w:val="0"/>
          <w:sz w:val="24"/>
          <w:szCs w:val="24"/>
          <w:highlight w:val="none"/>
          <w:shd w:val="clear" w:color="auto" w:fill="auto"/>
          <w:lang w:val="en-US" w:eastAsia="zh-CN" w:bidi="ar-SA"/>
        </w:rPr>
      </w:pPr>
      <w:r>
        <w:rPr>
          <w:rFonts w:hint="eastAsia" w:ascii="Times New Roman" w:hAnsi="Times New Roman" w:cs="Cambria"/>
          <w:snapToGrid w:val="0"/>
          <w:color w:val="auto"/>
          <w:kern w:val="0"/>
          <w:sz w:val="24"/>
          <w:szCs w:val="24"/>
          <w:highlight w:val="none"/>
          <w:shd w:val="clear" w:color="auto" w:fill="auto"/>
          <w:lang w:val="en-US" w:eastAsia="zh-CN" w:bidi="ar-SA"/>
        </w:rPr>
        <w:t>重庆三峡银行（以下简称“本行”）</w:t>
      </w:r>
      <w:r>
        <w:rPr>
          <w:rFonts w:hint="eastAsia" w:ascii="Times New Roman" w:hAnsi="Times New Roman" w:eastAsia="宋体" w:cs="Cambria"/>
          <w:snapToGrid w:val="0"/>
          <w:color w:val="auto"/>
          <w:kern w:val="0"/>
          <w:sz w:val="24"/>
          <w:szCs w:val="24"/>
          <w:highlight w:val="none"/>
          <w:shd w:val="clear" w:color="auto" w:fill="auto"/>
          <w:lang w:val="en-US" w:eastAsia="zh-CN" w:bidi="ar-SA"/>
        </w:rPr>
        <w:t>开展第三代手机银行建设工作，将新一代手机银行打造为“线上经营平台”，APP端承担起全行交易服务主渠道、中长尾客户经营主阵地两大重要职责，在深度协同线下交易服务、中长尾客户挖潜、整合线上贷款入口、释放客户经理产能等方面带来提升；微信端着力建设客户经理微营业厅，借助微信用户的高流量、高活跃度，实现拉新活客、分享营销及活动/权益推送等功能，为APP深度运营客户引流转化。现对</w:t>
      </w:r>
      <w:r>
        <w:rPr>
          <w:rFonts w:hint="eastAsia" w:ascii="Times New Roman" w:hAnsi="Times New Roman" w:cs="Cambria"/>
          <w:snapToGrid w:val="0"/>
          <w:color w:val="auto"/>
          <w:kern w:val="0"/>
          <w:sz w:val="24"/>
          <w:szCs w:val="24"/>
          <w:highlight w:val="none"/>
          <w:shd w:val="clear" w:color="auto" w:fill="auto"/>
          <w:lang w:val="en-US" w:eastAsia="zh-CN" w:bidi="ar-SA"/>
        </w:rPr>
        <w:t>本行</w:t>
      </w:r>
      <w:r>
        <w:rPr>
          <w:rFonts w:hint="eastAsia" w:ascii="Times New Roman" w:hAnsi="Times New Roman" w:eastAsia="宋体" w:cs="Cambria"/>
          <w:snapToGrid w:val="0"/>
          <w:color w:val="auto"/>
          <w:kern w:val="0"/>
          <w:sz w:val="24"/>
          <w:szCs w:val="24"/>
          <w:highlight w:val="none"/>
          <w:shd w:val="clear" w:color="auto" w:fill="auto"/>
          <w:lang w:val="en-US" w:eastAsia="zh-CN" w:bidi="ar-SA"/>
        </w:rPr>
        <w:t>第三代手机银行项目进行公开比选，特邀请有</w:t>
      </w:r>
      <w:bookmarkStart w:id="7" w:name="_Hlk59455120"/>
      <w:r>
        <w:rPr>
          <w:rFonts w:hint="eastAsia" w:ascii="Times New Roman" w:hAnsi="Times New Roman" w:eastAsia="宋体" w:cs="Cambria"/>
          <w:snapToGrid w:val="0"/>
          <w:color w:val="auto"/>
          <w:kern w:val="0"/>
          <w:sz w:val="24"/>
          <w:szCs w:val="24"/>
          <w:highlight w:val="none"/>
          <w:shd w:val="clear" w:color="auto" w:fill="auto"/>
          <w:lang w:val="en-US" w:eastAsia="zh-CN" w:bidi="ar-SA"/>
        </w:rPr>
        <w:t>意向</w:t>
      </w:r>
      <w:bookmarkEnd w:id="7"/>
      <w:r>
        <w:rPr>
          <w:rFonts w:hint="eastAsia" w:ascii="Times New Roman" w:hAnsi="Times New Roman" w:eastAsia="宋体" w:cs="Cambria"/>
          <w:snapToGrid w:val="0"/>
          <w:color w:val="auto"/>
          <w:kern w:val="0"/>
          <w:sz w:val="24"/>
          <w:szCs w:val="24"/>
          <w:highlight w:val="none"/>
          <w:shd w:val="clear" w:color="auto" w:fill="auto"/>
          <w:lang w:val="en-US" w:eastAsia="zh-CN" w:bidi="ar-SA"/>
        </w:rPr>
        <w:t>的潜在参选人进行参选。</w:t>
      </w:r>
    </w:p>
    <w:p>
      <w:pPr>
        <w:pStyle w:val="3"/>
        <w:rPr>
          <w:rFonts w:ascii="Times New Roman" w:hAnsi="Times New Roman"/>
          <w:color w:val="auto"/>
          <w:highlight w:val="none"/>
          <w:shd w:val="clear" w:color="auto" w:fill="auto"/>
        </w:rPr>
      </w:pPr>
      <w:bookmarkStart w:id="8" w:name="_Toc32636"/>
      <w:r>
        <w:rPr>
          <w:rFonts w:hint="eastAsia" w:ascii="Times New Roman" w:hAnsi="Times New Roman"/>
          <w:color w:val="auto"/>
          <w:highlight w:val="none"/>
          <w:shd w:val="clear" w:color="auto" w:fill="auto"/>
        </w:rPr>
        <w:t>1. 比选项目内容</w:t>
      </w:r>
      <w:bookmarkEnd w:id="5"/>
      <w:bookmarkEnd w:id="6"/>
      <w:bookmarkEnd w:id="8"/>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序号</w:t>
            </w:r>
          </w:p>
        </w:tc>
        <w:tc>
          <w:tcPr>
            <w:tcW w:w="2826" w:type="dxa"/>
            <w:vAlign w:val="center"/>
          </w:tcPr>
          <w:p>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项目名称</w:t>
            </w:r>
          </w:p>
        </w:tc>
        <w:tc>
          <w:tcPr>
            <w:tcW w:w="1646" w:type="dxa"/>
            <w:vAlign w:val="center"/>
          </w:tcPr>
          <w:p>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最高限价</w:t>
            </w:r>
          </w:p>
        </w:tc>
        <w:tc>
          <w:tcPr>
            <w:tcW w:w="1798" w:type="dxa"/>
            <w:vAlign w:val="center"/>
          </w:tcPr>
          <w:p>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中选人数量</w:t>
            </w:r>
          </w:p>
        </w:tc>
        <w:tc>
          <w:tcPr>
            <w:tcW w:w="1798" w:type="dxa"/>
            <w:vAlign w:val="center"/>
          </w:tcPr>
          <w:p>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ind w:firstLine="0" w:firstLineChars="0"/>
              <w:jc w:val="center"/>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shd w:val="clear" w:color="auto" w:fill="auto"/>
              </w:rPr>
              <w:t>1</w:t>
            </w:r>
          </w:p>
        </w:tc>
        <w:tc>
          <w:tcPr>
            <w:tcW w:w="2826" w:type="dxa"/>
            <w:tcBorders>
              <w:left w:val="single" w:color="auto" w:sz="4" w:space="0"/>
            </w:tcBorders>
            <w:vAlign w:val="center"/>
          </w:tcPr>
          <w:p>
            <w:pPr>
              <w:spacing w:line="360" w:lineRule="auto"/>
              <w:ind w:firstLine="0" w:firstLineChars="0"/>
              <w:jc w:val="center"/>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shd w:val="clear" w:color="auto" w:fill="auto"/>
                <w:lang w:val="en-US" w:eastAsia="zh-CN"/>
              </w:rPr>
              <w:t>重庆三峡银行第三代手机银行</w:t>
            </w:r>
            <w:r>
              <w:rPr>
                <w:rFonts w:hint="eastAsia" w:ascii="宋体" w:hAnsi="宋体" w:eastAsia="宋体" w:cs="宋体"/>
                <w:snapToGrid w:val="0"/>
                <w:color w:val="auto"/>
                <w:kern w:val="0"/>
                <w:sz w:val="24"/>
                <w:szCs w:val="24"/>
                <w:highlight w:val="none"/>
                <w:shd w:val="clear" w:color="auto" w:fill="auto"/>
              </w:rPr>
              <w:t>项目</w:t>
            </w:r>
          </w:p>
        </w:tc>
        <w:tc>
          <w:tcPr>
            <w:tcW w:w="1646" w:type="dxa"/>
            <w:tcBorders>
              <w:left w:val="single" w:color="auto" w:sz="4" w:space="0"/>
            </w:tcBorders>
            <w:vAlign w:val="center"/>
          </w:tcPr>
          <w:p>
            <w:pPr>
              <w:spacing w:line="360" w:lineRule="auto"/>
              <w:ind w:firstLine="0" w:firstLineChars="0"/>
              <w:jc w:val="center"/>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450万元</w:t>
            </w:r>
          </w:p>
        </w:tc>
        <w:tc>
          <w:tcPr>
            <w:tcW w:w="1798" w:type="dxa"/>
            <w:tcBorders>
              <w:left w:val="single" w:color="auto" w:sz="4" w:space="0"/>
            </w:tcBorders>
            <w:vAlign w:val="center"/>
          </w:tcPr>
          <w:p>
            <w:pPr>
              <w:spacing w:line="360" w:lineRule="auto"/>
              <w:ind w:firstLine="0" w:firstLineChars="0"/>
              <w:jc w:val="center"/>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1</w:t>
            </w:r>
          </w:p>
        </w:tc>
        <w:tc>
          <w:tcPr>
            <w:tcW w:w="1798" w:type="dxa"/>
            <w:tcBorders>
              <w:left w:val="single" w:color="auto" w:sz="4" w:space="0"/>
            </w:tcBorders>
            <w:vAlign w:val="center"/>
          </w:tcPr>
          <w:p>
            <w:pPr>
              <w:spacing w:line="360" w:lineRule="auto"/>
              <w:ind w:firstLine="0" w:firstLineChars="0"/>
              <w:jc w:val="center"/>
              <w:rPr>
                <w:rFonts w:hint="eastAsia" w:ascii="宋体" w:hAnsi="宋体" w:eastAsia="宋体" w:cs="宋体"/>
                <w:snapToGrid w:val="0"/>
                <w:color w:val="auto"/>
                <w:kern w:val="0"/>
                <w:sz w:val="24"/>
                <w:szCs w:val="24"/>
                <w:highlight w:val="none"/>
                <w:shd w:val="clear" w:color="auto" w:fill="auto"/>
              </w:rPr>
            </w:pPr>
            <w:r>
              <w:rPr>
                <w:rFonts w:hint="eastAsia" w:ascii="宋体" w:hAnsi="宋体" w:eastAsia="宋体" w:cs="宋体"/>
                <w:snapToGrid w:val="0"/>
                <w:color w:val="auto"/>
                <w:kern w:val="0"/>
                <w:sz w:val="24"/>
                <w:szCs w:val="24"/>
                <w:highlight w:val="none"/>
                <w:shd w:val="clear" w:color="auto" w:fill="auto"/>
              </w:rPr>
              <w:t>含税</w:t>
            </w:r>
          </w:p>
        </w:tc>
      </w:tr>
    </w:tbl>
    <w:p>
      <w:pPr>
        <w:pStyle w:val="3"/>
        <w:rPr>
          <w:rFonts w:ascii="Times New Roman" w:hAnsi="Times New Roman"/>
          <w:color w:val="auto"/>
          <w:highlight w:val="none"/>
          <w:shd w:val="clear" w:color="auto" w:fill="auto"/>
        </w:rPr>
      </w:pPr>
      <w:bookmarkStart w:id="9" w:name="_Toc89675128"/>
      <w:bookmarkStart w:id="10" w:name="_Toc297817088"/>
      <w:bookmarkStart w:id="11" w:name="_Toc288224935"/>
      <w:bookmarkStart w:id="12" w:name="_Toc4949"/>
      <w:bookmarkStart w:id="13" w:name="_Toc55379219"/>
      <w:bookmarkStart w:id="14" w:name="_Toc469574664"/>
      <w:r>
        <w:rPr>
          <w:rFonts w:hint="eastAsia" w:ascii="Times New Roman" w:hAnsi="Times New Roman"/>
          <w:color w:val="auto"/>
          <w:highlight w:val="none"/>
          <w:shd w:val="clear" w:color="auto" w:fill="auto"/>
        </w:rPr>
        <w:t>2. 参选人资格要求</w:t>
      </w:r>
      <w:bookmarkEnd w:id="9"/>
      <w:bookmarkEnd w:id="10"/>
      <w:bookmarkEnd w:id="11"/>
      <w:bookmarkEnd w:id="12"/>
      <w:bookmarkEnd w:id="13"/>
      <w:bookmarkEnd w:id="14"/>
    </w:p>
    <w:p>
      <w:pPr>
        <w:rPr>
          <w:rFonts w:hint="eastAsia" w:ascii="Times New Roman" w:hAnsi="Times New Roman" w:eastAsia="宋体"/>
          <w:color w:val="auto"/>
          <w:highlight w:val="none"/>
          <w:shd w:val="clear" w:color="auto" w:fill="auto"/>
          <w:lang w:eastAsia="zh-CN"/>
        </w:rPr>
      </w:pPr>
      <w:bookmarkStart w:id="15" w:name="_Hlk55488870"/>
      <w:r>
        <w:rPr>
          <w:rFonts w:hint="eastAsia" w:ascii="Times New Roman" w:hAnsi="Times New Roman"/>
          <w:color w:val="auto"/>
          <w:highlight w:val="none"/>
          <w:shd w:val="clear" w:color="auto" w:fill="auto"/>
        </w:rPr>
        <w:t>2.1 具有独立承担民事责任的能力</w:t>
      </w:r>
      <w:r>
        <w:rPr>
          <w:rFonts w:hint="eastAsia" w:ascii="Times New Roman" w:hAnsi="Times New Roman"/>
          <w:color w:val="auto"/>
          <w:highlight w:val="none"/>
          <w:shd w:val="clear" w:color="auto" w:fill="auto"/>
          <w:lang w:eastAsia="zh-CN"/>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【提供参选人有效营业执照（副本）或事业单位法人证书（副本）或个体工商户营业执照或有效的自然人身份证明；参选人法定代表人身份证明和法定代表人授权代表委托书。】</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注：若为法定代表人办理并签署参选文件的，不提供授权代表委托书。</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 具有良好的商业信誉和健全的财务会计制度【提供书面声明】；</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2.3 具有履行合同所必需的设备和专业技术能力【提供书面声明】；</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2.4 有依法缴纳税收和社会保障金的良好记录【提供书面声明】；</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2.5 三年内在经营活动中没有重大违法记录【提供书面声明】；</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2.6 法人及法定代表人没有被人民法院列为失信被执行人名单【提供中国执行信息公开网截图并加盖单位鲜章】；</w:t>
      </w:r>
    </w:p>
    <w:p>
      <w:pPr>
        <w:rPr>
          <w:rFonts w:hint="eastAsia" w:ascii="Times New Roman" w:hAnsi="Times New Roman" w:eastAsia="宋体"/>
          <w:color w:val="auto"/>
          <w:highlight w:val="none"/>
          <w:shd w:val="clear" w:color="auto" w:fill="auto"/>
          <w:lang w:eastAsia="zh-CN"/>
        </w:rPr>
      </w:pPr>
      <w:r>
        <w:rPr>
          <w:rFonts w:hint="eastAsia" w:ascii="Times New Roman" w:hAnsi="Times New Roman"/>
          <w:color w:val="auto"/>
          <w:highlight w:val="none"/>
          <w:shd w:val="clear" w:color="auto" w:fill="auto"/>
        </w:rPr>
        <w:t>2.7 本项目不允许任何形式的转包【提供书面声明】</w:t>
      </w:r>
      <w:r>
        <w:rPr>
          <w:rFonts w:hint="eastAsia" w:ascii="Times New Roman" w:hAnsi="Times New Roman"/>
          <w:color w:val="auto"/>
          <w:highlight w:val="none"/>
          <w:shd w:val="clear" w:color="auto" w:fill="auto"/>
          <w:lang w:eastAsia="zh-CN"/>
        </w:rPr>
        <w:t>；</w:t>
      </w:r>
    </w:p>
    <w:p>
      <w:pPr>
        <w:rPr>
          <w:rFonts w:hint="eastAsia" w:ascii="Times New Roman" w:hAnsi="Times New Roman" w:eastAsia="宋体"/>
          <w:color w:val="auto"/>
          <w:highlight w:val="none"/>
          <w:shd w:val="clear" w:color="auto" w:fill="auto"/>
          <w:lang w:eastAsia="zh-CN"/>
        </w:rPr>
      </w:pPr>
      <w:r>
        <w:rPr>
          <w:rFonts w:hint="eastAsia" w:ascii="Times New Roman" w:hAnsi="Times New Roman"/>
          <w:color w:val="auto"/>
          <w:highlight w:val="none"/>
          <w:shd w:val="clear" w:color="auto" w:fill="auto"/>
        </w:rPr>
        <w:t>2.8 本次招标不接受联合体参选</w:t>
      </w:r>
      <w:r>
        <w:rPr>
          <w:rFonts w:hint="eastAsia" w:ascii="Times New Roman" w:hAnsi="Times New Roman"/>
          <w:color w:val="auto"/>
          <w:highlight w:val="none"/>
          <w:shd w:val="clear" w:color="auto" w:fill="auto"/>
          <w:lang w:eastAsia="zh-CN"/>
        </w:rPr>
        <w:t>；</w:t>
      </w: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2.9 20</w:t>
      </w:r>
      <w:r>
        <w:rPr>
          <w:rFonts w:hint="eastAsia" w:ascii="Times New Roman" w:hAnsi="Times New Roman"/>
          <w:color w:val="auto"/>
          <w:highlight w:val="none"/>
          <w:shd w:val="clear" w:color="auto" w:fill="auto"/>
          <w:lang w:val="en-US" w:eastAsia="zh-CN"/>
        </w:rPr>
        <w:t>2</w:t>
      </w:r>
      <w:r>
        <w:rPr>
          <w:rFonts w:ascii="Times New Roman" w:hAnsi="Times New Roman"/>
          <w:color w:val="auto"/>
          <w:highlight w:val="none"/>
          <w:shd w:val="clear" w:color="auto" w:fill="auto"/>
          <w:lang w:val="en-US" w:eastAsia="zh-CN"/>
        </w:rPr>
        <w:t>0年1月1日</w:t>
      </w:r>
      <w:r>
        <w:rPr>
          <w:rFonts w:hint="eastAsia" w:ascii="Times New Roman" w:hAnsi="Times New Roman"/>
          <w:color w:val="auto"/>
          <w:highlight w:val="none"/>
          <w:shd w:val="clear" w:color="auto" w:fill="auto"/>
        </w:rPr>
        <w:t>至今具有</w:t>
      </w:r>
      <w:r>
        <w:rPr>
          <w:rFonts w:ascii="Times New Roman" w:hAnsi="Times New Roman" w:cs="宋体"/>
          <w:snapToGrid w:val="0"/>
          <w:color w:val="auto"/>
          <w:kern w:val="0"/>
          <w:sz w:val="24"/>
          <w:szCs w:val="24"/>
          <w:highlight w:val="none"/>
          <w:shd w:val="clear" w:color="auto" w:fill="auto"/>
        </w:rPr>
        <w:t>至少1个全栈国产化</w:t>
      </w:r>
      <w:r>
        <w:rPr>
          <w:rFonts w:hint="eastAsia" w:ascii="Times New Roman" w:hAnsi="Times New Roman"/>
          <w:color w:val="auto"/>
          <w:highlight w:val="none"/>
          <w:shd w:val="clear" w:color="auto" w:fill="auto"/>
        </w:rPr>
        <w:t>相关实施案例，</w:t>
      </w:r>
      <w:r>
        <w:rPr>
          <w:rFonts w:ascii="Times New Roman" w:hAnsi="Times New Roman" w:cs="宋体"/>
          <w:snapToGrid w:val="0"/>
          <w:color w:val="auto"/>
          <w:kern w:val="0"/>
          <w:sz w:val="24"/>
          <w:szCs w:val="24"/>
          <w:highlight w:val="none"/>
          <w:shd w:val="clear" w:color="auto" w:fill="auto"/>
        </w:rPr>
        <w:t>且</w:t>
      </w:r>
      <w:r>
        <w:rPr>
          <w:rFonts w:hint="eastAsia" w:ascii="Times New Roman" w:hAnsi="Times New Roman" w:cs="宋体"/>
          <w:snapToGrid w:val="0"/>
          <w:color w:val="auto"/>
          <w:kern w:val="0"/>
          <w:sz w:val="24"/>
          <w:szCs w:val="24"/>
          <w:highlight w:val="none"/>
          <w:shd w:val="clear" w:color="auto" w:fill="auto"/>
        </w:rPr>
        <w:t>国内金融行业同类型实施案例（至少有1个</w:t>
      </w:r>
      <w:r>
        <w:rPr>
          <w:rFonts w:ascii="Times New Roman" w:hAnsi="Times New Roman" w:cs="宋体"/>
          <w:snapToGrid w:val="0"/>
          <w:color w:val="auto"/>
          <w:kern w:val="0"/>
          <w:sz w:val="24"/>
          <w:szCs w:val="24"/>
          <w:highlight w:val="none"/>
          <w:shd w:val="clear" w:color="auto" w:fill="auto"/>
        </w:rPr>
        <w:t>为</w:t>
      </w:r>
      <w:r>
        <w:rPr>
          <w:rFonts w:hint="eastAsia" w:ascii="Times New Roman" w:hAnsi="Times New Roman" w:cs="宋体"/>
          <w:snapToGrid w:val="0"/>
          <w:color w:val="auto"/>
          <w:kern w:val="0"/>
          <w:sz w:val="24"/>
          <w:szCs w:val="24"/>
          <w:highlight w:val="none"/>
          <w:shd w:val="clear" w:color="auto" w:fill="auto"/>
        </w:rPr>
        <w:t>国有银行、股份制银行</w:t>
      </w:r>
      <w:r>
        <w:rPr>
          <w:rFonts w:ascii="Times New Roman" w:hAnsi="Times New Roman" w:cs="宋体"/>
          <w:snapToGrid w:val="0"/>
          <w:color w:val="auto"/>
          <w:kern w:val="0"/>
          <w:sz w:val="24"/>
          <w:szCs w:val="24"/>
          <w:highlight w:val="none"/>
          <w:shd w:val="clear" w:color="auto" w:fill="auto"/>
        </w:rPr>
        <w:t>或</w:t>
      </w:r>
      <w:r>
        <w:rPr>
          <w:rFonts w:hint="eastAsia" w:ascii="Times New Roman" w:hAnsi="Times New Roman" w:cs="宋体"/>
          <w:snapToGrid w:val="0"/>
          <w:color w:val="auto"/>
          <w:kern w:val="0"/>
          <w:sz w:val="24"/>
          <w:szCs w:val="24"/>
          <w:highlight w:val="none"/>
          <w:shd w:val="clear" w:color="auto" w:fill="auto"/>
        </w:rPr>
        <w:t>省级城商行实施案例（</w:t>
      </w:r>
      <w:r>
        <w:rPr>
          <w:rFonts w:hint="eastAsia" w:ascii="Times New Roman" w:hAnsi="Times New Roman"/>
          <w:color w:val="auto"/>
          <w:highlight w:val="none"/>
          <w:shd w:val="clear" w:color="auto" w:fill="auto"/>
        </w:rPr>
        <w:t>同一家银行不同分、支行，或同一家银行在此期间的多次实施，均视为</w:t>
      </w:r>
      <w:r>
        <w:rPr>
          <w:rFonts w:hint="eastAsia" w:ascii="Times New Roman" w:hAnsi="Times New Roman"/>
          <w:color w:val="auto"/>
          <w:highlight w:val="none"/>
          <w:shd w:val="clear" w:color="auto" w:fill="auto"/>
          <w:lang w:val="en-US" w:eastAsia="zh-CN"/>
        </w:rPr>
        <w:t>1</w:t>
      </w:r>
      <w:r>
        <w:rPr>
          <w:rFonts w:hint="eastAsia" w:ascii="Times New Roman" w:hAnsi="Times New Roman"/>
          <w:color w:val="auto"/>
          <w:highlight w:val="none"/>
          <w:shd w:val="clear" w:color="auto" w:fill="auto"/>
        </w:rPr>
        <w:t>个案例））（需提供合同复印件和项目简介）不少于</w:t>
      </w:r>
      <w:r>
        <w:rPr>
          <w:rFonts w:hint="eastAsia" w:ascii="Times New Roman" w:hAnsi="Times New Roman"/>
          <w:color w:val="auto"/>
          <w:highlight w:val="none"/>
          <w:shd w:val="clear" w:color="auto" w:fill="auto"/>
          <w:lang w:val="en-US" w:eastAsia="zh-CN"/>
        </w:rPr>
        <w:t>3</w:t>
      </w:r>
      <w:r>
        <w:rPr>
          <w:rFonts w:hint="eastAsia" w:ascii="Times New Roman" w:hAnsi="Times New Roman"/>
          <w:color w:val="auto"/>
          <w:highlight w:val="none"/>
          <w:shd w:val="clear" w:color="auto" w:fill="auto"/>
        </w:rPr>
        <w:t>家，低于</w:t>
      </w:r>
      <w:r>
        <w:rPr>
          <w:rFonts w:hint="eastAsia" w:ascii="Times New Roman" w:hAnsi="Times New Roman"/>
          <w:color w:val="auto"/>
          <w:highlight w:val="none"/>
          <w:shd w:val="clear" w:color="auto" w:fill="auto"/>
          <w:lang w:val="en-US" w:eastAsia="zh-CN"/>
        </w:rPr>
        <w:t>3</w:t>
      </w:r>
      <w:r>
        <w:rPr>
          <w:rFonts w:hint="eastAsia" w:ascii="Times New Roman" w:hAnsi="Times New Roman"/>
          <w:color w:val="auto"/>
          <w:highlight w:val="none"/>
          <w:shd w:val="clear" w:color="auto" w:fill="auto"/>
        </w:rPr>
        <w:t>个案例（不含</w:t>
      </w:r>
      <w:r>
        <w:rPr>
          <w:rFonts w:hint="eastAsia" w:ascii="Times New Roman" w:hAnsi="Times New Roman"/>
          <w:color w:val="auto"/>
          <w:highlight w:val="none"/>
          <w:shd w:val="clear" w:color="auto" w:fill="auto"/>
          <w:lang w:val="en-US" w:eastAsia="zh-CN"/>
        </w:rPr>
        <w:t>3</w:t>
      </w:r>
      <w:r>
        <w:rPr>
          <w:rFonts w:hint="eastAsia" w:ascii="Times New Roman" w:hAnsi="Times New Roman"/>
          <w:color w:val="auto"/>
          <w:highlight w:val="none"/>
          <w:shd w:val="clear" w:color="auto" w:fill="auto"/>
        </w:rPr>
        <w:t>个）取消参选资质【案例须同时提供合同关键页复印件、合同对应的发票之一和网上税务系统查询该发票截图。（发票开具日期须晚于合同签订日期、发票购买方须与合同买方一致、发票销售方须与合同卖方（参选人）一致）】；</w:t>
      </w:r>
    </w:p>
    <w:p>
      <w:pPr>
        <w:rPr>
          <w:rFonts w:hint="eastAsia" w:ascii="Times New Roman" w:hAnsi="Times New Roman" w:eastAsia="宋体"/>
          <w:color w:val="auto"/>
          <w:highlight w:val="none"/>
          <w:shd w:val="clear" w:color="auto" w:fill="auto"/>
          <w:lang w:eastAsia="zh-CN"/>
        </w:rPr>
      </w:pPr>
      <w:r>
        <w:rPr>
          <w:rFonts w:hint="eastAsia" w:ascii="Times New Roman" w:hAnsi="Times New Roman"/>
          <w:color w:val="auto"/>
          <w:highlight w:val="none"/>
          <w:shd w:val="clear" w:color="auto" w:fill="auto"/>
        </w:rPr>
        <w:t xml:space="preserve">2.10 </w:t>
      </w:r>
      <w:r>
        <w:rPr>
          <w:rFonts w:hint="eastAsia" w:ascii="Times New Roman" w:hAnsi="Times New Roman"/>
          <w:color w:val="auto"/>
          <w:highlight w:val="none"/>
          <w:shd w:val="clear" w:color="auto" w:fill="auto"/>
          <w:lang w:val="en-US" w:eastAsia="zh-CN"/>
        </w:rPr>
        <w:t>参选人</w:t>
      </w:r>
      <w:r>
        <w:rPr>
          <w:rFonts w:hint="eastAsia" w:ascii="Times New Roman" w:hAnsi="Times New Roman"/>
          <w:color w:val="auto"/>
          <w:highlight w:val="none"/>
          <w:shd w:val="clear" w:color="auto" w:fill="auto"/>
        </w:rPr>
        <w:t>注册成立时间不少于3年，且近3年财务状况稳定。</w:t>
      </w:r>
      <w:bookmarkStart w:id="16" w:name="_Hlk47356067"/>
      <w:r>
        <w:rPr>
          <w:rFonts w:hint="eastAsia" w:ascii="Times New Roman" w:hAnsi="Times New Roman"/>
          <w:color w:val="auto"/>
          <w:highlight w:val="none"/>
          <w:shd w:val="clear" w:color="auto" w:fill="auto"/>
          <w:lang w:val="en-US" w:eastAsia="zh-CN"/>
        </w:rPr>
        <w:t>且</w:t>
      </w:r>
      <w:r>
        <w:rPr>
          <w:rFonts w:hint="eastAsia" w:ascii="Times New Roman" w:hAnsi="Times New Roman"/>
          <w:color w:val="auto"/>
          <w:highlight w:val="none"/>
          <w:shd w:val="clear" w:color="auto" w:fill="auto"/>
        </w:rPr>
        <w:t>参选人须具有本次比选内容所涉及的第三方软件代理资格（含开源软件的合法授权）</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取得本次比选内容所涉及的第三方软件产品的原厂商授权书或确认函（如不涉及第三方软件，则该条不适用）</w:t>
      </w:r>
      <w:bookmarkEnd w:id="16"/>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注册成立时间提供营业执照、财务状况</w:t>
      </w:r>
      <w:r>
        <w:rPr>
          <w:rFonts w:hint="eastAsia" w:ascii="Times New Roman" w:hAnsi="Times New Roman"/>
          <w:color w:val="auto"/>
          <w:highlight w:val="none"/>
          <w:shd w:val="clear" w:color="auto" w:fill="auto"/>
        </w:rPr>
        <w:t>提供书面声明</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代理资格提供</w:t>
      </w:r>
      <w:r>
        <w:rPr>
          <w:rFonts w:hint="eastAsia" w:ascii="Times New Roman" w:hAnsi="Times New Roman"/>
          <w:color w:val="auto"/>
          <w:highlight w:val="none"/>
          <w:shd w:val="clear" w:color="auto" w:fill="auto"/>
        </w:rPr>
        <w:t>第三方软件产品的原厂商授权书或确认函</w:t>
      </w:r>
      <w:r>
        <w:rPr>
          <w:rFonts w:hint="eastAsia" w:ascii="Times New Roman" w:hAnsi="Times New Roman"/>
          <w:color w:val="auto"/>
          <w:highlight w:val="none"/>
          <w:shd w:val="clear" w:color="auto" w:fill="auto"/>
          <w:lang w:eastAsia="zh-CN"/>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注:以上证明文件若比选人存疑，参选人需提供原件备查，参选文件中须附相关证明文件复印件并逐页加盖公章。</w:t>
      </w:r>
    </w:p>
    <w:p>
      <w:pPr>
        <w:rPr>
          <w:rFonts w:hint="eastAsia" w:ascii="Times New Roman" w:hAnsi="Times New Roman"/>
        </w:rPr>
      </w:pPr>
      <w:r>
        <w:rPr>
          <w:rFonts w:hint="eastAsia" w:ascii="Times New Roman" w:hAnsi="Times New Roman"/>
          <w:color w:val="auto"/>
          <w:highlight w:val="none"/>
          <w:shd w:val="clear" w:color="auto" w:fill="auto"/>
        </w:rPr>
        <w:t>本次</w:t>
      </w:r>
      <w:r>
        <w:rPr>
          <w:rFonts w:ascii="Times New Roman" w:hAnsi="Times New Roman"/>
          <w:color w:val="auto"/>
          <w:highlight w:val="none"/>
          <w:shd w:val="clear" w:color="auto" w:fill="auto"/>
        </w:rPr>
        <w:t>比选</w:t>
      </w:r>
      <w:r>
        <w:rPr>
          <w:rFonts w:hint="eastAsia" w:ascii="Times New Roman" w:hAnsi="Times New Roman"/>
          <w:color w:val="auto"/>
          <w:highlight w:val="none"/>
          <w:shd w:val="clear" w:color="auto" w:fill="auto"/>
        </w:rPr>
        <w:t>不接受曾因参选人的违约行为与比选人发生过纠纷的参选人；</w:t>
      </w:r>
      <w:r>
        <w:rPr>
          <w:rFonts w:ascii="Times New Roman" w:hAnsi="Times New Roman"/>
          <w:color w:val="auto"/>
          <w:highlight w:val="none"/>
          <w:shd w:val="clear" w:color="auto" w:fill="auto"/>
        </w:rPr>
        <w:t>不接受</w:t>
      </w:r>
      <w:r>
        <w:rPr>
          <w:rFonts w:hint="eastAsia" w:ascii="Times New Roman" w:hAnsi="Times New Roman"/>
          <w:color w:val="auto"/>
          <w:highlight w:val="none"/>
          <w:shd w:val="clear" w:color="auto" w:fill="auto"/>
        </w:rPr>
        <w:t>与比选人合作过程中不遵守比选文件及合同约定的</w:t>
      </w:r>
      <w:r>
        <w:rPr>
          <w:rFonts w:ascii="Times New Roman" w:hAnsi="Times New Roman"/>
          <w:color w:val="auto"/>
          <w:highlight w:val="none"/>
          <w:shd w:val="clear" w:color="auto" w:fill="auto"/>
        </w:rPr>
        <w:t>参选人</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不接受</w:t>
      </w:r>
      <w:r>
        <w:rPr>
          <w:rFonts w:hint="eastAsia" w:ascii="Times New Roman" w:hAnsi="Times New Roman"/>
          <w:color w:val="auto"/>
          <w:highlight w:val="none"/>
          <w:shd w:val="clear" w:color="auto" w:fill="auto"/>
        </w:rPr>
        <w:t>曾在</w:t>
      </w:r>
      <w:r>
        <w:rPr>
          <w:rFonts w:ascii="Times New Roman" w:hAnsi="Times New Roman"/>
          <w:color w:val="auto"/>
          <w:highlight w:val="none"/>
          <w:shd w:val="clear" w:color="auto" w:fill="auto"/>
        </w:rPr>
        <w:t>比选人</w:t>
      </w:r>
      <w:r>
        <w:rPr>
          <w:rFonts w:hint="eastAsia" w:ascii="Times New Roman" w:hAnsi="Times New Roman"/>
          <w:color w:val="auto"/>
          <w:highlight w:val="none"/>
          <w:shd w:val="clear" w:color="auto" w:fill="auto"/>
        </w:rPr>
        <w:t>项目</w:t>
      </w:r>
      <w:r>
        <w:rPr>
          <w:rFonts w:ascii="Times New Roman" w:hAnsi="Times New Roman"/>
          <w:color w:val="auto"/>
          <w:highlight w:val="none"/>
          <w:shd w:val="clear" w:color="auto" w:fill="auto"/>
        </w:rPr>
        <w:t>中存在</w:t>
      </w:r>
      <w:r>
        <w:rPr>
          <w:rFonts w:hint="eastAsia" w:ascii="Times New Roman" w:hAnsi="Times New Roman"/>
          <w:color w:val="auto"/>
          <w:highlight w:val="none"/>
          <w:shd w:val="clear" w:color="auto" w:fill="auto"/>
        </w:rPr>
        <w:t>弄虚作假行为的</w:t>
      </w:r>
      <w:r>
        <w:rPr>
          <w:rFonts w:ascii="Times New Roman" w:hAnsi="Times New Roman"/>
          <w:color w:val="auto"/>
          <w:highlight w:val="none"/>
          <w:shd w:val="clear" w:color="auto" w:fill="auto"/>
        </w:rPr>
        <w:t>参选人。若</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存在上述情况，比选人</w:t>
      </w:r>
      <w:r>
        <w:rPr>
          <w:rFonts w:hint="eastAsia" w:ascii="Times New Roman" w:hAnsi="Times New Roman"/>
          <w:color w:val="auto"/>
          <w:highlight w:val="none"/>
          <w:shd w:val="clear" w:color="auto" w:fill="auto"/>
        </w:rPr>
        <w:t>将</w:t>
      </w:r>
      <w:r>
        <w:rPr>
          <w:rFonts w:ascii="Times New Roman" w:hAnsi="Times New Roman"/>
          <w:color w:val="auto"/>
          <w:highlight w:val="none"/>
          <w:shd w:val="clear" w:color="auto" w:fill="auto"/>
        </w:rPr>
        <w:t>有权</w:t>
      </w:r>
      <w:r>
        <w:rPr>
          <w:rFonts w:hint="eastAsia" w:ascii="Times New Roman" w:hAnsi="Times New Roman"/>
          <w:color w:val="auto"/>
          <w:highlight w:val="none"/>
          <w:shd w:val="clear" w:color="auto" w:fill="auto"/>
        </w:rPr>
        <w:t>随时</w:t>
      </w:r>
      <w:r>
        <w:rPr>
          <w:rFonts w:ascii="Times New Roman" w:hAnsi="Times New Roman"/>
          <w:color w:val="auto"/>
          <w:highlight w:val="none"/>
          <w:shd w:val="clear" w:color="auto" w:fill="auto"/>
        </w:rPr>
        <w:t>取消其参选资格或</w:t>
      </w:r>
      <w:r>
        <w:rPr>
          <w:rFonts w:hint="eastAsia" w:ascii="Times New Roman" w:hAnsi="Times New Roman"/>
          <w:color w:val="auto"/>
          <w:highlight w:val="none"/>
          <w:shd w:val="clear" w:color="auto" w:fill="auto"/>
        </w:rPr>
        <w:t>中选</w:t>
      </w:r>
      <w:r>
        <w:rPr>
          <w:rFonts w:ascii="Times New Roman" w:hAnsi="Times New Roman"/>
          <w:color w:val="auto"/>
          <w:highlight w:val="none"/>
          <w:shd w:val="clear" w:color="auto" w:fill="auto"/>
        </w:rPr>
        <w:t>资格（</w:t>
      </w:r>
      <w:r>
        <w:rPr>
          <w:rFonts w:hint="eastAsia" w:ascii="Times New Roman" w:hAnsi="Times New Roman"/>
          <w:color w:val="auto"/>
          <w:highlight w:val="none"/>
          <w:shd w:val="clear" w:color="auto" w:fill="auto"/>
        </w:rPr>
        <w:t>若</w:t>
      </w:r>
      <w:r>
        <w:rPr>
          <w:rFonts w:ascii="Times New Roman" w:hAnsi="Times New Roman"/>
          <w:color w:val="auto"/>
          <w:highlight w:val="none"/>
          <w:shd w:val="clear" w:color="auto" w:fill="auto"/>
        </w:rPr>
        <w:t>签署合同后发现的则有权解除合同）</w:t>
      </w:r>
      <w:r>
        <w:rPr>
          <w:rFonts w:hint="eastAsia" w:ascii="Times New Roman" w:hAnsi="Times New Roman"/>
          <w:color w:val="auto"/>
          <w:highlight w:val="none"/>
          <w:shd w:val="clear" w:color="auto" w:fill="auto"/>
        </w:rPr>
        <w:t>，没收</w:t>
      </w:r>
      <w:r>
        <w:rPr>
          <w:rFonts w:ascii="Times New Roman" w:hAnsi="Times New Roman"/>
          <w:color w:val="auto"/>
          <w:highlight w:val="none"/>
          <w:shd w:val="clear" w:color="auto" w:fill="auto"/>
        </w:rPr>
        <w:t>其</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保证金，并追究其相应的法律责任。</w:t>
      </w:r>
      <w:bookmarkEnd w:id="15"/>
      <w:bookmarkStart w:id="17" w:name="_Toc55379220"/>
      <w:bookmarkStart w:id="18" w:name="_Toc297817090"/>
      <w:bookmarkStart w:id="19" w:name="_Toc89675130"/>
      <w:bookmarkStart w:id="20" w:name="_Toc469574667"/>
      <w:r>
        <w:rPr>
          <w:rFonts w:hint="eastAsia" w:ascii="Times New Roman" w:hAnsi="Times New Roman"/>
        </w:rPr>
        <w:t>截止</w:t>
      </w:r>
      <w:r>
        <w:rPr>
          <w:rFonts w:ascii="Times New Roman" w:hAnsi="Times New Roman"/>
        </w:rPr>
        <w:t>挂网日，</w:t>
      </w:r>
      <w:r>
        <w:rPr>
          <w:rFonts w:hint="eastAsia" w:ascii="Times New Roman" w:hAnsi="Times New Roman"/>
        </w:rPr>
        <w:t>存在</w:t>
      </w:r>
      <w:r>
        <w:rPr>
          <w:rFonts w:ascii="Times New Roman" w:hAnsi="Times New Roman"/>
        </w:rPr>
        <w:t>上述情况的公司</w:t>
      </w:r>
      <w:r>
        <w:rPr>
          <w:rFonts w:hint="eastAsia" w:ascii="Times New Roman" w:hAnsi="Times New Roman"/>
        </w:rPr>
        <w:t>已纳入</w:t>
      </w:r>
      <w:r>
        <w:rPr>
          <w:rFonts w:ascii="Times New Roman" w:hAnsi="Times New Roman"/>
        </w:rPr>
        <w:t>下列清单</w:t>
      </w:r>
      <w:r>
        <w:rPr>
          <w:rFonts w:hint="eastAsia" w:ascii="Times New Roman" w:hAnsi="Times New Roman"/>
        </w:rPr>
        <w:t>。</w:t>
      </w:r>
    </w:p>
    <w:p>
      <w:pPr>
        <w:rPr>
          <w:rFonts w:hint="eastAsia" w:ascii="Times New Roman" w:hAnsi="Times New Roman"/>
        </w:rPr>
      </w:pP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 比选文件的获取</w:t>
      </w:r>
      <w:bookmarkEnd w:id="17"/>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 获取时间和方式：从</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4</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到</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5</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20</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分（北京时间），在重庆市公共资源交易网（www.cqggzy.com）下载比选文件。</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olor w:val="auto"/>
          <w:highlight w:val="non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val="en-US" w:eastAsia="zh-CN"/>
        </w:rPr>
        <w:t>5</w:t>
      </w:r>
      <w:r>
        <w:rPr>
          <w:rFonts w:hint="eastAsia" w:ascii="Times New Roman" w:hAnsi="Times New Roman"/>
          <w:color w:val="auto"/>
          <w:highlight w:val="none"/>
          <w:shd w:val="clear" w:color="auto" w:fill="auto"/>
        </w:rPr>
        <w:t>月</w:t>
      </w:r>
      <w:r>
        <w:rPr>
          <w:rFonts w:hint="eastAsia" w:ascii="Times New Roman" w:hAnsi="Times New Roman"/>
          <w:color w:val="auto"/>
          <w:highlight w:val="none"/>
          <w:shd w:val="clear" w:color="auto" w:fill="auto"/>
          <w:lang w:val="en-US" w:eastAsia="zh-CN"/>
        </w:rPr>
        <w:t>8</w:t>
      </w:r>
      <w:r>
        <w:rPr>
          <w:rFonts w:hint="eastAsia" w:ascii="Times New Roman" w:hAnsi="Times New Roman"/>
          <w:color w:val="auto"/>
          <w:highlight w:val="none"/>
          <w:shd w:val="clear" w:color="auto" w:fill="auto"/>
        </w:rPr>
        <w:t>日</w:t>
      </w:r>
      <w:r>
        <w:rPr>
          <w:rFonts w:hint="eastAsia" w:ascii="Times New Roman" w:hAnsi="Times New Roman"/>
          <w:color w:val="auto"/>
          <w:highlight w:val="none"/>
          <w:shd w:val="clear" w:color="auto" w:fill="auto"/>
          <w:lang w:val="en-US" w:eastAsia="zh-CN"/>
        </w:rPr>
        <w:t>17</w:t>
      </w:r>
      <w:r>
        <w:rPr>
          <w:rFonts w:hint="eastAsia" w:ascii="Times New Roman" w:hAnsi="Times New Roman"/>
          <w:color w:val="auto"/>
          <w:highlight w:val="none"/>
          <w:shd w:val="clear" w:color="auto" w:fill="auto"/>
        </w:rPr>
        <w:t>时</w:t>
      </w:r>
      <w:r>
        <w:rPr>
          <w:rFonts w:hint="eastAsia" w:ascii="Times New Roman" w:hAnsi="Times New Roman"/>
          <w:color w:val="auto"/>
          <w:highlight w:val="none"/>
          <w:shd w:val="clear" w:color="auto" w:fill="auto"/>
          <w:lang w:val="en-US" w:eastAsia="zh-CN"/>
        </w:rPr>
        <w:t>00</w:t>
      </w:r>
      <w:r>
        <w:rPr>
          <w:rFonts w:hint="eastAsia" w:ascii="Times New Roman" w:hAnsi="Times New Roman"/>
          <w:color w:val="auto"/>
          <w:highlight w:val="none"/>
          <w:shd w:val="clear" w:color="auto" w:fill="auto"/>
        </w:rPr>
        <w:t>分（北京时间）前自行在重庆市公共资源交易网（http://www.cqggzy.com/）比选公告的“我要提问”栏目匿名提出。参选人未提出，则视为参选人已全面确认比选文件内容。</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 比选人在认为有必要对参选人所提问题进行答复或对比选文件进行补充时，将于</w:t>
      </w:r>
      <w:r>
        <w:rPr>
          <w:rFonts w:hint="eastAsia" w:ascii="Times New Roman" w:hAnsi="Times New Roman"/>
          <w:color w:val="auto"/>
          <w:highlight w:val="non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val="en-US" w:eastAsia="zh-CN"/>
        </w:rPr>
        <w:t>5</w:t>
      </w:r>
      <w:r>
        <w:rPr>
          <w:rFonts w:hint="eastAsia" w:ascii="Times New Roman" w:hAnsi="Times New Roman"/>
          <w:color w:val="auto"/>
          <w:highlight w:val="none"/>
          <w:shd w:val="clear" w:color="auto" w:fill="auto"/>
        </w:rPr>
        <w:t>月</w:t>
      </w:r>
      <w:r>
        <w:rPr>
          <w:rFonts w:hint="eastAsia" w:ascii="Times New Roman" w:hAnsi="Times New Roman"/>
          <w:color w:val="auto"/>
          <w:highlight w:val="none"/>
          <w:shd w:val="clear" w:color="auto" w:fill="auto"/>
          <w:lang w:val="en-US" w:eastAsia="zh-CN"/>
        </w:rPr>
        <w:t>11</w:t>
      </w:r>
      <w:r>
        <w:rPr>
          <w:rFonts w:hint="eastAsia" w:ascii="Times New Roman" w:hAnsi="Times New Roman"/>
          <w:color w:val="auto"/>
          <w:highlight w:val="none"/>
          <w:shd w:val="clear" w:color="auto" w:fill="auto"/>
        </w:rPr>
        <w:t>日</w:t>
      </w:r>
      <w:r>
        <w:rPr>
          <w:rFonts w:hint="eastAsia" w:ascii="Times New Roman" w:hAnsi="Times New Roman"/>
          <w:color w:val="auto"/>
          <w:highlight w:val="none"/>
          <w:shd w:val="clear" w:color="auto" w:fill="auto"/>
          <w:lang w:val="en-US" w:eastAsia="zh-CN"/>
        </w:rPr>
        <w:t>17</w:t>
      </w:r>
      <w:r>
        <w:rPr>
          <w:rFonts w:hint="eastAsia" w:ascii="Times New Roman" w:hAnsi="Times New Roman"/>
          <w:color w:val="auto"/>
          <w:highlight w:val="none"/>
          <w:shd w:val="clear" w:color="auto" w:fill="auto"/>
        </w:rPr>
        <w:t>时</w:t>
      </w:r>
      <w:r>
        <w:rPr>
          <w:rFonts w:hint="eastAsia" w:ascii="Times New Roman" w:hAnsi="Times New Roman"/>
          <w:color w:val="auto"/>
          <w:highlight w:val="none"/>
          <w:shd w:val="clear" w:color="auto" w:fill="auto"/>
          <w:lang w:val="en-US" w:eastAsia="zh-CN"/>
        </w:rPr>
        <w:t>00</w:t>
      </w:r>
      <w:r>
        <w:rPr>
          <w:rFonts w:hint="eastAsia" w:ascii="Times New Roman" w:hAnsi="Times New Roman"/>
          <w:color w:val="auto"/>
          <w:highlight w:val="none"/>
          <w:shd w:val="clear" w:color="auto" w:fill="auto"/>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3"/>
        <w:rPr>
          <w:rFonts w:ascii="Times New Roman" w:hAnsi="Times New Roman"/>
          <w:color w:val="auto"/>
          <w:highlight w:val="none"/>
          <w:shd w:val="clear" w:color="auto" w:fill="auto"/>
        </w:rPr>
      </w:pPr>
      <w:bookmarkStart w:id="21" w:name="_Toc55379221"/>
      <w:bookmarkStart w:id="22" w:name="_Toc13658"/>
      <w:r>
        <w:rPr>
          <w:rFonts w:hint="eastAsia" w:ascii="Times New Roman" w:hAnsi="Times New Roman"/>
          <w:color w:val="auto"/>
          <w:highlight w:val="none"/>
          <w:shd w:val="clear" w:color="auto" w:fill="auto"/>
        </w:rPr>
        <w:t>4. 参选保证金的递交</w:t>
      </w:r>
      <w:bookmarkEnd w:id="18"/>
      <w:bookmarkEnd w:id="19"/>
      <w:bookmarkEnd w:id="20"/>
      <w:bookmarkEnd w:id="21"/>
      <w:bookmarkEnd w:id="22"/>
    </w:p>
    <w:p>
      <w:pPr>
        <w:rPr>
          <w:rFonts w:ascii="Times New Roman" w:hAnsi="Times New Roman"/>
          <w:color w:val="auto"/>
          <w:highlight w:val="none"/>
          <w:shd w:val="clear" w:color="auto" w:fill="auto"/>
        </w:rPr>
      </w:pPr>
      <w:bookmarkStart w:id="23" w:name="_Toc469574668"/>
      <w:bookmarkStart w:id="24" w:name="_Toc297817091"/>
      <w:bookmarkStart w:id="25" w:name="_Toc89675131"/>
      <w:bookmarkStart w:id="26" w:name="_Toc55379222"/>
      <w:r>
        <w:rPr>
          <w:rFonts w:hint="eastAsia" w:ascii="Times New Roman" w:hAnsi="Times New Roman"/>
          <w:color w:val="auto"/>
          <w:highlight w:val="none"/>
          <w:shd w:val="clear" w:color="auto" w:fill="auto"/>
        </w:rPr>
        <w:t>4.1 参选保证金的金额：</w:t>
      </w:r>
      <w:r>
        <w:rPr>
          <w:rFonts w:hint="eastAsia" w:ascii="Times New Roman" w:hAnsi="Times New Roman"/>
          <w:b/>
          <w:bCs/>
          <w:color w:val="auto"/>
          <w:highlight w:val="none"/>
          <w:u w:val="single"/>
          <w:shd w:val="clear" w:color="auto" w:fill="auto"/>
          <w:lang w:val="en-US" w:eastAsia="zh-CN"/>
        </w:rPr>
        <w:t>9万</w:t>
      </w:r>
      <w:r>
        <w:rPr>
          <w:rFonts w:hint="eastAsia" w:ascii="Times New Roman" w:hAnsi="Times New Roman"/>
          <w:b/>
          <w:bCs/>
          <w:color w:val="auto"/>
          <w:highlight w:val="none"/>
          <w:shd w:val="clear" w:color="auto" w:fill="auto"/>
        </w:rPr>
        <w:t>元整（大写：</w:t>
      </w:r>
      <w:r>
        <w:rPr>
          <w:rFonts w:hint="eastAsia" w:ascii="Times New Roman" w:hAnsi="Times New Roman"/>
          <w:b/>
          <w:bCs/>
          <w:color w:val="auto"/>
          <w:highlight w:val="none"/>
          <w:u w:val="single"/>
          <w:shd w:val="clear" w:color="auto" w:fill="auto"/>
          <w:lang w:val="en-US" w:eastAsia="zh-CN"/>
        </w:rPr>
        <w:t>玖万元整</w:t>
      </w:r>
      <w:r>
        <w:rPr>
          <w:rFonts w:hint="eastAsia" w:ascii="Times New Roman" w:hAnsi="Times New Roman"/>
          <w:b/>
          <w:bCs/>
          <w:color w:val="auto"/>
          <w:highlight w:val="none"/>
          <w:shd w:val="clear" w:color="auto" w:fill="auto"/>
        </w:rPr>
        <w:t>）</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rPr>
          <w:rFonts w:ascii="Times New Roman" w:hAnsi="Times New Roman"/>
          <w:color w:val="auto"/>
          <w:highlight w:val="none"/>
          <w:shd w:val="clear" w:color="auto" w:fill="auto"/>
        </w:rPr>
      </w:pPr>
      <w:r>
        <w:rPr>
          <w:rFonts w:hint="eastAsia" w:ascii="Times New Roman" w:hAnsi="Times New Roman"/>
          <w:b/>
          <w:bCs/>
          <w:color w:val="auto"/>
          <w:highlight w:val="none"/>
          <w:shd w:val="clear" w:color="auto" w:fill="auto"/>
        </w:rPr>
        <w:t>参选人必须在付款凭证备注栏中注明项目简称。可简写成：</w:t>
      </w:r>
      <w:r>
        <w:rPr>
          <w:rFonts w:hint="eastAsia" w:ascii="Times New Roman" w:hAnsi="Times New Roman"/>
          <w:b/>
          <w:bCs/>
          <w:color w:val="auto"/>
          <w:highlight w:val="none"/>
          <w:u w:val="single"/>
          <w:shd w:val="clear" w:color="auto" w:fill="auto"/>
          <w:lang w:val="en-US" w:eastAsia="zh-CN"/>
        </w:rPr>
        <w:t>三峡银行手机银行</w:t>
      </w:r>
      <w:r>
        <w:rPr>
          <w:rFonts w:hint="eastAsia" w:ascii="Times New Roman" w:hAnsi="Times New Roman"/>
          <w:b/>
          <w:bCs/>
          <w:color w:val="auto"/>
          <w:highlight w:val="none"/>
          <w:shd w:val="clear" w:color="auto" w:fill="auto"/>
        </w:rPr>
        <w:t>项目。</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4.3 参选保证金递交的截止时间为</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5</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20</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分（北京时间）。</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w:t>
      </w: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 xml:space="preserve"> 参选保证金专用账户如下：</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rPr>
          <w:rFonts w:hint="default"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rPr>
        <w:t>参选保证金以重庆市公共资源交易中心比选现场展示的保证金交纳情况为准。</w:t>
      </w:r>
    </w:p>
    <w:bookmarkEnd w:id="23"/>
    <w:bookmarkEnd w:id="24"/>
    <w:bookmarkEnd w:id="25"/>
    <w:bookmarkEnd w:id="26"/>
    <w:p>
      <w:pPr>
        <w:pStyle w:val="3"/>
        <w:rPr>
          <w:rFonts w:ascii="Times New Roman" w:hAnsi="Times New Roman"/>
          <w:color w:val="auto"/>
          <w:highlight w:val="none"/>
          <w:shd w:val="clear" w:color="auto" w:fill="auto"/>
        </w:rPr>
      </w:pPr>
      <w:bookmarkStart w:id="27" w:name="_Toc18961"/>
      <w:r>
        <w:rPr>
          <w:rFonts w:hint="eastAsia" w:ascii="Times New Roman" w:hAnsi="Times New Roman"/>
          <w:color w:val="auto"/>
          <w:highlight w:val="none"/>
          <w:shd w:val="clear" w:color="auto" w:fill="auto"/>
        </w:rPr>
        <w:t>5. 参选文件的递交</w:t>
      </w:r>
      <w:bookmarkEnd w:id="27"/>
    </w:p>
    <w:p>
      <w:pPr>
        <w:rPr>
          <w:rFonts w:ascii="Times New Roman" w:hAnsi="Times New Roman"/>
          <w:color w:val="auto"/>
          <w:highlight w:val="none"/>
          <w:shd w:val="clear" w:color="auto" w:fill="auto"/>
        </w:rPr>
      </w:pPr>
      <w:bookmarkStart w:id="28" w:name="_Toc89675132"/>
      <w:bookmarkStart w:id="29" w:name="_Toc469574669"/>
      <w:bookmarkStart w:id="30" w:name="_Toc55379223"/>
      <w:r>
        <w:rPr>
          <w:rFonts w:hint="eastAsia" w:ascii="Times New Roman" w:hAnsi="Times New Roman"/>
          <w:color w:val="auto"/>
          <w:highlight w:val="none"/>
          <w:shd w:val="clear" w:color="auto" w:fill="auto"/>
        </w:rPr>
        <w:t>5.1 参选文件现场递交的开始时间为</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5</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20</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u w:val="single"/>
          <w:shd w:val="clear" w:color="auto" w:fill="auto"/>
          <w:lang w:val="en-US" w:eastAsia="zh-CN"/>
        </w:rPr>
        <w:t>00</w:t>
      </w:r>
      <w:r>
        <w:rPr>
          <w:rFonts w:hint="eastAsia" w:ascii="Times New Roman" w:hAnsi="Times New Roman"/>
          <w:color w:val="auto"/>
          <w:highlight w:val="none"/>
          <w:shd w:val="clear" w:color="auto" w:fill="auto"/>
        </w:rPr>
        <w:t>(北京时间)。递交截止时间为</w:t>
      </w:r>
      <w:r>
        <w:rPr>
          <w:rFonts w:hint="eastAsia" w:ascii="Times New Roman" w:hAnsi="Times New Roman"/>
          <w:color w:val="auto"/>
          <w:highlight w:val="none"/>
          <w:u w:val="single"/>
          <w:shd w:val="clear" w:color="auto" w:fill="auto"/>
          <w:lang w:val="en-US" w:eastAsia="zh-CN"/>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u w:val="single"/>
          <w:shd w:val="clear" w:color="auto" w:fill="auto"/>
          <w:lang w:val="en-US" w:eastAsia="zh-CN"/>
        </w:rPr>
        <w:t>5</w:t>
      </w:r>
      <w:r>
        <w:rPr>
          <w:rFonts w:hint="eastAsia" w:ascii="Times New Roman" w:hAnsi="Times New Roman"/>
          <w:color w:val="auto"/>
          <w:highlight w:val="none"/>
          <w:shd w:val="clear" w:color="auto" w:fill="auto"/>
        </w:rPr>
        <w:t>月</w:t>
      </w:r>
      <w:r>
        <w:rPr>
          <w:rFonts w:hint="eastAsia" w:ascii="Times New Roman" w:hAnsi="Times New Roman"/>
          <w:color w:val="auto"/>
          <w:highlight w:val="none"/>
          <w:u w:val="single"/>
          <w:shd w:val="clear" w:color="auto" w:fill="auto"/>
          <w:lang w:val="en-US" w:eastAsia="zh-CN"/>
        </w:rPr>
        <w:t>20</w:t>
      </w:r>
      <w:r>
        <w:rPr>
          <w:rFonts w:hint="eastAsia" w:ascii="Times New Roman" w:hAnsi="Times New Roman"/>
          <w:color w:val="auto"/>
          <w:highlight w:val="none"/>
          <w:shd w:val="clear" w:color="auto" w:fill="auto"/>
        </w:rPr>
        <w:t>日</w:t>
      </w:r>
      <w:r>
        <w:rPr>
          <w:rFonts w:hint="eastAsia" w:ascii="Times New Roman" w:hAnsi="Times New Roman"/>
          <w:color w:val="auto"/>
          <w:highlight w:val="none"/>
          <w:u w:val="single"/>
          <w:shd w:val="clear" w:color="auto" w:fill="auto"/>
          <w:lang w:val="en-US" w:eastAsia="zh-CN"/>
        </w:rPr>
        <w:t>9</w:t>
      </w:r>
      <w:r>
        <w:rPr>
          <w:rFonts w:hint="eastAsia" w:ascii="Times New Roman" w:hAnsi="Times New Roman"/>
          <w:color w:val="auto"/>
          <w:highlight w:val="none"/>
          <w:shd w:val="clear" w:color="auto" w:fill="auto"/>
          <w:lang w:val="en-US" w:eastAsia="zh-CN"/>
        </w:rPr>
        <w:t>时</w:t>
      </w:r>
      <w:r>
        <w:rPr>
          <w:rFonts w:hint="eastAsia" w:ascii="Times New Roman" w:hAnsi="Times New Roman"/>
          <w:color w:val="auto"/>
          <w:highlight w:val="none"/>
          <w:u w:val="single"/>
          <w:shd w:val="clear" w:color="auto" w:fill="auto"/>
          <w:lang w:val="en-US" w:eastAsia="zh-CN"/>
        </w:rPr>
        <w:t>30</w:t>
      </w:r>
      <w:r>
        <w:rPr>
          <w:rFonts w:hint="eastAsia" w:ascii="Times New Roman" w:hAnsi="Times New Roman"/>
          <w:color w:val="auto"/>
          <w:highlight w:val="none"/>
          <w:shd w:val="clear" w:color="auto" w:fill="auto"/>
        </w:rPr>
        <w:t>分（北京时间）。</w:t>
      </w:r>
      <w:bookmarkStart w:id="388" w:name="_GoBack"/>
      <w:bookmarkEnd w:id="388"/>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5.2 递交地点为重庆市公共资源交易中心开标区（具体请登陆重庆市公共资源交易网（www.cqggzy.com）查询或递交文件当日见交易中心大厅电子显示屏）。</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5.3 逾期送达的参选文件，不予接收。</w:t>
      </w:r>
    </w:p>
    <w:p>
      <w:pPr>
        <w:pStyle w:val="3"/>
        <w:rPr>
          <w:rFonts w:ascii="Times New Roman" w:hAnsi="Times New Roman"/>
          <w:color w:val="auto"/>
          <w:highlight w:val="none"/>
          <w:shd w:val="clear" w:color="auto" w:fill="auto"/>
        </w:rPr>
      </w:pPr>
      <w:bookmarkStart w:id="31" w:name="_Toc8522"/>
      <w:r>
        <w:rPr>
          <w:rFonts w:hint="eastAsia" w:ascii="Times New Roman" w:hAnsi="Times New Roman"/>
          <w:color w:val="auto"/>
          <w:highlight w:val="none"/>
          <w:shd w:val="clear" w:color="auto" w:fill="auto"/>
        </w:rPr>
        <w:t>6. 发布公告的媒介</w:t>
      </w:r>
      <w:bookmarkEnd w:id="28"/>
      <w:bookmarkEnd w:id="29"/>
      <w:bookmarkEnd w:id="30"/>
      <w:bookmarkEnd w:id="31"/>
    </w:p>
    <w:p>
      <w:pPr>
        <w:rPr>
          <w:rFonts w:hint="eastAsia" w:ascii="Times New Roman" w:hAnsi="Times New Roman"/>
          <w:color w:val="auto"/>
          <w:highlight w:val="none"/>
          <w:shd w:val="clear" w:color="auto" w:fill="auto"/>
        </w:rPr>
      </w:pPr>
      <w:bookmarkStart w:id="32" w:name="_Toc250565211"/>
      <w:bookmarkStart w:id="33" w:name="_Toc55379224"/>
      <w:bookmarkStart w:id="34" w:name="_Toc469574670"/>
      <w:bookmarkStart w:id="35" w:name="_Toc89675133"/>
      <w:r>
        <w:rPr>
          <w:rFonts w:hint="eastAsia" w:ascii="Times New Roman" w:hAnsi="Times New Roman"/>
          <w:color w:val="auto"/>
          <w:highlight w:val="none"/>
          <w:shd w:val="clear" w:color="auto" w:fill="auto"/>
        </w:rPr>
        <w:t>本次比选公告同时在《重庆市公共资源交易网（www.cqggzy.com）》《重庆三峡银行官网（https://www.ccqtgb.com）》和《中国比选参选公共服务平台（http://www.cebpubservice.com）》上发布。</w:t>
      </w:r>
    </w:p>
    <w:p>
      <w:pPr>
        <w:pStyle w:val="3"/>
        <w:numPr>
          <w:ilvl w:val="0"/>
          <w:numId w:val="1"/>
        </w:numPr>
        <w:ind w:firstLine="0" w:firstLineChars="0"/>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报名方式</w:t>
      </w:r>
    </w:p>
    <w:p>
      <w:pPr>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本项目从比选文件发出之日起至2024年5月11日17时00</w:t>
      </w:r>
      <w:r>
        <w:rPr>
          <w:rFonts w:hint="eastAsia" w:ascii="Times New Roman" w:hAnsi="Times New Roman"/>
          <w:color w:val="auto"/>
          <w:highlight w:val="none"/>
          <w:shd w:val="clear" w:color="auto" w:fill="auto"/>
          <w:lang w:val="en-US" w:eastAsia="zh-CN"/>
        </w:rPr>
        <w:fldChar w:fldCharType="begin"/>
      </w:r>
      <w:r>
        <w:rPr>
          <w:rFonts w:hint="eastAsia" w:ascii="Times New Roman" w:hAnsi="Times New Roman"/>
          <w:color w:val="auto"/>
          <w:highlight w:val="none"/>
          <w:shd w:val="clear" w:color="auto" w:fill="auto"/>
          <w:lang w:val="en-US" w:eastAsia="zh-CN"/>
        </w:rPr>
        <w:instrText xml:space="preserve"> HYPERLINK "mailto:分进行报名，供应商将《报名函》（加盖供应商公章）扫描后发送至邮箱wangming@ccqtgb.com。《报名函》详见比选文件第三章附件一。" </w:instrText>
      </w:r>
      <w:r>
        <w:rPr>
          <w:rFonts w:hint="eastAsia" w:ascii="Times New Roman" w:hAnsi="Times New Roman"/>
          <w:color w:val="auto"/>
          <w:highlight w:val="none"/>
          <w:shd w:val="clear" w:color="auto" w:fill="auto"/>
          <w:lang w:val="en-US" w:eastAsia="zh-CN"/>
        </w:rPr>
        <w:fldChar w:fldCharType="separate"/>
      </w:r>
      <w:r>
        <w:rPr>
          <w:rFonts w:hint="eastAsia" w:ascii="Times New Roman" w:hAnsi="Times New Roman"/>
          <w:color w:val="auto"/>
          <w:highlight w:val="none"/>
          <w:shd w:val="clear" w:color="auto" w:fill="auto"/>
          <w:lang w:val="en-US" w:eastAsia="zh-CN"/>
        </w:rPr>
        <w:t>分进行报名，供应商将《报名函》（加盖供应商公章）扫描后发送至邮箱wangming@ccqtgb.com。《报名函》详见比选文件第三章附件一。</w:t>
      </w:r>
      <w:r>
        <w:rPr>
          <w:rFonts w:hint="eastAsia" w:ascii="Times New Roman" w:hAnsi="Times New Roman"/>
          <w:color w:val="auto"/>
          <w:highlight w:val="none"/>
          <w:shd w:val="clear" w:color="auto" w:fill="auto"/>
          <w:lang w:val="en-US" w:eastAsia="zh-CN"/>
        </w:rPr>
        <w:fldChar w:fldCharType="end"/>
      </w:r>
    </w:p>
    <w:p>
      <w:pPr>
        <w:rPr>
          <w:rFonts w:hint="default"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报名联系人：何焱，联系电话：023-88890279。</w:t>
      </w:r>
    </w:p>
    <w:p>
      <w:pPr>
        <w:pStyle w:val="3"/>
        <w:numPr>
          <w:ilvl w:val="0"/>
          <w:numId w:val="2"/>
        </w:numPr>
        <w:ind w:left="0" w:leftChars="0" w:firstLine="0" w:firstLineChars="0"/>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POC测试及面试安排</w:t>
      </w:r>
    </w:p>
    <w:p>
      <w:pPr>
        <w:rPr>
          <w:rFonts w:hint="eastAsia" w:ascii="Times New Roman" w:hAnsi="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本项目POC测试及面试环节根据项目实际情况安排</w:t>
      </w:r>
      <w:r>
        <w:rPr>
          <w:rFonts w:hint="eastAsia" w:ascii="Times New Roman" w:hAnsi="Times New Roman"/>
          <w:color w:val="auto"/>
          <w:highlight w:val="none"/>
          <w:shd w:val="clear" w:color="auto" w:fill="auto"/>
          <w:lang w:val="en-US" w:eastAsia="zh-CN"/>
        </w:rPr>
        <w:t>，测试方案及面试方案详见比选文件第三章附件二及附件三。</w:t>
      </w:r>
    </w:p>
    <w:p>
      <w:pPr>
        <w:pStyle w:val="3"/>
        <w:numPr>
          <w:ilvl w:val="0"/>
          <w:numId w:val="2"/>
        </w:numPr>
        <w:ind w:left="0" w:leftChars="0" w:firstLine="0" w:firstLineChars="0"/>
        <w:rPr>
          <w:rFonts w:hint="eastAsia" w:ascii="Times New Roman" w:hAnsi="Times New Roman" w:cs="Times New Roman"/>
          <w:color w:val="auto"/>
          <w:highlight w:val="none"/>
          <w:shd w:val="clear" w:color="auto" w:fill="auto"/>
          <w:lang w:val="en-US" w:eastAsia="zh-CN"/>
        </w:rPr>
      </w:pPr>
      <w:bookmarkStart w:id="36" w:name="_Toc2675"/>
      <w:r>
        <w:rPr>
          <w:rFonts w:hint="eastAsia" w:ascii="Times New Roman" w:hAnsi="Times New Roman" w:cs="Times New Roman"/>
          <w:color w:val="auto"/>
          <w:highlight w:val="none"/>
          <w:shd w:val="clear" w:color="auto" w:fill="auto"/>
          <w:lang w:val="en-US" w:eastAsia="zh-CN"/>
        </w:rPr>
        <w:t>联系方式</w:t>
      </w:r>
      <w:bookmarkEnd w:id="32"/>
      <w:bookmarkEnd w:id="33"/>
      <w:bookmarkEnd w:id="34"/>
      <w:bookmarkEnd w:id="35"/>
      <w:bookmarkEnd w:id="36"/>
    </w:p>
    <w:tbl>
      <w:tblPr>
        <w:tblStyle w:val="20"/>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比选人：</w:t>
            </w:r>
            <w:r>
              <w:rPr>
                <w:rFonts w:hint="eastAsia" w:ascii="Times New Roman" w:hAnsi="Times New Roman" w:cs="宋体"/>
                <w:color w:val="auto"/>
                <w:sz w:val="21"/>
                <w:szCs w:val="21"/>
                <w:highlight w:val="none"/>
                <w:shd w:val="clear" w:color="auto" w:fill="auto"/>
              </w:rPr>
              <w:t>重庆三峡银行股份有限公司</w:t>
            </w:r>
          </w:p>
        </w:tc>
        <w:tc>
          <w:tcPr>
            <w:tcW w:w="487"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平台服务机构：</w:t>
            </w:r>
            <w:r>
              <w:rPr>
                <w:rFonts w:hint="eastAsia" w:ascii="Times New Roman" w:hAnsi="Times New Roman" w:cs="宋体"/>
                <w:color w:val="auto"/>
                <w:sz w:val="21"/>
                <w:szCs w:val="21"/>
                <w:highlight w:val="none"/>
                <w:shd w:val="clear" w:color="auto" w:fill="auto"/>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地址：</w:t>
            </w:r>
            <w:r>
              <w:rPr>
                <w:rFonts w:hint="eastAsia" w:ascii="Times New Roman" w:hAnsi="Times New Roman" w:cs="宋体"/>
                <w:color w:val="auto"/>
                <w:sz w:val="21"/>
                <w:szCs w:val="21"/>
                <w:highlight w:val="none"/>
                <w:shd w:val="clear" w:color="auto" w:fill="auto"/>
              </w:rPr>
              <w:t>重庆市渝北区嘉州路88号中渝国际都会4号写字楼21层</w:t>
            </w:r>
          </w:p>
        </w:tc>
        <w:tc>
          <w:tcPr>
            <w:tcW w:w="487"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c>
          <w:tcPr>
            <w:tcW w:w="3968" w:type="dxa"/>
            <w:tcBorders>
              <w:tl2br w:val="nil"/>
              <w:tr2bl w:val="nil"/>
            </w:tcBorders>
          </w:tcPr>
          <w:p>
            <w:pPr>
              <w:spacing w:line="360" w:lineRule="auto"/>
              <w:ind w:firstLine="0" w:firstLineChars="0"/>
              <w:jc w:val="left"/>
              <w:rPr>
                <w:rFonts w:hint="default" w:ascii="Times New Roman" w:hAnsi="Times New Roman" w:eastAsia="宋体" w:cs="宋体"/>
                <w:color w:val="auto"/>
                <w:sz w:val="21"/>
                <w:szCs w:val="21"/>
                <w:highlight w:val="none"/>
                <w:shd w:val="clear" w:color="auto" w:fill="auto"/>
                <w:lang w:val="en-US" w:eastAsia="zh-CN"/>
              </w:rPr>
            </w:pPr>
            <w:r>
              <w:rPr>
                <w:rFonts w:hint="eastAsia" w:ascii="Times New Roman" w:hAnsi="Times New Roman" w:cs="宋体"/>
                <w:b/>
                <w:bCs/>
                <w:color w:val="auto"/>
                <w:sz w:val="21"/>
                <w:szCs w:val="21"/>
                <w:highlight w:val="none"/>
                <w:shd w:val="clear" w:color="auto" w:fill="auto"/>
              </w:rPr>
              <w:t>平台服务联系人：</w:t>
            </w:r>
            <w:r>
              <w:rPr>
                <w:rFonts w:hint="eastAsia" w:ascii="Times New Roman" w:hAnsi="Times New Roman" w:cs="宋体"/>
                <w:b/>
                <w:bCs/>
                <w:color w:val="auto"/>
                <w:sz w:val="21"/>
                <w:szCs w:val="21"/>
                <w:highlight w:val="none"/>
                <w:shd w:val="clear" w:color="auto" w:fill="auto"/>
                <w:lang w:val="en-US" w:eastAsia="zh-CN"/>
              </w:rPr>
              <w:t>杜老师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3968" w:type="dxa"/>
            <w:tcBorders>
              <w:tl2br w:val="nil"/>
              <w:tr2bl w:val="nil"/>
            </w:tcBorders>
          </w:tcPr>
          <w:p>
            <w:pPr>
              <w:spacing w:line="360" w:lineRule="auto"/>
              <w:ind w:firstLine="0" w:firstLineChars="0"/>
              <w:jc w:val="left"/>
              <w:rPr>
                <w:rFonts w:hint="eastAsia" w:ascii="Times New Roman" w:hAnsi="Times New Roman" w:eastAsia="宋体" w:cs="宋体"/>
                <w:color w:val="auto"/>
                <w:sz w:val="21"/>
                <w:szCs w:val="21"/>
                <w:highlight w:val="none"/>
                <w:shd w:val="clear" w:color="auto" w:fill="auto"/>
                <w:lang w:eastAsia="zh-CN"/>
              </w:rPr>
            </w:pPr>
            <w:r>
              <w:rPr>
                <w:rFonts w:hint="eastAsia" w:ascii="Times New Roman" w:hAnsi="Times New Roman" w:cs="宋体"/>
                <w:b/>
                <w:bCs/>
                <w:color w:val="auto"/>
                <w:sz w:val="21"/>
                <w:szCs w:val="21"/>
                <w:highlight w:val="none"/>
                <w:shd w:val="clear" w:color="auto" w:fill="auto"/>
              </w:rPr>
              <w:t>联系人：</w:t>
            </w:r>
            <w:r>
              <w:rPr>
                <w:rFonts w:hint="eastAsia" w:ascii="Times New Roman" w:hAnsi="Times New Roman" w:cs="宋体"/>
                <w:color w:val="auto"/>
                <w:sz w:val="21"/>
                <w:szCs w:val="21"/>
                <w:highlight w:val="none"/>
                <w:shd w:val="clear" w:color="auto" w:fill="auto"/>
              </w:rPr>
              <w:t>敬希、</w:t>
            </w:r>
            <w:r>
              <w:rPr>
                <w:rFonts w:hint="eastAsia" w:ascii="Times New Roman" w:hAnsi="Times New Roman" w:cs="宋体"/>
                <w:color w:val="auto"/>
                <w:sz w:val="21"/>
                <w:szCs w:val="21"/>
                <w:highlight w:val="none"/>
                <w:shd w:val="clear" w:color="auto" w:fill="auto"/>
                <w:lang w:val="en-US" w:eastAsia="zh-CN"/>
              </w:rPr>
              <w:t>何焱</w:t>
            </w:r>
          </w:p>
        </w:tc>
        <w:tc>
          <w:tcPr>
            <w:tcW w:w="487"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c>
          <w:tcPr>
            <w:tcW w:w="3968" w:type="dxa"/>
            <w:tcBorders>
              <w:tl2br w:val="nil"/>
              <w:tr2bl w:val="nil"/>
            </w:tcBorders>
          </w:tcPr>
          <w:p>
            <w:pPr>
              <w:spacing w:line="360" w:lineRule="auto"/>
              <w:ind w:firstLine="0" w:firstLineChars="0"/>
              <w:jc w:val="left"/>
              <w:rPr>
                <w:rFonts w:hint="default" w:ascii="Times New Roman" w:hAnsi="Times New Roman" w:eastAsia="宋体" w:cs="宋体"/>
                <w:color w:val="auto"/>
                <w:sz w:val="21"/>
                <w:szCs w:val="21"/>
                <w:highlight w:val="none"/>
                <w:shd w:val="clear" w:color="auto" w:fill="auto"/>
                <w:lang w:val="en-US" w:eastAsia="zh-CN"/>
              </w:rPr>
            </w:pPr>
            <w:r>
              <w:rPr>
                <w:rFonts w:hint="eastAsia" w:ascii="Times New Roman" w:hAnsi="Times New Roman" w:cs="宋体"/>
                <w:b/>
                <w:bCs/>
                <w:color w:val="auto"/>
                <w:sz w:val="21"/>
                <w:szCs w:val="21"/>
                <w:highlight w:val="none"/>
                <w:shd w:val="clear" w:color="auto" w:fill="auto"/>
              </w:rPr>
              <w:t>平台服务电话：</w:t>
            </w:r>
            <w:r>
              <w:rPr>
                <w:rFonts w:hint="eastAsia" w:ascii="Times New Roman" w:hAnsi="Times New Roman" w:cs="宋体"/>
                <w:b/>
                <w:bCs/>
                <w:color w:val="auto"/>
                <w:sz w:val="21"/>
                <w:szCs w:val="21"/>
                <w:highlight w:val="none"/>
                <w:shd w:val="clear" w:color="auto" w:fill="auto"/>
                <w:lang w:val="en-US" w:eastAsia="zh-CN"/>
              </w:rPr>
              <w:t>023-63621694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采购咨询电话：</w:t>
            </w:r>
            <w:r>
              <w:rPr>
                <w:rFonts w:hint="eastAsia" w:ascii="Times New Roman" w:hAnsi="Times New Roman" w:cs="宋体"/>
                <w:color w:val="auto"/>
                <w:sz w:val="21"/>
                <w:szCs w:val="21"/>
                <w:highlight w:val="none"/>
                <w:shd w:val="clear" w:color="auto" w:fill="auto"/>
              </w:rPr>
              <w:t>023-88890395</w:t>
            </w:r>
          </w:p>
        </w:tc>
        <w:tc>
          <w:tcPr>
            <w:tcW w:w="487"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968" w:type="dxa"/>
            <w:tcBorders>
              <w:tl2br w:val="nil"/>
              <w:tr2bl w:val="nil"/>
            </w:tcBorders>
          </w:tcPr>
          <w:p>
            <w:pPr>
              <w:spacing w:line="360" w:lineRule="auto"/>
              <w:ind w:firstLine="0" w:firstLineChars="0"/>
              <w:jc w:val="left"/>
              <w:rPr>
                <w:rFonts w:ascii="Times New Roman" w:hAnsi="Times New Roman" w:eastAsia="宋体" w:cs="宋体"/>
                <w:color w:val="auto"/>
                <w:sz w:val="21"/>
                <w:szCs w:val="21"/>
                <w:highlight w:val="none"/>
                <w:shd w:val="clear" w:color="auto" w:fill="auto"/>
                <w:lang w:val="en-US" w:eastAsia="zh-CN"/>
              </w:rPr>
            </w:pPr>
            <w:r>
              <w:rPr>
                <w:rFonts w:hint="eastAsia" w:ascii="Times New Roman" w:hAnsi="Times New Roman" w:cs="宋体"/>
                <w:b/>
                <w:bCs/>
                <w:color w:val="auto"/>
                <w:sz w:val="21"/>
                <w:szCs w:val="21"/>
                <w:highlight w:val="none"/>
                <w:shd w:val="clear" w:color="auto" w:fill="auto"/>
              </w:rPr>
              <w:t>业务咨询电话：</w:t>
            </w:r>
            <w:r>
              <w:rPr>
                <w:rFonts w:hint="eastAsia" w:ascii="Times New Roman" w:hAnsi="Times New Roman" w:cs="宋体"/>
                <w:color w:val="auto"/>
                <w:sz w:val="21"/>
                <w:szCs w:val="21"/>
                <w:highlight w:val="none"/>
                <w:shd w:val="clear" w:color="auto" w:fill="auto"/>
                <w:lang w:val="en-US" w:eastAsia="zh-CN"/>
              </w:rPr>
              <w:t>023-88890279</w:t>
            </w:r>
          </w:p>
        </w:tc>
        <w:tc>
          <w:tcPr>
            <w:tcW w:w="487"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邮箱：</w:t>
            </w:r>
            <w:r>
              <w:rPr>
                <w:rFonts w:hint="eastAsia" w:ascii="Times New Roman" w:hAnsi="Times New Roman" w:cs="宋体"/>
                <w:snapToGrid w:val="0"/>
                <w:color w:val="auto"/>
                <w:kern w:val="0"/>
                <w:sz w:val="21"/>
                <w:szCs w:val="21"/>
                <w:highlight w:val="none"/>
                <w:shd w:val="clear" w:color="auto" w:fill="auto"/>
              </w:rPr>
              <w:fldChar w:fldCharType="begin"/>
            </w:r>
            <w:r>
              <w:instrText xml:space="preserve">HYPERLINK "mailto:sx.jcb@ccqtgb.com"</w:instrText>
            </w:r>
            <w:r>
              <w:rPr>
                <w:rFonts w:hint="eastAsia" w:ascii="Times New Roman" w:hAnsi="Times New Roman" w:cs="宋体"/>
                <w:snapToGrid w:val="0"/>
                <w:color w:val="auto"/>
                <w:kern w:val="0"/>
                <w:sz w:val="21"/>
                <w:szCs w:val="21"/>
                <w:highlight w:val="none"/>
                <w:shd w:val="clear" w:color="auto" w:fill="auto"/>
              </w:rPr>
              <w:fldChar w:fldCharType="separate"/>
            </w:r>
            <w:r>
              <w:rPr>
                <w:rFonts w:hint="eastAsia" w:ascii="Times New Roman" w:hAnsi="Times New Roman" w:cs="宋体"/>
                <w:snapToGrid w:val="0"/>
                <w:color w:val="auto"/>
                <w:kern w:val="0"/>
                <w:sz w:val="21"/>
                <w:szCs w:val="21"/>
                <w:highlight w:val="none"/>
                <w:shd w:val="clear" w:color="auto" w:fill="auto"/>
              </w:rPr>
              <w:t>sx.jcb@ccqtgb.com</w:t>
            </w:r>
            <w:r>
              <w:rPr>
                <w:rFonts w:hint="eastAsia" w:ascii="Times New Roman" w:hAnsi="Times New Roman" w:cs="宋体"/>
                <w:snapToGrid w:val="0"/>
                <w:color w:val="auto"/>
                <w:kern w:val="0"/>
                <w:sz w:val="21"/>
                <w:szCs w:val="21"/>
                <w:highlight w:val="none"/>
                <w:shd w:val="clear" w:color="auto" w:fill="auto"/>
              </w:rPr>
              <w:fldChar w:fldCharType="end"/>
            </w:r>
          </w:p>
        </w:tc>
        <w:tc>
          <w:tcPr>
            <w:tcW w:w="487"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c>
          <w:tcPr>
            <w:tcW w:w="3968" w:type="dxa"/>
            <w:tcBorders>
              <w:tl2br w:val="nil"/>
              <w:tr2bl w:val="nil"/>
            </w:tcBorders>
          </w:tcPr>
          <w:p>
            <w:pPr>
              <w:spacing w:line="360" w:lineRule="auto"/>
              <w:ind w:firstLine="0" w:firstLineChars="0"/>
              <w:jc w:val="left"/>
              <w:rPr>
                <w:rFonts w:ascii="Times New Roman" w:hAnsi="Times New Roman" w:cs="宋体"/>
                <w:color w:val="auto"/>
                <w:sz w:val="21"/>
                <w:szCs w:val="21"/>
                <w:highlight w:val="none"/>
                <w:shd w:val="clear" w:color="auto" w:fill="auto"/>
              </w:rPr>
            </w:pPr>
          </w:p>
        </w:tc>
      </w:tr>
    </w:tbl>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p>
      <w:pPr>
        <w:spacing w:line="240" w:lineRule="auto"/>
        <w:ind w:firstLine="0" w:firstLineChars="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重庆三峡银行股份有限公司</w:t>
      </w:r>
    </w:p>
    <w:p>
      <w:pPr>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202</w:t>
      </w:r>
      <w:r>
        <w:rPr>
          <w:rFonts w:hint="eastAsia" w:ascii="Times New Roman" w:hAnsi="Times New Roman"/>
          <w:color w:val="auto"/>
          <w:highlight w:val="none"/>
          <w:shd w:val="clear" w:color="auto" w:fill="auto"/>
          <w:lang w:val="en-US" w:eastAsia="zh-CN"/>
        </w:rPr>
        <w:t>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val="en-US" w:eastAsia="zh-CN"/>
        </w:rPr>
        <w:t>4</w:t>
      </w:r>
      <w:r>
        <w:rPr>
          <w:rFonts w:hint="eastAsia" w:ascii="Times New Roman" w:hAnsi="Times New Roman"/>
          <w:color w:val="auto"/>
          <w:highlight w:val="none"/>
          <w:shd w:val="clear" w:color="auto" w:fill="auto"/>
        </w:rPr>
        <w:t>月</w:t>
      </w:r>
      <w:r>
        <w:rPr>
          <w:rFonts w:hint="eastAsia" w:ascii="Times New Roman" w:hAnsi="Times New Roman"/>
          <w:color w:val="auto"/>
          <w:highlight w:val="none"/>
          <w:shd w:val="clear" w:color="auto" w:fill="auto"/>
          <w:lang w:val="en-US" w:eastAsia="zh-CN"/>
        </w:rPr>
        <w:t>30</w:t>
      </w:r>
      <w:r>
        <w:rPr>
          <w:rFonts w:hint="eastAsia" w:ascii="Times New Roman" w:hAnsi="Times New Roman"/>
          <w:color w:val="auto"/>
          <w:highlight w:val="none"/>
          <w:shd w:val="clear" w:color="auto" w:fill="auto"/>
        </w:rPr>
        <w:t>日</w:t>
      </w:r>
    </w:p>
    <w:p>
      <w:pPr>
        <w:rPr>
          <w:rFonts w:hint="eastAsia" w:ascii="Times New Roman" w:hAnsi="Times New Roman"/>
          <w:color w:val="auto"/>
          <w:highlight w:val="none"/>
          <w:shd w:val="clear" w:color="auto" w:fill="auto"/>
        </w:rPr>
      </w:pPr>
      <w:bookmarkStart w:id="37" w:name="_Toc89675159"/>
      <w:bookmarkStart w:id="38" w:name="_Toc303066033"/>
      <w:r>
        <w:rPr>
          <w:rFonts w:hint="eastAsia" w:ascii="Times New Roman" w:hAnsi="Times New Roman"/>
          <w:color w:val="auto"/>
          <w:highlight w:val="none"/>
          <w:shd w:val="clear" w:color="auto" w:fill="auto"/>
        </w:rPr>
        <w:br w:type="page"/>
      </w:r>
    </w:p>
    <w:p>
      <w:pPr>
        <w:pStyle w:val="2"/>
        <w:rPr>
          <w:rFonts w:ascii="Times New Roman" w:hAnsi="Times New Roman"/>
          <w:color w:val="auto"/>
          <w:highlight w:val="none"/>
          <w:shd w:val="clear" w:color="auto" w:fill="auto"/>
        </w:rPr>
      </w:pPr>
      <w:bookmarkStart w:id="39" w:name="_Toc14409"/>
      <w:bookmarkStart w:id="40" w:name="_Toc13742"/>
      <w:r>
        <w:rPr>
          <w:rFonts w:hint="eastAsia" w:ascii="Times New Roman" w:hAnsi="Times New Roman"/>
          <w:color w:val="auto"/>
          <w:highlight w:val="none"/>
          <w:shd w:val="clear" w:color="auto" w:fill="auto"/>
        </w:rPr>
        <w:t>第二章 参选人须知</w:t>
      </w:r>
      <w:bookmarkEnd w:id="37"/>
      <w:bookmarkEnd w:id="38"/>
      <w:bookmarkEnd w:id="39"/>
      <w:bookmarkEnd w:id="40"/>
    </w:p>
    <w:p>
      <w:pPr>
        <w:pStyle w:val="3"/>
        <w:rPr>
          <w:rFonts w:ascii="Times New Roman" w:hAnsi="Times New Roman"/>
          <w:color w:val="auto"/>
          <w:highlight w:val="none"/>
          <w:shd w:val="clear" w:color="auto" w:fill="auto"/>
        </w:rPr>
      </w:pPr>
      <w:bookmarkStart w:id="41" w:name="_Toc9800"/>
      <w:bookmarkStart w:id="42" w:name="_Toc89675160"/>
      <w:r>
        <w:rPr>
          <w:rFonts w:hint="eastAsia" w:ascii="Times New Roman" w:hAnsi="Times New Roman"/>
          <w:color w:val="auto"/>
          <w:highlight w:val="none"/>
          <w:shd w:val="clear" w:color="auto" w:fill="auto"/>
        </w:rPr>
        <w:t>1. 项目信息</w:t>
      </w:r>
      <w:bookmarkEnd w:id="41"/>
    </w:p>
    <w:p>
      <w:pPr>
        <w:pStyle w:val="4"/>
        <w:rPr>
          <w:rFonts w:ascii="Times New Roman" w:hAnsi="Times New Roman"/>
          <w:color w:val="auto"/>
          <w:highlight w:val="none"/>
          <w:shd w:val="clear" w:color="auto" w:fill="auto"/>
        </w:rPr>
      </w:pPr>
      <w:bookmarkStart w:id="43" w:name="_Toc19018"/>
      <w:r>
        <w:rPr>
          <w:rFonts w:hint="eastAsia" w:ascii="Times New Roman" w:hAnsi="Times New Roman"/>
          <w:color w:val="auto"/>
          <w:highlight w:val="none"/>
          <w:shd w:val="clear" w:color="auto" w:fill="auto"/>
        </w:rPr>
        <w:t>1.1 比选人</w:t>
      </w:r>
      <w:bookmarkEnd w:id="43"/>
    </w:p>
    <w:p>
      <w:pPr>
        <w:rPr>
          <w:rFonts w:ascii="Times New Roman" w:hAnsi="Times New Roman"/>
          <w:color w:val="auto"/>
          <w:highlight w:val="none"/>
          <w:shd w:val="clear" w:color="auto" w:fill="auto"/>
        </w:rPr>
      </w:pPr>
      <w:r>
        <w:rPr>
          <w:rFonts w:ascii="Times New Roman" w:hAnsi="Times New Roman"/>
          <w:color w:val="auto"/>
          <w:highlight w:val="none"/>
          <w:shd w:val="clear" w:color="auto" w:fill="auto"/>
        </w:rPr>
        <w:t>重庆三峡银行股份有限公司</w:t>
      </w:r>
      <w:r>
        <w:rPr>
          <w:rFonts w:hint="eastAsia" w:ascii="Times New Roman" w:hAnsi="Times New Roman"/>
          <w:color w:val="auto"/>
          <w:highlight w:val="none"/>
          <w:shd w:val="clear" w:color="auto" w:fill="auto"/>
        </w:rPr>
        <w:t>。</w:t>
      </w:r>
    </w:p>
    <w:p>
      <w:pPr>
        <w:pStyle w:val="4"/>
        <w:rPr>
          <w:rFonts w:ascii="Times New Roman" w:hAnsi="Times New Roman"/>
          <w:color w:val="auto"/>
          <w:highlight w:val="none"/>
          <w:shd w:val="clear" w:color="auto" w:fill="auto"/>
        </w:rPr>
      </w:pPr>
      <w:bookmarkStart w:id="44" w:name="_Toc22218"/>
      <w:r>
        <w:rPr>
          <w:rFonts w:hint="eastAsia" w:ascii="Times New Roman" w:hAnsi="Times New Roman"/>
          <w:color w:val="auto"/>
          <w:highlight w:val="none"/>
          <w:shd w:val="clear" w:color="auto" w:fill="auto"/>
        </w:rPr>
        <w:t>1.2 最高限价</w:t>
      </w:r>
      <w:bookmarkEnd w:id="4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本项目最高限价为：</w:t>
      </w:r>
      <w:r>
        <w:rPr>
          <w:rFonts w:hint="eastAsia" w:ascii="Times New Roman" w:hAnsi="Times New Roman"/>
          <w:color w:val="auto"/>
          <w:highlight w:val="none"/>
          <w:u w:val="single"/>
          <w:shd w:val="clear" w:color="auto" w:fill="auto"/>
          <w:lang w:val="en-US" w:eastAsia="zh-CN"/>
        </w:rPr>
        <w:t>450万元</w:t>
      </w:r>
      <w:r>
        <w:rPr>
          <w:rFonts w:hint="eastAsia" w:ascii="Times New Roman" w:hAnsi="Times New Roman"/>
          <w:color w:val="auto"/>
          <w:highlight w:val="none"/>
          <w:shd w:val="clear" w:color="auto" w:fill="auto"/>
        </w:rPr>
        <w:t>（人民币大写：</w:t>
      </w:r>
      <w:r>
        <w:rPr>
          <w:rFonts w:hint="eastAsia" w:ascii="Times New Roman" w:hAnsi="Times New Roman"/>
          <w:color w:val="auto"/>
          <w:highlight w:val="none"/>
          <w:u w:val="single"/>
          <w:shd w:val="clear" w:color="auto" w:fill="auto"/>
          <w:lang w:val="en-US" w:eastAsia="zh-CN"/>
        </w:rPr>
        <w:t>肆佰伍拾万元整</w:t>
      </w:r>
      <w:r>
        <w:rPr>
          <w:rFonts w:hint="eastAsia" w:ascii="Times New Roman" w:hAnsi="Times New Roman"/>
          <w:color w:val="auto"/>
          <w:highlight w:val="none"/>
          <w:shd w:val="clear" w:color="auto" w:fill="auto"/>
        </w:rPr>
        <w:t>）。</w:t>
      </w:r>
    </w:p>
    <w:p>
      <w:pPr>
        <w:pStyle w:val="4"/>
        <w:rPr>
          <w:rFonts w:ascii="Times New Roman" w:hAnsi="Times New Roman"/>
          <w:color w:val="auto"/>
          <w:highlight w:val="none"/>
          <w:shd w:val="clear" w:color="auto" w:fill="auto"/>
        </w:rPr>
      </w:pPr>
      <w:bookmarkStart w:id="45" w:name="_Toc31203"/>
      <w:r>
        <w:rPr>
          <w:rFonts w:hint="eastAsia" w:ascii="Times New Roman" w:hAnsi="Times New Roman"/>
          <w:color w:val="auto"/>
          <w:highlight w:val="none"/>
          <w:shd w:val="clear" w:color="auto" w:fill="auto"/>
        </w:rPr>
        <w:t>1.3 项目概况</w:t>
      </w:r>
      <w:bookmarkEnd w:id="45"/>
    </w:p>
    <w:bookmarkEnd w:id="42"/>
    <w:p>
      <w:pPr>
        <w:pStyle w:val="14"/>
        <w:keepNext w:val="0"/>
        <w:keepLines w:val="0"/>
        <w:pageBreakBefore w:val="0"/>
        <w:widowControl w:val="0"/>
        <w:tabs>
          <w:tab w:val="center" w:pos="4201"/>
          <w:tab w:val="right" w:leader="dot" w:pos="9298"/>
        </w:tabs>
        <w:kinsoku/>
        <w:wordWrap/>
        <w:overflowPunct/>
        <w:topLinePunct w:val="0"/>
        <w:autoSpaceDE/>
        <w:autoSpaceDN/>
        <w:bidi w:val="0"/>
        <w:adjustRightInd/>
        <w:snapToGrid/>
        <w:spacing w:line="600" w:lineRule="exact"/>
        <w:textAlignment w:val="auto"/>
        <w:rPr>
          <w:rFonts w:ascii="Times New Roman" w:hAnsi="Times New Roman" w:cs="Cambria"/>
          <w:snapToGrid w:val="0"/>
          <w:color w:val="auto"/>
          <w:kern w:val="0"/>
          <w:sz w:val="24"/>
          <w:szCs w:val="24"/>
          <w:highlight w:val="none"/>
          <w:shd w:val="clear" w:color="auto" w:fill="auto"/>
          <w:lang w:val="en-US" w:eastAsia="zh-CN" w:bidi="ar-SA"/>
        </w:rPr>
      </w:pPr>
      <w:bookmarkStart w:id="46" w:name="_Toc89675161"/>
      <w:r>
        <w:rPr>
          <w:rFonts w:hint="eastAsia" w:ascii="Times New Roman" w:hAnsi="Times New Roman" w:cs="Cambria"/>
          <w:snapToGrid w:val="0"/>
          <w:color w:val="auto"/>
          <w:kern w:val="0"/>
          <w:sz w:val="24"/>
          <w:szCs w:val="24"/>
          <w:highlight w:val="none"/>
          <w:shd w:val="clear" w:color="auto" w:fill="auto"/>
          <w:lang w:val="en-US" w:eastAsia="zh-CN" w:bidi="ar-SA"/>
        </w:rPr>
        <w:t>本项目建设范围包括手机银行APP、微信小程序、微信公众号、渠道业务中台。其中手机银行APP包括</w:t>
      </w:r>
      <w:r>
        <w:rPr>
          <w:rFonts w:hint="eastAsia" w:ascii="Times New Roman" w:hAnsi="Times New Roman" w:eastAsia="宋体" w:cs="Cambria"/>
          <w:snapToGrid w:val="0"/>
          <w:color w:val="auto"/>
          <w:kern w:val="0"/>
          <w:sz w:val="24"/>
          <w:szCs w:val="24"/>
          <w:highlight w:val="none"/>
          <w:shd w:val="clear" w:color="auto" w:fill="auto"/>
          <w:lang w:val="en-US" w:eastAsia="zh-CN" w:bidi="ar-SA"/>
        </w:rPr>
        <w:t>安卓、苹果、鸿蒙</w:t>
      </w:r>
      <w:r>
        <w:rPr>
          <w:rFonts w:hint="eastAsia" w:ascii="Times New Roman" w:hAnsi="Times New Roman" w:cs="Cambria"/>
          <w:snapToGrid w:val="0"/>
          <w:color w:val="auto"/>
          <w:kern w:val="0"/>
          <w:sz w:val="24"/>
          <w:szCs w:val="24"/>
          <w:highlight w:val="none"/>
          <w:shd w:val="clear" w:color="auto" w:fill="auto"/>
          <w:lang w:val="en-US" w:eastAsia="zh-CN" w:bidi="ar-SA"/>
        </w:rPr>
        <w:t>三个客户端，每个客户端包括标准版、老年版两个版本；微信小程序以建立本行小程序门户为主，整合本行现有小程序入口，统一授权登录；微信公众号以3*5菜单功能为主；渠道业务中台通过整合公共服务能力，将各渠道前端使用的业务逻辑整合在渠道业务中台内部，各渠道前端共用一套逻辑，后期支持AI、营销平台等系统及能力的快速接入。</w:t>
      </w:r>
    </w:p>
    <w:p>
      <w:pPr>
        <w:pStyle w:val="4"/>
        <w:rPr>
          <w:rFonts w:ascii="Times New Roman" w:hAnsi="Times New Roman"/>
          <w:color w:val="auto"/>
          <w:highlight w:val="none"/>
          <w:shd w:val="clear" w:color="auto" w:fill="auto"/>
        </w:rPr>
      </w:pPr>
      <w:bookmarkStart w:id="47" w:name="_Toc24629"/>
      <w:r>
        <w:rPr>
          <w:rFonts w:hint="eastAsia" w:ascii="Times New Roman" w:hAnsi="Times New Roman"/>
          <w:color w:val="auto"/>
          <w:highlight w:val="none"/>
          <w:shd w:val="clear" w:color="auto" w:fill="auto"/>
        </w:rPr>
        <w:t>1.4 项目目标</w:t>
      </w:r>
      <w:bookmarkEnd w:id="47"/>
    </w:p>
    <w:p>
      <w:pPr>
        <w:topLinePunct/>
        <w:autoSpaceDE w:val="0"/>
        <w:autoSpaceDN w:val="0"/>
        <w:snapToGrid w:val="0"/>
        <w:spacing w:line="600" w:lineRule="exact"/>
        <w:ind w:firstLine="480" w:firstLineChars="200"/>
        <w:rPr>
          <w:rFonts w:ascii="Times New Roman" w:hAnsi="Times New Roman" w:cs="Times New Roman"/>
          <w:snapToGrid w:val="0"/>
          <w:color w:val="auto"/>
          <w:kern w:val="0"/>
          <w:sz w:val="24"/>
          <w:szCs w:val="24"/>
          <w:highlight w:val="none"/>
          <w:shd w:val="clear" w:color="auto" w:fill="auto"/>
          <w:lang w:val="en-US" w:eastAsia="zh-CN"/>
        </w:rPr>
      </w:pPr>
      <w:r>
        <w:rPr>
          <w:rFonts w:hint="eastAsia" w:ascii="Times New Roman" w:hAnsi="Times New Roman" w:cs="Times New Roman"/>
          <w:snapToGrid w:val="0"/>
          <w:color w:val="auto"/>
          <w:kern w:val="0"/>
          <w:sz w:val="24"/>
          <w:szCs w:val="24"/>
          <w:highlight w:val="none"/>
          <w:shd w:val="clear" w:color="auto" w:fill="auto"/>
          <w:lang w:val="en-US" w:eastAsia="zh-CN"/>
        </w:rPr>
        <w:t>本行以持续深化大零售转型，做深做实线上金融服务，全面提升服务质效为总体目标。本项目的建成，对本行未来做优支付结算、消费贷款、财富管理等业务将起到赋能支撑作用，有助于扩大基础客群和价值客群，探索新的业务经营模式和盈利增长点。项目将全面满足信创要求。</w:t>
      </w:r>
    </w:p>
    <w:p>
      <w:pPr>
        <w:pStyle w:val="3"/>
        <w:rPr>
          <w:rFonts w:ascii="Times New Roman" w:hAnsi="Times New Roman"/>
          <w:color w:val="auto"/>
          <w:highlight w:val="none"/>
          <w:shd w:val="clear" w:color="auto" w:fill="auto"/>
        </w:rPr>
      </w:pPr>
      <w:bookmarkStart w:id="48" w:name="_Toc536"/>
      <w:r>
        <w:rPr>
          <w:rFonts w:hint="eastAsia" w:ascii="Times New Roman" w:hAnsi="Times New Roman"/>
          <w:color w:val="auto"/>
          <w:highlight w:val="none"/>
          <w:shd w:val="clear" w:color="auto" w:fill="auto"/>
        </w:rPr>
        <w:t xml:space="preserve">2. </w:t>
      </w:r>
      <w:r>
        <w:rPr>
          <w:rFonts w:ascii="Times New Roman" w:hAnsi="Times New Roman"/>
          <w:color w:val="auto"/>
          <w:highlight w:val="none"/>
          <w:shd w:val="clear" w:color="auto" w:fill="auto"/>
        </w:rPr>
        <w:t>参选</w:t>
      </w:r>
      <w:r>
        <w:rPr>
          <w:rFonts w:hint="eastAsia" w:ascii="Times New Roman" w:hAnsi="Times New Roman"/>
          <w:color w:val="auto"/>
          <w:highlight w:val="none"/>
          <w:shd w:val="clear" w:color="auto" w:fill="auto"/>
        </w:rPr>
        <w:t>人</w:t>
      </w:r>
      <w:bookmarkEnd w:id="46"/>
      <w:bookmarkEnd w:id="48"/>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 合格参选人条件</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合格参选人应完全符合比选文件第一章中规定的参选人资格条件，并对比选文件作出实质性响应。</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 参选人的风险</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参选人没有按照比选文件要求提供全部资料，或者参选人没有对比选文件在各方面作出实质性响应，可能导致参选被拒绝或评定为无效参选。</w:t>
      </w:r>
    </w:p>
    <w:p>
      <w:pPr>
        <w:pStyle w:val="3"/>
        <w:rPr>
          <w:rFonts w:ascii="Times New Roman" w:hAnsi="Times New Roman"/>
          <w:color w:val="auto"/>
          <w:highlight w:val="none"/>
          <w:shd w:val="clear" w:color="auto" w:fill="auto"/>
        </w:rPr>
      </w:pPr>
      <w:bookmarkStart w:id="49" w:name="_Toc89675162"/>
      <w:bookmarkStart w:id="50" w:name="_Toc4823"/>
      <w:r>
        <w:rPr>
          <w:rFonts w:hint="eastAsia" w:ascii="Times New Roman" w:hAnsi="Times New Roman"/>
          <w:color w:val="auto"/>
          <w:highlight w:val="none"/>
          <w:shd w:val="clear" w:color="auto" w:fill="auto"/>
        </w:rPr>
        <w:t>3. 比选文件</w:t>
      </w:r>
      <w:bookmarkEnd w:id="49"/>
      <w:bookmarkEnd w:id="50"/>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比选文件是参选人编制参选文件的依据，是评审委员会评判依据和标准。比选文件也是比选人与中选人签订合同的基础。</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本行对比选文件所作的一切有效的书面通知、修改及补充，都是比选文件不可分割的部分。</w:t>
      </w:r>
    </w:p>
    <w:p>
      <w:pPr>
        <w:pStyle w:val="3"/>
        <w:rPr>
          <w:rFonts w:ascii="Times New Roman" w:hAnsi="Times New Roman"/>
          <w:color w:val="auto"/>
          <w:highlight w:val="none"/>
          <w:shd w:val="clear" w:color="auto" w:fill="auto"/>
        </w:rPr>
      </w:pPr>
      <w:bookmarkStart w:id="51" w:name="_Toc89675163"/>
      <w:bookmarkStart w:id="52" w:name="_Toc24214"/>
      <w:r>
        <w:rPr>
          <w:rFonts w:hint="eastAsia" w:ascii="Times New Roman" w:hAnsi="Times New Roman"/>
          <w:color w:val="auto"/>
          <w:highlight w:val="none"/>
          <w:shd w:val="clear" w:color="auto" w:fill="auto"/>
        </w:rPr>
        <w:t xml:space="preserve">4. </w:t>
      </w:r>
      <w:r>
        <w:rPr>
          <w:rFonts w:ascii="Times New Roman" w:hAnsi="Times New Roman"/>
          <w:color w:val="auto"/>
          <w:highlight w:val="none"/>
          <w:shd w:val="clear" w:color="auto" w:fill="auto"/>
        </w:rPr>
        <w:t>参选</w:t>
      </w:r>
      <w:bookmarkEnd w:id="51"/>
      <w:bookmarkEnd w:id="52"/>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参选人应当按照比选文件的要求编制参选文件，并对比选文件提出的要求和条件作出实质性响应。</w:t>
      </w:r>
    </w:p>
    <w:p>
      <w:pPr>
        <w:pStyle w:val="4"/>
        <w:rPr>
          <w:rFonts w:ascii="Times New Roman" w:hAnsi="Times New Roman"/>
          <w:color w:val="auto"/>
          <w:highlight w:val="none"/>
          <w:shd w:val="clear" w:color="auto" w:fill="auto"/>
        </w:rPr>
      </w:pPr>
      <w:bookmarkStart w:id="53" w:name="_Toc7637"/>
      <w:r>
        <w:rPr>
          <w:rFonts w:hint="eastAsia" w:ascii="Times New Roman" w:hAnsi="Times New Roman"/>
          <w:color w:val="auto"/>
          <w:highlight w:val="none"/>
          <w:shd w:val="clear" w:color="auto" w:fill="auto"/>
        </w:rPr>
        <w:t>4.1 参选文件组成</w:t>
      </w:r>
      <w:bookmarkEnd w:id="53"/>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参选文件由参选人所作的一切有效补充、修改和承诺等文件组成，参选人应按照第六章“参选文件格式”规定的目录顺序组织编写和装订，否则有可能影响参选人的参选文件评审。</w:t>
      </w:r>
    </w:p>
    <w:p>
      <w:pPr>
        <w:pStyle w:val="4"/>
        <w:rPr>
          <w:rFonts w:ascii="Times New Roman" w:hAnsi="Times New Roman"/>
          <w:color w:val="auto"/>
          <w:highlight w:val="none"/>
          <w:shd w:val="clear" w:color="auto" w:fill="auto"/>
        </w:rPr>
      </w:pPr>
      <w:bookmarkStart w:id="54" w:name="_Toc25431"/>
      <w:r>
        <w:rPr>
          <w:rFonts w:hint="eastAsia" w:ascii="Times New Roman" w:hAnsi="Times New Roman"/>
          <w:color w:val="auto"/>
          <w:highlight w:val="none"/>
          <w:shd w:val="clear" w:color="auto" w:fill="auto"/>
        </w:rPr>
        <w:t>4.2 联合参选</w:t>
      </w:r>
      <w:bookmarkEnd w:id="5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本比选项目不接受联合参选</w:t>
      </w:r>
    </w:p>
    <w:p>
      <w:pPr>
        <w:pStyle w:val="4"/>
        <w:rPr>
          <w:rFonts w:ascii="Times New Roman" w:hAnsi="Times New Roman"/>
          <w:color w:val="auto"/>
          <w:highlight w:val="none"/>
          <w:shd w:val="clear" w:color="auto" w:fill="auto"/>
        </w:rPr>
      </w:pPr>
      <w:bookmarkStart w:id="55" w:name="_Toc2306"/>
      <w:r>
        <w:rPr>
          <w:rFonts w:hint="eastAsia" w:ascii="Times New Roman" w:hAnsi="Times New Roman"/>
          <w:color w:val="auto"/>
          <w:highlight w:val="none"/>
          <w:shd w:val="clear" w:color="auto" w:fill="auto"/>
        </w:rPr>
        <w:t>4.3 参选有效期</w:t>
      </w:r>
      <w:bookmarkEnd w:id="55"/>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参选有效期为参选截止日期后90天内。</w:t>
      </w:r>
    </w:p>
    <w:p>
      <w:pPr>
        <w:pStyle w:val="4"/>
        <w:rPr>
          <w:rFonts w:ascii="Times New Roman" w:hAnsi="Times New Roman"/>
          <w:color w:val="auto"/>
          <w:highlight w:val="none"/>
          <w:shd w:val="clear" w:color="auto" w:fill="auto"/>
        </w:rPr>
      </w:pPr>
      <w:bookmarkStart w:id="56" w:name="_Toc30106"/>
      <w:r>
        <w:rPr>
          <w:rFonts w:hint="eastAsia" w:ascii="Times New Roman" w:hAnsi="Times New Roman"/>
          <w:color w:val="auto"/>
          <w:highlight w:val="none"/>
          <w:shd w:val="clear" w:color="auto" w:fill="auto"/>
        </w:rPr>
        <w:t>4.4 参选保证金</w:t>
      </w:r>
      <w:bookmarkEnd w:id="56"/>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4.4.1 参选人应在参选截止时间前，按比选文件第一章规定向比选人缴纳参选保证金。</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4.4.2 参选保证金为参选的有效约束条件。</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4.4.3 参选保证金有效期与参选文件有效期一致。</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4.4.4 参选保证金币种应与参选报价币种相同。</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4.4.5 参选保证金的退还：</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参选保证金专用账户由重庆市公共资源交易中心制定，关于保证金相关情况的问题请咨询重庆市公共资源交易中心，联系电话023-63621694。</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 参选人有下列情形之一的，参选保证金将不予退还：</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4.4.6.1 参选人在参选有效期内撤销参选文件的；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4.4.6.2 参选人在参选过程中弄虚作假，提供虚假材料的；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4.4.6.3 中选人无正当理由不与比选人签订合同的；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4.4.6.4 中选人将中选项目转让给他人或者在参选文件中未说明且未经比选单位同意，将中选项目分包给他人的；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4.4.6.5 中选人拒绝履行合同义务的；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4.4.6.6 其他严重扰乱比选程序的；</w:t>
      </w:r>
    </w:p>
    <w:p>
      <w:pPr>
        <w:pStyle w:val="4"/>
        <w:rPr>
          <w:rFonts w:ascii="Times New Roman" w:hAnsi="Times New Roman"/>
          <w:color w:val="auto"/>
          <w:highlight w:val="none"/>
          <w:shd w:val="clear" w:color="auto" w:fill="auto"/>
        </w:rPr>
      </w:pPr>
      <w:bookmarkStart w:id="57" w:name="_Toc5750"/>
      <w:r>
        <w:rPr>
          <w:rFonts w:hint="eastAsia" w:ascii="Times New Roman" w:hAnsi="Times New Roman"/>
          <w:color w:val="auto"/>
          <w:highlight w:val="none"/>
          <w:shd w:val="clear" w:color="auto" w:fill="auto"/>
        </w:rPr>
        <w:t>4.5 参选文件的份数和签署</w:t>
      </w:r>
      <w:bookmarkEnd w:id="57"/>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4.5.1 参选文件一式三份，其中正本一份，副本一份，电子文件一份（U盘），正本和副本的封面上应清楚地标记“正本”或“副本”的字样，副本可为正本的复印件，当副本和正本不一致时，以纸质正本为准。电子文件单独装入信封中密封，并在信封表面加盖鲜章（公章）。</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4.5.2 参选文件正本中，每一页均应由参选人加盖公章，其中规定格式的文件应当按要求签名和加盖参选人公章。</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4.5.3 若参选人对参选文件的错处作必要修改，则应在修改处加盖参选人公章或由法人或法人授权代表签字确认。</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4.5.4 电报、电话、邮寄、传真形式的参选文件概不接受。</w:t>
      </w:r>
    </w:p>
    <w:p>
      <w:pPr>
        <w:pStyle w:val="4"/>
        <w:rPr>
          <w:rFonts w:ascii="Times New Roman" w:hAnsi="Times New Roman"/>
          <w:color w:val="auto"/>
          <w:highlight w:val="none"/>
          <w:shd w:val="clear" w:color="auto" w:fill="auto"/>
        </w:rPr>
      </w:pPr>
      <w:bookmarkStart w:id="58" w:name="_Toc16804"/>
      <w:r>
        <w:rPr>
          <w:rFonts w:hint="eastAsia" w:ascii="Times New Roman" w:hAnsi="Times New Roman"/>
          <w:color w:val="auto"/>
          <w:highlight w:val="none"/>
          <w:shd w:val="clear" w:color="auto" w:fill="auto"/>
        </w:rPr>
        <w:t>4.6 参选文件的密封与标记</w:t>
      </w:r>
      <w:bookmarkEnd w:id="58"/>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参选文件的正本、副本、电子文件装入一个文件大袋进行密封。密封袋上注明项目名称、参选人名称及“不准提前启封”字样。信封的封口须加盖参选人公章或授权代表签字。</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如果未按上述规定进行密封和标记，则其参选将作为无效参选处理。</w:t>
      </w:r>
    </w:p>
    <w:p>
      <w:pPr>
        <w:pStyle w:val="4"/>
        <w:rPr>
          <w:rFonts w:ascii="Times New Roman" w:hAnsi="Times New Roman"/>
          <w:color w:val="auto"/>
          <w:highlight w:val="none"/>
          <w:shd w:val="clear" w:color="auto" w:fill="auto"/>
        </w:rPr>
      </w:pPr>
      <w:bookmarkStart w:id="59" w:name="_Toc4550"/>
      <w:r>
        <w:rPr>
          <w:rFonts w:hint="eastAsia" w:ascii="Times New Roman" w:hAnsi="Times New Roman"/>
          <w:color w:val="auto"/>
          <w:highlight w:val="none"/>
          <w:shd w:val="clear" w:color="auto" w:fill="auto"/>
        </w:rPr>
        <w:t>4.7 参选报价</w:t>
      </w:r>
      <w:bookmarkEnd w:id="59"/>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4.7.1 参选人应严格按照“参选文件格式”填写报价。</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4.7.2 参选人的报价为一次性报价，即在参选有效期内参选价格固定不变。</w:t>
      </w: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4.7.3 本项目只接受一个参选报价，有选择的或有条件的参选将不予接受。</w:t>
      </w:r>
    </w:p>
    <w:p>
      <w:pPr>
        <w:rPr>
          <w:rFonts w:hint="default"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 xml:space="preserve">4.7.4 </w:t>
      </w:r>
      <w:r>
        <w:rPr>
          <w:rFonts w:ascii="Times New Roman" w:hAnsi="Times New Roman" w:cs="Times New Roman"/>
          <w:highlight w:val="none"/>
          <w:lang w:bidi="ar-SA"/>
        </w:rPr>
        <w:t>参选报价</w:t>
      </w:r>
      <w:r>
        <w:rPr>
          <w:rFonts w:hint="eastAsia" w:ascii="Times New Roman" w:hAnsi="Times New Roman" w:cs="Times New Roman"/>
          <w:highlight w:val="none"/>
          <w:lang w:val="en-US" w:eastAsia="zh-CN" w:bidi="ar-SA"/>
        </w:rPr>
        <w:t>不得</w:t>
      </w:r>
      <w:r>
        <w:rPr>
          <w:rFonts w:ascii="Times New Roman" w:hAnsi="Times New Roman" w:cs="Times New Roman"/>
          <w:highlight w:val="none"/>
          <w:lang w:bidi="ar-SA"/>
        </w:rPr>
        <w:t>超出最高限价</w:t>
      </w:r>
      <w:r>
        <w:rPr>
          <w:rFonts w:hint="eastAsia" w:ascii="Times New Roman" w:hAnsi="Times New Roman" w:cs="Times New Roman"/>
          <w:highlight w:val="none"/>
          <w:lang w:eastAsia="zh-CN" w:bidi="ar-SA"/>
        </w:rPr>
        <w:t>。</w:t>
      </w:r>
    </w:p>
    <w:p>
      <w:pPr>
        <w:pStyle w:val="4"/>
        <w:rPr>
          <w:rFonts w:ascii="Times New Roman" w:hAnsi="Times New Roman"/>
          <w:color w:val="auto"/>
          <w:highlight w:val="none"/>
          <w:shd w:val="clear" w:color="auto" w:fill="auto"/>
        </w:rPr>
      </w:pPr>
      <w:bookmarkStart w:id="60" w:name="_Toc31634"/>
      <w:r>
        <w:rPr>
          <w:rFonts w:hint="eastAsia" w:ascii="Times New Roman" w:hAnsi="Times New Roman"/>
          <w:color w:val="auto"/>
          <w:highlight w:val="none"/>
          <w:shd w:val="clear" w:color="auto" w:fill="auto"/>
        </w:rPr>
        <w:t>4.8 修正错误</w:t>
      </w:r>
      <w:bookmarkEnd w:id="60"/>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若参选文件出现计算或表达上的错误，修正错误的原则如下：</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4.8.1 参选文件的大写金额和小写金额不一致的，以大写金额为准；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4.8.2 总价金额与按单价汇总金额不一致的，以单价金额计算结果为准；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4.8.3 单价金额小数点有明显错位的，应以总价为准，并修正单价；</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4.8.4 对不同文字文本参选文件的解释发生异议的，以中文文本为准。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3"/>
        <w:rPr>
          <w:rFonts w:ascii="Times New Roman" w:hAnsi="Times New Roman"/>
          <w:color w:val="auto"/>
          <w:highlight w:val="none"/>
          <w:shd w:val="clear" w:color="auto" w:fill="auto"/>
        </w:rPr>
      </w:pPr>
      <w:bookmarkStart w:id="61" w:name="_Toc519"/>
      <w:bookmarkStart w:id="62" w:name="_Toc89675166"/>
      <w:r>
        <w:rPr>
          <w:rFonts w:hint="eastAsia" w:ascii="Times New Roman" w:hAnsi="Times New Roman"/>
          <w:color w:val="auto"/>
          <w:highlight w:val="none"/>
          <w:shd w:val="clear" w:color="auto" w:fill="auto"/>
        </w:rPr>
        <w:t>5. 比选程序</w:t>
      </w:r>
      <w:bookmarkEnd w:id="61"/>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主持人按下列程序进行比选：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5.1 宣布比选纪律；</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5.2 宣布比选人、唱标人、记录人、监督人等有关人员姓名；</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5.3 公布在比选截止时间前递交参选文件的参选人名称，并点名确认参选人是否派人到场；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5.4 展示参选保证金，参选保证金缴款不全或有误的，则记录在案交由评审委员会评审；</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5.5 封装情况检查：参选人或者其推选的代表检查各参选文件的封装情况并确认；</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5.6 设有最高限价的，公布最高限价；</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5.7 开启参选文件；</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5.8 比选人代表、参选人代表、监督人、记录人等有关人员在比选记录上签字确认；</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5.9 比选结束。</w:t>
      </w:r>
    </w:p>
    <w:p>
      <w:pPr>
        <w:pStyle w:val="3"/>
        <w:rPr>
          <w:rFonts w:ascii="Times New Roman" w:hAnsi="Times New Roman"/>
          <w:color w:val="auto"/>
          <w:highlight w:val="none"/>
          <w:shd w:val="clear" w:color="auto" w:fill="auto"/>
        </w:rPr>
      </w:pPr>
      <w:bookmarkStart w:id="63" w:name="_Toc27593"/>
      <w:r>
        <w:rPr>
          <w:rFonts w:hint="eastAsia" w:ascii="Times New Roman" w:hAnsi="Times New Roman"/>
          <w:color w:val="auto"/>
          <w:highlight w:val="none"/>
          <w:shd w:val="clear" w:color="auto" w:fill="auto"/>
        </w:rPr>
        <w:t>6. 评审</w:t>
      </w:r>
      <w:bookmarkEnd w:id="63"/>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见第四章内容。</w:t>
      </w:r>
    </w:p>
    <w:p>
      <w:pPr>
        <w:pStyle w:val="3"/>
        <w:rPr>
          <w:rFonts w:ascii="Times New Roman" w:hAnsi="Times New Roman"/>
          <w:color w:val="auto"/>
          <w:highlight w:val="none"/>
          <w:shd w:val="clear" w:color="auto" w:fill="auto"/>
        </w:rPr>
      </w:pPr>
      <w:bookmarkStart w:id="64" w:name="_Toc7441"/>
      <w:r>
        <w:rPr>
          <w:rFonts w:hint="eastAsia" w:ascii="Times New Roman" w:hAnsi="Times New Roman"/>
          <w:color w:val="auto"/>
          <w:highlight w:val="none"/>
          <w:shd w:val="clear" w:color="auto" w:fill="auto"/>
        </w:rPr>
        <w:t>7. 定</w:t>
      </w:r>
      <w:r>
        <w:rPr>
          <w:rFonts w:ascii="Times New Roman" w:hAnsi="Times New Roman"/>
          <w:color w:val="auto"/>
          <w:highlight w:val="none"/>
          <w:shd w:val="clear" w:color="auto" w:fill="auto"/>
        </w:rPr>
        <w:t>选</w:t>
      </w:r>
      <w:bookmarkEnd w:id="62"/>
      <w:bookmarkEnd w:id="6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7.1 定选原则</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比选人按照评审报告中推荐的中选候选人排名顺序确定中选人，如中选人因不可抗力或者自身原因不能履行合同的，比选人可以确定依次其后的候选人为中选人，以此类推。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7.2 不承诺最低价格中选。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3"/>
        <w:rPr>
          <w:rFonts w:ascii="Times New Roman" w:hAnsi="Times New Roman"/>
          <w:color w:val="auto"/>
          <w:highlight w:val="none"/>
          <w:shd w:val="clear" w:color="auto" w:fill="auto"/>
        </w:rPr>
      </w:pPr>
      <w:bookmarkStart w:id="65" w:name="_Toc19391"/>
      <w:bookmarkStart w:id="66" w:name="_Toc12245"/>
      <w:bookmarkStart w:id="67" w:name="_Toc89675168"/>
      <w:r>
        <w:rPr>
          <w:rFonts w:hint="eastAsia" w:ascii="Times New Roman" w:hAnsi="Times New Roman"/>
          <w:color w:val="auto"/>
          <w:highlight w:val="none"/>
          <w:shd w:val="clear" w:color="auto" w:fill="auto"/>
        </w:rPr>
        <w:t>8. 签订合同</w:t>
      </w:r>
      <w:bookmarkEnd w:id="65"/>
      <w:bookmarkEnd w:id="66"/>
      <w:bookmarkEnd w:id="67"/>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8.2 比选文件、中选人的参选文件及澄清文件等，均为签订合同的依据。</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8.3 合同生效条款由供需双方约定，法律、行政法规规定应当办理批准、登记等手续后生效的合同，依照其规定。</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8.4 签订合同后，若中选人无法按要求履约，比选人可以废除中选人资格，并可选择按照中选候选人顺位与下一候选人签订合同。</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8.5 该项目不允许任何形式的转包。</w:t>
      </w:r>
    </w:p>
    <w:p>
      <w:pPr>
        <w:pStyle w:val="3"/>
        <w:rPr>
          <w:rFonts w:ascii="Times New Roman" w:hAnsi="Times New Roman"/>
          <w:color w:val="auto"/>
          <w:highlight w:val="none"/>
          <w:shd w:val="clear" w:color="auto" w:fill="auto"/>
        </w:rPr>
      </w:pPr>
      <w:bookmarkStart w:id="68" w:name="_Toc3474"/>
      <w:r>
        <w:rPr>
          <w:rFonts w:hint="eastAsia" w:ascii="Times New Roman" w:hAnsi="Times New Roman"/>
          <w:color w:val="auto"/>
          <w:highlight w:val="none"/>
          <w:shd w:val="clear" w:color="auto" w:fill="auto"/>
        </w:rPr>
        <w:t>9. 纪律与要求</w:t>
      </w:r>
      <w:bookmarkEnd w:id="68"/>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参选人不得相互串通参选或者与比选人串通参选，不得向比选人行贿谋取中选，不得以他人名义参选或者以其他方式弄虚作假骗取中选；参选人不得以任何方式干扰、影响评审工作。</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 有下列情形之一的，属于参选人相互串通参选：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9.1.1 参选人之间协商参选报价等参选文件的实质性内容；</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9.1.2 参选人之间约定中选人；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9.1.3 参选人之间约定部分参选人放弃参选或者中选；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9.1.4 属于同一集团、协会、商会等组织成员的参选人按照该组织要求协同参选；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9.1.5 参选人之间为谋取中选或者排斥特定参选人而采取的其他联合行动。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 有下列情形之一的，视为参选人相互串通参选：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9.2.1 不同参选人的参选文件由同一单位或者个人编制；</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9.2.2 不同参选人委托同一单位或者个人办理参选事宜；</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9.2.3 不同参选人的参选文件载明的项目管理成员为同一人；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9.2.4 不同参选人的参选文件相互混装；</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9.2.5 不同参选人的参选保证金从同一单位或者个人的账户转出。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9.3 使用通过受让或者租借等方式获取的资格、资质证书参选的，属于以他人名义参选。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 参选人有下列情形之一的，属于弄虚作假的行为：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9.4.1 使用伪造、变造的许可证件；</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9.4.2 提供虚假的财务状况或者虚假业绩；</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9.4.3 提供虚假的项目负责人或者主要技术人员简历、劳动关系证明；</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9.4.4 提供虚假的信用状况；</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9.4.5 其它弄虚作假的行为。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签订合同前后，若中选单位提供的产品测试不合格或与参选文件中的产品不一致，比选人可废除中选人资格。</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针对以上情况，比选人有权没收参选人的参选保证金，并保留进一步追究由此带来损失的权利。</w:t>
      </w:r>
    </w:p>
    <w:p>
      <w:pPr>
        <w:pStyle w:val="3"/>
        <w:rPr>
          <w:rFonts w:ascii="Times New Roman" w:hAnsi="Times New Roman"/>
          <w:color w:val="auto"/>
          <w:highlight w:val="none"/>
          <w:shd w:val="clear" w:color="auto" w:fill="auto"/>
        </w:rPr>
      </w:pPr>
      <w:bookmarkStart w:id="69" w:name="_Toc24115"/>
      <w:bookmarkStart w:id="70" w:name="_Toc89675169"/>
      <w:r>
        <w:rPr>
          <w:rFonts w:hint="eastAsia" w:ascii="Times New Roman" w:hAnsi="Times New Roman"/>
          <w:color w:val="auto"/>
          <w:highlight w:val="none"/>
          <w:shd w:val="clear" w:color="auto" w:fill="auto"/>
        </w:rPr>
        <w:t>10. 提问、质疑、投诉</w:t>
      </w:r>
      <w:bookmarkEnd w:id="69"/>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10.1 补遗内容可能影响参选文件编制的，须在比选截止时间3日前发布，发布时间至比选截止时间不足3日的，须相应延后比选截止时间。</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10.2 参选人对比选文件和答疑补遗有质疑的，应当在比选截止时间3日前，以书面形式通知比选人。比选人应当自收到质疑之日起3日内做出答复，并将答复内容以补遗的形式发布。</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10.3 参选人对公示的中选结果有质疑，参选人需在公示期内以书面形式向比选人提出质疑。本行在公示截止日期前负责书面答复。</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10.4 参选人对比选人的答复不满意或者有质疑，可向本行纪检监察部投诉。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采购质疑邮箱：</w:t>
      </w:r>
      <w:r>
        <w:rPr>
          <w:rFonts w:ascii="Times New Roman" w:hAnsi="Times New Roman"/>
          <w:color w:val="auto"/>
          <w:highlight w:val="none"/>
          <w:shd w:val="clear" w:color="auto" w:fill="auto"/>
        </w:rPr>
        <w:t>sx.jcb@ccqtgb.com</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采购投诉邮箱：</w:t>
      </w:r>
      <w:bookmarkStart w:id="71" w:name="_Hlk74215856"/>
      <w:r>
        <w:rPr>
          <w:rFonts w:hint="eastAsia" w:ascii="Times New Roman" w:hAnsi="Times New Roman"/>
          <w:snapToGrid w:val="0"/>
          <w:color w:val="auto"/>
          <w:kern w:val="0"/>
          <w:szCs w:val="24"/>
          <w:highlight w:val="none"/>
          <w:shd w:val="clear" w:color="auto" w:fill="auto"/>
        </w:rPr>
        <w:t>sxyhjjz@</w:t>
      </w:r>
      <w:r>
        <w:rPr>
          <w:rFonts w:ascii="Times New Roman" w:hAnsi="Times New Roman"/>
          <w:snapToGrid w:val="0"/>
          <w:color w:val="auto"/>
          <w:kern w:val="0"/>
          <w:szCs w:val="24"/>
          <w:highlight w:val="none"/>
          <w:shd w:val="clear" w:color="auto" w:fill="auto"/>
        </w:rPr>
        <w:t>ccqtgb</w:t>
      </w:r>
      <w:r>
        <w:rPr>
          <w:rFonts w:hint="eastAsia" w:ascii="Times New Roman" w:hAnsi="Times New Roman"/>
          <w:snapToGrid w:val="0"/>
          <w:color w:val="auto"/>
          <w:kern w:val="0"/>
          <w:szCs w:val="24"/>
          <w:highlight w:val="none"/>
          <w:shd w:val="clear" w:color="auto" w:fill="auto"/>
        </w:rPr>
        <w:t>.com</w:t>
      </w:r>
      <w:bookmarkEnd w:id="71"/>
    </w:p>
    <w:p>
      <w:pPr>
        <w:pStyle w:val="3"/>
        <w:rPr>
          <w:rFonts w:ascii="Times New Roman" w:hAnsi="Times New Roman"/>
          <w:color w:val="auto"/>
          <w:highlight w:val="none"/>
          <w:shd w:val="clear" w:color="auto" w:fill="auto"/>
        </w:rPr>
      </w:pPr>
      <w:bookmarkStart w:id="72" w:name="_Toc11439"/>
      <w:bookmarkStart w:id="73" w:name="_Toc27374"/>
      <w:bookmarkStart w:id="74" w:name="_Toc275199618"/>
      <w:bookmarkStart w:id="75" w:name="_Toc15059431"/>
      <w:bookmarkStart w:id="76" w:name="_Toc89675157"/>
      <w:bookmarkStart w:id="77" w:name="_Toc440628924"/>
      <w:r>
        <w:rPr>
          <w:rFonts w:hint="eastAsia" w:ascii="Times New Roman" w:hAnsi="Times New Roman"/>
          <w:color w:val="auto"/>
          <w:highlight w:val="none"/>
          <w:shd w:val="clear" w:color="auto" w:fill="auto"/>
        </w:rPr>
        <w:t>11. 无效参选条款</w:t>
      </w:r>
      <w:bookmarkEnd w:id="72"/>
      <w:bookmarkEnd w:id="73"/>
      <w:bookmarkEnd w:id="74"/>
      <w:bookmarkEnd w:id="75"/>
      <w:bookmarkEnd w:id="76"/>
      <w:bookmarkEnd w:id="77"/>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参选人或其参选文件出现下列情况之一者，应为无效参选：</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11.1 </w:t>
      </w:r>
      <w:r>
        <w:rPr>
          <w:rFonts w:ascii="Times New Roman" w:hAnsi="Times New Roman"/>
          <w:color w:val="auto"/>
          <w:highlight w:val="none"/>
          <w:shd w:val="clear" w:color="auto" w:fill="auto"/>
        </w:rPr>
        <w:t>参选人未按比选文件规定提交足额参选保证金的</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11.2 </w:t>
      </w:r>
      <w:r>
        <w:rPr>
          <w:rFonts w:ascii="Times New Roman" w:hAnsi="Times New Roman"/>
          <w:color w:val="auto"/>
          <w:highlight w:val="none"/>
          <w:shd w:val="clear" w:color="auto" w:fill="auto"/>
        </w:rPr>
        <w:t>参选人未通过资格性检查，参选文件未通过符合性检查或参选文件经证实存在弄虚作假的</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11.3 参选人超出其营业执照或事业单位法人证书上经营范围（业务范围）参选的。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11.4 单位负责人为同一人或者存在直接控股、管理关系的不同参选人，不得参加同一合同项下的采购活动。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11.5 </w:t>
      </w:r>
      <w:r>
        <w:rPr>
          <w:rFonts w:ascii="Times New Roman" w:hAnsi="Times New Roman"/>
          <w:color w:val="auto"/>
          <w:highlight w:val="none"/>
          <w:shd w:val="clear" w:color="auto" w:fill="auto"/>
        </w:rPr>
        <w:t>同一分包的软件，制造商参与参选，再委托代理商参与参选的</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11.6 </w:t>
      </w:r>
      <w:r>
        <w:rPr>
          <w:rFonts w:ascii="Times New Roman" w:hAnsi="Times New Roman"/>
          <w:color w:val="auto"/>
          <w:highlight w:val="none"/>
          <w:shd w:val="clear" w:color="auto" w:fill="auto"/>
        </w:rPr>
        <w:t>参选文件不满足比选文件第</w:t>
      </w:r>
      <w:r>
        <w:rPr>
          <w:rFonts w:hint="eastAsia" w:ascii="Times New Roman" w:hAnsi="Times New Roman"/>
          <w:color w:val="auto"/>
          <w:highlight w:val="none"/>
          <w:shd w:val="clear" w:color="auto" w:fill="auto"/>
        </w:rPr>
        <w:t>六</w:t>
      </w:r>
      <w:r>
        <w:rPr>
          <w:rFonts w:ascii="Times New Roman" w:hAnsi="Times New Roman"/>
          <w:color w:val="auto"/>
          <w:highlight w:val="none"/>
          <w:shd w:val="clear" w:color="auto" w:fill="auto"/>
        </w:rPr>
        <w:t>章参选文件格式中所规定签字、盖章的</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11.7 </w:t>
      </w:r>
      <w:r>
        <w:rPr>
          <w:rFonts w:ascii="Times New Roman" w:hAnsi="Times New Roman"/>
          <w:color w:val="auto"/>
          <w:highlight w:val="none"/>
          <w:shd w:val="clear" w:color="auto" w:fill="auto"/>
        </w:rPr>
        <w:t>参选文件出现多个参选方案或参选报价的</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11.8 </w:t>
      </w:r>
      <w:r>
        <w:rPr>
          <w:rFonts w:ascii="Times New Roman" w:hAnsi="Times New Roman"/>
          <w:color w:val="auto"/>
          <w:highlight w:val="none"/>
          <w:shd w:val="clear" w:color="auto" w:fill="auto"/>
        </w:rPr>
        <w:t>参选报价超出最高限价的</w:t>
      </w:r>
      <w:r>
        <w:rPr>
          <w:rFonts w:hint="eastAsia" w:ascii="Times New Roman" w:hAnsi="Times New Roman"/>
          <w:color w:val="auto"/>
          <w:highlight w:val="none"/>
          <w:shd w:val="clear" w:color="auto" w:fill="auto"/>
        </w:rPr>
        <w:t>。</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11.9 </w:t>
      </w:r>
      <w:r>
        <w:rPr>
          <w:rFonts w:ascii="Times New Roman" w:hAnsi="Times New Roman"/>
          <w:color w:val="auto"/>
          <w:highlight w:val="none"/>
          <w:shd w:val="clear" w:color="auto" w:fill="auto"/>
        </w:rPr>
        <w:t>参选文件含有违反国家法律、法规的内容，或附有比选人不能接受的条件的。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11.10 出现影响比选公正的违法、违规行为的。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11.11 与比选人、评审专家、其他参选人恶意串通。</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11.12 参选法人发生合并、分立、破产等重大变化后，不再具备比选要求的资格条件的。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11.13 提供虚假材料谋取中选资格的。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11.14 参选文件含有比选人不能接受的附件条件的。</w:t>
      </w:r>
    </w:p>
    <w:p>
      <w:pPr>
        <w:pStyle w:val="3"/>
        <w:rPr>
          <w:rFonts w:ascii="Times New Roman" w:hAnsi="Times New Roman"/>
          <w:color w:val="auto"/>
          <w:highlight w:val="none"/>
          <w:shd w:val="clear" w:color="auto" w:fill="auto"/>
        </w:rPr>
      </w:pPr>
      <w:bookmarkStart w:id="78" w:name="_Toc17942"/>
      <w:r>
        <w:rPr>
          <w:rFonts w:hint="eastAsia" w:ascii="Times New Roman" w:hAnsi="Times New Roman"/>
          <w:color w:val="auto"/>
          <w:highlight w:val="none"/>
          <w:shd w:val="clear" w:color="auto" w:fill="auto"/>
        </w:rPr>
        <w:t>12. 比选失败情形</w:t>
      </w:r>
      <w:bookmarkEnd w:id="78"/>
    </w:p>
    <w:p>
      <w:pPr>
        <w:snapToGrid w:val="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出现以下情形本次比选失败：</w:t>
      </w:r>
    </w:p>
    <w:p>
      <w:pPr>
        <w:snapToGrid w:val="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12.1 比选截止时间止，参选人少于2个的。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12.2 经评审委员会评审后否决所有参选的。</w:t>
      </w:r>
    </w:p>
    <w:p>
      <w:pPr>
        <w:pStyle w:val="3"/>
        <w:rPr>
          <w:rFonts w:ascii="Times New Roman" w:hAnsi="Times New Roman"/>
          <w:color w:val="auto"/>
          <w:highlight w:val="none"/>
          <w:shd w:val="clear" w:color="auto" w:fill="auto"/>
        </w:rPr>
      </w:pPr>
      <w:bookmarkStart w:id="79" w:name="_Toc30983"/>
      <w:r>
        <w:rPr>
          <w:rFonts w:hint="eastAsia" w:ascii="Times New Roman" w:hAnsi="Times New Roman"/>
          <w:color w:val="auto"/>
          <w:highlight w:val="none"/>
          <w:shd w:val="clear" w:color="auto" w:fill="auto"/>
        </w:rPr>
        <w:t>13. 终止</w:t>
      </w:r>
      <w:r>
        <w:rPr>
          <w:rFonts w:ascii="Times New Roman" w:hAnsi="Times New Roman"/>
          <w:color w:val="auto"/>
          <w:highlight w:val="none"/>
          <w:shd w:val="clear" w:color="auto" w:fill="auto"/>
        </w:rPr>
        <w:t>比选</w:t>
      </w:r>
      <w:bookmarkEnd w:id="70"/>
      <w:bookmarkEnd w:id="79"/>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13.1 因情况发生变化或其他原因造成该项目取消的，本次比选自动终止，双方互不承担责任，比选人无息退还参选保证金。</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13.2 签订合同之前，比选人发现中选候选人经营、财务状况发生较大变化或存在违法行为，比选人认为可能影响其履约能力的，比选人可废除中选人或中选候选人资格。</w:t>
      </w:r>
    </w:p>
    <w:p>
      <w:pPr>
        <w:pStyle w:val="3"/>
        <w:rPr>
          <w:rFonts w:ascii="Times New Roman" w:hAnsi="Times New Roman"/>
          <w:color w:val="auto"/>
          <w:highlight w:val="none"/>
          <w:shd w:val="clear" w:color="auto" w:fill="auto"/>
        </w:rPr>
      </w:pPr>
      <w:bookmarkStart w:id="80" w:name="_Toc31143"/>
      <w:r>
        <w:rPr>
          <w:rFonts w:hint="eastAsia" w:ascii="Times New Roman" w:hAnsi="Times New Roman"/>
          <w:color w:val="auto"/>
          <w:highlight w:val="none"/>
          <w:shd w:val="clear" w:color="auto" w:fill="auto"/>
        </w:rPr>
        <w:t xml:space="preserve">14. </w:t>
      </w:r>
      <w:r>
        <w:rPr>
          <w:rFonts w:ascii="Times New Roman" w:hAnsi="Times New Roman"/>
          <w:color w:val="auto"/>
          <w:highlight w:val="none"/>
          <w:shd w:val="clear" w:color="auto" w:fill="auto"/>
        </w:rPr>
        <w:t>参选</w:t>
      </w:r>
      <w:r>
        <w:rPr>
          <w:rFonts w:hint="eastAsia" w:ascii="Times New Roman" w:hAnsi="Times New Roman"/>
          <w:color w:val="auto"/>
          <w:highlight w:val="none"/>
          <w:shd w:val="clear" w:color="auto" w:fill="auto"/>
        </w:rPr>
        <w:t>费用</w:t>
      </w:r>
      <w:bookmarkEnd w:id="80"/>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参选人参与本比选项目时，一切与参选有关的费用均由参选人自理。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本项目平台服务费为</w:t>
      </w:r>
      <w:r>
        <w:rPr>
          <w:rFonts w:hint="eastAsia" w:ascii="Times New Roman" w:hAnsi="Times New Roman"/>
          <w:color w:val="auto"/>
          <w:highlight w:val="none"/>
          <w:u w:val="single"/>
          <w:shd w:val="clear" w:color="auto" w:fill="auto"/>
          <w:lang w:val="en-US" w:eastAsia="zh-CN"/>
        </w:rPr>
        <w:t>中选金额的5‰</w:t>
      </w:r>
      <w:r>
        <w:rPr>
          <w:rFonts w:hint="eastAsia" w:ascii="Times New Roman" w:hAnsi="Times New Roman"/>
          <w:color w:val="auto"/>
          <w:highlight w:val="none"/>
          <w:shd w:val="clear" w:color="auto" w:fill="auto"/>
        </w:rPr>
        <w:t>，由中选人向重庆联合产权交易所集团股份有限公司支付。中选人应在领取中选通知书时一次性缴纳，请各参选人综合考虑进行报价。</w:t>
      </w:r>
    </w:p>
    <w:p>
      <w:pPr>
        <w:widowControl/>
        <w:jc w:val="left"/>
        <w:rPr>
          <w:rFonts w:ascii="Times New Roman" w:hAnsi="Times New Roman" w:cs="Cambria"/>
          <w:snapToGrid w:val="0"/>
          <w:color w:val="auto"/>
          <w:kern w:val="0"/>
          <w:szCs w:val="28"/>
          <w:highlight w:val="none"/>
          <w:shd w:val="clear" w:color="auto" w:fill="auto"/>
        </w:rPr>
      </w:pPr>
      <w:r>
        <w:rPr>
          <w:rFonts w:ascii="Times New Roman" w:hAnsi="Times New Roman" w:cs="Cambria"/>
          <w:snapToGrid w:val="0"/>
          <w:color w:val="auto"/>
          <w:kern w:val="0"/>
          <w:szCs w:val="28"/>
          <w:highlight w:val="none"/>
          <w:shd w:val="clear" w:color="auto" w:fill="auto"/>
        </w:rPr>
        <w:br w:type="page"/>
      </w:r>
    </w:p>
    <w:p>
      <w:pPr>
        <w:pStyle w:val="2"/>
        <w:rPr>
          <w:rStyle w:val="25"/>
          <w:rFonts w:ascii="Times New Roman" w:hAnsi="Times New Roman" w:cs="Cambria Math"/>
          <w:b w:val="0"/>
          <w:snapToGrid/>
          <w:color w:val="auto"/>
          <w:kern w:val="2"/>
          <w:highlight w:val="none"/>
          <w:shd w:val="clear" w:color="auto" w:fill="auto"/>
        </w:rPr>
      </w:pPr>
      <w:bookmarkStart w:id="81" w:name="_Toc31837"/>
      <w:bookmarkStart w:id="82" w:name="_Toc14177"/>
      <w:r>
        <w:rPr>
          <w:rFonts w:hint="eastAsia" w:ascii="Times New Roman" w:hAnsi="Times New Roman"/>
          <w:color w:val="auto"/>
          <w:highlight w:val="none"/>
          <w:shd w:val="clear" w:color="auto" w:fill="auto"/>
        </w:rPr>
        <w:t>第三章 项目要求</w:t>
      </w:r>
      <w:bookmarkEnd w:id="81"/>
      <w:bookmarkEnd w:id="82"/>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hint="eastAsia" w:ascii="宋体" w:hAnsi="宋体" w:cs="宋体"/>
          <w:color w:val="auto"/>
          <w:highlight w:val="none"/>
          <w:shd w:val="clear" w:color="auto" w:fill="auto"/>
        </w:rPr>
      </w:pPr>
      <w:bookmarkStart w:id="83" w:name="_Toc23446"/>
      <w:r>
        <w:rPr>
          <w:rFonts w:hint="eastAsia" w:ascii="宋体" w:hAnsi="宋体" w:cs="宋体"/>
          <w:color w:val="auto"/>
          <w:highlight w:val="none"/>
          <w:shd w:val="clear" w:color="auto" w:fill="auto"/>
        </w:rPr>
        <w:t>业务需求</w:t>
      </w:r>
      <w:bookmarkEnd w:id="83"/>
    </w:p>
    <w:p>
      <w:pPr>
        <w:spacing w:line="600" w:lineRule="exact"/>
        <w:ind w:left="0" w:firstLine="480" w:firstLineChars="200"/>
        <w:rPr>
          <w:rFonts w:hint="eastAsia" w:ascii="宋体" w:hAnsi="宋体" w:eastAsia="宋体" w:cs="宋体"/>
          <w:color w:val="auto"/>
          <w:highlight w:val="none"/>
          <w:shd w:val="clear" w:color="auto" w:fill="auto"/>
          <w:lang w:val="en-US" w:eastAsia="zh-CN"/>
        </w:rPr>
      </w:pPr>
      <w:r>
        <w:rPr>
          <w:rFonts w:hint="eastAsia" w:ascii="宋体" w:hAnsi="宋体" w:cs="宋体"/>
          <w:color w:val="auto"/>
          <w:highlight w:val="none"/>
          <w:shd w:val="clear" w:color="auto" w:fill="auto"/>
          <w:lang w:val="en-US" w:eastAsia="zh-CN"/>
        </w:rPr>
        <w:t>1.1 业务需求概述</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本项目业务需求范围包括手机银行APP、微信小程序、微信公众号、渠道业务中台，要求打通用户体系，做到统一管理。具体内容包括：</w:t>
      </w:r>
    </w:p>
    <w:p>
      <w:pPr>
        <w:topLinePunct/>
        <w:autoSpaceDE w:val="0"/>
        <w:autoSpaceDN w:val="0"/>
        <w:snapToGrid w:val="0"/>
        <w:spacing w:line="600" w:lineRule="exact"/>
        <w:ind w:left="0"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1.1.1 手机银行APP</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建设安卓、苹果、鸿蒙三个客户端，每个客户端包括标准版、老年版两个版本，老年版的业务流程较标准版更简化，以适应老年群体的操作习惯。鸿蒙客户端分两阶段实施，一阶段确保2024年9月底上线，采用以新的UI及业务流程设计对接本行现有手机银行后端服务，保留主页、登录、转账、存款、贷款、理财、商城等高频功能的方式；二阶段按整体项目计划对接渠道业务中台，与安卓、苹果及微信端一起上线。</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lang w:val="en-US" w:eastAsia="zh-CN"/>
        </w:rPr>
      </w:pPr>
      <w:r>
        <w:rPr>
          <w:rFonts w:hint="eastAsia" w:ascii="宋体" w:hAnsi="宋体" w:eastAsia="宋体" w:cs="宋体"/>
          <w:snapToGrid w:val="0"/>
          <w:kern w:val="0"/>
          <w:szCs w:val="24"/>
          <w:highlight w:val="none"/>
          <w:shd w:val="clear" w:color="auto" w:fill="auto"/>
          <w:lang w:val="en-US" w:eastAsia="zh-CN"/>
        </w:rPr>
        <w:t>•注册登录：注册、绑定账户、密码/指纹/人脸等多种登录方式、重置登录密码（采用卡密、短信、人脸等多种方式组合验证）；</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lang w:val="en-US" w:eastAsia="zh-CN"/>
        </w:rPr>
      </w:pPr>
      <w:r>
        <w:rPr>
          <w:rFonts w:hint="eastAsia" w:ascii="宋体" w:hAnsi="宋体" w:eastAsia="宋体" w:cs="宋体"/>
          <w:snapToGrid w:val="0"/>
          <w:kern w:val="0"/>
          <w:szCs w:val="24"/>
          <w:highlight w:val="none"/>
          <w:shd w:val="clear" w:color="auto" w:fill="auto"/>
          <w:lang w:val="en-US" w:eastAsia="zh-CN"/>
        </w:rPr>
        <w:t>•主页：首页（支持个性化定制）、金刚区、常用功能、广告/公告（支持“千人千面”按客群定向展示）、财富版块、贷款版块、生活服务版块等；</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rPr>
      </w:pPr>
      <w:r>
        <w:rPr>
          <w:rFonts w:hint="eastAsia" w:ascii="宋体" w:hAnsi="宋体" w:eastAsia="宋体" w:cs="宋体"/>
          <w:snapToGrid w:val="0"/>
          <w:kern w:val="0"/>
          <w:szCs w:val="24"/>
          <w:highlight w:val="none"/>
          <w:shd w:val="clear" w:color="auto" w:fill="auto"/>
        </w:rPr>
        <w:t>•客户/账户服务：账户余额/明细查询、资产负债查询、账户加挂/解挂、换卡申请、密码解锁、短信通、II/III类户绑定/开立/注销/升降级、证件有效期维护、客户信息完善、客户等级/权益查询、线上结售汇等；</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rPr>
      </w:pPr>
      <w:r>
        <w:rPr>
          <w:rFonts w:hint="eastAsia" w:ascii="宋体" w:hAnsi="宋体" w:eastAsia="宋体" w:cs="宋体"/>
          <w:snapToGrid w:val="0"/>
          <w:kern w:val="0"/>
          <w:szCs w:val="24"/>
          <w:highlight w:val="none"/>
          <w:shd w:val="clear" w:color="auto" w:fill="auto"/>
        </w:rPr>
        <w:t>•转账支付：转账汇款（含账号转账、语音转账、手机号转账）、预约转账、扫码支付、电子回单等；</w:t>
      </w:r>
    </w:p>
    <w:p>
      <w:pPr>
        <w:topLinePunct/>
        <w:autoSpaceDE w:val="0"/>
        <w:autoSpaceDN w:val="0"/>
        <w:snapToGrid w:val="0"/>
        <w:spacing w:line="600" w:lineRule="exact"/>
        <w:ind w:firstLine="480" w:firstLineChars="200"/>
        <w:rPr>
          <w:rFonts w:ascii="宋体" w:hAnsi="宋体" w:cs="宋体"/>
          <w:bCs/>
          <w:color w:val="000000"/>
          <w:highlight w:val="none"/>
        </w:rPr>
      </w:pPr>
      <w:r>
        <w:rPr>
          <w:rFonts w:hint="eastAsia" w:ascii="宋体" w:hAnsi="宋体" w:eastAsia="宋体" w:cs="宋体"/>
          <w:snapToGrid w:val="0"/>
          <w:kern w:val="0"/>
          <w:szCs w:val="24"/>
          <w:highlight w:val="none"/>
          <w:shd w:val="clear" w:color="auto" w:fill="auto"/>
        </w:rPr>
        <w:t>•财富版块：自营理财产品/代销产品查询/申购/认购/赎回、风险评估，满足自营理财产品及代销产品销售和交易行为的记录、保存、回溯检查要求；基础</w:t>
      </w:r>
      <w:r>
        <w:rPr>
          <w:rFonts w:hint="eastAsia" w:ascii="宋体" w:hAnsi="宋体" w:eastAsia="宋体" w:cs="宋体"/>
          <w:bCs/>
          <w:snapToGrid w:val="0"/>
          <w:kern w:val="0"/>
          <w:szCs w:val="24"/>
          <w:highlight w:val="none"/>
          <w:shd w:val="clear" w:color="auto" w:fill="auto"/>
        </w:rPr>
        <w:t>存款产品活期转活期、活期转定期、定期转活期、活期转通知存款、通知存款转活</w:t>
      </w:r>
      <w:r>
        <w:rPr>
          <w:rFonts w:hint="eastAsia" w:ascii="宋体" w:hAnsi="宋体" w:cs="宋体"/>
          <w:bCs/>
          <w:color w:val="000000"/>
          <w:highlight w:val="none"/>
        </w:rPr>
        <w:t>期、定活通转活期、约定转存等，</w:t>
      </w:r>
      <w:r>
        <w:rPr>
          <w:rFonts w:hint="eastAsia" w:ascii="宋体" w:hAnsi="宋体" w:cs="宋体"/>
          <w:bCs/>
          <w:color w:val="000000"/>
          <w:highlight w:val="none"/>
          <w:lang w:val="en-US" w:eastAsia="zh-CN"/>
        </w:rPr>
        <w:t>特色存款产品</w:t>
      </w:r>
      <w:r>
        <w:rPr>
          <w:rFonts w:hint="eastAsia" w:ascii="宋体" w:hAnsi="宋体" w:cs="宋体"/>
          <w:snapToGrid w:val="0"/>
          <w:color w:val="auto"/>
          <w:kern w:val="0"/>
          <w:sz w:val="24"/>
          <w:szCs w:val="24"/>
          <w:highlight w:val="none"/>
          <w:shd w:val="clear" w:color="auto" w:fill="auto"/>
          <w:lang w:val="en-US" w:eastAsia="zh-CN"/>
        </w:rPr>
        <w:t>财富存/大额存单/三峡宝等存款产品查询/购买/支取，</w:t>
      </w:r>
      <w:r>
        <w:rPr>
          <w:rFonts w:hint="eastAsia" w:ascii="宋体" w:hAnsi="宋体" w:cs="宋体"/>
          <w:bCs/>
          <w:color w:val="000000"/>
          <w:highlight w:val="none"/>
        </w:rPr>
        <w:t>大额存单购买、预约购买、撤单、持有产品查询、当前委托查询、历史委托查询、转让挂单、转让购买等功能。</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rPr>
      </w:pPr>
      <w:r>
        <w:rPr>
          <w:rFonts w:hint="eastAsia" w:ascii="宋体" w:hAnsi="宋体" w:eastAsia="宋体" w:cs="宋体"/>
          <w:snapToGrid w:val="0"/>
          <w:kern w:val="0"/>
          <w:szCs w:val="24"/>
          <w:highlight w:val="none"/>
          <w:shd w:val="clear" w:color="auto" w:fill="auto"/>
        </w:rPr>
        <w:t>•贷款版块：存e贷/商户贷等业务品种入口、已申请贷款查询/还款、还款明细打印、提前还款申请等；</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rPr>
      </w:pPr>
      <w:r>
        <w:rPr>
          <w:rFonts w:hint="eastAsia" w:ascii="宋体" w:hAnsi="宋体" w:eastAsia="宋体" w:cs="宋体"/>
          <w:snapToGrid w:val="0"/>
          <w:kern w:val="0"/>
          <w:szCs w:val="24"/>
          <w:highlight w:val="none"/>
          <w:shd w:val="clear" w:color="auto" w:fill="auto"/>
        </w:rPr>
        <w:t>•生活服务版块：包括话费、水费、燃气费、党费、商城、医保电子凭证、住房公积金、非税电子化、低碳三峡等服务；</w:t>
      </w:r>
    </w:p>
    <w:p>
      <w:pPr>
        <w:topLinePunct/>
        <w:autoSpaceDE w:val="0"/>
        <w:autoSpaceDN w:val="0"/>
        <w:snapToGrid w:val="0"/>
        <w:spacing w:line="600" w:lineRule="exact"/>
        <w:ind w:firstLine="480" w:firstLineChars="200"/>
        <w:rPr>
          <w:rFonts w:hint="eastAsia" w:ascii="宋体" w:hAnsi="宋体" w:eastAsia="宋体" w:cs="宋体"/>
          <w:snapToGrid w:val="0"/>
          <w:kern w:val="0"/>
          <w:szCs w:val="24"/>
          <w:highlight w:val="none"/>
          <w:shd w:val="clear" w:color="auto" w:fill="auto"/>
        </w:rPr>
      </w:pPr>
      <w:r>
        <w:rPr>
          <w:rFonts w:hint="eastAsia" w:ascii="宋体" w:hAnsi="宋体" w:eastAsia="宋体" w:cs="宋体"/>
          <w:snapToGrid w:val="0"/>
          <w:kern w:val="0"/>
          <w:szCs w:val="24"/>
          <w:highlight w:val="none"/>
          <w:shd w:val="clear" w:color="auto" w:fill="auto"/>
        </w:rPr>
        <w:t>•网点服务：网点查询导航、银行流水打印、存款证明打印、大额取款/小额零钞预约、网点预约取号、外币现钞预约等。</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1.1.2 微信小程序</w:t>
      </w:r>
    </w:p>
    <w:p>
      <w:pPr>
        <w:topLinePunct/>
        <w:autoSpaceDE w:val="0"/>
        <w:autoSpaceDN w:val="0"/>
        <w:snapToGrid w:val="0"/>
        <w:spacing w:line="600" w:lineRule="exact"/>
        <w:ind w:firstLine="480" w:firstLineChars="200"/>
        <w:rPr>
          <w:rFonts w:hint="eastAsia" w:ascii="宋体" w:hAnsi="宋体" w:cs="宋体"/>
          <w:bCs/>
          <w:snapToGrid w:val="0"/>
          <w:color w:val="000000"/>
          <w:highlight w:val="none"/>
          <w:lang w:val="en-US" w:eastAsia="zh-CN"/>
        </w:rPr>
      </w:pPr>
      <w:r>
        <w:rPr>
          <w:rFonts w:hint="eastAsia" w:ascii="宋体" w:hAnsi="宋体" w:cs="宋体"/>
          <w:bCs/>
          <w:snapToGrid w:val="0"/>
          <w:color w:val="000000"/>
          <w:highlight w:val="none"/>
          <w:lang w:val="en-US" w:eastAsia="zh-CN"/>
        </w:rPr>
        <w:t>•客户经理微营业厅：支持客户经理自定义编辑营业厅主页，支持客户经理名片的分享，支持产品包括理财产品、财富存、大额存单、三峡宝、尊享贷、商户贷等发布在微营业厅，支持产品通过微信分享给客户后跳转相应购买页面（手机银行APP或相应产品小程序），支持客户购买产品后业绩记录查询；</w:t>
      </w:r>
    </w:p>
    <w:p>
      <w:pPr>
        <w:topLinePunct/>
        <w:autoSpaceDE w:val="0"/>
        <w:autoSpaceDN w:val="0"/>
        <w:snapToGrid w:val="0"/>
        <w:spacing w:line="600" w:lineRule="exact"/>
        <w:ind w:firstLine="480" w:firstLineChars="200"/>
        <w:rPr>
          <w:rFonts w:hint="eastAsia" w:ascii="宋体" w:hAnsi="宋体" w:cs="宋体"/>
          <w:bCs/>
          <w:snapToGrid w:val="0"/>
          <w:color w:val="000000"/>
          <w:highlight w:val="none"/>
          <w:lang w:val="en-US" w:eastAsia="zh-CN"/>
        </w:rPr>
      </w:pPr>
      <w:r>
        <w:rPr>
          <w:rFonts w:hint="eastAsia" w:ascii="宋体" w:hAnsi="宋体" w:cs="宋体"/>
          <w:bCs/>
          <w:snapToGrid w:val="0"/>
          <w:color w:val="000000"/>
          <w:highlight w:val="none"/>
          <w:lang w:val="en-US" w:eastAsia="zh-CN"/>
        </w:rPr>
        <w:t>•客户/账户服务：统一客户信息、APP/小程序统一授权登录、动账通知（对私）、账户余额/明细查询、资产负债查询、客户等级/权益查询、银企对账等；</w:t>
      </w:r>
    </w:p>
    <w:p>
      <w:pPr>
        <w:topLinePunct/>
        <w:autoSpaceDE w:val="0"/>
        <w:autoSpaceDN w:val="0"/>
        <w:snapToGrid w:val="0"/>
        <w:spacing w:line="600" w:lineRule="exact"/>
        <w:ind w:firstLine="480" w:firstLineChars="200"/>
        <w:rPr>
          <w:rFonts w:hint="eastAsia" w:ascii="宋体" w:hAnsi="宋体" w:cs="宋体"/>
          <w:bCs/>
          <w:snapToGrid w:val="0"/>
          <w:color w:val="000000"/>
          <w:highlight w:val="none"/>
          <w:lang w:val="en-US" w:eastAsia="zh-CN"/>
        </w:rPr>
      </w:pPr>
      <w:r>
        <w:rPr>
          <w:rFonts w:hint="eastAsia" w:ascii="宋体" w:hAnsi="宋体" w:cs="宋体"/>
          <w:bCs/>
          <w:snapToGrid w:val="0"/>
          <w:color w:val="000000"/>
          <w:highlight w:val="none"/>
          <w:lang w:val="en-US" w:eastAsia="zh-CN"/>
        </w:rPr>
        <w:t>•贷款服务：商户贷、房e贷、尊享贷、新渝贷、惠企贷等贷款产品入口整合；</w:t>
      </w:r>
    </w:p>
    <w:p>
      <w:pPr>
        <w:topLinePunct/>
        <w:autoSpaceDE w:val="0"/>
        <w:autoSpaceDN w:val="0"/>
        <w:snapToGrid w:val="0"/>
        <w:spacing w:line="600" w:lineRule="exact"/>
        <w:ind w:firstLine="480" w:firstLineChars="200"/>
        <w:rPr>
          <w:rFonts w:hint="eastAsia" w:ascii="宋体" w:hAnsi="宋体" w:cs="宋体"/>
          <w:bCs/>
          <w:snapToGrid w:val="0"/>
          <w:color w:val="000000"/>
          <w:highlight w:val="none"/>
          <w:lang w:val="en-US" w:eastAsia="zh-CN"/>
        </w:rPr>
      </w:pPr>
      <w:r>
        <w:rPr>
          <w:rFonts w:hint="eastAsia" w:ascii="宋体" w:hAnsi="宋体" w:cs="宋体"/>
          <w:bCs/>
          <w:snapToGrid w:val="0"/>
          <w:color w:val="000000"/>
          <w:highlight w:val="none"/>
          <w:lang w:val="en-US" w:eastAsia="zh-CN"/>
        </w:rPr>
        <w:t>•网点服务：网点查询导航、银行流水打印、存款证明打印、大额取款预约、网点预约取号、网点预约开户等；</w:t>
      </w:r>
    </w:p>
    <w:p>
      <w:pPr>
        <w:topLinePunct/>
        <w:autoSpaceDE w:val="0"/>
        <w:autoSpaceDN w:val="0"/>
        <w:snapToGrid w:val="0"/>
        <w:spacing w:line="600" w:lineRule="exact"/>
        <w:ind w:firstLine="480" w:firstLineChars="200"/>
        <w:rPr>
          <w:rFonts w:hint="eastAsia" w:ascii="宋体" w:hAnsi="宋体" w:cs="宋体"/>
          <w:bCs/>
          <w:snapToGrid w:val="0"/>
          <w:color w:val="000000"/>
          <w:highlight w:val="none"/>
          <w:lang w:val="en-US" w:eastAsia="zh-CN"/>
        </w:rPr>
      </w:pPr>
      <w:r>
        <w:rPr>
          <w:rFonts w:hint="eastAsia" w:ascii="宋体" w:hAnsi="宋体" w:cs="宋体"/>
          <w:bCs/>
          <w:snapToGrid w:val="0"/>
          <w:color w:val="000000"/>
          <w:highlight w:val="none"/>
          <w:lang w:val="en-US" w:eastAsia="zh-CN"/>
        </w:rPr>
        <w:t>•生活便民服务：公积金查询、社保查询、低碳三峡等。</w:t>
      </w:r>
    </w:p>
    <w:p>
      <w:pPr>
        <w:topLinePunct/>
        <w:autoSpaceDE w:val="0"/>
        <w:autoSpaceDN w:val="0"/>
        <w:snapToGrid w:val="0"/>
        <w:spacing w:line="600" w:lineRule="exact"/>
        <w:ind w:firstLine="480" w:firstLineChars="200"/>
        <w:rPr>
          <w:rFonts w:hint="eastAsia" w:ascii="宋体" w:hAnsi="宋体" w:cs="宋体"/>
          <w:bCs/>
          <w:snapToGrid w:val="0"/>
          <w:color w:val="000000"/>
          <w:highlight w:val="none"/>
          <w:lang w:val="en-US" w:eastAsia="zh-CN"/>
        </w:rPr>
      </w:pPr>
      <w:r>
        <w:rPr>
          <w:rFonts w:hint="eastAsia" w:ascii="宋体" w:hAnsi="宋体" w:cs="宋体"/>
          <w:bCs/>
          <w:snapToGrid w:val="0"/>
          <w:color w:val="000000"/>
          <w:highlight w:val="none"/>
          <w:lang w:val="en-US" w:eastAsia="zh-CN"/>
        </w:rPr>
        <w:t>•代发客群专区：专属产品及服务展示。</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1.1.3 微信公众号</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主要包括：3*5菜单配置管理、动账通知（对私）、公告/广告发布等。</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1.1.4 渠道业务中台</w:t>
      </w:r>
    </w:p>
    <w:p>
      <w:pPr>
        <w:spacing w:line="600" w:lineRule="exact"/>
        <w:ind w:firstLine="482"/>
        <w:rPr>
          <w:rFonts w:hint="eastAsia" w:ascii="宋体" w:hAnsi="宋体" w:eastAsia="宋体" w:cs="宋体"/>
          <w:i w:val="0"/>
          <w:iCs w:val="0"/>
          <w:caps w:val="0"/>
          <w:smallCaps w:val="0"/>
          <w:snapToGrid w:val="0"/>
          <w:color w:val="auto"/>
          <w:spacing w:val="0"/>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建设标准化服务能力，将各渠道前端使用的业务逻辑整合在渠道业务中台内部，各渠道前端共用一套逻辑，后期具备灵活的可扩展性，支持AI、营销平台等系统及能力的快速接入。通过渠道业务中台与营销平台、各渠道前端间相互链接、联动，支持营销平台的营销</w:t>
      </w:r>
      <w:r>
        <w:rPr>
          <w:rFonts w:hint="eastAsia" w:ascii="宋体" w:hAnsi="宋体" w:cs="宋体"/>
          <w:highlight w:val="none"/>
          <w:lang w:val="en-US" w:eastAsia="zh-CN"/>
        </w:rPr>
        <w:t>活动/广告等营销内容在</w:t>
      </w:r>
      <w:r>
        <w:rPr>
          <w:rFonts w:hint="eastAsia" w:ascii="宋体" w:hAnsi="宋体" w:cs="宋体"/>
          <w:snapToGrid w:val="0"/>
          <w:color w:val="auto"/>
          <w:kern w:val="0"/>
          <w:sz w:val="24"/>
          <w:szCs w:val="24"/>
          <w:highlight w:val="none"/>
          <w:shd w:val="clear" w:color="auto" w:fill="auto"/>
          <w:lang w:val="en-US" w:eastAsia="zh-CN"/>
        </w:rPr>
        <w:t>我行手机银行APP、微信小程序、微信公众号</w:t>
      </w:r>
      <w:r>
        <w:rPr>
          <w:rFonts w:hint="eastAsia" w:ascii="宋体" w:hAnsi="宋体" w:cs="宋体"/>
          <w:highlight w:val="none"/>
          <w:lang w:val="en-US" w:eastAsia="zh-CN"/>
        </w:rPr>
        <w:t>多渠道</w:t>
      </w:r>
      <w:r>
        <w:rPr>
          <w:rFonts w:hint="eastAsia" w:ascii="宋体" w:hAnsi="宋体" w:cs="宋体"/>
          <w:snapToGrid w:val="0"/>
          <w:color w:val="auto"/>
          <w:kern w:val="0"/>
          <w:sz w:val="24"/>
          <w:szCs w:val="24"/>
          <w:highlight w:val="none"/>
          <w:shd w:val="clear" w:color="auto" w:fill="auto"/>
          <w:lang w:val="en-US" w:eastAsia="zh-CN"/>
        </w:rPr>
        <w:t>进行内容</w:t>
      </w:r>
      <w:r>
        <w:rPr>
          <w:rFonts w:hint="eastAsia" w:ascii="宋体" w:hAnsi="宋体" w:cs="宋体"/>
          <w:highlight w:val="none"/>
          <w:lang w:val="en-US" w:eastAsia="zh-CN"/>
        </w:rPr>
        <w:t>推送，实现对多元渠道客户或指定客群营销触达，支持营销高效运营</w:t>
      </w:r>
      <w:r>
        <w:rPr>
          <w:rFonts w:hint="eastAsia" w:ascii="宋体" w:hAnsi="宋体" w:cs="宋体"/>
          <w:snapToGrid w:val="0"/>
          <w:color w:val="auto"/>
          <w:kern w:val="0"/>
          <w:sz w:val="24"/>
          <w:szCs w:val="24"/>
          <w:highlight w:val="none"/>
          <w:shd w:val="clear" w:color="auto" w:fill="auto"/>
          <w:lang w:val="en-US" w:eastAsia="zh-CN"/>
        </w:rPr>
        <w:t>。</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用户中心：负责对业务中台的用户进行集中统一管理，建立统一的用户视图和唯一的用户标识，打通手机银行APP、微信小程序、微信公众号等互联网渠道用户体系，用于满足游客、自助注册、线下签约用户之间的多渠道服务需要；</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合约中心：建立统一的签约流程，提供标准协议版本管理（隐私政策、人脸协议、征信授权书、产品授权书等的签解约和检查服务）、微信/支付宝/云闪付一键绑卡管理，实现对业务合约的统一管理；</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用户行为采集分析中心：支持APP（包括安卓、苹果、鸿蒙）、微信小程序、H5埋点，收集客户行为数据并结合部分交易数据开展基础分析，为数据中台客户画像、智能交易风控系统风控模型丰富客户标签数据源，以支撑精准营销客户、产品推送及持续开展手机银行优化工作；</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产品中心：将产品服务化和参数化，作为产品线上销售的统一出入口，进行统一管理。提供产品的统一配置、统一登记、统一包装、在线审批、销售、以及产品相关的全生命周期管理，满足后期高效率定制产品的需要；</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转账支付中心：转账支付类交易作为手机银行最高频功能，包括行内转账、跨行转账、语音转账、手机号转账、扫码支付、预约转账等细分模块，建立专门的服务中心承载相应服务并统一管理；</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认证中心：结合智能交易风控中心的能力建立统一风险控制机制，整合包括密码、手势、短信、指纹、人脸、云证书、令牌、UKEY等多种认证方式，实现互联网渠道限额体系、认证体系、权限体系、风险策略统一，在风险防控能力和客户体验上做到有效平衡；</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限额中心：结合智能交易风控中心和认证中心的能力，通过多维度控制，建立银行级、用户/账户级、VIP突破级限额的综合限额体系，既满足整体安全要求、又满足用户个性化需求；</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w:t>
      </w:r>
      <w:r>
        <w:rPr>
          <w:rFonts w:hint="eastAsia" w:ascii="宋体" w:hAnsi="宋体" w:cs="宋体"/>
          <w:snapToGrid w:val="0"/>
          <w:color w:val="auto"/>
          <w:kern w:val="0"/>
          <w:sz w:val="24"/>
          <w:szCs w:val="24"/>
          <w:highlight w:val="none"/>
          <w:shd w:val="clear" w:color="auto" w:fill="auto"/>
          <w:lang w:val="en-US" w:eastAsia="zh-CN"/>
        </w:rPr>
        <w:t>管理及参数中心：对各服务渠道内容管理、消息公告管理、机构管理、错误码管理、APP版本号管理等内部业务运营管理功能进行统一，实现业务处理参数化、快速化。</w:t>
      </w:r>
    </w:p>
    <w:p>
      <w:pPr>
        <w:topLinePunct/>
        <w:autoSpaceDE w:val="0"/>
        <w:autoSpaceDN w:val="0"/>
        <w:snapToGrid w:val="0"/>
        <w:spacing w:line="600" w:lineRule="exact"/>
        <w:ind w:firstLine="480" w:firstLineChars="200"/>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1.1.5 功能列表如下：</w:t>
      </w:r>
    </w:p>
    <w:p>
      <w:pPr>
        <w:topLinePunct/>
        <w:autoSpaceDE w:val="0"/>
        <w:autoSpaceDN w:val="0"/>
        <w:snapToGrid w:val="0"/>
        <w:spacing w:line="600" w:lineRule="exact"/>
        <w:ind w:firstLine="480" w:firstLineChars="200"/>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•APP功能点：</w:t>
      </w:r>
    </w:p>
    <w:tbl>
      <w:tblPr>
        <w:tblStyle w:val="20"/>
        <w:tblW w:w="872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2221"/>
        <w:gridCol w:w="2145"/>
        <w:gridCol w:w="3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ascii="Times New Roman" w:hAnsi="Times New Roman" w:eastAsia="方正仿宋_GBK" w:cs="方正仿宋_GBK"/>
                <w:b/>
                <w:bCs/>
                <w:i w:val="0"/>
                <w:iCs w:val="0"/>
                <w:color w:val="auto"/>
                <w:sz w:val="22"/>
                <w:szCs w:val="22"/>
                <w:highlight w:val="none"/>
                <w:u w:val="none"/>
              </w:rPr>
            </w:pPr>
            <w:r>
              <w:rPr>
                <w:rFonts w:hint="eastAsia" w:ascii="Times New Roman" w:hAnsi="Times New Roman" w:eastAsia="方正仿宋_GBK" w:cs="方正仿宋_GBK"/>
                <w:b/>
                <w:bCs/>
                <w:i w:val="0"/>
                <w:iCs w:val="0"/>
                <w:color w:val="auto"/>
                <w:kern w:val="0"/>
                <w:sz w:val="22"/>
                <w:szCs w:val="22"/>
                <w:highlight w:val="none"/>
                <w:u w:val="none"/>
                <w:lang w:val="en-US" w:eastAsia="zh-CN"/>
              </w:rPr>
              <w:t>一级菜单</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b/>
                <w:bCs/>
                <w:i w:val="0"/>
                <w:iCs w:val="0"/>
                <w:color w:val="auto"/>
                <w:sz w:val="22"/>
                <w:szCs w:val="22"/>
                <w:highlight w:val="none"/>
                <w:u w:val="none"/>
              </w:rPr>
            </w:pPr>
            <w:r>
              <w:rPr>
                <w:rFonts w:hint="eastAsia" w:ascii="Times New Roman" w:hAnsi="Times New Roman" w:eastAsia="方正仿宋_GBK" w:cs="方正仿宋_GBK"/>
                <w:b/>
                <w:bCs/>
                <w:i w:val="0"/>
                <w:iCs w:val="0"/>
                <w:color w:val="auto"/>
                <w:kern w:val="0"/>
                <w:sz w:val="22"/>
                <w:szCs w:val="22"/>
                <w:highlight w:val="none"/>
                <w:u w:val="none"/>
                <w:lang w:val="en-US" w:eastAsia="zh-CN"/>
              </w:rPr>
              <w:t>二级菜单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b/>
                <w:bCs/>
                <w:i w:val="0"/>
                <w:iCs w:val="0"/>
                <w:color w:val="auto"/>
                <w:sz w:val="22"/>
                <w:szCs w:val="22"/>
                <w:highlight w:val="none"/>
                <w:u w:val="none"/>
              </w:rPr>
            </w:pPr>
            <w:r>
              <w:rPr>
                <w:rFonts w:hint="eastAsia" w:ascii="Times New Roman" w:hAnsi="Times New Roman" w:eastAsia="方正仿宋_GBK" w:cs="方正仿宋_GBK"/>
                <w:b/>
                <w:bCs/>
                <w:i w:val="0"/>
                <w:iCs w:val="0"/>
                <w:color w:val="auto"/>
                <w:kern w:val="0"/>
                <w:sz w:val="22"/>
                <w:szCs w:val="22"/>
                <w:highlight w:val="none"/>
                <w:u w:val="none"/>
                <w:lang w:val="en-US" w:eastAsia="zh-CN"/>
              </w:rPr>
              <w:t>三级菜单</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b/>
                <w:bCs/>
                <w:i w:val="0"/>
                <w:iCs w:val="0"/>
                <w:color w:val="auto"/>
                <w:sz w:val="22"/>
                <w:szCs w:val="22"/>
                <w:highlight w:val="none"/>
                <w:u w:val="none"/>
              </w:rPr>
            </w:pPr>
            <w:r>
              <w:rPr>
                <w:rFonts w:hint="eastAsia" w:ascii="Times New Roman" w:hAnsi="Times New Roman" w:eastAsia="方正仿宋_GBK" w:cs="方正仿宋_GBK"/>
                <w:b/>
                <w:bCs/>
                <w:i w:val="0"/>
                <w:iCs w:val="0"/>
                <w:color w:val="auto"/>
                <w:kern w:val="0"/>
                <w:sz w:val="22"/>
                <w:szCs w:val="22"/>
                <w:highlight w:val="none"/>
                <w:u w:val="none"/>
                <w:lang w:val="en-US" w:eastAsia="zh-CN"/>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启动</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启动图、启动广告</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自助注册</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注册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支持用户模式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绑定账户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支持I、II、III类户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登录</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密码登录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手势登录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指纹登录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人脸登录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微信登录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支付宝登录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忘记登录密码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采用卡密、短信、人脸、NFC实证等多种方式组合验证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主页</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新手引导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首页</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主页</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金刚区</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常用功能</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支持按功能热度排序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扫一扫</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热门活动</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商城</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主体功能H5接入，爆款商品展示通过接口推送给手机银行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网点服务</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广告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资讯服务</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公告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智能客服</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消息提醒</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首页定制</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搜索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财富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贷款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生活圈</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我的</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主页</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签到</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权益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积分、红包、卡券、机场贵宾厅等，对接积分系统、营销平台、场景金融等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设置</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收货地址管理、用户头像、昵称设置、意见反馈、安全中心、安全检测、设备管理、令牌管理、小额免密、限额管理、日志查询、云闪付支付设置、系统权限管理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账户服务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我的账户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资产负债</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查询该客户名下所有本外币资产负债余额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收支明细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查询手机银行加挂卡下历年所有交易明细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数字人民币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支持个人钱包的开立、绑卡、转账、收付款、充钱包、存银行等功能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无卡取款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小额免密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客户开通小额免密功能后，对于单笔交易金额在设定限额（最高1000元，客户自己设置）以下的POS刷卡交易无需输入密码和在签购单上签名，贴卡即可完成交易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账户激活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支持睡眠户、半年无交易的账户核实客户身份后激活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超网贷记、小额借记签约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申请换卡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线上申请同号换卡，网点领卡激活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自动扣款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提供生活缴费业务代扣查询、解约服务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开户网点查询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账户密码解锁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ascii="Times New Roman" w:hAnsi="Times New Roman" w:eastAsia="方正仿宋_GBK" w:cs="方正仿宋_GBK"/>
                <w:i w:val="0"/>
                <w:iCs w:val="0"/>
                <w:color w:val="auto"/>
                <w:sz w:val="22"/>
                <w:szCs w:val="22"/>
                <w:highlight w:val="none"/>
                <w:u w:val="none"/>
                <w:lang w:val="en-US"/>
              </w:rPr>
            </w:pPr>
            <w:r>
              <w:rPr>
                <w:rFonts w:hint="eastAsia" w:ascii="Times New Roman" w:hAnsi="Times New Roman" w:eastAsia="方正仿宋_GBK" w:cs="方正仿宋_GBK"/>
                <w:i w:val="0"/>
                <w:iCs w:val="0"/>
                <w:color w:val="auto"/>
                <w:kern w:val="0"/>
                <w:sz w:val="22"/>
                <w:szCs w:val="22"/>
                <w:highlight w:val="none"/>
                <w:u w:val="none"/>
                <w:lang w:val="en-US" w:eastAsia="zh-CN"/>
              </w:rPr>
              <w:t>对接视频客服核身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短信通</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短信通号码管理，发送起点金额调整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账户加挂、解挂</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II/III类户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绑定</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支持II、III类户（包括原三峡付、京东等渠道开立的账户）在手机银行进行账户关联与登录。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开立</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（1）支持II、III类户的绑定账户为本、他行I 类户、信用卡；（2）需要对设备定位的判断；（3）需提供白名单功能，设置后仅支持白名单开户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注销</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支持注销II、III类户，支持对不同开户渠道、不同用户进行入口控制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升降级</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支持II、III类户升降级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线上客户修改核心主手机号和/或姓名</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支持原三峡付线上客户修改核心主手机号或/和姓名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外部合作渠道账户换绑卡申请</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支持所有外部渠道的账户进行换绑卡申请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五要素鉴权解冻</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支持原三峡付、京东等合作渠道账户进行五要素鉴权解冻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绑定账户管理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支持对II、III类户的绑定账户进行换绑、解绑操作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交易密码管理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仅支持原三峡付线上客户新设置交易密码、重置原交易密码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充值</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支持三峡付渠道、核心开立的II、III类账户进行本行卡与他行卡充值；默认不支持京东等合作渠道进行充值，可进行白名单配置渠道账户/单个客户提供充值入口，即需支持不同开户渠道、不同用户的入口控制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提现</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提现功能需支持提现到本行卡和他行卡；提现功能需支持不同开户渠道、不同用户的入口控制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线上结售汇</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一键绑卡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转账支付</w:t>
            </w: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转账汇款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银行账号/手机号转账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语音转账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预约转账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预约转账查询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预约转账列表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预约详情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添加新的预约转账计划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终止预约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贷款转出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常用转账行为列表</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转账记录查询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转账伙伴管理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转出收款人管理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转给我的伙伴管理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扫一扫</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集成云网SDK，支持扫微信、支付宝、银联云闪付、我行全景商户的收款码进行支付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付款码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集成云网SDK，支持展示付款码，供微信、支付宝、银联云闪付、我行全景商户扫码后支付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电子回单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他行账户管理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ascii="Times New Roman" w:hAnsi="Times New Roman" w:eastAsia="方正仿宋_GBK" w:cs="方正仿宋_GBK"/>
                <w:i w:val="0"/>
                <w:iCs w:val="0"/>
                <w:color w:val="auto"/>
                <w:sz w:val="22"/>
                <w:szCs w:val="22"/>
                <w:highlight w:val="none"/>
                <w:u w:val="none"/>
                <w:lang w:val="en-US" w:eastAsia="zh-CN"/>
              </w:rPr>
            </w:pPr>
            <w:r>
              <w:rPr>
                <w:rFonts w:hint="eastAsia" w:ascii="Times New Roman" w:hAnsi="Times New Roman" w:eastAsia="方正仿宋_GBK" w:cs="方正仿宋_GBK"/>
                <w:i w:val="0"/>
                <w:iCs w:val="0"/>
                <w:color w:val="auto"/>
                <w:sz w:val="22"/>
                <w:szCs w:val="22"/>
                <w:highlight w:val="none"/>
                <w:u w:val="none"/>
                <w:lang w:val="en-US" w:eastAsia="zh-CN"/>
              </w:rPr>
              <w:t>他行账户签约、扣款</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both"/>
              <w:rPr>
                <w:rFonts w:ascii="Times New Roman" w:hAnsi="Times New Roman" w:eastAsia="方正仿宋_GBK" w:cs="方正仿宋_GBK"/>
                <w:i w:val="0"/>
                <w:iCs w:val="0"/>
                <w:color w:val="auto"/>
                <w:sz w:val="22"/>
                <w:szCs w:val="22"/>
                <w:highlight w:val="none"/>
                <w:u w:val="none"/>
                <w:lang w:val="en-US" w:eastAsia="zh-CN"/>
              </w:rPr>
            </w:pPr>
            <w:r>
              <w:rPr>
                <w:rFonts w:hint="eastAsia" w:ascii="Times New Roman" w:hAnsi="Times New Roman" w:eastAsia="方正仿宋_GBK" w:cs="方正仿宋_GBK"/>
                <w:i w:val="0"/>
                <w:iCs w:val="0"/>
                <w:color w:val="auto"/>
                <w:sz w:val="22"/>
                <w:szCs w:val="22"/>
                <w:highlight w:val="none"/>
                <w:u w:val="none"/>
                <w:lang w:val="en-US" w:eastAsia="zh-CN"/>
              </w:rPr>
              <w:t>对接二代支付超网贷记、小额借记等接口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财富版块</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理财产品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购买、赎回、查询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财富存</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大额存单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购买、支取、查询、转让</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转让功能对接核心存款转让模块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三峡宝</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增加不同渠道、不同客户的支取开关功能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整存整取</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随心存</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签约、解约、查询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风险评估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三方存管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存贷利率</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外汇牌价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代销业务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代销理财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代销保险</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代销基金</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220" w:firstLineChars="10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贷款</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我的贷款（首页）</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存e贷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440" w:firstLineChars="20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主流重构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商户贷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both"/>
              <w:textAlignment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志e贷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both"/>
              <w:textAlignment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采e贷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both"/>
              <w:textAlignment w:val="bottom"/>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税e贷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both"/>
              <w:textAlignment w:val="bottom"/>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征信授权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利息券</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提前还款预约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个税编号查询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贷款结清证明</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贷款计算器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生活服务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党费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生活缴费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水费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燃气费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有线电视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通讯费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宽带费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话费充值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流量充值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交通罚款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帆帆商城</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医保电子凭证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住房公积金</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非税电子化</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低碳三峡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资讯服务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center"/>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商家服务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both"/>
              <w:rPr>
                <w:rFonts w:ascii="Times New Roman" w:hAnsi="Times New Roman" w:eastAsia="方正仿宋_GBK" w:cs="方正仿宋_GBK"/>
                <w:i w:val="0"/>
                <w:iCs w:val="0"/>
                <w:color w:val="auto"/>
                <w:sz w:val="22"/>
                <w:szCs w:val="22"/>
                <w:highlight w:val="none"/>
                <w:u w:val="none"/>
                <w:lang w:val="en-US"/>
              </w:rPr>
            </w:pPr>
            <w:r>
              <w:rPr>
                <w:rFonts w:hint="eastAsia" w:ascii="Times New Roman" w:hAnsi="Times New Roman" w:eastAsia="方正仿宋_GBK" w:cs="方正仿宋_GBK"/>
                <w:i w:val="0"/>
                <w:iCs w:val="0"/>
                <w:color w:val="auto"/>
                <w:kern w:val="0"/>
                <w:sz w:val="22"/>
                <w:szCs w:val="22"/>
                <w:highlight w:val="none"/>
                <w:u w:val="none"/>
                <w:lang w:val="en-US" w:eastAsia="zh-CN"/>
              </w:rPr>
              <w:t>商户手续费减免额度查询、收单交易查询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rPr>
                <w:rFonts w:ascii="Times New Roman" w:hAnsi="Times New Roman" w:eastAsia="方正仿宋_GBK" w:cs="方正仿宋_GBK"/>
                <w:i w:val="0"/>
                <w:iCs w:val="0"/>
                <w:color w:val="auto"/>
                <w:sz w:val="22"/>
                <w:szCs w:val="22"/>
                <w:highlight w:val="none"/>
                <w:u w:val="none"/>
                <w:lang w:val="en-US" w:eastAsia="zh-CN"/>
              </w:rPr>
            </w:pPr>
            <w:r>
              <w:rPr>
                <w:rFonts w:hint="eastAsia" w:ascii="Times New Roman" w:hAnsi="Times New Roman" w:eastAsia="方正仿宋_GBK" w:cs="方正仿宋_GBK"/>
                <w:i w:val="0"/>
                <w:iCs w:val="0"/>
                <w:color w:val="auto"/>
                <w:sz w:val="22"/>
                <w:szCs w:val="22"/>
                <w:highlight w:val="none"/>
                <w:u w:val="none"/>
                <w:lang w:val="en-US" w:eastAsia="zh-CN"/>
              </w:rPr>
              <w:t>仅对商户标签客户可见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营销增值服务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热门活动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440" w:firstLineChars="20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配置展示营销活动信息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本地服务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查询附近优惠商户信息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我的权益</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卡券红包</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云影票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集成云网SDK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车主生活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集成云网SDK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220" w:firstLineChars="10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助手</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安全锁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登录管理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提供手势登录、指纹登录、刷脸登录管理功能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云证书管理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ascii="Times New Roman" w:hAnsi="Times New Roman" w:eastAsia="方正仿宋_GBK" w:cs="方正仿宋_GBK"/>
                <w:i w:val="0"/>
                <w:iCs w:val="0"/>
                <w:color w:val="auto"/>
                <w:sz w:val="22"/>
                <w:szCs w:val="22"/>
                <w:highlight w:val="none"/>
                <w:u w:val="none"/>
                <w:lang w:val="en-US"/>
              </w:rPr>
            </w:pPr>
            <w:r>
              <w:rPr>
                <w:rFonts w:hint="eastAsia" w:ascii="Times New Roman" w:hAnsi="Times New Roman" w:eastAsia="方正仿宋_GBK" w:cs="方正仿宋_GBK"/>
                <w:i w:val="0"/>
                <w:iCs w:val="0"/>
                <w:color w:val="auto"/>
                <w:kern w:val="0"/>
                <w:sz w:val="22"/>
                <w:szCs w:val="22"/>
                <w:highlight w:val="none"/>
                <w:u w:val="none"/>
                <w:lang w:val="en-US" w:eastAsia="zh-CN"/>
              </w:rPr>
              <w:t>数字证书管理，支持证书的下载、解约、密码找回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消息中心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sz w:val="22"/>
                <w:szCs w:val="22"/>
                <w:highlight w:val="none"/>
                <w:u w:val="none"/>
              </w:rPr>
              <w:t>支持消息的分类展示如：动账通知、服务提醒、活动资讯、银行公告等；展示消息推送开关设置，客户可针对消息类别选择“开关”；展示标记为已读。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智能搜索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展示关键字搜索、关键字联想、拼音联想、语音搜索等；</w:t>
            </w: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支持历史搜索、热门搜索、客户常用功能快速定位、热搜榜、产品榜；支持产品、功能、问答等全栈信息检索及与智能客服无缝对接。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证件有效期维护</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接移民局数据支持4类非身份证客户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客户信息完善</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提供线上补录客户职业、联系地址、税收居民标识信息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网点服务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网点服务（发布网点专属活动、线上线下联动、客户经理联系）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ascii="Times New Roman" w:hAnsi="Times New Roman" w:eastAsia="方正仿宋_GBK" w:cs="方正仿宋_GBK"/>
                <w:i w:val="0"/>
                <w:iCs w:val="0"/>
                <w:color w:val="auto"/>
                <w:sz w:val="22"/>
                <w:szCs w:val="22"/>
                <w:highlight w:val="none"/>
                <w:u w:val="none"/>
                <w:lang w:val="en-US"/>
              </w:rPr>
            </w:pPr>
            <w:r>
              <w:rPr>
                <w:rFonts w:hint="eastAsia" w:ascii="Times New Roman" w:hAnsi="Times New Roman" w:eastAsia="方正仿宋_GBK" w:cs="方正仿宋_GBK"/>
                <w:i w:val="0"/>
                <w:iCs w:val="0"/>
                <w:color w:val="auto"/>
                <w:kern w:val="0"/>
                <w:sz w:val="22"/>
                <w:szCs w:val="22"/>
                <w:highlight w:val="none"/>
                <w:u w:val="none"/>
                <w:lang w:val="en-US" w:eastAsia="zh-CN"/>
              </w:rPr>
              <w:t>支持客户与网点归属关系、客户手机定位定向展示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银行流水打印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存款证明打印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大额取款预约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网点取号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申请记录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外币现钞预约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安全认证工具</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IFAA/FIDO</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云证书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OCR</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人脸识别</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滑块验证码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NFC实证校验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UKEY</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SIM卡校验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其他</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视频客服</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136" w:type="dxa"/>
            <w:vMerge w:val="continue"/>
            <w:tcBorders>
              <w:left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auto"/>
                <w:sz w:val="22"/>
                <w:szCs w:val="22"/>
                <w:highlight w:val="none"/>
                <w:u w:val="none"/>
              </w:rPr>
            </w:pPr>
            <w:r>
              <w:rPr>
                <w:rFonts w:hint="eastAsia" w:ascii="Times New Roman" w:hAnsi="Times New Roman" w:eastAsia="方正仿宋_GBK" w:cs="方正仿宋_GBK"/>
                <w:i w:val="0"/>
                <w:iCs w:val="0"/>
                <w:color w:val="auto"/>
                <w:kern w:val="0"/>
                <w:sz w:val="22"/>
                <w:szCs w:val="22"/>
                <w:highlight w:val="none"/>
                <w:u w:val="none"/>
                <w:lang w:val="en-US" w:eastAsia="zh-CN"/>
              </w:rPr>
              <w:t>集中授权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Times New Roman" w:hAnsi="Times New Roman" w:eastAsia="方正仿宋_GBK" w:cs="方正仿宋_GBK"/>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ascii="Times New Roman" w:hAnsi="Times New Roman" w:eastAsia="方正仿宋_GBK" w:cs="方正仿宋_GBK"/>
                <w:i w:val="0"/>
                <w:iCs w:val="0"/>
                <w:color w:val="auto"/>
                <w:kern w:val="0"/>
                <w:sz w:val="22"/>
                <w:szCs w:val="22"/>
                <w:highlight w:val="none"/>
                <w:u w:val="none"/>
                <w:lang w:val="en-US" w:eastAsia="zh-CN"/>
              </w:rPr>
            </w:pPr>
            <w:r>
              <w:rPr>
                <w:rFonts w:hint="eastAsia" w:ascii="Times New Roman" w:hAnsi="Times New Roman" w:eastAsia="方正仿宋_GBK" w:cs="方正仿宋_GBK"/>
                <w:i w:val="0"/>
                <w:iCs w:val="0"/>
                <w:color w:val="auto"/>
                <w:kern w:val="0"/>
                <w:sz w:val="22"/>
                <w:szCs w:val="22"/>
                <w:highlight w:val="none"/>
                <w:u w:val="none"/>
                <w:lang w:val="en-US" w:eastAsia="zh-CN"/>
              </w:rPr>
              <w:t>视频直播</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auto"/>
                <w:sz w:val="22"/>
                <w:szCs w:val="22"/>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left="0" w:firstLine="0" w:firstLineChars="0"/>
              <w:jc w:val="left"/>
              <w:rPr>
                <w:rFonts w:ascii="Times New Roman" w:hAnsi="Times New Roman" w:eastAsia="方正仿宋_GBK" w:cs="方正仿宋_GBK"/>
                <w:i w:val="0"/>
                <w:iCs w:val="0"/>
                <w:color w:val="auto"/>
                <w:sz w:val="22"/>
                <w:szCs w:val="22"/>
                <w:highlight w:val="none"/>
                <w:u w:val="none"/>
                <w:lang w:val="en-US" w:eastAsia="zh-CN"/>
              </w:rPr>
            </w:pPr>
            <w:r>
              <w:rPr>
                <w:rFonts w:hint="eastAsia" w:ascii="Times New Roman" w:hAnsi="Times New Roman" w:eastAsia="方正仿宋_GBK" w:cs="方正仿宋_GBK"/>
                <w:i w:val="0"/>
                <w:iCs w:val="0"/>
                <w:color w:val="auto"/>
                <w:sz w:val="22"/>
                <w:szCs w:val="22"/>
                <w:highlight w:val="none"/>
                <w:u w:val="none"/>
                <w:lang w:val="en-US" w:eastAsia="zh-CN"/>
              </w:rPr>
              <w:t>产品页面支持视频直播、录播回放</w:t>
            </w:r>
          </w:p>
        </w:tc>
      </w:tr>
    </w:tbl>
    <w:p>
      <w:pPr>
        <w:topLinePunct/>
        <w:autoSpaceDE w:val="0"/>
        <w:autoSpaceDN w:val="0"/>
        <w:snapToGrid w:val="0"/>
        <w:spacing w:line="360" w:lineRule="auto"/>
        <w:ind w:firstLine="480" w:firstLineChars="200"/>
        <w:rPr>
          <w:rFonts w:hint="eastAsia" w:ascii="Times New Roman" w:hAnsi="Times New Roman" w:cs="Times New Roman"/>
          <w:snapToGrid w:val="0"/>
          <w:color w:val="auto"/>
          <w:kern w:val="0"/>
          <w:sz w:val="24"/>
          <w:szCs w:val="24"/>
          <w:highlight w:val="none"/>
          <w:shd w:val="clear" w:color="auto" w:fill="auto"/>
          <w:lang w:val="en-US" w:eastAsia="zh-CN"/>
        </w:rPr>
      </w:pPr>
    </w:p>
    <w:p>
      <w:pPr>
        <w:topLinePunct/>
        <w:autoSpaceDE w:val="0"/>
        <w:autoSpaceDN w:val="0"/>
        <w:snapToGrid w:val="0"/>
        <w:spacing w:line="360" w:lineRule="auto"/>
        <w:ind w:firstLine="480" w:firstLineChars="200"/>
        <w:rPr>
          <w:rFonts w:ascii="Times New Roman" w:hAnsi="Times New Roman" w:eastAsia="微软雅黑" w:cs="微软雅黑"/>
          <w:snapToGrid w:val="0"/>
          <w:color w:val="auto"/>
          <w:kern w:val="0"/>
          <w:sz w:val="24"/>
          <w:szCs w:val="24"/>
          <w:highlight w:val="none"/>
          <w:shd w:val="clear" w:color="auto" w:fill="auto"/>
          <w:lang w:val="en-US" w:eastAsia="zh-CN"/>
        </w:rPr>
      </w:pPr>
      <w:r>
        <w:rPr>
          <w:rFonts w:hint="eastAsia" w:ascii="Times New Roman" w:hAnsi="Times New Roman" w:cs="Times New Roman"/>
          <w:snapToGrid w:val="0"/>
          <w:color w:val="auto"/>
          <w:kern w:val="0"/>
          <w:sz w:val="24"/>
          <w:szCs w:val="24"/>
          <w:highlight w:val="none"/>
          <w:shd w:val="clear" w:color="auto" w:fill="auto"/>
          <w:lang w:val="en-US" w:eastAsia="zh-CN"/>
        </w:rPr>
        <w:t>•微信小程序功能点：</w:t>
      </w:r>
    </w:p>
    <w:tbl>
      <w:tblPr>
        <w:tblStyle w:val="20"/>
        <w:tblW w:w="858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8"/>
        <w:gridCol w:w="1913"/>
        <w:gridCol w:w="2557"/>
        <w:gridCol w:w="2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2" w:hRule="atLeast"/>
        </w:trPr>
        <w:tc>
          <w:tcPr>
            <w:tcW w:w="1198"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ascii="Times New Roman" w:hAnsi="Times New Roman" w:eastAsia="方正仿宋_GBK" w:cs="方正仿宋_GBK"/>
                <w:b/>
                <w:bCs/>
                <w:i w:val="0"/>
                <w:iCs w:val="0"/>
                <w:color w:val="000000"/>
                <w:sz w:val="22"/>
                <w:szCs w:val="22"/>
                <w:highlight w:val="none"/>
                <w:u w:val="none"/>
                <w:lang w:val="en-US" w:eastAsia="zh-CN"/>
              </w:rPr>
            </w:pPr>
            <w:r>
              <w:rPr>
                <w:rFonts w:hint="eastAsia" w:ascii="Times New Roman" w:hAnsi="Times New Roman" w:eastAsia="方正仿宋_GBK" w:cs="方正仿宋_GBK"/>
                <w:b/>
                <w:bCs/>
                <w:i w:val="0"/>
                <w:iCs w:val="0"/>
                <w:color w:val="000000"/>
                <w:sz w:val="22"/>
                <w:szCs w:val="22"/>
                <w:highlight w:val="none"/>
                <w:u w:val="none"/>
                <w:lang w:val="en-US" w:eastAsia="zh-CN"/>
              </w:rPr>
              <w:t>一级菜单</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b/>
                <w:bCs/>
                <w:i w:val="0"/>
                <w:iCs w:val="0"/>
                <w:color w:val="000000"/>
                <w:sz w:val="22"/>
                <w:szCs w:val="22"/>
                <w:highlight w:val="none"/>
                <w:u w:val="none"/>
              </w:rPr>
            </w:pPr>
            <w:r>
              <w:rPr>
                <w:rFonts w:hint="eastAsia" w:ascii="Times New Roman" w:hAnsi="Times New Roman" w:eastAsia="方正仿宋_GBK" w:cs="方正仿宋_GBK"/>
                <w:b/>
                <w:bCs/>
                <w:i w:val="0"/>
                <w:iCs w:val="0"/>
                <w:color w:val="000000"/>
                <w:kern w:val="0"/>
                <w:sz w:val="22"/>
                <w:szCs w:val="22"/>
                <w:highlight w:val="none"/>
                <w:u w:val="none"/>
                <w:lang w:val="en-US" w:eastAsia="zh-CN"/>
              </w:rPr>
              <w:t>二级菜单</w:t>
            </w:r>
          </w:p>
        </w:tc>
        <w:tc>
          <w:tcPr>
            <w:tcW w:w="2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b/>
                <w:bCs/>
                <w:i w:val="0"/>
                <w:iCs w:val="0"/>
                <w:color w:val="000000"/>
                <w:sz w:val="22"/>
                <w:szCs w:val="22"/>
                <w:highlight w:val="none"/>
                <w:u w:val="none"/>
              </w:rPr>
            </w:pPr>
            <w:r>
              <w:rPr>
                <w:rFonts w:hint="eastAsia" w:ascii="Times New Roman" w:hAnsi="Times New Roman" w:eastAsia="方正仿宋_GBK" w:cs="方正仿宋_GBK"/>
                <w:b/>
                <w:bCs/>
                <w:i w:val="0"/>
                <w:iCs w:val="0"/>
                <w:color w:val="000000"/>
                <w:kern w:val="0"/>
                <w:sz w:val="22"/>
                <w:szCs w:val="22"/>
                <w:highlight w:val="none"/>
                <w:u w:val="none"/>
                <w:lang w:val="en-US" w:eastAsia="zh-CN"/>
              </w:rPr>
              <w:t>三级菜单</w:t>
            </w:r>
          </w:p>
        </w:tc>
        <w:tc>
          <w:tcPr>
            <w:tcW w:w="2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b/>
                <w:bCs/>
                <w:i w:val="0"/>
                <w:iCs w:val="0"/>
                <w:color w:val="000000"/>
                <w:sz w:val="22"/>
                <w:szCs w:val="22"/>
                <w:highlight w:val="none"/>
                <w:u w:val="none"/>
              </w:rPr>
            </w:pPr>
            <w:r>
              <w:rPr>
                <w:rFonts w:hint="eastAsia" w:ascii="Times New Roman" w:hAnsi="Times New Roman" w:eastAsia="方正仿宋_GBK" w:cs="方正仿宋_GBK"/>
                <w:b/>
                <w:bCs/>
                <w:i w:val="0"/>
                <w:iCs w:val="0"/>
                <w:color w:val="000000"/>
                <w:kern w:val="0"/>
                <w:sz w:val="22"/>
                <w:szCs w:val="22"/>
                <w:highlight w:val="none"/>
                <w:u w:val="none"/>
                <w:lang w:val="en-US" w:eastAsia="zh-CN"/>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主页</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功能分布、广告位</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支持主页定制及广告位按客群、客户分组定向展示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客户/账户服务</w:t>
            </w: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自助注册</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注册</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绑卡</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登录</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676A6C"/>
                <w:sz w:val="22"/>
                <w:szCs w:val="22"/>
                <w:highlight w:val="none"/>
                <w:u w:val="none"/>
              </w:rPr>
            </w:pPr>
            <w:r>
              <w:rPr>
                <w:rFonts w:hint="eastAsia" w:ascii="Times New Roman" w:hAnsi="Times New Roman" w:eastAsia="方正仿宋_GBK" w:cs="方正仿宋_GBK"/>
                <w:i w:val="0"/>
                <w:iCs w:val="0"/>
                <w:color w:val="676A6C"/>
                <w:kern w:val="0"/>
                <w:sz w:val="22"/>
                <w:szCs w:val="22"/>
                <w:highlight w:val="none"/>
                <w:u w:val="none"/>
                <w:lang w:val="en-US" w:eastAsia="zh-CN"/>
              </w:rPr>
              <w:t>密码登录</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bottom"/>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忘记密码</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查询类服务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动账通知（对私）</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资产负债查询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账户查询、收支明细查询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客户等级、权益查询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外汇牌价查询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网点类服务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银行流水打印</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查找网点/ATM（导航）</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大额取款预约</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存款证明打印</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预约/现场排队取号</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对公预约开户</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8" w:type="dxa"/>
            <w:vMerge w:val="continue"/>
            <w:tcBorders>
              <w:top w:val="nil"/>
              <w:left w:val="single" w:color="000000" w:sz="8" w:space="0"/>
              <w:bottom w:val="single" w:color="000000" w:sz="8" w:space="0"/>
              <w:right w:val="single" w:color="000000" w:sz="8" w:space="0"/>
            </w:tcBorders>
            <w:shd w:val="clear" w:color="auto" w:fill="auto"/>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统一客户信息</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打通手机银行、微信小程序用户体系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统一授权登录</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统一授权后，无需重复登录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绑定/解绑</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智能机器人客服</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银企对账</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特殊业务自助申请</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对接双录系统和柜面，实现客户身份认证+资料、音视频影像收集，推送待办任务至柜面处理（含密码解锁、限额调整2个业务）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1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财富版块</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在售产品信息展示</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对接新金销平台，买、卖及查询功能通过跳转手机银行实现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贷款</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商户贷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办理业务跳转手机银行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房e贷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尊享贷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新渝贷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惠企贷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40" w:firstLineChars="20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政务/便民服务</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公积金查询</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社保查询</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绿色金融</w:t>
            </w: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低碳三峡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绿色生活</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绿色金融</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绿色知识普及</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客户经理微营业厅</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主页</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头像维护</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主题管理</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活动管理</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bottom"/>
              <w:rPr>
                <w:rFonts w:ascii="Times New Roman" w:hAnsi="Times New Roman" w:eastAsia="方正仿宋_GBK" w:cs="方正仿宋_GBK"/>
                <w:i w:val="0"/>
                <w:iCs w:val="0"/>
                <w:color w:val="000000"/>
                <w:kern w:val="0"/>
                <w:sz w:val="22"/>
                <w:szCs w:val="22"/>
                <w:highlight w:val="none"/>
                <w:u w:val="none"/>
                <w:lang w:val="en-US" w:eastAsia="zh-CN"/>
              </w:rPr>
            </w:pPr>
            <w:r>
              <w:rPr>
                <w:rFonts w:hint="eastAsia" w:ascii="Times New Roman" w:hAnsi="Times New Roman" w:eastAsia="方正仿宋_GBK" w:cs="方正仿宋_GBK"/>
                <w:i w:val="0"/>
                <w:iCs w:val="0"/>
                <w:color w:val="000000"/>
                <w:kern w:val="0"/>
                <w:sz w:val="22"/>
                <w:szCs w:val="22"/>
                <w:highlight w:val="none"/>
                <w:u w:val="none"/>
                <w:lang w:val="en-US" w:eastAsia="zh-CN"/>
              </w:rPr>
              <w:t>名片分享</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both"/>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产品管理</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理财产品</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ascii="Times New Roman" w:hAnsi="Times New Roman" w:eastAsia="方正仿宋_GBK" w:cs="方正仿宋_GBK"/>
                <w:i w:val="0"/>
                <w:iCs w:val="0"/>
                <w:color w:val="000000"/>
                <w:sz w:val="22"/>
                <w:szCs w:val="22"/>
                <w:highlight w:val="none"/>
                <w:u w:val="none"/>
                <w:lang w:val="en-US" w:eastAsia="zh-CN"/>
              </w:rPr>
            </w:pPr>
            <w:r>
              <w:rPr>
                <w:rFonts w:hint="eastAsia" w:ascii="Times New Roman" w:hAnsi="Times New Roman" w:eastAsia="方正仿宋_GBK" w:cs="方正仿宋_GBK"/>
                <w:i w:val="0"/>
                <w:iCs w:val="0"/>
                <w:color w:val="000000"/>
                <w:sz w:val="22"/>
                <w:szCs w:val="22"/>
                <w:highlight w:val="none"/>
                <w:u w:val="none"/>
                <w:lang w:val="en-US" w:eastAsia="zh-CN"/>
              </w:rPr>
              <w:t>总行提供统一的产品宣传，客户经理自主选择展示（所有产品模式相同）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财富存</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大额存单</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三峡宝</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房e贷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商户贷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尊享贷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新渝贷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惠企贷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主页预览、发布</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主页发布</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产品分享</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Times New Roman" w:hAnsi="Times New Roman" w:eastAsia="方正仿宋_GBK" w:cs="方正仿宋_GBK"/>
                <w:i w:val="0"/>
                <w:iCs w:val="0"/>
                <w:color w:val="000000"/>
                <w:sz w:val="22"/>
                <w:szCs w:val="22"/>
                <w:highlight w:val="none"/>
                <w:u w:val="none"/>
              </w:rPr>
            </w:pPr>
            <w:r>
              <w:rPr>
                <w:rFonts w:hint="eastAsia" w:ascii="Times New Roman" w:hAnsi="Times New Roman" w:eastAsia="方正仿宋_GBK" w:cs="方正仿宋_GBK"/>
                <w:i w:val="0"/>
                <w:iCs w:val="0"/>
                <w:color w:val="000000"/>
                <w:kern w:val="0"/>
                <w:sz w:val="22"/>
                <w:szCs w:val="22"/>
                <w:highlight w:val="none"/>
                <w:u w:val="none"/>
                <w:lang w:val="en-US" w:eastAsia="zh-CN"/>
              </w:rPr>
              <w:t>查看营销业绩</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both"/>
              <w:rPr>
                <w:rFonts w:hint="eastAsia" w:ascii="Times New Roman" w:hAnsi="Times New Roman" w:eastAsia="方正仿宋_GBK" w:cs="方正仿宋_GBK"/>
                <w:i w:val="0"/>
                <w:iCs w:val="0"/>
                <w:color w:val="000000"/>
                <w:sz w:val="22"/>
                <w:szCs w:val="22"/>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rPr>
                <w:rFonts w:hint="eastAsia" w:ascii="Times New Roman" w:hAnsi="Times New Roman" w:eastAsia="方正仿宋_GBK" w:cs="方正仿宋_GBK"/>
                <w:i w:val="0"/>
                <w:iCs w:val="0"/>
                <w:color w:val="000000"/>
                <w:sz w:val="22"/>
                <w:szCs w:val="22"/>
                <w:highlight w:val="none"/>
                <w:u w:val="none"/>
              </w:rPr>
            </w:pPr>
          </w:p>
        </w:tc>
      </w:tr>
    </w:tbl>
    <w:p>
      <w:pPr>
        <w:topLinePunct/>
        <w:autoSpaceDE w:val="0"/>
        <w:autoSpaceDN w:val="0"/>
        <w:snapToGrid w:val="0"/>
        <w:spacing w:line="360" w:lineRule="auto"/>
        <w:ind w:firstLine="480" w:firstLineChars="200"/>
        <w:rPr>
          <w:rFonts w:ascii="Times New Roman" w:hAnsi="Times New Roman" w:cs="Times New Roman"/>
          <w:snapToGrid w:val="0"/>
          <w:color w:val="auto"/>
          <w:kern w:val="0"/>
          <w:sz w:val="24"/>
          <w:szCs w:val="24"/>
          <w:highlight w:val="none"/>
          <w:shd w:val="clear" w:color="auto" w:fill="auto"/>
          <w:lang w:val="en-US" w:eastAsia="zh-CN"/>
        </w:rPr>
      </w:pPr>
    </w:p>
    <w:p>
      <w:pPr>
        <w:topLinePunct/>
        <w:autoSpaceDE w:val="0"/>
        <w:autoSpaceDN w:val="0"/>
        <w:snapToGrid w:val="0"/>
        <w:spacing w:line="360" w:lineRule="auto"/>
        <w:ind w:left="0" w:firstLine="720" w:firstLineChars="300"/>
        <w:rPr>
          <w:rFonts w:hint="eastAsia" w:ascii="Times New Roman" w:hAnsi="Times New Roman" w:cs="Times New Roman"/>
          <w:snapToGrid w:val="0"/>
          <w:color w:val="auto"/>
          <w:kern w:val="0"/>
          <w:sz w:val="24"/>
          <w:szCs w:val="24"/>
          <w:highlight w:val="none"/>
          <w:shd w:val="clear" w:color="auto" w:fill="auto"/>
          <w:lang w:val="en-US" w:eastAsia="zh-CN"/>
        </w:rPr>
      </w:pPr>
      <w:r>
        <w:rPr>
          <w:rFonts w:hint="eastAsia" w:ascii="Times New Roman" w:hAnsi="Times New Roman" w:cs="Times New Roman"/>
          <w:snapToGrid w:val="0"/>
          <w:color w:val="auto"/>
          <w:kern w:val="0"/>
          <w:sz w:val="24"/>
          <w:szCs w:val="24"/>
          <w:highlight w:val="none"/>
          <w:shd w:val="clear" w:color="auto" w:fill="auto"/>
          <w:lang w:val="en-US" w:eastAsia="zh-CN"/>
        </w:rPr>
        <w:t>1.1.6 特别注意，上述需求范围供参考，最终需求以双方约定内容为准。实际实施过程中，允许10%的工作量浮动。</w:t>
      </w:r>
    </w:p>
    <w:p>
      <w:pPr>
        <w:topLinePunct/>
        <w:autoSpaceDE w:val="0"/>
        <w:autoSpaceDN w:val="0"/>
        <w:snapToGrid w:val="0"/>
        <w:spacing w:line="360" w:lineRule="auto"/>
        <w:ind w:left="0" w:firstLine="720" w:firstLineChars="300"/>
        <w:rPr>
          <w:rFonts w:hint="eastAsia" w:ascii="Times New Roman" w:hAnsi="Times New Roman" w:cs="Times New Roman"/>
          <w:snapToGrid w:val="0"/>
          <w:color w:val="auto"/>
          <w:kern w:val="0"/>
          <w:sz w:val="24"/>
          <w:szCs w:val="24"/>
          <w:highlight w:val="none"/>
          <w:shd w:val="clear" w:color="auto" w:fill="auto"/>
          <w:lang w:val="en-US" w:eastAsia="zh-CN"/>
        </w:rPr>
      </w:pPr>
      <w:r>
        <w:rPr>
          <w:rFonts w:hint="eastAsia" w:ascii="Times New Roman" w:hAnsi="Times New Roman" w:cs="Times New Roman"/>
          <w:snapToGrid w:val="0"/>
          <w:color w:val="auto"/>
          <w:kern w:val="0"/>
          <w:sz w:val="24"/>
          <w:szCs w:val="24"/>
          <w:highlight w:val="none"/>
          <w:shd w:val="clear" w:color="auto" w:fill="auto"/>
          <w:lang w:val="en-US" w:eastAsia="zh-CN"/>
        </w:rPr>
        <w:t>1.2 业务连续性需求</w:t>
      </w:r>
    </w:p>
    <w:tbl>
      <w:tblPr>
        <w:tblStyle w:val="20"/>
        <w:tblW w:w="5431" w:type="dxa"/>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lang w:val="en-US"/>
              </w:rPr>
            </w:pPr>
            <w:r>
              <w:rPr>
                <w:rFonts w:ascii="Times New Roman" w:hAnsi="Times New Roman" w:eastAsia="方正仿宋_GBK" w:cs="Times New Roman"/>
                <w:color w:val="auto"/>
                <w:sz w:val="24"/>
                <w:szCs w:val="24"/>
                <w:highlight w:val="none"/>
                <w:shd w:val="clear" w:color="auto" w:fill="auto"/>
              </w:rPr>
              <w:t xml:space="preserve">业务RTO（恢复时间目标）：  </w:t>
            </w:r>
            <w:r>
              <w:rPr>
                <w:rFonts w:hint="eastAsia" w:ascii="Times New Roman" w:hAnsi="Times New Roman" w:eastAsia="方正仿宋_GBK" w:cs="Times New Roman"/>
                <w:color w:val="auto"/>
                <w:sz w:val="24"/>
                <w:szCs w:val="24"/>
                <w:highlight w:val="none"/>
                <w:shd w:val="clear" w:color="auto" w:fill="auto"/>
                <w:lang w:val="en-US" w:eastAsia="zh-CN"/>
              </w:rPr>
              <w:t xml:space="preserve"> </w:t>
            </w:r>
            <w:r>
              <w:rPr>
                <w:rFonts w:ascii="Times New Roman" w:hAnsi="Times New Roman" w:eastAsia="方正仿宋_GBK" w:cs="Times New Roman"/>
                <w:color w:val="auto"/>
                <w:sz w:val="24"/>
                <w:szCs w:val="24"/>
                <w:highlight w:val="none"/>
                <w:shd w:val="clear" w:color="auto" w:fill="auto"/>
              </w:rPr>
              <w:t xml:space="preserve"> </w:t>
            </w:r>
            <w:r>
              <w:rPr>
                <w:rFonts w:hint="eastAsia" w:ascii="Times New Roman" w:hAnsi="Times New Roman" w:eastAsia="方正仿宋_GBK" w:cs="Times New Roman"/>
                <w:color w:val="auto"/>
                <w:sz w:val="24"/>
                <w:szCs w:val="24"/>
                <w:highlight w:val="none"/>
                <w:shd w:val="clear" w:color="auto" w:fill="auto"/>
                <w:lang w:val="en-US" w:eastAsia="zh-CN"/>
              </w:rPr>
              <w:t>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lang w:val="en-US"/>
              </w:rPr>
            </w:pPr>
            <w:r>
              <w:rPr>
                <w:rFonts w:ascii="Times New Roman" w:hAnsi="Times New Roman" w:eastAsia="方正仿宋_GBK" w:cs="Times New Roman"/>
                <w:color w:val="auto"/>
                <w:sz w:val="24"/>
                <w:szCs w:val="24"/>
                <w:highlight w:val="none"/>
                <w:shd w:val="clear" w:color="auto" w:fill="auto"/>
              </w:rPr>
              <w:t xml:space="preserve">业务RPO（恢复时间点目标）：  </w:t>
            </w:r>
            <w:r>
              <w:rPr>
                <w:rFonts w:hint="eastAsia" w:ascii="Times New Roman" w:hAnsi="Times New Roman" w:eastAsia="方正仿宋_GBK" w:cs="Times New Roman"/>
                <w:color w:val="auto"/>
                <w:sz w:val="24"/>
                <w:szCs w:val="24"/>
                <w:highlight w:val="none"/>
                <w:shd w:val="clear" w:color="auto" w:fill="auto"/>
                <w:lang w:val="en-US" w:eastAsia="zh-CN"/>
              </w:rPr>
              <w:t>15分钟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rPr>
            </w:pPr>
            <w:r>
              <w:rPr>
                <w:rFonts w:ascii="Times New Roman" w:hAnsi="Times New Roman" w:eastAsia="方正仿宋_GBK" w:cs="Times New Roman"/>
                <w:color w:val="auto"/>
                <w:sz w:val="24"/>
                <w:szCs w:val="24"/>
                <w:highlight w:val="none"/>
                <w:shd w:val="clear" w:color="auto" w:fill="auto"/>
              </w:rPr>
              <w:t xml:space="preserve">技术RTO（恢复时间目标）：   </w:t>
            </w:r>
            <w:r>
              <w:rPr>
                <w:rFonts w:hint="eastAsia" w:ascii="Times New Roman" w:hAnsi="Times New Roman" w:eastAsia="方正仿宋_GBK" w:cs="Times New Roman"/>
                <w:color w:val="auto"/>
                <w:sz w:val="24"/>
                <w:szCs w:val="24"/>
                <w:highlight w:val="none"/>
                <w:shd w:val="clear" w:color="auto" w:fill="auto"/>
                <w:lang w:val="en-US" w:eastAsia="zh-CN"/>
              </w:rPr>
              <w:t xml:space="preserve"> 25分钟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方正仿宋_GBK" w:cs="Times New Roman"/>
                <w:color w:val="auto"/>
                <w:sz w:val="24"/>
                <w:szCs w:val="24"/>
                <w:highlight w:val="none"/>
                <w:shd w:val="clear" w:color="auto" w:fill="auto"/>
              </w:rPr>
            </w:pPr>
            <w:r>
              <w:rPr>
                <w:rFonts w:ascii="Times New Roman" w:hAnsi="Times New Roman" w:eastAsia="方正仿宋_GBK" w:cs="Times New Roman"/>
                <w:color w:val="auto"/>
                <w:sz w:val="24"/>
                <w:szCs w:val="24"/>
                <w:highlight w:val="none"/>
                <w:shd w:val="clear" w:color="auto" w:fill="auto"/>
              </w:rPr>
              <w:t xml:space="preserve">技术RPO（恢复时间点目标）：  </w:t>
            </w:r>
            <w:r>
              <w:rPr>
                <w:rFonts w:hint="eastAsia" w:ascii="Times New Roman" w:hAnsi="Times New Roman" w:eastAsia="方正仿宋_GBK" w:cs="Times New Roman"/>
                <w:color w:val="auto"/>
                <w:sz w:val="24"/>
                <w:szCs w:val="24"/>
                <w:highlight w:val="none"/>
                <w:shd w:val="clear" w:color="auto" w:fill="auto"/>
                <w:lang w:val="en-US" w:eastAsia="zh-CN"/>
              </w:rPr>
              <w:t>15分钟</w:t>
            </w:r>
          </w:p>
        </w:tc>
      </w:tr>
    </w:tbl>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84" w:name="_Toc16955"/>
      <w:r>
        <w:rPr>
          <w:rFonts w:hint="eastAsia" w:ascii="Times New Roman" w:hAnsi="Times New Roman"/>
          <w:color w:val="auto"/>
          <w:highlight w:val="none"/>
          <w:shd w:val="clear" w:color="auto" w:fill="auto"/>
        </w:rPr>
        <w:t>技术要求</w:t>
      </w:r>
      <w:bookmarkEnd w:id="84"/>
    </w:p>
    <w:p>
      <w:pPr>
        <w:pStyle w:val="4"/>
        <w:spacing w:line="600" w:lineRule="exact"/>
        <w:ind w:firstLine="482"/>
        <w:rPr>
          <w:rFonts w:ascii="Times New Roman" w:hAnsi="Times New Roman"/>
          <w:color w:val="auto"/>
          <w:szCs w:val="24"/>
          <w:highlight w:val="none"/>
          <w:shd w:val="clear" w:color="auto" w:fill="auto"/>
        </w:rPr>
      </w:pPr>
      <w:bookmarkStart w:id="85" w:name="_Toc4656"/>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.1 </w:t>
      </w:r>
      <w:r>
        <w:rPr>
          <w:rFonts w:hint="eastAsia" w:ascii="Times New Roman" w:hAnsi="Times New Roman"/>
          <w:color w:val="auto"/>
          <w:szCs w:val="24"/>
          <w:highlight w:val="none"/>
          <w:shd w:val="clear" w:color="auto" w:fill="auto"/>
        </w:rPr>
        <w:t>总体原则</w:t>
      </w:r>
      <w:bookmarkEnd w:id="85"/>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系统的建设应遵循集成性、先进性、可扩展性、稳定性、安全性、经济性、前瞻性和可维护性相结合的原则。</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 xml:space="preserve">2.1.1 </w:t>
      </w:r>
      <w:r>
        <w:rPr>
          <w:rFonts w:hint="eastAsia" w:ascii="Times New Roman" w:hAnsi="Times New Roman"/>
          <w:color w:val="auto"/>
          <w:szCs w:val="24"/>
          <w:highlight w:val="none"/>
          <w:shd w:val="clear" w:color="auto" w:fill="auto"/>
        </w:rPr>
        <w:t>集成性：系统建设需充分考虑与其它系统的集成，能快速与比选人其它业务和管理系统的集成。</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2 先进性：软件系统的选择与开发应在满足业务需求的基础上具有易改造、易升级、易操作、易维护等特点。</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3 可扩展性：支持业务和系统的可扩展，支持行业应用可扩展，具有向后兼容的能力。</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4 稳定性：系统要确保系统平稳运行，支持7×24小时连续运行，满足高峰处理的需要。</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5 安全性：</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1</w:t>
      </w:r>
      <w:r>
        <w:rPr>
          <w:rFonts w:hint="eastAsia" w:ascii="Times New Roman" w:hAnsi="Times New Roman"/>
          <w:color w:val="auto"/>
          <w:szCs w:val="24"/>
          <w:highlight w:val="none"/>
          <w:shd w:val="clear" w:color="auto" w:fill="auto"/>
        </w:rPr>
        <w:t>）系统必须建立在成熟稳定的硬件环境和应用软件基础上，通过完善的备份恢复策略、安全控制机制、可靠的运行管理监控和故障处理手段来保障系统的运行稳定、安全。</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w:t>
      </w:r>
      <w:r>
        <w:rPr>
          <w:rFonts w:hint="eastAsia" w:ascii="Times New Roman" w:hAnsi="Times New Roman"/>
          <w:color w:val="auto"/>
          <w:szCs w:val="24"/>
          <w:highlight w:val="none"/>
          <w:shd w:val="clear" w:color="auto" w:fill="auto"/>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w:t>
      </w:r>
      <w:r>
        <w:rPr>
          <w:rFonts w:hint="eastAsia" w:ascii="Times New Roman" w:hAnsi="Times New Roman"/>
          <w:szCs w:val="24"/>
          <w:highlight w:val="none"/>
          <w:shd w:val="clear" w:color="auto" w:fill="auto"/>
        </w:rPr>
        <w:t>、即时数据加密等安全措施防止数据被非法截获</w:t>
      </w:r>
      <w:r>
        <w:rPr>
          <w:rFonts w:ascii="Times New Roman" w:hAnsi="Times New Roman"/>
          <w:szCs w:val="24"/>
          <w:highlight w:val="none"/>
          <w:shd w:val="clear" w:color="auto" w:fill="auto"/>
        </w:rPr>
        <w:t>；</w:t>
      </w:r>
      <w:r>
        <w:rPr>
          <w:rFonts w:hint="eastAsia" w:ascii="Times New Roman" w:hAnsi="Times New Roman"/>
          <w:szCs w:val="24"/>
          <w:shd w:val="clear" w:color="auto" w:fill="auto"/>
        </w:rPr>
        <w:t>满足网信、公安等监管最新的隐私政策要求。</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6 经济性：系统的建设要考虑在网络、设备、信息安全等方面合理利用现有的资源。要充分调研，结合业务需求，合理利用现有资源，降低系统的投资，创造最优的工作效率，产生最好的经济效益。</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2.1.</w:t>
      </w:r>
      <w:r>
        <w:rPr>
          <w:rFonts w:hint="eastAsia" w:ascii="Times New Roman" w:hAnsi="Times New Roman"/>
          <w:color w:val="auto"/>
          <w:szCs w:val="24"/>
          <w:highlight w:val="none"/>
          <w:shd w:val="clear" w:color="auto" w:fill="auto"/>
        </w:rPr>
        <w:t>8 可维护性：系统可维护，运行成本可控。</w:t>
      </w:r>
    </w:p>
    <w:p>
      <w:pPr>
        <w:pStyle w:val="4"/>
        <w:spacing w:line="600" w:lineRule="exact"/>
        <w:ind w:firstLine="482"/>
        <w:rPr>
          <w:rFonts w:ascii="Times New Roman" w:hAnsi="Times New Roman"/>
          <w:color w:val="auto"/>
          <w:szCs w:val="24"/>
          <w:highlight w:val="none"/>
          <w:shd w:val="clear" w:color="auto" w:fill="auto"/>
        </w:rPr>
      </w:pPr>
      <w:bookmarkStart w:id="86" w:name="_Toc23954"/>
      <w:r>
        <w:rPr>
          <w:rFonts w:hint="eastAsia" w:ascii="Times New Roman" w:hAnsi="Times New Roman"/>
          <w:color w:val="auto"/>
          <w:szCs w:val="24"/>
          <w:highlight w:val="none"/>
          <w:shd w:val="clear" w:color="auto" w:fill="auto"/>
        </w:rPr>
        <w:t>2.2 用户体验要求</w:t>
      </w:r>
      <w:bookmarkEnd w:id="86"/>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界面可根据用户需求灵活更改（增强标签分类特性），注重用户体验，使系统各项功能易见、易学、易用。</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pPr>
        <w:pStyle w:val="4"/>
        <w:spacing w:line="600" w:lineRule="exact"/>
        <w:ind w:firstLine="482"/>
        <w:rPr>
          <w:rFonts w:ascii="Times New Roman" w:hAnsi="Times New Roman"/>
          <w:color w:val="auto"/>
          <w:szCs w:val="24"/>
          <w:highlight w:val="none"/>
          <w:shd w:val="clear" w:color="auto" w:fill="auto"/>
        </w:rPr>
      </w:pPr>
      <w:bookmarkStart w:id="87" w:name="_Toc13528"/>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.3 </w:t>
      </w:r>
      <w:r>
        <w:rPr>
          <w:rFonts w:hint="eastAsia" w:ascii="Times New Roman" w:hAnsi="Times New Roman"/>
          <w:color w:val="auto"/>
          <w:szCs w:val="24"/>
          <w:highlight w:val="none"/>
          <w:shd w:val="clear" w:color="auto" w:fill="auto"/>
        </w:rPr>
        <w:t>系统技术架构要求</w:t>
      </w:r>
      <w:bookmarkEnd w:id="87"/>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2）系统技术架构合理，数据结构合理，避免数据冗余，具有良好的扩展性、维护性和稳定性。如服务限流机制、服务降级机制等服务管控机制的应用，保障系统稳定运行。</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4）支持集群部署方式，适应本行未来业务发展的需要。应用系统之间逻辑独立、启停服务时系统间不相互影响的部署方案。应用系统应支持双活跨数据中心的部署方案。</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5）系统支持域名部署。</w:t>
      </w:r>
    </w:p>
    <w:p>
      <w:pPr>
        <w:pStyle w:val="4"/>
        <w:spacing w:line="600" w:lineRule="exact"/>
        <w:ind w:firstLine="482"/>
        <w:rPr>
          <w:rFonts w:ascii="Times New Roman" w:hAnsi="Times New Roman"/>
          <w:color w:val="auto"/>
          <w:szCs w:val="24"/>
          <w:highlight w:val="none"/>
          <w:shd w:val="clear" w:color="auto" w:fill="auto"/>
        </w:rPr>
      </w:pPr>
      <w:bookmarkStart w:id="88" w:name="_Toc304"/>
      <w:r>
        <w:rPr>
          <w:rFonts w:ascii="Times New Roman" w:hAnsi="Times New Roman"/>
          <w:color w:val="auto"/>
          <w:szCs w:val="24"/>
          <w:highlight w:val="none"/>
          <w:shd w:val="clear" w:color="auto" w:fill="auto"/>
        </w:rPr>
        <w:t xml:space="preserve">2.4 </w:t>
      </w:r>
      <w:r>
        <w:rPr>
          <w:rFonts w:hint="eastAsia" w:ascii="Times New Roman" w:hAnsi="Times New Roman"/>
          <w:color w:val="auto"/>
          <w:szCs w:val="24"/>
          <w:highlight w:val="none"/>
          <w:shd w:val="clear" w:color="auto" w:fill="auto"/>
        </w:rPr>
        <w:t>系统性能要求</w:t>
      </w:r>
      <w:bookmarkEnd w:id="88"/>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1）应具有高效的运行效率，能通过负载均衡、流量控制、消息缓存等机制，提供大规模、高并发量的交易处理能力，满足登陆、查询、日终批量等性能需求；</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2）系统必须提供平台级的负载均衡和容错能力；</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3）主机系统能够保持7*24稳定的不间断运行，从系统软硬件平台及网络等方面来保证系统的稳定性；</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4）可用率：系统总体平均可用率在99.99%以上。</w:t>
      </w:r>
    </w:p>
    <w:p>
      <w:pPr>
        <w:pStyle w:val="4"/>
        <w:spacing w:line="600" w:lineRule="exact"/>
        <w:ind w:firstLine="482"/>
        <w:rPr>
          <w:rFonts w:ascii="Times New Roman" w:hAnsi="Times New Roman"/>
          <w:color w:val="auto"/>
          <w:szCs w:val="24"/>
          <w:highlight w:val="none"/>
          <w:shd w:val="clear" w:color="auto" w:fill="auto"/>
        </w:rPr>
      </w:pPr>
      <w:bookmarkStart w:id="89" w:name="_Toc27228"/>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.5 </w:t>
      </w:r>
      <w:r>
        <w:rPr>
          <w:rFonts w:hint="eastAsia" w:ascii="Times New Roman" w:hAnsi="Times New Roman"/>
          <w:color w:val="auto"/>
          <w:szCs w:val="24"/>
          <w:highlight w:val="none"/>
          <w:shd w:val="clear" w:color="auto" w:fill="auto"/>
        </w:rPr>
        <w:t>安全性要求</w:t>
      </w:r>
      <w:bookmarkEnd w:id="89"/>
    </w:p>
    <w:p>
      <w:pPr>
        <w:keepLines w:val="0"/>
        <w:pageBreakBefore w:val="0"/>
        <w:widowControl w:val="0"/>
        <w:kinsoku/>
        <w:wordWrap/>
        <w:overflowPunct/>
        <w:topLinePunct w:val="0"/>
        <w:autoSpaceDE/>
        <w:autoSpaceDN/>
        <w:bidi w:val="0"/>
        <w:adjustRightInd w:val="0"/>
        <w:snapToGrid w:val="0"/>
        <w:spacing w:line="600" w:lineRule="exact"/>
        <w:ind w:firstLine="480" w:firstLineChars="20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为确保信息安全，采取的措施包括但不限于以下：</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1）平台安全：架构设计符合安全性要求，平台软件达到安全设计标准且不低于同业相关系统要求。</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2）数据安全：支持文档安全软件整合技术，从而做到数据传输加密、远程安全访问、数据存储加密，数据部署网络区域应支持入侵检测与防御系统、防火墙的应用</w:t>
      </w:r>
      <w:r>
        <w:rPr>
          <w:rFonts w:ascii="Times New Roman" w:hAnsi="Times New Roman"/>
          <w:color w:val="auto"/>
          <w:szCs w:val="24"/>
          <w:highlight w:val="none"/>
          <w:shd w:val="clear" w:color="auto" w:fill="auto"/>
        </w:rPr>
        <w:t>，</w:t>
      </w:r>
      <w:r>
        <w:rPr>
          <w:rFonts w:hint="eastAsia" w:ascii="Times New Roman" w:hAnsi="Times New Roman"/>
          <w:szCs w:val="24"/>
          <w:shd w:val="clear" w:color="auto" w:fill="auto"/>
        </w:rPr>
        <w:t>增加满足《GB/T 35273 信息安全技术 个人信息安全规范》和《JR/T 0171 个人金融信息保护技术规范》要求。</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3）容灾备份：支持各种容灾的软硬件设备的使用等。</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4）管理安全：提供完善的日志功能，能够记录系统使用人员的关键操作，保证系统应用的安全。</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5）密码策略：初始密码强制更改、启用验证码、密码过期控制、密码错误次数控制、密码强度设置等，不得以明文的方式保存任何相关密码，防止暴力破解和恶意攻击。</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6）系统严密、灵活的访问安全控制；</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7）系统有整体的用户/权限管理体系，可统一进行用户/权限的管理，实现到字段级的查询、修改、管理权限控制；</w:t>
      </w:r>
    </w:p>
    <w:p>
      <w:pPr>
        <w:pStyle w:val="4"/>
        <w:spacing w:line="600" w:lineRule="exact"/>
        <w:ind w:firstLine="482"/>
        <w:rPr>
          <w:rFonts w:ascii="Times New Roman" w:hAnsi="Times New Roman"/>
          <w:color w:val="auto"/>
          <w:szCs w:val="24"/>
          <w:highlight w:val="none"/>
          <w:shd w:val="clear" w:color="auto" w:fill="auto"/>
        </w:rPr>
      </w:pPr>
      <w:bookmarkStart w:id="90" w:name="_Toc13870"/>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.6 </w:t>
      </w:r>
      <w:r>
        <w:rPr>
          <w:rFonts w:hint="eastAsia" w:ascii="Times New Roman" w:hAnsi="Times New Roman"/>
          <w:color w:val="auto"/>
          <w:szCs w:val="24"/>
          <w:highlight w:val="none"/>
          <w:shd w:val="clear" w:color="auto" w:fill="auto"/>
        </w:rPr>
        <w:t>可扩展性需求</w:t>
      </w:r>
      <w:bookmarkEnd w:id="90"/>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1）系统要求支持主流操作系统、数据库和通讯中间件，对软、硬件平台具有良好的可扩展能力，支持跨平台客制化开发。</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2）支持交易数据导入、模型参数维护、计量、会计核算、报表模块对于新产品的支持，系统容易改进、扩展和升级。</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3）提供的平台能够很好的实现业务功能扩展的灵活性，通过后台服务器对业务功能的模块化处理和可配置处理实现对功能的一站式更新，且不影响原有系统的正常运行。</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4）系统的计算能力支持横向扩展；</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5）对第三方平台提供良好的接口支持和扩展能力。</w:t>
      </w:r>
    </w:p>
    <w:p>
      <w:pPr>
        <w:pStyle w:val="4"/>
        <w:spacing w:line="600" w:lineRule="exact"/>
        <w:ind w:firstLine="482"/>
        <w:rPr>
          <w:rFonts w:ascii="Times New Roman" w:hAnsi="Times New Roman"/>
          <w:color w:val="auto"/>
          <w:szCs w:val="24"/>
          <w:highlight w:val="none"/>
          <w:shd w:val="clear" w:color="auto" w:fill="auto"/>
        </w:rPr>
      </w:pPr>
      <w:bookmarkStart w:id="91" w:name="_Toc9960"/>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.7 </w:t>
      </w:r>
      <w:r>
        <w:rPr>
          <w:rFonts w:hint="eastAsia" w:ascii="Times New Roman" w:hAnsi="Times New Roman"/>
          <w:color w:val="auto"/>
          <w:szCs w:val="24"/>
          <w:highlight w:val="none"/>
          <w:shd w:val="clear" w:color="auto" w:fill="auto"/>
        </w:rPr>
        <w:t>二次开发要求</w:t>
      </w:r>
      <w:bookmarkEnd w:id="91"/>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为满足本行业务发展需要，系统应能灵活、方便、快捷地支持个性化需求开发，相关要求包括：</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1）支持模型参数的个性化调整，从而适应监管要求及行内业务需求的变化；</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2）支持数据采集范围扩展及接口快速开发；</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3）支持较为便捷的全量/增量程序版本抽取和提交；</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4）支持日常需求改造涉及的其他开发要求。</w:t>
      </w:r>
    </w:p>
    <w:p>
      <w:pPr>
        <w:pStyle w:val="4"/>
        <w:spacing w:line="600" w:lineRule="exact"/>
        <w:ind w:firstLine="482"/>
        <w:rPr>
          <w:rFonts w:ascii="Times New Roman" w:hAnsi="Times New Roman"/>
          <w:color w:val="auto"/>
          <w:szCs w:val="24"/>
          <w:highlight w:val="none"/>
          <w:shd w:val="clear" w:color="auto" w:fill="auto"/>
        </w:rPr>
      </w:pPr>
      <w:bookmarkStart w:id="92" w:name="_Toc22935"/>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.8 </w:t>
      </w:r>
      <w:r>
        <w:rPr>
          <w:rFonts w:hint="eastAsia" w:ascii="Times New Roman" w:hAnsi="Times New Roman"/>
          <w:color w:val="auto"/>
          <w:szCs w:val="24"/>
          <w:highlight w:val="none"/>
          <w:shd w:val="clear" w:color="auto" w:fill="auto"/>
        </w:rPr>
        <w:t>其它非功能性要求</w:t>
      </w:r>
      <w:bookmarkEnd w:id="92"/>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1 运维要求</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1）提供日常运行监控和完整的系统维护管理的方案：提供日志、实时交易监控等系统问题定位方案；提供日志和历史数据备份、清理机制；</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 提供应用系统之间逻辑独立、启停服务时系统间不相互影响的部署方案（十分重要），保障系统的7*24小时运行；</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3）提供系统资源运行情况实时监控报告；提供系统出现异常预警报告；提供系统运行情况报表等。</w:t>
      </w:r>
    </w:p>
    <w:p>
      <w:pPr>
        <w:spacing w:line="600" w:lineRule="exact"/>
        <w:ind w:firstLine="482"/>
        <w:rPr>
          <w:rFonts w:hint="eastAsia"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4）涉及重大生产故障，需15分钟内响应，30分钟内提供临时解决方案并能恢复生产服务，并安排响应的技术专家进行技术支持。</w:t>
      </w:r>
    </w:p>
    <w:p>
      <w:pPr>
        <w:spacing w:line="600" w:lineRule="exact"/>
        <w:ind w:firstLine="482"/>
        <w:rPr>
          <w:rFonts w:ascii="Times New Roman" w:hAnsi="Times New Roman" w:eastAsia="宋体"/>
          <w:color w:val="auto"/>
          <w:szCs w:val="24"/>
          <w:highlight w:val="none"/>
          <w:shd w:val="clear" w:color="auto" w:fill="auto"/>
          <w:lang w:val="en-US" w:eastAsia="zh-CN"/>
        </w:rPr>
      </w:pPr>
      <w:r>
        <w:rPr>
          <w:rFonts w:hint="eastAsia" w:ascii="Times New Roman" w:hAnsi="Times New Roman"/>
          <w:color w:val="auto"/>
          <w:szCs w:val="24"/>
          <w:highlight w:val="none"/>
          <w:shd w:val="clear" w:color="auto" w:fill="auto"/>
          <w:lang w:val="en-US" w:eastAsia="zh-CN"/>
        </w:rPr>
        <w:t>5）对接行内监控运维体系，满足监控体系各项要求。</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2 日志要求</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1）应完整记录所有通讯日志，如果通讯日志为字节码的，不能直接查看的，应提供查看工具。</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2）应完整记录交易日志，方便交易统计分析，不同类型的交易可分不同的交易日志表。</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3）可在线动态调整日志级别，在生产环境下定位问题时不需要中断服务。</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4）系统相关日志应输出在应用目录之外。</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5）不应在日志中记录客户支付敏感信息；不允许保留非本机构的客户敏感信息。</w:t>
      </w:r>
    </w:p>
    <w:p>
      <w:pPr>
        <w:spacing w:line="600" w:lineRule="exact"/>
        <w:ind w:firstLine="482"/>
        <w:rPr>
          <w:rFonts w:ascii="Times New Roman" w:hAnsi="Times New Roman"/>
          <w:color w:val="auto"/>
          <w:szCs w:val="24"/>
          <w:highlight w:val="none"/>
          <w:shd w:val="clear" w:color="auto" w:fill="auto"/>
        </w:rPr>
      </w:pPr>
      <w:r>
        <w:rPr>
          <w:rFonts w:ascii="Times New Roman" w:hAnsi="Times New Roman"/>
          <w:color w:val="auto"/>
          <w:szCs w:val="24"/>
          <w:highlight w:val="none"/>
          <w:shd w:val="clear" w:color="auto" w:fill="auto"/>
        </w:rPr>
        <w:t>2.8.</w:t>
      </w:r>
      <w:r>
        <w:rPr>
          <w:rFonts w:hint="eastAsia" w:ascii="Times New Roman" w:hAnsi="Times New Roman"/>
          <w:color w:val="auto"/>
          <w:szCs w:val="24"/>
          <w:highlight w:val="none"/>
          <w:shd w:val="clear" w:color="auto" w:fill="auto"/>
        </w:rPr>
        <w:t>3 自动监控指标</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1）磁盘占用率（关键目录）、CPU使用率、内存占用率等；</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2）数据库连接池使用情况：总连接数、空闲连接数、使用中连接数；线程池使用情况：总线程、空闲线程、使用中线程；</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3）虚拟机堆内存情况（适用Java）：空闲内存、使用中内存；</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4）交易级的错误，应用系统重大错误；</w:t>
      </w:r>
    </w:p>
    <w:p>
      <w:pPr>
        <w:pStyle w:val="4"/>
        <w:spacing w:line="600" w:lineRule="exact"/>
        <w:ind w:firstLine="482"/>
        <w:rPr>
          <w:rFonts w:ascii="Times New Roman" w:hAnsi="Times New Roman"/>
          <w:color w:val="auto"/>
          <w:szCs w:val="24"/>
          <w:highlight w:val="none"/>
          <w:shd w:val="clear" w:color="auto" w:fill="auto"/>
        </w:rPr>
      </w:pPr>
      <w:bookmarkStart w:id="93" w:name="_Toc28327"/>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.9 </w:t>
      </w:r>
      <w:r>
        <w:rPr>
          <w:rFonts w:hint="eastAsia" w:ascii="Times New Roman" w:hAnsi="Times New Roman"/>
          <w:color w:val="auto"/>
          <w:szCs w:val="24"/>
          <w:highlight w:val="none"/>
          <w:shd w:val="clear" w:color="auto" w:fill="auto"/>
        </w:rPr>
        <w:t>应当遵循的标准和规范</w:t>
      </w:r>
      <w:bookmarkEnd w:id="93"/>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应用应实现与行内各种操作系统、中间件、数据库、业务系统及工具软件进行平滑对接。系统的底层应支持各个层次的多种协议，支持与业务系统的互通、互联，应用系统采用标准的数据交换方式，保证数据共享。</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pPr>
        <w:spacing w:line="600" w:lineRule="exact"/>
        <w:ind w:firstLine="482"/>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业务处理符合国家法律、法规和有关政策规定。数据标准要满足银监会及人民银行相关管理办法及标准化的要求。</w:t>
      </w:r>
    </w:p>
    <w:p>
      <w:pPr>
        <w:pStyle w:val="4"/>
        <w:spacing w:line="600" w:lineRule="exact"/>
        <w:ind w:firstLine="482"/>
        <w:rPr>
          <w:rFonts w:ascii="Times New Roman" w:hAnsi="Times New Roman"/>
          <w:color w:val="auto"/>
          <w:szCs w:val="24"/>
          <w:highlight w:val="none"/>
          <w:shd w:val="clear" w:color="auto" w:fill="auto"/>
        </w:rPr>
      </w:pPr>
      <w:bookmarkStart w:id="94" w:name="_Toc13579"/>
      <w:r>
        <w:rPr>
          <w:rFonts w:hint="eastAsia" w:ascii="Times New Roman" w:hAnsi="Times New Roman"/>
          <w:color w:val="auto"/>
          <w:szCs w:val="24"/>
          <w:highlight w:val="none"/>
          <w:shd w:val="clear" w:color="auto" w:fill="auto"/>
        </w:rPr>
        <w:t>2</w:t>
      </w:r>
      <w:r>
        <w:rPr>
          <w:rFonts w:ascii="Times New Roman" w:hAnsi="Times New Roman"/>
          <w:color w:val="auto"/>
          <w:szCs w:val="24"/>
          <w:highlight w:val="none"/>
          <w:shd w:val="clear" w:color="auto" w:fill="auto"/>
        </w:rPr>
        <w:t xml:space="preserve">.10 </w:t>
      </w:r>
      <w:r>
        <w:rPr>
          <w:rFonts w:hint="eastAsia" w:ascii="Times New Roman" w:hAnsi="Times New Roman"/>
          <w:color w:val="auto"/>
          <w:szCs w:val="24"/>
          <w:highlight w:val="none"/>
          <w:shd w:val="clear" w:color="auto" w:fill="auto"/>
        </w:rPr>
        <w:t>其他技术要求</w:t>
      </w:r>
      <w:bookmarkEnd w:id="94"/>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1）开发环境基于J2EE轻量级框架，支持JDK版本：JDK1.8及以上版本。</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2）操作系统、数据库和中间件满足以下要求：服务端操作系统支持Linux（RHEL 7.9）</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000000"/>
          <w:kern w:val="0"/>
          <w:sz w:val="24"/>
          <w:szCs w:val="24"/>
          <w:highlight w:val="none"/>
        </w:rPr>
        <w:t>麒麟V10</w:t>
      </w:r>
      <w:r>
        <w:rPr>
          <w:rFonts w:hint="eastAsia" w:ascii="宋体" w:hAnsi="宋体" w:eastAsia="宋体" w:cs="宋体"/>
          <w:color w:val="000000"/>
          <w:kern w:val="0"/>
          <w:sz w:val="24"/>
          <w:szCs w:val="24"/>
          <w:highlight w:val="none"/>
          <w:lang w:val="en-US" w:eastAsia="zh-CN"/>
        </w:rPr>
        <w:t>等</w:t>
      </w:r>
      <w:r>
        <w:rPr>
          <w:rFonts w:hint="eastAsia" w:ascii="宋体" w:hAnsi="宋体" w:eastAsia="宋体" w:cs="宋体"/>
          <w:color w:val="auto"/>
          <w:sz w:val="24"/>
          <w:szCs w:val="24"/>
          <w:highlight w:val="none"/>
          <w:shd w:val="clear" w:color="auto" w:fill="auto"/>
        </w:rPr>
        <w:t>，支持Oracle（19C）数据库（支持rac）</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OceanBase</w:t>
      </w:r>
      <w:r>
        <w:rPr>
          <w:rFonts w:hint="eastAsia" w:ascii="宋体" w:hAnsi="宋体" w:eastAsia="宋体" w:cs="宋体"/>
          <w:color w:val="auto"/>
          <w:sz w:val="24"/>
          <w:szCs w:val="24"/>
          <w:highlight w:val="none"/>
          <w:shd w:val="clear" w:color="auto" w:fill="auto"/>
          <w:lang w:val="en-US" w:eastAsia="zh-CN"/>
        </w:rPr>
        <w:t>数据库等</w:t>
      </w:r>
      <w:r>
        <w:rPr>
          <w:rFonts w:hint="eastAsia" w:ascii="宋体" w:hAnsi="宋体" w:eastAsia="宋体" w:cs="宋体"/>
          <w:color w:val="auto"/>
          <w:sz w:val="24"/>
          <w:szCs w:val="24"/>
          <w:highlight w:val="none"/>
          <w:shd w:val="clear" w:color="auto" w:fill="auto"/>
        </w:rPr>
        <w:t>，支持Weblogic（12.2.1.4及以上）中间件</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东方通</w:t>
      </w:r>
      <w:r>
        <w:rPr>
          <w:rFonts w:hint="eastAsia" w:ascii="宋体" w:hAnsi="宋体" w:eastAsia="宋体" w:cs="宋体"/>
          <w:color w:val="auto"/>
          <w:sz w:val="24"/>
          <w:szCs w:val="24"/>
          <w:highlight w:val="none"/>
          <w:shd w:val="clear" w:color="auto" w:fill="auto"/>
          <w:lang w:val="en-US" w:eastAsia="zh-CN"/>
        </w:rPr>
        <w:t>中间件等</w:t>
      </w:r>
      <w:r>
        <w:rPr>
          <w:rFonts w:hint="eastAsia" w:ascii="宋体" w:hAnsi="宋体" w:eastAsia="宋体" w:cs="宋体"/>
          <w:color w:val="auto"/>
          <w:sz w:val="24"/>
          <w:szCs w:val="24"/>
          <w:highlight w:val="none"/>
          <w:shd w:val="clear" w:color="auto" w:fill="auto"/>
        </w:rPr>
        <w:t>。</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3）必须支持Windows全系操作系统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即WinXP/Win7/Win8/Win10，</w:t>
      </w:r>
      <w:r>
        <w:rPr>
          <w:rFonts w:hint="eastAsia" w:ascii="宋体" w:hAnsi="宋体" w:eastAsia="宋体" w:cs="宋体"/>
          <w:color w:val="auto"/>
          <w:sz w:val="24"/>
          <w:szCs w:val="24"/>
          <w:highlight w:val="none"/>
          <w:shd w:val="clear" w:color="auto" w:fill="auto"/>
          <w:lang w:val="en-US" w:eastAsia="zh-CN"/>
        </w:rPr>
        <w:t>支持</w:t>
      </w:r>
      <w:r>
        <w:rPr>
          <w:rFonts w:hint="eastAsia" w:ascii="宋体" w:hAnsi="宋体" w:eastAsia="宋体" w:cs="宋体"/>
          <w:color w:val="auto"/>
          <w:sz w:val="24"/>
          <w:szCs w:val="24"/>
          <w:highlight w:val="none"/>
          <w:shd w:val="clear" w:color="auto" w:fill="auto"/>
        </w:rPr>
        <w:t>麒麟桌面操作系统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支持谷歌、360、IE6及以上版本浏览器使用</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支持统信、奇安信、360等国产浏览器使用。</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4）系统基础架构和底层数据库具备灵活性。</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5）系统可集群部署，支持负载均衡，具备横向可扩展性。</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6）系统处理能力能够满足现有业务数据以及未来三年可能发展的业务数据量。</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7）系统开发需要符合我行开发规范和整体框架要求。</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8）系统需支持dns方式连接数据库以及应用。</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9）原则上不对系统许可（license）做限制。</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10）参选人需提供完善的数据备份方案及备份机制。</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）需支持IPV6协议。</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）禁止应用软件部署使用的安装码或授权码与其运行的基础环境（如：硬盘序列号、CPU序列号或网卡序列号等）进行绑定。</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）系统在集群部署共享文件访问时使用对象存储（不得使用NAS）。</w:t>
      </w:r>
    </w:p>
    <w:p>
      <w:pPr>
        <w:spacing w:line="600" w:lineRule="exact"/>
        <w:ind w:firstLine="482"/>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）满足国家保密标准及要求。</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95" w:name="_Toc27219"/>
      <w:r>
        <w:rPr>
          <w:rFonts w:hint="eastAsia" w:ascii="Times New Roman" w:hAnsi="Times New Roman"/>
          <w:color w:val="auto"/>
          <w:highlight w:val="none"/>
          <w:shd w:val="clear" w:color="auto" w:fill="auto"/>
        </w:rPr>
        <w:t>测试要求</w:t>
      </w:r>
      <w:bookmarkEnd w:id="95"/>
    </w:p>
    <w:p>
      <w:pPr>
        <w:spacing w:line="600" w:lineRule="exact"/>
        <w:ind w:firstLine="482"/>
        <w:rPr>
          <w:rFonts w:hint="eastAsia"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详细阐述项目测试要求。如下供参考。</w:t>
      </w:r>
    </w:p>
    <w:p>
      <w:pPr>
        <w:spacing w:line="600" w:lineRule="exact"/>
        <w:ind w:firstLine="482"/>
        <w:rPr>
          <w:rFonts w:hint="eastAsia"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1）参选人应负责系统的单元、集成和系统测试，提交完整的测试案例及达到准出标准的单元、集成和系统测试报告。</w:t>
      </w:r>
    </w:p>
    <w:p>
      <w:pPr>
        <w:spacing w:line="600" w:lineRule="exact"/>
        <w:ind w:firstLine="482"/>
        <w:rPr>
          <w:rFonts w:hint="eastAsia"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2）参选人应提供专职的性能测试负责人及性能测试人员进行系统的性能测试，提交满足系统性能指标的性能测试报告。</w:t>
      </w:r>
    </w:p>
    <w:p>
      <w:pPr>
        <w:spacing w:line="600" w:lineRule="exact"/>
        <w:ind w:firstLine="482"/>
        <w:rPr>
          <w:rFonts w:hint="eastAsia" w:ascii="宋体" w:hAnsi="宋体" w:eastAsia="宋体" w:cs="宋体"/>
          <w:color w:val="auto"/>
          <w:szCs w:val="24"/>
          <w:highlight w:val="none"/>
          <w:shd w:val="clear" w:color="auto" w:fill="auto"/>
        </w:rPr>
      </w:pPr>
      <w:r>
        <w:rPr>
          <w:rFonts w:hint="eastAsia" w:ascii="宋体" w:hAnsi="宋体" w:eastAsia="宋体" w:cs="宋体"/>
          <w:color w:val="auto"/>
          <w:szCs w:val="24"/>
          <w:highlight w:val="none"/>
          <w:shd w:val="clear" w:color="auto" w:fill="auto"/>
        </w:rPr>
        <w:t>3）参选人应指派专职的测试项目经理及项目成员进行系统测试，参照比选人系统测试准入准出标准。</w:t>
      </w:r>
    </w:p>
    <w:tbl>
      <w:tblPr>
        <w:tblStyle w:val="20"/>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系统测试准入准出标准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600" w:lineRule="exact"/>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一、系统测试准入标准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阶段</w:t>
            </w:r>
          </w:p>
        </w:tc>
        <w:tc>
          <w:tcPr>
            <w:tcW w:w="6889" w:type="dxa"/>
            <w:tcBorders>
              <w:left w:val="single" w:color="auto" w:sz="6" w:space="0"/>
            </w:tcBorders>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准入条件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3" w:hRule="atLeast"/>
        </w:trPr>
        <w:tc>
          <w:tcPr>
            <w:tcW w:w="1296" w:type="dxa"/>
            <w:vMerge w:val="restart"/>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计划阶段</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开发项目整体项目计划必须包含系统测试计划或系统测试计划时间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测试方要求的需求说明书及相关说明书已经通过评审，并形成终稿；文档包括但不限于：业务需求、需求说明书、系统原型、概要设计（可选）、用户手册（可选）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变更影响范围是否提供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执行阶段</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提交的产品经过了开发自测(单元及集成测试），并提交了测试案例与测试报告，单元及集成测试案例密度不低于20条/每功能点，案例需求覆盖度100%，无致命及严重遗留问题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系统测试案例准备就绪（案例密度为35条/每功能点）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测试环境准备就绪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测试版本能够成功部署到测试环境。（如果测试和开发处于同一环境，则在系统测试开始前应该按照开发提交的版本重新部署）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冒烟测试达到通过标准（冒烟测试案例通过率大于90%，有效缺陷率不高于10%）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600" w:lineRule="exact"/>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二、暂停/继续标准：满足下列之一的条件并由项目组审核同意，测试可以暂停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序号</w:t>
            </w:r>
          </w:p>
        </w:tc>
        <w:tc>
          <w:tcPr>
            <w:tcW w:w="6889" w:type="dxa"/>
            <w:tcBorders>
              <w:left w:val="single" w:color="auto" w:sz="6" w:space="0"/>
            </w:tcBorders>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暂停条件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由于程序、环境原因导致测试无法进行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项目暂停，已无测试必要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测试需求稳定指数小于70%，则暂停测试执行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每个里程碑节点或执行轮次案例执行通过率低于60%，则暂停测试执行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每个里程碑节点或执行轮次缺陷解决率低于50%，则暂停测试执行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7</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每个里程碑节点或执行轮次缺陷的案例命中率大于25%，则暂停测试执行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8</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每个里程碑节点或执行轮次严重以上缺陷占比大于35%，则暂停测试执行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9</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测试环境、测试数据、测试人员等等测试必备条件不再具备或发生变化导致测试不能进行，则暂停测试执行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10</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项目组确定的可以暂停的其他条件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11</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恢复以上的条件并由项目组审核同意，测试可以继续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600" w:lineRule="exact"/>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三、系统测试准出标准：同时满足以下条件，系统测试完成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序号</w:t>
            </w:r>
          </w:p>
        </w:tc>
        <w:tc>
          <w:tcPr>
            <w:tcW w:w="6889" w:type="dxa"/>
            <w:tcBorders>
              <w:left w:val="single" w:color="auto" w:sz="6" w:space="0"/>
            </w:tcBorders>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准出条件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1</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测试需求覆盖率达到100%，测试案例覆盖度100%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2</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测试案例执行率达到100%，测试通过率95%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3</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缺陷修复率达到95%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4</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致命缺陷、严重缺陷解决率达到100%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5</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一般缺陷、微小缺陷解决率达到90%以上，建议缺陷解决率达到80%以上，且未解决缺陷得项目组认可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6</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提交系统测试报告及通过评审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pPr>
              <w:spacing w:line="600" w:lineRule="exact"/>
              <w:ind w:firstLine="0" w:firstLineChars="0"/>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四、测试指标公式附录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TPI</w:t>
            </w:r>
          </w:p>
        </w:tc>
        <w:tc>
          <w:tcPr>
            <w:tcW w:w="6889" w:type="dxa"/>
            <w:tcBorders>
              <w:left w:val="single" w:color="auto" w:sz="6" w:space="0"/>
            </w:tcBorders>
            <w:shd w:val="clear" w:color="auto" w:fill="auto"/>
            <w:vAlign w:val="center"/>
          </w:tcPr>
          <w:p>
            <w:pPr>
              <w:spacing w:line="600" w:lineRule="exact"/>
              <w:ind w:firstLine="0" w:firstLineChars="0"/>
              <w:jc w:val="center"/>
              <w:rPr>
                <w:rFonts w:ascii="Times New Roman" w:hAnsi="Times New Roman"/>
                <w:b/>
                <w:color w:val="auto"/>
                <w:szCs w:val="24"/>
                <w:highlight w:val="none"/>
                <w:shd w:val="clear" w:color="auto" w:fill="auto"/>
              </w:rPr>
            </w:pPr>
            <w:r>
              <w:rPr>
                <w:rFonts w:hint="eastAsia" w:ascii="Times New Roman" w:hAnsi="Times New Roman"/>
                <w:b/>
                <w:color w:val="auto"/>
                <w:szCs w:val="24"/>
                <w:highlight w:val="none"/>
                <w:shd w:val="clear" w:color="auto" w:fill="auto"/>
              </w:rPr>
              <w:t>公式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测试需求覆盖率</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测试需求覆盖点/软件需求功能点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有效案例总数</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案例总数-无效案例总数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有效缺陷总数</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缺陷总数-无效缺陷总数-伪缺陷总数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严重以上缺陷总数</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严重及致命缺陷总数-无效的严重及致命缺陷总数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案例执行率</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每轮执行案例数/每轮计划执行的案例个数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需求稳定指数</w:t>
            </w:r>
          </w:p>
        </w:tc>
        <w:tc>
          <w:tcPr>
            <w:tcW w:w="6889" w:type="dxa"/>
            <w:tcBorders>
              <w:left w:val="single" w:color="auto" w:sz="6" w:space="0"/>
            </w:tcBorders>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（测试需求分析中规则数量-业务需求因素引起变更的测试需求规则数-开发因素引起变更的测试需求规则数）/测试需求分析中规则数量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案例执行通过率</w:t>
            </w:r>
          </w:p>
        </w:tc>
        <w:tc>
          <w:tcPr>
            <w:tcW w:w="6889" w:type="dxa"/>
            <w:tcBorders>
              <w:left w:val="single" w:color="auto" w:sz="6" w:space="0"/>
            </w:tcBorders>
            <w:shd w:val="clear" w:color="auto" w:fill="auto"/>
            <w:vAlign w:val="center"/>
          </w:tcPr>
          <w:p>
            <w:pPr>
              <w:spacing w:line="600" w:lineRule="exact"/>
              <w:ind w:firstLine="0" w:firstLineChars="0"/>
              <w:jc w:val="both"/>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每轮执行通过的案例个数/每轮执行案例数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缺陷的案例命中率</w:t>
            </w:r>
          </w:p>
        </w:tc>
        <w:tc>
          <w:tcPr>
            <w:tcW w:w="6889" w:type="dxa"/>
            <w:tcBorders>
              <w:left w:val="single" w:color="auto" w:sz="6" w:space="0"/>
            </w:tcBorders>
            <w:shd w:val="clear" w:color="auto" w:fill="auto"/>
            <w:vAlign w:val="bottom"/>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有效缺陷总数/有效案例总数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严重以上缺陷占比</w:t>
            </w:r>
          </w:p>
        </w:tc>
        <w:tc>
          <w:tcPr>
            <w:tcW w:w="6889" w:type="dxa"/>
            <w:tcBorders>
              <w:left w:val="single" w:color="auto" w:sz="6" w:space="0"/>
            </w:tcBorders>
            <w:shd w:val="clear" w:color="auto" w:fill="auto"/>
            <w:vAlign w:val="center"/>
          </w:tcPr>
          <w:p>
            <w:pPr>
              <w:spacing w:line="600" w:lineRule="exact"/>
              <w:ind w:firstLine="0" w:firstLineChars="0"/>
              <w:jc w:val="left"/>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严重以上缺陷总数/有效缺陷总数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pPr>
              <w:spacing w:line="600" w:lineRule="exact"/>
              <w:ind w:firstLine="0" w:firstLineChars="0"/>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缺陷解决率</w:t>
            </w:r>
          </w:p>
        </w:tc>
        <w:tc>
          <w:tcPr>
            <w:tcW w:w="6889" w:type="dxa"/>
            <w:tcBorders>
              <w:left w:val="single" w:color="auto" w:sz="6" w:space="0"/>
            </w:tcBorders>
            <w:shd w:val="clear" w:color="auto" w:fill="auto"/>
            <w:vAlign w:val="center"/>
          </w:tcPr>
          <w:p>
            <w:pPr>
              <w:spacing w:line="600" w:lineRule="exact"/>
              <w:ind w:firstLine="0" w:firstLineChars="0"/>
              <w:jc w:val="left"/>
              <w:rPr>
                <w:rFonts w:ascii="Times New Roman" w:hAnsi="Times New Roman"/>
                <w:color w:val="auto"/>
                <w:szCs w:val="24"/>
                <w:highlight w:val="none"/>
                <w:shd w:val="clear" w:color="auto" w:fill="auto"/>
              </w:rPr>
            </w:pPr>
            <w:r>
              <w:rPr>
                <w:rFonts w:hint="eastAsia" w:ascii="Times New Roman" w:hAnsi="Times New Roman"/>
                <w:color w:val="auto"/>
                <w:szCs w:val="24"/>
                <w:highlight w:val="none"/>
                <w:shd w:val="clear" w:color="auto" w:fill="auto"/>
              </w:rPr>
              <w:t>关闭缺陷总数/有效缺陷总数</w:t>
            </w:r>
          </w:p>
        </w:tc>
      </w:tr>
    </w:tbl>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96" w:name="_Toc9619"/>
      <w:r>
        <w:rPr>
          <w:rFonts w:hint="eastAsia" w:ascii="Times New Roman" w:hAnsi="Times New Roman" w:cs="Cambria"/>
          <w:bCs w:val="0"/>
          <w:color w:val="auto"/>
          <w:highlight w:val="none"/>
          <w:shd w:val="clear" w:color="auto" w:fill="auto"/>
        </w:rPr>
        <w:t>人员要求</w:t>
      </w:r>
      <w:bookmarkEnd w:id="96"/>
    </w:p>
    <w:p>
      <w:pPr>
        <w:spacing w:line="600" w:lineRule="exact"/>
        <w:ind w:firstLine="482"/>
        <w:rPr>
          <w:rFonts w:hint="eastAsia" w:ascii="宋体" w:hAnsi="宋体" w:eastAsia="宋体" w:cs="宋体"/>
          <w:snapToGrid w:val="0"/>
          <w:color w:val="auto"/>
          <w:kern w:val="0"/>
          <w:szCs w:val="28"/>
          <w:highlight w:val="none"/>
          <w:shd w:val="clear" w:color="auto" w:fill="auto"/>
        </w:rPr>
      </w:pPr>
      <w:r>
        <w:rPr>
          <w:rFonts w:hint="eastAsia" w:ascii="宋体" w:hAnsi="宋体" w:eastAsia="宋体" w:cs="宋体"/>
          <w:snapToGrid w:val="0"/>
          <w:color w:val="auto"/>
          <w:kern w:val="0"/>
          <w:szCs w:val="28"/>
          <w:highlight w:val="none"/>
          <w:shd w:val="clear" w:color="auto" w:fill="auto"/>
        </w:rPr>
        <w:t>详细阐述人员要求，如下供参考。</w:t>
      </w:r>
    </w:p>
    <w:p>
      <w:pPr>
        <w:snapToGrid w:val="0"/>
        <w:spacing w:line="600" w:lineRule="exact"/>
        <w:ind w:firstLine="482"/>
        <w:rPr>
          <w:rFonts w:hint="eastAsia" w:ascii="宋体" w:hAnsi="宋体" w:eastAsia="宋体" w:cs="宋体"/>
          <w:b/>
          <w:color w:val="auto"/>
          <w:szCs w:val="24"/>
          <w:highlight w:val="none"/>
          <w:shd w:val="clear" w:color="auto" w:fill="auto"/>
        </w:rPr>
      </w:pPr>
      <w:bookmarkStart w:id="97" w:name="_Toc89675142"/>
      <w:r>
        <w:rPr>
          <w:rFonts w:hint="eastAsia" w:ascii="宋体" w:hAnsi="宋体" w:eastAsia="宋体" w:cs="宋体"/>
          <w:color w:val="auto"/>
          <w:highlight w:val="none"/>
          <w:shd w:val="clear" w:color="auto" w:fill="auto"/>
        </w:rPr>
        <w:t>1）参选人应承诺未征得我行书面同意的情况下不得更换项目成员。</w:t>
      </w:r>
      <w:bookmarkEnd w:id="97"/>
    </w:p>
    <w:p>
      <w:pPr>
        <w:snapToGrid w:val="0"/>
        <w:spacing w:line="600" w:lineRule="exact"/>
        <w:ind w:firstLine="482"/>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2）</w:t>
      </w:r>
      <w:r>
        <w:rPr>
          <w:rFonts w:hint="eastAsia" w:ascii="宋体" w:hAnsi="宋体" w:eastAsia="宋体" w:cs="宋体"/>
          <w:snapToGrid w:val="0"/>
          <w:color w:val="auto"/>
          <w:kern w:val="0"/>
          <w:szCs w:val="28"/>
          <w:highlight w:val="none"/>
          <w:shd w:val="clear" w:color="auto" w:fill="auto"/>
        </w:rPr>
        <w:t>所有成员必须为</w:t>
      </w:r>
      <w:r>
        <w:rPr>
          <w:rFonts w:hint="eastAsia" w:ascii="宋体" w:hAnsi="宋体" w:eastAsia="宋体" w:cs="宋体"/>
          <w:color w:val="auto"/>
          <w:highlight w:val="none"/>
          <w:shd w:val="clear" w:color="auto" w:fill="auto"/>
        </w:rPr>
        <w:t>参选人</w:t>
      </w:r>
      <w:r>
        <w:rPr>
          <w:rFonts w:hint="eastAsia" w:ascii="宋体" w:hAnsi="宋体" w:eastAsia="宋体" w:cs="宋体"/>
          <w:snapToGrid w:val="0"/>
          <w:color w:val="auto"/>
          <w:kern w:val="0"/>
          <w:szCs w:val="28"/>
          <w:highlight w:val="none"/>
          <w:shd w:val="clear" w:color="auto" w:fill="auto"/>
        </w:rPr>
        <w:t>单位员工，</w:t>
      </w:r>
      <w:r>
        <w:rPr>
          <w:rFonts w:hint="eastAsia" w:ascii="宋体" w:hAnsi="宋体" w:eastAsia="宋体" w:cs="宋体"/>
          <w:b/>
          <w:color w:val="auto"/>
          <w:highlight w:val="none"/>
          <w:shd w:val="clear" w:color="auto" w:fill="auto"/>
        </w:rPr>
        <w:t>参选人</w:t>
      </w:r>
      <w:r>
        <w:rPr>
          <w:rFonts w:hint="eastAsia" w:ascii="宋体" w:hAnsi="宋体" w:eastAsia="宋体" w:cs="宋体"/>
          <w:b/>
          <w:snapToGrid w:val="0"/>
          <w:color w:val="auto"/>
          <w:kern w:val="0"/>
          <w:szCs w:val="28"/>
          <w:highlight w:val="none"/>
          <w:shd w:val="clear" w:color="auto" w:fill="auto"/>
        </w:rPr>
        <w:t>项目组成员须提供近半年公司为其缴纳社保的证明材料，不得外包其他单位员工。</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项目经理</w:t>
            </w:r>
          </w:p>
        </w:tc>
        <w:tc>
          <w:tcPr>
            <w:tcW w:w="7660" w:type="dxa"/>
            <w:tcBorders>
              <w:top w:val="single" w:color="auto" w:sz="4" w:space="0"/>
              <w:left w:val="single" w:color="auto" w:sz="4" w:space="0"/>
              <w:bottom w:val="single" w:color="auto" w:sz="4" w:space="0"/>
              <w:right w:val="single" w:color="auto" w:sz="4" w:space="0"/>
            </w:tcBorders>
          </w:tcPr>
          <w:p>
            <w:pPr>
              <w:snapToGrid w:val="0"/>
              <w:spacing w:line="600" w:lineRule="exact"/>
              <w:ind w:firstLine="0" w:firstLineChars="0"/>
              <w:rPr>
                <w:rFonts w:ascii="Times New Roman" w:hAnsi="Times New Roman"/>
                <w:color w:val="auto"/>
                <w:highlight w:val="none"/>
                <w:shd w:val="clear" w:color="auto" w:fill="auto"/>
              </w:rPr>
            </w:pPr>
            <w:r>
              <w:rPr>
                <w:rFonts w:hint="eastAsia" w:ascii="Times New Roman" w:hAnsi="Times New Roman" w:cs="Cambria"/>
                <w:kern w:val="0"/>
                <w:highlight w:val="none"/>
                <w:shd w:val="clear" w:color="auto" w:fill="auto"/>
                <w:lang w:val="en-US" w:eastAsia="zh-CN"/>
              </w:rPr>
              <w:t>近两年全面建设类似手机银行的项目，</w:t>
            </w:r>
            <w:r>
              <w:rPr>
                <w:rFonts w:hint="eastAsia" w:ascii="Times New Roman" w:hAnsi="Times New Roman" w:cs="Cambria"/>
                <w:kern w:val="0"/>
                <w:highlight w:val="none"/>
                <w:shd w:val="clear" w:color="auto" w:fill="auto"/>
              </w:rPr>
              <w:t>主导过三个</w:t>
            </w:r>
            <w:r>
              <w:rPr>
                <w:rFonts w:hint="eastAsia" w:ascii="Times New Roman" w:hAnsi="Times New Roman" w:cs="Cambria"/>
                <w:kern w:val="0"/>
                <w:highlight w:val="none"/>
                <w:shd w:val="clear" w:color="auto" w:fill="auto"/>
                <w:lang w:eastAsia="zh-CN"/>
              </w:rPr>
              <w:t>（</w:t>
            </w:r>
            <w:r>
              <w:rPr>
                <w:rFonts w:hint="eastAsia" w:ascii="Times New Roman" w:hAnsi="Times New Roman" w:cs="Cambria"/>
                <w:kern w:val="0"/>
                <w:highlight w:val="none"/>
                <w:shd w:val="clear" w:color="auto" w:fill="auto"/>
                <w:lang w:val="en-US" w:eastAsia="zh-CN"/>
              </w:rPr>
              <w:t>含</w:t>
            </w:r>
            <w:r>
              <w:rPr>
                <w:rFonts w:hint="eastAsia" w:ascii="Times New Roman" w:hAnsi="Times New Roman" w:cs="Cambria"/>
                <w:kern w:val="0"/>
                <w:highlight w:val="none"/>
                <w:shd w:val="clear" w:color="auto" w:fill="auto"/>
                <w:lang w:eastAsia="zh-CN"/>
              </w:rPr>
              <w:t>）</w:t>
            </w:r>
            <w:r>
              <w:rPr>
                <w:rFonts w:hint="eastAsia" w:ascii="Times New Roman" w:hAnsi="Times New Roman" w:cs="Cambria"/>
                <w:kern w:val="0"/>
                <w:highlight w:val="none"/>
                <w:shd w:val="clear" w:color="auto" w:fill="auto"/>
              </w:rPr>
              <w:t>以上同类项目和具有五年</w:t>
            </w:r>
            <w:r>
              <w:rPr>
                <w:rFonts w:hint="eastAsia" w:ascii="Times New Roman" w:hAnsi="Times New Roman" w:cs="Cambria"/>
                <w:kern w:val="0"/>
                <w:highlight w:val="none"/>
                <w:shd w:val="clear" w:color="auto" w:fill="auto"/>
                <w:lang w:eastAsia="zh-CN"/>
              </w:rPr>
              <w:t>（</w:t>
            </w:r>
            <w:r>
              <w:rPr>
                <w:rFonts w:hint="eastAsia" w:ascii="Times New Roman" w:hAnsi="Times New Roman" w:cs="Cambria"/>
                <w:kern w:val="0"/>
                <w:highlight w:val="none"/>
                <w:shd w:val="clear" w:color="auto" w:fill="auto"/>
                <w:lang w:val="en-US" w:eastAsia="zh-CN"/>
              </w:rPr>
              <w:t>含</w:t>
            </w:r>
            <w:r>
              <w:rPr>
                <w:rFonts w:hint="eastAsia" w:ascii="Times New Roman" w:hAnsi="Times New Roman" w:cs="Cambria"/>
                <w:kern w:val="0"/>
                <w:highlight w:val="none"/>
                <w:shd w:val="clear" w:color="auto" w:fill="auto"/>
                <w:lang w:eastAsia="zh-CN"/>
              </w:rPr>
              <w:t>）</w:t>
            </w:r>
            <w:r>
              <w:rPr>
                <w:rFonts w:hint="eastAsia" w:ascii="Times New Roman" w:hAnsi="Times New Roman" w:cs="Cambria"/>
                <w:kern w:val="0"/>
                <w:highlight w:val="none"/>
                <w:shd w:val="clear" w:color="auto" w:fill="auto"/>
              </w:rPr>
              <w:t>以上项目经理工作经验，具有独当一面的技术能力；直接对项目的实施负责，通过对工期、成本、质量的控制（包括总体制定、执行、跟踪、调整相关计划，协调项目可用资源），确保项目按要求完成。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需求分析师</w:t>
            </w:r>
          </w:p>
        </w:tc>
        <w:tc>
          <w:tcPr>
            <w:tcW w:w="7660" w:type="dxa"/>
            <w:tcBorders>
              <w:top w:val="single" w:color="auto" w:sz="4" w:space="0"/>
              <w:left w:val="single" w:color="auto" w:sz="4" w:space="0"/>
              <w:bottom w:val="single" w:color="auto" w:sz="4" w:space="0"/>
              <w:right w:val="single" w:color="auto" w:sz="4" w:space="0"/>
            </w:tcBorders>
          </w:tcPr>
          <w:p>
            <w:pPr>
              <w:snapToGrid w:val="0"/>
              <w:spacing w:line="600" w:lineRule="exact"/>
              <w:ind w:firstLine="0" w:firstLineChars="0"/>
              <w:rPr>
                <w:rFonts w:ascii="Times New Roman" w:hAnsi="Times New Roman"/>
                <w:color w:val="auto"/>
                <w:highlight w:val="none"/>
                <w:shd w:val="clear" w:color="auto" w:fill="auto"/>
              </w:rPr>
            </w:pPr>
            <w:r>
              <w:rPr>
                <w:rFonts w:hint="eastAsia" w:ascii="Times New Roman" w:hAnsi="Times New Roman" w:cs="Cambria"/>
                <w:kern w:val="0"/>
                <w:highlight w:val="none"/>
                <w:shd w:val="clear" w:color="auto" w:fill="auto"/>
                <w:lang w:val="en-US" w:eastAsia="zh-CN"/>
              </w:rPr>
              <w:t>近两年</w:t>
            </w:r>
            <w:r>
              <w:rPr>
                <w:rFonts w:hint="eastAsia" w:ascii="Times New Roman" w:hAnsi="Times New Roman" w:cs="Cambria"/>
                <w:kern w:val="0"/>
                <w:highlight w:val="none"/>
                <w:shd w:val="clear" w:color="auto" w:fill="auto"/>
              </w:rPr>
              <w:t>主导完成过三个</w:t>
            </w:r>
            <w:r>
              <w:rPr>
                <w:rFonts w:hint="eastAsia" w:ascii="Times New Roman" w:hAnsi="Times New Roman" w:cs="Cambria"/>
                <w:kern w:val="0"/>
                <w:highlight w:val="none"/>
                <w:shd w:val="clear" w:color="auto" w:fill="auto"/>
                <w:lang w:eastAsia="zh-CN"/>
              </w:rPr>
              <w:t>（</w:t>
            </w:r>
            <w:r>
              <w:rPr>
                <w:rFonts w:hint="eastAsia" w:ascii="Times New Roman" w:hAnsi="Times New Roman" w:cs="Cambria"/>
                <w:kern w:val="0"/>
                <w:highlight w:val="none"/>
                <w:shd w:val="clear" w:color="auto" w:fill="auto"/>
                <w:lang w:val="en-US" w:eastAsia="zh-CN"/>
              </w:rPr>
              <w:t>含</w:t>
            </w:r>
            <w:r>
              <w:rPr>
                <w:rFonts w:hint="eastAsia" w:ascii="Times New Roman" w:hAnsi="Times New Roman" w:cs="Cambria"/>
                <w:kern w:val="0"/>
                <w:highlight w:val="none"/>
                <w:shd w:val="clear" w:color="auto" w:fill="auto"/>
                <w:lang w:eastAsia="zh-CN"/>
              </w:rPr>
              <w:t>）</w:t>
            </w:r>
            <w:r>
              <w:rPr>
                <w:rFonts w:hint="eastAsia" w:ascii="Times New Roman" w:hAnsi="Times New Roman" w:cs="Cambria"/>
                <w:kern w:val="0"/>
                <w:highlight w:val="none"/>
                <w:shd w:val="clear" w:color="auto" w:fill="auto"/>
              </w:rPr>
              <w:t>以上同类项目的需求分析、设计，熟悉银行业务流程和相关法律法规，能够辅助比选人完成业务流程梳理、整合以及创新，善于表达，具有良好的沟通技巧和能力。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系统架构师</w:t>
            </w:r>
          </w:p>
        </w:tc>
        <w:tc>
          <w:tcPr>
            <w:tcW w:w="7660" w:type="dxa"/>
            <w:tcBorders>
              <w:top w:val="single" w:color="auto" w:sz="4" w:space="0"/>
              <w:left w:val="single" w:color="auto" w:sz="4" w:space="0"/>
              <w:bottom w:val="single" w:color="auto" w:sz="4" w:space="0"/>
              <w:right w:val="single" w:color="auto" w:sz="4" w:space="0"/>
            </w:tcBorders>
          </w:tcPr>
          <w:p>
            <w:pPr>
              <w:snapToGrid w:val="0"/>
              <w:spacing w:line="600" w:lineRule="exact"/>
              <w:ind w:firstLine="0" w:firstLineChars="0"/>
              <w:rPr>
                <w:rFonts w:ascii="Times New Roman" w:hAnsi="Times New Roman"/>
                <w:color w:val="auto"/>
                <w:highlight w:val="none"/>
                <w:shd w:val="clear" w:color="auto" w:fill="auto"/>
              </w:rPr>
            </w:pPr>
            <w:r>
              <w:rPr>
                <w:rFonts w:hint="eastAsia" w:ascii="Times New Roman" w:hAnsi="Times New Roman" w:cs="Cambria"/>
                <w:color w:val="auto"/>
                <w:kern w:val="0"/>
                <w:highlight w:val="none"/>
                <w:shd w:val="clear" w:color="auto" w:fill="auto"/>
              </w:rPr>
              <w:t>主导过三个</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rPr>
              <w:t>以上同类项目和七年</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rPr>
              <w:t>以上相关工作经历</w:t>
            </w:r>
            <w:r>
              <w:rPr>
                <w:rFonts w:hint="eastAsia" w:ascii="Times New Roman" w:hAnsi="Times New Roman"/>
                <w:color w:val="auto"/>
                <w:highlight w:val="none"/>
                <w:shd w:val="clear" w:color="auto" w:fill="auto"/>
              </w:rPr>
              <w:t>，并且熟悉SOA、分布式架构以及主流开发框架。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项目组开发人员</w:t>
            </w:r>
          </w:p>
        </w:tc>
        <w:tc>
          <w:tcPr>
            <w:tcW w:w="7660" w:type="dxa"/>
            <w:tcBorders>
              <w:top w:val="single" w:color="auto" w:sz="4" w:space="0"/>
              <w:left w:val="single" w:color="auto" w:sz="4" w:space="0"/>
              <w:bottom w:val="single" w:color="auto" w:sz="4" w:space="0"/>
              <w:right w:val="single" w:color="auto" w:sz="4" w:space="0"/>
            </w:tcBorders>
          </w:tcPr>
          <w:p>
            <w:pPr>
              <w:snapToGrid w:val="0"/>
              <w:spacing w:line="600" w:lineRule="exact"/>
              <w:ind w:firstLine="0" w:firstLineChars="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具有两</w:t>
            </w:r>
            <w:r>
              <w:rPr>
                <w:rFonts w:hint="eastAsia" w:ascii="Times New Roman" w:hAnsi="Times New Roman"/>
                <w:color w:val="auto"/>
                <w:highlight w:val="none"/>
                <w:shd w:val="clear" w:color="auto" w:fill="auto"/>
              </w:rPr>
              <w:t>年</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以上</w:t>
            </w:r>
            <w:r>
              <w:rPr>
                <w:rFonts w:hint="eastAsia" w:ascii="Times New Roman" w:hAnsi="Times New Roman"/>
                <w:color w:val="auto"/>
                <w:highlight w:val="none"/>
                <w:shd w:val="clear" w:color="auto" w:fill="auto"/>
              </w:rPr>
              <w:t>开发经验，开发组长须有五年</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以上</w:t>
            </w:r>
            <w:r>
              <w:rPr>
                <w:rFonts w:hint="eastAsia" w:ascii="Times New Roman" w:hAnsi="Times New Roman"/>
                <w:color w:val="auto"/>
                <w:highlight w:val="none"/>
                <w:shd w:val="clear" w:color="auto" w:fill="auto"/>
              </w:rPr>
              <w:t>开发经验，且均有银行相关系统的项目实施经历。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ind w:firstLine="0" w:firstLineChars="0"/>
              <w:jc w:val="center"/>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项目组测试人员</w:t>
            </w:r>
          </w:p>
        </w:tc>
        <w:tc>
          <w:tcPr>
            <w:tcW w:w="7660" w:type="dxa"/>
            <w:tcBorders>
              <w:top w:val="single" w:color="auto" w:sz="4" w:space="0"/>
              <w:left w:val="single" w:color="auto" w:sz="4" w:space="0"/>
              <w:bottom w:val="single" w:color="auto" w:sz="4" w:space="0"/>
              <w:right w:val="single" w:color="auto" w:sz="4" w:space="0"/>
            </w:tcBorders>
          </w:tcPr>
          <w:p>
            <w:pPr>
              <w:snapToGrid w:val="0"/>
              <w:spacing w:line="600" w:lineRule="exact"/>
              <w:ind w:firstLine="0" w:firstLineChars="0"/>
              <w:rPr>
                <w:rFonts w:ascii="Times New Roman" w:hAnsi="Times New Roman"/>
                <w:snapToGrid w:val="0"/>
                <w:color w:val="auto"/>
                <w:kern w:val="0"/>
                <w:highlight w:val="none"/>
                <w:shd w:val="clear" w:color="auto" w:fill="auto"/>
              </w:rPr>
            </w:pPr>
            <w:r>
              <w:rPr>
                <w:rFonts w:hint="eastAsia" w:ascii="Times New Roman" w:hAnsi="Times New Roman"/>
                <w:color w:val="auto"/>
                <w:highlight w:val="none"/>
                <w:shd w:val="clear" w:color="auto" w:fill="auto"/>
              </w:rPr>
              <w:t>具有两年</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olor w:val="auto"/>
                <w:highlight w:val="none"/>
                <w:shd w:val="clear" w:color="auto" w:fill="auto"/>
              </w:rPr>
              <w:t>以上银行相关系统测试经验，</w:t>
            </w:r>
            <w:r>
              <w:rPr>
                <w:rFonts w:hint="eastAsia" w:ascii="Times New Roman" w:hAnsi="Times New Roman" w:cs="Cambria"/>
                <w:color w:val="auto"/>
                <w:kern w:val="0"/>
                <w:highlight w:val="none"/>
                <w:shd w:val="clear" w:color="auto" w:fill="auto"/>
              </w:rPr>
              <w:t>项目测试经理主导完成过</w:t>
            </w:r>
            <w:r>
              <w:rPr>
                <w:rFonts w:hint="eastAsia" w:ascii="Times New Roman" w:hAnsi="Times New Roman" w:cs="Cambria"/>
                <w:color w:val="auto"/>
                <w:kern w:val="0"/>
                <w:highlight w:val="none"/>
                <w:shd w:val="clear" w:color="auto" w:fill="auto"/>
                <w:lang w:val="en-US" w:eastAsia="zh-CN"/>
              </w:rPr>
              <w:t>两</w:t>
            </w:r>
            <w:r>
              <w:rPr>
                <w:rFonts w:hint="eastAsia" w:ascii="Times New Roman" w:hAnsi="Times New Roman" w:cs="Cambria"/>
                <w:color w:val="auto"/>
                <w:kern w:val="0"/>
                <w:highlight w:val="none"/>
                <w:shd w:val="clear" w:color="auto" w:fill="auto"/>
              </w:rPr>
              <w:t>个</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rPr>
              <w:t>以上同类项目的系统测试工作</w:t>
            </w:r>
            <w:r>
              <w:rPr>
                <w:rFonts w:hint="eastAsia" w:ascii="Times New Roman" w:hAnsi="Times New Roman"/>
                <w:color w:val="auto"/>
                <w:highlight w:val="none"/>
                <w:shd w:val="clear" w:color="auto" w:fill="auto"/>
              </w:rPr>
              <w:t>，且具有三年</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s="Cambria"/>
                <w:color w:val="auto"/>
                <w:kern w:val="0"/>
                <w:highlight w:val="none"/>
                <w:shd w:val="clear" w:color="auto" w:fill="auto"/>
                <w:lang w:val="en-US" w:eastAsia="zh-CN"/>
              </w:rPr>
              <w:t>含</w:t>
            </w:r>
            <w:r>
              <w:rPr>
                <w:rFonts w:hint="eastAsia" w:ascii="Times New Roman" w:hAnsi="Times New Roman" w:cs="Cambria"/>
                <w:color w:val="auto"/>
                <w:kern w:val="0"/>
                <w:highlight w:val="none"/>
                <w:shd w:val="clear" w:color="auto" w:fill="auto"/>
                <w:lang w:eastAsia="zh-CN"/>
              </w:rPr>
              <w:t>）</w:t>
            </w:r>
            <w:r>
              <w:rPr>
                <w:rFonts w:hint="eastAsia" w:ascii="Times New Roman" w:hAnsi="Times New Roman"/>
                <w:color w:val="auto"/>
                <w:highlight w:val="none"/>
                <w:shd w:val="clear" w:color="auto" w:fill="auto"/>
              </w:rPr>
              <w:t>以上银行相关系统测试经验。</w:t>
            </w:r>
          </w:p>
        </w:tc>
      </w:tr>
    </w:tbl>
    <w:p>
      <w:pPr>
        <w:autoSpaceDE/>
        <w:autoSpaceDN/>
        <w:spacing w:line="600" w:lineRule="exact"/>
        <w:ind w:firstLine="480"/>
        <w:rPr>
          <w:rFonts w:hint="eastAsia" w:ascii="宋体" w:hAnsi="宋体" w:eastAsia="宋体" w:cs="宋体"/>
          <w:snapToGrid w:val="0"/>
          <w:color w:val="auto"/>
          <w:kern w:val="0"/>
          <w:highlight w:val="none"/>
          <w:shd w:val="clear" w:color="auto" w:fill="auto"/>
        </w:rPr>
      </w:pPr>
      <w:r>
        <w:rPr>
          <w:rFonts w:hint="eastAsia" w:ascii="宋体" w:hAnsi="宋体" w:eastAsia="宋体" w:cs="宋体"/>
          <w:color w:val="auto"/>
          <w:highlight w:val="none"/>
          <w:shd w:val="clear" w:color="auto" w:fill="auto"/>
        </w:rPr>
        <w:t>3）</w:t>
      </w:r>
      <w:r>
        <w:rPr>
          <w:rFonts w:hint="eastAsia" w:ascii="宋体" w:hAnsi="宋体" w:eastAsia="宋体" w:cs="宋体"/>
          <w:snapToGrid w:val="0"/>
          <w:color w:val="auto"/>
          <w:kern w:val="0"/>
          <w:highlight w:val="none"/>
          <w:shd w:val="clear" w:color="auto" w:fill="auto"/>
        </w:rPr>
        <w:t>需提供项目组成员简历信息，同时，比选人将对所提供的项目组成员进行审核，达不到我行要求的将要求替换。项目经理及骨干成员须参加比选人组织的面试，面试人员在合同签订时不得进行更换。</w:t>
      </w:r>
    </w:p>
    <w:p>
      <w:pPr>
        <w:autoSpaceDE/>
        <w:autoSpaceDN/>
        <w:spacing w:line="600" w:lineRule="exact"/>
        <w:ind w:firstLine="48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4）</w:t>
      </w:r>
      <w:r>
        <w:rPr>
          <w:rFonts w:hint="eastAsia" w:ascii="宋体" w:hAnsi="宋体" w:eastAsia="宋体" w:cs="宋体"/>
          <w:color w:val="auto"/>
          <w:szCs w:val="24"/>
          <w:highlight w:val="none"/>
          <w:shd w:val="clear" w:color="auto" w:fill="auto"/>
        </w:rPr>
        <w:t>项目组成员若有违约违规行为将由参选人承担责任。</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98" w:name="_Toc17720"/>
      <w:bookmarkStart w:id="99" w:name="_Toc15059418"/>
      <w:bookmarkStart w:id="100" w:name="_Toc89675144"/>
      <w:r>
        <w:rPr>
          <w:rFonts w:hint="eastAsia" w:ascii="Times New Roman" w:hAnsi="Times New Roman"/>
          <w:color w:val="auto"/>
          <w:highlight w:val="none"/>
          <w:shd w:val="clear" w:color="auto" w:fill="auto"/>
        </w:rPr>
        <w:t>项目实施要求</w:t>
      </w:r>
      <w:bookmarkEnd w:id="98"/>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详细阐述项目实施要求，如下供参考。</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在本项目实施周期内，如遇到原系统功能与需求不符，需要及时调整实施方案，满足比选人的要求，并征得比选人同意方可变更。</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参选人在项目实施过程中，需按照比选人项目管理规范提供相应文档（所有提交文档必须为中文）。</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本项目为现场开发，原则上不允许远程开发模式，除非得到比选人的明确认可和授权。</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01" w:name="_Toc2571"/>
      <w:r>
        <w:rPr>
          <w:rFonts w:hint="eastAsia" w:ascii="Times New Roman" w:hAnsi="Times New Roman"/>
          <w:color w:val="auto"/>
          <w:highlight w:val="none"/>
          <w:shd w:val="clear" w:color="auto" w:fill="auto"/>
        </w:rPr>
        <w:t>项目源代码要求</w:t>
      </w:r>
      <w:bookmarkEnd w:id="101"/>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本项目的所有源代码，包括产品源代码、客户化源代码、系统平台源代码</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移动开发平台</w:t>
      </w:r>
      <w:r>
        <w:rPr>
          <w:rFonts w:hint="eastAsia" w:ascii="Times New Roman" w:hAnsi="Times New Roman"/>
          <w:color w:val="auto"/>
          <w:highlight w:val="none"/>
          <w:shd w:val="clear" w:color="auto" w:fill="auto"/>
        </w:rPr>
        <w:t>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color w:val="auto"/>
          <w:highlight w:val="none"/>
          <w:shd w:val="clear" w:color="auto" w:fill="auto"/>
        </w:rPr>
        <w:t>归双方共有</w:t>
      </w:r>
      <w:r>
        <w:rPr>
          <w:rFonts w:hint="eastAsia" w:ascii="Times New Roman" w:hAnsi="Times New Roman"/>
          <w:color w:val="auto"/>
          <w:highlight w:val="none"/>
          <w:shd w:val="clear" w:color="auto" w:fill="auto"/>
        </w:rPr>
        <w:t>。针对共有部分，比选人拥有在比选人及其分支机构使用及后续开发的权利，参选人拥有在其公司和其他组织范围内使用的权利，但参选人使用时不得侵犯比选人利益。</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02" w:name="_Toc18561"/>
      <w:r>
        <w:rPr>
          <w:rFonts w:hint="eastAsia" w:ascii="Times New Roman" w:hAnsi="Times New Roman"/>
          <w:color w:val="auto"/>
          <w:highlight w:val="none"/>
          <w:shd w:val="clear" w:color="auto" w:fill="auto"/>
        </w:rPr>
        <w:t>交付周期、地点</w:t>
      </w:r>
      <w:bookmarkEnd w:id="99"/>
      <w:bookmarkEnd w:id="100"/>
      <w:bookmarkEnd w:id="102"/>
    </w:p>
    <w:p>
      <w:pPr>
        <w:pStyle w:val="4"/>
        <w:autoSpaceDE/>
        <w:autoSpaceDN/>
        <w:spacing w:line="600" w:lineRule="exact"/>
        <w:ind w:firstLine="480"/>
        <w:rPr>
          <w:rFonts w:ascii="Times New Roman" w:hAnsi="Times New Roman"/>
          <w:color w:val="auto"/>
          <w:highlight w:val="none"/>
          <w:shd w:val="clear" w:color="auto" w:fill="auto"/>
        </w:rPr>
      </w:pPr>
      <w:bookmarkStart w:id="103" w:name="_Toc15808"/>
      <w:bookmarkStart w:id="104" w:name="_Toc15059420"/>
      <w:bookmarkStart w:id="105" w:name="_Toc89675146"/>
      <w:bookmarkStart w:id="106" w:name="_Toc387826347"/>
      <w:bookmarkStart w:id="107" w:name="_Toc440628915"/>
      <w:bookmarkStart w:id="108" w:name="_Toc1125"/>
      <w:bookmarkStart w:id="109" w:name="_Toc432254881"/>
      <w:r>
        <w:rPr>
          <w:rFonts w:ascii="Times New Roman" w:hAnsi="Times New Roman"/>
          <w:color w:val="auto"/>
          <w:highlight w:val="none"/>
          <w:shd w:val="clear" w:color="auto" w:fill="auto"/>
        </w:rPr>
        <w:t>7</w:t>
      </w:r>
      <w:r>
        <w:rPr>
          <w:rFonts w:hint="eastAsia" w:ascii="Times New Roman" w:hAnsi="Times New Roman"/>
          <w:color w:val="auto"/>
          <w:highlight w:val="none"/>
          <w:shd w:val="clear" w:color="auto" w:fill="auto"/>
        </w:rPr>
        <w:t>.1 交付时间</w:t>
      </w:r>
      <w:bookmarkEnd w:id="103"/>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以项目合同为准。</w:t>
      </w:r>
    </w:p>
    <w:p>
      <w:pPr>
        <w:pStyle w:val="4"/>
        <w:autoSpaceDE/>
        <w:autoSpaceDN/>
        <w:spacing w:line="600" w:lineRule="exact"/>
        <w:ind w:firstLine="480"/>
        <w:rPr>
          <w:rFonts w:ascii="Times New Roman" w:hAnsi="Times New Roman"/>
          <w:color w:val="auto"/>
          <w:highlight w:val="none"/>
          <w:shd w:val="clear" w:color="auto" w:fill="auto"/>
        </w:rPr>
      </w:pPr>
      <w:bookmarkStart w:id="110" w:name="_Toc1483"/>
      <w:r>
        <w:rPr>
          <w:rFonts w:ascii="Times New Roman" w:hAnsi="Times New Roman"/>
          <w:color w:val="auto"/>
          <w:highlight w:val="none"/>
          <w:shd w:val="clear" w:color="auto" w:fill="auto"/>
        </w:rPr>
        <w:t>7</w:t>
      </w:r>
      <w:r>
        <w:rPr>
          <w:rFonts w:hint="eastAsia" w:ascii="Times New Roman" w:hAnsi="Times New Roman"/>
          <w:color w:val="auto"/>
          <w:highlight w:val="none"/>
          <w:shd w:val="clear" w:color="auto" w:fill="auto"/>
        </w:rPr>
        <w:t>.2 实施及交付地点</w:t>
      </w:r>
      <w:bookmarkEnd w:id="110"/>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比选人指定地点。</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11" w:name="_Toc18754"/>
      <w:r>
        <w:rPr>
          <w:rFonts w:hint="eastAsia" w:ascii="Times New Roman" w:hAnsi="Times New Roman"/>
          <w:color w:val="auto"/>
          <w:highlight w:val="none"/>
          <w:shd w:val="clear" w:color="auto" w:fill="auto"/>
        </w:rPr>
        <w:t>验收测试</w:t>
      </w:r>
      <w:bookmarkEnd w:id="111"/>
    </w:p>
    <w:p>
      <w:pPr>
        <w:pStyle w:val="4"/>
        <w:autoSpaceDE/>
        <w:autoSpaceDN/>
        <w:spacing w:line="600" w:lineRule="exact"/>
        <w:ind w:firstLine="480"/>
        <w:rPr>
          <w:rFonts w:ascii="Times New Roman" w:hAnsi="Times New Roman"/>
          <w:color w:val="auto"/>
          <w:szCs w:val="20"/>
          <w:highlight w:val="none"/>
          <w:shd w:val="clear" w:color="auto" w:fill="auto"/>
        </w:rPr>
      </w:pPr>
      <w:bookmarkStart w:id="112" w:name="_Toc13125"/>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.1 </w:t>
      </w:r>
      <w:r>
        <w:rPr>
          <w:rFonts w:hint="eastAsia" w:ascii="Times New Roman" w:hAnsi="Times New Roman"/>
          <w:color w:val="auto"/>
          <w:szCs w:val="20"/>
          <w:highlight w:val="none"/>
          <w:shd w:val="clear" w:color="auto" w:fill="auto"/>
        </w:rPr>
        <w:t>验收测试的范围</w:t>
      </w:r>
      <w:bookmarkEnd w:id="112"/>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验收测试的范围为项目实施完毕,上线前最终确认的所有需求。</w:t>
      </w:r>
    </w:p>
    <w:p>
      <w:pPr>
        <w:pStyle w:val="4"/>
        <w:autoSpaceDE/>
        <w:autoSpaceDN/>
        <w:spacing w:line="600" w:lineRule="exact"/>
        <w:ind w:firstLine="480"/>
        <w:rPr>
          <w:rFonts w:ascii="Times New Roman" w:hAnsi="Times New Roman"/>
          <w:color w:val="auto"/>
          <w:szCs w:val="20"/>
          <w:highlight w:val="none"/>
          <w:shd w:val="clear" w:color="auto" w:fill="auto"/>
        </w:rPr>
      </w:pPr>
      <w:bookmarkStart w:id="113" w:name="_Toc628"/>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.2 </w:t>
      </w:r>
      <w:r>
        <w:rPr>
          <w:rFonts w:hint="eastAsia" w:ascii="Times New Roman" w:hAnsi="Times New Roman"/>
          <w:color w:val="auto"/>
          <w:szCs w:val="20"/>
          <w:highlight w:val="none"/>
          <w:shd w:val="clear" w:color="auto" w:fill="auto"/>
        </w:rPr>
        <w:t>验收测试的组织</w:t>
      </w:r>
      <w:bookmarkEnd w:id="113"/>
    </w:p>
    <w:p>
      <w:pPr>
        <w:pStyle w:val="7"/>
        <w:autoSpaceDE/>
        <w:autoSpaceDN/>
        <w:snapToGrid w:val="0"/>
        <w:spacing w:line="600" w:lineRule="exact"/>
        <w:ind w:firstLine="480" w:firstLineChars="200"/>
        <w:rPr>
          <w:rFonts w:hint="eastAsia" w:ascii="Times New Roman" w:hAnsi="Times New Roman"/>
          <w:color w:val="auto"/>
          <w:highlight w:val="none"/>
          <w:shd w:val="clear" w:color="auto" w:fill="auto"/>
        </w:rPr>
      </w:pPr>
      <w:r>
        <w:rPr>
          <w:rFonts w:hint="eastAsia" w:ascii="Times New Roman" w:hAnsi="Times New Roman" w:cs="宋体"/>
          <w:snapToGrid w:val="0"/>
          <w:color w:val="auto"/>
          <w:kern w:val="0"/>
          <w:sz w:val="24"/>
          <w:szCs w:val="24"/>
          <w:highlight w:val="none"/>
          <w:shd w:val="clear" w:color="auto" w:fill="auto"/>
        </w:rPr>
        <w:t>比选人根据验收范围对项目进行验收，验收过程中</w:t>
      </w:r>
      <w:r>
        <w:rPr>
          <w:rFonts w:ascii="Times New Roman" w:hAnsi="Times New Roman" w:cs="宋体"/>
          <w:snapToGrid w:val="0"/>
          <w:color w:val="auto"/>
          <w:kern w:val="0"/>
          <w:sz w:val="24"/>
          <w:szCs w:val="24"/>
          <w:highlight w:val="none"/>
          <w:shd w:val="clear" w:color="auto" w:fill="auto"/>
        </w:rPr>
        <w:t>中</w:t>
      </w:r>
      <w:r>
        <w:rPr>
          <w:rFonts w:hint="eastAsia" w:ascii="Times New Roman" w:hAnsi="Times New Roman" w:cs="宋体"/>
          <w:snapToGrid w:val="0"/>
          <w:color w:val="auto"/>
          <w:kern w:val="0"/>
          <w:sz w:val="24"/>
          <w:szCs w:val="24"/>
          <w:highlight w:val="none"/>
          <w:shd w:val="clear" w:color="auto" w:fill="auto"/>
        </w:rPr>
        <w:t>选人需根据比选人提出的验收意见对系统进行及时优化，出现严重缺陷或质量问题时，比选人可以决定暂停所有验收工作，直至缺陷和问题得到纠正，造成比选人损失的，由中选人承担。</w:t>
      </w:r>
    </w:p>
    <w:p>
      <w:pPr>
        <w:pStyle w:val="4"/>
        <w:autoSpaceDE/>
        <w:autoSpaceDN/>
        <w:spacing w:line="600" w:lineRule="exact"/>
        <w:ind w:firstLine="480"/>
        <w:rPr>
          <w:rFonts w:ascii="Times New Roman" w:hAnsi="Times New Roman"/>
          <w:color w:val="auto"/>
          <w:szCs w:val="20"/>
          <w:highlight w:val="none"/>
          <w:shd w:val="clear" w:color="auto" w:fill="auto"/>
        </w:rPr>
      </w:pPr>
      <w:bookmarkStart w:id="114" w:name="_Toc11759"/>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.3 </w:t>
      </w:r>
      <w:r>
        <w:rPr>
          <w:rFonts w:hint="eastAsia" w:ascii="Times New Roman" w:hAnsi="Times New Roman"/>
          <w:color w:val="auto"/>
          <w:szCs w:val="20"/>
          <w:highlight w:val="none"/>
          <w:shd w:val="clear" w:color="auto" w:fill="auto"/>
        </w:rPr>
        <w:t>验收测试的程序</w:t>
      </w:r>
      <w:bookmarkEnd w:id="114"/>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1）对各功能模块进行测试；</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2）在各功能模块测试合格的前提下，对系统进行全面初验；</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3）系统验收测试合格后，进入试运行阶段；</w:t>
      </w:r>
    </w:p>
    <w:p>
      <w:pPr>
        <w:autoSpaceDE/>
        <w:autoSpaceDN/>
        <w:spacing w:line="600" w:lineRule="exact"/>
        <w:ind w:firstLine="480"/>
        <w:rPr>
          <w:rFonts w:hint="eastAsia" w:ascii="Times New Roman" w:hAnsi="Times New Roman"/>
          <w:shd w:val="clear" w:color="auto" w:fill="auto"/>
        </w:rPr>
      </w:pPr>
      <w:r>
        <w:rPr>
          <w:rFonts w:hint="eastAsia" w:ascii="Times New Roman" w:hAnsi="Times New Roman" w:cs="宋体"/>
          <w:snapToGrid w:val="0"/>
          <w:color w:val="auto"/>
          <w:kern w:val="0"/>
          <w:sz w:val="24"/>
          <w:szCs w:val="24"/>
          <w:highlight w:val="none"/>
          <w:shd w:val="clear" w:color="auto" w:fill="auto"/>
          <w:lang w:val="en-US" w:eastAsia="zh-CN"/>
        </w:rPr>
        <w:t>4）</w:t>
      </w:r>
      <w:r>
        <w:rPr>
          <w:rFonts w:hint="eastAsia" w:ascii="Times New Roman" w:hAnsi="Times New Roman" w:cs="宋体"/>
          <w:snapToGrid w:val="0"/>
          <w:color w:val="auto"/>
          <w:kern w:val="0"/>
          <w:sz w:val="24"/>
          <w:szCs w:val="24"/>
          <w:highlight w:val="none"/>
          <w:shd w:val="clear" w:color="auto" w:fill="auto"/>
        </w:rPr>
        <w:t>系统</w:t>
      </w:r>
      <w:r>
        <w:rPr>
          <w:rFonts w:ascii="Times New Roman" w:hAnsi="Times New Roman" w:cs="宋体"/>
          <w:snapToGrid w:val="0"/>
          <w:color w:val="auto"/>
          <w:kern w:val="0"/>
          <w:sz w:val="24"/>
          <w:szCs w:val="24"/>
          <w:highlight w:val="none"/>
          <w:shd w:val="clear" w:color="auto" w:fill="auto"/>
        </w:rPr>
        <w:t>（包含合同约定全部功能）</w:t>
      </w:r>
      <w:r>
        <w:rPr>
          <w:rFonts w:hint="eastAsia" w:ascii="Times New Roman" w:hAnsi="Times New Roman" w:cs="宋体"/>
          <w:snapToGrid w:val="0"/>
          <w:color w:val="auto"/>
          <w:kern w:val="0"/>
          <w:sz w:val="24"/>
          <w:szCs w:val="24"/>
          <w:highlight w:val="none"/>
          <w:shd w:val="clear" w:color="auto" w:fill="auto"/>
        </w:rPr>
        <w:t>在全行上线试运行三个月后，进行项目终验收。</w:t>
      </w:r>
    </w:p>
    <w:p>
      <w:pPr>
        <w:autoSpaceDE/>
        <w:autoSpaceDN/>
        <w:spacing w:line="600" w:lineRule="exact"/>
        <w:ind w:firstLine="480"/>
        <w:rPr>
          <w:rFonts w:hint="eastAsia" w:ascii="Times New Roman" w:hAnsi="Times New Roman"/>
          <w:color w:val="auto"/>
          <w:highlight w:val="none"/>
          <w:shd w:val="clear" w:color="auto" w:fill="auto"/>
        </w:rPr>
      </w:pPr>
    </w:p>
    <w:p>
      <w:pPr>
        <w:pStyle w:val="4"/>
        <w:autoSpaceDE/>
        <w:autoSpaceDN/>
        <w:spacing w:line="600" w:lineRule="exact"/>
        <w:ind w:firstLine="480"/>
        <w:rPr>
          <w:rFonts w:ascii="Times New Roman" w:hAnsi="Times New Roman"/>
          <w:color w:val="auto"/>
          <w:szCs w:val="20"/>
          <w:highlight w:val="none"/>
          <w:shd w:val="clear" w:color="auto" w:fill="auto"/>
        </w:rPr>
      </w:pPr>
      <w:bookmarkStart w:id="115" w:name="_Toc24155"/>
      <w:r>
        <w:rPr>
          <w:rFonts w:hint="eastAsia" w:ascii="Times New Roman" w:hAnsi="Times New Roman"/>
          <w:color w:val="auto"/>
          <w:szCs w:val="20"/>
          <w:highlight w:val="none"/>
          <w:shd w:val="clear" w:color="auto" w:fill="auto"/>
        </w:rPr>
        <w:t>8</w:t>
      </w:r>
      <w:r>
        <w:rPr>
          <w:rFonts w:ascii="Times New Roman" w:hAnsi="Times New Roman"/>
          <w:color w:val="auto"/>
          <w:szCs w:val="20"/>
          <w:highlight w:val="none"/>
          <w:shd w:val="clear" w:color="auto" w:fill="auto"/>
        </w:rPr>
        <w:t xml:space="preserve">.4 </w:t>
      </w:r>
      <w:r>
        <w:rPr>
          <w:rFonts w:hint="eastAsia" w:ascii="Times New Roman" w:hAnsi="Times New Roman"/>
          <w:color w:val="auto"/>
          <w:szCs w:val="20"/>
          <w:highlight w:val="none"/>
          <w:shd w:val="clear" w:color="auto" w:fill="auto"/>
        </w:rPr>
        <w:t>验收测试的评定</w:t>
      </w:r>
      <w:bookmarkEnd w:id="115"/>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测试结果按下列级别评定，并经验收小组签字认可：</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•优良：功能和质量达到预期目的。</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•合格：部分功能和质量不能满足比选人的要求，但中选人（集成商）采取了改正措施，使测试结果达到预期目的。</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•不合格：功能和质量不能满足比选人的要求。</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kern w:val="0"/>
          <w:highlight w:val="none"/>
          <w:shd w:val="clear" w:color="auto" w:fill="auto"/>
        </w:rPr>
      </w:pPr>
      <w:bookmarkStart w:id="116" w:name="_Toc31411"/>
      <w:r>
        <w:rPr>
          <w:rFonts w:hint="eastAsia" w:ascii="Times New Roman" w:hAnsi="Times New Roman"/>
          <w:color w:val="auto"/>
          <w:kern w:val="0"/>
          <w:highlight w:val="none"/>
          <w:shd w:val="clear" w:color="auto" w:fill="auto"/>
        </w:rPr>
        <w:t>售后服务和支持</w:t>
      </w:r>
      <w:bookmarkEnd w:id="116"/>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若项目涉及售后服务，需增加售后服务和支持章节，如下供参考。</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服务和支持的范围：</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•系统的安装、部署和调试；</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•项目的验收测试；</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•项目的数据转换、数据迁移、模拟运行和试运行；</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•与系统运行有关的技术问题（含操作系统、数据库、应用系统的整体性能调优等）</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•项目上线后两年内，针对本项目的完善性需求以及监管提出的安全性需求，中选人需免费进行开发。</w:t>
      </w:r>
    </w:p>
    <w:p>
      <w:pPr>
        <w:autoSpaceDE/>
        <w:autoSpaceDN/>
        <w:snapToGrid w:val="0"/>
        <w:spacing w:line="600" w:lineRule="exact"/>
        <w:ind w:firstLine="480" w:firstLineChars="200"/>
        <w:jc w:val="lef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相关技术及业务培训（其中在项目实施前必须组织技术人员进行平台二次开发培训；项目终验前针对本系统的操作、使用、运维等方面的技术培训，并提供平台的所有技术文档等）</w:t>
      </w:r>
    </w:p>
    <w:p>
      <w:pPr>
        <w:autoSpaceDE/>
        <w:autoSpaceDN/>
        <w:snapToGrid w:val="0"/>
        <w:spacing w:line="600" w:lineRule="exact"/>
        <w:ind w:firstLine="480" w:firstLineChars="200"/>
        <w:jc w:val="left"/>
        <w:rPr>
          <w:rFonts w:hint="eastAsia" w:ascii="Times New Roman" w:hAnsi="Times New Roman" w:cs="宋体"/>
          <w:snapToGrid w:val="0"/>
          <w:color w:val="auto"/>
          <w:kern w:val="0"/>
          <w:sz w:val="24"/>
          <w:szCs w:val="24"/>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相应的售后服务（含2年维护期、维护期满后的每年维护费用等），售后服务起始时间为项目终验收后次日起，维护期结束日需延期至到期当年的6月30日或12月31日中较近日期（即维保延期最长不超过半年）。</w:t>
      </w:r>
    </w:p>
    <w:p>
      <w:pPr>
        <w:autoSpaceDE/>
        <w:autoSpaceDN/>
        <w:spacing w:line="600" w:lineRule="exact"/>
        <w:ind w:firstLine="480"/>
        <w:rPr>
          <w:rFonts w:hint="eastAsia" w:ascii="Times New Roman" w:hAnsi="Times New Roman"/>
          <w:highlight w:val="none"/>
          <w:shd w:val="clear" w:color="auto" w:fill="auto"/>
        </w:rPr>
      </w:pPr>
      <w:r>
        <w:rPr>
          <w:rFonts w:hint="eastAsia" w:ascii="Times New Roman" w:hAnsi="Times New Roman"/>
          <w:highlight w:val="none"/>
          <w:shd w:val="clear" w:color="auto" w:fill="auto"/>
        </w:rPr>
        <w:t>•参选人在参选文件中详细说明在系统维保期的具体服务内容，系统维保期过后有偿维保的内容、价格及收取方式，若按开发量评估收取，应说明每人/月价格；</w:t>
      </w:r>
    </w:p>
    <w:p>
      <w:pPr>
        <w:autoSpaceDE/>
        <w:autoSpaceDN/>
        <w:spacing w:line="600" w:lineRule="exact"/>
        <w:ind w:firstLine="480"/>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参选人在参选文件中需对以上相关内容中进行阐述并作出相应承诺。</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17" w:name="_Toc2629"/>
      <w:r>
        <w:rPr>
          <w:rFonts w:hint="eastAsia" w:ascii="Times New Roman" w:hAnsi="Times New Roman"/>
          <w:color w:val="auto"/>
          <w:kern w:val="0"/>
          <w:highlight w:val="none"/>
          <w:shd w:val="clear" w:color="auto" w:fill="auto"/>
        </w:rPr>
        <w:t>系统维保费用</w:t>
      </w:r>
      <w:bookmarkEnd w:id="117"/>
    </w:p>
    <w:p>
      <w:pPr>
        <w:autoSpaceDE/>
        <w:autoSpaceDN/>
        <w:snapToGrid w:val="0"/>
        <w:spacing w:line="600" w:lineRule="exact"/>
        <w:ind w:firstLine="480" w:firstLineChars="200"/>
        <w:jc w:val="left"/>
        <w:rPr>
          <w:rFonts w:ascii="Times New Roman" w:hAnsi="Times New Roman" w:eastAsia="宋体"/>
          <w:color w:val="auto"/>
          <w:highlight w:val="none"/>
          <w:shd w:val="clear" w:color="auto" w:fill="auto"/>
          <w:lang w:val="en-US" w:eastAsia="zh-CN"/>
        </w:rPr>
      </w:pPr>
      <w:r>
        <w:rPr>
          <w:rFonts w:hint="eastAsia" w:ascii="Times New Roman" w:hAnsi="Times New Roman" w:cs="宋体"/>
          <w:snapToGrid w:val="0"/>
          <w:color w:val="auto"/>
          <w:kern w:val="0"/>
          <w:sz w:val="24"/>
          <w:szCs w:val="24"/>
          <w:highlight w:val="none"/>
          <w:shd w:val="clear" w:color="auto" w:fill="auto"/>
        </w:rPr>
        <w:t>维护期满后，每年维护费用不高于合同价8%，且每年系统升级改造工作量</w:t>
      </w:r>
      <w:r>
        <w:rPr>
          <w:rFonts w:ascii="Times New Roman" w:hAnsi="Times New Roman" w:cs="宋体"/>
          <w:snapToGrid w:val="0"/>
          <w:color w:val="auto"/>
          <w:kern w:val="0"/>
          <w:sz w:val="24"/>
          <w:szCs w:val="24"/>
          <w:highlight w:val="none"/>
          <w:shd w:val="clear" w:color="auto" w:fill="auto"/>
        </w:rPr>
        <w:t>2</w:t>
      </w:r>
      <w:r>
        <w:rPr>
          <w:rFonts w:hint="eastAsia" w:ascii="Times New Roman" w:hAnsi="Times New Roman" w:cs="宋体"/>
          <w:snapToGrid w:val="0"/>
          <w:color w:val="auto"/>
          <w:kern w:val="0"/>
          <w:sz w:val="24"/>
          <w:szCs w:val="24"/>
          <w:highlight w:val="none"/>
          <w:shd w:val="clear" w:color="auto" w:fill="auto"/>
        </w:rPr>
        <w:t>个人月内不收费（工作量以比选人的最终评估为准），具体维保费用以合同约定为准。</w:t>
      </w:r>
      <w:r>
        <w:rPr>
          <w:rFonts w:ascii="Times New Roman" w:hAnsi="Times New Roman" w:cs="宋体"/>
          <w:snapToGrid w:val="0"/>
          <w:color w:val="auto"/>
          <w:kern w:val="0"/>
          <w:sz w:val="24"/>
          <w:szCs w:val="24"/>
          <w:highlight w:val="none"/>
          <w:shd w:val="clear" w:color="auto" w:fill="auto"/>
        </w:rPr>
        <w:t>如比选人每年购买中选人的驻场实施服务费用高于系统维保费用的，中选人不再收取维保费用。</w:t>
      </w:r>
      <w:r>
        <w:rPr>
          <w:rFonts w:hint="eastAsia" w:ascii="Times New Roman" w:hAnsi="Times New Roman" w:cs="宋体"/>
          <w:snapToGrid w:val="0"/>
          <w:color w:val="auto"/>
          <w:kern w:val="0"/>
          <w:sz w:val="24"/>
          <w:szCs w:val="24"/>
          <w:highlight w:val="none"/>
          <w:shd w:val="clear" w:color="auto" w:fill="auto"/>
          <w:lang w:val="en-US" w:eastAsia="zh-CN"/>
        </w:rPr>
        <w:t>在安全加固、BUG修复等方面应免费开展，不得另行收费。</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18" w:name="_Toc9585"/>
      <w:r>
        <w:rPr>
          <w:rFonts w:hint="eastAsia" w:ascii="Times New Roman" w:hAnsi="Times New Roman"/>
          <w:color w:val="auto"/>
          <w:highlight w:val="none"/>
          <w:shd w:val="clear" w:color="auto" w:fill="auto"/>
        </w:rPr>
        <w:t>文档和培训</w:t>
      </w:r>
      <w:bookmarkEnd w:id="118"/>
    </w:p>
    <w:p>
      <w:pPr>
        <w:pStyle w:val="4"/>
        <w:autoSpaceDE/>
        <w:autoSpaceDN/>
        <w:spacing w:line="600" w:lineRule="exact"/>
        <w:ind w:firstLine="480"/>
        <w:rPr>
          <w:rFonts w:ascii="Times New Roman" w:hAnsi="Times New Roman"/>
          <w:color w:val="auto"/>
          <w:szCs w:val="20"/>
          <w:highlight w:val="none"/>
          <w:shd w:val="clear" w:color="auto" w:fill="auto"/>
        </w:rPr>
      </w:pPr>
      <w:bookmarkStart w:id="119" w:name="_Toc20279"/>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 xml:space="preserve">1.1 </w:t>
      </w:r>
      <w:r>
        <w:rPr>
          <w:rFonts w:hint="eastAsia" w:ascii="Times New Roman" w:hAnsi="Times New Roman"/>
          <w:color w:val="auto"/>
          <w:szCs w:val="20"/>
          <w:highlight w:val="none"/>
          <w:shd w:val="clear" w:color="auto" w:fill="auto"/>
        </w:rPr>
        <w:t>文档</w:t>
      </w:r>
      <w:bookmarkEnd w:id="119"/>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1）文档范围</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包括中选人收集整理的系统建设中所形成的全部文字记载、录音和照片等，项目验收后由中选人向比选人提供。</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2）文档内容</w:t>
      </w:r>
    </w:p>
    <w:p>
      <w:pPr>
        <w:autoSpaceDE/>
        <w:autoSpaceDN/>
        <w:snapToGrid w:val="0"/>
        <w:spacing w:line="600" w:lineRule="exact"/>
        <w:ind w:firstLine="480" w:firstLineChars="200"/>
        <w:jc w:val="left"/>
        <w:rPr>
          <w:rFonts w:hint="eastAsia" w:ascii="Times New Roman" w:hAnsi="Times New Roman" w:cs="宋体"/>
          <w:snapToGrid w:val="0"/>
          <w:color w:val="auto"/>
          <w:kern w:val="0"/>
          <w:sz w:val="24"/>
          <w:szCs w:val="24"/>
          <w:highlight w:val="none"/>
          <w:shd w:val="clear" w:color="auto" w:fill="auto"/>
        </w:rPr>
      </w:pPr>
      <w:r>
        <w:rPr>
          <w:rFonts w:hint="eastAsia" w:ascii="Times New Roman" w:hAnsi="Times New Roman" w:cs="宋体"/>
          <w:snapToGrid w:val="0"/>
          <w:color w:val="auto"/>
          <w:kern w:val="0"/>
          <w:sz w:val="24"/>
          <w:szCs w:val="24"/>
          <w:highlight w:val="none"/>
          <w:shd w:val="clear" w:color="auto" w:fill="auto"/>
        </w:rPr>
        <w:t>参选文件（含纸质、电子版）；系统总体规划书；系统需求说明书；系统概要、详细设计说明书；系统源码；系统数据库设计说明书；系统使用和操作说明书；系统（含子系统）测试案例；系统（含子系统）测试报告；系统变更和补充的相关文件、协议、录音、视频、照片等。</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3）要求 </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参选人提供的文档要保持完整性和准确性。所有文档都采用简体中文（第三方产品出厂文件除外）。</w:t>
      </w:r>
    </w:p>
    <w:p>
      <w:pPr>
        <w:pStyle w:val="4"/>
        <w:autoSpaceDE/>
        <w:autoSpaceDN/>
        <w:spacing w:line="600" w:lineRule="exact"/>
        <w:ind w:firstLine="480"/>
        <w:rPr>
          <w:rFonts w:ascii="Times New Roman" w:hAnsi="Times New Roman"/>
          <w:color w:val="auto"/>
          <w:szCs w:val="20"/>
          <w:highlight w:val="none"/>
          <w:shd w:val="clear" w:color="auto" w:fill="auto"/>
        </w:rPr>
      </w:pPr>
      <w:bookmarkStart w:id="120" w:name="_Toc5426"/>
      <w:r>
        <w:rPr>
          <w:rFonts w:hint="eastAsia" w:ascii="Times New Roman" w:hAnsi="Times New Roman"/>
          <w:color w:val="auto"/>
          <w:szCs w:val="20"/>
          <w:highlight w:val="none"/>
          <w:shd w:val="clear" w:color="auto" w:fill="auto"/>
        </w:rPr>
        <w:t>1</w:t>
      </w:r>
      <w:r>
        <w:rPr>
          <w:rFonts w:ascii="Times New Roman" w:hAnsi="Times New Roman"/>
          <w:color w:val="auto"/>
          <w:szCs w:val="20"/>
          <w:highlight w:val="none"/>
          <w:shd w:val="clear" w:color="auto" w:fill="auto"/>
        </w:rPr>
        <w:t xml:space="preserve">1.2 </w:t>
      </w:r>
      <w:r>
        <w:rPr>
          <w:rFonts w:hint="eastAsia" w:ascii="Times New Roman" w:hAnsi="Times New Roman"/>
          <w:color w:val="auto"/>
          <w:szCs w:val="20"/>
          <w:highlight w:val="none"/>
          <w:shd w:val="clear" w:color="auto" w:fill="auto"/>
        </w:rPr>
        <w:t>培训</w:t>
      </w:r>
      <w:bookmarkEnd w:id="120"/>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1）培训人员</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中选人应对下列人员进行相应的技术培训：</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包括但不限于涉及本项目的相关开发人员、运维人员以及业务人员等。</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2）要求</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对所有的培训，参选人除提供完备的书面教材外，还应提交培训方案和计划。</w:t>
      </w:r>
    </w:p>
    <w:p>
      <w:pPr>
        <w:autoSpaceDE/>
        <w:autoSpaceDN/>
        <w:spacing w:line="600" w:lineRule="exact"/>
        <w:ind w:firstLine="480"/>
        <w:rPr>
          <w:rFonts w:hint="eastAsia" w:ascii="Times New Roman" w:hAnsi="Times New Roman" w:cs="宋体"/>
          <w:snapToGrid w:val="0"/>
          <w:color w:val="auto"/>
          <w:kern w:val="0"/>
          <w:szCs w:val="24"/>
          <w:highlight w:val="none"/>
          <w:shd w:val="clear" w:color="auto" w:fill="auto"/>
        </w:rPr>
      </w:pPr>
      <w:r>
        <w:rPr>
          <w:rFonts w:hint="eastAsia" w:ascii="Times New Roman" w:hAnsi="Times New Roman"/>
          <w:color w:val="auto"/>
          <w:highlight w:val="none"/>
          <w:shd w:val="clear" w:color="auto" w:fill="auto"/>
        </w:rPr>
        <w:t>比选人要求所有的培训在比选人指定地点进行。</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21" w:name="_Toc6603"/>
      <w:r>
        <w:rPr>
          <w:rFonts w:hint="eastAsia" w:ascii="Times New Roman" w:hAnsi="Times New Roman"/>
          <w:color w:val="auto"/>
          <w:highlight w:val="none"/>
          <w:shd w:val="clear" w:color="auto" w:fill="auto"/>
        </w:rPr>
        <w:t>服务连续性预案</w:t>
      </w:r>
      <w:bookmarkEnd w:id="121"/>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在本次比选中，参选人应在参选文件中提供服务连续性预案供比选人查看，服务连续性预案应考虑供应链风险产生的影响。【提供服务连续性预案】</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22" w:name="_Toc26392"/>
      <w:r>
        <w:rPr>
          <w:rFonts w:hint="eastAsia" w:ascii="Times New Roman" w:hAnsi="Times New Roman"/>
          <w:color w:val="auto"/>
          <w:highlight w:val="none"/>
          <w:shd w:val="clear" w:color="auto" w:fill="auto"/>
        </w:rPr>
        <w:t>项目实施方案</w:t>
      </w:r>
      <w:bookmarkEnd w:id="122"/>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在本次比选中，参选人应在参选文件中提供项目实施方案供比选人查看，方案应包括包括履行合同的时间计划、提交资料、人员安排等内容。【提供项目实施方案】</w:t>
      </w:r>
    </w:p>
    <w:bookmarkEnd w:id="104"/>
    <w:bookmarkEnd w:id="105"/>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23" w:name="_Toc15059422"/>
      <w:bookmarkStart w:id="124" w:name="_Toc89675148"/>
      <w:bookmarkStart w:id="125" w:name="_Toc4568"/>
      <w:r>
        <w:rPr>
          <w:rFonts w:hint="eastAsia" w:ascii="Times New Roman" w:hAnsi="Times New Roman"/>
          <w:color w:val="auto"/>
          <w:highlight w:val="none"/>
          <w:shd w:val="clear" w:color="auto" w:fill="auto"/>
        </w:rPr>
        <w:t>付款方式</w:t>
      </w:r>
      <w:bookmarkEnd w:id="123"/>
      <w:bookmarkEnd w:id="124"/>
      <w:bookmarkEnd w:id="125"/>
    </w:p>
    <w:p>
      <w:pPr>
        <w:autoSpaceDE/>
        <w:autoSpaceDN/>
        <w:snapToGrid w:val="0"/>
        <w:spacing w:line="600" w:lineRule="exact"/>
        <w:ind w:firstLine="480" w:firstLineChars="200"/>
        <w:jc w:val="left"/>
        <w:rPr>
          <w:rFonts w:hint="eastAsia" w:ascii="Times New Roman" w:hAnsi="Times New Roman" w:cs="宋体"/>
          <w:snapToGrid w:val="0"/>
          <w:color w:val="auto"/>
          <w:kern w:val="0"/>
          <w:sz w:val="24"/>
          <w:szCs w:val="24"/>
          <w:highlight w:val="none"/>
          <w:shd w:val="clear" w:color="auto" w:fill="auto"/>
        </w:rPr>
      </w:pPr>
      <w:r>
        <w:rPr>
          <w:rFonts w:hint="eastAsia" w:ascii="宋体" w:eastAsia="宋体"/>
          <w:spacing w:val="0"/>
        </w:rPr>
        <w:t>本合同款项采用分期付款</w:t>
      </w:r>
      <w:r>
        <w:rPr>
          <w:rFonts w:hint="eastAsia" w:ascii="Times New Roman" w:hAnsi="Times New Roman" w:cs="宋体"/>
          <w:snapToGrid w:val="0"/>
          <w:color w:val="auto"/>
          <w:kern w:val="0"/>
          <w:sz w:val="24"/>
          <w:szCs w:val="24"/>
          <w:highlight w:val="none"/>
          <w:shd w:val="clear" w:color="auto" w:fill="auto"/>
        </w:rPr>
        <w:t>，具体如下：</w:t>
      </w:r>
    </w:p>
    <w:p>
      <w:pPr>
        <w:pStyle w:val="35"/>
        <w:autoSpaceDE/>
        <w:autoSpaceDN/>
        <w:snapToGrid w:val="0"/>
        <w:spacing w:line="600" w:lineRule="exact"/>
        <w:ind w:left="0" w:firstLine="480"/>
        <w:jc w:val="left"/>
        <w:rPr>
          <w:rFonts w:hint="eastAsia" w:ascii="Times New Roman" w:hAnsi="Times New Roman" w:cs="宋体"/>
          <w:snapToGrid w:val="0"/>
          <w:color w:val="auto"/>
          <w:kern w:val="0"/>
          <w:sz w:val="24"/>
          <w:szCs w:val="24"/>
          <w:highlight w:val="none"/>
          <w:shd w:val="clear" w:color="auto" w:fill="auto"/>
        </w:rPr>
      </w:pPr>
      <w:r>
        <w:rPr>
          <w:rFonts w:hint="eastAsia" w:ascii="Times New Roman" w:hAnsi="Times New Roman" w:eastAsia="微软雅黑" w:cs="微软雅黑"/>
          <w:snapToGrid w:val="0"/>
          <w:color w:val="auto"/>
          <w:kern w:val="0"/>
          <w:sz w:val="24"/>
          <w:szCs w:val="24"/>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项目安装、调试并投入试运行后30个工作日内,支付项目合同总价的60％。</w:t>
      </w:r>
    </w:p>
    <w:p>
      <w:pPr>
        <w:pStyle w:val="35"/>
        <w:autoSpaceDE/>
        <w:autoSpaceDN/>
        <w:snapToGrid w:val="0"/>
        <w:spacing w:line="600" w:lineRule="exact"/>
        <w:ind w:left="0" w:firstLine="480"/>
        <w:jc w:val="left"/>
        <w:rPr>
          <w:rFonts w:hint="eastAsia" w:ascii="Times New Roman" w:hAnsi="Times New Roman" w:cs="宋体"/>
          <w:snapToGrid w:val="0"/>
          <w:color w:val="auto"/>
          <w:kern w:val="0"/>
          <w:sz w:val="24"/>
          <w:szCs w:val="24"/>
          <w:highlight w:val="none"/>
          <w:shd w:val="clear" w:color="auto" w:fill="auto"/>
        </w:rPr>
      </w:pPr>
      <w:r>
        <w:rPr>
          <w:rFonts w:hint="eastAsia" w:ascii="Times New Roman" w:hAnsi="Times New Roman" w:eastAsia="微软雅黑" w:cs="微软雅黑"/>
          <w:snapToGrid w:val="0"/>
          <w:color w:val="auto"/>
          <w:kern w:val="0"/>
          <w:sz w:val="24"/>
          <w:szCs w:val="24"/>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项目正式验收合格后30个工作日内,支付项目合同总价的30％。</w:t>
      </w:r>
    </w:p>
    <w:p>
      <w:pPr>
        <w:pStyle w:val="35"/>
        <w:autoSpaceDE/>
        <w:autoSpaceDN/>
        <w:snapToGrid w:val="0"/>
        <w:spacing w:line="600" w:lineRule="exact"/>
        <w:ind w:left="0" w:firstLine="480"/>
        <w:jc w:val="left"/>
        <w:rPr>
          <w:rFonts w:ascii="Times New Roman" w:hAnsi="Times New Roman"/>
          <w:color w:val="auto"/>
          <w:highlight w:val="none"/>
          <w:shd w:val="clear" w:color="auto" w:fill="auto"/>
        </w:rPr>
      </w:pPr>
      <w:r>
        <w:rPr>
          <w:rFonts w:hint="eastAsia" w:ascii="Times New Roman" w:hAnsi="Times New Roman" w:eastAsia="微软雅黑" w:cs="微软雅黑"/>
          <w:snapToGrid w:val="0"/>
          <w:color w:val="auto"/>
          <w:kern w:val="0"/>
          <w:sz w:val="24"/>
          <w:szCs w:val="24"/>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维护到期后30个工作日内，支付项目合同总价的10%。</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26" w:name="_Toc11730"/>
      <w:bookmarkStart w:id="127" w:name="_Toc15059424"/>
      <w:bookmarkStart w:id="128" w:name="_Toc89675150"/>
      <w:r>
        <w:rPr>
          <w:rFonts w:hint="eastAsia" w:ascii="Times New Roman" w:hAnsi="Times New Roman"/>
          <w:color w:val="auto"/>
          <w:highlight w:val="none"/>
          <w:shd w:val="clear" w:color="auto" w:fill="auto"/>
        </w:rPr>
        <w:t>保密条款</w:t>
      </w:r>
      <w:bookmarkEnd w:id="106"/>
      <w:bookmarkEnd w:id="107"/>
      <w:bookmarkEnd w:id="108"/>
      <w:bookmarkEnd w:id="109"/>
      <w:bookmarkEnd w:id="126"/>
      <w:bookmarkEnd w:id="127"/>
      <w:bookmarkEnd w:id="128"/>
    </w:p>
    <w:p>
      <w:pPr>
        <w:pStyle w:val="4"/>
        <w:autoSpaceDE/>
        <w:autoSpaceDN/>
        <w:spacing w:line="600" w:lineRule="exact"/>
        <w:ind w:firstLine="480"/>
        <w:rPr>
          <w:rFonts w:ascii="Times New Roman" w:hAnsi="Times New Roman"/>
          <w:color w:val="auto"/>
          <w:highlight w:val="none"/>
          <w:shd w:val="clear" w:color="auto" w:fill="auto"/>
        </w:rPr>
      </w:pPr>
      <w:bookmarkStart w:id="129" w:name="_Toc18599"/>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5</w:t>
      </w:r>
      <w:r>
        <w:rPr>
          <w:rFonts w:hint="eastAsia" w:ascii="Times New Roman" w:hAnsi="Times New Roman"/>
          <w:color w:val="auto"/>
          <w:highlight w:val="none"/>
          <w:shd w:val="clear" w:color="auto" w:fill="auto"/>
        </w:rPr>
        <w:t>.1 保密范围</w:t>
      </w:r>
      <w:bookmarkEnd w:id="129"/>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中选人在实施过程中接触到的比选人知识产权、经营信息等。</w:t>
      </w:r>
    </w:p>
    <w:p>
      <w:pPr>
        <w:pStyle w:val="4"/>
        <w:autoSpaceDE/>
        <w:autoSpaceDN/>
        <w:spacing w:line="600" w:lineRule="exact"/>
        <w:ind w:firstLine="480"/>
        <w:rPr>
          <w:rFonts w:ascii="Times New Roman" w:hAnsi="Times New Roman"/>
          <w:color w:val="auto"/>
          <w:highlight w:val="none"/>
          <w:shd w:val="clear" w:color="auto" w:fill="auto"/>
        </w:rPr>
      </w:pPr>
      <w:bookmarkStart w:id="130" w:name="_Toc8594"/>
      <w:r>
        <w:rPr>
          <w:rFonts w:ascii="Times New Roman" w:hAnsi="Times New Roman"/>
          <w:color w:val="auto"/>
          <w:highlight w:val="none"/>
          <w:shd w:val="clear" w:color="auto" w:fill="auto"/>
        </w:rPr>
        <w:t>15</w:t>
      </w:r>
      <w:r>
        <w:rPr>
          <w:rFonts w:hint="eastAsia" w:ascii="Times New Roman" w:hAnsi="Times New Roman"/>
          <w:color w:val="auto"/>
          <w:highlight w:val="none"/>
          <w:shd w:val="clear" w:color="auto" w:fill="auto"/>
        </w:rPr>
        <w:t>.2 保密责任</w:t>
      </w:r>
      <w:bookmarkEnd w:id="130"/>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双方互为保密资料的提供方和接受方，负有保密义务，承担保密责任。除经过双方书面同意，任何一方不得将有关内容提供给合同以外的第三人。</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31" w:name="_Toc31102"/>
      <w:r>
        <w:rPr>
          <w:rFonts w:hint="eastAsia" w:ascii="Times New Roman" w:hAnsi="Times New Roman"/>
          <w:color w:val="auto"/>
          <w:highlight w:val="none"/>
          <w:shd w:val="clear" w:color="auto" w:fill="auto"/>
        </w:rPr>
        <w:t>报价要求</w:t>
      </w:r>
      <w:bookmarkEnd w:id="131"/>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参选人应严格按照《参选文件格式》的“报价一览表”的格式认真填写。</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32" w:name="_Toc15059426"/>
      <w:bookmarkStart w:id="133" w:name="_Toc89675152"/>
      <w:bookmarkStart w:id="134" w:name="_Toc27871"/>
      <w:r>
        <w:rPr>
          <w:rFonts w:hint="eastAsia" w:ascii="Times New Roman" w:hAnsi="Times New Roman"/>
          <w:color w:val="auto"/>
          <w:highlight w:val="none"/>
          <w:shd w:val="clear" w:color="auto" w:fill="auto"/>
        </w:rPr>
        <w:t>知识产权</w:t>
      </w:r>
      <w:bookmarkEnd w:id="132"/>
      <w:bookmarkEnd w:id="133"/>
      <w:bookmarkEnd w:id="134"/>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autoSpaceDE/>
        <w:autoSpaceDN/>
        <w:spacing w:line="600" w:lineRule="exact"/>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0" w:firstLineChars="0"/>
        <w:textAlignment w:val="auto"/>
        <w:rPr>
          <w:rFonts w:ascii="Times New Roman" w:hAnsi="Times New Roman"/>
          <w:color w:val="auto"/>
          <w:highlight w:val="none"/>
          <w:shd w:val="clear" w:color="auto" w:fill="auto"/>
        </w:rPr>
      </w:pPr>
      <w:bookmarkStart w:id="135" w:name="_Toc89675153"/>
      <w:bookmarkStart w:id="136" w:name="_Toc30659"/>
      <w:bookmarkStart w:id="137" w:name="_Toc15059427"/>
      <w:r>
        <w:rPr>
          <w:rFonts w:hint="eastAsia" w:ascii="Times New Roman" w:hAnsi="Times New Roman"/>
          <w:color w:val="auto"/>
          <w:highlight w:val="none"/>
          <w:shd w:val="clear" w:color="auto" w:fill="auto"/>
        </w:rPr>
        <w:t>其他</w:t>
      </w:r>
      <w:bookmarkEnd w:id="135"/>
      <w:bookmarkEnd w:id="136"/>
      <w:bookmarkEnd w:id="137"/>
    </w:p>
    <w:p>
      <w:pPr>
        <w:pStyle w:val="17"/>
        <w:numPr>
          <w:ilvl w:val="0"/>
          <w:numId w:val="4"/>
        </w:numPr>
        <w:spacing w:line="600" w:lineRule="exact"/>
        <w:ind w:firstLine="480" w:firstLineChars="200"/>
        <w:rPr>
          <w:rFonts w:hint="eastAsia" w:ascii="Times New Roman" w:hAnsi="Times New Roman" w:cs="Times New Roman"/>
          <w:snapToGrid w:val="0"/>
          <w:kern w:val="0"/>
          <w:szCs w:val="24"/>
          <w:highlight w:val="none"/>
          <w:lang w:bidi="ar-SA"/>
        </w:rPr>
      </w:pPr>
      <w:r>
        <w:rPr>
          <w:rFonts w:hint="eastAsia" w:ascii="Times New Roman" w:hAnsi="Times New Roman" w:cs="Times New Roman"/>
          <w:snapToGrid w:val="0"/>
          <w:kern w:val="0"/>
          <w:szCs w:val="24"/>
          <w:highlight w:val="none"/>
          <w:lang w:bidi="ar-SA"/>
        </w:rPr>
        <w:t>参选人必须在响应承诺函中对本章内容做出整体性响应和承诺，承诺内容必须达到本章及比选文件其他条款的要求。</w:t>
      </w:r>
    </w:p>
    <w:p>
      <w:pPr>
        <w:pStyle w:val="17"/>
        <w:numPr>
          <w:ilvl w:val="0"/>
          <w:numId w:val="4"/>
        </w:numPr>
        <w:spacing w:line="600" w:lineRule="exact"/>
        <w:ind w:firstLine="480" w:firstLineChars="200"/>
        <w:rPr>
          <w:rFonts w:hint="eastAsia" w:ascii="Times New Roman" w:hAnsi="Times New Roman" w:cs="Times New Roman"/>
          <w:snapToGrid w:val="0"/>
          <w:kern w:val="0"/>
          <w:szCs w:val="24"/>
          <w:highlight w:val="none"/>
          <w:lang w:bidi="ar-SA"/>
        </w:rPr>
      </w:pPr>
      <w:r>
        <w:rPr>
          <w:rFonts w:hint="eastAsia"/>
          <w:highlight w:val="none"/>
        </w:rPr>
        <w:t>参选人应根据本章内容和要求，提供对应</w:t>
      </w:r>
      <w:r>
        <w:rPr>
          <w:rFonts w:ascii="Times New Roman" w:hAnsi="Times New Roman" w:cs="Times New Roman"/>
          <w:kern w:val="2"/>
          <w:sz w:val="24"/>
          <w:szCs w:val="24"/>
          <w:highlight w:val="none"/>
          <w:lang w:val="en-US" w:eastAsia="zh-CN" w:bidi="ar-SA"/>
        </w:rPr>
        <w:t>材料</w:t>
      </w:r>
      <w:r>
        <w:rPr>
          <w:rFonts w:hint="eastAsia"/>
          <w:highlight w:val="none"/>
        </w:rPr>
        <w:t>，内容齐全，无遗漏。</w:t>
      </w:r>
    </w:p>
    <w:p>
      <w:pPr>
        <w:pStyle w:val="17"/>
        <w:numPr>
          <w:ilvl w:val="0"/>
          <w:numId w:val="4"/>
        </w:numPr>
        <w:spacing w:line="600" w:lineRule="exact"/>
        <w:ind w:firstLine="480" w:firstLineChars="200"/>
        <w:rPr>
          <w:rFonts w:hint="eastAsia" w:ascii="Times New Roman" w:hAnsi="Times New Roman" w:cs="Times New Roman"/>
          <w:snapToGrid w:val="0"/>
          <w:kern w:val="0"/>
          <w:szCs w:val="24"/>
          <w:highlight w:val="none"/>
          <w:lang w:bidi="ar-SA"/>
        </w:rPr>
      </w:pPr>
      <w:r>
        <w:rPr>
          <w:rFonts w:hint="eastAsia" w:ascii="Times New Roman" w:hAnsi="Times New Roman" w:cs="Times New Roman"/>
          <w:snapToGrid w:val="0"/>
          <w:kern w:val="0"/>
          <w:szCs w:val="24"/>
          <w:highlight w:val="none"/>
          <w:lang w:bidi="ar-SA"/>
        </w:rPr>
        <w:t>其他未尽事宜由供需双方在合同中详细约定。</w:t>
      </w:r>
    </w:p>
    <w:p>
      <w:pPr>
        <w:snapToGrid w:val="0"/>
        <w:spacing w:line="360" w:lineRule="auto"/>
        <w:rPr>
          <w:rFonts w:ascii="Times New Roman" w:hAnsi="Times New Roman" w:cs="宋体"/>
          <w:snapToGrid w:val="0"/>
          <w:color w:val="auto"/>
          <w:kern w:val="0"/>
          <w:szCs w:val="24"/>
          <w:highlight w:val="none"/>
          <w:shd w:val="clear" w:color="auto" w:fill="auto"/>
        </w:rPr>
      </w:pPr>
    </w:p>
    <w:p>
      <w:pPr>
        <w:rPr>
          <w:rFonts w:ascii="黑体" w:eastAsia="黑体"/>
          <w:sz w:val="52"/>
          <w:szCs w:val="52"/>
        </w:rPr>
      </w:pPr>
    </w:p>
    <w:p>
      <w:pPr>
        <w:rPr>
          <w:rFonts w:hint="eastAsia" w:ascii="微软雅黑" w:eastAsia="微软雅黑"/>
          <w:b/>
          <w:bCs/>
          <w:sz w:val="52"/>
          <w:szCs w:val="52"/>
        </w:rPr>
      </w:pPr>
      <w:r>
        <w:rPr>
          <w:rFonts w:hint="eastAsia" w:ascii="微软雅黑" w:eastAsia="微软雅黑"/>
          <w:b/>
          <w:bCs/>
          <w:sz w:val="52"/>
          <w:szCs w:val="52"/>
        </w:rPr>
        <w:br w:type="page"/>
      </w:r>
    </w:p>
    <w:p>
      <w:pPr>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cs="宋体"/>
          <w:b/>
          <w:bCs/>
          <w:sz w:val="28"/>
          <w:szCs w:val="28"/>
          <w:lang w:val="en-US" w:eastAsia="zh-CN"/>
        </w:rPr>
        <w:t>一</w:t>
      </w:r>
    </w:p>
    <w:p>
      <w:pPr>
        <w:jc w:val="center"/>
        <w:rPr>
          <w:rFonts w:hint="eastAsia" w:ascii="宋体" w:hAnsi="宋体" w:eastAsia="宋体" w:cs="宋体"/>
          <w:b/>
          <w:bCs/>
          <w:snapToGrid w:val="0"/>
          <w:color w:val="auto"/>
          <w:kern w:val="0"/>
          <w:sz w:val="36"/>
          <w:szCs w:val="36"/>
          <w:highlight w:val="none"/>
          <w:shd w:val="clear" w:color="auto" w:fill="auto"/>
          <w:lang w:val="en-US" w:eastAsia="zh-CN"/>
        </w:rPr>
      </w:pPr>
      <w:r>
        <w:rPr>
          <w:rFonts w:hint="eastAsia" w:ascii="宋体" w:hAnsi="宋体" w:eastAsia="宋体" w:cs="宋体"/>
          <w:b/>
          <w:bCs/>
          <w:snapToGrid w:val="0"/>
          <w:color w:val="auto"/>
          <w:kern w:val="0"/>
          <w:sz w:val="36"/>
          <w:szCs w:val="36"/>
          <w:highlight w:val="none"/>
          <w:shd w:val="clear" w:color="auto" w:fill="auto"/>
          <w:lang w:val="en-US" w:eastAsia="zh-CN"/>
        </w:rPr>
        <w:t>报名函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重庆三峡银行股份有限公司：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我单位报名参加“重庆三峡银行第三代手机银行</w:t>
      </w:r>
      <w:r>
        <w:rPr>
          <w:rFonts w:hint="eastAsia" w:ascii="宋体" w:hAnsi="宋体" w:eastAsia="宋体" w:cs="宋体"/>
          <w:snapToGrid w:val="0"/>
          <w:color w:val="auto"/>
          <w:kern w:val="0"/>
          <w:sz w:val="24"/>
          <w:szCs w:val="24"/>
          <w:highlight w:val="none"/>
          <w:shd w:val="clear" w:color="auto" w:fill="auto"/>
        </w:rPr>
        <w:t>项目</w:t>
      </w:r>
      <w:r>
        <w:rPr>
          <w:rFonts w:hint="eastAsia" w:ascii="宋体" w:hAnsi="宋体" w:eastAsia="宋体" w:cs="宋体"/>
          <w:snapToGrid w:val="0"/>
          <w:color w:val="auto"/>
          <w:kern w:val="0"/>
          <w:sz w:val="24"/>
          <w:szCs w:val="24"/>
          <w:highlight w:val="none"/>
          <w:shd w:val="clear" w:color="auto" w:fill="auto"/>
          <w:lang w:val="en-US" w:eastAsia="zh-CN"/>
        </w:rPr>
        <w:t>”，将根据比选文件要求，完成本项目POC测试、面试及比选文件递交等项目流程。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napToGrid w:val="0"/>
          <w:color w:val="auto"/>
          <w:kern w:val="0"/>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napToGrid w:val="0"/>
          <w:color w:val="auto"/>
          <w:kern w:val="0"/>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napToGrid w:val="0"/>
          <w:color w:val="auto"/>
          <w:kern w:val="0"/>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highlight w:val="none"/>
          <w:shd w:val="clear" w:color="auto" w:fill="auto"/>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 xml:space="preserve">                                             联系人：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default"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202</w:t>
      </w:r>
      <w:r>
        <w:rPr>
          <w:rFonts w:hint="eastAsia" w:ascii="宋体" w:hAnsi="宋体" w:cs="宋体"/>
          <w:snapToGrid w:val="0"/>
          <w:color w:val="auto"/>
          <w:kern w:val="0"/>
          <w:sz w:val="24"/>
          <w:szCs w:val="24"/>
          <w:highlight w:val="none"/>
          <w:shd w:val="clear" w:color="auto" w:fill="auto"/>
          <w:lang w:val="en-US" w:eastAsia="zh-CN"/>
        </w:rPr>
        <w:t>4</w:t>
      </w:r>
      <w:r>
        <w:rPr>
          <w:rFonts w:hint="eastAsia" w:ascii="宋体" w:hAnsi="宋体" w:eastAsia="宋体" w:cs="宋体"/>
          <w:snapToGrid w:val="0"/>
          <w:color w:val="auto"/>
          <w:kern w:val="0"/>
          <w:sz w:val="24"/>
          <w:szCs w:val="24"/>
          <w:highlight w:val="none"/>
          <w:shd w:val="clear" w:color="auto" w:fill="auto"/>
          <w:lang w:val="en-US" w:eastAsia="zh-CN"/>
        </w:rPr>
        <w:t>年  月  日</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附件二</w:t>
      </w:r>
    </w:p>
    <w:p>
      <w:pPr>
        <w:jc w:val="center"/>
        <w:outlineLvl w:val="0"/>
        <w:rPr>
          <w:rFonts w:ascii="微软雅黑" w:eastAsia="微软雅黑"/>
          <w:b/>
          <w:bCs/>
          <w:sz w:val="52"/>
          <w:szCs w:val="52"/>
        </w:rPr>
      </w:pPr>
      <w:r>
        <w:rPr>
          <w:rFonts w:hint="eastAsia" w:ascii="微软雅黑" w:eastAsia="微软雅黑"/>
          <w:b/>
          <w:bCs/>
          <w:sz w:val="52"/>
          <w:szCs w:val="52"/>
        </w:rPr>
        <w:t>重庆三峡银行</w:t>
      </w:r>
    </w:p>
    <w:p>
      <w:pPr>
        <w:jc w:val="center"/>
        <w:outlineLvl w:val="0"/>
        <w:rPr>
          <w:rFonts w:hint="eastAsia" w:ascii="微软雅黑" w:hAnsi="Times New Roman" w:eastAsia="微软雅黑"/>
          <w:b/>
          <w:bCs/>
          <w:sz w:val="52"/>
          <w:szCs w:val="52"/>
          <w:lang w:val="en-US" w:eastAsia="zh-CN"/>
        </w:rPr>
      </w:pPr>
      <w:r>
        <w:rPr>
          <w:rFonts w:hint="eastAsia" w:ascii="微软雅黑" w:hAnsi="Times New Roman" w:eastAsia="微软雅黑"/>
          <w:b/>
          <w:bCs/>
          <w:sz w:val="52"/>
          <w:szCs w:val="52"/>
          <w:lang w:val="en-US" w:eastAsia="zh-CN"/>
        </w:rPr>
        <w:t>第三代手机银行项目</w:t>
      </w:r>
    </w:p>
    <w:p>
      <w:pPr>
        <w:jc w:val="center"/>
        <w:outlineLvl w:val="0"/>
        <w:rPr>
          <w:rFonts w:ascii="微软雅黑" w:eastAsia="微软雅黑"/>
          <w:b/>
          <w:bCs/>
          <w:sz w:val="52"/>
          <w:szCs w:val="52"/>
        </w:rPr>
      </w:pPr>
      <w:r>
        <w:rPr>
          <w:rFonts w:ascii="Times New Roman" w:hAnsi="Times New Roman" w:eastAsia="微软雅黑" w:cs="Times New Roman"/>
          <w:b/>
          <w:bCs/>
          <w:sz w:val="52"/>
          <w:szCs w:val="52"/>
        </w:rPr>
        <w:t>POC</w:t>
      </w:r>
      <w:r>
        <w:rPr>
          <w:rFonts w:hint="eastAsia" w:ascii="微软雅黑" w:eastAsia="微软雅黑"/>
          <w:b/>
          <w:bCs/>
          <w:sz w:val="52"/>
          <w:szCs w:val="52"/>
        </w:rPr>
        <w:t>方案</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keepNext w:val="0"/>
        <w:keepLines w:val="0"/>
        <w:pageBreakBefore w:val="0"/>
        <w:widowControl w:val="0"/>
        <w:kinsoku/>
        <w:wordWrap/>
        <w:overflowPunct/>
        <w:topLinePunct w:val="0"/>
        <w:autoSpaceDE w:val="0"/>
        <w:autoSpaceDN w:val="0"/>
        <w:bidi w:val="0"/>
        <w:adjustRightInd/>
        <w:snapToGrid/>
        <w:spacing w:line="240" w:lineRule="auto"/>
        <w:ind w:left="425" w:hanging="427"/>
        <w:jc w:val="center"/>
        <w:textAlignment w:val="auto"/>
      </w:pPr>
      <w:r>
        <w:drawing>
          <wp:inline distT="0" distB="0" distL="0" distR="0">
            <wp:extent cx="2658745" cy="554355"/>
            <wp:effectExtent l="0" t="0" r="825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658745" cy="554355"/>
                    </a:xfrm>
                    <a:prstGeom prst="rect">
                      <a:avLst/>
                    </a:prstGeom>
                    <a:noFill/>
                    <a:ln w="9525" cap="flat" cmpd="sng">
                      <a:noFill/>
                      <a:prstDash val="solid"/>
                      <a:round/>
                    </a:ln>
                  </pic:spPr>
                </pic:pic>
              </a:graphicData>
            </a:graphic>
          </wp:inline>
        </w:drawing>
      </w:r>
    </w:p>
    <w:p>
      <w:pPr>
        <w:ind w:left="427" w:hanging="427"/>
      </w:pPr>
    </w:p>
    <w:p>
      <w:pPr>
        <w:ind w:left="427" w:hanging="427"/>
        <w:jc w:val="center"/>
        <w:rPr>
          <w:rFonts w:ascii="微软雅黑" w:eastAsia="微软雅黑"/>
          <w:b/>
          <w:bCs/>
          <w:sz w:val="28"/>
          <w:szCs w:val="28"/>
        </w:rPr>
      </w:pPr>
      <w:r>
        <w:rPr>
          <w:rFonts w:hint="eastAsia" w:ascii="微软雅黑" w:eastAsia="微软雅黑"/>
          <w:b/>
          <w:bCs/>
          <w:sz w:val="28"/>
          <w:szCs w:val="28"/>
        </w:rPr>
        <w:t>202</w:t>
      </w:r>
      <w:r>
        <w:rPr>
          <w:rFonts w:hint="eastAsia" w:ascii="微软雅黑" w:eastAsia="微软雅黑"/>
          <w:b/>
          <w:bCs/>
          <w:sz w:val="28"/>
          <w:szCs w:val="28"/>
          <w:lang w:val="en-US" w:eastAsia="zh-CN"/>
        </w:rPr>
        <w:t>4</w:t>
      </w:r>
      <w:r>
        <w:rPr>
          <w:rFonts w:hint="eastAsia" w:ascii="微软雅黑" w:eastAsia="微软雅黑"/>
          <w:b/>
          <w:bCs/>
          <w:sz w:val="28"/>
          <w:szCs w:val="28"/>
        </w:rPr>
        <w:t>年</w:t>
      </w:r>
      <w:r>
        <w:rPr>
          <w:rFonts w:hint="eastAsia" w:ascii="微软雅黑" w:eastAsia="微软雅黑"/>
          <w:b/>
          <w:bCs/>
          <w:sz w:val="28"/>
          <w:szCs w:val="28"/>
          <w:lang w:val="en-US" w:eastAsia="zh-CN"/>
        </w:rPr>
        <w:t>4</w:t>
      </w:r>
      <w:r>
        <w:rPr>
          <w:rFonts w:hint="eastAsia" w:ascii="微软雅黑" w:eastAsia="微软雅黑"/>
          <w:b/>
          <w:bCs/>
          <w:sz w:val="28"/>
          <w:szCs w:val="28"/>
        </w:rPr>
        <w:t>月</w:t>
      </w:r>
      <w:r>
        <w:rPr>
          <w:rFonts w:hint="eastAsia" w:ascii="微软雅黑" w:eastAsia="微软雅黑"/>
          <w:b/>
          <w:bCs/>
          <w:sz w:val="28"/>
          <w:szCs w:val="28"/>
          <w:lang w:val="en-US" w:eastAsia="zh-CN"/>
        </w:rPr>
        <w:t>30</w:t>
      </w:r>
      <w:r>
        <w:rPr>
          <w:rFonts w:hint="eastAsia" w:ascii="微软雅黑" w:eastAsia="微软雅黑"/>
          <w:b/>
          <w:bCs/>
          <w:sz w:val="28"/>
          <w:szCs w:val="28"/>
        </w:rPr>
        <w:t>日</w:t>
      </w:r>
    </w:p>
    <w:p/>
    <w:p/>
    <w:p/>
    <w:p/>
    <w:p/>
    <w:p/>
    <w:p/>
    <w:p/>
    <w:p/>
    <w:p/>
    <w:p/>
    <w:p>
      <w:pPr>
        <w:ind w:left="0" w:leftChars="0" w:firstLine="0" w:firstLineChars="0"/>
      </w:pPr>
    </w:p>
    <w:p>
      <w:pPr>
        <w:pStyle w:val="35"/>
        <w:keepNext w:val="0"/>
        <w:keepLines w:val="0"/>
        <w:pageBreakBefore w:val="0"/>
        <w:widowControl w:val="0"/>
        <w:numPr>
          <w:ilvl w:val="0"/>
          <w:numId w:val="5"/>
        </w:numPr>
        <w:kinsoku/>
        <w:wordWrap/>
        <w:overflowPunct/>
        <w:topLinePunct w:val="0"/>
        <w:autoSpaceDE w:val="0"/>
        <w:autoSpaceDN w:val="0"/>
        <w:bidi w:val="0"/>
        <w:spacing w:line="600" w:lineRule="exact"/>
        <w:ind w:left="0" w:firstLine="640" w:firstLineChars="200"/>
        <w:textAlignment w:val="auto"/>
        <w:outlineLvl w:val="0"/>
        <w:rPr>
          <w:rFonts w:ascii="微软雅黑" w:eastAsia="微软雅黑"/>
          <w:b/>
          <w:bCs/>
          <w:sz w:val="32"/>
          <w:szCs w:val="32"/>
        </w:rPr>
      </w:pPr>
      <w:r>
        <w:rPr>
          <w:rFonts w:hint="eastAsia" w:ascii="微软雅黑" w:eastAsia="微软雅黑"/>
          <w:b/>
          <w:bCs/>
          <w:sz w:val="32"/>
          <w:szCs w:val="32"/>
        </w:rPr>
        <w:t>P</w:t>
      </w:r>
      <w:r>
        <w:rPr>
          <w:rFonts w:ascii="微软雅黑" w:eastAsia="微软雅黑"/>
          <w:b/>
          <w:bCs/>
          <w:sz w:val="32"/>
          <w:szCs w:val="32"/>
        </w:rPr>
        <w:t>OC</w:t>
      </w:r>
      <w:r>
        <w:rPr>
          <w:rFonts w:hint="eastAsia" w:ascii="微软雅黑" w:eastAsia="微软雅黑"/>
          <w:b/>
          <w:bCs/>
          <w:sz w:val="32"/>
          <w:szCs w:val="32"/>
        </w:rPr>
        <w:t>背景</w:t>
      </w:r>
    </w:p>
    <w:p>
      <w:pPr>
        <w:pStyle w:val="35"/>
        <w:keepNext w:val="0"/>
        <w:keepLines w:val="0"/>
        <w:pageBreakBefore w:val="0"/>
        <w:widowControl w:val="0"/>
        <w:numPr>
          <w:ilvl w:val="2"/>
          <w:numId w:val="5"/>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hint="eastAsia" w:ascii="微软雅黑" w:eastAsia="微软雅黑"/>
          <w:b/>
          <w:bCs/>
          <w:sz w:val="28"/>
          <w:szCs w:val="28"/>
        </w:rPr>
        <w:t>测试范围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hAnsi="Times New Roman" w:eastAsia="宋体"/>
          <w:sz w:val="24"/>
          <w:szCs w:val="24"/>
          <w:lang w:val="en-US" w:eastAsia="zh-CN"/>
        </w:rPr>
      </w:pPr>
      <w:r>
        <w:rPr>
          <w:rFonts w:hint="eastAsia" w:ascii="宋体" w:hAnsi="Times New Roman" w:eastAsia="宋体"/>
          <w:sz w:val="24"/>
          <w:szCs w:val="24"/>
          <w:lang w:val="en-US" w:eastAsia="zh-CN"/>
        </w:rPr>
        <w:t>重庆三峡银行（以下简称“本行”“我行”）开展第三代手机银行建设工作，将新一代手机银行打造为“线上经营平台”，</w:t>
      </w:r>
      <w:r>
        <w:rPr>
          <w:rFonts w:ascii="Times New Roman" w:hAnsi="Times New Roman" w:eastAsia="宋体" w:cs="Times New Roman"/>
          <w:sz w:val="24"/>
          <w:szCs w:val="24"/>
          <w:lang w:val="en-US" w:eastAsia="zh-CN"/>
        </w:rPr>
        <w:t>APP</w:t>
      </w:r>
      <w:r>
        <w:rPr>
          <w:rFonts w:hint="eastAsia" w:ascii="宋体" w:hAnsi="Times New Roman" w:eastAsia="宋体"/>
          <w:sz w:val="24"/>
          <w:szCs w:val="24"/>
          <w:lang w:val="en-US" w:eastAsia="zh-CN"/>
        </w:rPr>
        <w:t>端承担起全行交易服务主渠道、中长尾客户经营主阵地两大重要职责，在深度协同线下交易服务、中长尾客户挖潜、整合线上贷款入口、释放客户经理产能等方面带来提升；微信端着力建设客户经理微营业厅，借助微信用户的高流量、高活跃度，实现拉新活客、分享营销及活动/权益推送等功能，为</w:t>
      </w:r>
      <w:r>
        <w:rPr>
          <w:rFonts w:ascii="Times New Roman" w:hAnsi="Times New Roman" w:eastAsia="宋体" w:cs="Times New Roman"/>
          <w:sz w:val="24"/>
          <w:szCs w:val="24"/>
        </w:rPr>
        <w:t>APP</w:t>
      </w:r>
      <w:r>
        <w:rPr>
          <w:rFonts w:hint="eastAsia" w:ascii="宋体" w:hAnsi="Times New Roman" w:eastAsia="宋体"/>
          <w:sz w:val="24"/>
          <w:szCs w:val="24"/>
          <w:lang w:val="en-US" w:eastAsia="zh-CN"/>
        </w:rPr>
        <w:t>深度运营客户引流转化。</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为保证项目质量，结合前期与厂商沟通交流的结果，经过</w:t>
      </w:r>
      <w:r>
        <w:rPr>
          <w:rFonts w:hint="eastAsia" w:ascii="宋体" w:eastAsia="宋体"/>
          <w:sz w:val="24"/>
          <w:szCs w:val="24"/>
          <w:lang w:val="en-US" w:eastAsia="zh-CN"/>
        </w:rPr>
        <w:t>第三代手机银行项目</w:t>
      </w:r>
      <w:r>
        <w:rPr>
          <w:rFonts w:hint="eastAsia" w:ascii="宋体" w:eastAsia="宋体"/>
          <w:sz w:val="24"/>
          <w:szCs w:val="24"/>
        </w:rPr>
        <w:t>相关成员商议后，决定对潜在厂商进行</w:t>
      </w:r>
      <w:r>
        <w:rPr>
          <w:rFonts w:ascii="Times New Roman" w:hAnsi="Times New Roman" w:eastAsia="宋体" w:cs="Times New Roman"/>
          <w:sz w:val="24"/>
          <w:szCs w:val="24"/>
        </w:rPr>
        <w:t>POC</w:t>
      </w:r>
      <w:r>
        <w:rPr>
          <w:rFonts w:hint="eastAsia" w:ascii="宋体" w:eastAsia="宋体"/>
          <w:sz w:val="24"/>
          <w:szCs w:val="24"/>
        </w:rPr>
        <w:t>测试。</w:t>
      </w:r>
    </w:p>
    <w:p>
      <w:pPr>
        <w:pStyle w:val="35"/>
        <w:keepNext w:val="0"/>
        <w:keepLines w:val="0"/>
        <w:pageBreakBefore w:val="0"/>
        <w:widowControl w:val="0"/>
        <w:numPr>
          <w:ilvl w:val="2"/>
          <w:numId w:val="5"/>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hint="eastAsia" w:ascii="微软雅黑" w:eastAsia="微软雅黑"/>
          <w:b/>
          <w:bCs/>
          <w:sz w:val="28"/>
          <w:szCs w:val="28"/>
        </w:rPr>
        <w:t>测试目的</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本次</w:t>
      </w:r>
      <w:r>
        <w:rPr>
          <w:rFonts w:ascii="Times New Roman" w:hAnsi="Times New Roman" w:eastAsia="宋体" w:cs="Times New Roman"/>
          <w:sz w:val="24"/>
          <w:szCs w:val="24"/>
        </w:rPr>
        <w:t>POC</w:t>
      </w:r>
      <w:r>
        <w:rPr>
          <w:rFonts w:hint="eastAsia" w:ascii="宋体" w:eastAsia="宋体"/>
          <w:sz w:val="24"/>
          <w:szCs w:val="24"/>
        </w:rPr>
        <w:t>的目的是通过</w:t>
      </w:r>
      <w:r>
        <w:rPr>
          <w:rFonts w:ascii="宋体" w:eastAsia="宋体"/>
          <w:sz w:val="24"/>
          <w:szCs w:val="24"/>
        </w:rPr>
        <w:t>现场系统搭建以及客户化的系统演示，使我行进一步了解和考察各厂商的产品，评估各家厂商的产品是否满足我行业务和技术需求</w:t>
      </w:r>
      <w:r>
        <w:rPr>
          <w:rFonts w:hint="eastAsia" w:ascii="宋体" w:eastAsia="宋体"/>
          <w:sz w:val="24"/>
          <w:szCs w:val="24"/>
        </w:rPr>
        <w:t>。</w:t>
      </w:r>
      <w:r>
        <w:rPr>
          <w:rFonts w:ascii="宋体" w:eastAsia="宋体"/>
          <w:sz w:val="24"/>
          <w:szCs w:val="24"/>
        </w:rPr>
        <w:t>通过对各家厂商咨询、产品及实施各方面的综合比较，帮助我行选择一家既能满足我行业务需求，又在行业内领先、典型的系统供应商。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通过本测试，应达到如下目的：</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（1）</w:t>
      </w:r>
      <w:r>
        <w:rPr>
          <w:rFonts w:hint="eastAsia" w:ascii="宋体" w:eastAsia="宋体"/>
          <w:sz w:val="24"/>
          <w:szCs w:val="24"/>
          <w:lang w:val="en-US" w:eastAsia="zh-CN"/>
        </w:rPr>
        <w:t xml:space="preserve"> </w:t>
      </w:r>
      <w:r>
        <w:rPr>
          <w:rFonts w:hint="eastAsia" w:ascii="宋体" w:eastAsia="宋体"/>
          <w:sz w:val="24"/>
          <w:szCs w:val="24"/>
        </w:rPr>
        <w:t>考察系统技术体系及业务体系先进性及针对我行业务和技术需求的适应性；</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2"/>
        <w:rPr>
          <w:rFonts w:ascii="宋体" w:eastAsia="宋体"/>
          <w:sz w:val="24"/>
          <w:szCs w:val="24"/>
        </w:rPr>
      </w:pPr>
      <w:r>
        <w:rPr>
          <w:rFonts w:hint="eastAsia" w:ascii="宋体" w:eastAsia="宋体"/>
          <w:sz w:val="24"/>
          <w:szCs w:val="24"/>
        </w:rPr>
        <w:t>（2）验证系统能否在</w:t>
      </w:r>
      <w:r>
        <w:rPr>
          <w:rFonts w:hint="eastAsia" w:ascii="宋体" w:eastAsia="宋体"/>
          <w:sz w:val="24"/>
          <w:szCs w:val="24"/>
          <w:lang w:val="en-US" w:eastAsia="zh-CN"/>
        </w:rPr>
        <w:t>信创</w:t>
      </w:r>
      <w:r>
        <w:rPr>
          <w:rFonts w:hint="eastAsia" w:ascii="宋体" w:eastAsia="宋体"/>
          <w:sz w:val="24"/>
          <w:szCs w:val="24"/>
        </w:rPr>
        <w:t>产品上正常运行；</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（3）查看厂商对行方需求的理解能力和将其转换为可实际落地产品规划和完整可用产品设计的能力；</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2"/>
        <w:rPr>
          <w:rFonts w:ascii="宋体" w:eastAsia="宋体"/>
          <w:sz w:val="24"/>
          <w:szCs w:val="24"/>
        </w:rPr>
      </w:pPr>
      <w:r>
        <w:rPr>
          <w:rFonts w:hint="eastAsia" w:ascii="宋体" w:eastAsia="宋体"/>
          <w:sz w:val="24"/>
          <w:szCs w:val="24"/>
        </w:rPr>
        <w:t>（4）检验系统是否具有良好的可交互性；</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8"/>
          <w:szCs w:val="28"/>
        </w:rPr>
      </w:pPr>
      <w:r>
        <w:rPr>
          <w:rFonts w:hint="eastAsia" w:ascii="宋体" w:eastAsia="宋体"/>
          <w:sz w:val="24"/>
          <w:szCs w:val="24"/>
        </w:rPr>
        <w:t>（5）检验系统的可管理性、系统安全性、可扩展性、可维护性及容错性</w:t>
      </w:r>
      <w:r>
        <w:rPr>
          <w:rFonts w:ascii="宋体" w:eastAsia="宋体"/>
          <w:sz w:val="24"/>
          <w:szCs w:val="24"/>
        </w:rPr>
        <w:t>等</w:t>
      </w:r>
      <w:r>
        <w:rPr>
          <w:rFonts w:hint="eastAsia" w:ascii="宋体" w:eastAsia="宋体"/>
          <w:sz w:val="28"/>
          <w:szCs w:val="28"/>
        </w:rPr>
        <w:t>。</w:t>
      </w:r>
    </w:p>
    <w:p>
      <w:pPr>
        <w:pStyle w:val="35"/>
        <w:keepNext w:val="0"/>
        <w:keepLines w:val="0"/>
        <w:pageBreakBefore w:val="0"/>
        <w:widowControl w:val="0"/>
        <w:numPr>
          <w:ilvl w:val="2"/>
          <w:numId w:val="5"/>
        </w:numPr>
        <w:kinsoku/>
        <w:wordWrap/>
        <w:overflowPunct/>
        <w:topLinePunct w:val="0"/>
        <w:autoSpaceDE w:val="0"/>
        <w:autoSpaceDN w:val="0"/>
        <w:bidi w:val="0"/>
        <w:spacing w:line="600" w:lineRule="exact"/>
        <w:ind w:left="0" w:firstLine="560" w:firstLineChars="200"/>
        <w:textAlignment w:val="auto"/>
        <w:outlineLvl w:val="1"/>
        <w:rPr>
          <w:rFonts w:hint="eastAsia" w:ascii="微软雅黑" w:eastAsia="微软雅黑"/>
          <w:b/>
          <w:bCs/>
          <w:sz w:val="28"/>
          <w:szCs w:val="28"/>
        </w:rPr>
      </w:pPr>
      <w:bookmarkStart w:id="138" w:name="_Toc22128"/>
      <w:r>
        <w:rPr>
          <w:rFonts w:hint="eastAsia" w:ascii="微软雅黑" w:eastAsia="微软雅黑"/>
          <w:b/>
          <w:bCs/>
          <w:sz w:val="28"/>
          <w:szCs w:val="28"/>
        </w:rPr>
        <w:t>测试原则</w:t>
      </w:r>
      <w:bookmarkEnd w:id="138"/>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本次POC工作的重点是在有限时间内测试参测厂商的</w:t>
      </w:r>
      <w:r>
        <w:rPr>
          <w:rFonts w:hint="eastAsia" w:ascii="宋体" w:eastAsia="宋体"/>
          <w:sz w:val="24"/>
          <w:szCs w:val="24"/>
          <w:lang w:val="en-US" w:eastAsia="zh-CN"/>
        </w:rPr>
        <w:t>手机银行</w:t>
      </w:r>
      <w:r>
        <w:rPr>
          <w:rFonts w:hint="eastAsia" w:ascii="宋体" w:eastAsia="宋体"/>
          <w:sz w:val="24"/>
          <w:szCs w:val="24"/>
        </w:rPr>
        <w:t>系统。因此，进行系统概念验证工作时需贯彻以下的原则：</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整个测试过程体现公平、公正、严密、严谨、严肃的原则。</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测试硬件环境一致性原则，各方测试使用相同的硬件配置。</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测试评价合理性原则，行方制定合理的测试评分流程与评分细项，以客观事实为依据、实事求是表达测试结果。</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测试的内容需要涵盖本方案所涉及到的内容和功能点，而对于本方案中没有提及而测试厂商又认为非常重要的功能，可以在</w:t>
      </w:r>
      <w:r>
        <w:rPr>
          <w:rFonts w:ascii="Times New Roman" w:hAnsi="Times New Roman" w:eastAsia="宋体" w:cs="Times New Roman"/>
          <w:sz w:val="24"/>
          <w:szCs w:val="24"/>
        </w:rPr>
        <w:t>POC</w:t>
      </w:r>
      <w:r>
        <w:rPr>
          <w:rFonts w:hint="eastAsia" w:ascii="宋体" w:eastAsia="宋体"/>
          <w:sz w:val="24"/>
          <w:szCs w:val="24"/>
        </w:rPr>
        <w:t>测试过程中进行适当的演示。</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参测厂商应坚持客观、公平、公正的原则，严格遵守测试纪律，协同完成各项测试任务，并注意做好保密工作，未经</w:t>
      </w:r>
      <w:r>
        <w:rPr>
          <w:rFonts w:hint="eastAsia" w:ascii="宋体" w:eastAsia="宋体"/>
          <w:sz w:val="24"/>
          <w:szCs w:val="24"/>
          <w:lang w:val="en-US" w:eastAsia="zh-CN"/>
        </w:rPr>
        <w:t>我行</w:t>
      </w:r>
      <w:r>
        <w:rPr>
          <w:rFonts w:hint="eastAsia" w:ascii="宋体" w:eastAsia="宋体"/>
          <w:sz w:val="24"/>
          <w:szCs w:val="24"/>
        </w:rPr>
        <w:t>许可，任何人不得擅自披露有关的测试情况和数据。</w:t>
      </w:r>
    </w:p>
    <w:p>
      <w:pPr>
        <w:pStyle w:val="35"/>
        <w:keepNext w:val="0"/>
        <w:keepLines w:val="0"/>
        <w:pageBreakBefore w:val="0"/>
        <w:widowControl w:val="0"/>
        <w:numPr>
          <w:ilvl w:val="0"/>
          <w:numId w:val="5"/>
        </w:numPr>
        <w:kinsoku/>
        <w:wordWrap/>
        <w:overflowPunct/>
        <w:topLinePunct w:val="0"/>
        <w:autoSpaceDE w:val="0"/>
        <w:autoSpaceDN w:val="0"/>
        <w:bidi w:val="0"/>
        <w:spacing w:line="600" w:lineRule="exact"/>
        <w:ind w:left="0" w:firstLine="640" w:firstLineChars="200"/>
        <w:textAlignment w:val="auto"/>
        <w:outlineLvl w:val="0"/>
        <w:rPr>
          <w:rFonts w:ascii="微软雅黑" w:eastAsia="微软雅黑"/>
          <w:b/>
          <w:bCs/>
          <w:sz w:val="32"/>
          <w:szCs w:val="32"/>
        </w:rPr>
      </w:pPr>
      <w:r>
        <w:rPr>
          <w:rFonts w:ascii="Times New Roman" w:hAnsi="Times New Roman" w:eastAsia="宋体" w:cs="Times New Roman"/>
          <w:bCs/>
          <w:sz w:val="32"/>
          <w:szCs w:val="32"/>
        </w:rPr>
        <w:t>POC</w:t>
      </w:r>
      <w:r>
        <w:rPr>
          <w:rFonts w:hint="eastAsia" w:ascii="微软雅黑" w:eastAsia="微软雅黑"/>
          <w:b/>
          <w:bCs/>
          <w:sz w:val="32"/>
          <w:szCs w:val="32"/>
        </w:rPr>
        <w:t>安排</w:t>
      </w:r>
    </w:p>
    <w:p>
      <w:pPr>
        <w:pStyle w:val="35"/>
        <w:keepNext w:val="0"/>
        <w:keepLines w:val="0"/>
        <w:pageBreakBefore w:val="0"/>
        <w:widowControl w:val="0"/>
        <w:numPr>
          <w:ilvl w:val="2"/>
          <w:numId w:val="5"/>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ascii="Times New Roman" w:hAnsi="Times New Roman" w:eastAsia="微软雅黑" w:cs="Times New Roman"/>
          <w:b/>
          <w:bCs/>
          <w:sz w:val="28"/>
          <w:szCs w:val="28"/>
        </w:rPr>
        <w:t>POC</w:t>
      </w:r>
      <w:r>
        <w:rPr>
          <w:rFonts w:hint="eastAsia" w:ascii="微软雅黑" w:eastAsia="微软雅黑"/>
          <w:b/>
          <w:bCs/>
          <w:sz w:val="28"/>
          <w:szCs w:val="28"/>
        </w:rPr>
        <w:t>时间、地点</w:t>
      </w:r>
      <w:r>
        <w:rPr>
          <w:rFonts w:hint="eastAsia" w:ascii="微软雅黑" w:eastAsia="微软雅黑"/>
          <w:b/>
          <w:bCs/>
          <w:sz w:val="28"/>
          <w:szCs w:val="28"/>
          <w:lang w:eastAsia="zh-CN"/>
        </w:rPr>
        <w:t>、</w:t>
      </w:r>
      <w:r>
        <w:rPr>
          <w:rFonts w:hint="eastAsia" w:ascii="微软雅黑" w:eastAsia="微软雅黑"/>
          <w:b/>
          <w:bCs/>
          <w:sz w:val="28"/>
          <w:szCs w:val="28"/>
          <w:lang w:val="en-US" w:eastAsia="zh-CN"/>
        </w:rPr>
        <w:t>顺序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本次</w:t>
      </w:r>
      <w:r>
        <w:rPr>
          <w:rFonts w:ascii="Times New Roman" w:hAnsi="Times New Roman" w:eastAsia="宋体" w:cs="Times New Roman"/>
          <w:sz w:val="24"/>
          <w:szCs w:val="24"/>
        </w:rPr>
        <w:t>POC</w:t>
      </w:r>
      <w:r>
        <w:rPr>
          <w:rFonts w:hint="eastAsia" w:ascii="宋体" w:eastAsia="宋体"/>
          <w:sz w:val="24"/>
          <w:szCs w:val="24"/>
        </w:rPr>
        <w:t>实施时间</w:t>
      </w:r>
      <w:r>
        <w:rPr>
          <w:rFonts w:hint="eastAsia" w:ascii="Times New Roman" w:hAnsi="Times New Roman" w:cs="Times New Roman"/>
          <w:color w:val="auto"/>
          <w:highlight w:val="none"/>
          <w:shd w:val="clear" w:color="auto" w:fill="auto"/>
          <w:lang w:val="en-US" w:eastAsia="zh-CN"/>
        </w:rPr>
        <w:t>根据项目实际情况安排</w:t>
      </w:r>
      <w:r>
        <w:rPr>
          <w:rFonts w:hint="eastAsia" w:ascii="宋体" w:eastAsia="宋体"/>
          <w:sz w:val="24"/>
          <w:szCs w:val="24"/>
        </w:rPr>
        <w:t>，</w:t>
      </w:r>
      <w:r>
        <w:rPr>
          <w:rFonts w:hint="eastAsia" w:ascii="宋体"/>
          <w:sz w:val="24"/>
          <w:szCs w:val="24"/>
          <w:lang w:val="en-US" w:eastAsia="zh-CN"/>
        </w:rPr>
        <w:t>在比选前完成，</w:t>
      </w:r>
      <w:r>
        <w:rPr>
          <w:rFonts w:hint="eastAsia" w:ascii="宋体" w:eastAsia="宋体"/>
          <w:sz w:val="24"/>
          <w:szCs w:val="24"/>
        </w:rPr>
        <w:t>厂商根据安排</w:t>
      </w:r>
      <w:r>
        <w:rPr>
          <w:rFonts w:ascii="宋体" w:eastAsia="宋体"/>
          <w:sz w:val="24"/>
          <w:szCs w:val="24"/>
        </w:rPr>
        <w:t>分批次</w:t>
      </w:r>
      <w:r>
        <w:rPr>
          <w:rFonts w:hint="eastAsia" w:ascii="宋体" w:eastAsia="宋体"/>
          <w:sz w:val="24"/>
          <w:szCs w:val="24"/>
        </w:rPr>
        <w:t>入场实施，在规定时间内完成相关</w:t>
      </w:r>
      <w:r>
        <w:rPr>
          <w:rFonts w:ascii="Times New Roman" w:hAnsi="Times New Roman" w:eastAsia="宋体" w:cs="Times New Roman"/>
          <w:sz w:val="24"/>
          <w:szCs w:val="24"/>
        </w:rPr>
        <w:t>POC</w:t>
      </w:r>
      <w:r>
        <w:rPr>
          <w:rFonts w:hint="eastAsia" w:ascii="宋体" w:eastAsia="宋体"/>
          <w:sz w:val="24"/>
          <w:szCs w:val="24"/>
        </w:rPr>
        <w:t>案例内容。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2"/>
        <w:rPr>
          <w:rFonts w:ascii="宋体" w:eastAsia="宋体"/>
          <w:sz w:val="24"/>
          <w:szCs w:val="24"/>
        </w:rPr>
      </w:pPr>
      <w:r>
        <w:rPr>
          <w:rFonts w:hint="eastAsia" w:ascii="宋体" w:eastAsia="宋体"/>
          <w:sz w:val="24"/>
          <w:szCs w:val="24"/>
        </w:rPr>
        <w:t>（1）时间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根据项目实际情况安排</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2"/>
        <w:rPr>
          <w:rFonts w:ascii="宋体" w:eastAsia="宋体"/>
          <w:sz w:val="24"/>
          <w:szCs w:val="24"/>
        </w:rPr>
      </w:pPr>
      <w:r>
        <w:rPr>
          <w:rFonts w:hint="eastAsia" w:ascii="宋体" w:eastAsia="宋体"/>
          <w:sz w:val="24"/>
          <w:szCs w:val="24"/>
        </w:rPr>
        <w:t>（2）地点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3"/>
        <w:rPr>
          <w:rFonts w:ascii="宋体" w:eastAsia="宋体"/>
          <w:sz w:val="24"/>
          <w:szCs w:val="24"/>
        </w:rPr>
      </w:pPr>
      <w:r>
        <w:rPr>
          <w:rFonts w:hint="eastAsia" w:ascii="宋体" w:eastAsia="宋体"/>
          <w:sz w:val="24"/>
          <w:szCs w:val="24"/>
        </w:rPr>
        <w:t>重庆三峡银行西永办公楼</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（重庆市沙坪坝区学城大道</w:t>
      </w:r>
      <w:r>
        <w:rPr>
          <w:rFonts w:ascii="Times New Roman" w:hAnsi="Times New Roman" w:eastAsia="宋体" w:cs="Times New Roman"/>
          <w:sz w:val="24"/>
          <w:szCs w:val="24"/>
        </w:rPr>
        <w:t>67</w:t>
      </w:r>
      <w:r>
        <w:rPr>
          <w:rFonts w:hint="eastAsia" w:ascii="宋体" w:eastAsia="宋体"/>
          <w:sz w:val="24"/>
          <w:szCs w:val="24"/>
        </w:rPr>
        <w:t>号西永软件</w:t>
      </w:r>
      <w:r>
        <w:rPr>
          <w:rFonts w:ascii="宋体" w:eastAsia="宋体"/>
          <w:sz w:val="24"/>
          <w:szCs w:val="24"/>
        </w:rPr>
        <w:t>园</w:t>
      </w:r>
      <w:r>
        <w:rPr>
          <w:rFonts w:ascii="Times New Roman" w:hAnsi="Times New Roman" w:eastAsia="宋体" w:cs="Times New Roman"/>
          <w:sz w:val="24"/>
          <w:szCs w:val="24"/>
        </w:rPr>
        <w:t>2</w:t>
      </w:r>
      <w:r>
        <w:rPr>
          <w:rFonts w:hint="eastAsia" w:ascii="宋体" w:eastAsia="宋体"/>
          <w:sz w:val="24"/>
          <w:szCs w:val="24"/>
        </w:rPr>
        <w:t>号楼）</w:t>
      </w:r>
    </w:p>
    <w:p>
      <w:pPr>
        <w:pStyle w:val="35"/>
        <w:keepNext w:val="0"/>
        <w:keepLines w:val="0"/>
        <w:pageBreakBefore w:val="0"/>
        <w:widowControl w:val="0"/>
        <w:numPr>
          <w:ilvl w:val="2"/>
          <w:numId w:val="5"/>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ascii="Times New Roman" w:hAnsi="Times New Roman" w:eastAsia="微软雅黑" w:cs="Times New Roman"/>
          <w:b/>
          <w:bCs/>
          <w:sz w:val="28"/>
          <w:szCs w:val="28"/>
        </w:rPr>
        <w:t>POC</w:t>
      </w:r>
      <w:r>
        <w:rPr>
          <w:rFonts w:hint="eastAsia" w:ascii="微软雅黑" w:eastAsia="微软雅黑"/>
          <w:b/>
          <w:bCs/>
          <w:sz w:val="28"/>
          <w:szCs w:val="28"/>
        </w:rPr>
        <w:t>计划</w:t>
      </w:r>
    </w:p>
    <w:p>
      <w:pPr>
        <w:pStyle w:val="35"/>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cs="宋体"/>
          <w:sz w:val="24"/>
          <w:szCs w:val="24"/>
        </w:rPr>
      </w:pPr>
      <w:r>
        <w:rPr>
          <w:rFonts w:ascii="Times New Roman" w:hAnsi="Times New Roman" w:eastAsia="宋体" w:cs="Times New Roman"/>
          <w:sz w:val="24"/>
          <w:szCs w:val="24"/>
        </w:rPr>
        <w:t>POC</w:t>
      </w:r>
      <w:r>
        <w:rPr>
          <w:rFonts w:hint="eastAsia" w:ascii="宋体" w:eastAsia="宋体" w:cs="宋体"/>
          <w:sz w:val="24"/>
          <w:szCs w:val="24"/>
        </w:rPr>
        <w:t>实施阶段包括环境的搭建、现场开发</w:t>
      </w:r>
      <w:r>
        <w:rPr>
          <w:rFonts w:ascii="宋体" w:eastAsia="宋体" w:cs="宋体"/>
          <w:sz w:val="24"/>
          <w:szCs w:val="24"/>
        </w:rPr>
        <w:t>；</w:t>
      </w:r>
      <w:r>
        <w:rPr>
          <w:rFonts w:hint="eastAsia" w:ascii="宋体" w:eastAsia="宋体" w:cs="宋体"/>
          <w:color w:val="000000"/>
          <w:kern w:val="0"/>
          <w:sz w:val="24"/>
          <w:szCs w:val="24"/>
        </w:rPr>
        <w:t>业务需求展示</w:t>
      </w:r>
      <w:r>
        <w:rPr>
          <w:rFonts w:ascii="宋体" w:eastAsia="宋体" w:cs="宋体"/>
          <w:color w:val="000000"/>
          <w:kern w:val="0"/>
          <w:sz w:val="24"/>
          <w:szCs w:val="24"/>
        </w:rPr>
        <w:t>讲解</w:t>
      </w:r>
      <w:r>
        <w:rPr>
          <w:rFonts w:hint="eastAsia" w:ascii="宋体" w:eastAsia="宋体" w:cs="宋体"/>
          <w:color w:val="000000"/>
          <w:kern w:val="0"/>
          <w:sz w:val="24"/>
          <w:szCs w:val="24"/>
        </w:rPr>
        <w:t>，厂商与</w:t>
      </w:r>
      <w:r>
        <w:rPr>
          <w:rFonts w:hint="eastAsia" w:ascii="宋体" w:eastAsia="宋体" w:cs="宋体"/>
          <w:sz w:val="24"/>
          <w:szCs w:val="24"/>
        </w:rPr>
        <w:t>行内业务、科技人员交流，以及根据</w:t>
      </w:r>
      <w:r>
        <w:rPr>
          <w:rFonts w:ascii="Times New Roman" w:hAnsi="Times New Roman" w:eastAsia="宋体" w:cs="Times New Roman"/>
          <w:sz w:val="24"/>
          <w:szCs w:val="24"/>
        </w:rPr>
        <w:t>POC</w:t>
      </w:r>
      <w:r>
        <w:rPr>
          <w:rFonts w:hint="eastAsia" w:ascii="宋体" w:eastAsia="宋体" w:cs="宋体"/>
          <w:sz w:val="24"/>
          <w:szCs w:val="24"/>
        </w:rPr>
        <w:t>案例进行测试评分。具体日程安排如下：</w:t>
      </w:r>
    </w:p>
    <w:tbl>
      <w:tblPr>
        <w:tblStyle w:val="2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912"/>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主要任务</w:t>
            </w:r>
          </w:p>
        </w:tc>
        <w:tc>
          <w:tcPr>
            <w:tcW w:w="1912"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人员</w:t>
            </w:r>
          </w:p>
        </w:tc>
        <w:tc>
          <w:tcPr>
            <w:tcW w:w="5380"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ascii="Times New Roman" w:hAnsi="Times New Roman" w:eastAsia="宋体" w:cs="Times New Roman"/>
                <w:color w:val="000000"/>
                <w:kern w:val="0"/>
                <w:sz w:val="22"/>
              </w:rPr>
              <w:t>POC</w:t>
            </w:r>
            <w:r>
              <w:rPr>
                <w:rFonts w:hint="eastAsia" w:ascii="宋体" w:eastAsia="宋体" w:cs="宋体"/>
                <w:color w:val="000000"/>
                <w:kern w:val="0"/>
                <w:sz w:val="22"/>
              </w:rPr>
              <w:t>准备</w:t>
            </w:r>
          </w:p>
        </w:tc>
        <w:tc>
          <w:tcPr>
            <w:tcW w:w="191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厂商</w:t>
            </w:r>
          </w:p>
        </w:tc>
        <w:tc>
          <w:tcPr>
            <w:tcW w:w="5380"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eastAsia="宋体" w:cs="宋体"/>
                <w:color w:val="000000"/>
                <w:kern w:val="0"/>
                <w:sz w:val="22"/>
              </w:rPr>
            </w:pPr>
            <w:r>
              <w:rPr>
                <w:rFonts w:hint="eastAsia" w:ascii="宋体" w:eastAsia="宋体" w:cs="宋体"/>
                <w:color w:val="000000"/>
                <w:kern w:val="0"/>
                <w:sz w:val="22"/>
              </w:rPr>
              <w:t>环境搭建、系统开发测试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87" w:type="dxa"/>
            <w:vMerge w:val="restart"/>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ascii="Times New Roman" w:hAnsi="Times New Roman" w:eastAsia="宋体" w:cs="Times New Roman"/>
                <w:color w:val="000000"/>
                <w:kern w:val="0"/>
                <w:sz w:val="22"/>
              </w:rPr>
              <w:t>POC</w:t>
            </w:r>
            <w:r>
              <w:rPr>
                <w:rFonts w:hint="eastAsia" w:ascii="宋体" w:eastAsia="宋体" w:cs="宋体"/>
                <w:color w:val="000000"/>
                <w:kern w:val="0"/>
                <w:sz w:val="22"/>
              </w:rPr>
              <w:t>检验</w:t>
            </w:r>
          </w:p>
        </w:tc>
        <w:tc>
          <w:tcPr>
            <w:tcW w:w="19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厂商、行内业务、科技人员</w:t>
            </w:r>
          </w:p>
        </w:tc>
        <w:tc>
          <w:tcPr>
            <w:tcW w:w="5380"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eastAsia="宋体" w:cs="宋体"/>
                <w:color w:val="000000"/>
                <w:kern w:val="0"/>
                <w:sz w:val="22"/>
              </w:rPr>
            </w:pPr>
            <w:r>
              <w:rPr>
                <w:rFonts w:hint="eastAsia" w:ascii="宋体" w:eastAsia="宋体" w:cs="宋体"/>
                <w:color w:val="000000"/>
                <w:kern w:val="0"/>
                <w:sz w:val="22"/>
              </w:rPr>
              <w:t>1、业务需求展示讲解，业务、技术沟通交流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87" w:type="dxa"/>
            <w:vMerge w:val="continue"/>
            <w:vAlign w:val="center"/>
          </w:tcPr>
          <w:p>
            <w:pPr>
              <w:keepNext w:val="0"/>
              <w:keepLines w:val="0"/>
              <w:pageBreakBefore w:val="0"/>
              <w:kinsoku/>
              <w:wordWrap/>
              <w:overflowPunct/>
              <w:topLinePunct w:val="0"/>
              <w:autoSpaceDE w:val="0"/>
              <w:autoSpaceDN w:val="0"/>
              <w:bidi w:val="0"/>
              <w:adjustRightInd/>
              <w:snapToGrid/>
              <w:ind w:firstLine="0" w:firstLineChars="0"/>
              <w:textAlignment w:val="auto"/>
            </w:pPr>
          </w:p>
        </w:tc>
        <w:tc>
          <w:tcPr>
            <w:tcW w:w="1912"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ind w:firstLine="0" w:firstLineChars="0"/>
              <w:textAlignment w:val="auto"/>
            </w:pPr>
          </w:p>
        </w:tc>
        <w:tc>
          <w:tcPr>
            <w:tcW w:w="5380"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ascii="宋体" w:eastAsia="宋体" w:cs="宋体"/>
                <w:color w:val="000000"/>
                <w:kern w:val="0"/>
                <w:sz w:val="22"/>
              </w:rPr>
            </w:pPr>
            <w:r>
              <w:rPr>
                <w:rFonts w:hint="eastAsia" w:ascii="宋体" w:eastAsia="宋体" w:cs="宋体"/>
                <w:color w:val="000000"/>
                <w:kern w:val="0"/>
                <w:sz w:val="22"/>
              </w:rPr>
              <w:t>2、业务与科技人员测试、评分</w:t>
            </w:r>
          </w:p>
        </w:tc>
      </w:tr>
    </w:tbl>
    <w:p>
      <w:pPr>
        <w:pStyle w:val="35"/>
        <w:keepNext w:val="0"/>
        <w:keepLines w:val="0"/>
        <w:pageBreakBefore w:val="0"/>
        <w:widowControl w:val="0"/>
        <w:numPr>
          <w:ilvl w:val="2"/>
          <w:numId w:val="5"/>
        </w:numPr>
        <w:kinsoku/>
        <w:wordWrap/>
        <w:overflowPunct/>
        <w:topLinePunct w:val="0"/>
        <w:autoSpaceDE w:val="0"/>
        <w:autoSpaceDN w:val="0"/>
        <w:bidi w:val="0"/>
        <w:adjustRightInd/>
        <w:snapToGrid/>
        <w:ind w:left="0" w:firstLine="560" w:firstLineChars="200"/>
        <w:textAlignment w:val="auto"/>
        <w:rPr>
          <w:rFonts w:ascii="微软雅黑" w:eastAsia="微软雅黑"/>
          <w:b/>
          <w:bCs/>
          <w:sz w:val="28"/>
          <w:szCs w:val="28"/>
        </w:rPr>
      </w:pPr>
      <w:r>
        <w:rPr>
          <w:rFonts w:ascii="Times New Roman" w:hAnsi="Times New Roman" w:eastAsia="微软雅黑" w:cs="Times New Roman"/>
          <w:b/>
          <w:bCs/>
          <w:sz w:val="28"/>
          <w:szCs w:val="28"/>
        </w:rPr>
        <w:t>POC</w:t>
      </w:r>
      <w:r>
        <w:rPr>
          <w:rFonts w:hint="eastAsia" w:ascii="微软雅黑" w:eastAsia="微软雅黑"/>
          <w:b/>
          <w:bCs/>
          <w:sz w:val="28"/>
          <w:szCs w:val="28"/>
        </w:rPr>
        <w:t>环境</w:t>
      </w:r>
    </w:p>
    <w:tbl>
      <w:tblPr>
        <w:tblStyle w:val="20"/>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045"/>
        <w:gridCol w:w="3280"/>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55"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服务器名</w:t>
            </w:r>
          </w:p>
        </w:tc>
        <w:tc>
          <w:tcPr>
            <w:tcW w:w="2045"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用途</w:t>
            </w:r>
          </w:p>
        </w:tc>
        <w:tc>
          <w:tcPr>
            <w:tcW w:w="3280"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软硬件配置</w:t>
            </w:r>
          </w:p>
        </w:tc>
        <w:tc>
          <w:tcPr>
            <w:tcW w:w="1341" w:type="dxa"/>
            <w:shd w:val="clear" w:color="auto" w:fill="9CC2E5"/>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b/>
                <w:bCs/>
                <w:color w:val="000000"/>
                <w:kern w:val="0"/>
                <w:sz w:val="24"/>
                <w:szCs w:val="24"/>
              </w:rPr>
            </w:pPr>
            <w:r>
              <w:rPr>
                <w:rFonts w:hint="eastAsia" w:ascii="宋体" w:eastAsia="宋体" w:cs="宋体"/>
                <w:b/>
                <w:bCs/>
                <w:color w:val="000000"/>
                <w:kern w:val="0"/>
                <w:sz w:val="24"/>
                <w:szCs w:val="24"/>
              </w:rPr>
              <w:t>提供方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55"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应用服务器</w:t>
            </w:r>
          </w:p>
        </w:tc>
        <w:tc>
          <w:tcPr>
            <w:tcW w:w="20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应用部署</w:t>
            </w:r>
          </w:p>
        </w:tc>
        <w:tc>
          <w:tcPr>
            <w:tcW w:w="328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Times New Roman" w:hAnsi="Times New Roman" w:eastAsia="宋体" w:cs="Times New Roman"/>
                <w:color w:val="000000"/>
                <w:kern w:val="0"/>
                <w:sz w:val="22"/>
              </w:rPr>
            </w:pPr>
            <w:r>
              <w:rPr>
                <w:rFonts w:hint="eastAsia" w:ascii="宋体" w:eastAsia="宋体" w:cs="宋体"/>
                <w:color w:val="000000"/>
                <w:kern w:val="0"/>
                <w:sz w:val="22"/>
              </w:rPr>
              <w:t>操作系统：麒麟</w:t>
            </w:r>
            <w:r>
              <w:rPr>
                <w:rFonts w:ascii="Times New Roman" w:hAnsi="Times New Roman" w:eastAsia="宋体" w:cs="Times New Roman"/>
                <w:color w:val="000000"/>
                <w:kern w:val="0"/>
                <w:sz w:val="22"/>
              </w:rPr>
              <w:t>V10</w:t>
            </w:r>
          </w:p>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ascii="Times New Roman" w:hAnsi="Times New Roman" w:eastAsia="宋体" w:cs="Times New Roman"/>
                <w:color w:val="000000"/>
                <w:kern w:val="0"/>
                <w:sz w:val="22"/>
              </w:rPr>
              <w:t>CPU</w:t>
            </w:r>
            <w:r>
              <w:rPr>
                <w:rFonts w:hint="eastAsia" w:ascii="宋体" w:eastAsia="宋体" w:cs="宋体"/>
                <w:color w:val="000000"/>
                <w:kern w:val="0"/>
                <w:sz w:val="22"/>
              </w:rPr>
              <w:t>：鲲鹏</w:t>
            </w:r>
          </w:p>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中间件：东方通</w:t>
            </w:r>
          </w:p>
        </w:tc>
        <w:tc>
          <w:tcPr>
            <w:tcW w:w="1341"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55"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数据库服务器</w:t>
            </w:r>
          </w:p>
        </w:tc>
        <w:tc>
          <w:tcPr>
            <w:tcW w:w="20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数据库</w:t>
            </w:r>
          </w:p>
        </w:tc>
        <w:tc>
          <w:tcPr>
            <w:tcW w:w="328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操作系统：麒麟</w:t>
            </w:r>
            <w:r>
              <w:rPr>
                <w:rFonts w:ascii="Times New Roman" w:hAnsi="Times New Roman" w:eastAsia="宋体" w:cs="Times New Roman"/>
                <w:color w:val="000000"/>
                <w:kern w:val="0"/>
                <w:sz w:val="22"/>
              </w:rPr>
              <w:t>V10</w:t>
            </w:r>
          </w:p>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ascii="Times New Roman" w:hAnsi="Times New Roman" w:eastAsia="宋体" w:cs="Times New Roman"/>
                <w:color w:val="000000"/>
                <w:kern w:val="0"/>
                <w:sz w:val="22"/>
              </w:rPr>
              <w:t>CPU</w:t>
            </w:r>
            <w:r>
              <w:rPr>
                <w:rFonts w:hint="eastAsia" w:ascii="宋体" w:eastAsia="宋体" w:cs="宋体"/>
                <w:color w:val="000000"/>
                <w:kern w:val="0"/>
                <w:sz w:val="22"/>
              </w:rPr>
              <w:t>：鲲鹏</w:t>
            </w:r>
          </w:p>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lang w:val="en-US" w:eastAsia="zh-CN"/>
              </w:rPr>
            </w:pPr>
            <w:r>
              <w:rPr>
                <w:rFonts w:hint="eastAsia" w:ascii="宋体" w:eastAsia="宋体" w:cs="宋体"/>
                <w:color w:val="000000"/>
                <w:kern w:val="0"/>
                <w:sz w:val="22"/>
              </w:rPr>
              <w:t>数据库：</w:t>
            </w:r>
            <w:r>
              <w:rPr>
                <w:rFonts w:ascii="宋体" w:eastAsia="宋体" w:cs="宋体"/>
                <w:color w:val="000000"/>
                <w:kern w:val="0"/>
                <w:sz w:val="22"/>
              </w:rPr>
              <w:t>OceanBase</w:t>
            </w:r>
            <w:r>
              <w:rPr>
                <w:rFonts w:hint="eastAsia" w:ascii="宋体" w:eastAsia="宋体" w:cs="宋体"/>
                <w:color w:val="000000"/>
                <w:kern w:val="0"/>
                <w:sz w:val="22"/>
                <w:lang w:val="en-US" w:eastAsia="zh-CN"/>
              </w:rPr>
              <w:t>3.2</w:t>
            </w:r>
          </w:p>
        </w:tc>
        <w:tc>
          <w:tcPr>
            <w:tcW w:w="1341"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55"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Times New Roman" w:eastAsia="宋体" w:cs="宋体"/>
                <w:color w:val="000000"/>
                <w:kern w:val="0"/>
                <w:sz w:val="22"/>
              </w:rPr>
            </w:pPr>
            <w:r>
              <w:rPr>
                <w:rFonts w:hint="eastAsia" w:ascii="宋体" w:hAnsi="Times New Roman" w:eastAsia="宋体" w:cs="宋体"/>
                <w:color w:val="000000"/>
                <w:kern w:val="0"/>
                <w:sz w:val="22"/>
              </w:rPr>
              <w:t>测试</w:t>
            </w:r>
            <w:r>
              <w:rPr>
                <w:rFonts w:ascii="Times New Roman" w:hAnsi="Times New Roman" w:eastAsia="宋体" w:cs="Times New Roman"/>
                <w:color w:val="000000"/>
                <w:kern w:val="0"/>
                <w:sz w:val="22"/>
              </w:rPr>
              <w:t>PC</w:t>
            </w:r>
          </w:p>
        </w:tc>
        <w:tc>
          <w:tcPr>
            <w:tcW w:w="20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终端体验、测试</w:t>
            </w:r>
          </w:p>
        </w:tc>
        <w:tc>
          <w:tcPr>
            <w:tcW w:w="328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系统必须支持</w:t>
            </w:r>
            <w:r>
              <w:rPr>
                <w:rFonts w:ascii="Times New Roman" w:hAnsi="Times New Roman" w:eastAsia="宋体" w:cs="Times New Roman"/>
                <w:color w:val="000000"/>
                <w:kern w:val="0"/>
                <w:sz w:val="22"/>
              </w:rPr>
              <w:t>Windows</w:t>
            </w:r>
            <w:r>
              <w:rPr>
                <w:rFonts w:hint="eastAsia" w:ascii="宋体" w:eastAsia="宋体" w:cs="宋体"/>
                <w:color w:val="000000"/>
                <w:kern w:val="0"/>
                <w:sz w:val="22"/>
              </w:rPr>
              <w:t>全系桌面操作系统（即</w:t>
            </w:r>
            <w:r>
              <w:rPr>
                <w:rFonts w:ascii="Times New Roman" w:hAnsi="Times New Roman" w:eastAsia="宋体" w:cs="Times New Roman"/>
                <w:color w:val="000000"/>
                <w:kern w:val="0"/>
                <w:sz w:val="22"/>
              </w:rPr>
              <w:t>Win7/Win8/Win10/Win11</w:t>
            </w:r>
            <w:r>
              <w:rPr>
                <w:rFonts w:hint="eastAsia" w:ascii="宋体" w:eastAsia="宋体" w:cs="宋体"/>
                <w:color w:val="000000"/>
                <w:kern w:val="0"/>
                <w:sz w:val="22"/>
              </w:rPr>
              <w:t>）、统信桌面操作系统、麒麟桌面操作系统，支持谷歌、火狐、edge浏览器、支持统信、奇安信、</w:t>
            </w:r>
            <w:r>
              <w:rPr>
                <w:rFonts w:ascii="Times New Roman" w:hAnsi="Times New Roman" w:eastAsia="宋体" w:cs="Times New Roman"/>
                <w:color w:val="000000"/>
                <w:kern w:val="0"/>
                <w:sz w:val="22"/>
              </w:rPr>
              <w:t>360</w:t>
            </w:r>
            <w:r>
              <w:rPr>
                <w:rFonts w:hint="eastAsia" w:ascii="宋体" w:eastAsia="宋体" w:cs="宋体"/>
                <w:color w:val="000000"/>
                <w:kern w:val="0"/>
                <w:sz w:val="22"/>
              </w:rPr>
              <w:t>等国产浏览器使用</w:t>
            </w:r>
          </w:p>
        </w:tc>
        <w:tc>
          <w:tcPr>
            <w:tcW w:w="1341"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rPr>
            </w:pPr>
            <w:r>
              <w:rPr>
                <w:rFonts w:hint="eastAsia" w:ascii="宋体" w:eastAsia="宋体" w:cs="宋体"/>
                <w:color w:val="000000"/>
                <w:kern w:val="0"/>
                <w:sz w:val="22"/>
              </w:rPr>
              <w:t>行方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55"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hAnsi="Times New Roman" w:eastAsia="宋体" w:cs="宋体"/>
                <w:color w:val="000000"/>
                <w:kern w:val="0"/>
                <w:sz w:val="22"/>
                <w:lang w:val="en-US" w:eastAsia="zh-CN"/>
              </w:rPr>
            </w:pPr>
            <w:r>
              <w:rPr>
                <w:rFonts w:hint="eastAsia" w:ascii="宋体" w:hAnsi="Times New Roman" w:eastAsia="宋体" w:cs="宋体"/>
                <w:color w:val="000000"/>
                <w:kern w:val="0"/>
                <w:sz w:val="22"/>
                <w:lang w:val="en-US" w:eastAsia="zh-CN"/>
              </w:rPr>
              <w:t>手机</w:t>
            </w:r>
            <w:r>
              <w:rPr>
                <w:rFonts w:ascii="Times New Roman" w:hAnsi="Times New Roman" w:eastAsia="宋体" w:cs="Times New Roman"/>
                <w:color w:val="000000"/>
                <w:kern w:val="0"/>
                <w:sz w:val="22"/>
                <w:lang w:val="en-US" w:eastAsia="zh-CN"/>
              </w:rPr>
              <w:t>APP</w:t>
            </w:r>
          </w:p>
        </w:tc>
        <w:tc>
          <w:tcPr>
            <w:tcW w:w="20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lang w:val="en-US" w:eastAsia="zh-CN"/>
              </w:rPr>
            </w:pPr>
            <w:r>
              <w:rPr>
                <w:rFonts w:hint="eastAsia" w:ascii="宋体" w:eastAsia="宋体" w:cs="宋体"/>
                <w:color w:val="000000"/>
                <w:kern w:val="0"/>
                <w:sz w:val="22"/>
                <w:lang w:val="en-US" w:eastAsia="zh-CN"/>
              </w:rPr>
              <w:t>终端体验、测试</w:t>
            </w:r>
          </w:p>
        </w:tc>
        <w:tc>
          <w:tcPr>
            <w:tcW w:w="328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lang w:val="en-US" w:eastAsia="zh-CN"/>
              </w:rPr>
            </w:pPr>
            <w:r>
              <w:rPr>
                <w:rFonts w:hint="eastAsia" w:ascii="宋体" w:eastAsia="宋体" w:cs="宋体"/>
                <w:color w:val="000000"/>
                <w:kern w:val="0"/>
                <w:sz w:val="22"/>
                <w:lang w:val="en-US" w:eastAsia="zh-CN"/>
              </w:rPr>
              <w:t>支持主流手机型号,至少支持苹果、安卓、鸿蒙等</w:t>
            </w:r>
          </w:p>
        </w:tc>
        <w:tc>
          <w:tcPr>
            <w:tcW w:w="1341"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lang w:val="en-US" w:eastAsia="zh-CN"/>
              </w:rPr>
            </w:pPr>
            <w:r>
              <w:rPr>
                <w:rFonts w:hint="eastAsia" w:ascii="宋体" w:eastAsia="宋体" w:cs="宋体"/>
                <w:color w:val="000000"/>
                <w:kern w:val="0"/>
                <w:sz w:val="22"/>
                <w:lang w:val="en-US" w:eastAsia="zh-CN"/>
              </w:rPr>
              <w:t>行方、厂商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55"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Times New Roman" w:eastAsia="宋体" w:cs="宋体"/>
                <w:color w:val="000000"/>
                <w:kern w:val="0"/>
                <w:sz w:val="22"/>
                <w:lang w:val="en-US" w:eastAsia="zh-CN"/>
              </w:rPr>
            </w:pPr>
            <w:r>
              <w:rPr>
                <w:rFonts w:hint="eastAsia" w:ascii="宋体" w:hAnsi="Times New Roman" w:eastAsia="宋体" w:cs="宋体"/>
                <w:color w:val="000000"/>
                <w:kern w:val="0"/>
                <w:sz w:val="22"/>
                <w:lang w:val="en-US" w:eastAsia="zh-CN"/>
              </w:rPr>
              <w:t>微信小程序</w:t>
            </w:r>
          </w:p>
        </w:tc>
        <w:tc>
          <w:tcPr>
            <w:tcW w:w="20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eastAsia="宋体" w:cs="宋体"/>
                <w:color w:val="000000"/>
                <w:kern w:val="0"/>
                <w:sz w:val="22"/>
                <w:lang w:val="en-US" w:eastAsia="zh-CN"/>
              </w:rPr>
            </w:pPr>
            <w:r>
              <w:rPr>
                <w:rFonts w:hint="eastAsia" w:ascii="宋体" w:eastAsia="宋体" w:cs="宋体"/>
                <w:color w:val="000000"/>
                <w:kern w:val="0"/>
                <w:sz w:val="22"/>
                <w:lang w:val="en-US" w:eastAsia="zh-CN"/>
              </w:rPr>
              <w:t>终端体验、测试</w:t>
            </w:r>
          </w:p>
        </w:tc>
        <w:tc>
          <w:tcPr>
            <w:tcW w:w="328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ascii="宋体" w:eastAsia="宋体" w:cs="宋体"/>
                <w:color w:val="000000"/>
                <w:kern w:val="0"/>
                <w:sz w:val="22"/>
                <w:lang w:val="en-US" w:eastAsia="zh-CN"/>
              </w:rPr>
            </w:pPr>
            <w:r>
              <w:rPr>
                <w:rFonts w:hint="eastAsia" w:ascii="宋体" w:eastAsia="宋体" w:cs="宋体"/>
                <w:color w:val="000000"/>
                <w:kern w:val="0"/>
                <w:sz w:val="22"/>
                <w:lang w:val="en-US" w:eastAsia="zh-CN"/>
              </w:rPr>
              <w:t>支持主流手机型号,至少支持苹果、安卓、鸿蒙等</w:t>
            </w:r>
          </w:p>
        </w:tc>
        <w:tc>
          <w:tcPr>
            <w:tcW w:w="1341"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eastAsia="宋体" w:cs="宋体"/>
                <w:color w:val="000000"/>
                <w:kern w:val="0"/>
                <w:sz w:val="22"/>
                <w:lang w:val="en-US" w:eastAsia="zh-CN"/>
              </w:rPr>
            </w:pPr>
            <w:r>
              <w:rPr>
                <w:rFonts w:hint="eastAsia" w:ascii="宋体" w:eastAsia="宋体" w:cs="宋体"/>
                <w:color w:val="000000"/>
                <w:kern w:val="0"/>
                <w:sz w:val="22"/>
                <w:lang w:val="en-US" w:eastAsia="zh-CN"/>
              </w:rPr>
              <w:t>行方、厂商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255"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Times New Roman" w:eastAsia="宋体" w:cs="宋体"/>
                <w:color w:val="000000"/>
                <w:kern w:val="0"/>
                <w:sz w:val="22"/>
                <w:lang w:val="en-US" w:eastAsia="zh-CN"/>
              </w:rPr>
            </w:pPr>
            <w:r>
              <w:rPr>
                <w:rFonts w:hint="eastAsia" w:ascii="宋体" w:hAnsi="Times New Roman" w:eastAsia="宋体" w:cs="宋体"/>
                <w:color w:val="000000"/>
                <w:kern w:val="0"/>
                <w:sz w:val="22"/>
                <w:lang w:val="en-US" w:eastAsia="zh-CN"/>
              </w:rPr>
              <w:t>微信公众号</w:t>
            </w:r>
          </w:p>
        </w:tc>
        <w:tc>
          <w:tcPr>
            <w:tcW w:w="204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eastAsia="宋体" w:cs="宋体"/>
                <w:color w:val="000000"/>
                <w:kern w:val="0"/>
                <w:sz w:val="22"/>
                <w:lang w:val="en-US" w:eastAsia="zh-CN"/>
              </w:rPr>
            </w:pPr>
            <w:r>
              <w:rPr>
                <w:rFonts w:hint="eastAsia" w:ascii="宋体" w:eastAsia="宋体" w:cs="宋体"/>
                <w:color w:val="000000"/>
                <w:kern w:val="0"/>
                <w:sz w:val="22"/>
                <w:lang w:val="en-US" w:eastAsia="zh-CN"/>
              </w:rPr>
              <w:t>终端体验、测试</w:t>
            </w:r>
          </w:p>
        </w:tc>
        <w:tc>
          <w:tcPr>
            <w:tcW w:w="328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eastAsia="宋体" w:cs="宋体"/>
                <w:color w:val="000000"/>
                <w:kern w:val="0"/>
                <w:sz w:val="22"/>
                <w:lang w:val="en-US" w:eastAsia="zh-CN"/>
              </w:rPr>
            </w:pPr>
            <w:r>
              <w:rPr>
                <w:rFonts w:hint="eastAsia" w:ascii="宋体" w:eastAsia="宋体" w:cs="宋体"/>
                <w:color w:val="000000"/>
                <w:kern w:val="0"/>
                <w:sz w:val="22"/>
                <w:lang w:val="en-US" w:eastAsia="zh-CN"/>
              </w:rPr>
              <w:t>支持主流手机型号,至少支持苹果、安卓、鸿蒙等</w:t>
            </w:r>
          </w:p>
        </w:tc>
        <w:tc>
          <w:tcPr>
            <w:tcW w:w="1341" w:type="dxa"/>
            <w:shd w:val="clear" w:color="auto" w:fill="auto"/>
            <w:vAlign w:val="center"/>
          </w:tcPr>
          <w:p>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eastAsia="宋体" w:cs="宋体"/>
                <w:color w:val="000000"/>
                <w:kern w:val="0"/>
                <w:sz w:val="22"/>
                <w:lang w:val="en-US" w:eastAsia="zh-CN"/>
              </w:rPr>
            </w:pPr>
            <w:r>
              <w:rPr>
                <w:rFonts w:hint="eastAsia" w:ascii="宋体" w:eastAsia="宋体" w:cs="宋体"/>
                <w:color w:val="000000"/>
                <w:kern w:val="0"/>
                <w:sz w:val="22"/>
                <w:lang w:val="en-US" w:eastAsia="zh-CN"/>
              </w:rPr>
              <w:t>行方、厂商</w:t>
            </w:r>
          </w:p>
        </w:tc>
      </w:tr>
    </w:tbl>
    <w:p>
      <w:pPr>
        <w:pStyle w:val="35"/>
        <w:keepNext w:val="0"/>
        <w:keepLines w:val="0"/>
        <w:pageBreakBefore w:val="0"/>
        <w:widowControl w:val="0"/>
        <w:numPr>
          <w:ilvl w:val="2"/>
          <w:numId w:val="5"/>
        </w:numPr>
        <w:tabs>
          <w:tab w:val="left" w:pos="2770"/>
        </w:tabs>
        <w:kinsoku/>
        <w:wordWrap/>
        <w:overflowPunct/>
        <w:topLinePunct w:val="0"/>
        <w:autoSpaceDE w:val="0"/>
        <w:autoSpaceDN w:val="0"/>
        <w:bidi w:val="0"/>
        <w:spacing w:line="600" w:lineRule="exact"/>
        <w:ind w:left="0" w:firstLine="560" w:firstLineChars="200"/>
        <w:textAlignment w:val="auto"/>
        <w:rPr>
          <w:rFonts w:ascii="微软雅黑" w:eastAsia="微软雅黑"/>
          <w:b/>
          <w:bCs/>
          <w:sz w:val="28"/>
          <w:szCs w:val="28"/>
        </w:rPr>
      </w:pPr>
      <w:r>
        <w:rPr>
          <w:rFonts w:hint="eastAsia" w:ascii="微软雅黑" w:eastAsia="微软雅黑"/>
          <w:b/>
          <w:bCs/>
          <w:sz w:val="28"/>
          <w:szCs w:val="28"/>
        </w:rPr>
        <w:t>测试数据</w:t>
      </w:r>
      <w:r>
        <w:rPr>
          <w:rFonts w:hint="eastAsia" w:ascii="微软雅黑" w:eastAsia="微软雅黑"/>
          <w:b/>
          <w:bCs/>
          <w:sz w:val="28"/>
          <w:szCs w:val="28"/>
          <w:lang w:eastAsia="zh-CN"/>
        </w:rPr>
        <w:tab/>
      </w:r>
    </w:p>
    <w:p>
      <w:pPr>
        <w:pStyle w:val="35"/>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cs="宋体"/>
          <w:sz w:val="24"/>
          <w:szCs w:val="24"/>
        </w:rPr>
      </w:pPr>
      <w:r>
        <w:rPr>
          <w:rFonts w:hint="eastAsia" w:ascii="宋体" w:eastAsia="宋体" w:cs="宋体"/>
          <w:sz w:val="24"/>
          <w:szCs w:val="24"/>
        </w:rPr>
        <w:t>参测厂商除提供可运行的</w:t>
      </w:r>
      <w:r>
        <w:rPr>
          <w:rFonts w:hint="eastAsia" w:ascii="宋体" w:eastAsia="宋体" w:cs="宋体"/>
          <w:sz w:val="24"/>
          <w:szCs w:val="24"/>
          <w:lang w:val="en-US" w:eastAsia="zh-CN"/>
        </w:rPr>
        <w:t>手机银行</w:t>
      </w:r>
      <w:r>
        <w:rPr>
          <w:rFonts w:hint="eastAsia" w:ascii="宋体" w:eastAsia="宋体" w:cs="宋体"/>
          <w:sz w:val="24"/>
          <w:szCs w:val="24"/>
        </w:rPr>
        <w:t>系统外，建议提供支撑全套业务流程开展所需的挡板环境（包括但不限于核心系统、信贷系统、其它业务系统等）及相关业务数据，以便充分演示。</w:t>
      </w:r>
    </w:p>
    <w:p>
      <w:pPr>
        <w:pStyle w:val="35"/>
        <w:keepNext w:val="0"/>
        <w:keepLines w:val="0"/>
        <w:pageBreakBefore w:val="0"/>
        <w:widowControl w:val="0"/>
        <w:numPr>
          <w:ilvl w:val="2"/>
          <w:numId w:val="5"/>
        </w:numPr>
        <w:tabs>
          <w:tab w:val="left" w:pos="2770"/>
        </w:tabs>
        <w:kinsoku/>
        <w:wordWrap/>
        <w:overflowPunct/>
        <w:topLinePunct w:val="0"/>
        <w:autoSpaceDE w:val="0"/>
        <w:autoSpaceDN w:val="0"/>
        <w:bidi w:val="0"/>
        <w:spacing w:line="600" w:lineRule="exact"/>
        <w:ind w:left="0" w:firstLine="560" w:firstLineChars="200"/>
        <w:textAlignment w:val="auto"/>
        <w:outlineLvl w:val="1"/>
        <w:rPr>
          <w:rFonts w:hint="eastAsia" w:ascii="微软雅黑" w:eastAsia="微软雅黑"/>
          <w:b/>
          <w:bCs/>
          <w:sz w:val="28"/>
          <w:szCs w:val="28"/>
        </w:rPr>
      </w:pPr>
      <w:bookmarkStart w:id="139" w:name="_Toc3683"/>
      <w:r>
        <w:rPr>
          <w:rFonts w:hint="eastAsia" w:ascii="微软雅黑" w:eastAsia="微软雅黑"/>
          <w:b/>
          <w:bCs/>
          <w:sz w:val="28"/>
          <w:szCs w:val="28"/>
        </w:rPr>
        <w:t>数据安全与保密要求</w:t>
      </w:r>
      <w:bookmarkEnd w:id="139"/>
    </w:p>
    <w:p>
      <w:pPr>
        <w:pStyle w:val="35"/>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cs="宋体"/>
          <w:sz w:val="24"/>
          <w:szCs w:val="24"/>
        </w:rPr>
      </w:pPr>
      <w:r>
        <w:rPr>
          <w:rFonts w:hint="eastAsia" w:ascii="宋体" w:eastAsia="宋体" w:cs="宋体"/>
          <w:sz w:val="24"/>
          <w:szCs w:val="24"/>
        </w:rPr>
        <w:t>我行科技人员和参测厂商应达成共同的保密意识，明确测试数据只能用于本次</w:t>
      </w:r>
      <w:r>
        <w:rPr>
          <w:rFonts w:ascii="Times New Roman" w:hAnsi="Times New Roman" w:eastAsia="宋体" w:cs="Times New Roman"/>
          <w:sz w:val="24"/>
          <w:szCs w:val="24"/>
        </w:rPr>
        <w:t>POC</w:t>
      </w:r>
      <w:r>
        <w:rPr>
          <w:rFonts w:hint="eastAsia" w:ascii="宋体" w:eastAsia="宋体" w:cs="宋体"/>
          <w:sz w:val="24"/>
          <w:szCs w:val="24"/>
        </w:rPr>
        <w:t>，不得以任何形式（包括电子邮件、即时聊天工具、</w:t>
      </w:r>
      <w:r>
        <w:rPr>
          <w:rFonts w:ascii="Times New Roman" w:hAnsi="Times New Roman" w:eastAsia="宋体" w:cs="Times New Roman"/>
          <w:sz w:val="24"/>
          <w:szCs w:val="24"/>
        </w:rPr>
        <w:t>U</w:t>
      </w:r>
      <w:r>
        <w:rPr>
          <w:rFonts w:hint="eastAsia" w:ascii="宋体" w:eastAsia="宋体" w:cs="宋体"/>
          <w:sz w:val="24"/>
          <w:szCs w:val="24"/>
        </w:rPr>
        <w:t>盘和工作人员笔记本电脑等）将我行相关信息、文件或数据泄露。在</w:t>
      </w:r>
      <w:r>
        <w:rPr>
          <w:rFonts w:ascii="Times New Roman" w:hAnsi="Times New Roman" w:eastAsia="宋体" w:cs="Times New Roman"/>
          <w:sz w:val="24"/>
          <w:szCs w:val="24"/>
        </w:rPr>
        <w:t>POC</w:t>
      </w:r>
      <w:r>
        <w:rPr>
          <w:rFonts w:hint="eastAsia" w:ascii="宋体" w:eastAsia="宋体" w:cs="宋体"/>
          <w:sz w:val="24"/>
          <w:szCs w:val="24"/>
        </w:rPr>
        <w:t>测试结束后由我行人员监督将测试设备及测试人员工作设备(包括电脑、移动介质、网盘等)中的本次测试数据全部清除。</w:t>
      </w:r>
    </w:p>
    <w:tbl>
      <w:tblPr>
        <w:tblStyle w:val="20"/>
        <w:tblpPr w:leftFromText="180" w:rightFromText="180" w:vertAnchor="text" w:horzAnchor="page" w:tblpX="1780" w:tblpY="589"/>
        <w:tblOverlap w:val="never"/>
        <w:tblW w:w="51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255"/>
        <w:gridCol w:w="1714"/>
        <w:gridCol w:w="5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255"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分类</w:t>
            </w:r>
          </w:p>
        </w:tc>
        <w:tc>
          <w:tcPr>
            <w:tcW w:w="1714"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ascii="Times New Roman" w:hAnsi="Times New Roman" w:eastAsia="宋体" w:cs="Times New Roman"/>
                <w:b/>
                <w:bCs/>
                <w:i w:val="0"/>
                <w:iCs w:val="0"/>
                <w:color w:val="000000"/>
                <w:kern w:val="0"/>
                <w:sz w:val="20"/>
                <w:szCs w:val="20"/>
                <w:u w:val="none"/>
                <w:lang w:val="en-US" w:eastAsia="zh-CN"/>
              </w:rPr>
              <w:t>POC</w:t>
            </w:r>
            <w:r>
              <w:rPr>
                <w:rFonts w:hint="eastAsia" w:ascii="宋体" w:hAnsi="宋体" w:eastAsia="宋体" w:cs="宋体"/>
                <w:b/>
                <w:bCs/>
                <w:i w:val="0"/>
                <w:iCs w:val="0"/>
                <w:color w:val="000000"/>
                <w:kern w:val="0"/>
                <w:sz w:val="20"/>
                <w:szCs w:val="20"/>
                <w:u w:val="none"/>
                <w:lang w:val="en-US" w:eastAsia="zh-CN"/>
              </w:rPr>
              <w:t>模块</w:t>
            </w:r>
          </w:p>
        </w:tc>
        <w:tc>
          <w:tcPr>
            <w:tcW w:w="5231"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关注点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信创基线满足情况</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(必要条件)</w:t>
            </w: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支持情况</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1.是否适配我行基线产品的信创数据库；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2.是否适配我行基线产品的信创服务器；</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3.是否适配我行基线产品的信创中间件；</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4.是否适配我行基线产品的信创终端、浏览器等。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w:t>
            </w:r>
          </w:p>
        </w:tc>
        <w:tc>
          <w:tcPr>
            <w:tcW w:w="1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业务（60分）</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需求整体理解</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对手机银行、微信小程序和渠道业务中台整体需求的理解能力。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3</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+小程序渠道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登录/注册功能</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1.注册、绑定账户、密码/指纹/人脸等多种登录方式、重置登录密码（采用卡密、短信、人脸等多种方式组合验证）；</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2.注册/登录相关的密码设置需满足我行安全要求。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4</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+小程序渠道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ascii="宋体" w:hAnsi="宋体" w:eastAsia="宋体" w:cs="宋体"/>
                <w:i w:val="0"/>
                <w:iCs w:val="0"/>
                <w:color w:val="000000"/>
                <w:kern w:val="0"/>
                <w:sz w:val="20"/>
                <w:szCs w:val="20"/>
                <w:u w:val="none"/>
                <w:lang w:val="en-US" w:eastAsia="zh-CN"/>
              </w:rPr>
              <w:t>动态主题</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1.支持用户自选主题；</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2.支持业务人员通过管理后台设置强推主题；</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3.支持一键置灰。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5</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+小程序渠道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动态菜单</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1.菜单可通过管理平台灵活维护，包括：图标、名称、角标、跳转链接等；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2.菜单可进行权限判断（是否登录、用户等级等），并提供友好引导；</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3.菜单支持千人千面策略配置，满足同一个菜单不同客群看到的图标、名称不同。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6</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首页展示</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1.首页布局合理，清晰、美观。基础信息分类展示，数据可视化展现，包括但不限于银行账户、资金流水等信息展示，形成监控图表、走势图等，界面整体布局清晰、美观；</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2.首页（支持个性化定制）、金刚区、常用功能、广告/公告、财富版块、贷款版块、生活服务版块。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7</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客户/账户服务</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1.客户管理</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客户等级/权益查询、客户信息完善、客户资产负债汇总查看/明细查看。</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2.账户管理</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（1）展示银行卡，包含I、Ⅱ、Ⅲ类账户，显示客户未加挂的本行账户可快速加挂；</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（2）卡片详情展示，展示卡片活期余额、理财、存款产品、基金等；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（3）能够提供各类卡片的管理操作，包括别名设置、默认卡设置、密码管理、短信通知、协议管理、非柜面渠道限额管理、网络支付管理、挂失、账户升降级、销户、IC卡免密设置等；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（4）支持Ⅱ、Ⅲ类电子账户开户、销户；</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（5）支持他行账户余额、明细查询；</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（6）支持家庭账户的添加、授权等管理操作。</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3.交易查询</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（1）支持卡片滑动形式切换查询的卡片；借记卡查询交易明细信息、信用卡查询账单信息；</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（2）默认支持按月查询，支持近一月、近三月、近半年、近一年等快捷查询方式，也可以支持自定义时间段查询,按交易金额范围筛选；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（3）支持按户名、账号、行名、摘要、收支等信息精准查找；</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（4）支持带电子章的交易回单生成、下载、转发；支持带电子章的交易明细生成、下载、发送邮箱；</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（5）支持按月、年出具客户账单，进行一定分析。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8</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转账支付</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1.主体功能包含：银行账号、手机号转账、语音转账、预约转账、转账记录、转账伙伴管理等；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2.能够对客户所输入转账金额进行限额预校验，单笔、日累计、年累计金额或笔数超限则拒绝，相应报错信息清晰；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3.支持不同交易金额不同认证方式，且可灵活配置（支持对接风控系统由风控给出认证方式建议和渠道兜底两种模式）。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9</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财富版块</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1.理财产品查询/申购/认购/赎回、存款产品查询/购买/支取、理财风险评估；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2.支持对接其他系统（如营销平台），由其他系统给出产品推荐建议；</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3.支持渠道按客群分类配置推荐产品。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10</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贷款版块</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1.贷款申请、还款处理、自动还款设置、还款计划、已还款明细查询（</w:t>
            </w:r>
            <w:r>
              <w:rPr>
                <w:rFonts w:hint="eastAsia" w:ascii="宋体" w:hAnsi="宋体" w:eastAsia="宋体" w:cs="宋体"/>
                <w:i w:val="0"/>
                <w:iCs w:val="0"/>
                <w:color w:val="000000"/>
                <w:kern w:val="0"/>
                <w:sz w:val="20"/>
                <w:szCs w:val="20"/>
                <w:u w:val="none"/>
                <w:lang w:val="en-US" w:eastAsia="zh-CN"/>
              </w:rPr>
              <w:t>带电子章</w:t>
            </w:r>
            <w:r>
              <w:rPr>
                <w:rFonts w:hint="eastAsia" w:ascii="宋体" w:hAnsi="宋体" w:eastAsia="宋体" w:cs="宋体"/>
                <w:b w:val="0"/>
                <w:bCs w:val="0"/>
                <w:i w:val="0"/>
                <w:iCs w:val="0"/>
                <w:color w:val="000000"/>
                <w:kern w:val="0"/>
                <w:sz w:val="20"/>
                <w:szCs w:val="20"/>
                <w:u w:val="none"/>
                <w:lang w:val="en-US" w:eastAsia="zh-CN"/>
              </w:rPr>
              <w:t>）成生下载、个税编号查询、贷款结清证明查询（</w:t>
            </w:r>
            <w:r>
              <w:rPr>
                <w:rFonts w:hint="eastAsia" w:ascii="宋体" w:hAnsi="宋体" w:eastAsia="宋体" w:cs="宋体"/>
                <w:i w:val="0"/>
                <w:iCs w:val="0"/>
                <w:color w:val="000000"/>
                <w:kern w:val="0"/>
                <w:sz w:val="20"/>
                <w:szCs w:val="20"/>
                <w:u w:val="none"/>
                <w:lang w:val="en-US" w:eastAsia="zh-CN"/>
              </w:rPr>
              <w:t>带电子章</w:t>
            </w:r>
            <w:r>
              <w:rPr>
                <w:rFonts w:hint="eastAsia" w:ascii="宋体" w:hAnsi="宋体" w:eastAsia="宋体" w:cs="宋体"/>
                <w:b w:val="0"/>
                <w:bCs w:val="0"/>
                <w:i w:val="0"/>
                <w:iCs w:val="0"/>
                <w:color w:val="000000"/>
                <w:kern w:val="0"/>
                <w:sz w:val="20"/>
                <w:szCs w:val="20"/>
                <w:u w:val="none"/>
                <w:lang w:val="en-US" w:eastAsia="zh-CN"/>
              </w:rPr>
              <w:t>）生成下载；</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2.支持对接其他系统（如营销平台），由其他系统给出产品推荐建议；</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3.支持渠道按客群分类配置推荐产品。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83"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11</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生活服务版块</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1.话费充值、党费缴纳；</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2.支持</w:t>
            </w:r>
            <w:r>
              <w:rPr>
                <w:rFonts w:ascii="宋体" w:hAnsi="宋体" w:eastAsia="宋体" w:cs="宋体"/>
                <w:b w:val="0"/>
                <w:bCs w:val="0"/>
                <w:i w:val="0"/>
                <w:iCs w:val="0"/>
                <w:color w:val="000000"/>
                <w:kern w:val="0"/>
                <w:sz w:val="20"/>
                <w:szCs w:val="20"/>
                <w:u w:val="none"/>
                <w:lang w:val="en-US" w:eastAsia="zh-CN"/>
              </w:rPr>
              <w:t>缴费</w:t>
            </w:r>
            <w:r>
              <w:rPr>
                <w:rFonts w:hint="eastAsia" w:ascii="宋体" w:hAnsi="宋体" w:eastAsia="宋体" w:cs="宋体"/>
                <w:b w:val="0"/>
                <w:bCs w:val="0"/>
                <w:i w:val="0"/>
                <w:iCs w:val="0"/>
                <w:color w:val="000000"/>
                <w:kern w:val="0"/>
                <w:sz w:val="20"/>
                <w:szCs w:val="20"/>
                <w:u w:val="none"/>
                <w:lang w:val="en-US" w:eastAsia="zh-CN"/>
              </w:rPr>
              <w:t>类别</w:t>
            </w:r>
            <w:r>
              <w:rPr>
                <w:rFonts w:ascii="宋体" w:hAnsi="宋体" w:eastAsia="宋体" w:cs="宋体"/>
                <w:b w:val="0"/>
                <w:bCs w:val="0"/>
                <w:i w:val="0"/>
                <w:iCs w:val="0"/>
                <w:color w:val="000000"/>
                <w:kern w:val="0"/>
                <w:sz w:val="20"/>
                <w:szCs w:val="20"/>
                <w:u w:val="none"/>
                <w:lang w:val="en-US" w:eastAsia="zh-CN"/>
              </w:rPr>
              <w:t>分组管理，一键查询、一键缴费及分享</w:t>
            </w:r>
            <w:r>
              <w:rPr>
                <w:rFonts w:hint="eastAsia" w:ascii="宋体" w:hAnsi="宋体" w:eastAsia="宋体" w:cs="宋体"/>
                <w:b w:val="0"/>
                <w:bCs w:val="0"/>
                <w:i w:val="0"/>
                <w:iCs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12</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网点服务</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1.展示网点名称、距离、地址、营业状态、业务范围（对私、对公）、排队人数</w:t>
            </w:r>
            <w:r>
              <w:rPr>
                <w:rFonts w:hint="eastAsia" w:ascii="宋体" w:hAnsi="宋体" w:eastAsia="宋体" w:cs="宋体"/>
                <w:b w:val="0"/>
                <w:bCs w:val="0"/>
                <w:i w:val="0"/>
                <w:iCs w:val="0"/>
                <w:color w:val="000000"/>
                <w:kern w:val="0"/>
                <w:sz w:val="20"/>
                <w:szCs w:val="20"/>
                <w:u w:val="none"/>
                <w:lang w:val="en-US" w:eastAsia="zh-CN"/>
              </w:rPr>
              <w:t>；</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2.支持唤起导航、拨打电话功能；</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3.网点信息纠错（位置有误、无此网点/自助渠道、已停业、信息有误、其他错误）</w:t>
            </w:r>
            <w:r>
              <w:rPr>
                <w:rFonts w:hint="eastAsia" w:ascii="宋体" w:hAnsi="宋体" w:eastAsia="宋体" w:cs="宋体"/>
                <w:b w:val="0"/>
                <w:bCs w:val="0"/>
                <w:i w:val="0"/>
                <w:iCs w:val="0"/>
                <w:color w:val="000000"/>
                <w:kern w:val="0"/>
                <w:sz w:val="20"/>
                <w:szCs w:val="20"/>
                <w:u w:val="none"/>
                <w:lang w:val="en-US" w:eastAsia="zh-CN"/>
              </w:rPr>
              <w:t>；</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4.</w:t>
            </w:r>
            <w:r>
              <w:rPr>
                <w:rFonts w:hint="eastAsia" w:ascii="宋体" w:hAnsi="宋体" w:eastAsia="宋体" w:cs="宋体"/>
                <w:b w:val="0"/>
                <w:bCs w:val="0"/>
                <w:i w:val="0"/>
                <w:iCs w:val="0"/>
                <w:color w:val="000000"/>
                <w:kern w:val="0"/>
                <w:sz w:val="20"/>
                <w:szCs w:val="20"/>
                <w:u w:val="none"/>
                <w:lang w:val="en-US" w:eastAsia="zh-CN"/>
              </w:rPr>
              <w:t>支持零钞预约、线上结售汇、外币现钞预约等线上线下联动功能。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13</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消息中心</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1.支持消息的分类展示如：动账通知、服务提醒、活动资讯、银行公告</w:t>
            </w:r>
            <w:r>
              <w:rPr>
                <w:rFonts w:hint="eastAsia" w:ascii="宋体" w:hAnsi="宋体" w:eastAsia="宋体" w:cs="宋体"/>
                <w:b w:val="0"/>
                <w:bCs w:val="0"/>
                <w:i w:val="0"/>
                <w:iCs w:val="0"/>
                <w:color w:val="000000"/>
                <w:kern w:val="0"/>
                <w:sz w:val="20"/>
                <w:szCs w:val="20"/>
                <w:u w:val="none"/>
                <w:lang w:val="en-US" w:eastAsia="zh-CN"/>
              </w:rPr>
              <w:t>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2.展示消息推送开关设置</w:t>
            </w:r>
            <w:r>
              <w:rPr>
                <w:rFonts w:hint="eastAsia" w:ascii="宋体" w:hAnsi="宋体" w:eastAsia="宋体" w:cs="宋体"/>
                <w:b w:val="0"/>
                <w:bCs w:val="0"/>
                <w:i w:val="0"/>
                <w:iCs w:val="0"/>
                <w:color w:val="000000"/>
                <w:kern w:val="0"/>
                <w:sz w:val="20"/>
                <w:szCs w:val="20"/>
                <w:u w:val="none"/>
                <w:lang w:val="en-US" w:eastAsia="zh-CN"/>
              </w:rPr>
              <w:t>，客户可针对消息类别选择“开关”；</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b w:val="0"/>
                <w:bCs w:val="0"/>
                <w:i w:val="0"/>
                <w:iCs w:val="0"/>
                <w:color w:val="000000"/>
                <w:kern w:val="0"/>
                <w:sz w:val="20"/>
                <w:szCs w:val="20"/>
                <w:u w:val="none"/>
                <w:lang w:val="en-US" w:eastAsia="zh-CN"/>
              </w:rPr>
            </w:pPr>
            <w:r>
              <w:rPr>
                <w:rFonts w:ascii="宋体" w:hAnsi="宋体" w:eastAsia="宋体" w:cs="宋体"/>
                <w:b w:val="0"/>
                <w:bCs w:val="0"/>
                <w:i w:val="0"/>
                <w:iCs w:val="0"/>
                <w:color w:val="000000"/>
                <w:kern w:val="0"/>
                <w:sz w:val="20"/>
                <w:szCs w:val="20"/>
                <w:u w:val="none"/>
                <w:lang w:val="en-US" w:eastAsia="zh-CN"/>
              </w:rPr>
              <w:t>3.展示标记为已读</w:t>
            </w:r>
            <w:r>
              <w:rPr>
                <w:rFonts w:hint="eastAsia" w:ascii="宋体" w:hAnsi="宋体" w:eastAsia="宋体" w:cs="宋体"/>
                <w:b w:val="0"/>
                <w:bCs w:val="0"/>
                <w:i w:val="0"/>
                <w:iCs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14</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APP</w:t>
            </w:r>
            <w:r>
              <w:rPr>
                <w:rFonts w:hint="eastAsia" w:ascii="宋体" w:hAnsi="宋体" w:eastAsia="宋体" w:cs="宋体"/>
                <w:i w:val="0"/>
                <w:iCs w:val="0"/>
                <w:color w:val="000000"/>
                <w:kern w:val="0"/>
                <w:sz w:val="20"/>
                <w:szCs w:val="20"/>
                <w:u w:val="none"/>
                <w:lang w:val="en-US" w:eastAsia="zh-CN"/>
              </w:rPr>
              <w:t>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智能搜索</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ascii="宋体" w:hAnsi="宋体" w:eastAsia="宋体" w:cs="宋体"/>
                <w:i w:val="0"/>
                <w:iCs w:val="0"/>
                <w:color w:val="000000"/>
                <w:kern w:val="0"/>
                <w:sz w:val="20"/>
                <w:szCs w:val="20"/>
                <w:u w:val="none"/>
                <w:lang w:val="en-US" w:eastAsia="zh-CN"/>
              </w:rPr>
              <w:t>1.展示关键字搜索、关键字联想、拼音联想、语音搜索等；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ascii="宋体" w:hAnsi="宋体" w:eastAsia="宋体" w:cs="宋体"/>
                <w:i w:val="0"/>
                <w:iCs w:val="0"/>
                <w:color w:val="000000"/>
                <w:kern w:val="0"/>
                <w:sz w:val="20"/>
                <w:szCs w:val="20"/>
                <w:u w:val="none"/>
                <w:lang w:val="en-US" w:eastAsia="zh-CN"/>
              </w:rPr>
              <w:t>2.支持历史搜索、热门搜索、客户常用功能快速定位、热</w:t>
            </w:r>
            <w:r>
              <w:rPr>
                <w:rFonts w:hint="eastAsia" w:ascii="宋体" w:hAnsi="宋体" w:eastAsia="宋体" w:cs="宋体"/>
                <w:i w:val="0"/>
                <w:iCs w:val="0"/>
                <w:color w:val="000000"/>
                <w:kern w:val="0"/>
                <w:sz w:val="20"/>
                <w:szCs w:val="20"/>
                <w:u w:val="none"/>
                <w:lang w:val="en-US" w:eastAsia="zh-CN"/>
              </w:rPr>
              <w:t>搜</w:t>
            </w:r>
            <w:r>
              <w:rPr>
                <w:rFonts w:ascii="宋体" w:hAnsi="宋体" w:eastAsia="宋体" w:cs="宋体"/>
                <w:i w:val="0"/>
                <w:iCs w:val="0"/>
                <w:color w:val="000000"/>
                <w:kern w:val="0"/>
                <w:sz w:val="20"/>
                <w:szCs w:val="20"/>
                <w:u w:val="none"/>
                <w:lang w:val="en-US" w:eastAsia="zh-CN"/>
              </w:rPr>
              <w:t>榜、产品榜；</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ascii="宋体" w:hAnsi="宋体" w:eastAsia="宋体" w:cs="宋体"/>
                <w:i w:val="0"/>
                <w:iCs w:val="0"/>
                <w:color w:val="000000"/>
                <w:kern w:val="0"/>
                <w:sz w:val="20"/>
                <w:szCs w:val="20"/>
                <w:u w:val="none"/>
                <w:lang w:val="en-US" w:eastAsia="zh-CN"/>
              </w:rPr>
              <w:t>3.支持产品、功能、问答等全栈信息检索及与智能客服无缝</w:t>
            </w:r>
            <w:r>
              <w:rPr>
                <w:rFonts w:hint="eastAsia" w:ascii="宋体" w:hAnsi="宋体" w:eastAsia="宋体" w:cs="宋体"/>
                <w:i w:val="0"/>
                <w:iCs w:val="0"/>
                <w:color w:val="000000"/>
                <w:kern w:val="0"/>
                <w:sz w:val="20"/>
                <w:szCs w:val="20"/>
                <w:u w:val="none"/>
                <w:lang w:val="en-US" w:eastAsia="zh-CN"/>
              </w:rPr>
              <w:t>对</w:t>
            </w:r>
            <w:r>
              <w:rPr>
                <w:rFonts w:ascii="宋体" w:hAnsi="宋体" w:eastAsia="宋体" w:cs="宋体"/>
                <w:i w:val="0"/>
                <w:iCs w:val="0"/>
                <w:color w:val="000000"/>
                <w:kern w:val="0"/>
                <w:sz w:val="20"/>
                <w:szCs w:val="20"/>
                <w:u w:val="none"/>
                <w:lang w:val="en-US" w:eastAsia="zh-CN"/>
              </w:rPr>
              <w:t>接</w:t>
            </w:r>
            <w:r>
              <w:rPr>
                <w:rFonts w:hint="eastAsia" w:ascii="宋体" w:hAnsi="宋体" w:eastAsia="宋体" w:cs="宋体"/>
                <w:i w:val="0"/>
                <w:iCs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15</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APP渠道</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活动与广告</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1.启动页支持多种格式，如：图片、视频、动画；</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2.启动页支持千人千面运营策略配置，不同用户展示不同内容；</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3.Banner位、广告位支持千人千面运营策略配置，不同用户展示不同内容；</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4.支持对接其他系统（如营销平台），由其他系统推送活动与广告内容。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16</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微信小程序</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客户经理微营业厅</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1.支持客户经理自定义编辑主页，支持展示及分享客户经理电子名片；</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2.支持产品展示，包括理财产品、存款产品、贷款产品等发布在微营业厅，产品通过微信分享给客户后跳转相应购买页面（手机银行APP或相应产品小程序）；</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3.客户购买产品后业绩查询展示。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17</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微信小程序</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客户/账户服务</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1.APP/小程序统一授权登录，行方小程序之间跳转免授权；</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2.动账通知（对私）、账户余额/明细查询、资产负债查询、客户等级/权益查询；</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3.银企对账。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18</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微信小程序</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贷款服务</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行方各个现有贷款小程序产品入口整合。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19</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微信公众号</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菜单配置管理</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支持自定义设置微信公众号的菜单，并可以与本行微信小程序联动。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20</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微信公众号</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动账通知（对私）</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支持动账消息通知及通知模板的定制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21</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用户中心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负责对渠道业务中台的用户进行集中统一管理，建立统一的用户视图和唯一的用户标识，打通手机银行APP、微信小程序、微信公众号等互联网渠道用户体系，用于满足游客、自助注册、线下签约用户之间的多渠道服务需要；</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2.支持外部用户标签的导入、也可以基于客户的行为事件自已定义标签。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22</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合约中心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建立统一的签约流程，提供标准协议版本管理（隐私政策、人脸协议、征信授权书、产品授权书等的签解约和检查服务）、微信/支付宝/云闪付一键绑卡管理，实现对业务合约的统一管理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23</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用户行为采集分析中心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1.支持APP（包括安卓、苹果、鸿蒙）、微信小程序、H5埋点，收集客户行为数据并结合部分交易数据开展基础分析；</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2.采集的数据支持提供给其他系统。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24</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产品中心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将产品服务化和参数化，作为产品线上销售的统一出入口，进行统一管理。提供产品的统一配置、统一登记、统一包装、在线审批、销售、以及产品相关的全生命周期管理，满足后期高效率定制产品的需要。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25</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转账支付中心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包括行内转账、跨行转账、语音转账、手机号转账、扫码支付、预约转账等细分模块，建立专门的服务中心承载相应服务并统一管理。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26</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认证中心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整合包括密码、手势、短信、指纹、人脸、云证书、令牌、UKEY等多种认证方式，实现互联网渠道限额体系、认证体系、权限体系、风险策略统一。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27</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限额中心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建立银行级、用户/账户级、VIP突破级限额的综合限额体系，既满足整体安全要求、又满足用户个性化需求。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28</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渠道业务中台</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管理及参数中心</w:t>
            </w:r>
          </w:p>
        </w:tc>
        <w:tc>
          <w:tcPr>
            <w:tcW w:w="52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对各服务渠道内容管理、灵活的授权模式管理、消息公告管理、机构管理、错误码管理、APP版本号管理等内部业务运营管理功能进行统一，实现业务处理参数化、快速化，提供基础业务报表。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29</w:t>
            </w:r>
          </w:p>
        </w:tc>
        <w:tc>
          <w:tcPr>
            <w:tcW w:w="125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技术（40分）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整体界面要求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1.布局合理、界面美观、各页面风格一致； 功能采用下拉菜单方式进行子模块展示； 各子页面采用一致风格、色调及布局；</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2.流程设计简单严谨，操作简便</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（1）交易界面各输入项分布合理，提交后有成功或失败提示，提示反馈信息可明确错误原因，只修改错误项，无需对其他正确项重新录入；</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（2）必输项有明确提示；</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（3）关联输入项之间有提示，错误录入有警告；</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3.页面兼容市场主流浏览器（谷歌，IE，火狐）。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30</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总体设计需求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1.应具备有效统一的机制进行应用软件版本管理，管理端或版本管理工具具有查看版本的管理页面；提供并展示版本管理工具；</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2.应用架构需基于微服务架构进行设计、开发、部署，应用能够稳定运行；</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3.产品及应用需要支持容器化部署。支持高可用部署，单点故障时正常调起任务，支持手动切换主备，模拟单点故障，手动切换设备；</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4.系统具有高可靠解决方案，包含硬件、软件、服务等方面，具有系统容错性的方案(例 如：冗余、备份等)，较强的管理机制和控制手段，具备事故监控和网络安全保密等技术措施；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rPr>
              <w:t>31</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安全要求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具备灵活的用户角色划分和权限管理机制，可灵活控制用户权限，具有审查、审计、追溯历史交易的能力。管理端界面可以对用户权限进行自定义配置；管理端界面可以根据日期，用户，操作类型等选项对用户日志进行审计；</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2.具备通讯安全性，报文转发加密。对于需要在本地保存的敏感数据应采取足够强度的加密措施。能够与业内主流厂商的加密机产品对接，调用加密机接口实现国密算法加解密；</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密码安全管理：用户密码需满足包含大小写、数字、特殊字符4种中至少包含3种，且长度大于8位的强密码设置要求。用户初次登录强制修改密码。可设置密码错误锁定次数，超过次数限制即锁定账户。可设置强制修改密码周期；</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4.数据安全管理：数据库敏感字段加密存储（支持国密算法加密存储）。配置文件（中间件或数据库的连接信息）敏感信息加密存储（支持国密算法加密存储）；</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5.数据传输：满足报文、通信国密加密；</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6.会话(session)管理：在一定时间内，如果用户没有任何操作，将该用户的会话状态置为失效，提示用户需重新登录才能使用，能够配置会话失效条件；</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7.重复提交控制：控制交易的重复提交，避免网速较慢时用户使用刷新键或重新点击提交键发起交易，造成处理错误；</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8.应用程序支持使用ipv6，内部通过域名访问。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32</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系统部署实施便捷性</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1.系统启停：应用停止加启动时间不超过5分钟，有统一的启停脚本，方便系统启停；</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2.系统发布：系统升级能够实现双中心切流、自动化发布、灰度发布等功能，演示系统发布过程，查看系统部署的便捷性；</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3.系统部署：支持集群部署方式，应用系统逻辑独立，启停服务不相互影响。支持双数据中心双活部署，一个中心的系统下线时，业务不受影响。</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4.系统部署可与我行一体化平台完整对接，满足我行的对接实施要求。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33</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系统运维实用性，数据字典、数据表权限等管理</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1.数据字典管理：所有表需对字段进行备注。数据表管理：大表需建分区表或定期转历史；</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2.系统部署权限：系统部署非必要不使用超级用户。系统运维权限：系统运维不使用超级用户。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34</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日志服务机制</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1.日志需按大小日期分片存储，同一请求能够通过同一关键字或流水查询整个交易流程；</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平台服务端须有完整的日志记录机制，包括业务运行日志（记录关键业务功能的处理痕迹）、应用运行日志（记录应用系统启、停、故障等详细信息）、错误日志（记录应用系统所有异常情况的出错信息）、数据库日志表记录（数据库增、删、改的操作）等，能接入行内日志管理平台，可根据行内要求进行日志记录定制；</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3.系统日志支持配置参数调整日志级别以控制日志详细程度；日志具备屏蔽敏感信息，并能够根据行内要求采用配置方式，完成敏感字段的屏蔽功能；</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平台应具有完备的安全控管功能和审计功能，能够记录自身运行的日志信息，能够对系统操作员的操作记录进行审计，并能设置条件进行查询，根据需求提供相关的定制报表。审计日志的内容包括了日期、事件、发起者、类型、描述和结果等信息；</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具备可视化的、统一的日志查询界面。平台提供必要的日志统计与分析功能，实现的功能至少包括：定期按时间、服务种类、等多维度统计交易量、交易响应时间。支持前端埋点，当某个页面出现闪退等异常情况，需要将消息准确推送只后端以供分析。日志查询等相关工作需与我行一体化平台对接，满足我行一体化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35</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错误码管理</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1.系统的错误码应分为公共错误码和子系统错误码两部分；</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2.系统个性化的错误码在必须符合统一规范的前提下制定统一编排规则，如划分区段和头标示，避免出现歧义；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3.系统所有的错误码能由公共参数表中的错误码表统一管理，由系统的参数管理系统统一维护。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36</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业务高峰的应对</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1.系统对突发的高并发请求量进行流量控制，不会由于爆发性的处理流程请求导致拒绝和服务器运行资源耗尽引起整个业务运行的瘫痪；</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2.运行环境可以按业务应用对处理流程请求进行控制，保证关键性业务应用可以持续稳定的运行，不会让某业务应用的大量处理请求影响其它应用的正常处理。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sz w:val="20"/>
                <w:szCs w:val="20"/>
                <w:u w:val="none"/>
                <w:lang w:val="en-US" w:eastAsia="zh-CN"/>
              </w:rPr>
              <w:t>37</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系统性能要求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应具有高效的运行效率，能通过负载均衡、流量控制等机制，提供大规模、高并发量的交易处理能力，系统内分析统计报表查询性能指标；系统性能指标（200tps）。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38</w:t>
            </w:r>
          </w:p>
        </w:tc>
        <w:tc>
          <w:tcPr>
            <w:tcW w:w="125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自动监控指标</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可与我行一体化监控平台对接，满足对接自动监控指标要求。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39</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文档管理</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1.演示系统的基本文档，包括数据字典、运维手册、设计文档和需求文档、应急手册等；</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2.文档的规范性、完整性及可读性，所有文档需为中文文档；</w:t>
            </w:r>
          </w:p>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3.提供系统的性能及稳定性测试报告、安全渗透测试报告。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40</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第三方产品</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产品使用第三方（开源）产品清单以及授权文件清单，对第三方软件的依赖程度。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2"/>
                <w:sz w:val="20"/>
                <w:szCs w:val="20"/>
                <w:u w:val="none"/>
                <w:lang w:val="en-US" w:eastAsia="zh-CN" w:bidi="ar-SA"/>
              </w:rPr>
              <w:t>41</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批量处理要求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批处理应有完备的启停方式和触发机制，具备批处理业务展示界面，要求系统支持批处理作业状态监控、报警，支持作业状态可视化进度监控、批量运行状态、时间等。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42</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管理功能要求</w:t>
            </w:r>
          </w:p>
        </w:tc>
        <w:tc>
          <w:tcPr>
            <w:tcW w:w="5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科技人员使用管理平台与业务人员使用管理平台完全隔离，分别独立部署，具有严格的权限管理、审计等功能，可明确记录操作人员的操作轨迹</w:t>
            </w:r>
          </w:p>
        </w:tc>
      </w:tr>
    </w:tbl>
    <w:p>
      <w:pPr>
        <w:pStyle w:val="35"/>
        <w:keepNext w:val="0"/>
        <w:keepLines w:val="0"/>
        <w:pageBreakBefore w:val="0"/>
        <w:widowControl w:val="0"/>
        <w:numPr>
          <w:ilvl w:val="0"/>
          <w:numId w:val="5"/>
        </w:numPr>
        <w:kinsoku/>
        <w:wordWrap/>
        <w:overflowPunct/>
        <w:topLinePunct w:val="0"/>
        <w:autoSpaceDE w:val="0"/>
        <w:autoSpaceDN w:val="0"/>
        <w:bidi w:val="0"/>
        <w:adjustRightInd/>
        <w:snapToGrid/>
        <w:spacing w:line="600" w:lineRule="exact"/>
        <w:ind w:left="0" w:firstLine="640" w:firstLineChars="200"/>
        <w:textAlignment w:val="auto"/>
        <w:rPr>
          <w:rFonts w:ascii="微软雅黑" w:eastAsia="微软雅黑"/>
          <w:b/>
          <w:bCs/>
          <w:sz w:val="32"/>
          <w:szCs w:val="32"/>
        </w:rPr>
      </w:pPr>
      <w:r>
        <w:rPr>
          <w:rFonts w:hint="eastAsia" w:ascii="微软雅黑" w:eastAsia="微软雅黑"/>
          <w:b/>
          <w:bCs/>
          <w:sz w:val="32"/>
          <w:szCs w:val="32"/>
        </w:rPr>
        <w:t>评分规则</w:t>
      </w:r>
    </w:p>
    <w:p>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ascii="宋体" w:eastAsia="宋体"/>
          <w:sz w:val="24"/>
          <w:szCs w:val="24"/>
        </w:rPr>
      </w:pPr>
      <w:r>
        <w:rPr>
          <w:rFonts w:hint="eastAsia" w:ascii="宋体" w:eastAsia="宋体"/>
          <w:sz w:val="24"/>
          <w:szCs w:val="24"/>
        </w:rPr>
        <w:t>本次POC的功能点共计</w:t>
      </w:r>
      <w:r>
        <w:rPr>
          <w:rFonts w:hint="eastAsia" w:ascii="宋体" w:eastAsia="宋体"/>
          <w:sz w:val="24"/>
          <w:szCs w:val="24"/>
          <w:lang w:val="en-US" w:eastAsia="zh-CN"/>
        </w:rPr>
        <w:t>42</w:t>
      </w:r>
      <w:r>
        <w:rPr>
          <w:rFonts w:hint="eastAsia" w:ascii="宋体" w:eastAsia="宋体"/>
          <w:sz w:val="24"/>
          <w:szCs w:val="24"/>
        </w:rPr>
        <w:t>个，总分为1</w:t>
      </w:r>
      <w:r>
        <w:rPr>
          <w:rFonts w:ascii="宋体" w:eastAsia="宋体"/>
          <w:sz w:val="24"/>
          <w:szCs w:val="24"/>
        </w:rPr>
        <w:t>00</w:t>
      </w:r>
      <w:r>
        <w:rPr>
          <w:rFonts w:hint="eastAsia" w:ascii="宋体" w:eastAsia="宋体"/>
          <w:sz w:val="24"/>
          <w:szCs w:val="24"/>
        </w:rPr>
        <w:t>分。</w:t>
      </w:r>
    </w:p>
    <w:p>
      <w:pPr>
        <w:keepNext w:val="0"/>
        <w:keepLines w:val="0"/>
        <w:pageBreakBefore w:val="0"/>
        <w:widowControl w:val="0"/>
        <w:kinsoku/>
        <w:wordWrap/>
        <w:overflowPunct/>
        <w:topLinePunct w:val="0"/>
        <w:autoSpaceDE w:val="0"/>
        <w:autoSpaceDN w:val="0"/>
        <w:bidi w:val="0"/>
        <w:adjustRightInd/>
        <w:snapToGrid/>
        <w:spacing w:line="600" w:lineRule="exact"/>
        <w:ind w:left="0" w:firstLine="480" w:firstLineChars="200"/>
        <w:textAlignment w:val="auto"/>
        <w:rPr>
          <w:rFonts w:ascii="宋体" w:eastAsia="宋体"/>
          <w:sz w:val="24"/>
          <w:szCs w:val="24"/>
        </w:rPr>
      </w:pPr>
      <w:r>
        <w:rPr>
          <w:rFonts w:hint="eastAsia" w:ascii="宋体" w:eastAsia="宋体"/>
          <w:sz w:val="24"/>
          <w:szCs w:val="24"/>
        </w:rPr>
        <w:t>其中，</w:t>
      </w:r>
      <w:r>
        <w:rPr>
          <w:rFonts w:hint="eastAsia" w:ascii="宋体" w:eastAsia="宋体" w:cs="宋体"/>
          <w:kern w:val="0"/>
          <w:sz w:val="24"/>
          <w:szCs w:val="24"/>
        </w:rPr>
        <w:t>XC基线满足度的评分项具有一票否决权，若不能适配我行</w:t>
      </w:r>
      <w:r>
        <w:rPr>
          <w:rFonts w:ascii="宋体" w:eastAsia="宋体" w:cs="宋体"/>
          <w:kern w:val="0"/>
          <w:sz w:val="24"/>
          <w:szCs w:val="24"/>
        </w:rPr>
        <w:t>XC</w:t>
      </w:r>
      <w:r>
        <w:rPr>
          <w:rFonts w:hint="eastAsia" w:ascii="宋体" w:eastAsia="宋体" w:cs="宋体"/>
          <w:kern w:val="0"/>
          <w:sz w:val="24"/>
          <w:szCs w:val="24"/>
        </w:rPr>
        <w:t>基线产品，则不予通过P</w:t>
      </w:r>
      <w:r>
        <w:rPr>
          <w:rFonts w:ascii="宋体" w:eastAsia="宋体" w:cs="宋体"/>
          <w:kern w:val="0"/>
          <w:sz w:val="24"/>
          <w:szCs w:val="24"/>
        </w:rPr>
        <w:t>OC</w:t>
      </w:r>
      <w:r>
        <w:rPr>
          <w:rFonts w:hint="eastAsia" w:ascii="宋体" w:eastAsia="宋体" w:cs="宋体"/>
          <w:kern w:val="0"/>
          <w:sz w:val="24"/>
          <w:szCs w:val="24"/>
        </w:rPr>
        <w:t>，其他案例评分规则为</w:t>
      </w:r>
      <w:r>
        <w:rPr>
          <w:rFonts w:hint="eastAsia" w:ascii="宋体" w:eastAsia="宋体"/>
          <w:sz w:val="24"/>
          <w:szCs w:val="24"/>
        </w:rPr>
        <w:t>：各案例得分=各案例标准分值*评分系数。具体的P</w:t>
      </w:r>
      <w:r>
        <w:rPr>
          <w:rFonts w:ascii="宋体" w:eastAsia="宋体"/>
          <w:sz w:val="24"/>
          <w:szCs w:val="24"/>
        </w:rPr>
        <w:t>OC</w:t>
      </w:r>
      <w:r>
        <w:rPr>
          <w:rFonts w:hint="eastAsia" w:ascii="宋体" w:eastAsia="宋体"/>
          <w:sz w:val="24"/>
          <w:szCs w:val="24"/>
        </w:rPr>
        <w:t>案例测试结果与评分系数对照关系如下表所示：</w:t>
      </w:r>
    </w:p>
    <w:tbl>
      <w:tblPr>
        <w:tblStyle w:val="20"/>
        <w:tblW w:w="0" w:type="auto"/>
        <w:jc w:val="center"/>
        <w:tblCellSpacing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85"/>
        <w:gridCol w:w="5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blCellSpacing w:w="14" w:type="dxa"/>
          <w:jc w:val="center"/>
        </w:trPr>
        <w:tc>
          <w:tcPr>
            <w:tcW w:w="1943" w:type="dxa"/>
            <w:tcBorders>
              <w:top w:val="single" w:color="000000" w:sz="4" w:space="0"/>
              <w:left w:val="single" w:color="000000" w:sz="4" w:space="0"/>
              <w:bottom w:val="single" w:color="000000" w:sz="4" w:space="0"/>
              <w:right w:val="single" w:color="000000" w:sz="4" w:space="0"/>
            </w:tcBorders>
            <w:shd w:val="clear" w:color="auto" w:fill="9CC2E5"/>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b/>
                <w:color w:val="000000"/>
                <w:sz w:val="24"/>
                <w:szCs w:val="24"/>
              </w:rPr>
            </w:pPr>
            <w:r>
              <w:rPr>
                <w:rFonts w:hint="eastAsia" w:ascii="宋体" w:eastAsia="宋体" w:cs="仿宋"/>
                <w:b/>
                <w:color w:val="000000"/>
                <w:kern w:val="0"/>
                <w:sz w:val="24"/>
                <w:szCs w:val="24"/>
              </w:rPr>
              <w:t>P</w:t>
            </w:r>
            <w:r>
              <w:rPr>
                <w:rFonts w:ascii="宋体" w:eastAsia="宋体" w:cs="仿宋"/>
                <w:b/>
                <w:color w:val="000000"/>
                <w:kern w:val="0"/>
                <w:sz w:val="24"/>
                <w:szCs w:val="24"/>
              </w:rPr>
              <w:t>OC</w:t>
            </w:r>
            <w:r>
              <w:rPr>
                <w:rFonts w:hint="eastAsia" w:ascii="宋体" w:eastAsia="宋体" w:cs="仿宋"/>
                <w:b/>
                <w:color w:val="000000"/>
                <w:kern w:val="0"/>
                <w:sz w:val="24"/>
                <w:szCs w:val="24"/>
              </w:rPr>
              <w:t>案例测试结果</w:t>
            </w:r>
          </w:p>
        </w:tc>
        <w:tc>
          <w:tcPr>
            <w:tcW w:w="5233" w:type="dxa"/>
            <w:tcBorders>
              <w:top w:val="single" w:color="000000" w:sz="4" w:space="0"/>
              <w:bottom w:val="single" w:color="000000" w:sz="4" w:space="0"/>
              <w:right w:val="single" w:color="000000" w:sz="4" w:space="0"/>
            </w:tcBorders>
            <w:shd w:val="clear" w:color="auto" w:fill="9CC2E5"/>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b/>
                <w:color w:val="000000"/>
                <w:sz w:val="24"/>
                <w:szCs w:val="24"/>
              </w:rPr>
            </w:pPr>
            <w:r>
              <w:rPr>
                <w:rFonts w:hint="eastAsia" w:ascii="宋体" w:eastAsia="宋体" w:cs="仿宋"/>
                <w:b/>
                <w:color w:val="000000"/>
                <w:kern w:val="0"/>
                <w:sz w:val="24"/>
                <w:szCs w:val="24"/>
              </w:rPr>
              <w:t>评分系数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4"/>
                <w:szCs w:val="24"/>
              </w:rPr>
            </w:pPr>
            <w:r>
              <w:rPr>
                <w:rFonts w:hint="eastAsia" w:ascii="宋体" w:eastAsia="宋体" w:cs="仿宋"/>
                <w:color w:val="000000"/>
                <w:kern w:val="0"/>
                <w:sz w:val="24"/>
                <w:szCs w:val="24"/>
              </w:rPr>
              <w:t>满足</w:t>
            </w:r>
          </w:p>
        </w:tc>
        <w:tc>
          <w:tcPr>
            <w:tcW w:w="523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4"/>
                <w:szCs w:val="24"/>
              </w:rPr>
            </w:pPr>
            <w:r>
              <w:rPr>
                <w:rFonts w:hint="eastAsia" w:ascii="宋体" w:eastAsia="宋体" w:cs="仿宋"/>
                <w:color w:val="000000"/>
                <w:sz w:val="24"/>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4"/>
                <w:szCs w:val="24"/>
              </w:rPr>
            </w:pPr>
            <w:r>
              <w:rPr>
                <w:rFonts w:hint="eastAsia" w:ascii="宋体" w:eastAsia="宋体" w:cs="仿宋"/>
                <w:color w:val="000000"/>
                <w:kern w:val="0"/>
                <w:sz w:val="24"/>
                <w:szCs w:val="24"/>
              </w:rPr>
              <w:t>部分满足</w:t>
            </w:r>
          </w:p>
        </w:tc>
        <w:tc>
          <w:tcPr>
            <w:tcW w:w="523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4"/>
                <w:szCs w:val="24"/>
              </w:rPr>
            </w:pPr>
            <w:r>
              <w:rPr>
                <w:rFonts w:hint="eastAsia" w:ascii="宋体" w:eastAsia="宋体" w:cs="仿宋"/>
                <w:color w:val="000000"/>
                <w:kern w:val="0"/>
                <w:sz w:val="24"/>
                <w:szCs w:val="24"/>
              </w:rPr>
              <w:t>0.1-0.9（评分人根据功能满足程度，酌情评定）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4"/>
                <w:szCs w:val="24"/>
              </w:rPr>
            </w:pPr>
            <w:r>
              <w:rPr>
                <w:rFonts w:hint="eastAsia" w:ascii="宋体" w:eastAsia="宋体" w:cs="仿宋"/>
                <w:color w:val="000000"/>
                <w:kern w:val="0"/>
                <w:sz w:val="24"/>
                <w:szCs w:val="24"/>
              </w:rPr>
              <w:t>不满足</w:t>
            </w:r>
          </w:p>
        </w:tc>
        <w:tc>
          <w:tcPr>
            <w:tcW w:w="5233" w:type="dxa"/>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top"/>
              <w:rPr>
                <w:rFonts w:ascii="宋体" w:eastAsia="宋体" w:cs="仿宋"/>
                <w:color w:val="000000"/>
                <w:sz w:val="24"/>
                <w:szCs w:val="24"/>
              </w:rPr>
            </w:pPr>
            <w:r>
              <w:rPr>
                <w:rFonts w:hint="eastAsia" w:ascii="宋体" w:eastAsia="宋体" w:cs="仿宋"/>
                <w:color w:val="000000"/>
                <w:kern w:val="0"/>
                <w:sz w:val="24"/>
                <w:szCs w:val="24"/>
              </w:rPr>
              <w:t>0</w:t>
            </w:r>
          </w:p>
        </w:tc>
      </w:tr>
    </w:tbl>
    <w:p>
      <w:pPr>
        <w:pStyle w:val="35"/>
        <w:ind w:firstLine="0" w:firstLineChars="0"/>
        <w:rPr>
          <w:rFonts w:ascii="宋体" w:eastAsia="宋体"/>
          <w:sz w:val="24"/>
          <w:szCs w:val="24"/>
        </w:rPr>
      </w:pPr>
    </w:p>
    <w:p>
      <w:pPr>
        <w:rPr>
          <w:rFonts w:ascii="宋体" w:eastAsia="宋体"/>
          <w:sz w:val="24"/>
          <w:szCs w:val="24"/>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cs="宋体"/>
          <w:b/>
          <w:bCs/>
          <w:sz w:val="28"/>
          <w:szCs w:val="28"/>
          <w:lang w:val="en-US" w:eastAsia="zh-CN"/>
        </w:rPr>
        <w:t>三</w:t>
      </w:r>
    </w:p>
    <w:p>
      <w:pPr>
        <w:rPr>
          <w:rFonts w:ascii="黑体" w:eastAsia="黑体"/>
          <w:sz w:val="52"/>
          <w:szCs w:val="52"/>
        </w:rPr>
      </w:pPr>
    </w:p>
    <w:p>
      <w:pPr>
        <w:jc w:val="center"/>
        <w:outlineLvl w:val="0"/>
        <w:rPr>
          <w:rFonts w:ascii="微软雅黑" w:eastAsia="微软雅黑"/>
          <w:b/>
          <w:bCs/>
          <w:sz w:val="52"/>
          <w:szCs w:val="52"/>
        </w:rPr>
      </w:pPr>
      <w:r>
        <w:rPr>
          <w:rFonts w:hint="eastAsia" w:ascii="微软雅黑" w:eastAsia="微软雅黑"/>
          <w:b/>
          <w:bCs/>
          <w:sz w:val="52"/>
          <w:szCs w:val="52"/>
        </w:rPr>
        <w:t>重庆三峡银行</w:t>
      </w:r>
    </w:p>
    <w:p>
      <w:pPr>
        <w:jc w:val="center"/>
        <w:outlineLvl w:val="0"/>
        <w:rPr>
          <w:rFonts w:ascii="微软雅黑" w:eastAsia="微软雅黑"/>
          <w:b/>
          <w:bCs/>
          <w:sz w:val="52"/>
          <w:szCs w:val="52"/>
        </w:rPr>
      </w:pPr>
      <w:r>
        <w:rPr>
          <w:rFonts w:hint="eastAsia" w:ascii="微软雅黑" w:eastAsia="微软雅黑"/>
          <w:b/>
          <w:bCs/>
          <w:sz w:val="52"/>
          <w:szCs w:val="52"/>
          <w:lang w:val="en-US" w:eastAsia="zh-CN"/>
        </w:rPr>
        <w:t>第三代手机银行</w:t>
      </w:r>
      <w:r>
        <w:rPr>
          <w:rFonts w:hint="eastAsia" w:ascii="微软雅黑" w:eastAsia="微软雅黑"/>
          <w:b/>
          <w:bCs/>
          <w:sz w:val="52"/>
          <w:szCs w:val="52"/>
        </w:rPr>
        <w:t>项目</w:t>
      </w:r>
    </w:p>
    <w:p>
      <w:pPr>
        <w:jc w:val="center"/>
        <w:outlineLvl w:val="0"/>
        <w:rPr>
          <w:rFonts w:ascii="微软雅黑" w:eastAsia="微软雅黑"/>
          <w:b/>
          <w:bCs/>
          <w:sz w:val="52"/>
          <w:szCs w:val="52"/>
        </w:rPr>
      </w:pPr>
      <w:r>
        <w:rPr>
          <w:rFonts w:hint="eastAsia" w:ascii="微软雅黑" w:eastAsia="微软雅黑"/>
          <w:b/>
          <w:bCs/>
          <w:sz w:val="52"/>
          <w:szCs w:val="52"/>
          <w:lang w:val="en-US" w:eastAsia="zh-CN"/>
        </w:rPr>
        <w:t>面试</w:t>
      </w:r>
      <w:r>
        <w:rPr>
          <w:rFonts w:hint="eastAsia" w:ascii="微软雅黑" w:eastAsia="微软雅黑"/>
          <w:b/>
          <w:bCs/>
          <w:sz w:val="52"/>
          <w:szCs w:val="52"/>
        </w:rPr>
        <w:t>方案</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keepNext w:val="0"/>
        <w:keepLines w:val="0"/>
        <w:pageBreakBefore w:val="0"/>
        <w:widowControl w:val="0"/>
        <w:kinsoku/>
        <w:wordWrap/>
        <w:overflowPunct/>
        <w:topLinePunct w:val="0"/>
        <w:autoSpaceDE w:val="0"/>
        <w:autoSpaceDN w:val="0"/>
        <w:bidi w:val="0"/>
        <w:adjustRightInd/>
        <w:snapToGrid/>
        <w:spacing w:line="240" w:lineRule="auto"/>
        <w:ind w:left="425" w:hanging="427"/>
        <w:jc w:val="center"/>
        <w:textAlignment w:val="auto"/>
      </w:pPr>
      <w:r>
        <w:drawing>
          <wp:inline distT="0" distB="0" distL="0" distR="0">
            <wp:extent cx="2658745" cy="554355"/>
            <wp:effectExtent l="0" t="0" r="825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658745" cy="554355"/>
                    </a:xfrm>
                    <a:prstGeom prst="rect">
                      <a:avLst/>
                    </a:prstGeom>
                    <a:noFill/>
                    <a:ln w="9525" cap="flat" cmpd="sng">
                      <a:noFill/>
                      <a:prstDash val="solid"/>
                      <a:round/>
                    </a:ln>
                  </pic:spPr>
                </pic:pic>
              </a:graphicData>
            </a:graphic>
          </wp:inline>
        </w:drawing>
      </w:r>
    </w:p>
    <w:p>
      <w:pPr>
        <w:ind w:left="427" w:hanging="427"/>
      </w:pPr>
    </w:p>
    <w:p>
      <w:pPr>
        <w:ind w:left="427" w:hanging="427"/>
        <w:jc w:val="center"/>
        <w:rPr>
          <w:rFonts w:ascii="微软雅黑" w:eastAsia="微软雅黑"/>
          <w:b/>
          <w:bCs/>
          <w:sz w:val="28"/>
          <w:szCs w:val="28"/>
        </w:rPr>
      </w:pPr>
      <w:r>
        <w:rPr>
          <w:rFonts w:hint="eastAsia" w:ascii="微软雅黑" w:eastAsia="微软雅黑"/>
          <w:b/>
          <w:bCs/>
          <w:sz w:val="28"/>
          <w:szCs w:val="28"/>
        </w:rPr>
        <w:t>202</w:t>
      </w:r>
      <w:r>
        <w:rPr>
          <w:rFonts w:hint="eastAsia" w:ascii="微软雅黑" w:eastAsia="微软雅黑"/>
          <w:b/>
          <w:bCs/>
          <w:sz w:val="28"/>
          <w:szCs w:val="28"/>
          <w:lang w:val="en-US" w:eastAsia="zh-CN"/>
        </w:rPr>
        <w:t>4</w:t>
      </w:r>
      <w:r>
        <w:rPr>
          <w:rFonts w:hint="eastAsia" w:ascii="微软雅黑" w:eastAsia="微软雅黑"/>
          <w:b/>
          <w:bCs/>
          <w:sz w:val="28"/>
          <w:szCs w:val="28"/>
        </w:rPr>
        <w:t>年</w:t>
      </w:r>
      <w:r>
        <w:rPr>
          <w:rFonts w:hint="eastAsia" w:ascii="微软雅黑" w:eastAsia="微软雅黑"/>
          <w:b/>
          <w:bCs/>
          <w:sz w:val="28"/>
          <w:szCs w:val="28"/>
          <w:lang w:val="en-US" w:eastAsia="zh-CN"/>
        </w:rPr>
        <w:t>4</w:t>
      </w:r>
      <w:r>
        <w:rPr>
          <w:rFonts w:hint="eastAsia" w:ascii="微软雅黑" w:eastAsia="微软雅黑"/>
          <w:b/>
          <w:bCs/>
          <w:sz w:val="28"/>
          <w:szCs w:val="28"/>
        </w:rPr>
        <w:t>月</w:t>
      </w:r>
      <w:r>
        <w:rPr>
          <w:rFonts w:hint="eastAsia" w:ascii="微软雅黑" w:eastAsia="微软雅黑"/>
          <w:b/>
          <w:bCs/>
          <w:sz w:val="28"/>
          <w:szCs w:val="28"/>
          <w:lang w:val="en-US" w:eastAsia="zh-CN"/>
        </w:rPr>
        <w:t>30</w:t>
      </w:r>
      <w:r>
        <w:rPr>
          <w:rFonts w:hint="eastAsia" w:ascii="微软雅黑" w:eastAsia="微软雅黑"/>
          <w:b/>
          <w:bCs/>
          <w:sz w:val="28"/>
          <w:szCs w:val="28"/>
        </w:rPr>
        <w:t>日</w:t>
      </w:r>
    </w:p>
    <w:p/>
    <w:p/>
    <w:p/>
    <w:p/>
    <w:p/>
    <w:p/>
    <w:p/>
    <w:p/>
    <w:p/>
    <w:p/>
    <w:p>
      <w:pPr>
        <w:ind w:left="0" w:leftChars="0" w:firstLine="0" w:firstLineChars="0"/>
      </w:pPr>
    </w:p>
    <w:p>
      <w:pPr>
        <w:pStyle w:val="35"/>
        <w:keepNext w:val="0"/>
        <w:keepLines w:val="0"/>
        <w:pageBreakBefore w:val="0"/>
        <w:widowControl w:val="0"/>
        <w:numPr>
          <w:ilvl w:val="0"/>
          <w:numId w:val="7"/>
        </w:numPr>
        <w:kinsoku/>
        <w:wordWrap/>
        <w:overflowPunct/>
        <w:topLinePunct w:val="0"/>
        <w:autoSpaceDE w:val="0"/>
        <w:autoSpaceDN w:val="0"/>
        <w:bidi w:val="0"/>
        <w:spacing w:line="600" w:lineRule="exact"/>
        <w:ind w:left="0" w:firstLine="640" w:firstLineChars="200"/>
        <w:textAlignment w:val="auto"/>
        <w:outlineLvl w:val="0"/>
        <w:rPr>
          <w:rFonts w:ascii="微软雅黑" w:eastAsia="微软雅黑"/>
          <w:b/>
          <w:bCs/>
          <w:sz w:val="32"/>
          <w:szCs w:val="32"/>
        </w:rPr>
      </w:pPr>
      <w:r>
        <w:rPr>
          <w:rFonts w:hint="eastAsia" w:ascii="微软雅黑" w:eastAsia="微软雅黑"/>
          <w:b/>
          <w:bCs/>
          <w:sz w:val="32"/>
          <w:szCs w:val="32"/>
        </w:rPr>
        <w:t>背景</w:t>
      </w:r>
    </w:p>
    <w:p>
      <w:pPr>
        <w:pStyle w:val="35"/>
        <w:keepNext w:val="0"/>
        <w:keepLines w:val="0"/>
        <w:pageBreakBefore w:val="0"/>
        <w:widowControl w:val="0"/>
        <w:numPr>
          <w:ilvl w:val="2"/>
          <w:numId w:val="7"/>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hint="eastAsia" w:ascii="微软雅黑" w:eastAsia="微软雅黑"/>
          <w:b/>
          <w:bCs/>
          <w:sz w:val="28"/>
          <w:szCs w:val="28"/>
          <w:lang w:val="en-US" w:eastAsia="zh-CN"/>
        </w:rPr>
        <w:t>面试</w:t>
      </w:r>
      <w:r>
        <w:rPr>
          <w:rFonts w:hint="eastAsia" w:ascii="微软雅黑" w:eastAsia="微软雅黑"/>
          <w:b/>
          <w:bCs/>
          <w:sz w:val="28"/>
          <w:szCs w:val="28"/>
        </w:rPr>
        <w:t>范围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hAnsi="Times New Roman" w:eastAsia="宋体"/>
          <w:sz w:val="24"/>
          <w:szCs w:val="24"/>
          <w:lang w:val="en-US" w:eastAsia="zh-CN"/>
        </w:rPr>
      </w:pPr>
      <w:r>
        <w:rPr>
          <w:rFonts w:hint="eastAsia" w:ascii="宋体" w:hAnsi="Times New Roman" w:eastAsia="宋体"/>
          <w:sz w:val="24"/>
          <w:szCs w:val="24"/>
          <w:lang w:val="en-US" w:eastAsia="zh-CN"/>
        </w:rPr>
        <w:t>重庆三峡银行（以下简称“本行”“我行”）开展第三代手机银行建设工作，将新一代手机银行打造为“线上经营平台”，</w:t>
      </w:r>
      <w:r>
        <w:rPr>
          <w:rFonts w:ascii="Times New Roman" w:hAnsi="Times New Roman" w:eastAsia="宋体" w:cs="Times New Roman"/>
          <w:sz w:val="24"/>
          <w:szCs w:val="24"/>
          <w:lang w:val="en-US" w:eastAsia="zh-CN"/>
        </w:rPr>
        <w:t>APP</w:t>
      </w:r>
      <w:r>
        <w:rPr>
          <w:rFonts w:hint="eastAsia" w:ascii="宋体" w:hAnsi="Times New Roman" w:eastAsia="宋体"/>
          <w:sz w:val="24"/>
          <w:szCs w:val="24"/>
          <w:lang w:val="en-US" w:eastAsia="zh-CN"/>
        </w:rPr>
        <w:t>端承担起全行交易服务主渠道、中长尾客户经营主阵地两大重要职责，在深度协同线下交易服务、中长尾客户挖潜、整合线上贷款入口、释放客户经理产能等方面带来提升；微信端着力建设客户经理微营业厅，借助微信用户的高流量、高活跃度，实现拉新活客、分享营销及活动/权益推送等功能，为</w:t>
      </w:r>
      <w:r>
        <w:rPr>
          <w:rFonts w:ascii="Times New Roman" w:hAnsi="Times New Roman" w:eastAsia="宋体" w:cs="Times New Roman"/>
          <w:sz w:val="24"/>
          <w:szCs w:val="24"/>
          <w:lang w:val="en-US" w:eastAsia="zh-CN"/>
        </w:rPr>
        <w:t>APP</w:t>
      </w:r>
      <w:r>
        <w:rPr>
          <w:rFonts w:hint="eastAsia" w:ascii="宋体" w:hAnsi="Times New Roman" w:eastAsia="宋体"/>
          <w:sz w:val="24"/>
          <w:szCs w:val="24"/>
          <w:lang w:val="en-US" w:eastAsia="zh-CN"/>
        </w:rPr>
        <w:t>深度运营客户引流转化。</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为保证项目质量，结合前期与厂商沟通交流的结果，经过</w:t>
      </w:r>
      <w:r>
        <w:rPr>
          <w:rFonts w:hint="eastAsia" w:ascii="宋体" w:eastAsia="宋体"/>
          <w:sz w:val="24"/>
          <w:szCs w:val="24"/>
          <w:lang w:val="en-US" w:eastAsia="zh-CN"/>
        </w:rPr>
        <w:t>第三代手机银行项目</w:t>
      </w:r>
      <w:r>
        <w:rPr>
          <w:rFonts w:hint="eastAsia" w:ascii="宋体" w:eastAsia="宋体"/>
          <w:sz w:val="24"/>
          <w:szCs w:val="24"/>
        </w:rPr>
        <w:t>相关成员商议后，决定对潜在厂商</w:t>
      </w:r>
      <w:r>
        <w:rPr>
          <w:rFonts w:hint="eastAsia" w:ascii="宋体" w:eastAsia="宋体"/>
          <w:sz w:val="24"/>
          <w:szCs w:val="24"/>
          <w:lang w:val="en-US" w:eastAsia="zh-CN"/>
        </w:rPr>
        <w:t>相关项目人员开展面试</w:t>
      </w:r>
      <w:r>
        <w:rPr>
          <w:rFonts w:hint="eastAsia" w:ascii="宋体" w:eastAsia="宋体"/>
          <w:sz w:val="24"/>
          <w:szCs w:val="24"/>
        </w:rPr>
        <w:t>。</w:t>
      </w:r>
    </w:p>
    <w:p>
      <w:pPr>
        <w:pStyle w:val="35"/>
        <w:keepNext w:val="0"/>
        <w:keepLines w:val="0"/>
        <w:pageBreakBefore w:val="0"/>
        <w:widowControl w:val="0"/>
        <w:numPr>
          <w:ilvl w:val="2"/>
          <w:numId w:val="7"/>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hint="eastAsia" w:ascii="微软雅黑" w:eastAsia="微软雅黑"/>
          <w:b/>
          <w:bCs/>
          <w:sz w:val="28"/>
          <w:szCs w:val="28"/>
          <w:lang w:val="en-US" w:eastAsia="zh-CN"/>
        </w:rPr>
        <w:t>面试</w:t>
      </w:r>
      <w:r>
        <w:rPr>
          <w:rFonts w:hint="eastAsia" w:ascii="微软雅黑" w:eastAsia="微软雅黑"/>
          <w:b/>
          <w:bCs/>
          <w:sz w:val="28"/>
          <w:szCs w:val="28"/>
        </w:rPr>
        <w:t>目的</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本次</w:t>
      </w:r>
      <w:r>
        <w:rPr>
          <w:rFonts w:hint="eastAsia" w:ascii="宋体" w:eastAsia="宋体"/>
          <w:sz w:val="24"/>
          <w:szCs w:val="24"/>
          <w:lang w:val="en-US" w:eastAsia="zh-CN"/>
        </w:rPr>
        <w:t>面试</w:t>
      </w:r>
      <w:r>
        <w:rPr>
          <w:rFonts w:hint="eastAsia" w:ascii="宋体" w:eastAsia="宋体"/>
          <w:sz w:val="24"/>
          <w:szCs w:val="24"/>
        </w:rPr>
        <w:t>的目的是</w:t>
      </w:r>
      <w:r>
        <w:rPr>
          <w:rFonts w:hint="eastAsia" w:ascii="宋体" w:eastAsia="宋体"/>
          <w:sz w:val="24"/>
          <w:szCs w:val="24"/>
          <w:lang w:val="en-US" w:eastAsia="zh-CN"/>
        </w:rPr>
        <w:t>了解厂商实施该项目的具体的人力情况</w:t>
      </w:r>
      <w:r>
        <w:rPr>
          <w:rFonts w:ascii="宋体" w:eastAsia="宋体"/>
          <w:sz w:val="24"/>
          <w:szCs w:val="24"/>
        </w:rPr>
        <w:t>，使我行进一步了解和考察各厂商的</w:t>
      </w:r>
      <w:r>
        <w:rPr>
          <w:rFonts w:hint="eastAsia" w:ascii="宋体" w:eastAsia="宋体"/>
          <w:sz w:val="24"/>
          <w:szCs w:val="24"/>
          <w:lang w:val="en-US" w:eastAsia="zh-CN"/>
        </w:rPr>
        <w:t>人力安排</w:t>
      </w:r>
      <w:r>
        <w:rPr>
          <w:rFonts w:ascii="宋体" w:eastAsia="宋体"/>
          <w:sz w:val="24"/>
          <w:szCs w:val="24"/>
        </w:rPr>
        <w:t>，评估各家厂商的</w:t>
      </w:r>
      <w:r>
        <w:rPr>
          <w:rFonts w:hint="eastAsia" w:ascii="宋体" w:eastAsia="宋体"/>
          <w:sz w:val="24"/>
          <w:szCs w:val="24"/>
          <w:lang w:val="en-US" w:eastAsia="zh-CN"/>
        </w:rPr>
        <w:t>实施人员</w:t>
      </w:r>
      <w:r>
        <w:rPr>
          <w:rFonts w:ascii="宋体" w:eastAsia="宋体"/>
          <w:sz w:val="24"/>
          <w:szCs w:val="24"/>
        </w:rPr>
        <w:t>是否满足我行业务和技术需求</w:t>
      </w:r>
      <w:r>
        <w:rPr>
          <w:rFonts w:hint="eastAsia" w:ascii="宋体" w:eastAsia="宋体"/>
          <w:sz w:val="24"/>
          <w:szCs w:val="24"/>
        </w:rPr>
        <w:t>。</w:t>
      </w:r>
      <w:r>
        <w:rPr>
          <w:rFonts w:ascii="宋体" w:eastAsia="宋体"/>
          <w:sz w:val="24"/>
          <w:szCs w:val="24"/>
        </w:rPr>
        <w:t>通过对各家厂商</w:t>
      </w:r>
      <w:r>
        <w:rPr>
          <w:rFonts w:hint="eastAsia" w:ascii="宋体" w:eastAsia="宋体"/>
          <w:sz w:val="24"/>
          <w:szCs w:val="24"/>
          <w:lang w:val="en-US" w:eastAsia="zh-CN"/>
        </w:rPr>
        <w:t>实施人员</w:t>
      </w:r>
      <w:r>
        <w:rPr>
          <w:rFonts w:ascii="宋体" w:eastAsia="宋体"/>
          <w:sz w:val="24"/>
          <w:szCs w:val="24"/>
        </w:rPr>
        <w:t>的综合比较，帮助我行选择一家既能满足我行业务需求，又在行业内领先、典型的系统供应商。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通过本测试，应达到如下目的：</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考察</w:t>
      </w:r>
      <w:r>
        <w:rPr>
          <w:rFonts w:hint="eastAsia" w:ascii="宋体" w:eastAsia="宋体"/>
          <w:sz w:val="24"/>
          <w:szCs w:val="24"/>
          <w:lang w:val="en-US" w:eastAsia="zh-CN"/>
        </w:rPr>
        <w:t>厂商现场实施项目经理技术与业务水平，</w:t>
      </w:r>
      <w:r>
        <w:rPr>
          <w:rFonts w:hint="eastAsia" w:ascii="宋体" w:eastAsia="宋体"/>
          <w:sz w:val="24"/>
          <w:szCs w:val="24"/>
        </w:rPr>
        <w:t>需求的理解能力</w:t>
      </w:r>
      <w:r>
        <w:rPr>
          <w:rFonts w:hint="eastAsia" w:ascii="宋体" w:eastAsia="宋体"/>
          <w:sz w:val="24"/>
          <w:szCs w:val="24"/>
          <w:lang w:eastAsia="zh-CN"/>
        </w:rPr>
        <w:t>、</w:t>
      </w:r>
      <w:r>
        <w:rPr>
          <w:rFonts w:hint="eastAsia" w:ascii="宋体" w:eastAsia="宋体"/>
          <w:sz w:val="24"/>
          <w:szCs w:val="24"/>
          <w:lang w:val="en-US" w:eastAsia="zh-CN"/>
        </w:rPr>
        <w:t>产品的熟悉情况</w:t>
      </w:r>
      <w:r>
        <w:rPr>
          <w:rFonts w:hint="eastAsia" w:ascii="宋体" w:eastAsia="宋体"/>
          <w:sz w:val="24"/>
          <w:szCs w:val="24"/>
          <w:lang w:eastAsia="zh-CN"/>
        </w:rPr>
        <w:t>，</w:t>
      </w:r>
      <w:r>
        <w:rPr>
          <w:rFonts w:hint="eastAsia" w:ascii="宋体" w:eastAsia="宋体"/>
          <w:sz w:val="24"/>
          <w:szCs w:val="24"/>
          <w:lang w:val="en-US" w:eastAsia="zh-CN"/>
        </w:rPr>
        <w:t>项目管理的经验等</w:t>
      </w:r>
      <w:r>
        <w:rPr>
          <w:rFonts w:hint="eastAsia" w:ascii="宋体" w:eastAsia="宋体"/>
          <w:sz w:val="24"/>
          <w:szCs w:val="24"/>
        </w:rPr>
        <w:t>；</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lang w:val="en-US" w:eastAsia="zh-CN"/>
        </w:rPr>
      </w:pPr>
      <w:r>
        <w:rPr>
          <w:rFonts w:hint="eastAsia" w:ascii="宋体" w:eastAsia="宋体"/>
          <w:sz w:val="24"/>
          <w:szCs w:val="24"/>
          <w:lang w:val="en-US" w:eastAsia="zh-CN"/>
        </w:rPr>
        <w:t>考察厂商现场需求分析师业务水平，需求的理解能力，业务流程梳理、整合以及创新的能力，善于表达，具有良好的沟通技巧和能力</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pPr>
      <w:r>
        <w:rPr>
          <w:rFonts w:hint="eastAsia" w:ascii="宋体" w:eastAsia="宋体"/>
          <w:sz w:val="24"/>
          <w:szCs w:val="24"/>
        </w:rPr>
        <w:t>（</w:t>
      </w:r>
      <w:r>
        <w:rPr>
          <w:rFonts w:hint="eastAsia" w:ascii="宋体" w:eastAsia="宋体"/>
          <w:sz w:val="24"/>
          <w:szCs w:val="24"/>
          <w:lang w:val="en-US" w:eastAsia="zh-CN"/>
        </w:rPr>
        <w:t>3</w:t>
      </w:r>
      <w:r>
        <w:rPr>
          <w:rFonts w:hint="eastAsia" w:ascii="宋体" w:eastAsia="宋体"/>
          <w:sz w:val="24"/>
          <w:szCs w:val="24"/>
          <w:lang w:eastAsia="zh-CN"/>
        </w:rPr>
        <w:t>）</w:t>
      </w:r>
      <w:r>
        <w:rPr>
          <w:rFonts w:hint="eastAsia" w:ascii="宋体" w:eastAsia="宋体"/>
          <w:sz w:val="24"/>
          <w:szCs w:val="24"/>
          <w:lang w:val="en-US" w:eastAsia="zh-CN"/>
        </w:rPr>
        <w:t>考察厂商现场实施</w:t>
      </w:r>
      <w:r>
        <w:rPr>
          <w:rFonts w:hint="eastAsia" w:ascii="宋体" w:hAnsi="宋体"/>
          <w:color w:val="auto"/>
          <w:sz w:val="24"/>
          <w:szCs w:val="28"/>
        </w:rPr>
        <w:t>项目组</w:t>
      </w:r>
      <w:r>
        <w:rPr>
          <w:rFonts w:hint="eastAsia" w:ascii="宋体" w:hAnsi="宋体"/>
          <w:color w:val="auto"/>
          <w:sz w:val="24"/>
          <w:szCs w:val="28"/>
          <w:lang w:val="en-US" w:eastAsia="zh-CN"/>
        </w:rPr>
        <w:t>架构</w:t>
      </w:r>
      <w:r>
        <w:rPr>
          <w:rFonts w:hint="eastAsia" w:ascii="宋体" w:hAnsi="宋体"/>
          <w:color w:val="auto"/>
          <w:sz w:val="24"/>
          <w:szCs w:val="28"/>
        </w:rPr>
        <w:t>人员</w:t>
      </w:r>
      <w:r>
        <w:rPr>
          <w:rFonts w:hint="eastAsia" w:ascii="宋体" w:eastAsia="宋体"/>
          <w:sz w:val="24"/>
          <w:szCs w:val="24"/>
          <w:lang w:val="en-US" w:eastAsia="zh-CN"/>
        </w:rPr>
        <w:t>的技术与业务水平，对</w:t>
      </w:r>
      <w:r>
        <w:rPr>
          <w:rFonts w:hint="eastAsia" w:ascii="宋体" w:eastAsia="宋体"/>
          <w:sz w:val="24"/>
          <w:szCs w:val="24"/>
        </w:rPr>
        <w:t>需求的理解能力</w:t>
      </w:r>
      <w:r>
        <w:rPr>
          <w:rFonts w:hint="eastAsia" w:ascii="宋体" w:eastAsia="宋体"/>
          <w:sz w:val="24"/>
          <w:szCs w:val="24"/>
          <w:lang w:eastAsia="zh-CN"/>
        </w:rPr>
        <w:t>、</w:t>
      </w:r>
      <w:r>
        <w:rPr>
          <w:rFonts w:hint="eastAsia" w:ascii="宋体" w:eastAsia="宋体"/>
          <w:sz w:val="24"/>
          <w:szCs w:val="24"/>
          <w:lang w:val="en-US" w:eastAsia="zh-CN"/>
        </w:rPr>
        <w:t>环境部署、双活部署等能力</w:t>
      </w:r>
      <w:r>
        <w:rPr>
          <w:rFonts w:hint="eastAsia" w:ascii="宋体" w:eastAsia="宋体"/>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w:t>
      </w:r>
      <w:r>
        <w:rPr>
          <w:rFonts w:hint="eastAsia" w:ascii="宋体" w:eastAsia="宋体"/>
          <w:sz w:val="24"/>
          <w:szCs w:val="24"/>
          <w:lang w:val="en-US" w:eastAsia="zh-CN"/>
        </w:rPr>
        <w:t>4</w:t>
      </w:r>
      <w:r>
        <w:rPr>
          <w:rFonts w:hint="eastAsia" w:ascii="宋体" w:eastAsia="宋体"/>
          <w:sz w:val="24"/>
          <w:szCs w:val="24"/>
          <w:lang w:eastAsia="zh-CN"/>
        </w:rPr>
        <w:t>）</w:t>
      </w:r>
      <w:r>
        <w:rPr>
          <w:rFonts w:hint="eastAsia" w:ascii="宋体" w:eastAsia="宋体"/>
          <w:sz w:val="24"/>
          <w:szCs w:val="24"/>
          <w:lang w:val="en-US" w:eastAsia="zh-CN"/>
        </w:rPr>
        <w:t>考察厂商现场实施</w:t>
      </w:r>
      <w:r>
        <w:rPr>
          <w:rFonts w:hint="eastAsia" w:ascii="宋体" w:hAnsi="宋体"/>
          <w:color w:val="auto"/>
          <w:sz w:val="24"/>
          <w:szCs w:val="28"/>
        </w:rPr>
        <w:t>项目组开发人员</w:t>
      </w:r>
      <w:r>
        <w:rPr>
          <w:rFonts w:hint="eastAsia" w:ascii="宋体" w:eastAsia="宋体"/>
          <w:sz w:val="24"/>
          <w:szCs w:val="24"/>
          <w:lang w:val="en-US" w:eastAsia="zh-CN"/>
        </w:rPr>
        <w:t>的技术与业务水平，对</w:t>
      </w:r>
      <w:r>
        <w:rPr>
          <w:rFonts w:hint="eastAsia" w:ascii="宋体" w:eastAsia="宋体"/>
          <w:sz w:val="24"/>
          <w:szCs w:val="24"/>
        </w:rPr>
        <w:t>需求的理解能力</w:t>
      </w:r>
      <w:r>
        <w:rPr>
          <w:rFonts w:hint="eastAsia" w:ascii="宋体" w:eastAsia="宋体"/>
          <w:sz w:val="24"/>
          <w:szCs w:val="24"/>
          <w:lang w:eastAsia="zh-CN"/>
        </w:rPr>
        <w:t>、</w:t>
      </w:r>
      <w:r>
        <w:rPr>
          <w:rFonts w:hint="eastAsia" w:ascii="宋体" w:eastAsia="宋体"/>
          <w:sz w:val="24"/>
          <w:szCs w:val="24"/>
          <w:lang w:val="en-US" w:eastAsia="zh-CN"/>
        </w:rPr>
        <w:t>代码编写的能力等</w:t>
      </w:r>
      <w:r>
        <w:rPr>
          <w:rFonts w:hint="eastAsia" w:ascii="宋体" w:eastAsia="宋体"/>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2"/>
      </w:pPr>
      <w:r>
        <w:rPr>
          <w:rFonts w:hint="eastAsia" w:ascii="宋体" w:eastAsia="宋体"/>
          <w:sz w:val="24"/>
          <w:szCs w:val="24"/>
        </w:rPr>
        <w:t>（</w:t>
      </w:r>
      <w:r>
        <w:rPr>
          <w:rFonts w:hint="eastAsia" w:ascii="宋体" w:eastAsia="宋体"/>
          <w:sz w:val="24"/>
          <w:szCs w:val="24"/>
          <w:lang w:val="en-US" w:eastAsia="zh-CN"/>
        </w:rPr>
        <w:t>5</w:t>
      </w:r>
      <w:r>
        <w:rPr>
          <w:rFonts w:hint="eastAsia" w:ascii="宋体" w:eastAsia="宋体"/>
          <w:sz w:val="24"/>
          <w:szCs w:val="24"/>
        </w:rPr>
        <w:t>）检验</w:t>
      </w:r>
      <w:r>
        <w:rPr>
          <w:rFonts w:hint="eastAsia" w:ascii="宋体" w:eastAsia="宋体"/>
          <w:sz w:val="24"/>
          <w:szCs w:val="24"/>
          <w:lang w:val="en-US" w:eastAsia="zh-CN"/>
        </w:rPr>
        <w:t>厂商现场</w:t>
      </w:r>
      <w:r>
        <w:rPr>
          <w:rFonts w:hint="eastAsia" w:ascii="宋体" w:hAnsi="宋体"/>
          <w:color w:val="auto"/>
          <w:sz w:val="24"/>
          <w:szCs w:val="28"/>
        </w:rPr>
        <w:t>项目组测试人员</w:t>
      </w:r>
      <w:r>
        <w:rPr>
          <w:rFonts w:hint="eastAsia" w:ascii="宋体" w:eastAsia="宋体"/>
          <w:sz w:val="24"/>
          <w:szCs w:val="24"/>
          <w:lang w:val="en-US" w:eastAsia="zh-CN"/>
        </w:rPr>
        <w:t>的技术与业务水平，对需求的理解能力以及系统全流程测试的能力</w:t>
      </w:r>
      <w:r>
        <w:rPr>
          <w:rFonts w:hint="eastAsia" w:ascii="宋体" w:eastAsia="宋体"/>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8"/>
          <w:szCs w:val="28"/>
        </w:rPr>
      </w:pPr>
      <w:r>
        <w:rPr>
          <w:rFonts w:hint="eastAsia" w:ascii="宋体" w:eastAsia="宋体"/>
          <w:sz w:val="24"/>
          <w:szCs w:val="24"/>
        </w:rPr>
        <w:t>（</w:t>
      </w:r>
      <w:r>
        <w:rPr>
          <w:rFonts w:hint="eastAsia" w:ascii="宋体" w:eastAsia="宋体"/>
          <w:sz w:val="24"/>
          <w:szCs w:val="24"/>
          <w:lang w:val="en-US" w:eastAsia="zh-CN"/>
        </w:rPr>
        <w:t>6</w:t>
      </w:r>
      <w:r>
        <w:rPr>
          <w:rFonts w:hint="eastAsia" w:ascii="宋体" w:eastAsia="宋体"/>
          <w:sz w:val="24"/>
          <w:szCs w:val="24"/>
        </w:rPr>
        <w:t>）检验</w:t>
      </w:r>
      <w:r>
        <w:rPr>
          <w:rFonts w:hint="eastAsia" w:ascii="宋体" w:eastAsia="宋体"/>
          <w:sz w:val="24"/>
          <w:szCs w:val="24"/>
          <w:lang w:val="en-US" w:eastAsia="zh-CN"/>
        </w:rPr>
        <w:t>现场实施团队的服务水平与技术能力</w:t>
      </w:r>
      <w:r>
        <w:rPr>
          <w:rFonts w:hint="eastAsia" w:ascii="宋体" w:eastAsia="宋体"/>
          <w:sz w:val="28"/>
          <w:szCs w:val="28"/>
        </w:rPr>
        <w:t>。</w:t>
      </w:r>
    </w:p>
    <w:p>
      <w:pPr>
        <w:pStyle w:val="35"/>
        <w:keepNext w:val="0"/>
        <w:keepLines w:val="0"/>
        <w:pageBreakBefore w:val="0"/>
        <w:widowControl w:val="0"/>
        <w:numPr>
          <w:ilvl w:val="2"/>
          <w:numId w:val="7"/>
        </w:numPr>
        <w:kinsoku/>
        <w:wordWrap/>
        <w:overflowPunct/>
        <w:topLinePunct w:val="0"/>
        <w:autoSpaceDE w:val="0"/>
        <w:autoSpaceDN w:val="0"/>
        <w:bidi w:val="0"/>
        <w:spacing w:line="600" w:lineRule="exact"/>
        <w:ind w:left="0" w:firstLine="560" w:firstLineChars="200"/>
        <w:textAlignment w:val="auto"/>
        <w:outlineLvl w:val="1"/>
        <w:rPr>
          <w:rFonts w:hint="eastAsia" w:ascii="微软雅黑" w:eastAsia="微软雅黑"/>
          <w:b/>
          <w:bCs/>
          <w:sz w:val="28"/>
          <w:szCs w:val="28"/>
        </w:rPr>
      </w:pPr>
      <w:r>
        <w:rPr>
          <w:rFonts w:hint="eastAsia" w:ascii="微软雅黑" w:eastAsia="微软雅黑"/>
          <w:b/>
          <w:bCs/>
          <w:sz w:val="28"/>
          <w:szCs w:val="28"/>
          <w:lang w:val="en-US" w:eastAsia="zh-CN"/>
        </w:rPr>
        <w:t>面试</w:t>
      </w:r>
      <w:r>
        <w:rPr>
          <w:rFonts w:hint="eastAsia" w:ascii="微软雅黑" w:eastAsia="微软雅黑"/>
          <w:b/>
          <w:bCs/>
          <w:sz w:val="28"/>
          <w:szCs w:val="28"/>
        </w:rPr>
        <w:t>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本次</w:t>
      </w:r>
      <w:r>
        <w:rPr>
          <w:rFonts w:hint="eastAsia" w:ascii="宋体" w:eastAsia="宋体"/>
          <w:sz w:val="24"/>
          <w:szCs w:val="24"/>
          <w:lang w:val="en-US" w:eastAsia="zh-CN"/>
        </w:rPr>
        <w:t>面试</w:t>
      </w:r>
      <w:r>
        <w:rPr>
          <w:rFonts w:hint="eastAsia" w:ascii="宋体" w:eastAsia="宋体"/>
          <w:sz w:val="24"/>
          <w:szCs w:val="24"/>
        </w:rPr>
        <w:t>工作的重点是在有限时间内</w:t>
      </w:r>
      <w:r>
        <w:rPr>
          <w:rFonts w:hint="eastAsia" w:ascii="宋体" w:eastAsia="宋体"/>
          <w:sz w:val="24"/>
          <w:szCs w:val="24"/>
          <w:lang w:val="en-US" w:eastAsia="zh-CN"/>
        </w:rPr>
        <w:t>了解厂商现场实施团队的技术能力与服务水平</w:t>
      </w:r>
      <w:r>
        <w:rPr>
          <w:rFonts w:hint="eastAsia" w:ascii="宋体" w:eastAsia="宋体"/>
          <w:sz w:val="24"/>
          <w:szCs w:val="24"/>
        </w:rPr>
        <w:t>。因此，</w:t>
      </w:r>
      <w:r>
        <w:rPr>
          <w:rFonts w:hint="eastAsia" w:ascii="宋体" w:eastAsia="宋体"/>
          <w:sz w:val="24"/>
          <w:szCs w:val="24"/>
          <w:lang w:val="en-US" w:eastAsia="zh-CN"/>
        </w:rPr>
        <w:t>在面试</w:t>
      </w:r>
      <w:r>
        <w:rPr>
          <w:rFonts w:hint="eastAsia" w:ascii="宋体" w:eastAsia="宋体"/>
          <w:sz w:val="24"/>
          <w:szCs w:val="24"/>
        </w:rPr>
        <w:t>时需贯彻以下的原则：</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整个</w:t>
      </w:r>
      <w:r>
        <w:rPr>
          <w:rFonts w:hint="eastAsia" w:ascii="宋体" w:eastAsia="宋体"/>
          <w:sz w:val="24"/>
          <w:szCs w:val="24"/>
          <w:lang w:val="en-US" w:eastAsia="zh-CN"/>
        </w:rPr>
        <w:t>面试</w:t>
      </w:r>
      <w:r>
        <w:rPr>
          <w:rFonts w:hint="eastAsia" w:ascii="宋体" w:eastAsia="宋体"/>
          <w:sz w:val="24"/>
          <w:szCs w:val="24"/>
        </w:rPr>
        <w:t>过程体现公平、公正、严密、严谨、严肃的原则。</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厂商应坚持客观、公平、公正的原则，严格遵守</w:t>
      </w:r>
      <w:r>
        <w:rPr>
          <w:rFonts w:hint="eastAsia" w:ascii="宋体" w:eastAsia="宋体"/>
          <w:sz w:val="24"/>
          <w:szCs w:val="24"/>
          <w:lang w:val="en-US" w:eastAsia="zh-CN"/>
        </w:rPr>
        <w:t>面试</w:t>
      </w:r>
      <w:r>
        <w:rPr>
          <w:rFonts w:hint="eastAsia" w:ascii="宋体" w:eastAsia="宋体"/>
          <w:sz w:val="24"/>
          <w:szCs w:val="24"/>
        </w:rPr>
        <w:t>纪律</w:t>
      </w:r>
      <w:r>
        <w:rPr>
          <w:rFonts w:hint="eastAsia" w:ascii="宋体" w:eastAsia="宋体"/>
          <w:sz w:val="24"/>
          <w:szCs w:val="24"/>
          <w:lang w:eastAsia="zh-CN"/>
        </w:rPr>
        <w:t>，</w:t>
      </w:r>
      <w:r>
        <w:rPr>
          <w:rFonts w:hint="eastAsia" w:ascii="宋体" w:eastAsia="宋体"/>
          <w:sz w:val="24"/>
          <w:szCs w:val="24"/>
        </w:rPr>
        <w:t>注意做好保密工作，未经</w:t>
      </w:r>
      <w:r>
        <w:rPr>
          <w:rFonts w:hint="eastAsia" w:ascii="宋体" w:eastAsia="宋体"/>
          <w:sz w:val="24"/>
          <w:szCs w:val="24"/>
          <w:lang w:val="en-US" w:eastAsia="zh-CN"/>
        </w:rPr>
        <w:t>我行</w:t>
      </w:r>
      <w:r>
        <w:rPr>
          <w:rFonts w:hint="eastAsia" w:ascii="宋体" w:eastAsia="宋体"/>
          <w:sz w:val="24"/>
          <w:szCs w:val="24"/>
        </w:rPr>
        <w:t>许可，任何人不得擅自披露有关的</w:t>
      </w:r>
      <w:r>
        <w:rPr>
          <w:rFonts w:hint="eastAsia" w:ascii="宋体" w:eastAsia="宋体"/>
          <w:sz w:val="24"/>
          <w:szCs w:val="24"/>
          <w:lang w:val="en-US" w:eastAsia="zh-CN"/>
        </w:rPr>
        <w:t>人员面试的</w:t>
      </w:r>
      <w:r>
        <w:rPr>
          <w:rFonts w:hint="eastAsia" w:ascii="宋体" w:eastAsia="宋体"/>
          <w:sz w:val="24"/>
          <w:szCs w:val="24"/>
        </w:rPr>
        <w:t>情况和数据。</w:t>
      </w:r>
    </w:p>
    <w:p>
      <w:pPr>
        <w:pStyle w:val="35"/>
        <w:keepNext w:val="0"/>
        <w:keepLines w:val="0"/>
        <w:pageBreakBefore w:val="0"/>
        <w:widowControl w:val="0"/>
        <w:numPr>
          <w:ilvl w:val="0"/>
          <w:numId w:val="7"/>
        </w:numPr>
        <w:kinsoku/>
        <w:wordWrap/>
        <w:overflowPunct/>
        <w:topLinePunct w:val="0"/>
        <w:autoSpaceDE w:val="0"/>
        <w:autoSpaceDN w:val="0"/>
        <w:bidi w:val="0"/>
        <w:spacing w:line="600" w:lineRule="exact"/>
        <w:ind w:left="0" w:firstLine="640" w:firstLineChars="200"/>
        <w:textAlignment w:val="auto"/>
        <w:outlineLvl w:val="0"/>
        <w:rPr>
          <w:rFonts w:ascii="微软雅黑" w:eastAsia="微软雅黑"/>
          <w:b/>
          <w:bCs/>
          <w:sz w:val="32"/>
          <w:szCs w:val="32"/>
        </w:rPr>
      </w:pPr>
      <w:r>
        <w:rPr>
          <w:rFonts w:hint="eastAsia" w:ascii="微软雅黑" w:eastAsia="微软雅黑"/>
          <w:b/>
          <w:bCs/>
          <w:sz w:val="32"/>
          <w:szCs w:val="32"/>
          <w:lang w:val="en-US" w:eastAsia="zh-CN"/>
        </w:rPr>
        <w:t>面试</w:t>
      </w:r>
      <w:r>
        <w:rPr>
          <w:rFonts w:hint="eastAsia" w:ascii="微软雅黑" w:eastAsia="微软雅黑"/>
          <w:b/>
          <w:bCs/>
          <w:sz w:val="32"/>
          <w:szCs w:val="32"/>
        </w:rPr>
        <w:t>安排</w:t>
      </w:r>
    </w:p>
    <w:p>
      <w:pPr>
        <w:pStyle w:val="35"/>
        <w:keepNext w:val="0"/>
        <w:keepLines w:val="0"/>
        <w:pageBreakBefore w:val="0"/>
        <w:widowControl w:val="0"/>
        <w:numPr>
          <w:ilvl w:val="2"/>
          <w:numId w:val="7"/>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hint="eastAsia" w:ascii="微软雅黑" w:eastAsia="微软雅黑"/>
          <w:b/>
          <w:bCs/>
          <w:sz w:val="28"/>
          <w:szCs w:val="28"/>
          <w:lang w:val="en-US" w:eastAsia="zh-CN"/>
        </w:rPr>
        <w:t>面试</w:t>
      </w:r>
      <w:r>
        <w:rPr>
          <w:rFonts w:hint="eastAsia" w:ascii="微软雅黑" w:eastAsia="微软雅黑"/>
          <w:b/>
          <w:bCs/>
          <w:sz w:val="28"/>
          <w:szCs w:val="28"/>
        </w:rPr>
        <w:t>时间、地点</w:t>
      </w:r>
      <w:r>
        <w:rPr>
          <w:rFonts w:hint="eastAsia" w:ascii="微软雅黑" w:eastAsia="微软雅黑"/>
          <w:b/>
          <w:bCs/>
          <w:sz w:val="28"/>
          <w:szCs w:val="28"/>
          <w:lang w:eastAsia="zh-CN"/>
        </w:rPr>
        <w:t>、</w:t>
      </w:r>
      <w:r>
        <w:rPr>
          <w:rFonts w:hint="eastAsia" w:ascii="微软雅黑" w:eastAsia="微软雅黑"/>
          <w:b/>
          <w:bCs/>
          <w:sz w:val="28"/>
          <w:szCs w:val="28"/>
          <w:lang w:val="en-US" w:eastAsia="zh-CN"/>
        </w:rPr>
        <w:t>顺序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ascii="宋体" w:eastAsia="宋体"/>
          <w:sz w:val="24"/>
          <w:szCs w:val="24"/>
        </w:rPr>
      </w:pPr>
      <w:r>
        <w:rPr>
          <w:rFonts w:hint="eastAsia" w:ascii="宋体" w:eastAsia="宋体"/>
          <w:sz w:val="24"/>
          <w:szCs w:val="24"/>
        </w:rPr>
        <w:t>本次</w:t>
      </w:r>
      <w:r>
        <w:rPr>
          <w:rFonts w:hint="eastAsia" w:ascii="宋体" w:eastAsia="宋体"/>
          <w:sz w:val="24"/>
          <w:szCs w:val="24"/>
          <w:lang w:val="en-US" w:eastAsia="zh-CN"/>
        </w:rPr>
        <w:t>面试</w:t>
      </w:r>
      <w:r>
        <w:rPr>
          <w:rFonts w:hint="eastAsia" w:ascii="宋体" w:eastAsia="宋体"/>
          <w:sz w:val="24"/>
          <w:szCs w:val="24"/>
        </w:rPr>
        <w:t>实施时间</w:t>
      </w:r>
      <w:r>
        <w:rPr>
          <w:rFonts w:hint="eastAsia" w:ascii="Times New Roman" w:hAnsi="Times New Roman" w:cs="Times New Roman"/>
          <w:color w:val="auto"/>
          <w:highlight w:val="none"/>
          <w:shd w:val="clear" w:color="auto" w:fill="auto"/>
          <w:lang w:val="en-US" w:eastAsia="zh-CN"/>
        </w:rPr>
        <w:t>根据项目实际情况安排</w:t>
      </w:r>
      <w:r>
        <w:rPr>
          <w:rFonts w:hint="eastAsia" w:ascii="宋体" w:eastAsia="宋体"/>
          <w:sz w:val="24"/>
          <w:szCs w:val="24"/>
        </w:rPr>
        <w:t>，</w:t>
      </w:r>
      <w:r>
        <w:rPr>
          <w:rFonts w:hint="eastAsia" w:ascii="宋体"/>
          <w:sz w:val="24"/>
          <w:szCs w:val="24"/>
          <w:lang w:val="en-US" w:eastAsia="zh-CN"/>
        </w:rPr>
        <w:t>在比选前完成，</w:t>
      </w:r>
      <w:r>
        <w:rPr>
          <w:rFonts w:hint="eastAsia" w:ascii="宋体" w:eastAsia="宋体"/>
          <w:sz w:val="24"/>
          <w:szCs w:val="24"/>
        </w:rPr>
        <w:t>厂商根据安排</w:t>
      </w:r>
      <w:r>
        <w:rPr>
          <w:rFonts w:ascii="宋体" w:eastAsia="宋体"/>
          <w:sz w:val="24"/>
          <w:szCs w:val="24"/>
        </w:rPr>
        <w:t>分批次</w:t>
      </w:r>
      <w:r>
        <w:rPr>
          <w:rFonts w:hint="eastAsia" w:ascii="宋体" w:eastAsia="宋体"/>
          <w:sz w:val="24"/>
          <w:szCs w:val="24"/>
          <w:lang w:val="en-US" w:eastAsia="zh-CN"/>
        </w:rPr>
        <w:t>面试</w:t>
      </w:r>
      <w:r>
        <w:rPr>
          <w:rFonts w:hint="eastAsia" w:ascii="宋体" w:eastAsia="宋体"/>
          <w:sz w:val="24"/>
          <w:szCs w:val="24"/>
        </w:rPr>
        <w:t>，在规定时间内完成</w:t>
      </w:r>
      <w:r>
        <w:rPr>
          <w:rFonts w:hint="eastAsia" w:ascii="宋体" w:eastAsia="宋体"/>
          <w:sz w:val="24"/>
          <w:szCs w:val="24"/>
          <w:lang w:val="en-US" w:eastAsia="zh-CN"/>
        </w:rPr>
        <w:t>面试</w:t>
      </w:r>
      <w:r>
        <w:rPr>
          <w:rFonts w:hint="eastAsia" w:ascii="宋体" w:eastAsia="宋体"/>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（1）时间</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根据项目实际情况安排</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2"/>
        <w:rPr>
          <w:rFonts w:ascii="宋体" w:eastAsia="宋体"/>
          <w:sz w:val="24"/>
          <w:szCs w:val="24"/>
        </w:rPr>
      </w:pPr>
      <w:r>
        <w:rPr>
          <w:rFonts w:hint="eastAsia" w:ascii="宋体" w:eastAsia="宋体"/>
          <w:sz w:val="24"/>
          <w:szCs w:val="24"/>
        </w:rPr>
        <w:t>（2）地点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outlineLvl w:val="3"/>
        <w:rPr>
          <w:rFonts w:ascii="宋体" w:eastAsia="宋体"/>
          <w:sz w:val="24"/>
          <w:szCs w:val="24"/>
          <w:lang w:val="en-US" w:eastAsia="zh-CN"/>
        </w:rPr>
      </w:pPr>
      <w:r>
        <w:rPr>
          <w:rFonts w:hint="eastAsia" w:ascii="宋体" w:eastAsia="宋体"/>
          <w:sz w:val="24"/>
          <w:szCs w:val="24"/>
        </w:rPr>
        <w:t>重庆三峡银行西永办公楼</w:t>
      </w:r>
      <w:r>
        <w:rPr>
          <w:rFonts w:hint="eastAsia" w:ascii="宋体" w:eastAsia="宋体"/>
          <w:sz w:val="24"/>
          <w:szCs w:val="24"/>
          <w:lang w:val="en-US" w:eastAsia="zh-CN"/>
        </w:rPr>
        <w:t>或者远程面试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480" w:firstLineChars="200"/>
        <w:textAlignment w:val="auto"/>
        <w:rPr>
          <w:rFonts w:hint="eastAsia" w:ascii="宋体" w:eastAsia="宋体"/>
          <w:sz w:val="24"/>
          <w:szCs w:val="24"/>
        </w:rPr>
      </w:pPr>
      <w:r>
        <w:rPr>
          <w:rFonts w:hint="eastAsia" w:ascii="宋体" w:eastAsia="宋体"/>
          <w:sz w:val="24"/>
          <w:szCs w:val="24"/>
        </w:rPr>
        <w:t>（重庆市沙坪坝区学城大道67号西永软件</w:t>
      </w:r>
      <w:r>
        <w:rPr>
          <w:rFonts w:ascii="宋体" w:eastAsia="宋体"/>
          <w:sz w:val="24"/>
          <w:szCs w:val="24"/>
        </w:rPr>
        <w:t>园</w:t>
      </w:r>
      <w:r>
        <w:rPr>
          <w:rFonts w:hint="eastAsia" w:ascii="宋体" w:eastAsia="宋体"/>
          <w:sz w:val="24"/>
          <w:szCs w:val="24"/>
        </w:rPr>
        <w:t>2号楼）</w:t>
      </w:r>
    </w:p>
    <w:p>
      <w:pPr>
        <w:pStyle w:val="35"/>
        <w:keepNext w:val="0"/>
        <w:keepLines w:val="0"/>
        <w:pageBreakBefore w:val="0"/>
        <w:widowControl w:val="0"/>
        <w:numPr>
          <w:ilvl w:val="2"/>
          <w:numId w:val="7"/>
        </w:numPr>
        <w:kinsoku/>
        <w:wordWrap/>
        <w:overflowPunct/>
        <w:topLinePunct w:val="0"/>
        <w:autoSpaceDE w:val="0"/>
        <w:autoSpaceDN w:val="0"/>
        <w:bidi w:val="0"/>
        <w:spacing w:line="600" w:lineRule="exact"/>
        <w:ind w:left="0" w:firstLine="560" w:firstLineChars="200"/>
        <w:textAlignment w:val="auto"/>
        <w:outlineLvl w:val="1"/>
        <w:rPr>
          <w:rFonts w:ascii="微软雅黑" w:eastAsia="微软雅黑"/>
          <w:b/>
          <w:bCs/>
          <w:sz w:val="28"/>
          <w:szCs w:val="28"/>
        </w:rPr>
      </w:pPr>
      <w:r>
        <w:rPr>
          <w:rFonts w:hint="eastAsia" w:ascii="微软雅黑" w:eastAsia="微软雅黑"/>
          <w:b/>
          <w:bCs/>
          <w:sz w:val="28"/>
          <w:szCs w:val="28"/>
          <w:lang w:val="en-US" w:eastAsia="zh-CN"/>
        </w:rPr>
        <w:t>面试人员要求</w:t>
      </w:r>
    </w:p>
    <w:p>
      <w:pPr>
        <w:keepNext w:val="0"/>
        <w:keepLines w:val="0"/>
        <w:pageBreakBefore w:val="0"/>
        <w:widowControl w:val="0"/>
        <w:kinsoku/>
        <w:wordWrap/>
        <w:overflowPunct/>
        <w:topLinePunct w:val="0"/>
        <w:autoSpaceDE w:val="0"/>
        <w:autoSpaceDN w:val="0"/>
        <w:bidi w:val="0"/>
        <w:spacing w:line="600" w:lineRule="exact"/>
        <w:ind w:left="0" w:firstLine="480" w:firstLineChars="200"/>
        <w:textAlignment w:val="auto"/>
        <w:rPr>
          <w:rFonts w:ascii="宋体" w:hAnsi="宋体"/>
          <w:color w:val="auto"/>
        </w:rPr>
      </w:pPr>
      <w:r>
        <w:rPr>
          <w:rFonts w:hint="eastAsia" w:ascii="宋体" w:eastAsia="宋体" w:cs="宋体"/>
          <w:sz w:val="24"/>
          <w:szCs w:val="24"/>
          <w:lang w:val="en-US" w:eastAsia="zh-CN"/>
        </w:rPr>
        <w:t>所有面试人员为参选材料中人员，面试人员为入场实施的人员，</w:t>
      </w:r>
      <w:r>
        <w:rPr>
          <w:rFonts w:hint="eastAsia" w:ascii="宋体" w:hAnsi="宋体"/>
          <w:snapToGrid w:val="0"/>
          <w:color w:val="auto"/>
          <w:kern w:val="0"/>
          <w:sz w:val="24"/>
          <w:szCs w:val="28"/>
        </w:rPr>
        <w:t>所有成员必须为</w:t>
      </w:r>
      <w:r>
        <w:rPr>
          <w:rFonts w:hint="eastAsia" w:ascii="宋体" w:hAnsi="宋体"/>
          <w:color w:val="auto"/>
          <w:sz w:val="24"/>
        </w:rPr>
        <w:t>参选人</w:t>
      </w:r>
      <w:r>
        <w:rPr>
          <w:rFonts w:hint="eastAsia" w:ascii="宋体" w:hAnsi="宋体"/>
          <w:snapToGrid w:val="0"/>
          <w:color w:val="auto"/>
          <w:kern w:val="0"/>
          <w:sz w:val="24"/>
          <w:szCs w:val="28"/>
        </w:rPr>
        <w:t>单位员工，</w:t>
      </w:r>
      <w:r>
        <w:rPr>
          <w:rFonts w:hint="eastAsia" w:ascii="宋体" w:hAnsi="宋体"/>
          <w:b/>
          <w:color w:val="auto"/>
          <w:sz w:val="24"/>
        </w:rPr>
        <w:t>参选人</w:t>
      </w:r>
      <w:r>
        <w:rPr>
          <w:rFonts w:hint="eastAsia" w:ascii="宋体" w:hAnsi="宋体"/>
          <w:b/>
          <w:snapToGrid w:val="0"/>
          <w:color w:val="auto"/>
          <w:kern w:val="0"/>
          <w:sz w:val="24"/>
          <w:szCs w:val="28"/>
        </w:rPr>
        <w:t>项目组成员须提供近半年公司为其缴纳社保的证明材料，不得外包其他单位员工</w:t>
      </w:r>
      <w:r>
        <w:rPr>
          <w:rFonts w:hint="eastAsia" w:ascii="宋体" w:hAnsi="宋体"/>
          <w:b/>
          <w:snapToGrid w:val="0"/>
          <w:color w:val="auto"/>
          <w:kern w:val="0"/>
          <w:sz w:val="24"/>
          <w:szCs w:val="28"/>
          <w:lang w:eastAsia="zh-CN"/>
        </w:rPr>
        <w:t>，</w:t>
      </w:r>
      <w:r>
        <w:rPr>
          <w:rFonts w:hint="eastAsia" w:ascii="宋体" w:hAnsi="宋体"/>
          <w:snapToGrid w:val="0"/>
          <w:color w:val="auto"/>
          <w:kern w:val="0"/>
          <w:sz w:val="24"/>
        </w:rPr>
        <w:t>面试人员在合同签订时不得进行更换。</w:t>
      </w:r>
      <w:r>
        <w:rPr>
          <w:rFonts w:ascii="宋体" w:hAnsi="宋体"/>
          <w:color w:val="auto"/>
          <w:sz w:val="24"/>
          <w:szCs w:val="24"/>
        </w:rPr>
        <w:t>项目组成员若有违约违规行为将由</w:t>
      </w:r>
      <w:r>
        <w:rPr>
          <w:rFonts w:hint="eastAsia" w:ascii="宋体" w:hAnsi="宋体"/>
          <w:color w:val="auto"/>
          <w:sz w:val="24"/>
          <w:szCs w:val="24"/>
          <w:lang w:val="en-US" w:eastAsia="zh-CN"/>
        </w:rPr>
        <w:t>厂商</w:t>
      </w:r>
      <w:r>
        <w:rPr>
          <w:rFonts w:ascii="宋体" w:hAnsi="宋体"/>
          <w:color w:val="auto"/>
          <w:sz w:val="24"/>
          <w:szCs w:val="24"/>
        </w:rPr>
        <w:t>承担责任。</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highlight w:val="none"/>
                <w:shd w:val="clear" w:color="auto" w:fill="auto"/>
              </w:rPr>
              <w:t>项目经理</w:t>
            </w:r>
          </w:p>
        </w:tc>
        <w:tc>
          <w:tcPr>
            <w:tcW w:w="76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pacing w:line="240" w:lineRule="auto"/>
              <w:ind w:firstLine="0" w:firstLineChars="0"/>
              <w:textAlignment w:val="auto"/>
              <w:rPr>
                <w:rFonts w:hint="eastAsia" w:ascii="宋体" w:hAnsi="宋体" w:eastAsia="宋体" w:cs="宋体"/>
                <w:i w:val="0"/>
                <w:iCs w:val="0"/>
                <w:kern w:val="0"/>
                <w:sz w:val="20"/>
                <w:szCs w:val="20"/>
                <w:u w:val="none"/>
                <w:lang w:val="en-US" w:eastAsia="zh-CN"/>
              </w:rPr>
            </w:pPr>
            <w:r>
              <w:rPr>
                <w:rFonts w:hint="eastAsia" w:ascii="Times New Roman" w:hAnsi="Times New Roman" w:cs="Cambria"/>
                <w:kern w:val="0"/>
                <w:sz w:val="20"/>
                <w:szCs w:val="20"/>
                <w:shd w:val="clear" w:color="auto" w:fill="auto"/>
                <w:lang w:val="en-US" w:eastAsia="zh-CN"/>
              </w:rPr>
              <w:t>近两年全面建设类似手机银行的项目，</w:t>
            </w:r>
            <w:r>
              <w:rPr>
                <w:rFonts w:hint="eastAsia" w:ascii="Times New Roman" w:hAnsi="Times New Roman" w:cs="Cambria"/>
                <w:kern w:val="0"/>
                <w:sz w:val="20"/>
                <w:szCs w:val="20"/>
                <w:shd w:val="clear" w:color="auto" w:fill="auto"/>
              </w:rPr>
              <w:t>主导过三个</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lang w:val="en-US" w:eastAsia="zh-CN"/>
              </w:rPr>
              <w:t>含</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rPr>
              <w:t>以上同类项目和具有五年</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lang w:val="en-US" w:eastAsia="zh-CN"/>
              </w:rPr>
              <w:t>含</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rPr>
              <w:t>以上项目经理工作经验</w:t>
            </w:r>
            <w:r>
              <w:rPr>
                <w:rFonts w:hint="eastAsia" w:ascii="Times New Roman" w:hAnsi="Times New Roman"/>
                <w:sz w:val="20"/>
                <w:szCs w:val="20"/>
                <w:shd w:val="clear" w:color="auto" w:fill="auto"/>
              </w:rPr>
              <w:t>，具有独当一面的技术能力；直接对项目的实施负责，通过对工期、成本、质量的控制（包括总体制定、执行、跟踪、调整相关计划，协调项目可用资源），确保项目按要求完成。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highlight w:val="none"/>
                <w:shd w:val="clear" w:color="auto" w:fill="auto"/>
              </w:rPr>
              <w:t>需求分析师</w:t>
            </w:r>
          </w:p>
        </w:tc>
        <w:tc>
          <w:tcPr>
            <w:tcW w:w="76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pacing w:line="240" w:lineRule="auto"/>
              <w:ind w:firstLine="0" w:firstLineChars="0"/>
              <w:textAlignment w:val="auto"/>
              <w:rPr>
                <w:rFonts w:hint="eastAsia" w:ascii="宋体" w:hAnsi="宋体" w:eastAsia="宋体" w:cs="宋体"/>
                <w:i w:val="0"/>
                <w:iCs w:val="0"/>
                <w:kern w:val="0"/>
                <w:sz w:val="20"/>
                <w:szCs w:val="20"/>
                <w:u w:val="none"/>
                <w:lang w:val="en-US" w:eastAsia="zh-CN"/>
              </w:rPr>
            </w:pPr>
            <w:r>
              <w:rPr>
                <w:rFonts w:hint="eastAsia" w:ascii="Times New Roman" w:hAnsi="Times New Roman" w:cs="Cambria"/>
                <w:kern w:val="0"/>
                <w:sz w:val="20"/>
                <w:szCs w:val="20"/>
                <w:shd w:val="clear" w:color="auto" w:fill="auto"/>
                <w:lang w:val="en-US" w:eastAsia="zh-CN"/>
              </w:rPr>
              <w:t>近两年</w:t>
            </w:r>
            <w:r>
              <w:rPr>
                <w:rFonts w:hint="eastAsia" w:ascii="Times New Roman" w:hAnsi="Times New Roman" w:cs="Cambria"/>
                <w:kern w:val="0"/>
                <w:sz w:val="20"/>
                <w:szCs w:val="20"/>
                <w:shd w:val="clear" w:color="auto" w:fill="auto"/>
              </w:rPr>
              <w:t>主导完成过三个</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lang w:val="en-US" w:eastAsia="zh-CN"/>
              </w:rPr>
              <w:t>含</w:t>
            </w:r>
            <w:r>
              <w:rPr>
                <w:rFonts w:hint="eastAsia" w:ascii="Times New Roman" w:hAnsi="Times New Roman" w:cs="Cambria"/>
                <w:kern w:val="0"/>
                <w:sz w:val="20"/>
                <w:szCs w:val="20"/>
                <w:shd w:val="clear" w:color="auto" w:fill="auto"/>
                <w:lang w:eastAsia="zh-CN"/>
              </w:rPr>
              <w:t>）</w:t>
            </w:r>
            <w:r>
              <w:rPr>
                <w:rFonts w:hint="eastAsia" w:ascii="Times New Roman" w:hAnsi="Times New Roman" w:cs="Cambria"/>
                <w:kern w:val="0"/>
                <w:sz w:val="20"/>
                <w:szCs w:val="20"/>
                <w:shd w:val="clear" w:color="auto" w:fill="auto"/>
              </w:rPr>
              <w:t>以上同类项目的需求分析、设计，</w:t>
            </w:r>
            <w:r>
              <w:rPr>
                <w:rFonts w:hint="eastAsia" w:ascii="Times New Roman" w:hAnsi="Times New Roman"/>
                <w:sz w:val="20"/>
                <w:szCs w:val="20"/>
                <w:shd w:val="clear" w:color="auto" w:fill="auto"/>
              </w:rPr>
              <w:t>熟悉银行业务流程和相关法律法规，能够辅助比选人完成业务流程梳理、整合以及创新，善于表达，具有良好的沟通技巧和能力。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highlight w:val="none"/>
                <w:shd w:val="clear" w:color="auto" w:fill="auto"/>
              </w:rPr>
              <w:t>系统架构师</w:t>
            </w:r>
          </w:p>
        </w:tc>
        <w:tc>
          <w:tcPr>
            <w:tcW w:w="76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s="Cambria"/>
                <w:color w:val="auto"/>
                <w:kern w:val="0"/>
                <w:sz w:val="20"/>
                <w:szCs w:val="20"/>
                <w:shd w:val="clear" w:color="auto" w:fill="auto"/>
              </w:rPr>
              <w:t>主导过三个</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rPr>
              <w:t>以上同类项目和七年</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rPr>
              <w:t>以上相关工作经历</w:t>
            </w:r>
            <w:r>
              <w:rPr>
                <w:rFonts w:hint="eastAsia" w:ascii="Times New Roman" w:hAnsi="Times New Roman"/>
                <w:color w:val="auto"/>
                <w:sz w:val="20"/>
                <w:szCs w:val="20"/>
                <w:shd w:val="clear" w:color="auto" w:fill="auto"/>
              </w:rPr>
              <w:t>，并且熟悉SOA、分布式架构以及主流开发框架。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highlight w:val="none"/>
                <w:shd w:val="clear" w:color="auto" w:fill="auto"/>
              </w:rPr>
              <w:t>项目组开发人员</w:t>
            </w:r>
          </w:p>
        </w:tc>
        <w:tc>
          <w:tcPr>
            <w:tcW w:w="76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shd w:val="clear" w:color="auto" w:fill="auto"/>
                <w:lang w:val="en-US" w:eastAsia="zh-CN"/>
              </w:rPr>
              <w:t>具有两</w:t>
            </w:r>
            <w:r>
              <w:rPr>
                <w:rFonts w:hint="eastAsia" w:ascii="Times New Roman" w:hAnsi="Times New Roman"/>
                <w:color w:val="auto"/>
                <w:sz w:val="20"/>
                <w:szCs w:val="20"/>
                <w:shd w:val="clear" w:color="auto" w:fill="auto"/>
              </w:rPr>
              <w:t>年</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以上</w:t>
            </w:r>
            <w:r>
              <w:rPr>
                <w:rFonts w:hint="eastAsia" w:ascii="Times New Roman" w:hAnsi="Times New Roman"/>
                <w:color w:val="auto"/>
                <w:sz w:val="20"/>
                <w:szCs w:val="20"/>
                <w:shd w:val="clear" w:color="auto" w:fill="auto"/>
              </w:rPr>
              <w:t>开发经验，开发组长须有五年</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以上</w:t>
            </w:r>
            <w:r>
              <w:rPr>
                <w:rFonts w:hint="eastAsia" w:ascii="Times New Roman" w:hAnsi="Times New Roman"/>
                <w:color w:val="auto"/>
                <w:sz w:val="20"/>
                <w:szCs w:val="20"/>
                <w:shd w:val="clear" w:color="auto" w:fill="auto"/>
              </w:rPr>
              <w:t>开发经验，且均有银行相关系统的项目实施经历。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jc w:val="center"/>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highlight w:val="none"/>
                <w:shd w:val="clear" w:color="auto" w:fill="auto"/>
              </w:rPr>
              <w:t>项目组测试人员</w:t>
            </w:r>
          </w:p>
        </w:tc>
        <w:tc>
          <w:tcPr>
            <w:tcW w:w="76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ind w:firstLine="0" w:firstLineChars="0"/>
              <w:textAlignment w:val="auto"/>
              <w:rPr>
                <w:rFonts w:hint="eastAsia" w:ascii="宋体" w:hAnsi="宋体" w:eastAsia="宋体" w:cs="宋体"/>
                <w:i w:val="0"/>
                <w:iCs w:val="0"/>
                <w:color w:val="000000"/>
                <w:kern w:val="0"/>
                <w:sz w:val="20"/>
                <w:szCs w:val="20"/>
                <w:u w:val="none"/>
                <w:lang w:val="en-US" w:eastAsia="zh-CN"/>
              </w:rPr>
            </w:pPr>
            <w:r>
              <w:rPr>
                <w:rFonts w:hint="eastAsia" w:ascii="Times New Roman" w:hAnsi="Times New Roman"/>
                <w:color w:val="auto"/>
                <w:sz w:val="20"/>
                <w:szCs w:val="20"/>
                <w:shd w:val="clear" w:color="auto" w:fill="auto"/>
              </w:rPr>
              <w:t>具有两年</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olor w:val="auto"/>
                <w:sz w:val="20"/>
                <w:szCs w:val="20"/>
                <w:shd w:val="clear" w:color="auto" w:fill="auto"/>
              </w:rPr>
              <w:t>以上银行相关系统测试经验，</w:t>
            </w:r>
            <w:r>
              <w:rPr>
                <w:rFonts w:hint="eastAsia" w:ascii="Times New Roman" w:hAnsi="Times New Roman" w:cs="Cambria"/>
                <w:color w:val="auto"/>
                <w:kern w:val="0"/>
                <w:sz w:val="20"/>
                <w:szCs w:val="20"/>
                <w:shd w:val="clear" w:color="auto" w:fill="auto"/>
              </w:rPr>
              <w:t>项目测试经理主导完成过</w:t>
            </w:r>
            <w:r>
              <w:rPr>
                <w:rFonts w:hint="eastAsia" w:ascii="Times New Roman" w:hAnsi="Times New Roman" w:cs="Cambria"/>
                <w:color w:val="auto"/>
                <w:kern w:val="0"/>
                <w:sz w:val="20"/>
                <w:szCs w:val="20"/>
                <w:shd w:val="clear" w:color="auto" w:fill="auto"/>
                <w:lang w:val="en-US" w:eastAsia="zh-CN"/>
              </w:rPr>
              <w:t>两</w:t>
            </w:r>
            <w:r>
              <w:rPr>
                <w:rFonts w:hint="eastAsia" w:ascii="Times New Roman" w:hAnsi="Times New Roman" w:cs="Cambria"/>
                <w:color w:val="auto"/>
                <w:kern w:val="0"/>
                <w:sz w:val="20"/>
                <w:szCs w:val="20"/>
                <w:shd w:val="clear" w:color="auto" w:fill="auto"/>
              </w:rPr>
              <w:t>个</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rPr>
              <w:t>以上同类项目的系统测试工作</w:t>
            </w:r>
            <w:r>
              <w:rPr>
                <w:rFonts w:hint="eastAsia" w:ascii="Times New Roman" w:hAnsi="Times New Roman"/>
                <w:color w:val="auto"/>
                <w:sz w:val="20"/>
                <w:szCs w:val="20"/>
                <w:shd w:val="clear" w:color="auto" w:fill="auto"/>
              </w:rPr>
              <w:t>，且具有三年</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s="Cambria"/>
                <w:color w:val="auto"/>
                <w:kern w:val="0"/>
                <w:sz w:val="20"/>
                <w:szCs w:val="20"/>
                <w:shd w:val="clear" w:color="auto" w:fill="auto"/>
                <w:lang w:val="en-US" w:eastAsia="zh-CN"/>
              </w:rPr>
              <w:t>含</w:t>
            </w:r>
            <w:r>
              <w:rPr>
                <w:rFonts w:hint="eastAsia" w:ascii="Times New Roman" w:hAnsi="Times New Roman" w:cs="Cambria"/>
                <w:color w:val="auto"/>
                <w:kern w:val="0"/>
                <w:sz w:val="20"/>
                <w:szCs w:val="20"/>
                <w:shd w:val="clear" w:color="auto" w:fill="auto"/>
                <w:lang w:eastAsia="zh-CN"/>
              </w:rPr>
              <w:t>）</w:t>
            </w:r>
            <w:r>
              <w:rPr>
                <w:rFonts w:hint="eastAsia" w:ascii="Times New Roman" w:hAnsi="Times New Roman"/>
                <w:color w:val="auto"/>
                <w:sz w:val="20"/>
                <w:szCs w:val="20"/>
                <w:shd w:val="clear" w:color="auto" w:fill="auto"/>
              </w:rPr>
              <w:t>以上银行相关系统测试经验。</w:t>
            </w:r>
          </w:p>
        </w:tc>
      </w:tr>
    </w:tbl>
    <w:p>
      <w:pPr>
        <w:pStyle w:val="35"/>
        <w:numPr>
          <w:ilvl w:val="0"/>
          <w:numId w:val="7"/>
        </w:numPr>
        <w:ind w:firstLineChars="0"/>
        <w:rPr>
          <w:rFonts w:ascii="微软雅黑" w:eastAsia="微软雅黑"/>
          <w:b/>
          <w:bCs/>
          <w:sz w:val="32"/>
          <w:szCs w:val="32"/>
        </w:rPr>
      </w:pPr>
      <w:r>
        <w:rPr>
          <w:rFonts w:hint="eastAsia" w:ascii="微软雅黑" w:eastAsia="微软雅黑"/>
          <w:b/>
          <w:bCs/>
          <w:sz w:val="32"/>
          <w:szCs w:val="32"/>
          <w:lang w:val="en-US" w:eastAsia="zh-CN"/>
        </w:rPr>
        <w:t>面试关注点</w:t>
      </w:r>
    </w:p>
    <w:tbl>
      <w:tblPr>
        <w:tblStyle w:val="20"/>
        <w:tblW w:w="5439" w:type="pct"/>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9"/>
        <w:gridCol w:w="1255"/>
        <w:gridCol w:w="2037"/>
        <w:gridCol w:w="5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9"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255"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分类</w:t>
            </w:r>
          </w:p>
        </w:tc>
        <w:tc>
          <w:tcPr>
            <w:tcW w:w="2037"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模块</w:t>
            </w:r>
          </w:p>
        </w:tc>
        <w:tc>
          <w:tcPr>
            <w:tcW w:w="5010"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关注点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rPr>
              <w:t>1</w:t>
            </w:r>
          </w:p>
        </w:tc>
        <w:tc>
          <w:tcPr>
            <w:tcW w:w="12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基本情况（10分）</w:t>
            </w:r>
          </w:p>
        </w:tc>
        <w:tc>
          <w:tcPr>
            <w:tcW w:w="2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情况</w:t>
            </w:r>
          </w:p>
        </w:tc>
        <w:tc>
          <w:tcPr>
            <w:tcW w:w="50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numPr>
                <w:ilvl w:val="0"/>
                <w:numId w:val="9"/>
              </w:numPr>
              <w:suppressLineNumbers w:val="0"/>
              <w:kinsoku/>
              <w:wordWrap/>
              <w:overflowPunct/>
              <w:topLinePunct w:val="0"/>
              <w:autoSpaceDE w:val="0"/>
              <w:autoSpaceDN w:val="0"/>
              <w:bidi w:val="0"/>
              <w:adjustRightInd/>
              <w:snapToGrid/>
              <w:ind w:firstLine="0" w:firstLineChars="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自我介绍</w:t>
            </w:r>
          </w:p>
          <w:p>
            <w:pPr>
              <w:keepNext w:val="0"/>
              <w:keepLines w:val="0"/>
              <w:pageBreakBefore w:val="0"/>
              <w:widowControl/>
              <w:numPr>
                <w:ilvl w:val="0"/>
                <w:numId w:val="9"/>
              </w:numPr>
              <w:suppressLineNumbers w:val="0"/>
              <w:kinsoku/>
              <w:wordWrap/>
              <w:overflowPunct/>
              <w:topLinePunct w:val="0"/>
              <w:autoSpaceDE w:val="0"/>
              <w:autoSpaceDN w:val="0"/>
              <w:bidi w:val="0"/>
              <w:adjustRightInd/>
              <w:snapToGrid/>
              <w:ind w:firstLine="0" w:firstLineChars="0"/>
              <w:jc w:val="both"/>
              <w:textAlignment w:val="center"/>
              <w:rPr>
                <w:rFonts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项目经验介绍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2</w:t>
            </w:r>
          </w:p>
        </w:tc>
        <w:tc>
          <w:tcPr>
            <w:tcW w:w="12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需求方面（25分）</w:t>
            </w:r>
          </w:p>
        </w:tc>
        <w:tc>
          <w:tcPr>
            <w:tcW w:w="2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需求整体理解</w:t>
            </w:r>
          </w:p>
        </w:tc>
        <w:tc>
          <w:tcPr>
            <w:tcW w:w="50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对手机银行系统整体需求的理解能力。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3</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产品原型理解</w:t>
            </w:r>
          </w:p>
        </w:tc>
        <w:tc>
          <w:tcPr>
            <w:tcW w:w="50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厂商产品原型的理解，并能讲解产品原型的各个能力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4</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需求分析能力</w:t>
            </w:r>
          </w:p>
        </w:tc>
        <w:tc>
          <w:tcPr>
            <w:tcW w:w="50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需求分析的流程与步骤，需求最终确认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kern w:val="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rPr>
              <w:t>5</w:t>
            </w:r>
          </w:p>
        </w:tc>
        <w:tc>
          <w:tcPr>
            <w:tcW w:w="12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差异分析与个性化功能的分析</w:t>
            </w:r>
          </w:p>
        </w:tc>
        <w:tc>
          <w:tcPr>
            <w:tcW w:w="50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产品原型与行内需求差异的分析，可具体举例说明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6</w:t>
            </w:r>
          </w:p>
        </w:tc>
        <w:tc>
          <w:tcPr>
            <w:tcW w:w="125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专业技术（35分）</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基础技术方面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ascii="Times New Roman" w:hAnsi="Times New Roman" w:eastAsia="宋体" w:cs="Times New Roman"/>
                <w:i w:val="0"/>
                <w:iCs w:val="0"/>
                <w:color w:val="000000"/>
                <w:kern w:val="0"/>
                <w:sz w:val="20"/>
                <w:szCs w:val="20"/>
                <w:u w:val="none"/>
                <w:lang w:val="en-US" w:eastAsia="zh-CN"/>
              </w:rPr>
              <w:t>JAVA</w:t>
            </w:r>
            <w:r>
              <w:rPr>
                <w:rFonts w:hint="eastAsia" w:ascii="宋体" w:hAnsi="宋体" w:eastAsia="宋体" w:cs="宋体"/>
                <w:i w:val="0"/>
                <w:iCs w:val="0"/>
                <w:color w:val="000000"/>
                <w:kern w:val="0"/>
                <w:sz w:val="20"/>
                <w:szCs w:val="20"/>
                <w:u w:val="none"/>
                <w:lang w:val="en-US" w:eastAsia="zh-CN"/>
              </w:rPr>
              <w:t>技术基础知识</w:t>
            </w:r>
          </w:p>
          <w:p>
            <w:pPr>
              <w:keepNext w:val="0"/>
              <w:keepLines w:val="0"/>
              <w:pageBreakBefore w:val="0"/>
              <w:widowControl/>
              <w:numPr>
                <w:ilvl w:val="0"/>
                <w:numId w:val="10"/>
              </w:numPr>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数据库基础知识</w:t>
            </w:r>
          </w:p>
          <w:p>
            <w:pPr>
              <w:keepNext w:val="0"/>
              <w:keepLines w:val="0"/>
              <w:pageBreakBefore w:val="0"/>
              <w:widowControl/>
              <w:numPr>
                <w:ilvl w:val="0"/>
                <w:numId w:val="10"/>
              </w:numPr>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ascii="Times New Roman" w:hAnsi="宋体" w:eastAsia="宋体" w:cs="Times New Roman"/>
                <w:color w:val="000000"/>
                <w:kern w:val="0"/>
                <w:sz w:val="20"/>
                <w:szCs w:val="20"/>
              </w:rPr>
              <w:t>Redis</w:t>
            </w:r>
            <w:r>
              <w:rPr>
                <w:rFonts w:hint="eastAsia" w:ascii="宋体" w:hAnsi="宋体" w:eastAsia="宋体" w:cs="宋体"/>
                <w:i w:val="0"/>
                <w:iCs w:val="0"/>
                <w:color w:val="000000"/>
                <w:kern w:val="0"/>
                <w:sz w:val="20"/>
                <w:szCs w:val="20"/>
                <w:u w:val="none"/>
                <w:lang w:val="en-US" w:eastAsia="zh-CN"/>
              </w:rPr>
              <w:t>与</w:t>
            </w:r>
            <w:r>
              <w:rPr>
                <w:rFonts w:ascii="Times New Roman" w:hAnsi="宋体" w:eastAsia="宋体" w:cs="Times New Roman"/>
                <w:color w:val="000000"/>
                <w:kern w:val="0"/>
                <w:sz w:val="20"/>
                <w:szCs w:val="20"/>
                <w:lang w:val="en-US" w:eastAsia="zh-CN"/>
              </w:rPr>
              <w:t>nacos</w:t>
            </w:r>
            <w:r>
              <w:rPr>
                <w:rFonts w:hint="eastAsia" w:ascii="宋体" w:hAnsi="宋体" w:eastAsia="宋体" w:cs="宋体"/>
                <w:i w:val="0"/>
                <w:iCs w:val="0"/>
                <w:color w:val="000000"/>
                <w:kern w:val="0"/>
                <w:sz w:val="20"/>
                <w:szCs w:val="20"/>
                <w:u w:val="none"/>
                <w:lang w:val="en-US" w:eastAsia="zh-CN"/>
              </w:rPr>
              <w:t>的基础知识</w:t>
            </w:r>
          </w:p>
          <w:p>
            <w:pPr>
              <w:keepNext w:val="0"/>
              <w:keepLines w:val="0"/>
              <w:pageBreakBefore w:val="0"/>
              <w:widowControl/>
              <w:numPr>
                <w:ilvl w:val="0"/>
                <w:numId w:val="10"/>
              </w:numPr>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安全编码的规范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7</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系统编码与单元测试方面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val="0"/>
              <w:autoSpaceDN w:val="0"/>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编码规范</w:t>
            </w:r>
          </w:p>
          <w:p>
            <w:pPr>
              <w:keepNext w:val="0"/>
              <w:keepLines w:val="0"/>
              <w:pageBreakBefore w:val="0"/>
              <w:widowControl/>
              <w:numPr>
                <w:ilvl w:val="0"/>
                <w:numId w:val="11"/>
              </w:numPr>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单元测试的流程</w:t>
            </w:r>
          </w:p>
          <w:p>
            <w:pPr>
              <w:keepNext w:val="0"/>
              <w:keepLines w:val="0"/>
              <w:pageBreakBefore w:val="0"/>
              <w:widowControl/>
              <w:numPr>
                <w:ilvl w:val="0"/>
                <w:numId w:val="11"/>
              </w:numPr>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日志的输出规范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8</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系统联调方面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关联系统</w:t>
            </w:r>
            <w:r>
              <w:rPr>
                <w:rFonts w:ascii="Times New Roman" w:hAnsi="宋体" w:eastAsia="宋体" w:cs="Times New Roman"/>
                <w:color w:val="000000"/>
                <w:kern w:val="0"/>
                <w:sz w:val="20"/>
                <w:szCs w:val="20"/>
              </w:rPr>
              <w:t>API</w:t>
            </w:r>
            <w:r>
              <w:rPr>
                <w:rFonts w:hint="eastAsia" w:ascii="宋体" w:hAnsi="宋体" w:eastAsia="宋体" w:cs="宋体"/>
                <w:i w:val="0"/>
                <w:iCs w:val="0"/>
                <w:color w:val="000000"/>
                <w:kern w:val="0"/>
                <w:sz w:val="20"/>
                <w:szCs w:val="20"/>
                <w:u w:val="none"/>
                <w:lang w:val="en-US" w:eastAsia="zh-CN"/>
              </w:rPr>
              <w:t>的管理与联调的方式方法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9</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系统部署方面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系统部署方式与自动化部署情况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10</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系统架构方面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系统代码架构以及生产部署理解，特别是双活部署的理解情况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11</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数据库方面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数据库缓存、连接池的理解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12</w:t>
            </w:r>
          </w:p>
        </w:tc>
        <w:tc>
          <w:tcPr>
            <w:tcW w:w="125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业务测试方面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left"/>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业务测试的案例编写、评审等方面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13</w:t>
            </w:r>
          </w:p>
        </w:tc>
        <w:tc>
          <w:tcPr>
            <w:tcW w:w="125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沟通方面</w:t>
            </w: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0分）</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语言表达能力</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重点考察人员的语言表达与组织能力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14</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紧急需求处置方面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紧急需求的处置流程与沟通技巧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15</w:t>
            </w:r>
          </w:p>
        </w:tc>
        <w:tc>
          <w:tcPr>
            <w:tcW w:w="1255"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人员工作安排方面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小组成员的工作安排与小组成员内部人员的沟通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sz w:val="20"/>
                <w:szCs w:val="20"/>
                <w:u w:val="none"/>
                <w:lang w:val="en-US" w:eastAsia="zh-CN"/>
              </w:rPr>
              <w:t>16</w:t>
            </w:r>
          </w:p>
        </w:tc>
        <w:tc>
          <w:tcPr>
            <w:tcW w:w="125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snapToGrid/>
              <w:ind w:firstLine="0" w:firstLineChars="0"/>
            </w:pP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center"/>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人员离场交接方面</w:t>
            </w:r>
          </w:p>
        </w:tc>
        <w:tc>
          <w:tcPr>
            <w:tcW w:w="5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ind w:firstLine="0" w:firstLineChars="0"/>
              <w:jc w:val="both"/>
              <w:textAlignment w:val="center"/>
              <w:rPr>
                <w:rFonts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人员离职或者离场的工作交接与沟通</w:t>
            </w:r>
          </w:p>
        </w:tc>
      </w:tr>
    </w:tbl>
    <w:p>
      <w:pPr>
        <w:pStyle w:val="35"/>
        <w:numPr>
          <w:ilvl w:val="0"/>
          <w:numId w:val="7"/>
        </w:numPr>
        <w:ind w:firstLineChars="0"/>
        <w:rPr>
          <w:rFonts w:ascii="微软雅黑" w:eastAsia="微软雅黑"/>
          <w:b/>
          <w:bCs/>
          <w:sz w:val="32"/>
          <w:szCs w:val="32"/>
        </w:rPr>
      </w:pPr>
      <w:r>
        <w:rPr>
          <w:rFonts w:hint="eastAsia" w:ascii="微软雅黑" w:eastAsia="微软雅黑"/>
          <w:b/>
          <w:bCs/>
          <w:sz w:val="32"/>
          <w:szCs w:val="32"/>
        </w:rPr>
        <w:t>评分规则</w:t>
      </w:r>
    </w:p>
    <w:p>
      <w:pPr>
        <w:spacing w:line="360" w:lineRule="auto"/>
        <w:ind w:firstLine="480" w:firstLineChars="200"/>
        <w:rPr>
          <w:rFonts w:ascii="宋体" w:eastAsia="宋体"/>
          <w:sz w:val="24"/>
          <w:szCs w:val="24"/>
        </w:rPr>
      </w:pPr>
      <w:r>
        <w:rPr>
          <w:rFonts w:hint="eastAsia" w:ascii="宋体" w:eastAsia="宋体"/>
          <w:sz w:val="24"/>
          <w:szCs w:val="24"/>
        </w:rPr>
        <w:t>本次</w:t>
      </w:r>
      <w:r>
        <w:rPr>
          <w:rFonts w:hint="eastAsia" w:ascii="宋体" w:eastAsia="宋体"/>
          <w:sz w:val="24"/>
          <w:szCs w:val="24"/>
          <w:lang w:val="en-US" w:eastAsia="zh-CN"/>
        </w:rPr>
        <w:t>面试的关注</w:t>
      </w:r>
      <w:r>
        <w:rPr>
          <w:rFonts w:hint="eastAsia" w:ascii="宋体" w:eastAsia="宋体"/>
          <w:sz w:val="24"/>
          <w:szCs w:val="24"/>
        </w:rPr>
        <w:t>共计</w:t>
      </w:r>
      <w:r>
        <w:rPr>
          <w:rFonts w:hint="eastAsia" w:ascii="宋体" w:eastAsia="宋体"/>
          <w:sz w:val="24"/>
          <w:szCs w:val="24"/>
          <w:lang w:val="en-US" w:eastAsia="zh-CN"/>
        </w:rPr>
        <w:t>16</w:t>
      </w:r>
      <w:r>
        <w:rPr>
          <w:rFonts w:hint="eastAsia" w:ascii="宋体" w:eastAsia="宋体"/>
          <w:sz w:val="24"/>
          <w:szCs w:val="24"/>
        </w:rPr>
        <w:t>个，总分为1</w:t>
      </w:r>
      <w:r>
        <w:rPr>
          <w:rFonts w:ascii="宋体" w:eastAsia="宋体"/>
          <w:sz w:val="24"/>
          <w:szCs w:val="24"/>
        </w:rPr>
        <w:t>00</w:t>
      </w:r>
      <w:r>
        <w:rPr>
          <w:rFonts w:hint="eastAsia" w:ascii="宋体" w:eastAsia="宋体"/>
          <w:sz w:val="24"/>
          <w:szCs w:val="24"/>
        </w:rPr>
        <w:t>分。</w:t>
      </w:r>
    </w:p>
    <w:p>
      <w:pPr>
        <w:spacing w:line="360" w:lineRule="auto"/>
        <w:ind w:firstLine="480" w:firstLineChars="200"/>
        <w:rPr>
          <w:rFonts w:ascii="宋体" w:eastAsia="宋体"/>
          <w:sz w:val="24"/>
          <w:szCs w:val="24"/>
        </w:rPr>
      </w:pPr>
      <w:r>
        <w:rPr>
          <w:rFonts w:hint="eastAsia" w:ascii="宋体" w:eastAsia="宋体"/>
          <w:sz w:val="24"/>
          <w:szCs w:val="24"/>
        </w:rPr>
        <w:t>其中，</w:t>
      </w:r>
      <w:r>
        <w:rPr>
          <w:rFonts w:hint="eastAsia" w:ascii="宋体" w:eastAsia="宋体" w:cs="宋体"/>
          <w:kern w:val="0"/>
          <w:sz w:val="24"/>
          <w:szCs w:val="24"/>
        </w:rPr>
        <w:t>评分规则为</w:t>
      </w:r>
      <w:r>
        <w:rPr>
          <w:rFonts w:hint="eastAsia" w:ascii="宋体" w:eastAsia="宋体"/>
          <w:sz w:val="24"/>
          <w:szCs w:val="24"/>
        </w:rPr>
        <w:t>：</w:t>
      </w:r>
      <w:r>
        <w:rPr>
          <w:rFonts w:hint="eastAsia" w:ascii="宋体" w:eastAsia="宋体"/>
          <w:sz w:val="24"/>
          <w:szCs w:val="24"/>
          <w:lang w:val="en-US" w:eastAsia="zh-CN"/>
        </w:rPr>
        <w:t>面试</w:t>
      </w:r>
      <w:r>
        <w:rPr>
          <w:rFonts w:hint="eastAsia" w:ascii="宋体" w:eastAsia="宋体"/>
          <w:sz w:val="24"/>
          <w:szCs w:val="24"/>
        </w:rPr>
        <w:t>得分=标准分值*评分系数。具体的</w:t>
      </w:r>
      <w:r>
        <w:rPr>
          <w:rFonts w:hint="eastAsia" w:ascii="宋体" w:eastAsia="宋体"/>
          <w:sz w:val="24"/>
          <w:szCs w:val="24"/>
          <w:lang w:val="en-US" w:eastAsia="zh-CN"/>
        </w:rPr>
        <w:t>面试</w:t>
      </w:r>
      <w:r>
        <w:rPr>
          <w:rFonts w:hint="eastAsia" w:ascii="宋体" w:eastAsia="宋体"/>
          <w:sz w:val="24"/>
          <w:szCs w:val="24"/>
        </w:rPr>
        <w:t>结果与评分系数对照关系如下表所示：</w:t>
      </w:r>
    </w:p>
    <w:tbl>
      <w:tblPr>
        <w:tblStyle w:val="20"/>
        <w:tblW w:w="0" w:type="auto"/>
        <w:jc w:val="center"/>
        <w:tblCellSpacing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85"/>
        <w:gridCol w:w="5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blCellSpacing w:w="14" w:type="dxa"/>
          <w:jc w:val="center"/>
        </w:trPr>
        <w:tc>
          <w:tcPr>
            <w:tcW w:w="1943" w:type="dxa"/>
            <w:tcBorders>
              <w:top w:val="single" w:color="000000" w:sz="4" w:space="0"/>
              <w:left w:val="single" w:color="000000" w:sz="4" w:space="0"/>
              <w:bottom w:val="single" w:color="000000" w:sz="4" w:space="0"/>
              <w:right w:val="single" w:color="000000" w:sz="4" w:space="0"/>
            </w:tcBorders>
            <w:shd w:val="clear" w:color="auto" w:fill="9CC2E5"/>
            <w:vAlign w:val="center"/>
          </w:tcPr>
          <w:p>
            <w:pPr>
              <w:widowControl/>
              <w:spacing w:line="360" w:lineRule="auto"/>
              <w:jc w:val="center"/>
              <w:textAlignment w:val="top"/>
              <w:rPr>
                <w:rFonts w:ascii="宋体" w:eastAsia="宋体" w:cs="仿宋"/>
                <w:b/>
                <w:color w:val="000000"/>
                <w:sz w:val="24"/>
                <w:szCs w:val="24"/>
              </w:rPr>
            </w:pPr>
            <w:r>
              <w:rPr>
                <w:rFonts w:hint="eastAsia" w:ascii="宋体" w:eastAsia="宋体" w:cs="仿宋"/>
                <w:b/>
                <w:color w:val="000000"/>
                <w:kern w:val="0"/>
                <w:sz w:val="24"/>
                <w:szCs w:val="24"/>
                <w:lang w:val="en-US" w:eastAsia="zh-CN"/>
              </w:rPr>
              <w:t>面试</w:t>
            </w:r>
            <w:r>
              <w:rPr>
                <w:rFonts w:hint="eastAsia" w:ascii="宋体" w:eastAsia="宋体" w:cs="仿宋"/>
                <w:b/>
                <w:color w:val="000000"/>
                <w:kern w:val="0"/>
                <w:sz w:val="24"/>
                <w:szCs w:val="24"/>
              </w:rPr>
              <w:t>结果</w:t>
            </w:r>
          </w:p>
        </w:tc>
        <w:tc>
          <w:tcPr>
            <w:tcW w:w="5233" w:type="dxa"/>
            <w:tcBorders>
              <w:top w:val="single" w:color="000000" w:sz="4" w:space="0"/>
              <w:bottom w:val="single" w:color="000000" w:sz="4" w:space="0"/>
              <w:right w:val="single" w:color="000000" w:sz="4" w:space="0"/>
            </w:tcBorders>
            <w:shd w:val="clear" w:color="auto" w:fill="9CC2E5"/>
            <w:vAlign w:val="center"/>
          </w:tcPr>
          <w:p>
            <w:pPr>
              <w:widowControl/>
              <w:spacing w:line="360" w:lineRule="auto"/>
              <w:jc w:val="center"/>
              <w:textAlignment w:val="top"/>
              <w:rPr>
                <w:rFonts w:ascii="宋体" w:eastAsia="宋体" w:cs="仿宋"/>
                <w:b/>
                <w:color w:val="000000"/>
                <w:sz w:val="24"/>
                <w:szCs w:val="24"/>
              </w:rPr>
            </w:pPr>
            <w:r>
              <w:rPr>
                <w:rFonts w:hint="eastAsia" w:ascii="宋体" w:eastAsia="宋体" w:cs="仿宋"/>
                <w:b/>
                <w:color w:val="000000"/>
                <w:kern w:val="0"/>
                <w:sz w:val="24"/>
                <w:szCs w:val="24"/>
              </w:rPr>
              <w:t>评分系数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pPr>
              <w:widowControl/>
              <w:spacing w:line="360" w:lineRule="auto"/>
              <w:jc w:val="center"/>
              <w:textAlignment w:val="top"/>
              <w:rPr>
                <w:rFonts w:ascii="宋体" w:eastAsia="宋体" w:cs="仿宋"/>
                <w:color w:val="000000"/>
                <w:sz w:val="24"/>
                <w:szCs w:val="24"/>
              </w:rPr>
            </w:pPr>
            <w:r>
              <w:rPr>
                <w:rFonts w:hint="eastAsia" w:ascii="宋体" w:eastAsia="宋体" w:cs="仿宋"/>
                <w:color w:val="000000"/>
                <w:kern w:val="0"/>
                <w:sz w:val="24"/>
                <w:szCs w:val="24"/>
              </w:rPr>
              <w:t>满足</w:t>
            </w:r>
          </w:p>
        </w:tc>
        <w:tc>
          <w:tcPr>
            <w:tcW w:w="5233" w:type="dxa"/>
            <w:tcBorders>
              <w:bottom w:val="single" w:color="000000" w:sz="4" w:space="0"/>
              <w:right w:val="single" w:color="000000" w:sz="4" w:space="0"/>
            </w:tcBorders>
            <w:vAlign w:val="center"/>
          </w:tcPr>
          <w:p>
            <w:pPr>
              <w:widowControl/>
              <w:spacing w:line="360" w:lineRule="auto"/>
              <w:jc w:val="center"/>
              <w:textAlignment w:val="top"/>
              <w:rPr>
                <w:rFonts w:ascii="宋体" w:eastAsia="宋体" w:cs="仿宋"/>
                <w:color w:val="000000"/>
                <w:sz w:val="24"/>
                <w:szCs w:val="24"/>
              </w:rPr>
            </w:pPr>
            <w:r>
              <w:rPr>
                <w:rFonts w:hint="eastAsia" w:ascii="宋体" w:eastAsia="宋体" w:cs="仿宋"/>
                <w:color w:val="000000"/>
                <w:sz w:val="24"/>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pPr>
              <w:widowControl/>
              <w:spacing w:line="360" w:lineRule="auto"/>
              <w:jc w:val="center"/>
              <w:textAlignment w:val="top"/>
              <w:rPr>
                <w:rFonts w:ascii="宋体" w:eastAsia="宋体" w:cs="仿宋"/>
                <w:color w:val="000000"/>
                <w:sz w:val="24"/>
                <w:szCs w:val="24"/>
              </w:rPr>
            </w:pPr>
            <w:r>
              <w:rPr>
                <w:rFonts w:hint="eastAsia" w:ascii="宋体" w:eastAsia="宋体" w:cs="仿宋"/>
                <w:color w:val="000000"/>
                <w:kern w:val="0"/>
                <w:sz w:val="24"/>
                <w:szCs w:val="24"/>
              </w:rPr>
              <w:t>部分满足</w:t>
            </w:r>
          </w:p>
        </w:tc>
        <w:tc>
          <w:tcPr>
            <w:tcW w:w="5233" w:type="dxa"/>
            <w:tcBorders>
              <w:bottom w:val="single" w:color="000000" w:sz="4" w:space="0"/>
              <w:right w:val="single" w:color="000000" w:sz="4" w:space="0"/>
            </w:tcBorders>
            <w:vAlign w:val="center"/>
          </w:tcPr>
          <w:p>
            <w:pPr>
              <w:widowControl/>
              <w:spacing w:line="360" w:lineRule="auto"/>
              <w:jc w:val="center"/>
              <w:textAlignment w:val="top"/>
              <w:rPr>
                <w:rFonts w:ascii="宋体" w:eastAsia="宋体" w:cs="仿宋"/>
                <w:color w:val="000000"/>
                <w:sz w:val="24"/>
                <w:szCs w:val="24"/>
              </w:rPr>
            </w:pPr>
            <w:r>
              <w:rPr>
                <w:rFonts w:hint="eastAsia" w:ascii="宋体" w:eastAsia="宋体" w:cs="仿宋"/>
                <w:color w:val="000000"/>
                <w:kern w:val="0"/>
                <w:sz w:val="24"/>
                <w:szCs w:val="24"/>
              </w:rPr>
              <w:t>0.1-0.9（评分人根据</w:t>
            </w:r>
            <w:r>
              <w:rPr>
                <w:rFonts w:hint="eastAsia" w:ascii="宋体" w:eastAsia="宋体" w:cs="仿宋"/>
                <w:color w:val="000000"/>
                <w:kern w:val="0"/>
                <w:sz w:val="24"/>
                <w:szCs w:val="24"/>
                <w:lang w:val="en-US" w:eastAsia="zh-CN"/>
              </w:rPr>
              <w:t>关注点</w:t>
            </w:r>
            <w:r>
              <w:rPr>
                <w:rFonts w:hint="eastAsia" w:ascii="宋体" w:eastAsia="宋体" w:cs="仿宋"/>
                <w:color w:val="000000"/>
                <w:kern w:val="0"/>
                <w:sz w:val="24"/>
                <w:szCs w:val="24"/>
              </w:rPr>
              <w:t>，酌情评定）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pPr>
              <w:widowControl/>
              <w:spacing w:line="360" w:lineRule="auto"/>
              <w:jc w:val="center"/>
              <w:textAlignment w:val="top"/>
              <w:rPr>
                <w:rFonts w:ascii="宋体" w:eastAsia="宋体" w:cs="仿宋"/>
                <w:color w:val="000000"/>
                <w:sz w:val="24"/>
                <w:szCs w:val="24"/>
              </w:rPr>
            </w:pPr>
            <w:r>
              <w:rPr>
                <w:rFonts w:hint="eastAsia" w:ascii="宋体" w:eastAsia="宋体" w:cs="仿宋"/>
                <w:color w:val="000000"/>
                <w:kern w:val="0"/>
                <w:sz w:val="24"/>
                <w:szCs w:val="24"/>
              </w:rPr>
              <w:t>不满足</w:t>
            </w:r>
          </w:p>
        </w:tc>
        <w:tc>
          <w:tcPr>
            <w:tcW w:w="5233" w:type="dxa"/>
            <w:tcBorders>
              <w:bottom w:val="single" w:color="000000" w:sz="4" w:space="0"/>
              <w:right w:val="single" w:color="000000" w:sz="4" w:space="0"/>
            </w:tcBorders>
            <w:vAlign w:val="center"/>
          </w:tcPr>
          <w:p>
            <w:pPr>
              <w:widowControl/>
              <w:spacing w:line="360" w:lineRule="auto"/>
              <w:jc w:val="center"/>
              <w:textAlignment w:val="top"/>
              <w:rPr>
                <w:rFonts w:ascii="宋体" w:eastAsia="宋体" w:cs="仿宋"/>
                <w:color w:val="000000"/>
                <w:sz w:val="24"/>
                <w:szCs w:val="24"/>
              </w:rPr>
            </w:pPr>
            <w:r>
              <w:rPr>
                <w:rFonts w:hint="eastAsia" w:ascii="宋体" w:eastAsia="宋体" w:cs="仿宋"/>
                <w:color w:val="000000"/>
                <w:kern w:val="0"/>
                <w:sz w:val="24"/>
                <w:szCs w:val="24"/>
              </w:rPr>
              <w:t>0</w:t>
            </w:r>
          </w:p>
        </w:tc>
      </w:tr>
    </w:tbl>
    <w:p>
      <w:pPr>
        <w:rPr>
          <w:rFonts w:hint="eastAsia" w:ascii="宋体" w:eastAsia="宋体"/>
          <w:sz w:val="24"/>
          <w:szCs w:val="24"/>
        </w:rPr>
      </w:pPr>
      <w:r>
        <w:rPr>
          <w:rFonts w:hint="eastAsia" w:ascii="宋体" w:eastAsia="宋体"/>
          <w:sz w:val="24"/>
          <w:szCs w:val="24"/>
        </w:rPr>
        <w:br w:type="page"/>
      </w:r>
    </w:p>
    <w:p>
      <w:pPr>
        <w:snapToGrid w:val="0"/>
        <w:spacing w:line="360" w:lineRule="auto"/>
        <w:rPr>
          <w:rFonts w:ascii="Times New Roman" w:hAnsi="Times New Roman" w:cs="宋体"/>
          <w:snapToGrid w:val="0"/>
          <w:color w:val="auto"/>
          <w:kern w:val="0"/>
          <w:szCs w:val="24"/>
          <w:highlight w:val="none"/>
          <w:shd w:val="clear" w:color="auto" w:fill="auto"/>
        </w:rPr>
      </w:pPr>
    </w:p>
    <w:p>
      <w:pPr>
        <w:pStyle w:val="2"/>
        <w:rPr>
          <w:rFonts w:ascii="Times New Roman" w:hAnsi="Times New Roman"/>
          <w:color w:val="auto"/>
          <w:highlight w:val="none"/>
          <w:shd w:val="clear" w:color="auto" w:fill="auto"/>
        </w:rPr>
      </w:pPr>
      <w:bookmarkStart w:id="140" w:name="_Toc25775"/>
      <w:bookmarkStart w:id="141" w:name="_Toc29394"/>
      <w:bookmarkStart w:id="142" w:name="_Toc29189"/>
      <w:r>
        <w:rPr>
          <w:rFonts w:hint="eastAsia" w:ascii="Times New Roman" w:hAnsi="Times New Roman"/>
          <w:color w:val="auto"/>
          <w:highlight w:val="none"/>
          <w:shd w:val="clear" w:color="auto" w:fill="auto"/>
        </w:rPr>
        <w:t>第四章 评审办法（综合评估法）</w:t>
      </w:r>
      <w:bookmarkEnd w:id="140"/>
      <w:bookmarkEnd w:id="141"/>
      <w:bookmarkEnd w:id="142"/>
    </w:p>
    <w:p>
      <w:pPr>
        <w:spacing w:line="600" w:lineRule="exact"/>
        <w:rPr>
          <w:rFonts w:ascii="Times New Roman" w:hAnsi="Times New Roman"/>
          <w:b/>
          <w:bCs/>
          <w:color w:val="auto"/>
          <w:highlight w:val="none"/>
          <w:shd w:val="clear" w:color="auto" w:fill="auto"/>
        </w:rPr>
      </w:pPr>
      <w:bookmarkStart w:id="143" w:name="_Toc11471"/>
      <w:bookmarkStart w:id="144" w:name="_Toc14810"/>
      <w:bookmarkStart w:id="145" w:name="_Toc2028"/>
      <w:bookmarkStart w:id="146" w:name="_Toc27076"/>
      <w:r>
        <w:rPr>
          <w:rFonts w:hint="eastAsia" w:ascii="Times New Roman" w:hAnsi="Times New Roman"/>
          <w:b/>
          <w:bCs/>
          <w:color w:val="auto"/>
          <w:highlight w:val="none"/>
          <w:shd w:val="clear" w:color="auto" w:fill="auto"/>
        </w:rPr>
        <w:t>评审办法前附表</w:t>
      </w:r>
      <w:bookmarkEnd w:id="143"/>
      <w:bookmarkEnd w:id="144"/>
      <w:bookmarkEnd w:id="145"/>
      <w:bookmarkEnd w:id="146"/>
    </w:p>
    <w:p>
      <w:pPr>
        <w:keepNext w:val="0"/>
        <w:keepLines w:val="0"/>
        <w:pageBreakBefore w:val="0"/>
        <w:widowControl w:val="0"/>
        <w:kinsoku/>
        <w:wordWrap/>
        <w:overflowPunct/>
        <w:topLinePunct w:val="0"/>
        <w:autoSpaceDE w:val="0"/>
        <w:autoSpaceDN w:val="0"/>
        <w:bidi w:val="0"/>
        <w:spacing w:line="600" w:lineRule="exact"/>
        <w:textAlignment w:val="auto"/>
        <w:rPr>
          <w:rFonts w:ascii="Times New Roman" w:hAnsi="Times New Roman"/>
          <w:color w:val="auto"/>
          <w:highlight w:val="none"/>
          <w:shd w:val="clear" w:color="auto" w:fill="auto"/>
        </w:rPr>
      </w:pPr>
      <w:r>
        <w:rPr>
          <w:rFonts w:ascii="Times New Roman" w:hAnsi="Times New Roman"/>
          <w:color w:val="auto"/>
          <w:szCs w:val="21"/>
          <w:highlight w:val="none"/>
          <w:shd w:val="clear" w:color="auto" w:fill="auto"/>
        </w:rPr>
        <w:t>若</w:t>
      </w:r>
      <w:r>
        <w:rPr>
          <w:rFonts w:hint="eastAsia" w:ascii="Times New Roman" w:hAnsi="Times New Roman"/>
          <w:color w:val="auto"/>
          <w:szCs w:val="21"/>
          <w:highlight w:val="none"/>
          <w:shd w:val="clear" w:color="auto" w:fill="auto"/>
        </w:rPr>
        <w:t>评审办法前附表</w:t>
      </w:r>
      <w:r>
        <w:rPr>
          <w:rFonts w:ascii="Times New Roman" w:hAnsi="Times New Roman"/>
          <w:color w:val="auto"/>
          <w:szCs w:val="21"/>
          <w:highlight w:val="none"/>
          <w:shd w:val="clear" w:color="auto" w:fill="auto"/>
        </w:rPr>
        <w:t>与正文不一致的地方，以</w:t>
      </w:r>
      <w:r>
        <w:rPr>
          <w:rFonts w:hint="eastAsia" w:ascii="Times New Roman" w:hAnsi="Times New Roman"/>
          <w:color w:val="auto"/>
          <w:szCs w:val="21"/>
          <w:highlight w:val="none"/>
          <w:shd w:val="clear" w:color="auto" w:fill="auto"/>
        </w:rPr>
        <w:t>评审办法前附表</w:t>
      </w:r>
      <w:r>
        <w:rPr>
          <w:rFonts w:ascii="Times New Roman" w:hAnsi="Times New Roman"/>
          <w:color w:val="auto"/>
          <w:szCs w:val="21"/>
          <w:highlight w:val="none"/>
          <w:shd w:val="clear" w:color="auto" w:fill="auto"/>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
                <w:color w:val="auto"/>
                <w:kern w:val="0"/>
                <w:sz w:val="21"/>
                <w:szCs w:val="21"/>
                <w:highlight w:val="none"/>
                <w:shd w:val="clear" w:color="auto" w:fill="auto"/>
              </w:rPr>
            </w:pPr>
            <w:bookmarkStart w:id="147" w:name="CQZH1_07"/>
            <w:r>
              <w:rPr>
                <w:rFonts w:hint="eastAsia" w:ascii="Times New Roman" w:hAnsi="Times New Roman" w:cs="宋体"/>
                <w:b/>
                <w:color w:val="auto"/>
                <w:kern w:val="0"/>
                <w:sz w:val="21"/>
                <w:szCs w:val="21"/>
                <w:highlight w:val="none"/>
                <w:shd w:val="clear" w:color="auto" w:fill="auto"/>
              </w:rPr>
              <w:t>条款号</w:t>
            </w:r>
          </w:p>
        </w:tc>
        <w:tc>
          <w:tcPr>
            <w:tcW w:w="1482" w:type="dxa"/>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评审因素</w:t>
            </w:r>
          </w:p>
        </w:tc>
        <w:tc>
          <w:tcPr>
            <w:tcW w:w="7162" w:type="dxa"/>
            <w:gridSpan w:val="3"/>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1</w:t>
            </w:r>
          </w:p>
        </w:tc>
        <w:tc>
          <w:tcPr>
            <w:tcW w:w="1482"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
                <w:color w:val="auto"/>
                <w:kern w:val="0"/>
                <w:sz w:val="21"/>
                <w:szCs w:val="21"/>
                <w:highlight w:val="none"/>
                <w:shd w:val="clear" w:color="auto" w:fill="auto"/>
              </w:rPr>
            </w:pPr>
            <w:r>
              <w:rPr>
                <w:rFonts w:hint="eastAsia" w:ascii="Times New Roman" w:hAnsi="Times New Roman" w:cs="Times New Roman"/>
                <w:color w:val="auto"/>
                <w:sz w:val="21"/>
                <w:szCs w:val="21"/>
                <w:highlight w:val="none"/>
                <w:shd w:val="clear" w:color="auto" w:fill="auto"/>
              </w:rPr>
              <w:t>评审办法</w:t>
            </w:r>
          </w:p>
        </w:tc>
        <w:tc>
          <w:tcPr>
            <w:tcW w:w="7162"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b/>
                <w:color w:val="auto"/>
                <w:kern w:val="0"/>
                <w:sz w:val="21"/>
                <w:szCs w:val="21"/>
                <w:highlight w:val="none"/>
                <w:shd w:val="clear" w:color="auto" w:fill="auto"/>
              </w:rPr>
            </w:pPr>
            <w:r>
              <w:rPr>
                <w:rFonts w:hint="eastAsia" w:ascii="Times New Roman" w:hAnsi="Times New Roman" w:cs="Times New Roman"/>
                <w:color w:val="auto"/>
                <w:kern w:val="0"/>
                <w:sz w:val="21"/>
                <w:szCs w:val="24"/>
                <w:highlight w:val="none"/>
                <w:shd w:val="clear" w:color="auto" w:fill="auto"/>
              </w:rPr>
              <w:t>本次评审采用综合评估法。评审委员会按照评审办法前附表第2.2 条规定的评分标准进行打分，</w:t>
            </w:r>
            <w:r>
              <w:rPr>
                <w:rFonts w:hint="eastAsia" w:ascii="Times New Roman" w:hAnsi="Times New Roman" w:cs="Times New Roman"/>
                <w:color w:val="auto"/>
                <w:spacing w:val="4"/>
                <w:kern w:val="0"/>
                <w:sz w:val="21"/>
                <w:szCs w:val="21"/>
                <w:highlight w:val="none"/>
                <w:shd w:val="clear" w:color="auto" w:fill="auto"/>
              </w:rPr>
              <w:t>符合性审查</w:t>
            </w:r>
            <w:r>
              <w:rPr>
                <w:rFonts w:hint="eastAsia" w:ascii="Times New Roman" w:hAnsi="Times New Roman" w:cs="Times New Roman"/>
                <w:color w:val="auto"/>
                <w:kern w:val="0"/>
                <w:sz w:val="21"/>
                <w:szCs w:val="24"/>
                <w:highlight w:val="none"/>
                <w:shd w:val="clear" w:color="auto" w:fill="auto"/>
              </w:rPr>
              <w:t>合格的参选人中，按得分由高到低顺序推荐3名中选候选人，但参选报价低于其成本的除外。综合评分相等时，以参选报价低的优先；参选报价也相等的，由</w:t>
            </w:r>
            <w:r>
              <w:rPr>
                <w:rFonts w:hint="eastAsia" w:ascii="Times New Roman" w:hAnsi="Times New Roman" w:cs="Times New Roman"/>
                <w:color w:val="auto"/>
                <w:kern w:val="0"/>
                <w:sz w:val="21"/>
                <w:szCs w:val="24"/>
                <w:highlight w:val="none"/>
                <w:shd w:val="clear" w:color="auto" w:fill="auto"/>
                <w:lang w:val="en-US" w:eastAsia="zh-CN"/>
              </w:rPr>
              <w:t>评审委员会</w:t>
            </w:r>
            <w:r>
              <w:rPr>
                <w:rFonts w:hint="eastAsia" w:ascii="Times New Roman" w:hAnsi="Times New Roman" w:cs="Times New Roman"/>
                <w:color w:val="auto"/>
                <w:kern w:val="0"/>
                <w:sz w:val="21"/>
                <w:szCs w:val="24"/>
                <w:highlight w:val="none"/>
                <w:shd w:val="clear" w:color="auto" w:fill="auto"/>
              </w:rPr>
              <w:t>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2.1</w:t>
            </w:r>
          </w:p>
        </w:tc>
        <w:tc>
          <w:tcPr>
            <w:tcW w:w="1482"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Times New Roman"/>
                <w:color w:val="auto"/>
                <w:kern w:val="0"/>
                <w:sz w:val="21"/>
                <w:szCs w:val="24"/>
                <w:highlight w:val="none"/>
                <w:shd w:val="clear" w:color="auto" w:fill="auto"/>
              </w:rPr>
            </w:pPr>
            <w:r>
              <w:rPr>
                <w:rFonts w:hint="eastAsia" w:ascii="Times New Roman" w:hAnsi="Times New Roman" w:cs="Times New Roman"/>
                <w:color w:val="auto"/>
                <w:kern w:val="0"/>
                <w:sz w:val="21"/>
                <w:szCs w:val="24"/>
                <w:highlight w:val="none"/>
                <w:shd w:val="clear" w:color="auto" w:fill="auto"/>
              </w:rPr>
              <w:t>初步评审标准</w:t>
            </w:r>
          </w:p>
        </w:tc>
        <w:tc>
          <w:tcPr>
            <w:tcW w:w="7162"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Times New Roman"/>
                <w:color w:val="auto"/>
                <w:kern w:val="0"/>
                <w:sz w:val="21"/>
                <w:szCs w:val="24"/>
                <w:highlight w:val="none"/>
                <w:shd w:val="clear" w:color="auto" w:fill="auto"/>
              </w:rPr>
            </w:pPr>
            <w:r>
              <w:rPr>
                <w:rFonts w:hint="eastAsia" w:ascii="Times New Roman" w:hAnsi="Times New Roman" w:cs="Times New Roman"/>
                <w:color w:val="auto"/>
                <w:kern w:val="0"/>
                <w:sz w:val="21"/>
                <w:szCs w:val="24"/>
                <w:highlight w:val="none"/>
                <w:shd w:val="clear" w:color="auto" w:fill="auto"/>
              </w:rPr>
              <w:t>所有参选单位</w:t>
            </w:r>
            <w:r>
              <w:rPr>
                <w:rFonts w:hint="eastAsia" w:ascii="Times New Roman" w:hAnsi="Times New Roman" w:cs="Times New Roman"/>
                <w:color w:val="auto"/>
                <w:spacing w:val="4"/>
                <w:kern w:val="0"/>
                <w:sz w:val="21"/>
                <w:szCs w:val="21"/>
                <w:highlight w:val="none"/>
                <w:shd w:val="clear" w:color="auto" w:fill="auto"/>
              </w:rPr>
              <w:t>进行</w:t>
            </w:r>
            <w:r>
              <w:rPr>
                <w:rFonts w:hint="eastAsia" w:ascii="Times New Roman" w:hAnsi="Times New Roman" w:cs="Times New Roman"/>
                <w:color w:val="auto"/>
                <w:kern w:val="0"/>
                <w:sz w:val="21"/>
                <w:szCs w:val="24"/>
                <w:highlight w:val="none"/>
                <w:shd w:val="clear" w:color="auto" w:fill="auto"/>
              </w:rPr>
              <w:t>初步评审</w:t>
            </w:r>
            <w:r>
              <w:rPr>
                <w:rFonts w:hint="eastAsia" w:ascii="Times New Roman" w:hAnsi="Times New Roman" w:cs="Times New Roman"/>
                <w:color w:val="auto"/>
                <w:spacing w:val="4"/>
                <w:kern w:val="0"/>
                <w:sz w:val="21"/>
                <w:szCs w:val="21"/>
                <w:highlight w:val="none"/>
                <w:shd w:val="clear" w:color="auto" w:fill="auto"/>
              </w:rPr>
              <w:t>。</w:t>
            </w:r>
            <w:r>
              <w:rPr>
                <w:rFonts w:hint="eastAsia" w:ascii="Times New Roman" w:hAnsi="Times New Roman" w:cs="Times New Roman"/>
                <w:color w:val="auto"/>
                <w:kern w:val="0"/>
                <w:sz w:val="21"/>
                <w:szCs w:val="24"/>
                <w:highlight w:val="none"/>
                <w:shd w:val="clear" w:color="auto" w:fill="auto"/>
              </w:rPr>
              <w:t>初步评审</w:t>
            </w:r>
            <w:r>
              <w:rPr>
                <w:rFonts w:hint="eastAsia" w:ascii="Times New Roman" w:hAnsi="Times New Roman" w:cs="Times New Roman"/>
                <w:color w:val="auto"/>
                <w:spacing w:val="4"/>
                <w:kern w:val="0"/>
                <w:sz w:val="21"/>
                <w:szCs w:val="21"/>
                <w:highlight w:val="none"/>
                <w:shd w:val="clear" w:color="auto" w:fill="auto"/>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bCs/>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2.1.1</w:t>
            </w:r>
          </w:p>
        </w:tc>
        <w:tc>
          <w:tcPr>
            <w:tcW w:w="1482"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Times New Roman"/>
                <w:color w:val="auto"/>
                <w:kern w:val="0"/>
                <w:sz w:val="21"/>
                <w:szCs w:val="24"/>
                <w:highlight w:val="none"/>
                <w:shd w:val="clear" w:color="auto" w:fill="auto"/>
              </w:rPr>
            </w:pPr>
            <w:r>
              <w:rPr>
                <w:rFonts w:hint="eastAsia" w:ascii="Times New Roman" w:hAnsi="Times New Roman" w:cs="宋体"/>
                <w:color w:val="auto"/>
                <w:kern w:val="0"/>
                <w:sz w:val="21"/>
                <w:szCs w:val="21"/>
                <w:highlight w:val="none"/>
                <w:shd w:val="clear" w:color="auto" w:fill="auto"/>
              </w:rPr>
              <w:t>资格评审标准</w:t>
            </w: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Times New Roman"/>
                <w:color w:val="auto"/>
                <w:kern w:val="0"/>
                <w:sz w:val="21"/>
                <w:szCs w:val="24"/>
                <w:highlight w:val="none"/>
                <w:shd w:val="clear" w:color="auto" w:fill="auto"/>
              </w:rPr>
            </w:pPr>
            <w:r>
              <w:rPr>
                <w:rFonts w:hint="eastAsia" w:ascii="Times New Roman" w:hAnsi="Times New Roman" w:cs="宋体"/>
                <w:color w:val="auto"/>
                <w:kern w:val="0"/>
                <w:sz w:val="21"/>
                <w:szCs w:val="21"/>
                <w:highlight w:val="none"/>
                <w:shd w:val="clear" w:color="auto" w:fill="auto"/>
              </w:rPr>
              <w:t>资格条件要求</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Times New Roman"/>
                <w:color w:val="auto"/>
                <w:kern w:val="0"/>
                <w:sz w:val="21"/>
                <w:szCs w:val="24"/>
                <w:highlight w:val="none"/>
                <w:shd w:val="clear" w:color="auto" w:fill="auto"/>
              </w:rPr>
            </w:pPr>
            <w:r>
              <w:rPr>
                <w:rFonts w:hint="eastAsia" w:ascii="Times New Roman" w:hAnsi="Times New Roman" w:cs="宋体"/>
                <w:color w:val="auto"/>
                <w:kern w:val="0"/>
                <w:sz w:val="21"/>
                <w:szCs w:val="21"/>
                <w:highlight w:val="none"/>
                <w:shd w:val="clear" w:color="auto" w:fill="auto"/>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2.1.2</w:t>
            </w:r>
          </w:p>
        </w:tc>
        <w:tc>
          <w:tcPr>
            <w:tcW w:w="1482"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Times New Roman"/>
                <w:color w:val="auto"/>
                <w:kern w:val="0"/>
                <w:sz w:val="21"/>
                <w:szCs w:val="24"/>
                <w:highlight w:val="none"/>
                <w:shd w:val="clear" w:color="auto" w:fill="auto"/>
              </w:rPr>
            </w:pPr>
            <w:r>
              <w:rPr>
                <w:rFonts w:hint="eastAsia" w:ascii="Times New Roman" w:hAnsi="Times New Roman" w:cs="Times New Roman"/>
                <w:color w:val="auto"/>
                <w:kern w:val="0"/>
                <w:sz w:val="21"/>
                <w:szCs w:val="24"/>
                <w:highlight w:val="none"/>
                <w:shd w:val="clear" w:color="auto" w:fill="auto"/>
              </w:rPr>
              <w:t>形式评审标准</w:t>
            </w: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参选人名称</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autoSpaceDE/>
              <w:autoSpaceDN/>
            </w:pPr>
          </w:p>
        </w:tc>
        <w:tc>
          <w:tcPr>
            <w:tcW w:w="1482" w:type="dxa"/>
            <w:vMerge w:val="continue"/>
            <w:tcBorders>
              <w:left w:val="single" w:color="auto" w:sz="4" w:space="0"/>
            </w:tcBorders>
            <w:textDirection w:val="tbRlV"/>
            <w:vAlign w:val="center"/>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参选文件的签字盖章</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autoSpaceDE/>
              <w:autoSpaceDN/>
            </w:pPr>
          </w:p>
        </w:tc>
        <w:tc>
          <w:tcPr>
            <w:tcW w:w="1482" w:type="dxa"/>
            <w:vMerge w:val="continue"/>
            <w:tcBorders>
              <w:left w:val="single" w:color="auto" w:sz="4" w:space="0"/>
            </w:tcBorders>
            <w:textDirection w:val="tbRlV"/>
            <w:vAlign w:val="center"/>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参选文件的密封</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autoSpaceDE/>
              <w:autoSpaceDN/>
            </w:pPr>
          </w:p>
        </w:tc>
        <w:tc>
          <w:tcPr>
            <w:tcW w:w="1482" w:type="dxa"/>
            <w:vMerge w:val="continue"/>
            <w:tcBorders>
              <w:left w:val="single" w:color="auto" w:sz="4" w:space="0"/>
            </w:tcBorders>
            <w:textDirection w:val="tbRlV"/>
            <w:vAlign w:val="center"/>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参选文件格式</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autoSpaceDE/>
              <w:autoSpaceDN/>
            </w:pPr>
          </w:p>
        </w:tc>
        <w:tc>
          <w:tcPr>
            <w:tcW w:w="1482" w:type="dxa"/>
            <w:vMerge w:val="continue"/>
            <w:tcBorders>
              <w:left w:val="single" w:color="auto" w:sz="4" w:space="0"/>
            </w:tcBorders>
            <w:textDirection w:val="tbRlV"/>
            <w:vAlign w:val="center"/>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参选文件组成</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符合第二章“参选人须知”4.1 条规定，</w:t>
            </w:r>
            <w:r>
              <w:rPr>
                <w:rFonts w:hint="eastAsia" w:ascii="Times New Roman" w:hAnsi="Times New Roman" w:cs="宋体"/>
                <w:color w:val="auto"/>
                <w:kern w:val="0"/>
                <w:sz w:val="20"/>
                <w:highlight w:val="none"/>
                <w:shd w:val="clear" w:color="auto" w:fill="auto"/>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autoSpaceDE/>
              <w:autoSpaceDN/>
            </w:pPr>
          </w:p>
        </w:tc>
        <w:tc>
          <w:tcPr>
            <w:tcW w:w="1482" w:type="dxa"/>
            <w:vMerge w:val="continue"/>
            <w:tcBorders>
              <w:left w:val="single" w:color="auto" w:sz="4" w:space="0"/>
            </w:tcBorders>
            <w:textDirection w:val="tbRlV"/>
            <w:vAlign w:val="center"/>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联合体参选</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2.1.3</w:t>
            </w:r>
          </w:p>
        </w:tc>
        <w:tc>
          <w:tcPr>
            <w:tcW w:w="1482"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响应性评审标准</w:t>
            </w: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参选内容</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 在响应承诺函中对第三章“项目要求”内容做出整体承诺；</w:t>
            </w:r>
          </w:p>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 xml:space="preserve">2. 根据第一章“2. </w:t>
            </w:r>
            <w:r>
              <w:rPr>
                <w:rFonts w:ascii="Times New Roman" w:hAnsi="Times New Roman" w:cs="宋体"/>
                <w:color w:val="auto"/>
                <w:kern w:val="0"/>
                <w:sz w:val="21"/>
                <w:szCs w:val="21"/>
                <w:highlight w:val="none"/>
                <w:shd w:val="clear" w:color="auto" w:fill="auto"/>
              </w:rPr>
              <w:t>参选人资格要求”和第三章“项目要求”的要求规定，提供对应</w:t>
            </w:r>
            <w:r>
              <w:rPr>
                <w:rFonts w:hint="eastAsia" w:ascii="Times New Roman" w:hAnsi="Times New Roman" w:cs="宋体"/>
                <w:color w:val="auto"/>
                <w:kern w:val="0"/>
                <w:sz w:val="21"/>
                <w:szCs w:val="21"/>
                <w:highlight w:val="none"/>
                <w:shd w:val="clear" w:color="auto" w:fill="auto"/>
                <w:lang w:val="en-US" w:eastAsia="zh-CN"/>
              </w:rPr>
              <w:t>材料</w:t>
            </w:r>
            <w:r>
              <w:rPr>
                <w:rFonts w:ascii="Times New Roman" w:hAnsi="Times New Roman" w:cs="宋体"/>
                <w:color w:val="auto"/>
                <w:kern w:val="0"/>
                <w:sz w:val="21"/>
                <w:szCs w:val="21"/>
                <w:highlight w:val="none"/>
                <w:shd w:val="clear" w:color="auto" w:fill="auto"/>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autoSpaceDE/>
              <w:autoSpaceDN/>
            </w:pPr>
          </w:p>
        </w:tc>
        <w:tc>
          <w:tcPr>
            <w:tcW w:w="1482" w:type="dxa"/>
            <w:vMerge w:val="continue"/>
            <w:tcBorders>
              <w:left w:val="single" w:color="auto" w:sz="4" w:space="0"/>
            </w:tcBorders>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参选文件份数</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autoSpaceDE/>
              <w:autoSpaceDN/>
            </w:pPr>
          </w:p>
        </w:tc>
        <w:tc>
          <w:tcPr>
            <w:tcW w:w="1482" w:type="dxa"/>
            <w:vMerge w:val="continue"/>
            <w:tcBorders>
              <w:left w:val="single" w:color="auto" w:sz="4" w:space="0"/>
            </w:tcBorders>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参选方案唯一</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autoSpaceDE/>
              <w:autoSpaceDN/>
            </w:pPr>
          </w:p>
        </w:tc>
        <w:tc>
          <w:tcPr>
            <w:tcW w:w="1482" w:type="dxa"/>
            <w:vMerge w:val="continue"/>
            <w:tcBorders>
              <w:left w:val="single" w:color="auto" w:sz="4" w:space="0"/>
            </w:tcBorders>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参选报价</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autoSpaceDE/>
              <w:autoSpaceDN/>
            </w:pPr>
          </w:p>
        </w:tc>
        <w:tc>
          <w:tcPr>
            <w:tcW w:w="1482" w:type="dxa"/>
            <w:vMerge w:val="continue"/>
            <w:tcBorders>
              <w:left w:val="single" w:color="auto" w:sz="4" w:space="0"/>
            </w:tcBorders>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参选有效期</w:t>
            </w:r>
          </w:p>
        </w:tc>
        <w:tc>
          <w:tcPr>
            <w:tcW w:w="5476" w:type="dxa"/>
            <w:tcBorders>
              <w:left w:val="single" w:color="auto" w:sz="4" w:space="0"/>
            </w:tcBorders>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autoSpaceDE/>
              <w:autoSpaceDN/>
            </w:pPr>
          </w:p>
        </w:tc>
        <w:tc>
          <w:tcPr>
            <w:tcW w:w="1482" w:type="dxa"/>
            <w:vMerge w:val="continue"/>
            <w:tcBorders>
              <w:left w:val="single" w:color="auto" w:sz="4" w:space="0"/>
            </w:tcBorders>
          </w:tcPr>
          <w:p>
            <w:pPr>
              <w:autoSpaceDE/>
              <w:autoSpaceDN/>
            </w:pPr>
          </w:p>
        </w:tc>
        <w:tc>
          <w:tcPr>
            <w:tcW w:w="1686"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参选保证金</w:t>
            </w:r>
          </w:p>
        </w:tc>
        <w:tc>
          <w:tcPr>
            <w:tcW w:w="5476" w:type="dxa"/>
            <w:tcBorders>
              <w:left w:val="single" w:color="auto" w:sz="4" w:space="0"/>
            </w:tcBorders>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restart"/>
            <w:vAlign w:val="center"/>
          </w:tcPr>
          <w:p>
            <w:pPr>
              <w:keepNext w:val="0"/>
              <w:keepLines w:val="0"/>
              <w:pageBreakBefore w:val="0"/>
              <w:widowControl w:val="0"/>
              <w:kinsoku/>
              <w:wordWrap/>
              <w:overflowPunct/>
              <w:topLinePunct w:val="0"/>
              <w:autoSpaceDE/>
              <w:autoSpaceDN/>
              <w:bidi w:val="0"/>
              <w:spacing w:line="600" w:lineRule="exact"/>
              <w:ind w:firstLine="0" w:firstLineChars="0"/>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2.2</w:t>
            </w:r>
          </w:p>
        </w:tc>
        <w:tc>
          <w:tcPr>
            <w:tcW w:w="1482"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详细评审</w:t>
            </w:r>
          </w:p>
        </w:tc>
        <w:tc>
          <w:tcPr>
            <w:tcW w:w="1686" w:type="dxa"/>
            <w:gridSpan w:val="2"/>
            <w:vMerge w:val="restart"/>
            <w:tcBorders>
              <w:left w:val="single" w:color="auto" w:sz="4" w:space="0"/>
            </w:tcBorders>
            <w:vAlign w:val="center"/>
          </w:tcPr>
          <w:p>
            <w:pPr>
              <w:keepNext w:val="0"/>
              <w:keepLines w:val="0"/>
              <w:pageBreakBefore w:val="0"/>
              <w:widowControl w:val="0"/>
              <w:tabs>
                <w:tab w:val="left" w:pos="1875"/>
              </w:tabs>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分值构成与评分标准</w:t>
            </w:r>
          </w:p>
          <w:p>
            <w:pPr>
              <w:keepNext w:val="0"/>
              <w:keepLines w:val="0"/>
              <w:pageBreakBefore w:val="0"/>
              <w:widowControl w:val="0"/>
              <w:tabs>
                <w:tab w:val="left" w:pos="1875"/>
              </w:tabs>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(总分</w:t>
            </w:r>
            <w:r>
              <w:rPr>
                <w:rFonts w:hint="eastAsia" w:ascii="Times New Roman" w:hAnsi="Times New Roman" w:cs="宋体"/>
                <w:color w:val="auto"/>
                <w:kern w:val="0"/>
                <w:sz w:val="21"/>
                <w:szCs w:val="21"/>
                <w:highlight w:val="none"/>
                <w:shd w:val="clear" w:color="auto" w:fill="auto"/>
                <w:lang w:val="en-US" w:eastAsia="zh-CN"/>
              </w:rPr>
              <w:t>100</w:t>
            </w:r>
            <w:r>
              <w:rPr>
                <w:rFonts w:hint="eastAsia" w:ascii="Times New Roman" w:hAnsi="Times New Roman" w:cs="宋体"/>
                <w:color w:val="auto"/>
                <w:kern w:val="0"/>
                <w:sz w:val="21"/>
                <w:szCs w:val="21"/>
                <w:highlight w:val="none"/>
                <w:shd w:val="clear" w:color="auto" w:fill="auto"/>
              </w:rPr>
              <w:t>分)</w:t>
            </w: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eastAsia" w:ascii="Times New Roman" w:hAnsi="Times New Roman" w:cs="宋体"/>
                <w:color w:val="auto"/>
                <w:kern w:val="0"/>
                <w:sz w:val="21"/>
                <w:szCs w:val="21"/>
                <w:highlight w:val="none"/>
                <w:shd w:val="clear" w:color="auto" w:fill="auto"/>
                <w:lang w:val="en-US" w:eastAsia="zh-CN"/>
              </w:rPr>
            </w:pPr>
            <w:r>
              <w:rPr>
                <w:rFonts w:hint="eastAsia" w:ascii="Times New Roman" w:hAnsi="Times New Roman" w:cs="宋体"/>
                <w:color w:val="auto"/>
                <w:kern w:val="0"/>
                <w:sz w:val="21"/>
                <w:szCs w:val="21"/>
                <w:highlight w:val="none"/>
                <w:shd w:val="clear" w:color="auto" w:fill="auto"/>
                <w:lang w:val="en-US" w:eastAsia="zh-CN"/>
              </w:rPr>
              <w:t>一、参选报价评分规则（分值：35分）</w:t>
            </w:r>
          </w:p>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1.以各有效报价之和的平均价格的90%作为评标基准价，基准分为</w:t>
            </w:r>
            <w:r>
              <w:rPr>
                <w:rFonts w:hint="eastAsia" w:ascii="Times New Roman" w:hAnsi="Times New Roman" w:cs="宋体"/>
                <w:color w:val="auto"/>
                <w:kern w:val="0"/>
                <w:sz w:val="21"/>
                <w:szCs w:val="21"/>
                <w:highlight w:val="none"/>
                <w:shd w:val="clear" w:color="auto" w:fill="auto"/>
                <w:lang w:val="en-US" w:eastAsia="zh-CN"/>
              </w:rPr>
              <w:t>35</w:t>
            </w:r>
            <w:r>
              <w:rPr>
                <w:rFonts w:hint="eastAsia" w:ascii="Times New Roman" w:hAnsi="Times New Roman" w:cs="宋体"/>
                <w:color w:val="auto"/>
                <w:kern w:val="0"/>
                <w:sz w:val="21"/>
                <w:szCs w:val="21"/>
                <w:highlight w:val="none"/>
                <w:shd w:val="clear" w:color="auto" w:fill="auto"/>
              </w:rPr>
              <w:t>分；</w:t>
            </w:r>
          </w:p>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2.计算各有效报价与评标基准价的偏离度。偏离度=（有效报价/评标基准价-1）*100%；</w:t>
            </w:r>
          </w:p>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ascii="Times New Roman" w:hAnsi="Times New Roman" w:cs="宋体"/>
                <w:color w:val="auto"/>
                <w:kern w:val="0"/>
                <w:sz w:val="20"/>
                <w:highlight w:val="none"/>
                <w:shd w:val="clear" w:color="auto" w:fill="auto"/>
                <w:lang w:val="en-US" w:eastAsia="zh-CN"/>
              </w:rPr>
            </w:pPr>
            <w:r>
              <w:rPr>
                <w:rFonts w:hint="eastAsia" w:ascii="Times New Roman" w:hAnsi="Times New Roman" w:cs="宋体"/>
                <w:color w:val="auto"/>
                <w:kern w:val="0"/>
                <w:sz w:val="21"/>
                <w:szCs w:val="21"/>
                <w:highlight w:val="none"/>
                <w:shd w:val="clear" w:color="auto" w:fill="auto"/>
              </w:rPr>
              <w:t>3.报价向上每偏离基准价的1%扣1分，向下每偏离基准价的1%扣1分，扣完为止，不足1%的不予扣减。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0" w:type="dxa"/>
            <w:vMerge w:val="continue"/>
            <w:vAlign w:val="center"/>
          </w:tcPr>
          <w:p>
            <w:pPr>
              <w:autoSpaceDE/>
              <w:autoSpaceDN/>
            </w:pPr>
          </w:p>
        </w:tc>
        <w:tc>
          <w:tcPr>
            <w:tcW w:w="1482" w:type="dxa"/>
            <w:vMerge w:val="continue"/>
            <w:tcBorders>
              <w:left w:val="single" w:color="auto" w:sz="4" w:space="0"/>
            </w:tcBorders>
            <w:vAlign w:val="center"/>
          </w:tcPr>
          <w:p>
            <w:pPr>
              <w:autoSpaceDE/>
              <w:autoSpaceDN/>
            </w:pPr>
          </w:p>
        </w:tc>
        <w:tc>
          <w:tcPr>
            <w:tcW w:w="1686" w:type="dxa"/>
            <w:gridSpan w:val="2"/>
            <w:vMerge w:val="continue"/>
            <w:tcBorders>
              <w:left w:val="single" w:color="auto" w:sz="4" w:space="0"/>
            </w:tcBorders>
            <w:vAlign w:val="center"/>
          </w:tcPr>
          <w:p>
            <w:pPr>
              <w:autoSpaceDE/>
              <w:autoSpaceDN/>
              <w:rPr>
                <w:rFonts w:hint="eastAsia" w:ascii="宋体" w:hAnsi="宋体" w:cs="宋体"/>
                <w:sz w:val="21"/>
                <w:szCs w:val="21"/>
              </w:rPr>
            </w:pP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lang w:val="en-US" w:eastAsia="zh-CN"/>
              </w:rPr>
              <w:t>二、商务部分</w:t>
            </w:r>
            <w:r>
              <w:rPr>
                <w:rFonts w:hint="eastAsia" w:ascii="宋体" w:hAnsi="宋体" w:cs="宋体"/>
                <w:color w:val="auto"/>
                <w:kern w:val="0"/>
                <w:sz w:val="21"/>
                <w:szCs w:val="21"/>
                <w:highlight w:val="none"/>
                <w:shd w:val="clear" w:color="auto" w:fill="auto"/>
              </w:rPr>
              <w:t>评分规则</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lang w:val="en-US" w:eastAsia="zh-CN"/>
              </w:rPr>
              <w:t>分值：10分</w:t>
            </w:r>
            <w:r>
              <w:rPr>
                <w:rFonts w:hint="eastAsia" w:ascii="宋体" w:hAnsi="宋体" w:cs="宋体"/>
                <w:color w:val="auto"/>
                <w:kern w:val="0"/>
                <w:sz w:val="21"/>
                <w:szCs w:val="21"/>
                <w:highlight w:val="none"/>
                <w:shd w:val="clear" w:color="auto" w:fill="auto"/>
                <w:lang w:eastAsia="zh-CN"/>
              </w:rPr>
              <w:t>）</w:t>
            </w:r>
          </w:p>
          <w:p>
            <w:pPr>
              <w:keepNext w:val="0"/>
              <w:keepLines w:val="0"/>
              <w:pageBreakBefore w:val="0"/>
              <w:widowControl w:val="0"/>
              <w:kinsoku/>
              <w:wordWrap/>
              <w:overflowPunct/>
              <w:topLinePunct w:val="0"/>
              <w:autoSpaceDE/>
              <w:autoSpaceDN/>
              <w:spacing w:line="600" w:lineRule="exact"/>
              <w:ind w:firstLine="0" w:firstLineChars="0"/>
              <w:jc w:val="left"/>
              <w:rPr>
                <w:rFonts w:hint="eastAsia" w:ascii="宋体" w:hAnsi="宋体" w:cs="宋体"/>
                <w:color w:val="auto"/>
                <w:kern w:val="0"/>
                <w:sz w:val="21"/>
                <w:szCs w:val="21"/>
                <w:highlight w:val="none"/>
                <w:shd w:val="clear" w:color="auto" w:fill="auto"/>
                <w:lang w:val="en-US" w:eastAsia="zh-CN"/>
              </w:rPr>
            </w:pPr>
            <w:r>
              <w:rPr>
                <w:rStyle w:val="25"/>
                <w:rFonts w:hint="eastAsia" w:ascii="宋体" w:hAnsi="宋体" w:cs="宋体"/>
                <w:color w:val="auto"/>
                <w:highlight w:val="none"/>
                <w:shd w:val="clear" w:color="auto" w:fill="auto"/>
                <w:lang w:val="en-US" w:eastAsia="zh-CN"/>
              </w:rPr>
              <w:t>1.</w:t>
            </w:r>
            <w:r>
              <w:rPr>
                <w:rFonts w:hint="eastAsia" w:ascii="宋体" w:hAnsi="宋体" w:cs="宋体"/>
                <w:color w:val="auto"/>
                <w:kern w:val="0"/>
                <w:sz w:val="21"/>
                <w:szCs w:val="21"/>
                <w:highlight w:val="none"/>
                <w:shd w:val="clear" w:color="auto" w:fill="auto"/>
                <w:lang w:val="en-US" w:eastAsia="zh-CN"/>
              </w:rPr>
              <w:t>参选人管理资质（分值：5分）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（1）</w:t>
            </w:r>
            <w:r>
              <w:rPr>
                <w:rFonts w:hint="eastAsia" w:ascii="宋体" w:hAnsi="宋体" w:cs="宋体"/>
                <w:color w:val="auto"/>
                <w:kern w:val="0"/>
                <w:sz w:val="21"/>
                <w:szCs w:val="21"/>
                <w:highlight w:val="none"/>
                <w:shd w:val="clear" w:color="auto" w:fill="auto"/>
              </w:rPr>
              <w:t>有ISO体系相关认证，如：ISO9001（质量管理）/ISO20000（服务管理）/ISO27001（信息安全）/ISO22301（业务连续性），每项有一项认证得0.5分；</w:t>
            </w:r>
            <w:r>
              <w:rPr>
                <w:rFonts w:hint="eastAsia" w:ascii="宋体" w:hAnsi="宋体" w:cs="宋体"/>
                <w:color w:val="auto"/>
                <w:kern w:val="0"/>
                <w:sz w:val="21"/>
                <w:szCs w:val="21"/>
                <w:highlight w:val="none"/>
                <w:shd w:val="clear" w:color="auto" w:fill="auto"/>
                <w:lang w:val="en-US" w:eastAsia="zh-CN"/>
              </w:rPr>
              <w:t>满分2分。</w:t>
            </w:r>
            <w:r>
              <w:rPr>
                <w:rFonts w:hint="eastAsia" w:ascii="宋体" w:hAnsi="宋体" w:cs="宋体"/>
                <w:color w:val="auto"/>
                <w:kern w:val="0"/>
                <w:sz w:val="21"/>
                <w:szCs w:val="21"/>
                <w:highlight w:val="none"/>
                <w:shd w:val="clear" w:color="auto" w:fill="auto"/>
              </w:rPr>
              <w:cr/>
            </w:r>
            <w:r>
              <w:rPr>
                <w:rFonts w:hint="eastAsia" w:ascii="宋体" w:hAnsi="宋体" w:cs="宋体"/>
                <w:color w:val="auto"/>
                <w:kern w:val="0"/>
                <w:sz w:val="21"/>
                <w:szCs w:val="21"/>
                <w:highlight w:val="none"/>
                <w:shd w:val="clear" w:color="auto" w:fill="auto"/>
                <w:lang w:val="en-US" w:eastAsia="zh-CN"/>
              </w:rPr>
              <w:t>（2）</w:t>
            </w:r>
            <w:r>
              <w:rPr>
                <w:rFonts w:hint="eastAsia" w:ascii="宋体" w:hAnsi="宋体" w:cs="宋体"/>
                <w:color w:val="auto"/>
                <w:kern w:val="0"/>
                <w:sz w:val="21"/>
                <w:szCs w:val="21"/>
                <w:highlight w:val="none"/>
                <w:shd w:val="clear" w:color="auto" w:fill="auto"/>
              </w:rPr>
              <w:t>有软件成熟度相关认证，CMMI 3级得</w:t>
            </w:r>
            <w:r>
              <w:rPr>
                <w:rFonts w:hint="eastAsia" w:ascii="宋体" w:hAnsi="宋体" w:cs="宋体"/>
                <w:color w:val="auto"/>
                <w:kern w:val="0"/>
                <w:sz w:val="21"/>
                <w:szCs w:val="21"/>
                <w:highlight w:val="none"/>
                <w:shd w:val="clear" w:color="auto" w:fill="auto"/>
                <w:lang w:val="en-US" w:eastAsia="zh-CN"/>
              </w:rPr>
              <w:t>1</w:t>
            </w:r>
            <w:r>
              <w:rPr>
                <w:rFonts w:hint="eastAsia" w:ascii="宋体" w:hAnsi="宋体" w:cs="宋体"/>
                <w:color w:val="auto"/>
                <w:kern w:val="0"/>
                <w:sz w:val="21"/>
                <w:szCs w:val="21"/>
                <w:highlight w:val="none"/>
                <w:shd w:val="clear" w:color="auto" w:fill="auto"/>
              </w:rPr>
              <w:t>分，CMMI 4级得</w:t>
            </w:r>
            <w:r>
              <w:rPr>
                <w:rFonts w:hint="eastAsia" w:ascii="宋体" w:hAnsi="宋体" w:cs="宋体"/>
                <w:color w:val="auto"/>
                <w:kern w:val="0"/>
                <w:sz w:val="21"/>
                <w:szCs w:val="21"/>
                <w:highlight w:val="none"/>
                <w:shd w:val="clear" w:color="auto" w:fill="auto"/>
                <w:lang w:val="en-US" w:eastAsia="zh-CN"/>
              </w:rPr>
              <w:t>2</w:t>
            </w:r>
            <w:r>
              <w:rPr>
                <w:rFonts w:hint="eastAsia" w:ascii="宋体" w:hAnsi="宋体" w:cs="宋体"/>
                <w:color w:val="auto"/>
                <w:kern w:val="0"/>
                <w:sz w:val="21"/>
                <w:szCs w:val="21"/>
                <w:highlight w:val="none"/>
                <w:shd w:val="clear" w:color="auto" w:fill="auto"/>
              </w:rPr>
              <w:t>分，CMMI 5级得</w:t>
            </w:r>
            <w:r>
              <w:rPr>
                <w:rFonts w:hint="eastAsia" w:ascii="宋体" w:hAnsi="宋体" w:cs="宋体"/>
                <w:color w:val="auto"/>
                <w:kern w:val="0"/>
                <w:sz w:val="21"/>
                <w:szCs w:val="21"/>
                <w:highlight w:val="none"/>
                <w:shd w:val="clear" w:color="auto" w:fill="auto"/>
                <w:lang w:val="en-US" w:eastAsia="zh-CN"/>
              </w:rPr>
              <w:t>3</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CMMI 3级</w:t>
            </w:r>
            <w:r>
              <w:rPr>
                <w:rFonts w:hint="eastAsia" w:ascii="宋体" w:hAnsi="宋体" w:cs="宋体"/>
                <w:color w:val="auto"/>
                <w:kern w:val="0"/>
                <w:sz w:val="21"/>
                <w:szCs w:val="21"/>
                <w:highlight w:val="none"/>
                <w:shd w:val="clear" w:color="auto" w:fill="auto"/>
                <w:lang w:val="en-US" w:eastAsia="zh-CN"/>
              </w:rPr>
              <w:t>以下不得分；满分3分。</w:t>
            </w:r>
          </w:p>
          <w:p>
            <w:pPr>
              <w:keepNext w:val="0"/>
              <w:keepLines w:val="0"/>
              <w:pageBreakBefore w:val="0"/>
              <w:widowControl w:val="0"/>
              <w:kinsoku/>
              <w:wordWrap/>
              <w:overflowPunct/>
              <w:topLinePunct w:val="0"/>
              <w:autoSpaceDE/>
              <w:autoSpaceDN/>
              <w:bidi w:val="0"/>
              <w:spacing w:line="600" w:lineRule="exact"/>
              <w:ind w:left="0" w:leftChars="0" w:firstLine="0" w:firstLineChars="0"/>
              <w:jc w:val="left"/>
              <w:textAlignment w:val="auto"/>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注</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需提供证书复印件。</w:t>
            </w:r>
          </w:p>
          <w:p>
            <w:pPr>
              <w:keepNext w:val="0"/>
              <w:keepLines w:val="0"/>
              <w:pageBreakBefore w:val="0"/>
              <w:widowControl w:val="0"/>
              <w:kinsoku/>
              <w:wordWrap/>
              <w:overflowPunct/>
              <w:topLinePunct w:val="0"/>
              <w:autoSpaceDE/>
              <w:autoSpaceDN/>
              <w:bidi w:val="0"/>
              <w:spacing w:line="600" w:lineRule="exact"/>
              <w:ind w:left="200" w:hanging="210" w:hangingChars="10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2.参选人实施案例（分值：3</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pacing w:line="600" w:lineRule="exact"/>
              <w:ind w:left="200" w:hanging="210" w:hangingChars="10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至少具备3</w:t>
            </w:r>
            <w:r>
              <w:rPr>
                <w:rFonts w:hint="eastAsia" w:ascii="宋体" w:hAnsi="宋体" w:cs="宋体"/>
                <w:kern w:val="0"/>
                <w:sz w:val="21"/>
                <w:szCs w:val="21"/>
                <w:highlight w:val="none"/>
                <w:shd w:val="clear" w:color="auto" w:fill="auto"/>
                <w:lang w:val="en-US" w:eastAsia="zh-CN"/>
              </w:rPr>
              <w:t>个案例，每增加</w:t>
            </w:r>
            <w:r>
              <w:rPr>
                <w:rFonts w:hint="eastAsia" w:ascii="宋体" w:hAnsi="宋体" w:cs="宋体"/>
                <w:kern w:val="0"/>
                <w:sz w:val="21"/>
                <w:szCs w:val="21"/>
                <w:highlight w:val="none"/>
                <w:shd w:val="clear" w:color="auto" w:fill="auto"/>
              </w:rPr>
              <w:t>1个</w:t>
            </w:r>
            <w:r>
              <w:rPr>
                <w:rFonts w:hint="eastAsia" w:ascii="宋体" w:hAnsi="宋体" w:cs="宋体"/>
                <w:kern w:val="0"/>
                <w:sz w:val="21"/>
                <w:szCs w:val="21"/>
                <w:highlight w:val="none"/>
                <w:shd w:val="clear" w:color="auto" w:fill="auto"/>
                <w:lang w:val="en-US" w:eastAsia="zh-CN"/>
              </w:rPr>
              <w:t>案例得1分，满分3分。要求</w:t>
            </w:r>
          </w:p>
          <w:p>
            <w:pPr>
              <w:keepNext w:val="0"/>
              <w:keepLines w:val="0"/>
              <w:pageBreakBefore w:val="0"/>
              <w:widowControl w:val="0"/>
              <w:kinsoku/>
              <w:wordWrap/>
              <w:overflowPunct/>
              <w:topLinePunct w:val="0"/>
              <w:autoSpaceDE/>
              <w:autoSpaceDN/>
              <w:spacing w:line="600" w:lineRule="exact"/>
              <w:ind w:left="0" w:firstLine="0" w:firstLineChars="0"/>
              <w:jc w:val="left"/>
              <w:rPr>
                <w:rFonts w:hint="eastAsia" w:ascii="宋体" w:hAnsi="宋体" w:cs="宋体"/>
                <w:kern w:val="0"/>
                <w:sz w:val="21"/>
                <w:szCs w:val="21"/>
                <w:highlight w:val="none"/>
                <w:shd w:val="clear" w:color="auto" w:fill="auto"/>
              </w:rPr>
            </w:pPr>
            <w:r>
              <w:rPr>
                <w:rFonts w:hint="eastAsia" w:ascii="宋体" w:hAnsi="宋体" w:cs="宋体"/>
                <w:kern w:val="0"/>
                <w:sz w:val="21"/>
                <w:szCs w:val="21"/>
                <w:highlight w:val="none"/>
                <w:shd w:val="clear" w:color="auto" w:fill="auto"/>
              </w:rPr>
              <w:t>（1）必须为2020年1月1日之后签订合同并成功实施过的银行个人手机银行项目，且同一合同必须同时包含渠道整合平台/渠道中台/业务中台和个人手机银行两部分内容；（2）实施案例必须是一期平台搭建类项目，不含二期及以上升级或运维类项目；（3）提供合同关键页复印件，若合同无法证明，需提供合同甲方出具的证明材料原件。</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3.参选人服务能力要求（分值：2</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val="en-US" w:eastAsia="zh-CN"/>
              </w:rPr>
              <w:t>）</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在重庆、成都、</w:t>
            </w:r>
            <w:r>
              <w:rPr>
                <w:rFonts w:hint="eastAsia" w:ascii="宋体" w:hAnsi="宋体" w:cs="宋体"/>
                <w:color w:val="auto"/>
                <w:kern w:val="0"/>
                <w:sz w:val="21"/>
                <w:szCs w:val="21"/>
                <w:shd w:val="clear" w:color="auto" w:fill="auto"/>
                <w:lang w:val="en-US" w:eastAsia="zh-CN"/>
              </w:rPr>
              <w:t>贵阳、昆明</w:t>
            </w:r>
            <w:r>
              <w:rPr>
                <w:rFonts w:hint="eastAsia" w:ascii="宋体" w:hAnsi="宋体" w:cs="宋体"/>
                <w:color w:val="auto"/>
                <w:kern w:val="0"/>
                <w:sz w:val="21"/>
                <w:szCs w:val="21"/>
                <w:highlight w:val="none"/>
                <w:shd w:val="clear" w:color="auto" w:fill="auto"/>
                <w:lang w:val="en-US" w:eastAsia="zh-CN"/>
              </w:rPr>
              <w:t>有分公司或办事处，且在当地缴纳社保的员工超过50人（含），</w:t>
            </w:r>
            <w:r>
              <w:rPr>
                <w:rFonts w:hint="eastAsia" w:ascii="宋体" w:hAnsi="宋体" w:cs="宋体"/>
                <w:color w:val="auto"/>
                <w:kern w:val="0"/>
                <w:sz w:val="21"/>
                <w:szCs w:val="21"/>
                <w:highlight w:val="none"/>
                <w:shd w:val="clear" w:color="auto" w:fill="auto"/>
              </w:rPr>
              <w:t>得</w:t>
            </w:r>
            <w:r>
              <w:rPr>
                <w:rFonts w:hint="eastAsia" w:ascii="宋体" w:hAnsi="宋体" w:cs="宋体"/>
                <w:color w:val="auto"/>
                <w:kern w:val="0"/>
                <w:sz w:val="21"/>
                <w:szCs w:val="21"/>
                <w:highlight w:val="none"/>
                <w:shd w:val="clear" w:color="auto" w:fill="auto"/>
                <w:lang w:val="en-US" w:eastAsia="zh-CN"/>
              </w:rPr>
              <w:t>2</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lang w:val="en-US" w:eastAsia="zh-CN"/>
              </w:rPr>
              <w:t>满分2分，不满足条件不得分。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（1）提供分公司营业执照或在重庆、成都、</w:t>
            </w:r>
            <w:r>
              <w:rPr>
                <w:rFonts w:hint="eastAsia" w:ascii="宋体" w:hAnsi="宋体" w:cs="宋体"/>
                <w:color w:val="auto"/>
                <w:kern w:val="0"/>
                <w:sz w:val="21"/>
                <w:szCs w:val="21"/>
                <w:shd w:val="clear" w:color="auto" w:fill="auto"/>
                <w:lang w:val="en-US" w:eastAsia="zh-CN"/>
              </w:rPr>
              <w:t>贵阳、昆明</w:t>
            </w:r>
            <w:r>
              <w:rPr>
                <w:rFonts w:hint="eastAsia" w:ascii="宋体" w:hAnsi="宋体" w:cs="宋体"/>
                <w:color w:val="auto"/>
                <w:kern w:val="0"/>
                <w:sz w:val="21"/>
                <w:szCs w:val="21"/>
                <w:highlight w:val="none"/>
                <w:shd w:val="clear" w:color="auto" w:fill="auto"/>
                <w:lang w:val="en-US" w:eastAsia="zh-CN"/>
              </w:rPr>
              <w:t>有办事处的承诺函；</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（2）提供社保证明。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0" w:type="dxa"/>
            <w:vMerge w:val="continue"/>
            <w:vAlign w:val="center"/>
          </w:tcPr>
          <w:p>
            <w:pPr>
              <w:autoSpaceDE/>
              <w:autoSpaceDN/>
            </w:pPr>
          </w:p>
        </w:tc>
        <w:tc>
          <w:tcPr>
            <w:tcW w:w="1482" w:type="dxa"/>
            <w:vMerge w:val="continue"/>
            <w:tcBorders>
              <w:left w:val="single" w:color="auto" w:sz="4" w:space="0"/>
            </w:tcBorders>
            <w:vAlign w:val="center"/>
          </w:tcPr>
          <w:p>
            <w:pPr>
              <w:autoSpaceDE/>
              <w:autoSpaceDN/>
            </w:pPr>
          </w:p>
        </w:tc>
        <w:tc>
          <w:tcPr>
            <w:tcW w:w="1686" w:type="dxa"/>
            <w:gridSpan w:val="2"/>
            <w:vMerge w:val="continue"/>
            <w:tcBorders>
              <w:left w:val="single" w:color="auto" w:sz="4" w:space="0"/>
            </w:tcBorders>
            <w:vAlign w:val="center"/>
          </w:tcPr>
          <w:p>
            <w:pPr>
              <w:autoSpaceDE/>
              <w:autoSpaceDN/>
              <w:rPr>
                <w:rFonts w:hint="eastAsia" w:ascii="宋体" w:hAnsi="宋体" w:cs="宋体"/>
                <w:sz w:val="21"/>
                <w:szCs w:val="21"/>
              </w:rPr>
            </w:pPr>
          </w:p>
        </w:tc>
        <w:tc>
          <w:tcPr>
            <w:tcW w:w="5476"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eastAsia="zh-CN"/>
              </w:rPr>
              <w:t>三、</w:t>
            </w:r>
            <w:r>
              <w:rPr>
                <w:rFonts w:hint="eastAsia" w:ascii="宋体" w:hAnsi="宋体" w:cs="宋体"/>
                <w:color w:val="auto"/>
                <w:kern w:val="0"/>
                <w:sz w:val="21"/>
                <w:szCs w:val="21"/>
                <w:highlight w:val="none"/>
                <w:shd w:val="clear" w:color="auto" w:fill="auto"/>
                <w:lang w:val="en-US" w:eastAsia="zh-CN"/>
              </w:rPr>
              <w:t>技术部分评分</w:t>
            </w:r>
            <w:r>
              <w:rPr>
                <w:rFonts w:hint="eastAsia" w:ascii="宋体" w:hAnsi="宋体" w:cs="宋体"/>
                <w:color w:val="auto"/>
                <w:kern w:val="0"/>
                <w:sz w:val="21"/>
                <w:szCs w:val="21"/>
                <w:highlight w:val="none"/>
                <w:shd w:val="clear" w:color="auto" w:fill="auto"/>
              </w:rPr>
              <w:t>规则</w:t>
            </w:r>
            <w:r>
              <w:rPr>
                <w:rFonts w:hint="eastAsia" w:ascii="宋体" w:hAnsi="宋体" w:cs="宋体"/>
                <w:color w:val="auto"/>
                <w:kern w:val="0"/>
                <w:sz w:val="21"/>
                <w:szCs w:val="21"/>
                <w:highlight w:val="none"/>
                <w:shd w:val="clear" w:color="auto" w:fill="auto"/>
                <w:lang w:val="en-US" w:eastAsia="zh-CN"/>
              </w:rPr>
              <w:t>（</w:t>
            </w:r>
            <w:r>
              <w:rPr>
                <w:rFonts w:hint="eastAsia" w:ascii="宋体" w:hAnsi="宋体" w:cs="宋体"/>
                <w:kern w:val="0"/>
                <w:sz w:val="21"/>
                <w:szCs w:val="21"/>
                <w:highlight w:val="none"/>
                <w:shd w:val="clear" w:color="auto" w:fill="auto"/>
                <w:lang w:val="en-US" w:eastAsia="zh-CN"/>
              </w:rPr>
              <w:t>分值</w:t>
            </w:r>
            <w:r>
              <w:rPr>
                <w:rFonts w:hint="eastAsia" w:ascii="宋体" w:hAnsi="宋体" w:cs="宋体"/>
                <w:color w:val="auto"/>
                <w:kern w:val="0"/>
                <w:sz w:val="21"/>
                <w:szCs w:val="21"/>
                <w:highlight w:val="none"/>
                <w:shd w:val="clear" w:color="auto" w:fill="auto"/>
                <w:lang w:val="en-US" w:eastAsia="zh-CN"/>
              </w:rPr>
              <w:t>：55分）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1.项目实施方案（分值：15分）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（1）需求理解（分值：5分）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对整体需求理解深刻3-5分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对整体需求理解一般0-2分。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lang w:val="en-US" w:eastAsia="zh-CN"/>
              </w:rPr>
              <w:t>（2）实施方案（分值：10分）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参选人所提供的实施方案完整、详细，实施步骤、计划明确，符合项目建设要求，可行性强（</w:t>
            </w:r>
            <w:r>
              <w:rPr>
                <w:rFonts w:hint="eastAsia" w:ascii="宋体" w:hAnsi="宋体" w:cs="宋体"/>
                <w:color w:val="auto"/>
                <w:kern w:val="0"/>
                <w:sz w:val="21"/>
                <w:szCs w:val="21"/>
                <w:highlight w:val="none"/>
                <w:shd w:val="clear" w:color="auto" w:fill="auto"/>
                <w:lang w:val="en-US" w:eastAsia="zh-CN"/>
              </w:rPr>
              <w:t>7</w:t>
            </w:r>
            <w:r>
              <w:rPr>
                <w:rFonts w:hint="eastAsia"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lang w:val="en-US" w:eastAsia="zh-CN"/>
              </w:rPr>
              <w:t>10</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参选人所提供的实施方案较完整，实施步骤、计划较明确，基本符合项目建设要求，可行性一般 （</w:t>
            </w:r>
            <w:r>
              <w:rPr>
                <w:rFonts w:hint="eastAsia" w:ascii="宋体" w:hAnsi="宋体" w:cs="宋体"/>
                <w:color w:val="auto"/>
                <w:kern w:val="0"/>
                <w:sz w:val="21"/>
                <w:szCs w:val="21"/>
                <w:highlight w:val="none"/>
                <w:shd w:val="clear" w:color="auto" w:fill="auto"/>
                <w:lang w:val="en-US" w:eastAsia="zh-CN"/>
              </w:rPr>
              <w:t>4-6</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参选人方案模糊，支持度低，满足项目小部分要求，可行性弱（0</w:t>
            </w:r>
            <w:r>
              <w:rPr>
                <w:rFonts w:hint="eastAsia" w:ascii="宋体" w:hAnsi="宋体" w:cs="宋体"/>
                <w:color w:val="auto"/>
                <w:kern w:val="0"/>
                <w:sz w:val="21"/>
                <w:szCs w:val="21"/>
                <w:highlight w:val="none"/>
                <w:shd w:val="clear" w:color="auto" w:fill="auto"/>
                <w:lang w:val="en-US" w:eastAsia="zh-CN"/>
              </w:rPr>
              <w:t>-3</w:t>
            </w:r>
            <w:r>
              <w:rPr>
                <w:rFonts w:hint="eastAsia" w:ascii="宋体" w:hAnsi="宋体" w:cs="宋体"/>
                <w:color w:val="auto"/>
                <w:kern w:val="0"/>
                <w:sz w:val="21"/>
                <w:szCs w:val="21"/>
                <w:highlight w:val="none"/>
                <w:shd w:val="clear" w:color="auto" w:fill="auto"/>
              </w:rPr>
              <w:t>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lang w:val="en-US" w:eastAsia="zh-CN"/>
              </w:rPr>
              <w:t>2.功能满足度（分值：30分）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rPr>
              <w:t>根据POC测试评分表中的得分*0.</w:t>
            </w:r>
            <w:r>
              <w:rPr>
                <w:rFonts w:hint="eastAsia" w:ascii="宋体" w:hAnsi="宋体" w:cs="宋体"/>
                <w:color w:val="auto"/>
                <w:kern w:val="0"/>
                <w:sz w:val="21"/>
                <w:szCs w:val="21"/>
                <w:highlight w:val="none"/>
                <w:shd w:val="clear" w:color="auto" w:fill="auto"/>
                <w:lang w:val="en-US" w:eastAsia="zh-CN"/>
              </w:rPr>
              <w:t>3</w:t>
            </w:r>
            <w:r>
              <w:rPr>
                <w:rFonts w:hint="eastAsia" w:ascii="宋体" w:hAnsi="宋体" w:cs="宋体"/>
                <w:color w:val="auto"/>
                <w:kern w:val="0"/>
                <w:sz w:val="21"/>
                <w:szCs w:val="21"/>
                <w:highlight w:val="none"/>
                <w:shd w:val="clear" w:color="auto" w:fill="auto"/>
              </w:rPr>
              <w:t>即为本项得分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注：</w:t>
            </w:r>
            <w:r>
              <w:rPr>
                <w:rFonts w:hint="eastAsia" w:ascii="宋体" w:hAnsi="宋体" w:cs="宋体"/>
                <w:color w:val="auto"/>
                <w:kern w:val="0"/>
                <w:sz w:val="21"/>
                <w:szCs w:val="21"/>
                <w:highlight w:val="none"/>
                <w:shd w:val="clear" w:color="auto" w:fill="auto"/>
                <w:lang w:val="en-US" w:eastAsia="zh-CN"/>
              </w:rPr>
              <w:t>由比选人根据POC方案进行</w:t>
            </w:r>
            <w:r>
              <w:rPr>
                <w:rFonts w:hint="eastAsia" w:ascii="宋体" w:hAnsi="宋体" w:cs="宋体"/>
                <w:color w:val="auto"/>
                <w:kern w:val="0"/>
                <w:sz w:val="21"/>
                <w:szCs w:val="21"/>
                <w:highlight w:val="none"/>
                <w:shd w:val="clear" w:color="auto" w:fill="auto"/>
                <w:lang w:eastAsia="zh-CN"/>
              </w:rPr>
              <w:t>。</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3.项目实施团队评分（分值：10分）</w:t>
            </w:r>
          </w:p>
          <w:p>
            <w:pPr>
              <w:keepNext w:val="0"/>
              <w:keepLines w:val="0"/>
              <w:pageBreakBefore w:val="0"/>
              <w:widowControl w:val="0"/>
              <w:kinsoku/>
              <w:wordWrap/>
              <w:overflowPunct/>
              <w:topLinePunct w:val="0"/>
              <w:autoSpaceDE/>
              <w:autoSpaceDN/>
              <w:bidi w:val="0"/>
              <w:spacing w:line="600" w:lineRule="exact"/>
              <w:ind w:left="0" w:firstLine="0" w:firstLineChars="0"/>
              <w:jc w:val="left"/>
              <w:textAlignment w:val="auto"/>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对项目实施团队成员，依次按照要求开展面试，面试</w:t>
            </w:r>
            <w:r>
              <w:rPr>
                <w:rFonts w:hint="eastAsia" w:ascii="宋体" w:hAnsi="宋体" w:cs="宋体"/>
                <w:color w:val="auto"/>
                <w:kern w:val="0"/>
                <w:sz w:val="21"/>
                <w:szCs w:val="21"/>
                <w:highlight w:val="none"/>
                <w:shd w:val="clear" w:color="auto" w:fill="auto"/>
              </w:rPr>
              <w:t>评分表中的得分*0.1即为本项得分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注：</w:t>
            </w:r>
            <w:r>
              <w:rPr>
                <w:rFonts w:hint="eastAsia" w:ascii="宋体" w:hAnsi="宋体" w:cs="宋体"/>
                <w:color w:val="auto"/>
                <w:kern w:val="0"/>
                <w:sz w:val="21"/>
                <w:szCs w:val="21"/>
                <w:highlight w:val="none"/>
                <w:shd w:val="clear" w:color="auto" w:fill="auto"/>
                <w:lang w:val="en-US" w:eastAsia="zh-CN"/>
              </w:rPr>
              <w:t>由比选人根据面试方案进行</w:t>
            </w:r>
            <w:r>
              <w:rPr>
                <w:rFonts w:hint="eastAsia" w:ascii="宋体" w:hAnsi="宋体" w:cs="宋体"/>
                <w:color w:val="auto"/>
                <w:kern w:val="0"/>
                <w:sz w:val="21"/>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3</w:t>
            </w:r>
          </w:p>
        </w:tc>
        <w:tc>
          <w:tcPr>
            <w:tcW w:w="1482"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评审程序</w:t>
            </w:r>
          </w:p>
        </w:tc>
        <w:tc>
          <w:tcPr>
            <w:tcW w:w="7162" w:type="dxa"/>
            <w:gridSpan w:val="3"/>
            <w:tcBorders>
              <w:left w:val="single" w:color="auto" w:sz="4" w:space="0"/>
            </w:tcBorders>
          </w:tcPr>
          <w:p>
            <w:pPr>
              <w:tabs>
                <w:tab w:val="left" w:pos="-111"/>
              </w:tabs>
              <w:spacing w:line="600" w:lineRule="exact"/>
              <w:ind w:firstLine="420"/>
              <w:rPr>
                <w:rFonts w:hint="eastAsia" w:ascii="宋体" w:hAnsi="宋体" w:cs="宋体"/>
                <w:color w:val="auto"/>
                <w:sz w:val="21"/>
                <w:szCs w:val="21"/>
              </w:rPr>
            </w:pPr>
            <w:r>
              <w:rPr>
                <w:rFonts w:hint="eastAsia" w:ascii="宋体" w:hAnsi="宋体" w:cs="宋体"/>
                <w:color w:val="auto"/>
                <w:sz w:val="21"/>
                <w:szCs w:val="21"/>
              </w:rPr>
              <w:t>1.比选人组织POC测试打分环节。</w:t>
            </w:r>
          </w:p>
          <w:p>
            <w:pPr>
              <w:tabs>
                <w:tab w:val="left" w:pos="-111"/>
              </w:tabs>
              <w:spacing w:line="600" w:lineRule="exact"/>
              <w:ind w:firstLine="420"/>
              <w:rPr>
                <w:rFonts w:hint="eastAsia" w:ascii="宋体" w:hAnsi="宋体" w:cs="宋体"/>
                <w:color w:val="auto"/>
                <w:sz w:val="21"/>
                <w:szCs w:val="21"/>
              </w:rPr>
            </w:pPr>
            <w:r>
              <w:rPr>
                <w:rFonts w:hint="eastAsia" w:ascii="宋体" w:hAnsi="宋体" w:cs="宋体"/>
                <w:color w:val="auto"/>
                <w:sz w:val="21"/>
                <w:szCs w:val="21"/>
              </w:rPr>
              <w:t>2.比选人组织面试打分环节。</w:t>
            </w:r>
          </w:p>
          <w:p>
            <w:pPr>
              <w:tabs>
                <w:tab w:val="left" w:pos="-111"/>
              </w:tabs>
              <w:spacing w:line="600" w:lineRule="exact"/>
              <w:ind w:firstLine="420"/>
              <w:rPr>
                <w:rFonts w:hint="eastAsia" w:ascii="宋体" w:hAnsi="宋体" w:cs="宋体"/>
                <w:color w:val="auto"/>
                <w:sz w:val="21"/>
                <w:szCs w:val="21"/>
              </w:rPr>
            </w:pPr>
            <w:r>
              <w:rPr>
                <w:rFonts w:hint="eastAsia" w:ascii="宋体" w:hAnsi="宋体" w:cs="宋体"/>
                <w:color w:val="auto"/>
                <w:sz w:val="21"/>
                <w:szCs w:val="21"/>
              </w:rPr>
              <w:t>3.评审委员会在初步评审前，按本章第3.1.3项的规定对参选报价有算术性错误的进行算术性错误修正。</w:t>
            </w:r>
          </w:p>
          <w:p>
            <w:pPr>
              <w:tabs>
                <w:tab w:val="left" w:pos="-111"/>
              </w:tabs>
              <w:spacing w:line="600" w:lineRule="exact"/>
              <w:ind w:firstLine="420"/>
              <w:rPr>
                <w:rFonts w:hint="eastAsia" w:ascii="宋体" w:hAnsi="宋体" w:cs="宋体"/>
                <w:color w:val="auto"/>
                <w:sz w:val="21"/>
                <w:szCs w:val="21"/>
              </w:rPr>
            </w:pPr>
            <w:r>
              <w:rPr>
                <w:rFonts w:hint="eastAsia" w:ascii="宋体" w:hAnsi="宋体" w:cs="宋体"/>
                <w:color w:val="auto"/>
                <w:sz w:val="21"/>
                <w:szCs w:val="21"/>
              </w:rPr>
              <w:t>4.评审委员会对参选文件进行初步评审。</w:t>
            </w:r>
          </w:p>
          <w:p>
            <w:pPr>
              <w:tabs>
                <w:tab w:val="left" w:pos="-111"/>
              </w:tabs>
              <w:spacing w:line="600" w:lineRule="exact"/>
              <w:ind w:firstLine="420"/>
              <w:rPr>
                <w:rFonts w:hint="default" w:ascii="宋体" w:hAnsi="宋体" w:eastAsia="宋体" w:cs="宋体"/>
                <w:color w:val="auto"/>
                <w:sz w:val="21"/>
                <w:szCs w:val="21"/>
                <w:lang w:val="en-US" w:eastAsia="zh-CN"/>
              </w:rPr>
            </w:pPr>
            <w:r>
              <w:rPr>
                <w:rFonts w:hint="eastAsia" w:ascii="宋体" w:hAnsi="宋体" w:cs="宋体"/>
                <w:color w:val="auto"/>
                <w:sz w:val="21"/>
                <w:szCs w:val="21"/>
              </w:rPr>
              <w:t>5.评审委员会对初步评审合格的参选文件进行详细评审</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主观评审部分由各专家独立评审打分，最后取平均得分，保留2位小数。</w:t>
            </w:r>
          </w:p>
          <w:p>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rPr>
              <w:t>6.评审委员会汇总详细评审得分及业主提供的POC打分及面试打分，综合得分由高至低进行排序，推荐1-3家合格的中选候选人。并依次为第一、二、三中选候选人。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pPr>
              <w:keepNext w:val="0"/>
              <w:keepLines w:val="0"/>
              <w:pageBreakBefore w:val="0"/>
              <w:widowControl w:val="0"/>
              <w:kinsoku/>
              <w:wordWrap/>
              <w:overflowPunct/>
              <w:topLinePunct w:val="0"/>
              <w:autoSpaceDE/>
              <w:autoSpaceDN/>
              <w:bidi w:val="0"/>
              <w:spacing w:line="600" w:lineRule="exact"/>
              <w:ind w:firstLine="0" w:firstLineChars="0"/>
              <w:textAlignment w:val="auto"/>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3.2.3</w:t>
            </w:r>
          </w:p>
        </w:tc>
        <w:tc>
          <w:tcPr>
            <w:tcW w:w="1511" w:type="dxa"/>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textAlignment w:val="auto"/>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参选人得分</w:t>
            </w:r>
          </w:p>
        </w:tc>
        <w:tc>
          <w:tcPr>
            <w:tcW w:w="5651"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参选人得分=参选报价得分+商务部分得分</w:t>
            </w:r>
            <w:r>
              <w:rPr>
                <w:rFonts w:ascii="Times New Roman" w:hAnsi="Times New Roman" w:cs="宋体"/>
                <w:color w:val="auto"/>
                <w:sz w:val="21"/>
                <w:szCs w:val="21"/>
                <w:highlight w:val="none"/>
                <w:shd w:val="clear" w:color="auto" w:fill="auto"/>
              </w:rPr>
              <w:t>+技术</w:t>
            </w:r>
            <w:r>
              <w:rPr>
                <w:rFonts w:hint="eastAsia" w:ascii="Times New Roman" w:hAnsi="Times New Roman" w:cs="宋体"/>
                <w:color w:val="auto"/>
                <w:kern w:val="0"/>
                <w:sz w:val="21"/>
                <w:szCs w:val="21"/>
                <w:highlight w:val="none"/>
                <w:shd w:val="clear" w:color="auto" w:fill="auto"/>
                <w:lang w:val="en-US" w:eastAsia="zh-CN"/>
              </w:rPr>
              <w:t>部分</w:t>
            </w:r>
            <w:r>
              <w:rPr>
                <w:rFonts w:ascii="Times New Roman" w:hAnsi="Times New Roman" w:cs="宋体"/>
                <w:color w:val="auto"/>
                <w:sz w:val="21"/>
                <w:szCs w:val="21"/>
                <w:highlight w:val="none"/>
                <w:shd w:val="clear" w:color="auto" w:fill="auto"/>
              </w:rPr>
              <w:t>得分</w:t>
            </w:r>
          </w:p>
        </w:tc>
      </w:tr>
      <w:bookmarkEnd w:id="147"/>
    </w:tbl>
    <w:p>
      <w:pPr>
        <w:rPr>
          <w:rFonts w:ascii="Times New Roman" w:hAnsi="Times New Roman" w:cs="宋体"/>
          <w:snapToGrid w:val="0"/>
          <w:color w:val="auto"/>
          <w:sz w:val="21"/>
          <w:szCs w:val="21"/>
          <w:highlight w:val="none"/>
          <w:shd w:val="clear" w:color="auto" w:fill="auto"/>
        </w:rPr>
      </w:pPr>
      <w:bookmarkStart w:id="148" w:name="_Toc636"/>
      <w:bookmarkStart w:id="149" w:name="_Toc21111"/>
      <w:r>
        <w:rPr>
          <w:rFonts w:hint="eastAsia" w:ascii="Times New Roman" w:hAnsi="Times New Roman" w:cs="宋体"/>
          <w:snapToGrid w:val="0"/>
          <w:color w:val="auto"/>
          <w:sz w:val="21"/>
          <w:szCs w:val="21"/>
          <w:highlight w:val="none"/>
          <w:shd w:val="clear" w:color="auto" w:fill="auto"/>
        </w:rPr>
        <w:br w:type="page"/>
      </w:r>
    </w:p>
    <w:p>
      <w:pPr>
        <w:pStyle w:val="3"/>
        <w:rPr>
          <w:rFonts w:ascii="Times New Roman" w:hAnsi="Times New Roman"/>
          <w:color w:val="auto"/>
          <w:highlight w:val="none"/>
          <w:shd w:val="clear" w:color="auto" w:fill="auto"/>
        </w:rPr>
      </w:pPr>
      <w:bookmarkStart w:id="150" w:name="_Toc28684"/>
      <w:bookmarkStart w:id="151" w:name="_Toc32527"/>
      <w:bookmarkStart w:id="152" w:name="_Toc18283"/>
      <w:bookmarkStart w:id="153" w:name="_Toc27234"/>
      <w:r>
        <w:rPr>
          <w:rFonts w:hint="eastAsia" w:ascii="Times New Roman" w:hAnsi="Times New Roman"/>
          <w:color w:val="auto"/>
          <w:highlight w:val="none"/>
          <w:shd w:val="clear" w:color="auto" w:fill="auto"/>
        </w:rPr>
        <w:t>1. 评审方法</w:t>
      </w:r>
      <w:bookmarkEnd w:id="148"/>
      <w:bookmarkEnd w:id="149"/>
      <w:bookmarkEnd w:id="150"/>
      <w:bookmarkEnd w:id="151"/>
      <w:bookmarkEnd w:id="152"/>
      <w:bookmarkEnd w:id="153"/>
    </w:p>
    <w:p>
      <w:pPr>
        <w:rPr>
          <w:rFonts w:ascii="Times New Roman" w:hAnsi="Times New Roman"/>
          <w:color w:val="auto"/>
          <w:highlight w:val="none"/>
          <w:shd w:val="clear" w:color="auto" w:fill="auto"/>
        </w:rPr>
      </w:pPr>
      <w:bookmarkStart w:id="154" w:name="_Toc224103385"/>
      <w:bookmarkStart w:id="155" w:name="_Toc407195379"/>
      <w:bookmarkStart w:id="156" w:name="_Toc277082619"/>
      <w:bookmarkStart w:id="157" w:name="_Toc377115419"/>
      <w:bookmarkStart w:id="158" w:name="_Toc440022827"/>
      <w:bookmarkStart w:id="159" w:name="_Toc287620752"/>
      <w:bookmarkStart w:id="160" w:name="_Toc330569206"/>
      <w:bookmarkStart w:id="161" w:name="_Toc376114120"/>
      <w:bookmarkStart w:id="162" w:name="_Toc200513199"/>
      <w:bookmarkStart w:id="163" w:name="_Toc377067339"/>
      <w:bookmarkStart w:id="164" w:name="_Toc287607813"/>
      <w:r>
        <w:rPr>
          <w:rFonts w:hint="eastAsia" w:ascii="Times New Roman" w:hAnsi="Times New Roman"/>
          <w:color w:val="auto"/>
          <w:highlight w:val="none"/>
          <w:shd w:val="clear" w:color="auto" w:fill="auto"/>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3"/>
        <w:rPr>
          <w:rFonts w:ascii="Times New Roman" w:hAnsi="Times New Roman"/>
          <w:color w:val="auto"/>
          <w:highlight w:val="none"/>
          <w:shd w:val="clear" w:color="auto" w:fill="auto"/>
        </w:rPr>
      </w:pPr>
      <w:bookmarkStart w:id="165" w:name="_Toc5950"/>
      <w:bookmarkStart w:id="166" w:name="_Toc31615"/>
      <w:bookmarkStart w:id="167" w:name="_Toc23969"/>
      <w:bookmarkStart w:id="168" w:name="_Toc27931"/>
      <w:bookmarkStart w:id="169" w:name="_Toc765"/>
      <w:bookmarkStart w:id="170" w:name="_Toc2274"/>
      <w:bookmarkStart w:id="171" w:name="_Toc444155968"/>
      <w:bookmarkStart w:id="172" w:name="_Toc27406"/>
      <w:bookmarkStart w:id="173" w:name="_Toc11958"/>
      <w:bookmarkStart w:id="174" w:name="_Toc16716"/>
      <w:r>
        <w:rPr>
          <w:rFonts w:hint="eastAsia" w:ascii="Times New Roman" w:hAnsi="Times New Roman"/>
          <w:color w:val="auto"/>
          <w:highlight w:val="none"/>
          <w:shd w:val="clear" w:color="auto" w:fill="auto"/>
        </w:rPr>
        <w:t>2. 评审标准</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pPr>
        <w:pStyle w:val="4"/>
        <w:rPr>
          <w:rFonts w:ascii="Times New Roman" w:hAnsi="Times New Roman"/>
          <w:color w:val="auto"/>
          <w:highlight w:val="none"/>
          <w:shd w:val="clear" w:color="auto" w:fill="auto"/>
        </w:rPr>
      </w:pPr>
      <w:bookmarkStart w:id="175" w:name="_Toc31964"/>
      <w:bookmarkStart w:id="176" w:name="_Toc376114121"/>
      <w:bookmarkStart w:id="177" w:name="_Toc16537"/>
      <w:bookmarkStart w:id="178" w:name="_Toc224103386"/>
      <w:bookmarkStart w:id="179" w:name="_Toc10533"/>
      <w:bookmarkStart w:id="180" w:name="_Toc1358"/>
      <w:bookmarkStart w:id="181" w:name="_Toc11839"/>
      <w:bookmarkStart w:id="182" w:name="_Toc200513200"/>
      <w:bookmarkStart w:id="183" w:name="_Toc440022828"/>
      <w:bookmarkStart w:id="184" w:name="_Toc330569207"/>
      <w:bookmarkStart w:id="185" w:name="_Toc407195380"/>
      <w:bookmarkStart w:id="186" w:name="_Toc287620753"/>
      <w:bookmarkStart w:id="187" w:name="_Toc21593"/>
      <w:bookmarkStart w:id="188" w:name="_Toc23425"/>
      <w:bookmarkStart w:id="189" w:name="_Toc444155969"/>
      <w:bookmarkStart w:id="190" w:name="_Toc377067340"/>
      <w:bookmarkStart w:id="191" w:name="_Toc287607814"/>
      <w:bookmarkStart w:id="192" w:name="_Toc277082620"/>
      <w:bookmarkStart w:id="193" w:name="_Toc377115420"/>
      <w:bookmarkStart w:id="194" w:name="_Toc7584"/>
      <w:r>
        <w:rPr>
          <w:rFonts w:hint="eastAsia" w:ascii="Times New Roman" w:hAnsi="Times New Roman"/>
          <w:color w:val="auto"/>
          <w:highlight w:val="none"/>
          <w:shd w:val="clear" w:color="auto" w:fill="auto"/>
        </w:rPr>
        <w:t>2.1 初步评审标准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2.1.1 资格评审标准：见评审办法前附表。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2.1.2 形式评审标准：见评审办法前附表。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2.1.3 响应性评审标准：见评审办法前附表。</w:t>
      </w:r>
    </w:p>
    <w:p>
      <w:pPr>
        <w:pStyle w:val="4"/>
        <w:rPr>
          <w:rFonts w:ascii="Times New Roman" w:hAnsi="Times New Roman"/>
          <w:color w:val="auto"/>
          <w:highlight w:val="none"/>
          <w:shd w:val="clear" w:color="auto" w:fill="auto"/>
        </w:rPr>
      </w:pPr>
      <w:bookmarkStart w:id="195" w:name="_Toc9090"/>
      <w:bookmarkStart w:id="196" w:name="_Toc287607815"/>
      <w:bookmarkStart w:id="197" w:name="_Toc1387"/>
      <w:bookmarkStart w:id="198" w:name="_Toc200513201"/>
      <w:bookmarkStart w:id="199" w:name="_Toc330569208"/>
      <w:bookmarkStart w:id="200" w:name="_Toc2340"/>
      <w:bookmarkStart w:id="201" w:name="_Toc377115421"/>
      <w:bookmarkStart w:id="202" w:name="_Toc287620754"/>
      <w:bookmarkStart w:id="203" w:name="_Toc25129"/>
      <w:bookmarkStart w:id="204" w:name="_Toc407195381"/>
      <w:bookmarkStart w:id="205" w:name="_Toc440022829"/>
      <w:bookmarkStart w:id="206" w:name="_Toc444155970"/>
      <w:bookmarkStart w:id="207" w:name="_Toc23296"/>
      <w:bookmarkStart w:id="208" w:name="_Toc11981"/>
      <w:bookmarkStart w:id="209" w:name="_Toc224103387"/>
      <w:bookmarkStart w:id="210" w:name="_Toc376114122"/>
      <w:bookmarkStart w:id="211" w:name="_Toc277082621"/>
      <w:bookmarkStart w:id="212" w:name="_Toc20840"/>
      <w:bookmarkStart w:id="213" w:name="_Toc377067341"/>
      <w:bookmarkStart w:id="214" w:name="_Toc6503"/>
      <w:r>
        <w:rPr>
          <w:rFonts w:hint="eastAsia" w:ascii="Times New Roman" w:hAnsi="Times New Roman"/>
          <w:color w:val="auto"/>
          <w:highlight w:val="none"/>
          <w:shd w:val="clear" w:color="auto" w:fill="auto"/>
        </w:rPr>
        <w:t>2.2 分值构成与评分标准</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2.2.1 分值构成：见评审办法前附表。 </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2.2.2 评审基准价计算方法：见评审办法前附表。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2.2.3 评分标准：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（1）参选报价评分标准：见评审办法前附表；</w:t>
      </w: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（2）商务部分评分标准：见评审办法前附表；</w:t>
      </w:r>
    </w:p>
    <w:p>
      <w:pPr>
        <w:rPr>
          <w:rFonts w:hint="eastAsia" w:ascii="Times New Roman" w:hAnsi="Times New Roman" w:eastAsia="宋体"/>
          <w:color w:val="auto"/>
          <w:highlight w:val="none"/>
          <w:shd w:val="clear" w:color="auto" w:fill="auto"/>
          <w:lang w:eastAsia="zh-CN"/>
        </w:rPr>
      </w:pP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3</w:t>
      </w: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技术</w:t>
      </w:r>
      <w:r>
        <w:rPr>
          <w:rFonts w:hint="eastAsia" w:ascii="Times New Roman" w:hAnsi="Times New Roman"/>
          <w:color w:val="auto"/>
          <w:highlight w:val="none"/>
          <w:shd w:val="clear" w:color="auto" w:fill="auto"/>
        </w:rPr>
        <w:t>部分评分标准：见评审办法前附表</w:t>
      </w:r>
      <w:r>
        <w:rPr>
          <w:rFonts w:hint="eastAsia" w:ascii="Times New Roman" w:hAnsi="Times New Roman"/>
          <w:color w:val="auto"/>
          <w:highlight w:val="none"/>
          <w:shd w:val="clear" w:color="auto" w:fill="auto"/>
          <w:lang w:eastAsia="zh-CN"/>
        </w:rPr>
        <w:t>。</w:t>
      </w:r>
    </w:p>
    <w:p>
      <w:pPr>
        <w:pStyle w:val="3"/>
        <w:rPr>
          <w:rFonts w:ascii="Times New Roman" w:hAnsi="Times New Roman"/>
          <w:color w:val="auto"/>
          <w:highlight w:val="none"/>
          <w:shd w:val="clear" w:color="auto" w:fill="auto"/>
        </w:rPr>
      </w:pPr>
      <w:bookmarkStart w:id="215" w:name="_Toc407195382"/>
      <w:bookmarkStart w:id="216" w:name="_Toc26812"/>
      <w:bookmarkStart w:id="217" w:name="_Toc200513202"/>
      <w:bookmarkStart w:id="218" w:name="_Toc377115422"/>
      <w:bookmarkStart w:id="219" w:name="_Toc287620755"/>
      <w:bookmarkStart w:id="220" w:name="_Toc224103388"/>
      <w:bookmarkStart w:id="221" w:name="_Toc8004"/>
      <w:bookmarkStart w:id="222" w:name="_Toc9488"/>
      <w:bookmarkStart w:id="223" w:name="_Toc376114123"/>
      <w:bookmarkStart w:id="224" w:name="_Toc5546"/>
      <w:bookmarkStart w:id="225" w:name="_Toc440022830"/>
      <w:bookmarkStart w:id="226" w:name="_Toc2982"/>
      <w:bookmarkStart w:id="227" w:name="_Toc444155971"/>
      <w:bookmarkStart w:id="228" w:name="_Toc14353"/>
      <w:bookmarkStart w:id="229" w:name="_Toc277082622"/>
      <w:bookmarkStart w:id="230" w:name="_Toc330569209"/>
      <w:bookmarkStart w:id="231" w:name="_Toc287607816"/>
      <w:bookmarkStart w:id="232" w:name="_Toc12538"/>
      <w:bookmarkStart w:id="233" w:name="_Toc15132"/>
      <w:bookmarkStart w:id="234" w:name="_Toc23633"/>
      <w:bookmarkStart w:id="235" w:name="_Toc377067342"/>
      <w:r>
        <w:rPr>
          <w:rFonts w:hint="eastAsia" w:ascii="Times New Roman" w:hAnsi="Times New Roman"/>
          <w:color w:val="auto"/>
          <w:highlight w:val="none"/>
          <w:shd w:val="clear" w:color="auto" w:fill="auto"/>
        </w:rPr>
        <w:t>3. 评审程序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4"/>
        <w:rPr>
          <w:rFonts w:ascii="Times New Roman" w:hAnsi="Times New Roman"/>
          <w:color w:val="auto"/>
          <w:highlight w:val="none"/>
          <w:shd w:val="clear" w:color="auto" w:fill="auto"/>
        </w:rPr>
      </w:pPr>
      <w:bookmarkStart w:id="236" w:name="_Toc440022831"/>
      <w:bookmarkStart w:id="237" w:name="_Toc224103389"/>
      <w:bookmarkStart w:id="238" w:name="_Toc32002"/>
      <w:bookmarkStart w:id="239" w:name="_Toc200513203"/>
      <w:bookmarkStart w:id="240" w:name="_Toc5462"/>
      <w:bookmarkStart w:id="241" w:name="_Toc287607817"/>
      <w:bookmarkStart w:id="242" w:name="_Toc330569210"/>
      <w:bookmarkStart w:id="243" w:name="_Toc376114124"/>
      <w:bookmarkStart w:id="244" w:name="_Toc9683"/>
      <w:bookmarkStart w:id="245" w:name="_Toc7383"/>
      <w:bookmarkStart w:id="246" w:name="_Toc444155972"/>
      <w:bookmarkStart w:id="247" w:name="_Toc287620756"/>
      <w:bookmarkStart w:id="248" w:name="_Toc277082623"/>
      <w:bookmarkStart w:id="249" w:name="_Toc377067343"/>
      <w:bookmarkStart w:id="250" w:name="_Toc19840"/>
      <w:bookmarkStart w:id="251" w:name="_Toc407195383"/>
      <w:bookmarkStart w:id="252" w:name="_Toc13851"/>
      <w:bookmarkStart w:id="253" w:name="_Toc22279"/>
      <w:bookmarkStart w:id="254" w:name="_Toc6448"/>
      <w:bookmarkStart w:id="255" w:name="_Toc377115423"/>
      <w:r>
        <w:rPr>
          <w:rFonts w:hint="eastAsia" w:ascii="Times New Roman" w:hAnsi="Times New Roman"/>
          <w:color w:val="auto"/>
          <w:highlight w:val="none"/>
          <w:shd w:val="clear" w:color="auto" w:fill="auto"/>
        </w:rPr>
        <w:t>3.1 初步评审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rPr>
          <w:rFonts w:ascii="Times New Roman" w:hAnsi="Times New Roman"/>
          <w:color w:val="auto"/>
          <w:highlight w:val="none"/>
          <w:shd w:val="clear" w:color="auto" w:fill="auto"/>
        </w:rPr>
      </w:pPr>
      <w:bookmarkStart w:id="256" w:name="_Toc356484119"/>
      <w:bookmarkStart w:id="257" w:name="_Toc332015984"/>
      <w:bookmarkStart w:id="258" w:name="_Toc332380970"/>
      <w:bookmarkStart w:id="259" w:name="_Toc373264792"/>
      <w:bookmarkStart w:id="260" w:name="_Toc373172234"/>
      <w:bookmarkStart w:id="261" w:name="_Toc440022832"/>
      <w:bookmarkStart w:id="262" w:name="_Toc331232649"/>
      <w:bookmarkStart w:id="263" w:name="_Toc376114125"/>
      <w:bookmarkStart w:id="264" w:name="_Toc354387014"/>
      <w:bookmarkStart w:id="265" w:name="_Toc27164"/>
      <w:bookmarkStart w:id="266" w:name="_Toc332028970"/>
      <w:bookmarkStart w:id="267" w:name="_Toc334002333"/>
      <w:bookmarkStart w:id="268" w:name="_Toc331232467"/>
      <w:bookmarkStart w:id="269" w:name="_Toc444155973"/>
      <w:bookmarkStart w:id="270" w:name="_Toc407195384"/>
      <w:bookmarkStart w:id="271" w:name="_Toc330569211"/>
      <w:bookmarkStart w:id="272" w:name="_Toc377067344"/>
      <w:bookmarkStart w:id="273" w:name="_Toc356243677"/>
      <w:bookmarkStart w:id="274" w:name="_Toc377115424"/>
      <w:r>
        <w:rPr>
          <w:rFonts w:hint="eastAsia" w:ascii="Times New Roman" w:hAnsi="Times New Roman"/>
          <w:color w:val="auto"/>
          <w:highlight w:val="none"/>
          <w:shd w:val="clear" w:color="auto" w:fill="auto"/>
        </w:rPr>
        <w:t>3.1.1 评审委员会依据本章第2.1 条规定的标准对参选文件进行初步评审。有一项不符合评审标准的，作否决参选处理。</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 参选人有以下情形之一的，其参选作否决参选处理：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3.1.2.1 有第二章“参选人须知”第9.条以及第11. 条规定的任何一种情形的；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3.1.2.2 有串通参选、弄虚作假等其他违反相关法律、法规行为的；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3.1.2.3 不按评审委员会要求澄清、说明或补正的。</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3.1.2.4 本参选文件约定的其它情形。</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shd w:val="clear" w:color="auto" w:fill="auto"/>
        </w:rPr>
        <w:t>第二章“</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须知”第</w:t>
      </w:r>
      <w:r>
        <w:rPr>
          <w:rFonts w:hint="eastAsia" w:ascii="Times New Roman" w:hAnsi="Times New Roman"/>
          <w:color w:val="auto"/>
          <w:highlight w:val="none"/>
          <w:shd w:val="clear" w:color="auto" w:fill="auto"/>
        </w:rPr>
        <w:t>4.8 条。</w:t>
      </w:r>
    </w:p>
    <w:p>
      <w:pPr>
        <w:pStyle w:val="4"/>
        <w:rPr>
          <w:rFonts w:ascii="Times New Roman" w:hAnsi="Times New Roman"/>
          <w:color w:val="auto"/>
          <w:highlight w:val="none"/>
          <w:shd w:val="clear" w:color="auto" w:fill="auto"/>
        </w:rPr>
      </w:pPr>
      <w:bookmarkStart w:id="275" w:name="_Toc440022833"/>
      <w:bookmarkStart w:id="276" w:name="_Toc407195385"/>
      <w:bookmarkStart w:id="277" w:name="_Toc287607818"/>
      <w:bookmarkStart w:id="278" w:name="_Toc377067345"/>
      <w:bookmarkStart w:id="279" w:name="_Toc376114126"/>
      <w:bookmarkStart w:id="280" w:name="_Toc22848"/>
      <w:bookmarkStart w:id="281" w:name="_Toc10046"/>
      <w:bookmarkStart w:id="282" w:name="_Toc22246"/>
      <w:bookmarkStart w:id="283" w:name="_Toc10847"/>
      <w:bookmarkStart w:id="284" w:name="_Toc7832"/>
      <w:bookmarkStart w:id="285" w:name="_Toc444155974"/>
      <w:bookmarkStart w:id="286" w:name="_Toc330569212"/>
      <w:bookmarkStart w:id="287" w:name="_Toc200513204"/>
      <w:bookmarkStart w:id="288" w:name="_Toc11246"/>
      <w:bookmarkStart w:id="289" w:name="_Toc277082624"/>
      <w:bookmarkStart w:id="290" w:name="_Toc287620757"/>
      <w:bookmarkStart w:id="291" w:name="_Toc377115425"/>
      <w:bookmarkStart w:id="292" w:name="_Toc29925"/>
      <w:bookmarkStart w:id="293" w:name="_Toc19604"/>
      <w:bookmarkStart w:id="294" w:name="_Toc224103390"/>
      <w:r>
        <w:rPr>
          <w:rFonts w:hint="eastAsia" w:ascii="Times New Roman" w:hAnsi="Times New Roman"/>
          <w:color w:val="auto"/>
          <w:highlight w:val="none"/>
          <w:shd w:val="clear" w:color="auto" w:fill="auto"/>
        </w:rPr>
        <w:t>3.2 详细评审</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3.2.1 评审委员会按本章第2.2 条规定的量化因素和分值进行打分，并计算出综合评估得分。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3.2.1.1 按本章第2.2 条规定的评审因素和分值对参选报价计算出得分；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3.2.1.2 按本章第2.2 条规定的评审因素和分值对商务部分计算出得分（评审委员会统一打分）；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3.2.2 评分分值计算保留小数点后两位，小数点后第三位“四舍五入”。</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3.2.3 参选人得分=参选报价得分+商务部分得分</w:t>
      </w:r>
      <w:r>
        <w:rPr>
          <w:rFonts w:hint="eastAsia" w:ascii="Times New Roman" w:hAnsi="Times New Roman"/>
          <w:color w:val="auto"/>
          <w:highlight w:val="none"/>
          <w:shd w:val="clear" w:color="auto" w:fill="auto"/>
          <w:lang w:val="en-US" w:eastAsia="zh-CN"/>
        </w:rPr>
        <w:t>+技术部分得分</w:t>
      </w:r>
      <w:r>
        <w:rPr>
          <w:rFonts w:hint="eastAsia" w:ascii="Times New Roman" w:hAnsi="Times New Roman"/>
          <w:color w:val="auto"/>
          <w:highlight w:val="none"/>
          <w:shd w:val="clear" w:color="auto" w:fill="auto"/>
        </w:rPr>
        <w:t>。</w:t>
      </w:r>
    </w:p>
    <w:p>
      <w:pPr>
        <w:pStyle w:val="4"/>
        <w:rPr>
          <w:rFonts w:ascii="Times New Roman" w:hAnsi="Times New Roman"/>
          <w:color w:val="auto"/>
          <w:highlight w:val="none"/>
          <w:shd w:val="clear" w:color="auto" w:fill="auto"/>
        </w:rPr>
      </w:pPr>
      <w:bookmarkStart w:id="295" w:name="_Toc287620758"/>
      <w:bookmarkStart w:id="296" w:name="_Toc2542"/>
      <w:bookmarkStart w:id="297" w:name="_Toc440022834"/>
      <w:bookmarkStart w:id="298" w:name="_Toc7176"/>
      <w:bookmarkStart w:id="299" w:name="_Toc377067346"/>
      <w:bookmarkStart w:id="300" w:name="_Toc277082625"/>
      <w:bookmarkStart w:id="301" w:name="_Toc224103391"/>
      <w:bookmarkStart w:id="302" w:name="_Toc1080"/>
      <w:bookmarkStart w:id="303" w:name="_Toc377115426"/>
      <w:bookmarkStart w:id="304" w:name="_Toc444155975"/>
      <w:bookmarkStart w:id="305" w:name="_Toc29261"/>
      <w:bookmarkStart w:id="306" w:name="_Toc376114127"/>
      <w:bookmarkStart w:id="307" w:name="_Toc200513205"/>
      <w:bookmarkStart w:id="308" w:name="_Toc407195386"/>
      <w:bookmarkStart w:id="309" w:name="_Toc287607819"/>
      <w:bookmarkStart w:id="310" w:name="_Toc28308"/>
      <w:bookmarkStart w:id="311" w:name="_Toc20948"/>
      <w:bookmarkStart w:id="312" w:name="_Toc32039"/>
      <w:bookmarkStart w:id="313" w:name="_Toc18708"/>
      <w:bookmarkStart w:id="314" w:name="_Toc330569213"/>
      <w:r>
        <w:rPr>
          <w:rFonts w:hint="eastAsia" w:ascii="Times New Roman" w:hAnsi="Times New Roman"/>
          <w:color w:val="auto"/>
          <w:highlight w:val="none"/>
          <w:shd w:val="clear" w:color="auto" w:fill="auto"/>
        </w:rPr>
        <w:t>3.3 参选文件的澄清和补正</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3.3.1 在评审过程中，评审委员会可以书面形式要求参选人对所提交参选文件中不明确的内容进行书面澄清或说明，或者对细微偏差进行补正。评审委员会不接受参选人主动提出的澄清、说明或补正。</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3.3.2 澄清、说明和补正不得改变参选文件的实质性内容（算术性错误修正的除外）。参选人的书面澄清、说明和补正属于参选文件的组成部分。</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3.3.3 评审委员会对参选人提交的澄清、说明或补正有疑问的，可以要求参选人进一步澄清、说明或补正，直至满足评审委员会的要求。</w:t>
      </w:r>
    </w:p>
    <w:p>
      <w:pPr>
        <w:pStyle w:val="4"/>
        <w:rPr>
          <w:rFonts w:ascii="Times New Roman" w:hAnsi="Times New Roman"/>
          <w:color w:val="auto"/>
          <w:highlight w:val="none"/>
          <w:shd w:val="clear" w:color="auto" w:fill="auto"/>
        </w:rPr>
      </w:pPr>
      <w:bookmarkStart w:id="315" w:name="_Toc31270"/>
      <w:bookmarkStart w:id="316" w:name="_Toc277082626"/>
      <w:bookmarkStart w:id="317" w:name="_Toc377115427"/>
      <w:bookmarkStart w:id="318" w:name="_Toc287620759"/>
      <w:bookmarkStart w:id="319" w:name="_Toc200513206"/>
      <w:bookmarkStart w:id="320" w:name="_Toc330569214"/>
      <w:bookmarkStart w:id="321" w:name="_Toc6310"/>
      <w:bookmarkStart w:id="322" w:name="_Toc407195387"/>
      <w:bookmarkStart w:id="323" w:name="_Toc21450"/>
      <w:bookmarkStart w:id="324" w:name="_Toc440022835"/>
      <w:bookmarkStart w:id="325" w:name="_Toc377067347"/>
      <w:bookmarkStart w:id="326" w:name="_Toc376114128"/>
      <w:bookmarkStart w:id="327" w:name="_Toc19054"/>
      <w:bookmarkStart w:id="328" w:name="_Toc30672"/>
      <w:bookmarkStart w:id="329" w:name="_Toc5346"/>
      <w:bookmarkStart w:id="330" w:name="_Toc287607820"/>
      <w:bookmarkStart w:id="331" w:name="_Toc224103392"/>
      <w:bookmarkStart w:id="332" w:name="_Toc444155976"/>
      <w:bookmarkStart w:id="333" w:name="_Toc4814"/>
      <w:bookmarkStart w:id="334" w:name="_Toc14840"/>
      <w:r>
        <w:rPr>
          <w:rFonts w:hint="eastAsia" w:ascii="Times New Roman" w:hAnsi="Times New Roman"/>
          <w:color w:val="auto"/>
          <w:highlight w:val="none"/>
          <w:shd w:val="clear" w:color="auto" w:fill="auto"/>
        </w:rPr>
        <w:t>3.4 评审结果</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3.4.1 评审委员会按照得分由高到低的顺序推荐中选候选人。</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3.4.2 评审委员会完成评审后，应当向比选人提交书面评审报告。</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3.4.3 有效参选不足两个的，经评审委员会判定，参选人具有相对行业竞争力的，可继续进行评审。</w:t>
      </w:r>
    </w:p>
    <w:p>
      <w:pPr>
        <w:pStyle w:val="4"/>
        <w:rPr>
          <w:rFonts w:ascii="Times New Roman" w:hAnsi="Times New Roman"/>
          <w:color w:val="auto"/>
          <w:highlight w:val="none"/>
          <w:shd w:val="clear" w:color="auto" w:fill="auto"/>
        </w:rPr>
      </w:pPr>
      <w:bookmarkStart w:id="335" w:name="_Toc23868"/>
      <w:r>
        <w:rPr>
          <w:rFonts w:hint="eastAsia" w:ascii="Times New Roman" w:hAnsi="Times New Roman"/>
          <w:color w:val="auto"/>
          <w:highlight w:val="none"/>
          <w:shd w:val="clear" w:color="auto" w:fill="auto"/>
        </w:rPr>
        <w:t>3.5 对评审委员会成员的纪律要求</w:t>
      </w:r>
      <w:bookmarkEnd w:id="335"/>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rPr>
          <w:rFonts w:ascii="Times New Roman" w:hAnsi="Times New Roman"/>
          <w:color w:val="auto"/>
          <w:highlight w:val="none"/>
          <w:shd w:val="clear" w:color="auto" w:fill="auto"/>
        </w:rPr>
      </w:pPr>
      <w:bookmarkStart w:id="336" w:name="_Toc463"/>
      <w:r>
        <w:rPr>
          <w:rFonts w:hint="eastAsia" w:ascii="Times New Roman" w:hAnsi="Times New Roman"/>
          <w:color w:val="auto"/>
          <w:highlight w:val="none"/>
          <w:shd w:val="clear" w:color="auto" w:fill="auto"/>
        </w:rPr>
        <w:t>3.6 对与评审活动有关的工作人员的纪律要求</w:t>
      </w:r>
      <w:bookmarkEnd w:id="336"/>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bookmarkStart w:id="337" w:name="_Toc150953074"/>
      <w:bookmarkStart w:id="338" w:name="_Toc89675170"/>
      <w:bookmarkStart w:id="339" w:name="_Toc303066034"/>
      <w:r>
        <w:rPr>
          <w:rFonts w:hint="eastAsia" w:ascii="Times New Roman" w:hAnsi="Times New Roman"/>
          <w:color w:val="auto"/>
          <w:highlight w:val="none"/>
          <w:shd w:val="clear" w:color="auto" w:fill="auto"/>
        </w:rPr>
        <w:br w:type="page"/>
      </w:r>
    </w:p>
    <w:p>
      <w:pPr>
        <w:pStyle w:val="2"/>
        <w:rPr>
          <w:rFonts w:ascii="Times New Roman" w:hAnsi="Times New Roman"/>
          <w:color w:val="auto"/>
          <w:highlight w:val="none"/>
          <w:shd w:val="clear" w:color="auto" w:fill="auto"/>
        </w:rPr>
      </w:pPr>
      <w:bookmarkStart w:id="340" w:name="_Toc19683"/>
      <w:bookmarkStart w:id="341" w:name="_Toc3920"/>
      <w:r>
        <w:rPr>
          <w:rFonts w:hint="eastAsia" w:ascii="Times New Roman" w:hAnsi="Times New Roman"/>
          <w:color w:val="auto"/>
          <w:highlight w:val="none"/>
          <w:shd w:val="clear" w:color="auto" w:fill="auto"/>
        </w:rPr>
        <w:t>第五章 合同</w:t>
      </w:r>
      <w:r>
        <w:rPr>
          <w:rFonts w:ascii="Times New Roman" w:hAnsi="Times New Roman"/>
          <w:color w:val="auto"/>
          <w:highlight w:val="none"/>
          <w:shd w:val="clear" w:color="auto" w:fill="auto"/>
        </w:rPr>
        <w:t>模板</w:t>
      </w:r>
      <w:bookmarkEnd w:id="337"/>
      <w:bookmarkEnd w:id="340"/>
      <w:bookmarkEnd w:id="341"/>
    </w:p>
    <w:p>
      <w:pPr>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（本章节的合同条款及格式仅供参考，具体以合同签订时为准）</w:t>
      </w:r>
    </w:p>
    <w:p>
      <w:pPr>
        <w:spacing w:line="360" w:lineRule="auto"/>
        <w:jc w:val="right"/>
        <w:rPr>
          <w:rStyle w:val="22"/>
          <w:rFonts w:ascii="宋体" w:eastAsia="宋体"/>
          <w:b w:val="0"/>
          <w:spacing w:val="0"/>
          <w:sz w:val="28"/>
          <w:szCs w:val="28"/>
        </w:rPr>
      </w:pPr>
      <w:r>
        <w:rPr>
          <w:rFonts w:hint="eastAsia" w:ascii="Times New Roman" w:hAnsi="Times New Roman"/>
          <w:color w:val="auto"/>
          <w:highlight w:val="none"/>
          <w:shd w:val="clear" w:color="auto" w:fill="auto"/>
        </w:rPr>
        <w:br w:type="page"/>
      </w:r>
      <w:r>
        <w:rPr>
          <w:rStyle w:val="22"/>
          <w:rFonts w:hint="eastAsia" w:ascii="宋体" w:eastAsia="宋体"/>
          <w:b w:val="0"/>
          <w:spacing w:val="0"/>
          <w:sz w:val="28"/>
          <w:szCs w:val="28"/>
        </w:rPr>
        <w:t>编号：SXYH20220101018_</w:t>
      </w:r>
      <w:r>
        <w:rPr>
          <w:rStyle w:val="22"/>
          <w:rFonts w:ascii="宋体" w:eastAsia="宋体"/>
          <w:b w:val="0"/>
          <w:spacing w:val="0"/>
          <w:sz w:val="28"/>
          <w:szCs w:val="28"/>
        </w:rPr>
        <w:t>__</w:t>
      </w:r>
    </w:p>
    <w:p>
      <w:pPr>
        <w:spacing w:line="360" w:lineRule="auto"/>
        <w:jc w:val="center"/>
        <w:rPr>
          <w:rStyle w:val="22"/>
          <w:spacing w:val="0"/>
          <w:szCs w:val="21"/>
        </w:rPr>
      </w:pPr>
    </w:p>
    <w:p>
      <w:pPr>
        <w:spacing w:line="360" w:lineRule="auto"/>
        <w:jc w:val="center"/>
        <w:rPr>
          <w:rStyle w:val="22"/>
          <w:spacing w:val="0"/>
          <w:szCs w:val="21"/>
        </w:rPr>
      </w:pPr>
    </w:p>
    <w:p>
      <w:pPr>
        <w:spacing w:line="360" w:lineRule="auto"/>
        <w:jc w:val="center"/>
        <w:rPr>
          <w:rStyle w:val="22"/>
          <w:spacing w:val="0"/>
          <w:szCs w:val="21"/>
        </w:rPr>
      </w:pPr>
    </w:p>
    <w:p>
      <w:pPr>
        <w:spacing w:line="360" w:lineRule="auto"/>
        <w:jc w:val="center"/>
        <w:rPr>
          <w:rStyle w:val="22"/>
          <w:spacing w:val="0"/>
          <w:szCs w:val="21"/>
        </w:rPr>
      </w:pPr>
    </w:p>
    <w:p>
      <w:pPr>
        <w:spacing w:line="360" w:lineRule="auto"/>
        <w:jc w:val="center"/>
        <w:rPr>
          <w:rStyle w:val="22"/>
          <w:rFonts w:ascii="宋体" w:eastAsia="宋体"/>
          <w:spacing w:val="0"/>
          <w:sz w:val="52"/>
          <w:szCs w:val="52"/>
        </w:rPr>
      </w:pPr>
      <w:r>
        <w:rPr>
          <w:rStyle w:val="22"/>
          <w:rFonts w:hint="eastAsia" w:ascii="宋体" w:eastAsia="宋体"/>
          <w:spacing w:val="0"/>
          <w:sz w:val="52"/>
          <w:szCs w:val="52"/>
        </w:rPr>
        <w:t>重庆三峡银行</w:t>
      </w:r>
    </w:p>
    <w:p>
      <w:pPr>
        <w:spacing w:line="360" w:lineRule="auto"/>
        <w:jc w:val="center"/>
        <w:rPr>
          <w:rStyle w:val="22"/>
          <w:rFonts w:ascii="宋体" w:eastAsia="宋体"/>
          <w:spacing w:val="0"/>
          <w:sz w:val="52"/>
          <w:szCs w:val="52"/>
        </w:rPr>
      </w:pPr>
      <w:r>
        <w:rPr>
          <w:rStyle w:val="22"/>
          <w:rFonts w:ascii="宋体" w:eastAsia="宋体"/>
          <w:spacing w:val="0"/>
          <w:sz w:val="52"/>
          <w:szCs w:val="52"/>
        </w:rPr>
        <w:t>第三代手机银行</w:t>
      </w:r>
      <w:r>
        <w:rPr>
          <w:rStyle w:val="22"/>
          <w:rFonts w:hint="eastAsia" w:ascii="宋体" w:eastAsia="宋体"/>
          <w:spacing w:val="0"/>
          <w:sz w:val="52"/>
          <w:szCs w:val="52"/>
        </w:rPr>
        <w:t>项目合同</w:t>
      </w:r>
    </w:p>
    <w:p>
      <w:pPr>
        <w:spacing w:line="360" w:lineRule="auto"/>
        <w:jc w:val="center"/>
        <w:rPr>
          <w:rStyle w:val="22"/>
          <w:spacing w:val="0"/>
          <w:szCs w:val="21"/>
        </w:rPr>
      </w:pPr>
    </w:p>
    <w:p>
      <w:pPr>
        <w:spacing w:line="360" w:lineRule="auto"/>
        <w:jc w:val="center"/>
        <w:rPr>
          <w:rStyle w:val="22"/>
          <w:spacing w:val="0"/>
          <w:szCs w:val="21"/>
        </w:rPr>
      </w:pPr>
    </w:p>
    <w:p>
      <w:pPr>
        <w:spacing w:line="360" w:lineRule="auto"/>
        <w:jc w:val="center"/>
        <w:rPr>
          <w:b/>
          <w:bCs/>
          <w:spacing w:val="0"/>
        </w:rPr>
      </w:pPr>
    </w:p>
    <w:p>
      <w:pPr>
        <w:spacing w:line="360" w:lineRule="auto"/>
        <w:jc w:val="center"/>
        <w:rPr>
          <w:b/>
          <w:bCs/>
          <w:spacing w:val="0"/>
        </w:rPr>
      </w:pPr>
    </w:p>
    <w:p>
      <w:pPr>
        <w:spacing w:line="360" w:lineRule="auto"/>
        <w:jc w:val="center"/>
        <w:rPr>
          <w:b/>
          <w:bCs/>
          <w:spacing w:val="0"/>
        </w:rPr>
      </w:pPr>
    </w:p>
    <w:p>
      <w:pPr>
        <w:spacing w:line="360" w:lineRule="auto"/>
        <w:rPr>
          <w:b/>
          <w:bCs/>
          <w:spacing w:val="0"/>
        </w:rPr>
      </w:pPr>
    </w:p>
    <w:p>
      <w:pPr>
        <w:spacing w:line="360" w:lineRule="auto"/>
        <w:jc w:val="center"/>
        <w:rPr>
          <w:b/>
          <w:bCs/>
          <w:spacing w:val="0"/>
        </w:rPr>
      </w:pPr>
    </w:p>
    <w:p>
      <w:pPr>
        <w:spacing w:line="360" w:lineRule="auto"/>
        <w:jc w:val="center"/>
        <w:rPr>
          <w:b/>
          <w:bCs/>
          <w:spacing w:val="0"/>
        </w:rPr>
      </w:pPr>
    </w:p>
    <w:p>
      <w:pPr>
        <w:spacing w:line="360" w:lineRule="auto"/>
        <w:jc w:val="center"/>
        <w:rPr>
          <w:b/>
          <w:bCs/>
          <w:spacing w:val="0"/>
        </w:rPr>
      </w:pPr>
    </w:p>
    <w:p>
      <w:pPr>
        <w:spacing w:line="360" w:lineRule="auto"/>
        <w:ind w:left="840" w:firstLine="420" w:firstLineChars="0"/>
        <w:rPr>
          <w:rFonts w:ascii="宋体" w:eastAsia="宋体"/>
          <w:b/>
          <w:bCs/>
          <w:spacing w:val="0"/>
          <w:sz w:val="28"/>
        </w:rPr>
      </w:pPr>
      <w:r>
        <w:rPr>
          <w:rFonts w:hint="eastAsia" w:ascii="宋体" w:eastAsia="宋体"/>
          <w:b/>
          <w:bCs/>
          <w:spacing w:val="0"/>
          <w:sz w:val="28"/>
        </w:rPr>
        <w:t>委托方（甲方）：重庆三峡银行股份有限公司</w:t>
      </w:r>
    </w:p>
    <w:p>
      <w:pPr>
        <w:tabs>
          <w:tab w:val="right" w:pos="8312"/>
        </w:tabs>
        <w:spacing w:line="360" w:lineRule="auto"/>
        <w:ind w:left="840" w:firstLine="420" w:firstLineChars="0"/>
        <w:rPr>
          <w:rFonts w:ascii="宋体" w:eastAsia="宋体"/>
          <w:b/>
          <w:bCs/>
          <w:spacing w:val="0"/>
          <w:sz w:val="28"/>
        </w:rPr>
      </w:pPr>
      <w:r>
        <w:rPr>
          <w:rFonts w:hint="eastAsia" w:ascii="宋体" w:eastAsia="宋体"/>
          <w:b/>
          <w:bCs/>
          <w:spacing w:val="0"/>
          <w:sz w:val="28"/>
        </w:rPr>
        <w:t>受托方（乙方）：</w:t>
      </w:r>
      <w:r>
        <w:rPr>
          <w:rFonts w:ascii="宋体" w:eastAsia="宋体"/>
          <w:b/>
          <w:bCs/>
          <w:spacing w:val="0"/>
          <w:sz w:val="28"/>
        </w:rPr>
        <w:tab/>
      </w:r>
    </w:p>
    <w:p>
      <w:pPr>
        <w:spacing w:line="360" w:lineRule="auto"/>
        <w:ind w:left="840" w:firstLine="420" w:firstLineChars="0"/>
        <w:rPr>
          <w:rFonts w:ascii="宋体" w:eastAsia="宋体"/>
          <w:b/>
          <w:spacing w:val="0"/>
        </w:rPr>
      </w:pPr>
      <w:r>
        <w:rPr>
          <w:rFonts w:hint="eastAsia" w:ascii="宋体" w:eastAsia="宋体"/>
          <w:b/>
          <w:bCs/>
          <w:spacing w:val="0"/>
          <w:sz w:val="28"/>
        </w:rPr>
        <w:t>签订地点</w:t>
      </w:r>
      <w:r>
        <w:rPr>
          <w:rFonts w:hint="eastAsia" w:ascii="宋体" w:eastAsia="宋体"/>
          <w:b/>
          <w:spacing w:val="0"/>
          <w:sz w:val="28"/>
        </w:rPr>
        <w:t>：重庆</w:t>
      </w:r>
    </w:p>
    <w:p>
      <w:pPr>
        <w:spacing w:line="360" w:lineRule="auto"/>
        <w:rPr>
          <w:b/>
          <w:spacing w:val="0"/>
          <w:sz w:val="32"/>
        </w:rPr>
      </w:pPr>
    </w:p>
    <w:p>
      <w:pPr>
        <w:spacing w:line="360" w:lineRule="auto"/>
        <w:jc w:val="center"/>
        <w:rPr>
          <w:rFonts w:ascii="宋体" w:eastAsia="宋体"/>
          <w:b/>
          <w:spacing w:val="0"/>
          <w:sz w:val="32"/>
          <w:szCs w:val="32"/>
        </w:rPr>
      </w:pPr>
      <w:r>
        <w:rPr>
          <w:spacing w:val="0"/>
        </w:rPr>
        <w:br w:type="page"/>
      </w:r>
      <w:r>
        <w:rPr>
          <w:rFonts w:hint="eastAsia" w:ascii="宋体" w:eastAsia="宋体"/>
          <w:b/>
          <w:spacing w:val="0"/>
          <w:sz w:val="32"/>
          <w:szCs w:val="32"/>
        </w:rPr>
        <w:t>目录</w:t>
      </w:r>
    </w:p>
    <w:p>
      <w:pPr>
        <w:pStyle w:val="17"/>
        <w:tabs>
          <w:tab w:val="right" w:leader="dot" w:pos="8312"/>
        </w:tabs>
      </w:pPr>
      <w:r>
        <w:rPr>
          <w:rFonts w:hint="eastAsia" w:ascii="宋体" w:eastAsia="宋体"/>
          <w:spacing w:val="0"/>
        </w:rPr>
        <w:fldChar w:fldCharType="begin"/>
      </w:r>
      <w:r>
        <w:rPr>
          <w:rFonts w:hint="eastAsia" w:ascii="宋体" w:eastAsia="宋体"/>
          <w:spacing w:val="0"/>
        </w:rPr>
        <w:instrText xml:space="preserve"> TOC \o "1-3" \n \h \z \u </w:instrText>
      </w:r>
      <w:r>
        <w:rPr>
          <w:rFonts w:hint="eastAsia" w:ascii="宋体" w:eastAsia="宋体"/>
          <w:spacing w:val="0"/>
        </w:rPr>
        <w:fldChar w:fldCharType="separate"/>
      </w:r>
      <w:r>
        <w:rPr>
          <w:rFonts w:hint="eastAsia" w:ascii="宋体" w:eastAsia="宋体"/>
          <w:spacing w:val="0"/>
        </w:rPr>
        <w:fldChar w:fldCharType="begin"/>
      </w:r>
      <w:r>
        <w:rPr>
          <w:rFonts w:hint="eastAsia" w:ascii="宋体" w:eastAsia="宋体"/>
          <w:spacing w:val="0"/>
        </w:rPr>
        <w:instrText xml:space="preserve"> HYPERLINK \l _Toc26860 </w:instrText>
      </w:r>
      <w:r>
        <w:rPr>
          <w:rFonts w:hint="eastAsia" w:ascii="宋体" w:eastAsia="宋体"/>
          <w:spacing w:val="0"/>
        </w:rPr>
        <w:fldChar w:fldCharType="separate"/>
      </w:r>
      <w:r>
        <w:rPr>
          <w:rFonts w:hint="eastAsia" w:ascii="Times New Roman" w:hAnsi="Times New Roman"/>
          <w:highlight w:val="none"/>
          <w:shd w:val="clear" w:color="auto" w:fill="auto"/>
        </w:rPr>
        <w:t xml:space="preserve">第一章 </w:t>
      </w:r>
      <w:r>
        <w:rPr>
          <w:rFonts w:hint="eastAsia" w:ascii="Times New Roman" w:hAnsi="Times New Roman"/>
          <w:szCs w:val="32"/>
          <w:highlight w:val="none"/>
          <w:shd w:val="clear" w:color="auto" w:fill="auto"/>
          <w:lang w:val="en-US" w:eastAsia="zh-CN"/>
        </w:rPr>
        <w:t>第三代手机银行项目</w:t>
      </w:r>
      <w:r>
        <w:rPr>
          <w:rFonts w:hint="eastAsia" w:ascii="Times New Roman" w:hAnsi="Times New Roman"/>
          <w:szCs w:val="32"/>
          <w:highlight w:val="none"/>
          <w:shd w:val="clear" w:color="auto" w:fill="auto"/>
        </w:rPr>
        <w:t>比选公告</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_Toc32636 </w:instrText>
      </w:r>
      <w:r>
        <w:rPr>
          <w:rFonts w:hint="eastAsia" w:ascii="宋体" w:eastAsia="宋体"/>
          <w:spacing w:val="0"/>
        </w:rPr>
        <w:fldChar w:fldCharType="separate"/>
      </w:r>
      <w:r>
        <w:rPr>
          <w:rFonts w:hint="eastAsia" w:ascii="Times New Roman" w:hAnsi="Times New Roman"/>
          <w:highlight w:val="none"/>
          <w:shd w:val="clear" w:color="auto" w:fill="auto"/>
        </w:rPr>
        <w:t>1. 比选项目内容</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_Toc4949 </w:instrText>
      </w:r>
      <w:r>
        <w:rPr>
          <w:rFonts w:hint="eastAsia" w:ascii="宋体" w:eastAsia="宋体"/>
          <w:spacing w:val="0"/>
        </w:rPr>
        <w:fldChar w:fldCharType="separate"/>
      </w:r>
      <w:r>
        <w:rPr>
          <w:rFonts w:hint="eastAsia" w:ascii="Times New Roman" w:hAnsi="Times New Roman"/>
          <w:highlight w:val="none"/>
          <w:shd w:val="clear" w:color="auto" w:fill="auto"/>
        </w:rPr>
        <w:t>2. 参选人资格要求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_Toc13658 </w:instrText>
      </w:r>
      <w:r>
        <w:rPr>
          <w:rFonts w:hint="eastAsia" w:ascii="宋体" w:eastAsia="宋体"/>
          <w:spacing w:val="0"/>
        </w:rPr>
        <w:fldChar w:fldCharType="separate"/>
      </w:r>
      <w:r>
        <w:rPr>
          <w:rFonts w:hint="eastAsia" w:ascii="Times New Roman" w:hAnsi="Times New Roman"/>
          <w:highlight w:val="none"/>
          <w:shd w:val="clear" w:color="auto" w:fill="auto"/>
        </w:rPr>
        <w:t>4. 参选保证金的递交</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_Toc18961 </w:instrText>
      </w:r>
      <w:r>
        <w:rPr>
          <w:rFonts w:hint="eastAsia" w:ascii="宋体" w:eastAsia="宋体"/>
          <w:spacing w:val="0"/>
        </w:rPr>
        <w:fldChar w:fldCharType="separate"/>
      </w:r>
      <w:r>
        <w:rPr>
          <w:rFonts w:hint="eastAsia" w:ascii="Times New Roman" w:hAnsi="Times New Roman"/>
          <w:highlight w:val="none"/>
          <w:shd w:val="clear" w:color="auto" w:fill="auto"/>
        </w:rPr>
        <w:t>5. 参选文件的递交</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_Toc8522 </w:instrText>
      </w:r>
      <w:r>
        <w:rPr>
          <w:rFonts w:hint="eastAsia" w:ascii="宋体" w:eastAsia="宋体"/>
          <w:spacing w:val="0"/>
        </w:rPr>
        <w:fldChar w:fldCharType="separate"/>
      </w:r>
      <w:r>
        <w:rPr>
          <w:rFonts w:hint="eastAsia" w:ascii="Times New Roman" w:hAnsi="Times New Roman"/>
          <w:highlight w:val="none"/>
          <w:shd w:val="clear" w:color="auto" w:fill="auto"/>
        </w:rPr>
        <w:t>6. 发布公告的媒介</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_Toc2675 </w:instrText>
      </w:r>
      <w:r>
        <w:rPr>
          <w:rFonts w:hint="eastAsia" w:ascii="宋体" w:eastAsia="宋体"/>
          <w:spacing w:val="0"/>
        </w:rPr>
        <w:fldChar w:fldCharType="separate"/>
      </w:r>
      <w:r>
        <w:rPr>
          <w:rFonts w:hint="eastAsia" w:ascii="Times New Roman" w:hAnsi="Times New Roman"/>
          <w:shd w:val="clear" w:fill="auto"/>
        </w:rPr>
        <w:t xml:space="preserve">7. </w:t>
      </w:r>
      <w:r>
        <w:rPr>
          <w:rFonts w:hint="eastAsia" w:ascii="Times New Roman" w:hAnsi="Times New Roman"/>
          <w:highlight w:val="none"/>
          <w:shd w:val="clear" w:color="auto" w:fill="auto"/>
        </w:rPr>
        <w:t>联系方式</w:t>
      </w:r>
      <w:r>
        <w:rPr>
          <w:rFonts w:hint="eastAsia" w:ascii="宋体" w:eastAsia="宋体"/>
          <w:spacing w:val="0"/>
        </w:rPr>
        <w:fldChar w:fldCharType="end"/>
      </w:r>
    </w:p>
    <w:p>
      <w:pPr>
        <w:pStyle w:val="17"/>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_Toc13742 </w:instrText>
      </w:r>
      <w:r>
        <w:rPr>
          <w:rFonts w:hint="eastAsia" w:ascii="宋体" w:eastAsia="宋体"/>
          <w:spacing w:val="0"/>
        </w:rPr>
        <w:fldChar w:fldCharType="separate"/>
      </w:r>
      <w:r>
        <w:rPr>
          <w:rFonts w:hint="eastAsia" w:ascii="Times New Roman" w:hAnsi="Times New Roman"/>
          <w:highlight w:val="none"/>
          <w:shd w:val="clear" w:color="auto" w:fill="auto"/>
        </w:rPr>
        <w:t>第二章 参选人须知</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_Toc9800 </w:instrText>
      </w:r>
      <w:r>
        <w:rPr>
          <w:rFonts w:hint="eastAsia" w:ascii="宋体" w:eastAsia="宋体"/>
          <w:spacing w:val="0"/>
        </w:rPr>
        <w:fldChar w:fldCharType="separate"/>
      </w:r>
      <w:r>
        <w:rPr>
          <w:rFonts w:hint="eastAsia" w:ascii="Times New Roman" w:hAnsi="Times New Roman"/>
          <w:highlight w:val="none"/>
          <w:shd w:val="clear" w:color="auto" w:fill="auto"/>
        </w:rPr>
        <w:t>1. 项目信息</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_Toc19018 </w:instrText>
      </w:r>
      <w:r>
        <w:rPr>
          <w:rFonts w:hint="eastAsia" w:ascii="宋体" w:eastAsia="宋体"/>
          <w:spacing w:val="0"/>
        </w:rPr>
        <w:fldChar w:fldCharType="separate"/>
      </w:r>
      <w:r>
        <w:rPr>
          <w:rFonts w:hint="eastAsia" w:ascii="Times New Roman" w:hAnsi="Times New Roman"/>
          <w:highlight w:val="none"/>
          <w:shd w:val="clear" w:color="auto" w:fill="auto"/>
        </w:rPr>
        <w:t>1.1 比选人</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_Toc22218 </w:instrText>
      </w:r>
      <w:r>
        <w:rPr>
          <w:rFonts w:hint="eastAsia" w:ascii="宋体" w:eastAsia="宋体"/>
          <w:spacing w:val="0"/>
        </w:rPr>
        <w:fldChar w:fldCharType="separate"/>
      </w:r>
      <w:r>
        <w:rPr>
          <w:rFonts w:hint="eastAsia" w:ascii="Times New Roman" w:hAnsi="Times New Roman"/>
          <w:highlight w:val="none"/>
          <w:shd w:val="clear" w:color="auto" w:fill="auto"/>
        </w:rPr>
        <w:t>1.2 最高限价</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_Toc31203 </w:instrText>
      </w:r>
      <w:r>
        <w:rPr>
          <w:rFonts w:hint="eastAsia" w:ascii="宋体" w:eastAsia="宋体"/>
          <w:spacing w:val="0"/>
        </w:rPr>
        <w:fldChar w:fldCharType="separate"/>
      </w:r>
      <w:r>
        <w:rPr>
          <w:rFonts w:hint="eastAsia" w:ascii="Times New Roman" w:hAnsi="Times New Roman"/>
          <w:highlight w:val="none"/>
          <w:shd w:val="clear" w:color="auto" w:fill="auto"/>
        </w:rPr>
        <w:t>1.3 项目概况</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_Toc24629 </w:instrText>
      </w:r>
      <w:r>
        <w:rPr>
          <w:rFonts w:hint="eastAsia" w:ascii="宋体" w:eastAsia="宋体"/>
          <w:spacing w:val="0"/>
        </w:rPr>
        <w:fldChar w:fldCharType="separate"/>
      </w:r>
      <w:r>
        <w:rPr>
          <w:rFonts w:hint="eastAsia" w:ascii="Times New Roman" w:hAnsi="Times New Roman"/>
          <w:highlight w:val="none"/>
          <w:shd w:val="clear" w:color="auto" w:fill="auto"/>
        </w:rPr>
        <w:t>1.4 项目目标</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_Toc536 </w:instrText>
      </w:r>
      <w:r>
        <w:rPr>
          <w:rFonts w:hint="eastAsia" w:ascii="宋体" w:eastAsia="宋体"/>
          <w:spacing w:val="0"/>
        </w:rPr>
        <w:fldChar w:fldCharType="separate"/>
      </w:r>
      <w:r>
        <w:rPr>
          <w:rFonts w:hint="eastAsia" w:ascii="Times New Roman" w:hAnsi="Times New Roman"/>
          <w:highlight w:val="none"/>
          <w:shd w:val="clear" w:color="auto" w:fill="auto"/>
        </w:rPr>
        <w:t xml:space="preserve">2. </w:t>
      </w:r>
      <w:r>
        <w:rPr>
          <w:rFonts w:ascii="Times New Roman" w:hAnsi="Times New Roman"/>
          <w:highlight w:val="none"/>
          <w:shd w:val="clear" w:color="auto" w:fill="auto"/>
        </w:rPr>
        <w:t>参选</w:t>
      </w:r>
      <w:r>
        <w:rPr>
          <w:rFonts w:hint="eastAsia" w:ascii="Times New Roman" w:hAnsi="Times New Roman"/>
          <w:highlight w:val="none"/>
          <w:shd w:val="clear" w:color="auto" w:fill="auto"/>
        </w:rPr>
        <w:t>人</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_Toc4823 </w:instrText>
      </w:r>
      <w:r>
        <w:rPr>
          <w:rFonts w:hint="eastAsia" w:ascii="宋体" w:eastAsia="宋体"/>
          <w:spacing w:val="0"/>
        </w:rPr>
        <w:fldChar w:fldCharType="separate"/>
      </w:r>
      <w:r>
        <w:rPr>
          <w:rFonts w:hint="eastAsia" w:ascii="Times New Roman" w:hAnsi="Times New Roman"/>
          <w:highlight w:val="none"/>
          <w:shd w:val="clear" w:color="auto" w:fill="auto"/>
        </w:rPr>
        <w:t>3. 比选文件</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_Toc24214 </w:instrText>
      </w:r>
      <w:r>
        <w:rPr>
          <w:rFonts w:hint="eastAsia" w:ascii="宋体" w:eastAsia="宋体"/>
          <w:spacing w:val="0"/>
        </w:rPr>
        <w:fldChar w:fldCharType="separate"/>
      </w:r>
      <w:r>
        <w:rPr>
          <w:rFonts w:hint="eastAsia" w:ascii="Times New Roman" w:hAnsi="Times New Roman"/>
          <w:highlight w:val="none"/>
          <w:shd w:val="clear" w:color="auto" w:fill="auto"/>
        </w:rPr>
        <w:t xml:space="preserve">4. </w:t>
      </w:r>
      <w:r>
        <w:rPr>
          <w:rFonts w:ascii="Times New Roman" w:hAnsi="Times New Roman"/>
          <w:highlight w:val="none"/>
          <w:shd w:val="clear" w:color="auto" w:fill="auto"/>
        </w:rPr>
        <w:t>参选</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_Toc7637 </w:instrText>
      </w:r>
      <w:r>
        <w:rPr>
          <w:rFonts w:hint="eastAsia" w:ascii="宋体" w:eastAsia="宋体"/>
          <w:spacing w:val="0"/>
        </w:rPr>
        <w:fldChar w:fldCharType="separate"/>
      </w:r>
      <w:r>
        <w:rPr>
          <w:rFonts w:hint="eastAsia" w:ascii="Times New Roman" w:hAnsi="Times New Roman"/>
          <w:highlight w:val="none"/>
          <w:shd w:val="clear" w:color="auto" w:fill="auto"/>
        </w:rPr>
        <w:t>4.1 参选文件组成</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_Toc25431 </w:instrText>
      </w:r>
      <w:r>
        <w:rPr>
          <w:rFonts w:hint="eastAsia" w:ascii="宋体" w:eastAsia="宋体"/>
          <w:spacing w:val="0"/>
        </w:rPr>
        <w:fldChar w:fldCharType="separate"/>
      </w:r>
      <w:r>
        <w:rPr>
          <w:rFonts w:hint="eastAsia" w:ascii="Times New Roman" w:hAnsi="Times New Roman"/>
          <w:highlight w:val="none"/>
          <w:shd w:val="clear" w:color="auto" w:fill="auto"/>
        </w:rPr>
        <w:t>4.2 联合参选</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_Toc2306 </w:instrText>
      </w:r>
      <w:r>
        <w:rPr>
          <w:rFonts w:hint="eastAsia" w:ascii="宋体" w:eastAsia="宋体"/>
          <w:spacing w:val="0"/>
        </w:rPr>
        <w:fldChar w:fldCharType="separate"/>
      </w:r>
      <w:r>
        <w:rPr>
          <w:rFonts w:hint="eastAsia" w:ascii="Times New Roman" w:hAnsi="Times New Roman"/>
          <w:highlight w:val="none"/>
          <w:shd w:val="clear" w:color="auto" w:fill="auto"/>
        </w:rPr>
        <w:t>4.3 参选有效期</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_Toc30106 </w:instrText>
      </w:r>
      <w:r>
        <w:rPr>
          <w:rFonts w:hint="eastAsia" w:ascii="宋体" w:eastAsia="宋体"/>
          <w:spacing w:val="0"/>
        </w:rPr>
        <w:fldChar w:fldCharType="separate"/>
      </w:r>
      <w:r>
        <w:rPr>
          <w:rFonts w:hint="eastAsia" w:ascii="Times New Roman" w:hAnsi="Times New Roman"/>
          <w:highlight w:val="none"/>
          <w:shd w:val="clear" w:color="auto" w:fill="auto"/>
        </w:rPr>
        <w:t>4.4 参选保证金</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_Toc5750 </w:instrText>
      </w:r>
      <w:r>
        <w:rPr>
          <w:rFonts w:hint="eastAsia" w:ascii="宋体" w:eastAsia="宋体"/>
          <w:spacing w:val="0"/>
        </w:rPr>
        <w:fldChar w:fldCharType="separate"/>
      </w:r>
      <w:r>
        <w:rPr>
          <w:rFonts w:hint="eastAsia" w:ascii="Times New Roman" w:hAnsi="Times New Roman"/>
          <w:highlight w:val="none"/>
          <w:shd w:val="clear" w:color="auto" w:fill="auto"/>
        </w:rPr>
        <w:t>4.5 参选文件的份数和签署</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_Toc16804 </w:instrText>
      </w:r>
      <w:r>
        <w:rPr>
          <w:rFonts w:hint="eastAsia" w:ascii="宋体" w:eastAsia="宋体"/>
          <w:spacing w:val="0"/>
        </w:rPr>
        <w:fldChar w:fldCharType="separate"/>
      </w:r>
      <w:r>
        <w:rPr>
          <w:rFonts w:hint="eastAsia" w:ascii="Times New Roman" w:hAnsi="Times New Roman"/>
          <w:highlight w:val="none"/>
          <w:shd w:val="clear" w:color="auto" w:fill="auto"/>
        </w:rPr>
        <w:t>4.6 参选文件的密封与标记</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_Toc4550 </w:instrText>
      </w:r>
      <w:r>
        <w:rPr>
          <w:rFonts w:hint="eastAsia" w:ascii="宋体" w:eastAsia="宋体"/>
          <w:spacing w:val="0"/>
        </w:rPr>
        <w:fldChar w:fldCharType="separate"/>
      </w:r>
      <w:r>
        <w:rPr>
          <w:rFonts w:hint="eastAsia" w:ascii="Times New Roman" w:hAnsi="Times New Roman"/>
          <w:highlight w:val="none"/>
          <w:shd w:val="clear" w:color="auto" w:fill="auto"/>
        </w:rPr>
        <w:t>4.7 参选报价</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_Toc31634 </w:instrText>
      </w:r>
      <w:r>
        <w:rPr>
          <w:rFonts w:hint="eastAsia" w:ascii="宋体" w:eastAsia="宋体"/>
          <w:spacing w:val="0"/>
        </w:rPr>
        <w:fldChar w:fldCharType="separate"/>
      </w:r>
      <w:r>
        <w:rPr>
          <w:rFonts w:hint="eastAsia" w:ascii="Times New Roman" w:hAnsi="Times New Roman"/>
          <w:highlight w:val="none"/>
          <w:shd w:val="clear" w:color="auto" w:fill="auto"/>
        </w:rPr>
        <w:t>4.8 修正错误</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_Toc519 </w:instrText>
      </w:r>
      <w:r>
        <w:rPr>
          <w:rFonts w:hint="eastAsia" w:ascii="宋体" w:eastAsia="宋体"/>
          <w:spacing w:val="0"/>
        </w:rPr>
        <w:fldChar w:fldCharType="separate"/>
      </w:r>
      <w:r>
        <w:rPr>
          <w:rFonts w:hint="eastAsia" w:ascii="Times New Roman" w:hAnsi="Times New Roman"/>
          <w:highlight w:val="none"/>
          <w:shd w:val="clear" w:color="auto" w:fill="auto"/>
        </w:rPr>
        <w:t>5. 比选程序</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_Toc27593 </w:instrText>
      </w:r>
      <w:r>
        <w:rPr>
          <w:rFonts w:hint="eastAsia" w:ascii="宋体" w:eastAsia="宋体"/>
          <w:spacing w:val="0"/>
        </w:rPr>
        <w:fldChar w:fldCharType="separate"/>
      </w:r>
      <w:r>
        <w:rPr>
          <w:rFonts w:hint="eastAsia" w:ascii="Times New Roman" w:hAnsi="Times New Roman"/>
          <w:highlight w:val="none"/>
          <w:shd w:val="clear" w:color="auto" w:fill="auto"/>
        </w:rPr>
        <w:t>6. 评审</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_Toc7441 </w:instrText>
      </w:r>
      <w:r>
        <w:rPr>
          <w:rFonts w:hint="eastAsia" w:ascii="宋体" w:eastAsia="宋体"/>
          <w:spacing w:val="0"/>
        </w:rPr>
        <w:fldChar w:fldCharType="separate"/>
      </w:r>
      <w:r>
        <w:rPr>
          <w:rFonts w:hint="eastAsia" w:ascii="Times New Roman" w:hAnsi="Times New Roman"/>
          <w:highlight w:val="none"/>
          <w:shd w:val="clear" w:color="auto" w:fill="auto"/>
        </w:rPr>
        <w:t>7. 定</w:t>
      </w:r>
      <w:r>
        <w:rPr>
          <w:rFonts w:ascii="Times New Roman" w:hAnsi="Times New Roman"/>
          <w:highlight w:val="none"/>
          <w:shd w:val="clear" w:color="auto" w:fill="auto"/>
        </w:rPr>
        <w:t>选</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_Toc19391 </w:instrText>
      </w:r>
      <w:r>
        <w:rPr>
          <w:rFonts w:hint="eastAsia" w:ascii="宋体" w:eastAsia="宋体"/>
          <w:spacing w:val="0"/>
        </w:rPr>
        <w:fldChar w:fldCharType="separate"/>
      </w:r>
      <w:r>
        <w:rPr>
          <w:rFonts w:hint="eastAsia" w:ascii="Times New Roman" w:hAnsi="Times New Roman"/>
          <w:highlight w:val="none"/>
          <w:shd w:val="clear" w:color="auto" w:fill="auto"/>
        </w:rPr>
        <w:t>8. 签订合同</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_Toc3474 </w:instrText>
      </w:r>
      <w:r>
        <w:rPr>
          <w:rFonts w:hint="eastAsia" w:ascii="宋体" w:eastAsia="宋体"/>
          <w:spacing w:val="0"/>
        </w:rPr>
        <w:fldChar w:fldCharType="separate"/>
      </w:r>
      <w:r>
        <w:rPr>
          <w:rFonts w:hint="eastAsia" w:ascii="Times New Roman" w:hAnsi="Times New Roman"/>
          <w:highlight w:val="none"/>
          <w:shd w:val="clear" w:color="auto" w:fill="auto"/>
        </w:rPr>
        <w:t>9. 纪律与要求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_Toc24115 </w:instrText>
      </w:r>
      <w:r>
        <w:rPr>
          <w:rFonts w:hint="eastAsia" w:ascii="宋体" w:eastAsia="宋体"/>
          <w:spacing w:val="0"/>
        </w:rPr>
        <w:fldChar w:fldCharType="separate"/>
      </w:r>
      <w:r>
        <w:rPr>
          <w:rFonts w:hint="eastAsia" w:ascii="Times New Roman" w:hAnsi="Times New Roman"/>
          <w:highlight w:val="none"/>
          <w:shd w:val="clear" w:color="auto" w:fill="auto"/>
        </w:rPr>
        <w:t>10. 提问、质疑、投诉</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_Toc27374 </w:instrText>
      </w:r>
      <w:r>
        <w:rPr>
          <w:rFonts w:hint="eastAsia" w:ascii="宋体" w:eastAsia="宋体"/>
          <w:spacing w:val="0"/>
        </w:rPr>
        <w:fldChar w:fldCharType="separate"/>
      </w:r>
      <w:r>
        <w:rPr>
          <w:rFonts w:hint="eastAsia" w:ascii="Times New Roman" w:hAnsi="Times New Roman"/>
          <w:highlight w:val="none"/>
          <w:shd w:val="clear" w:color="auto" w:fill="auto"/>
        </w:rPr>
        <w:t>11. 无效参选条款</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_Toc17942 </w:instrText>
      </w:r>
      <w:r>
        <w:rPr>
          <w:rFonts w:hint="eastAsia" w:ascii="宋体" w:eastAsia="宋体"/>
          <w:spacing w:val="0"/>
        </w:rPr>
        <w:fldChar w:fldCharType="separate"/>
      </w:r>
      <w:r>
        <w:rPr>
          <w:rFonts w:hint="eastAsia" w:ascii="Times New Roman" w:hAnsi="Times New Roman"/>
          <w:highlight w:val="none"/>
          <w:shd w:val="clear" w:color="auto" w:fill="auto"/>
        </w:rPr>
        <w:t>12. 比选失败情形</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_Toc30983 </w:instrText>
      </w:r>
      <w:r>
        <w:rPr>
          <w:rFonts w:hint="eastAsia" w:ascii="宋体" w:eastAsia="宋体"/>
          <w:spacing w:val="0"/>
        </w:rPr>
        <w:fldChar w:fldCharType="separate"/>
      </w:r>
      <w:r>
        <w:rPr>
          <w:rFonts w:hint="eastAsia" w:ascii="Times New Roman" w:hAnsi="Times New Roman"/>
          <w:highlight w:val="none"/>
          <w:shd w:val="clear" w:color="auto" w:fill="auto"/>
        </w:rPr>
        <w:t>13. 终止</w:t>
      </w:r>
      <w:r>
        <w:rPr>
          <w:rFonts w:ascii="Times New Roman" w:hAnsi="Times New Roman"/>
          <w:highlight w:val="none"/>
          <w:shd w:val="clear" w:color="auto" w:fill="auto"/>
        </w:rPr>
        <w:t>比选</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_Toc31143 </w:instrText>
      </w:r>
      <w:r>
        <w:rPr>
          <w:rFonts w:hint="eastAsia" w:ascii="宋体" w:eastAsia="宋体"/>
          <w:spacing w:val="0"/>
        </w:rPr>
        <w:fldChar w:fldCharType="separate"/>
      </w:r>
      <w:r>
        <w:rPr>
          <w:rFonts w:hint="eastAsia" w:ascii="Times New Roman" w:hAnsi="Times New Roman"/>
          <w:highlight w:val="none"/>
          <w:shd w:val="clear" w:color="auto" w:fill="auto"/>
        </w:rPr>
        <w:t xml:space="preserve">14. </w:t>
      </w:r>
      <w:r>
        <w:rPr>
          <w:rFonts w:ascii="Times New Roman" w:hAnsi="Times New Roman"/>
          <w:highlight w:val="none"/>
          <w:shd w:val="clear" w:color="auto" w:fill="auto"/>
        </w:rPr>
        <w:t>参选</w:t>
      </w:r>
      <w:r>
        <w:rPr>
          <w:rFonts w:hint="eastAsia" w:ascii="Times New Roman" w:hAnsi="Times New Roman"/>
          <w:highlight w:val="none"/>
          <w:shd w:val="clear" w:color="auto" w:fill="auto"/>
        </w:rPr>
        <w:t>费用</w:t>
      </w:r>
      <w:r>
        <w:rPr>
          <w:rFonts w:hint="eastAsia" w:ascii="宋体" w:eastAsia="宋体"/>
          <w:spacing w:val="0"/>
        </w:rPr>
        <w:fldChar w:fldCharType="end"/>
      </w:r>
    </w:p>
    <w:p>
      <w:pPr>
        <w:pStyle w:val="17"/>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_Toc14177 </w:instrText>
      </w:r>
      <w:r>
        <w:rPr>
          <w:rFonts w:hint="eastAsia" w:ascii="宋体" w:eastAsia="宋体"/>
          <w:spacing w:val="0"/>
        </w:rPr>
        <w:fldChar w:fldCharType="separate"/>
      </w:r>
      <w:r>
        <w:rPr>
          <w:rFonts w:hint="eastAsia" w:ascii="Times New Roman" w:hAnsi="Times New Roman"/>
          <w:highlight w:val="none"/>
          <w:shd w:val="clear" w:color="auto" w:fill="auto"/>
        </w:rPr>
        <w:t>第三章 项目要求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_Toc23446 </w:instrText>
      </w:r>
      <w:r>
        <w:rPr>
          <w:rFonts w:hint="eastAsia" w:ascii="宋体" w:eastAsia="宋体"/>
          <w:spacing w:val="0"/>
        </w:rPr>
        <w:fldChar w:fldCharType="separate"/>
      </w:r>
      <w:r>
        <w:rPr>
          <w:rFonts w:hint="default" w:ascii="宋体" w:hAnsi="宋体" w:cs="宋体"/>
          <w:shd w:val="clear" w:fill="auto"/>
        </w:rPr>
        <w:t xml:space="preserve">1. </w:t>
      </w:r>
      <w:r>
        <w:rPr>
          <w:rFonts w:hint="eastAsia" w:ascii="宋体" w:hAnsi="宋体" w:cs="宋体"/>
          <w:highlight w:val="none"/>
          <w:shd w:val="clear" w:color="auto" w:fill="auto"/>
        </w:rPr>
        <w:t>业务需求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_Toc16955 </w:instrText>
      </w:r>
      <w:r>
        <w:rPr>
          <w:rFonts w:hint="eastAsia" w:ascii="宋体" w:eastAsia="宋体"/>
          <w:spacing w:val="0"/>
        </w:rPr>
        <w:fldChar w:fldCharType="separate"/>
      </w:r>
      <w:r>
        <w:rPr>
          <w:rFonts w:hint="default" w:ascii="Times New Roman" w:hAnsi="Times New Roman"/>
          <w:shd w:val="clear" w:fill="auto"/>
        </w:rPr>
        <w:t xml:space="preserve">2. </w:t>
      </w:r>
      <w:r>
        <w:rPr>
          <w:rFonts w:hint="eastAsia" w:ascii="Times New Roman" w:hAnsi="Times New Roman"/>
          <w:highlight w:val="none"/>
          <w:shd w:val="clear" w:color="auto" w:fill="auto"/>
        </w:rPr>
        <w:t>技术要求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_Toc4656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.1 </w:t>
      </w:r>
      <w:r>
        <w:rPr>
          <w:rFonts w:hint="eastAsia" w:ascii="Times New Roman" w:hAnsi="Times New Roman"/>
          <w:szCs w:val="24"/>
          <w:highlight w:val="none"/>
          <w:shd w:val="clear" w:color="auto" w:fill="auto"/>
        </w:rPr>
        <w:t>总体原则</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_Toc23954 </w:instrText>
      </w:r>
      <w:r>
        <w:rPr>
          <w:rFonts w:hint="eastAsia" w:ascii="宋体" w:eastAsia="宋体"/>
          <w:spacing w:val="0"/>
        </w:rPr>
        <w:fldChar w:fldCharType="separate"/>
      </w:r>
      <w:r>
        <w:rPr>
          <w:rFonts w:hint="eastAsia" w:ascii="Times New Roman" w:hAnsi="Times New Roman"/>
          <w:szCs w:val="24"/>
          <w:highlight w:val="none"/>
          <w:shd w:val="clear" w:color="auto" w:fill="auto"/>
        </w:rPr>
        <w:t>2.2 用户体验要求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_Toc13528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.3 </w:t>
      </w:r>
      <w:r>
        <w:rPr>
          <w:rFonts w:hint="eastAsia" w:ascii="Times New Roman" w:hAnsi="Times New Roman"/>
          <w:szCs w:val="24"/>
          <w:highlight w:val="none"/>
          <w:shd w:val="clear" w:color="auto" w:fill="auto"/>
        </w:rPr>
        <w:t>系统技术架构要求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_Toc304 </w:instrText>
      </w:r>
      <w:r>
        <w:rPr>
          <w:rFonts w:hint="eastAsia" w:ascii="宋体" w:eastAsia="宋体"/>
          <w:spacing w:val="0"/>
        </w:rPr>
        <w:fldChar w:fldCharType="separate"/>
      </w:r>
      <w:r>
        <w:rPr>
          <w:rFonts w:ascii="Times New Roman" w:hAnsi="Times New Roman"/>
          <w:szCs w:val="24"/>
          <w:highlight w:val="none"/>
          <w:shd w:val="clear" w:color="auto" w:fill="auto"/>
        </w:rPr>
        <w:t xml:space="preserve">2.4 </w:t>
      </w:r>
      <w:r>
        <w:rPr>
          <w:rFonts w:hint="eastAsia" w:ascii="Times New Roman" w:hAnsi="Times New Roman"/>
          <w:szCs w:val="24"/>
          <w:highlight w:val="none"/>
          <w:shd w:val="clear" w:color="auto" w:fill="auto"/>
        </w:rPr>
        <w:t>系统性能要求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_Toc27228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.5 </w:t>
      </w:r>
      <w:r>
        <w:rPr>
          <w:rFonts w:hint="eastAsia" w:ascii="Times New Roman" w:hAnsi="Times New Roman"/>
          <w:szCs w:val="24"/>
          <w:highlight w:val="none"/>
          <w:shd w:val="clear" w:color="auto" w:fill="auto"/>
        </w:rPr>
        <w:t>安全性要求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_Toc13870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.6 </w:t>
      </w:r>
      <w:r>
        <w:rPr>
          <w:rFonts w:hint="eastAsia" w:ascii="Times New Roman" w:hAnsi="Times New Roman"/>
          <w:szCs w:val="24"/>
          <w:highlight w:val="none"/>
          <w:shd w:val="clear" w:color="auto" w:fill="auto"/>
        </w:rPr>
        <w:t>可扩展性需求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_Toc9960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.7 </w:t>
      </w:r>
      <w:r>
        <w:rPr>
          <w:rFonts w:hint="eastAsia" w:ascii="Times New Roman" w:hAnsi="Times New Roman"/>
          <w:szCs w:val="24"/>
          <w:highlight w:val="none"/>
          <w:shd w:val="clear" w:color="auto" w:fill="auto"/>
        </w:rPr>
        <w:t>二次开发要求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_Toc22935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.8 </w:t>
      </w:r>
      <w:r>
        <w:rPr>
          <w:rFonts w:hint="eastAsia" w:ascii="Times New Roman" w:hAnsi="Times New Roman"/>
          <w:szCs w:val="24"/>
          <w:highlight w:val="none"/>
          <w:shd w:val="clear" w:color="auto" w:fill="auto"/>
        </w:rPr>
        <w:t>其它非功能性要求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_Toc28327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.9 </w:t>
      </w:r>
      <w:r>
        <w:rPr>
          <w:rFonts w:hint="eastAsia" w:ascii="Times New Roman" w:hAnsi="Times New Roman"/>
          <w:szCs w:val="24"/>
          <w:highlight w:val="none"/>
          <w:shd w:val="clear" w:color="auto" w:fill="auto"/>
        </w:rPr>
        <w:t>应当遵循的标准和规范</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_Toc13579 </w:instrText>
      </w:r>
      <w:r>
        <w:rPr>
          <w:rFonts w:hint="eastAsia" w:ascii="宋体" w:eastAsia="宋体"/>
          <w:spacing w:val="0"/>
        </w:rPr>
        <w:fldChar w:fldCharType="separate"/>
      </w:r>
      <w:r>
        <w:rPr>
          <w:rFonts w:hint="eastAsia" w:ascii="Times New Roman" w:hAnsi="Times New Roman"/>
          <w:szCs w:val="24"/>
          <w:highlight w:val="none"/>
          <w:shd w:val="clear" w:color="auto" w:fill="auto"/>
        </w:rPr>
        <w:t>2</w:t>
      </w:r>
      <w:r>
        <w:rPr>
          <w:rFonts w:ascii="Times New Roman" w:hAnsi="Times New Roman"/>
          <w:szCs w:val="24"/>
          <w:highlight w:val="none"/>
          <w:shd w:val="clear" w:color="auto" w:fill="auto"/>
        </w:rPr>
        <w:t xml:space="preserve">.10 </w:t>
      </w:r>
      <w:r>
        <w:rPr>
          <w:rFonts w:hint="eastAsia" w:ascii="Times New Roman" w:hAnsi="Times New Roman"/>
          <w:szCs w:val="24"/>
          <w:highlight w:val="none"/>
          <w:shd w:val="clear" w:color="auto" w:fill="auto"/>
        </w:rPr>
        <w:t>其他技术要求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_Toc27219 </w:instrText>
      </w:r>
      <w:r>
        <w:rPr>
          <w:rFonts w:hint="eastAsia" w:ascii="宋体" w:eastAsia="宋体"/>
          <w:spacing w:val="0"/>
        </w:rPr>
        <w:fldChar w:fldCharType="separate"/>
      </w:r>
      <w:r>
        <w:rPr>
          <w:rFonts w:hint="default" w:ascii="Times New Roman" w:hAnsi="Times New Roman"/>
          <w:shd w:val="clear" w:fill="auto"/>
        </w:rPr>
        <w:t xml:space="preserve">3. </w:t>
      </w:r>
      <w:r>
        <w:rPr>
          <w:rFonts w:hint="eastAsia" w:ascii="Times New Roman" w:hAnsi="Times New Roman"/>
          <w:highlight w:val="none"/>
          <w:shd w:val="clear" w:color="auto" w:fill="auto"/>
        </w:rPr>
        <w:t>测试要求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_Toc9619 </w:instrText>
      </w:r>
      <w:r>
        <w:rPr>
          <w:rFonts w:hint="eastAsia" w:ascii="宋体" w:eastAsia="宋体"/>
          <w:spacing w:val="0"/>
        </w:rPr>
        <w:fldChar w:fldCharType="separate"/>
      </w:r>
      <w:r>
        <w:rPr>
          <w:rFonts w:hint="default" w:ascii="Times New Roman" w:hAnsi="Times New Roman"/>
          <w:shd w:val="clear" w:fill="auto"/>
        </w:rPr>
        <w:t xml:space="preserve">4. </w:t>
      </w:r>
      <w:r>
        <w:rPr>
          <w:rFonts w:hint="eastAsia" w:ascii="Times New Roman" w:hAnsi="Times New Roman" w:cs="Cambria"/>
          <w:bCs w:val="0"/>
          <w:highlight w:val="none"/>
          <w:shd w:val="clear" w:color="auto" w:fill="auto"/>
        </w:rPr>
        <w:t>人员要求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_Toc17720 </w:instrText>
      </w:r>
      <w:r>
        <w:rPr>
          <w:rFonts w:hint="eastAsia" w:ascii="宋体" w:eastAsia="宋体"/>
          <w:spacing w:val="0"/>
        </w:rPr>
        <w:fldChar w:fldCharType="separate"/>
      </w:r>
      <w:r>
        <w:rPr>
          <w:rFonts w:hint="default" w:ascii="Times New Roman" w:hAnsi="Times New Roman"/>
          <w:shd w:val="clear" w:fill="auto"/>
        </w:rPr>
        <w:t xml:space="preserve">5. </w:t>
      </w:r>
      <w:r>
        <w:rPr>
          <w:rFonts w:hint="eastAsia" w:ascii="Times New Roman" w:hAnsi="Times New Roman"/>
          <w:highlight w:val="none"/>
          <w:shd w:val="clear" w:color="auto" w:fill="auto"/>
        </w:rPr>
        <w:t>项目实施要求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_Toc2571 </w:instrText>
      </w:r>
      <w:r>
        <w:rPr>
          <w:rFonts w:hint="eastAsia" w:ascii="宋体" w:eastAsia="宋体"/>
          <w:spacing w:val="0"/>
        </w:rPr>
        <w:fldChar w:fldCharType="separate"/>
      </w:r>
      <w:r>
        <w:rPr>
          <w:rFonts w:hint="default" w:ascii="Times New Roman" w:hAnsi="Times New Roman"/>
          <w:shd w:val="clear" w:fill="auto"/>
        </w:rPr>
        <w:t xml:space="preserve">6. </w:t>
      </w:r>
      <w:r>
        <w:rPr>
          <w:rFonts w:hint="eastAsia" w:ascii="Times New Roman" w:hAnsi="Times New Roman"/>
          <w:highlight w:val="none"/>
          <w:shd w:val="clear" w:color="auto" w:fill="auto"/>
        </w:rPr>
        <w:t>项目源代码要求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_Toc18561 </w:instrText>
      </w:r>
      <w:r>
        <w:rPr>
          <w:rFonts w:hint="eastAsia" w:ascii="宋体" w:eastAsia="宋体"/>
          <w:spacing w:val="0"/>
        </w:rPr>
        <w:fldChar w:fldCharType="separate"/>
      </w:r>
      <w:r>
        <w:rPr>
          <w:rFonts w:hint="default" w:ascii="Times New Roman" w:hAnsi="Times New Roman"/>
          <w:shd w:val="clear" w:fill="auto"/>
        </w:rPr>
        <w:t xml:space="preserve">7. </w:t>
      </w:r>
      <w:r>
        <w:rPr>
          <w:rFonts w:hint="eastAsia" w:ascii="Times New Roman" w:hAnsi="Times New Roman"/>
          <w:highlight w:val="none"/>
          <w:shd w:val="clear" w:color="auto" w:fill="auto"/>
        </w:rPr>
        <w:t>交付周期、地点</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_Toc15808 </w:instrText>
      </w:r>
      <w:r>
        <w:rPr>
          <w:rFonts w:hint="eastAsia" w:ascii="宋体" w:eastAsia="宋体"/>
          <w:spacing w:val="0"/>
        </w:rPr>
        <w:fldChar w:fldCharType="separate"/>
      </w:r>
      <w:r>
        <w:rPr>
          <w:rFonts w:ascii="Times New Roman" w:hAnsi="Times New Roman"/>
          <w:highlight w:val="none"/>
          <w:shd w:val="clear" w:color="auto" w:fill="auto"/>
        </w:rPr>
        <w:t>7</w:t>
      </w:r>
      <w:r>
        <w:rPr>
          <w:rFonts w:hint="eastAsia" w:ascii="Times New Roman" w:hAnsi="Times New Roman"/>
          <w:highlight w:val="none"/>
          <w:shd w:val="clear" w:color="auto" w:fill="auto"/>
        </w:rPr>
        <w:t>.1 交付时间</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_Toc1483 </w:instrText>
      </w:r>
      <w:r>
        <w:rPr>
          <w:rFonts w:hint="eastAsia" w:ascii="宋体" w:eastAsia="宋体"/>
          <w:spacing w:val="0"/>
        </w:rPr>
        <w:fldChar w:fldCharType="separate"/>
      </w:r>
      <w:r>
        <w:rPr>
          <w:rFonts w:ascii="Times New Roman" w:hAnsi="Times New Roman"/>
          <w:highlight w:val="none"/>
          <w:shd w:val="clear" w:color="auto" w:fill="auto"/>
        </w:rPr>
        <w:t>7</w:t>
      </w:r>
      <w:r>
        <w:rPr>
          <w:rFonts w:hint="eastAsia" w:ascii="Times New Roman" w:hAnsi="Times New Roman"/>
          <w:highlight w:val="none"/>
          <w:shd w:val="clear" w:color="auto" w:fill="auto"/>
        </w:rPr>
        <w:t>.2 实施及交付地点</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_Toc18754 </w:instrText>
      </w:r>
      <w:r>
        <w:rPr>
          <w:rFonts w:hint="eastAsia" w:ascii="宋体" w:eastAsia="宋体"/>
          <w:spacing w:val="0"/>
        </w:rPr>
        <w:fldChar w:fldCharType="separate"/>
      </w:r>
      <w:r>
        <w:rPr>
          <w:rFonts w:hint="default" w:ascii="Times New Roman" w:hAnsi="Times New Roman"/>
          <w:shd w:val="clear" w:fill="auto"/>
        </w:rPr>
        <w:t xml:space="preserve">8. </w:t>
      </w:r>
      <w:r>
        <w:rPr>
          <w:rFonts w:hint="eastAsia" w:ascii="Times New Roman" w:hAnsi="Times New Roman"/>
          <w:highlight w:val="none"/>
          <w:shd w:val="clear" w:color="auto" w:fill="auto"/>
        </w:rPr>
        <w:t>验收测试</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_Toc13125 </w:instrText>
      </w:r>
      <w:r>
        <w:rPr>
          <w:rFonts w:hint="eastAsia" w:ascii="宋体" w:eastAsia="宋体"/>
          <w:spacing w:val="0"/>
        </w:rPr>
        <w:fldChar w:fldCharType="separate"/>
      </w:r>
      <w:r>
        <w:rPr>
          <w:rFonts w:hint="eastAsia" w:ascii="Times New Roman" w:hAnsi="Times New Roman"/>
          <w:szCs w:val="20"/>
          <w:highlight w:val="none"/>
          <w:shd w:val="clear" w:color="auto" w:fill="auto"/>
        </w:rPr>
        <w:t>8</w:t>
      </w:r>
      <w:r>
        <w:rPr>
          <w:rFonts w:ascii="Times New Roman" w:hAnsi="Times New Roman"/>
          <w:szCs w:val="20"/>
          <w:highlight w:val="none"/>
          <w:shd w:val="clear" w:color="auto" w:fill="auto"/>
        </w:rPr>
        <w:t xml:space="preserve">.1 </w:t>
      </w:r>
      <w:r>
        <w:rPr>
          <w:rFonts w:hint="eastAsia" w:ascii="Times New Roman" w:hAnsi="Times New Roman"/>
          <w:szCs w:val="20"/>
          <w:highlight w:val="none"/>
          <w:shd w:val="clear" w:color="auto" w:fill="auto"/>
        </w:rPr>
        <w:t>验收测试的范围</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_Toc628 </w:instrText>
      </w:r>
      <w:r>
        <w:rPr>
          <w:rFonts w:hint="eastAsia" w:ascii="宋体" w:eastAsia="宋体"/>
          <w:spacing w:val="0"/>
        </w:rPr>
        <w:fldChar w:fldCharType="separate"/>
      </w:r>
      <w:r>
        <w:rPr>
          <w:rFonts w:hint="eastAsia" w:ascii="Times New Roman" w:hAnsi="Times New Roman"/>
          <w:szCs w:val="20"/>
          <w:highlight w:val="none"/>
          <w:shd w:val="clear" w:color="auto" w:fill="auto"/>
        </w:rPr>
        <w:t>8</w:t>
      </w:r>
      <w:r>
        <w:rPr>
          <w:rFonts w:ascii="Times New Roman" w:hAnsi="Times New Roman"/>
          <w:szCs w:val="20"/>
          <w:highlight w:val="none"/>
          <w:shd w:val="clear" w:color="auto" w:fill="auto"/>
        </w:rPr>
        <w:t xml:space="preserve">.2 </w:t>
      </w:r>
      <w:r>
        <w:rPr>
          <w:rFonts w:hint="eastAsia" w:ascii="Times New Roman" w:hAnsi="Times New Roman"/>
          <w:szCs w:val="20"/>
          <w:highlight w:val="none"/>
          <w:shd w:val="clear" w:color="auto" w:fill="auto"/>
        </w:rPr>
        <w:t>验收测试的组织</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_Toc11759 </w:instrText>
      </w:r>
      <w:r>
        <w:rPr>
          <w:rFonts w:hint="eastAsia" w:ascii="宋体" w:eastAsia="宋体"/>
          <w:spacing w:val="0"/>
        </w:rPr>
        <w:fldChar w:fldCharType="separate"/>
      </w:r>
      <w:r>
        <w:rPr>
          <w:rFonts w:hint="eastAsia" w:ascii="Times New Roman" w:hAnsi="Times New Roman"/>
          <w:szCs w:val="20"/>
          <w:highlight w:val="none"/>
          <w:shd w:val="clear" w:color="auto" w:fill="auto"/>
        </w:rPr>
        <w:t>8</w:t>
      </w:r>
      <w:r>
        <w:rPr>
          <w:rFonts w:ascii="Times New Roman" w:hAnsi="Times New Roman"/>
          <w:szCs w:val="20"/>
          <w:highlight w:val="none"/>
          <w:shd w:val="clear" w:color="auto" w:fill="auto"/>
        </w:rPr>
        <w:t xml:space="preserve">.3 </w:t>
      </w:r>
      <w:r>
        <w:rPr>
          <w:rFonts w:hint="eastAsia" w:ascii="Times New Roman" w:hAnsi="Times New Roman"/>
          <w:szCs w:val="20"/>
          <w:highlight w:val="none"/>
          <w:shd w:val="clear" w:color="auto" w:fill="auto"/>
        </w:rPr>
        <w:t>验收测试的程序</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_Toc24155 </w:instrText>
      </w:r>
      <w:r>
        <w:rPr>
          <w:rFonts w:hint="eastAsia" w:ascii="宋体" w:eastAsia="宋体"/>
          <w:spacing w:val="0"/>
        </w:rPr>
        <w:fldChar w:fldCharType="separate"/>
      </w:r>
      <w:r>
        <w:rPr>
          <w:rFonts w:hint="eastAsia" w:ascii="Times New Roman" w:hAnsi="Times New Roman"/>
          <w:szCs w:val="20"/>
          <w:highlight w:val="none"/>
          <w:shd w:val="clear" w:color="auto" w:fill="auto"/>
        </w:rPr>
        <w:t>8</w:t>
      </w:r>
      <w:r>
        <w:rPr>
          <w:rFonts w:ascii="Times New Roman" w:hAnsi="Times New Roman"/>
          <w:szCs w:val="20"/>
          <w:highlight w:val="none"/>
          <w:shd w:val="clear" w:color="auto" w:fill="auto"/>
        </w:rPr>
        <w:t xml:space="preserve">.4 </w:t>
      </w:r>
      <w:r>
        <w:rPr>
          <w:rFonts w:hint="eastAsia" w:ascii="Times New Roman" w:hAnsi="Times New Roman"/>
          <w:szCs w:val="20"/>
          <w:highlight w:val="none"/>
          <w:shd w:val="clear" w:color="auto" w:fill="auto"/>
        </w:rPr>
        <w:t>验收测试的评定</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_Toc31411 </w:instrText>
      </w:r>
      <w:r>
        <w:rPr>
          <w:rFonts w:hint="eastAsia" w:ascii="宋体" w:eastAsia="宋体"/>
          <w:spacing w:val="0"/>
        </w:rPr>
        <w:fldChar w:fldCharType="separate"/>
      </w:r>
      <w:r>
        <w:rPr>
          <w:rFonts w:hint="default" w:ascii="Times New Roman" w:hAnsi="Times New Roman"/>
          <w:kern w:val="0"/>
          <w:shd w:val="clear" w:fill="auto"/>
        </w:rPr>
        <w:t xml:space="preserve">9. </w:t>
      </w:r>
      <w:r>
        <w:rPr>
          <w:rFonts w:hint="eastAsia" w:ascii="Times New Roman" w:hAnsi="Times New Roman"/>
          <w:kern w:val="0"/>
          <w:highlight w:val="none"/>
          <w:shd w:val="clear" w:color="auto" w:fill="auto"/>
        </w:rPr>
        <w:t>售后服务和支持</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_Toc2629 </w:instrText>
      </w:r>
      <w:r>
        <w:rPr>
          <w:rFonts w:hint="eastAsia" w:ascii="宋体" w:eastAsia="宋体"/>
          <w:spacing w:val="0"/>
        </w:rPr>
        <w:fldChar w:fldCharType="separate"/>
      </w:r>
      <w:r>
        <w:rPr>
          <w:rFonts w:hint="default" w:ascii="Times New Roman" w:hAnsi="Times New Roman"/>
          <w:shd w:val="clear" w:fill="auto"/>
        </w:rPr>
        <w:t xml:space="preserve">10. </w:t>
      </w:r>
      <w:r>
        <w:rPr>
          <w:rFonts w:hint="eastAsia" w:ascii="Times New Roman" w:hAnsi="Times New Roman"/>
          <w:kern w:val="0"/>
          <w:highlight w:val="none"/>
          <w:shd w:val="clear" w:color="auto" w:fill="auto"/>
        </w:rPr>
        <w:t>系统维保费用</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_Toc9585 </w:instrText>
      </w:r>
      <w:r>
        <w:rPr>
          <w:rFonts w:hint="eastAsia" w:ascii="宋体" w:eastAsia="宋体"/>
          <w:spacing w:val="0"/>
        </w:rPr>
        <w:fldChar w:fldCharType="separate"/>
      </w:r>
      <w:r>
        <w:rPr>
          <w:rFonts w:hint="default" w:ascii="Times New Roman" w:hAnsi="Times New Roman"/>
          <w:shd w:val="clear" w:fill="auto"/>
        </w:rPr>
        <w:t xml:space="preserve">11. </w:t>
      </w:r>
      <w:r>
        <w:rPr>
          <w:rFonts w:hint="eastAsia" w:ascii="Times New Roman" w:hAnsi="Times New Roman"/>
          <w:highlight w:val="none"/>
          <w:shd w:val="clear" w:color="auto" w:fill="auto"/>
        </w:rPr>
        <w:t>文档和培训</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_Toc20279 </w:instrText>
      </w:r>
      <w:r>
        <w:rPr>
          <w:rFonts w:hint="eastAsia" w:ascii="宋体" w:eastAsia="宋体"/>
          <w:spacing w:val="0"/>
        </w:rPr>
        <w:fldChar w:fldCharType="separate"/>
      </w:r>
      <w:r>
        <w:rPr>
          <w:rFonts w:hint="eastAsia" w:ascii="Times New Roman" w:hAnsi="Times New Roman"/>
          <w:highlight w:val="none"/>
          <w:shd w:val="clear" w:color="auto" w:fill="auto"/>
        </w:rPr>
        <w:t>1</w:t>
      </w:r>
      <w:r>
        <w:rPr>
          <w:rFonts w:ascii="Times New Roman" w:hAnsi="Times New Roman"/>
          <w:highlight w:val="none"/>
          <w:shd w:val="clear" w:color="auto" w:fill="auto"/>
        </w:rPr>
        <w:t xml:space="preserve">1.1 </w:t>
      </w:r>
      <w:r>
        <w:rPr>
          <w:rFonts w:hint="eastAsia" w:ascii="Times New Roman" w:hAnsi="Times New Roman"/>
          <w:szCs w:val="20"/>
          <w:highlight w:val="none"/>
          <w:shd w:val="clear" w:color="auto" w:fill="auto"/>
        </w:rPr>
        <w:t>文档</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_Toc5426 </w:instrText>
      </w:r>
      <w:r>
        <w:rPr>
          <w:rFonts w:hint="eastAsia" w:ascii="宋体" w:eastAsia="宋体"/>
          <w:spacing w:val="0"/>
        </w:rPr>
        <w:fldChar w:fldCharType="separate"/>
      </w:r>
      <w:r>
        <w:rPr>
          <w:rFonts w:hint="eastAsia" w:ascii="Times New Roman" w:hAnsi="Times New Roman"/>
          <w:szCs w:val="20"/>
          <w:highlight w:val="none"/>
          <w:shd w:val="clear" w:color="auto" w:fill="auto"/>
        </w:rPr>
        <w:t>1</w:t>
      </w:r>
      <w:r>
        <w:rPr>
          <w:rFonts w:ascii="Times New Roman" w:hAnsi="Times New Roman"/>
          <w:szCs w:val="20"/>
          <w:highlight w:val="none"/>
          <w:shd w:val="clear" w:color="auto" w:fill="auto"/>
        </w:rPr>
        <w:t xml:space="preserve">1.2 </w:t>
      </w:r>
      <w:r>
        <w:rPr>
          <w:rFonts w:hint="eastAsia" w:ascii="Times New Roman" w:hAnsi="Times New Roman"/>
          <w:szCs w:val="20"/>
          <w:highlight w:val="none"/>
          <w:shd w:val="clear" w:color="auto" w:fill="auto"/>
        </w:rPr>
        <w:t>培训</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_Toc6603 </w:instrText>
      </w:r>
      <w:r>
        <w:rPr>
          <w:rFonts w:hint="eastAsia" w:ascii="宋体" w:eastAsia="宋体"/>
          <w:spacing w:val="0"/>
        </w:rPr>
        <w:fldChar w:fldCharType="separate"/>
      </w:r>
      <w:r>
        <w:rPr>
          <w:rFonts w:hint="default" w:ascii="Times New Roman" w:hAnsi="Times New Roman"/>
          <w:shd w:val="clear" w:fill="auto"/>
        </w:rPr>
        <w:t xml:space="preserve">12. </w:t>
      </w:r>
      <w:r>
        <w:rPr>
          <w:rFonts w:hint="eastAsia" w:ascii="Times New Roman" w:hAnsi="Times New Roman"/>
          <w:highlight w:val="none"/>
          <w:shd w:val="clear" w:color="auto" w:fill="auto"/>
        </w:rPr>
        <w:t>服务连续性预案</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_Toc26392 </w:instrText>
      </w:r>
      <w:r>
        <w:rPr>
          <w:rFonts w:hint="eastAsia" w:ascii="宋体" w:eastAsia="宋体"/>
          <w:spacing w:val="0"/>
        </w:rPr>
        <w:fldChar w:fldCharType="separate"/>
      </w:r>
      <w:r>
        <w:rPr>
          <w:rFonts w:hint="default" w:ascii="Times New Roman" w:hAnsi="Times New Roman"/>
          <w:shd w:val="clear" w:fill="auto"/>
        </w:rPr>
        <w:t xml:space="preserve">13. </w:t>
      </w:r>
      <w:r>
        <w:rPr>
          <w:rFonts w:hint="eastAsia" w:ascii="Times New Roman" w:hAnsi="Times New Roman"/>
          <w:highlight w:val="none"/>
          <w:shd w:val="clear" w:color="auto" w:fill="auto"/>
        </w:rPr>
        <w:t>项目实施方案</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_Toc4568 </w:instrText>
      </w:r>
      <w:r>
        <w:rPr>
          <w:rFonts w:hint="eastAsia" w:ascii="宋体" w:eastAsia="宋体"/>
          <w:spacing w:val="0"/>
        </w:rPr>
        <w:fldChar w:fldCharType="separate"/>
      </w:r>
      <w:r>
        <w:rPr>
          <w:rFonts w:hint="default" w:ascii="Times New Roman" w:hAnsi="Times New Roman"/>
          <w:shd w:val="clear" w:fill="auto"/>
        </w:rPr>
        <w:t xml:space="preserve">14. </w:t>
      </w:r>
      <w:r>
        <w:rPr>
          <w:rFonts w:hint="eastAsia" w:ascii="Times New Roman" w:hAnsi="Times New Roman"/>
          <w:highlight w:val="none"/>
          <w:shd w:val="clear" w:color="auto" w:fill="auto"/>
        </w:rPr>
        <w:t>付款方式</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_Toc11730 </w:instrText>
      </w:r>
      <w:r>
        <w:rPr>
          <w:rFonts w:hint="eastAsia" w:ascii="宋体" w:eastAsia="宋体"/>
          <w:spacing w:val="0"/>
        </w:rPr>
        <w:fldChar w:fldCharType="separate"/>
      </w:r>
      <w:r>
        <w:rPr>
          <w:rFonts w:hint="default" w:ascii="Times New Roman" w:hAnsi="Times New Roman"/>
          <w:shd w:val="clear" w:fill="auto"/>
        </w:rPr>
        <w:t xml:space="preserve">15. </w:t>
      </w:r>
      <w:r>
        <w:rPr>
          <w:rFonts w:hint="eastAsia" w:ascii="Times New Roman" w:hAnsi="Times New Roman"/>
          <w:highlight w:val="none"/>
          <w:shd w:val="clear" w:color="auto" w:fill="auto"/>
        </w:rPr>
        <w:t>保密条款</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_Toc18599 </w:instrText>
      </w:r>
      <w:r>
        <w:rPr>
          <w:rFonts w:hint="eastAsia" w:ascii="宋体" w:eastAsia="宋体"/>
          <w:spacing w:val="0"/>
        </w:rPr>
        <w:fldChar w:fldCharType="separate"/>
      </w:r>
      <w:r>
        <w:rPr>
          <w:rFonts w:hint="eastAsia" w:ascii="Times New Roman" w:hAnsi="Times New Roman"/>
          <w:highlight w:val="none"/>
          <w:shd w:val="clear" w:color="auto" w:fill="auto"/>
        </w:rPr>
        <w:t>1</w:t>
      </w:r>
      <w:r>
        <w:rPr>
          <w:rFonts w:ascii="Times New Roman" w:hAnsi="Times New Roman"/>
          <w:highlight w:val="none"/>
          <w:shd w:val="clear" w:color="auto" w:fill="auto"/>
        </w:rPr>
        <w:t>5</w:t>
      </w:r>
      <w:r>
        <w:rPr>
          <w:rFonts w:hint="eastAsia" w:ascii="Times New Roman" w:hAnsi="Times New Roman"/>
          <w:highlight w:val="none"/>
          <w:shd w:val="clear" w:color="auto" w:fill="auto"/>
        </w:rPr>
        <w:t>.1 保密范围</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_Toc8594 </w:instrText>
      </w:r>
      <w:r>
        <w:rPr>
          <w:rFonts w:hint="eastAsia" w:ascii="宋体" w:eastAsia="宋体"/>
          <w:spacing w:val="0"/>
        </w:rPr>
        <w:fldChar w:fldCharType="separate"/>
      </w:r>
      <w:r>
        <w:rPr>
          <w:rFonts w:ascii="Times New Roman" w:hAnsi="Times New Roman"/>
          <w:highlight w:val="none"/>
          <w:shd w:val="clear" w:color="auto" w:fill="auto"/>
        </w:rPr>
        <w:t>15</w:t>
      </w:r>
      <w:r>
        <w:rPr>
          <w:rFonts w:hint="eastAsia" w:ascii="Times New Roman" w:hAnsi="Times New Roman"/>
          <w:highlight w:val="none"/>
          <w:shd w:val="clear" w:color="auto" w:fill="auto"/>
        </w:rPr>
        <w:t>.2 保密责任</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_Toc31102 </w:instrText>
      </w:r>
      <w:r>
        <w:rPr>
          <w:rFonts w:hint="eastAsia" w:ascii="宋体" w:eastAsia="宋体"/>
          <w:spacing w:val="0"/>
        </w:rPr>
        <w:fldChar w:fldCharType="separate"/>
      </w:r>
      <w:r>
        <w:rPr>
          <w:rFonts w:hint="default" w:ascii="Times New Roman" w:hAnsi="Times New Roman"/>
          <w:shd w:val="clear" w:fill="auto"/>
        </w:rPr>
        <w:t xml:space="preserve">16. </w:t>
      </w:r>
      <w:r>
        <w:rPr>
          <w:rFonts w:hint="eastAsia" w:ascii="Times New Roman" w:hAnsi="Times New Roman"/>
          <w:highlight w:val="none"/>
          <w:shd w:val="clear" w:color="auto" w:fill="auto"/>
        </w:rPr>
        <w:t>报价要求</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_Toc27871 </w:instrText>
      </w:r>
      <w:r>
        <w:rPr>
          <w:rFonts w:hint="eastAsia" w:ascii="宋体" w:eastAsia="宋体"/>
          <w:spacing w:val="0"/>
        </w:rPr>
        <w:fldChar w:fldCharType="separate"/>
      </w:r>
      <w:r>
        <w:rPr>
          <w:rFonts w:hint="default" w:ascii="Times New Roman" w:hAnsi="Times New Roman"/>
          <w:shd w:val="clear" w:fill="auto"/>
        </w:rPr>
        <w:t xml:space="preserve">17. </w:t>
      </w:r>
      <w:r>
        <w:rPr>
          <w:rFonts w:hint="eastAsia" w:ascii="Times New Roman" w:hAnsi="Times New Roman"/>
          <w:highlight w:val="none"/>
          <w:shd w:val="clear" w:color="auto" w:fill="auto"/>
        </w:rPr>
        <w:t>知识产权</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_Toc30659 </w:instrText>
      </w:r>
      <w:r>
        <w:rPr>
          <w:rFonts w:hint="eastAsia" w:ascii="宋体" w:eastAsia="宋体"/>
          <w:spacing w:val="0"/>
        </w:rPr>
        <w:fldChar w:fldCharType="separate"/>
      </w:r>
      <w:r>
        <w:rPr>
          <w:rFonts w:hint="default" w:ascii="Times New Roman" w:hAnsi="Times New Roman"/>
          <w:shd w:val="clear" w:fill="auto"/>
        </w:rPr>
        <w:t xml:space="preserve">18. </w:t>
      </w:r>
      <w:r>
        <w:rPr>
          <w:rFonts w:hint="eastAsia" w:ascii="Times New Roman" w:hAnsi="Times New Roman"/>
          <w:highlight w:val="none"/>
          <w:shd w:val="clear" w:color="auto" w:fill="auto"/>
        </w:rPr>
        <w:t>其他</w:t>
      </w:r>
      <w:r>
        <w:rPr>
          <w:rFonts w:hint="eastAsia" w:ascii="宋体" w:eastAsia="宋体"/>
          <w:spacing w:val="0"/>
        </w:rPr>
        <w:fldChar w:fldCharType="end"/>
      </w:r>
    </w:p>
    <w:p>
      <w:pPr>
        <w:pStyle w:val="17"/>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_Toc25775 </w:instrText>
      </w:r>
      <w:r>
        <w:rPr>
          <w:rFonts w:hint="eastAsia" w:ascii="宋体" w:eastAsia="宋体"/>
          <w:spacing w:val="0"/>
        </w:rPr>
        <w:fldChar w:fldCharType="separate"/>
      </w:r>
      <w:r>
        <w:rPr>
          <w:rFonts w:hint="eastAsia" w:ascii="Times New Roman" w:hAnsi="Times New Roman"/>
          <w:highlight w:val="none"/>
          <w:shd w:val="clear" w:color="auto" w:fill="auto"/>
        </w:rPr>
        <w:t>第四章 评审办法（综合评估法）</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_Toc32527 </w:instrText>
      </w:r>
      <w:r>
        <w:rPr>
          <w:rFonts w:hint="eastAsia" w:ascii="宋体" w:eastAsia="宋体"/>
          <w:spacing w:val="0"/>
        </w:rPr>
        <w:fldChar w:fldCharType="separate"/>
      </w:r>
      <w:r>
        <w:rPr>
          <w:rFonts w:hint="eastAsia" w:ascii="Times New Roman" w:hAnsi="Times New Roman"/>
          <w:highlight w:val="none"/>
          <w:shd w:val="clear" w:color="auto" w:fill="auto"/>
        </w:rPr>
        <w:t>1. 评审方法</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_Toc11958 </w:instrText>
      </w:r>
      <w:r>
        <w:rPr>
          <w:rFonts w:hint="eastAsia" w:ascii="宋体" w:eastAsia="宋体"/>
          <w:spacing w:val="0"/>
        </w:rPr>
        <w:fldChar w:fldCharType="separate"/>
      </w:r>
      <w:r>
        <w:rPr>
          <w:rFonts w:hint="eastAsia" w:ascii="Times New Roman" w:hAnsi="Times New Roman"/>
          <w:highlight w:val="none"/>
          <w:shd w:val="clear" w:color="auto" w:fill="auto"/>
        </w:rPr>
        <w:t>2. 评审标准</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_Toc31964 </w:instrText>
      </w:r>
      <w:r>
        <w:rPr>
          <w:rFonts w:hint="eastAsia" w:ascii="宋体" w:eastAsia="宋体"/>
          <w:spacing w:val="0"/>
        </w:rPr>
        <w:fldChar w:fldCharType="separate"/>
      </w:r>
      <w:r>
        <w:rPr>
          <w:rFonts w:hint="eastAsia" w:ascii="Times New Roman" w:hAnsi="Times New Roman"/>
          <w:highlight w:val="none"/>
          <w:shd w:val="clear" w:color="auto" w:fill="auto"/>
        </w:rPr>
        <w:t>2.1 初步评审标准</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_Toc11981 </w:instrText>
      </w:r>
      <w:r>
        <w:rPr>
          <w:rFonts w:hint="eastAsia" w:ascii="宋体" w:eastAsia="宋体"/>
          <w:spacing w:val="0"/>
        </w:rPr>
        <w:fldChar w:fldCharType="separate"/>
      </w:r>
      <w:r>
        <w:rPr>
          <w:rFonts w:hint="eastAsia" w:ascii="Times New Roman" w:hAnsi="Times New Roman"/>
          <w:highlight w:val="none"/>
          <w:shd w:val="clear" w:color="auto" w:fill="auto"/>
        </w:rPr>
        <w:t>2.2 分值构成与评分标准</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_Toc26812 </w:instrText>
      </w:r>
      <w:r>
        <w:rPr>
          <w:rFonts w:hint="eastAsia" w:ascii="宋体" w:eastAsia="宋体"/>
          <w:spacing w:val="0"/>
        </w:rPr>
        <w:fldChar w:fldCharType="separate"/>
      </w:r>
      <w:r>
        <w:rPr>
          <w:rFonts w:hint="eastAsia" w:ascii="Times New Roman" w:hAnsi="Times New Roman"/>
          <w:highlight w:val="none"/>
          <w:shd w:val="clear" w:color="auto" w:fill="auto"/>
        </w:rPr>
        <w:t>3. 评审程序</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_Toc7383 </w:instrText>
      </w:r>
      <w:r>
        <w:rPr>
          <w:rFonts w:hint="eastAsia" w:ascii="宋体" w:eastAsia="宋体"/>
          <w:spacing w:val="0"/>
        </w:rPr>
        <w:fldChar w:fldCharType="separate"/>
      </w:r>
      <w:r>
        <w:rPr>
          <w:rFonts w:hint="eastAsia" w:ascii="Times New Roman" w:hAnsi="Times New Roman"/>
          <w:highlight w:val="none"/>
          <w:shd w:val="clear" w:color="auto" w:fill="auto"/>
        </w:rPr>
        <w:t>3.1 初步评审</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_Toc10046 </w:instrText>
      </w:r>
      <w:r>
        <w:rPr>
          <w:rFonts w:hint="eastAsia" w:ascii="宋体" w:eastAsia="宋体"/>
          <w:spacing w:val="0"/>
        </w:rPr>
        <w:fldChar w:fldCharType="separate"/>
      </w:r>
      <w:r>
        <w:rPr>
          <w:rFonts w:hint="eastAsia" w:ascii="Times New Roman" w:hAnsi="Times New Roman"/>
          <w:highlight w:val="none"/>
          <w:shd w:val="clear" w:color="auto" w:fill="auto"/>
        </w:rPr>
        <w:t>3.2 详细评审</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_Toc28308 </w:instrText>
      </w:r>
      <w:r>
        <w:rPr>
          <w:rFonts w:hint="eastAsia" w:ascii="宋体" w:eastAsia="宋体"/>
          <w:spacing w:val="0"/>
        </w:rPr>
        <w:fldChar w:fldCharType="separate"/>
      </w:r>
      <w:r>
        <w:rPr>
          <w:rFonts w:hint="eastAsia" w:ascii="Times New Roman" w:hAnsi="Times New Roman"/>
          <w:highlight w:val="none"/>
          <w:shd w:val="clear" w:color="auto" w:fill="auto"/>
        </w:rPr>
        <w:t>3.3 参选文件的澄清和补正</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_Toc5346 </w:instrText>
      </w:r>
      <w:r>
        <w:rPr>
          <w:rFonts w:hint="eastAsia" w:ascii="宋体" w:eastAsia="宋体"/>
          <w:spacing w:val="0"/>
        </w:rPr>
        <w:fldChar w:fldCharType="separate"/>
      </w:r>
      <w:r>
        <w:rPr>
          <w:rFonts w:hint="eastAsia" w:ascii="Times New Roman" w:hAnsi="Times New Roman"/>
          <w:highlight w:val="none"/>
          <w:shd w:val="clear" w:color="auto" w:fill="auto"/>
        </w:rPr>
        <w:t>3.4 评审结果</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_Toc23868 </w:instrText>
      </w:r>
      <w:r>
        <w:rPr>
          <w:rFonts w:hint="eastAsia" w:ascii="宋体" w:eastAsia="宋体"/>
          <w:spacing w:val="0"/>
        </w:rPr>
        <w:fldChar w:fldCharType="separate"/>
      </w:r>
      <w:r>
        <w:rPr>
          <w:rFonts w:hint="eastAsia" w:ascii="Times New Roman" w:hAnsi="Times New Roman"/>
          <w:highlight w:val="none"/>
          <w:shd w:val="clear" w:color="auto" w:fill="auto"/>
        </w:rPr>
        <w:t>3.5 对评审委员会成员的纪律要求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_Toc463 </w:instrText>
      </w:r>
      <w:r>
        <w:rPr>
          <w:rFonts w:hint="eastAsia" w:ascii="宋体" w:eastAsia="宋体"/>
          <w:spacing w:val="0"/>
        </w:rPr>
        <w:fldChar w:fldCharType="separate"/>
      </w:r>
      <w:r>
        <w:rPr>
          <w:rFonts w:hint="eastAsia" w:ascii="Times New Roman" w:hAnsi="Times New Roman"/>
          <w:highlight w:val="none"/>
          <w:shd w:val="clear" w:color="auto" w:fill="auto"/>
        </w:rPr>
        <w:t>3.6 对与评审活动有关的工作人员的纪律要求</w:t>
      </w:r>
      <w:r>
        <w:rPr>
          <w:rFonts w:hint="eastAsia" w:ascii="宋体" w:eastAsia="宋体"/>
          <w:spacing w:val="0"/>
        </w:rPr>
        <w:fldChar w:fldCharType="end"/>
      </w:r>
    </w:p>
    <w:p>
      <w:pPr>
        <w:pStyle w:val="17"/>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_Toc19683 </w:instrText>
      </w:r>
      <w:r>
        <w:rPr>
          <w:rFonts w:hint="eastAsia" w:ascii="宋体" w:eastAsia="宋体"/>
          <w:spacing w:val="0"/>
        </w:rPr>
        <w:fldChar w:fldCharType="separate"/>
      </w:r>
      <w:r>
        <w:rPr>
          <w:rFonts w:hint="eastAsia" w:ascii="Times New Roman" w:hAnsi="Times New Roman"/>
          <w:highlight w:val="none"/>
          <w:shd w:val="clear" w:color="auto" w:fill="auto"/>
        </w:rPr>
        <w:t>第五章 合同</w:t>
      </w:r>
      <w:r>
        <w:rPr>
          <w:rFonts w:ascii="Times New Roman" w:hAnsi="Times New Roman"/>
          <w:highlight w:val="none"/>
          <w:shd w:val="clear" w:color="auto" w:fill="auto"/>
        </w:rPr>
        <w:t>模板</w:t>
      </w:r>
      <w:r>
        <w:rPr>
          <w:rFonts w:hint="eastAsia" w:ascii="宋体" w:eastAsia="宋体"/>
          <w:spacing w:val="0"/>
        </w:rPr>
        <w:fldChar w:fldCharType="end"/>
      </w:r>
    </w:p>
    <w:p>
      <w:pPr>
        <w:pStyle w:val="17"/>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_Toc27694 </w:instrText>
      </w:r>
      <w:r>
        <w:rPr>
          <w:rFonts w:hint="eastAsia" w:ascii="宋体" w:eastAsia="宋体"/>
          <w:spacing w:val="0"/>
        </w:rPr>
        <w:fldChar w:fldCharType="separate"/>
      </w:r>
      <w:r>
        <w:rPr>
          <w:rFonts w:hint="eastAsia" w:ascii="Times New Roman" w:hAnsi="Times New Roman"/>
          <w:highlight w:val="none"/>
          <w:shd w:val="clear" w:color="auto" w:fill="auto"/>
        </w:rPr>
        <w:t>第六章 参选文件格式</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_Toc19433 </w:instrText>
      </w:r>
      <w:r>
        <w:rPr>
          <w:rFonts w:hint="eastAsia" w:ascii="宋体" w:eastAsia="宋体"/>
          <w:spacing w:val="0"/>
        </w:rPr>
        <w:fldChar w:fldCharType="separate"/>
      </w:r>
      <w:r>
        <w:rPr>
          <w:rFonts w:hint="eastAsia" w:ascii="Times New Roman" w:hAnsi="Times New Roman"/>
          <w:snapToGrid w:val="0"/>
          <w:kern w:val="0"/>
          <w:szCs w:val="28"/>
          <w:highlight w:val="none"/>
          <w:shd w:val="clear" w:color="auto" w:fill="auto"/>
        </w:rPr>
        <w:t>目  录</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_Toc30287 </w:instrText>
      </w:r>
      <w:r>
        <w:rPr>
          <w:rFonts w:hint="eastAsia" w:ascii="宋体" w:eastAsia="宋体"/>
          <w:spacing w:val="0"/>
        </w:rPr>
        <w:fldChar w:fldCharType="separate"/>
      </w:r>
      <w:r>
        <w:rPr>
          <w:rFonts w:hint="eastAsia" w:ascii="Times New Roman" w:hAnsi="Times New Roman"/>
          <w:highlight w:val="none"/>
          <w:shd w:val="clear" w:color="auto" w:fill="auto"/>
        </w:rPr>
        <w:t>一、参选函</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_Toc21257 </w:instrText>
      </w:r>
      <w:r>
        <w:rPr>
          <w:rFonts w:hint="eastAsia" w:ascii="宋体" w:eastAsia="宋体"/>
          <w:spacing w:val="0"/>
        </w:rPr>
        <w:fldChar w:fldCharType="separate"/>
      </w:r>
      <w:r>
        <w:rPr>
          <w:rFonts w:hint="eastAsia" w:ascii="Times New Roman" w:hAnsi="Times New Roman" w:cs="Cambria"/>
          <w:bCs w:val="0"/>
          <w:snapToGrid/>
          <w:szCs w:val="28"/>
          <w:highlight w:val="none"/>
          <w:shd w:val="clear" w:color="auto" w:fill="auto"/>
          <w:lang w:val="en-US" w:eastAsia="zh-CN"/>
        </w:rPr>
        <w:t>二、</w:t>
      </w:r>
      <w:r>
        <w:rPr>
          <w:rFonts w:hint="eastAsia" w:ascii="Times New Roman" w:hAnsi="Times New Roman" w:cs="Cambria"/>
          <w:bCs w:val="0"/>
          <w:snapToGrid/>
          <w:szCs w:val="28"/>
          <w:highlight w:val="none"/>
          <w:shd w:val="clear" w:color="auto" w:fill="auto"/>
        </w:rPr>
        <w:t>报价一览表</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_Toc16133 </w:instrText>
      </w:r>
      <w:r>
        <w:rPr>
          <w:rFonts w:hint="eastAsia" w:ascii="宋体" w:eastAsia="宋体"/>
          <w:spacing w:val="0"/>
        </w:rPr>
        <w:fldChar w:fldCharType="separate"/>
      </w:r>
      <w:r>
        <w:rPr>
          <w:rFonts w:ascii="Times New Roman" w:hAnsi="Times New Roman"/>
          <w:highlight w:val="none"/>
          <w:shd w:val="clear" w:color="auto" w:fill="auto"/>
        </w:rPr>
        <w:t>（一）参选人基本情况介绍，资质证明等</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_Toc29381 </w:instrText>
      </w:r>
      <w:r>
        <w:rPr>
          <w:rFonts w:hint="eastAsia" w:ascii="宋体" w:eastAsia="宋体"/>
          <w:spacing w:val="0"/>
        </w:rPr>
        <w:fldChar w:fldCharType="separate"/>
      </w:r>
      <w:r>
        <w:rPr>
          <w:rFonts w:ascii="Times New Roman" w:hAnsi="Times New Roman"/>
          <w:highlight w:val="none"/>
          <w:shd w:val="clear" w:color="auto" w:fill="auto"/>
        </w:rPr>
        <w:t>（二）法定代表人身份证明及授权委托书</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_Toc13790 </w:instrText>
      </w:r>
      <w:r>
        <w:rPr>
          <w:rFonts w:hint="eastAsia" w:ascii="宋体" w:eastAsia="宋体"/>
          <w:spacing w:val="0"/>
        </w:rPr>
        <w:fldChar w:fldCharType="separate"/>
      </w:r>
      <w:r>
        <w:rPr>
          <w:rFonts w:hint="eastAsia" w:ascii="Times New Roman" w:hAnsi="Times New Roman"/>
          <w:highlight w:val="none"/>
          <w:shd w:val="clear" w:color="auto" w:fill="auto"/>
        </w:rPr>
        <w:t>（三）书面声明</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_Toc16697 </w:instrText>
      </w:r>
      <w:r>
        <w:rPr>
          <w:rFonts w:hint="eastAsia" w:ascii="宋体" w:eastAsia="宋体"/>
          <w:spacing w:val="0"/>
        </w:rPr>
        <w:fldChar w:fldCharType="separate"/>
      </w:r>
      <w:r>
        <w:rPr>
          <w:rFonts w:ascii="Times New Roman" w:hAnsi="Times New Roman"/>
          <w:highlight w:val="none"/>
          <w:shd w:val="clear" w:color="auto" w:fill="auto"/>
        </w:rPr>
        <w:t>（</w:t>
      </w:r>
      <w:r>
        <w:rPr>
          <w:rFonts w:hint="eastAsia" w:ascii="Times New Roman" w:hAnsi="Times New Roman"/>
          <w:highlight w:val="none"/>
          <w:shd w:val="clear" w:color="auto" w:fill="auto"/>
        </w:rPr>
        <w:t>四</w:t>
      </w:r>
      <w:r>
        <w:rPr>
          <w:rFonts w:ascii="Times New Roman" w:hAnsi="Times New Roman"/>
          <w:highlight w:val="none"/>
          <w:shd w:val="clear" w:color="auto" w:fill="auto"/>
        </w:rPr>
        <w:t>）中国执行信息公开网截图</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_Toc4643 </w:instrText>
      </w:r>
      <w:r>
        <w:rPr>
          <w:rFonts w:hint="eastAsia" w:ascii="宋体" w:eastAsia="宋体"/>
          <w:spacing w:val="0"/>
        </w:rPr>
        <w:fldChar w:fldCharType="separate"/>
      </w:r>
      <w:r>
        <w:rPr>
          <w:rFonts w:hint="eastAsia" w:ascii="Times New Roman" w:hAnsi="Times New Roman"/>
          <w:highlight w:val="none"/>
          <w:shd w:val="clear" w:color="auto" w:fill="auto"/>
          <w:lang w:val="zh-CN"/>
        </w:rPr>
        <w:t>（</w:t>
      </w:r>
      <w:r>
        <w:rPr>
          <w:rFonts w:hint="eastAsia" w:ascii="Times New Roman" w:hAnsi="Times New Roman"/>
          <w:highlight w:val="none"/>
          <w:shd w:val="clear" w:color="auto" w:fill="auto"/>
        </w:rPr>
        <w:t>五</w:t>
      </w:r>
      <w:r>
        <w:rPr>
          <w:rFonts w:hint="eastAsia" w:ascii="Times New Roman" w:hAnsi="Times New Roman"/>
          <w:highlight w:val="none"/>
          <w:shd w:val="clear" w:color="auto" w:fill="auto"/>
          <w:lang w:val="zh-CN"/>
        </w:rPr>
        <w:t>）项目案例</w:t>
      </w:r>
      <w:r>
        <w:rPr>
          <w:rFonts w:hint="eastAsia" w:ascii="Times New Roman" w:hAnsi="Times New Roman"/>
          <w:highlight w:val="none"/>
          <w:shd w:val="clear" w:color="auto" w:fill="auto"/>
        </w:rPr>
        <w:t>和业绩证明文件复印件</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_Toc13224 </w:instrText>
      </w:r>
      <w:r>
        <w:rPr>
          <w:rFonts w:hint="eastAsia" w:ascii="宋体" w:eastAsia="宋体"/>
          <w:spacing w:val="0"/>
        </w:rPr>
        <w:fldChar w:fldCharType="separate"/>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lang w:val="en-US" w:eastAsia="zh-CN"/>
        </w:rPr>
        <w:t>六</w:t>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rPr>
        <w:t>第三方软件产品的原厂商授权书或确认函</w:t>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lang w:val="en-US" w:eastAsia="zh-CN"/>
        </w:rPr>
        <w:t>如有</w:t>
      </w:r>
      <w:r>
        <w:rPr>
          <w:rFonts w:hint="eastAsia" w:ascii="Times New Roman" w:hAnsi="Times New Roman"/>
          <w:highlight w:val="none"/>
          <w:shd w:val="clear" w:color="auto" w:fill="auto"/>
          <w:lang w:eastAsia="zh-CN"/>
        </w:rPr>
        <w:t>）</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_Toc2751 </w:instrText>
      </w:r>
      <w:r>
        <w:rPr>
          <w:rFonts w:hint="eastAsia" w:ascii="宋体" w:eastAsia="宋体"/>
          <w:spacing w:val="0"/>
        </w:rPr>
        <w:fldChar w:fldCharType="separate"/>
      </w:r>
      <w:r>
        <w:rPr>
          <w:rFonts w:hint="eastAsia" w:ascii="Times New Roman" w:hAnsi="Times New Roman"/>
          <w:highlight w:val="none"/>
          <w:shd w:val="clear" w:color="auto" w:fill="auto"/>
          <w:lang w:val="en-US" w:eastAsia="zh-CN"/>
        </w:rPr>
        <w:t>四</w:t>
      </w:r>
      <w:r>
        <w:rPr>
          <w:rFonts w:ascii="Times New Roman" w:hAnsi="Times New Roman"/>
          <w:highlight w:val="none"/>
          <w:shd w:val="clear" w:color="auto" w:fill="auto"/>
        </w:rPr>
        <w:t>、响应</w:t>
      </w:r>
      <w:r>
        <w:rPr>
          <w:rFonts w:hint="eastAsia" w:ascii="Times New Roman" w:hAnsi="Times New Roman"/>
          <w:highlight w:val="none"/>
          <w:shd w:val="clear" w:color="auto" w:fill="auto"/>
          <w:lang w:val="en-US" w:eastAsia="zh-CN"/>
        </w:rPr>
        <w:t>性文件</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_Toc10552 </w:instrText>
      </w:r>
      <w:r>
        <w:rPr>
          <w:rFonts w:hint="eastAsia" w:ascii="宋体" w:eastAsia="宋体"/>
          <w:spacing w:val="0"/>
        </w:rPr>
        <w:fldChar w:fldCharType="separate"/>
      </w:r>
      <w:r>
        <w:rPr>
          <w:rFonts w:hint="eastAsia" w:ascii="Times New Roman" w:hAnsi="Times New Roman"/>
          <w:highlight w:val="none"/>
          <w:shd w:val="clear" w:color="auto" w:fill="auto"/>
        </w:rPr>
        <w:t>（一）响应承诺函</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_Toc7810 </w:instrText>
      </w:r>
      <w:r>
        <w:rPr>
          <w:rFonts w:hint="eastAsia" w:ascii="宋体" w:eastAsia="宋体"/>
          <w:spacing w:val="0"/>
        </w:rPr>
        <w:fldChar w:fldCharType="separate"/>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lang w:val="en-US" w:eastAsia="zh-CN"/>
        </w:rPr>
        <w:t>二</w:t>
      </w:r>
      <w:r>
        <w:rPr>
          <w:rFonts w:hint="eastAsia" w:ascii="Times New Roman" w:hAnsi="Times New Roman"/>
          <w:highlight w:val="none"/>
          <w:shd w:val="clear" w:color="auto" w:fill="auto"/>
          <w:lang w:eastAsia="zh-CN"/>
        </w:rPr>
        <w:t>）近半年公司为项目组成员缴纳社保的证明材料</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_Toc22709 </w:instrText>
      </w:r>
      <w:r>
        <w:rPr>
          <w:rFonts w:hint="eastAsia" w:ascii="宋体" w:eastAsia="宋体"/>
          <w:spacing w:val="0"/>
        </w:rPr>
        <w:fldChar w:fldCharType="separate"/>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lang w:val="en-US" w:eastAsia="zh-CN"/>
        </w:rPr>
        <w:t>三</w:t>
      </w:r>
      <w:r>
        <w:rPr>
          <w:rFonts w:hint="eastAsia" w:ascii="Times New Roman" w:hAnsi="Times New Roman"/>
          <w:highlight w:val="none"/>
          <w:shd w:val="clear" w:color="auto" w:fill="auto"/>
          <w:lang w:eastAsia="zh-CN"/>
        </w:rPr>
        <w:t>）</w:t>
      </w:r>
      <w:r>
        <w:rPr>
          <w:rFonts w:hint="eastAsia" w:ascii="Times New Roman" w:hAnsi="Times New Roman"/>
          <w:snapToGrid w:val="0"/>
          <w:kern w:val="0"/>
          <w:highlight w:val="none"/>
          <w:shd w:val="clear" w:color="auto" w:fill="auto"/>
        </w:rPr>
        <w:t>项目组成员简历信息</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_Toc30555 </w:instrText>
      </w:r>
      <w:r>
        <w:rPr>
          <w:rFonts w:hint="eastAsia" w:ascii="宋体" w:eastAsia="宋体"/>
          <w:spacing w:val="0"/>
        </w:rPr>
        <w:fldChar w:fldCharType="separate"/>
      </w:r>
      <w:r>
        <w:rPr>
          <w:rFonts w:hint="eastAsia" w:ascii="Times New Roman" w:hAnsi="Times New Roman"/>
          <w:snapToGrid w:val="0"/>
          <w:kern w:val="0"/>
          <w:highlight w:val="none"/>
          <w:shd w:val="clear" w:color="auto" w:fill="auto"/>
          <w:lang w:eastAsia="zh-CN"/>
        </w:rPr>
        <w:t>（</w:t>
      </w:r>
      <w:r>
        <w:rPr>
          <w:rFonts w:hint="eastAsia" w:ascii="Times New Roman" w:hAnsi="Times New Roman"/>
          <w:snapToGrid w:val="0"/>
          <w:kern w:val="0"/>
          <w:highlight w:val="none"/>
          <w:shd w:val="clear" w:color="auto" w:fill="auto"/>
          <w:lang w:val="en-US" w:eastAsia="zh-CN"/>
        </w:rPr>
        <w:t>四</w:t>
      </w:r>
      <w:r>
        <w:rPr>
          <w:rFonts w:hint="eastAsia" w:ascii="Times New Roman" w:hAnsi="Times New Roman"/>
          <w:snapToGrid w:val="0"/>
          <w:kern w:val="0"/>
          <w:highlight w:val="none"/>
          <w:shd w:val="clear" w:color="auto" w:fill="auto"/>
          <w:lang w:eastAsia="zh-CN"/>
        </w:rPr>
        <w:t>）</w:t>
      </w:r>
      <w:r>
        <w:rPr>
          <w:rFonts w:hint="eastAsia" w:ascii="Times New Roman" w:hAnsi="Times New Roman"/>
          <w:highlight w:val="none"/>
          <w:shd w:val="clear" w:color="auto" w:fill="auto"/>
        </w:rPr>
        <w:t>项目实施要求</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_Toc8537 </w:instrText>
      </w:r>
      <w:r>
        <w:rPr>
          <w:rFonts w:hint="eastAsia" w:ascii="宋体" w:eastAsia="宋体"/>
          <w:spacing w:val="0"/>
        </w:rPr>
        <w:fldChar w:fldCharType="separate"/>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lang w:val="en-US" w:eastAsia="zh-CN"/>
        </w:rPr>
        <w:t>五</w:t>
      </w:r>
      <w:r>
        <w:rPr>
          <w:rFonts w:hint="eastAsia" w:ascii="Times New Roman" w:hAnsi="Times New Roman"/>
          <w:highlight w:val="none"/>
          <w:shd w:val="clear" w:color="auto" w:fill="auto"/>
          <w:lang w:eastAsia="zh-CN"/>
        </w:rPr>
        <w:t>）</w:t>
      </w:r>
      <w:r>
        <w:rPr>
          <w:rFonts w:hint="eastAsia" w:ascii="Times New Roman" w:hAnsi="Times New Roman"/>
          <w:highlight w:val="none"/>
          <w:shd w:val="clear" w:color="auto" w:fill="auto"/>
          <w:lang w:val="en-US" w:eastAsia="zh-CN"/>
        </w:rPr>
        <w:t>售后</w:t>
      </w:r>
      <w:r>
        <w:rPr>
          <w:rFonts w:hint="eastAsia" w:ascii="Times New Roman" w:hAnsi="Times New Roman"/>
          <w:highlight w:val="none"/>
          <w:shd w:val="clear" w:color="auto" w:fill="auto"/>
        </w:rPr>
        <w:t>服务和支持</w:t>
      </w:r>
      <w:r>
        <w:rPr>
          <w:rFonts w:hint="eastAsia" w:ascii="Times New Roman" w:hAnsi="Times New Roman"/>
          <w:highlight w:val="none"/>
          <w:shd w:val="clear" w:color="auto" w:fill="auto"/>
          <w:lang w:val="en-US" w:eastAsia="zh-CN"/>
        </w:rPr>
        <w:t>方案</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_Toc2173 </w:instrText>
      </w:r>
      <w:r>
        <w:rPr>
          <w:rFonts w:hint="eastAsia" w:ascii="宋体" w:eastAsia="宋体"/>
          <w:spacing w:val="0"/>
        </w:rPr>
        <w:fldChar w:fldCharType="separate"/>
      </w:r>
      <w:r>
        <w:rPr>
          <w:rFonts w:hint="eastAsia" w:ascii="Times New Roman" w:hAnsi="Times New Roman"/>
          <w:highlight w:val="none"/>
          <w:shd w:val="clear" w:color="auto" w:fill="auto"/>
          <w:lang w:val="en-US" w:eastAsia="zh-CN"/>
        </w:rPr>
        <w:t>（六）</w:t>
      </w:r>
      <w:r>
        <w:rPr>
          <w:rFonts w:hint="eastAsia" w:ascii="Times New Roman" w:hAnsi="Times New Roman"/>
          <w:highlight w:val="none"/>
          <w:shd w:val="clear" w:color="auto" w:fill="auto"/>
        </w:rPr>
        <w:t>服务连续性预案</w:t>
      </w:r>
      <w:r>
        <w:rPr>
          <w:rFonts w:hint="eastAsia" w:ascii="宋体" w:eastAsia="宋体"/>
          <w:spacing w:val="0"/>
        </w:rPr>
        <w:fldChar w:fldCharType="end"/>
      </w:r>
    </w:p>
    <w:p>
      <w:pPr>
        <w:pStyle w:val="10"/>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_Toc32490 </w:instrText>
      </w:r>
      <w:r>
        <w:rPr>
          <w:rFonts w:hint="eastAsia" w:ascii="宋体" w:eastAsia="宋体"/>
          <w:spacing w:val="0"/>
        </w:rPr>
        <w:fldChar w:fldCharType="separate"/>
      </w:r>
      <w:r>
        <w:rPr>
          <w:rFonts w:hint="eastAsia" w:ascii="Times New Roman" w:hAnsi="Times New Roman"/>
          <w:highlight w:val="none"/>
          <w:shd w:val="clear" w:color="auto" w:fill="auto"/>
          <w:lang w:val="en-US" w:eastAsia="zh-CN"/>
        </w:rPr>
        <w:t>（七）</w:t>
      </w:r>
      <w:r>
        <w:rPr>
          <w:rFonts w:hint="eastAsia" w:ascii="Times New Roman" w:hAnsi="Times New Roman"/>
          <w:highlight w:val="none"/>
          <w:shd w:val="clear" w:color="auto" w:fill="auto"/>
        </w:rPr>
        <w:t>项目实施方案</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_Toc18057 </w:instrText>
      </w:r>
      <w:r>
        <w:rPr>
          <w:rFonts w:hint="eastAsia" w:ascii="宋体" w:eastAsia="宋体"/>
          <w:spacing w:val="0"/>
        </w:rPr>
        <w:fldChar w:fldCharType="separate"/>
      </w:r>
      <w:r>
        <w:rPr>
          <w:rFonts w:hint="eastAsia" w:ascii="Times New Roman" w:hAnsi="Times New Roman" w:eastAsia="宋体"/>
          <w:highlight w:val="none"/>
          <w:shd w:val="clear" w:color="auto" w:fill="auto"/>
        </w:rPr>
        <w:t>五、参选保证金</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_Toc9131 </w:instrText>
      </w:r>
      <w:r>
        <w:rPr>
          <w:rFonts w:hint="eastAsia" w:ascii="宋体" w:eastAsia="宋体"/>
          <w:spacing w:val="0"/>
        </w:rPr>
        <w:fldChar w:fldCharType="separate"/>
      </w:r>
      <w:r>
        <w:rPr>
          <w:rFonts w:hint="eastAsia" w:ascii="Times New Roman" w:hAnsi="Times New Roman" w:eastAsia="宋体"/>
          <w:highlight w:val="none"/>
          <w:shd w:val="clear" w:color="auto" w:fill="auto"/>
        </w:rPr>
        <w:t>六、服务水平协议（SLA）</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_Toc4661 </w:instrText>
      </w:r>
      <w:r>
        <w:rPr>
          <w:rFonts w:hint="eastAsia" w:ascii="宋体" w:eastAsia="宋体"/>
          <w:spacing w:val="0"/>
        </w:rPr>
        <w:fldChar w:fldCharType="separate"/>
      </w:r>
      <w:r>
        <w:rPr>
          <w:rFonts w:hint="eastAsia" w:ascii="Times New Roman" w:hAnsi="Times New Roman" w:eastAsia="宋体"/>
          <w:highlight w:val="none"/>
          <w:shd w:val="clear" w:color="auto" w:fill="auto"/>
        </w:rPr>
        <w:t>七、管理资质</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_Toc3829 </w:instrText>
      </w:r>
      <w:r>
        <w:rPr>
          <w:rFonts w:hint="eastAsia" w:ascii="宋体" w:eastAsia="宋体"/>
          <w:spacing w:val="0"/>
        </w:rPr>
        <w:fldChar w:fldCharType="separate"/>
      </w:r>
      <w:r>
        <w:rPr>
          <w:rFonts w:hint="eastAsia" w:ascii="Times New Roman" w:hAnsi="Times New Roman" w:eastAsia="宋体"/>
          <w:highlight w:val="none"/>
          <w:shd w:val="clear" w:color="auto" w:fill="auto"/>
          <w:lang w:val="en-US" w:eastAsia="zh-CN"/>
        </w:rPr>
        <w:t>八、</w:t>
      </w:r>
      <w:r>
        <w:rPr>
          <w:rFonts w:hint="eastAsia" w:ascii="Times New Roman" w:hAnsi="Times New Roman" w:eastAsia="宋体"/>
          <w:highlight w:val="none"/>
          <w:shd w:val="clear" w:color="auto" w:fill="auto"/>
        </w:rPr>
        <w:t>服务能力要求</w:t>
      </w:r>
      <w:r>
        <w:rPr>
          <w:rFonts w:hint="eastAsia" w:ascii="Times New Roman" w:hAnsi="Times New Roman" w:eastAsia="宋体"/>
          <w:highlight w:val="none"/>
          <w:shd w:val="clear" w:color="auto" w:fill="auto"/>
          <w:lang w:val="en-US" w:eastAsia="zh-CN"/>
        </w:rPr>
        <w:t>相关资料</w:t>
      </w:r>
      <w:r>
        <w:rPr>
          <w:rFonts w:hint="eastAsia" w:ascii="宋体" w:eastAsia="宋体"/>
          <w:spacing w:val="0"/>
        </w:rPr>
        <w:fldChar w:fldCharType="end"/>
      </w:r>
    </w:p>
    <w:p>
      <w:pPr>
        <w:pStyle w:val="18"/>
        <w:tabs>
          <w:tab w:val="right" w:leader="dot" w:pos="8312"/>
        </w:tabs>
      </w:pPr>
      <w:r>
        <w:rPr>
          <w:rFonts w:hint="eastAsia" w:ascii="宋体" w:eastAsia="宋体"/>
          <w:spacing w:val="0"/>
        </w:rPr>
        <w:fldChar w:fldCharType="begin"/>
      </w:r>
      <w:r>
        <w:rPr>
          <w:rFonts w:hint="eastAsia" w:ascii="宋体" w:eastAsia="宋体"/>
          <w:spacing w:val="0"/>
        </w:rPr>
        <w:instrText xml:space="preserve"> HYPERLINK \l _Toc28940 </w:instrText>
      </w:r>
      <w:r>
        <w:rPr>
          <w:rFonts w:hint="eastAsia" w:ascii="宋体" w:eastAsia="宋体"/>
          <w:spacing w:val="0"/>
        </w:rPr>
        <w:fldChar w:fldCharType="separate"/>
      </w:r>
      <w:r>
        <w:rPr>
          <w:rFonts w:hint="eastAsia" w:ascii="Times New Roman" w:hAnsi="Times New Roman" w:eastAsia="宋体"/>
          <w:highlight w:val="none"/>
          <w:shd w:val="clear" w:color="auto" w:fill="auto"/>
          <w:lang w:val="en-US" w:eastAsia="zh-CN"/>
        </w:rPr>
        <w:t>九</w:t>
      </w:r>
      <w:r>
        <w:rPr>
          <w:rFonts w:hint="eastAsia" w:ascii="Times New Roman" w:hAnsi="Times New Roman" w:eastAsia="宋体"/>
          <w:highlight w:val="none"/>
          <w:shd w:val="clear" w:color="auto" w:fill="auto"/>
        </w:rPr>
        <w:t>、其他（如有）</w:t>
      </w:r>
      <w:r>
        <w:rPr>
          <w:rFonts w:hint="eastAsia" w:ascii="宋体" w:eastAsia="宋体"/>
          <w:spacing w:val="0"/>
        </w:rPr>
        <w:fldChar w:fldCharType="end"/>
      </w:r>
    </w:p>
    <w:p>
      <w:pPr>
        <w:pStyle w:val="17"/>
        <w:tabs>
          <w:tab w:val="right" w:leader="dot" w:pos="8302"/>
        </w:tabs>
        <w:spacing w:line="350" w:lineRule="auto"/>
        <w:rPr>
          <w:rFonts w:ascii="宋体" w:eastAsia="宋体"/>
          <w:spacing w:val="0"/>
        </w:rPr>
      </w:pPr>
      <w:r>
        <w:rPr>
          <w:rFonts w:hint="eastAsia" w:ascii="宋体" w:eastAsia="宋体"/>
          <w:spacing w:val="0"/>
        </w:rPr>
        <w:fldChar w:fldCharType="end"/>
      </w:r>
    </w:p>
    <w:p>
      <w:pPr>
        <w:spacing w:line="360" w:lineRule="auto"/>
        <w:rPr>
          <w:rFonts w:ascii="宋体" w:eastAsia="宋体"/>
          <w:spacing w:val="0"/>
        </w:rPr>
      </w:pPr>
    </w:p>
    <w:p>
      <w:pPr>
        <w:spacing w:line="360" w:lineRule="auto"/>
        <w:rPr>
          <w:rFonts w:ascii="宋体" w:eastAsia="宋体"/>
          <w:b/>
          <w:spacing w:val="0"/>
          <w:u w:val="single"/>
        </w:rPr>
      </w:pPr>
      <w:r>
        <w:rPr>
          <w:rFonts w:hint="eastAsia" w:ascii="宋体" w:eastAsia="宋体"/>
          <w:spacing w:val="0"/>
        </w:rPr>
        <w:br w:type="page"/>
      </w:r>
      <w:r>
        <w:rPr>
          <w:rFonts w:hint="eastAsia" w:ascii="宋体" w:eastAsia="宋体"/>
          <w:b/>
          <w:spacing w:val="0"/>
        </w:rPr>
        <w:t>委托方: 重庆三峡银行股份有限公司（以下简称“甲方”）</w:t>
      </w:r>
    </w:p>
    <w:p>
      <w:pPr>
        <w:spacing w:line="360" w:lineRule="auto"/>
        <w:rPr>
          <w:rFonts w:ascii="宋体" w:eastAsia="宋体"/>
          <w:spacing w:val="0"/>
        </w:rPr>
      </w:pPr>
      <w:r>
        <w:rPr>
          <w:rFonts w:hint="eastAsia" w:ascii="宋体" w:eastAsia="宋体"/>
          <w:spacing w:val="0"/>
        </w:rPr>
        <w:t>法定代表人：刘江桥</w:t>
      </w:r>
    </w:p>
    <w:p>
      <w:pPr>
        <w:spacing w:line="360" w:lineRule="auto"/>
        <w:rPr>
          <w:rFonts w:ascii="宋体" w:eastAsia="宋体"/>
          <w:spacing w:val="0"/>
        </w:rPr>
      </w:pPr>
      <w:r>
        <w:rPr>
          <w:rFonts w:hint="eastAsia" w:ascii="宋体" w:eastAsia="宋体"/>
          <w:spacing w:val="0"/>
        </w:rPr>
        <w:t>地址：</w:t>
      </w:r>
      <w:r>
        <w:rPr>
          <w:rFonts w:ascii="宋体" w:eastAsia="宋体"/>
          <w:spacing w:val="0"/>
        </w:rPr>
        <w:t>重庆市渝北区嘉州路88号中渝国际都会4号写字楼</w:t>
      </w:r>
    </w:p>
    <w:p>
      <w:pPr>
        <w:spacing w:line="360" w:lineRule="auto"/>
        <w:rPr>
          <w:rFonts w:ascii="宋体" w:eastAsia="宋体"/>
          <w:spacing w:val="0"/>
        </w:rPr>
      </w:pPr>
      <w:r>
        <w:rPr>
          <w:rFonts w:hint="eastAsia" w:ascii="宋体" w:eastAsia="宋体"/>
          <w:spacing w:val="0"/>
        </w:rPr>
        <w:t>邮政编码：</w:t>
      </w:r>
    </w:p>
    <w:p>
      <w:pPr>
        <w:spacing w:line="360" w:lineRule="auto"/>
        <w:rPr>
          <w:rFonts w:ascii="宋体" w:eastAsia="宋体"/>
          <w:spacing w:val="0"/>
        </w:rPr>
      </w:pPr>
      <w:r>
        <w:rPr>
          <w:rFonts w:hint="eastAsia" w:ascii="宋体" w:eastAsia="宋体"/>
          <w:spacing w:val="0"/>
        </w:rPr>
        <w:t>联系人：</w:t>
      </w:r>
    </w:p>
    <w:p>
      <w:pPr>
        <w:spacing w:line="360" w:lineRule="auto"/>
        <w:rPr>
          <w:rFonts w:ascii="宋体" w:eastAsia="宋体"/>
          <w:spacing w:val="0"/>
        </w:rPr>
      </w:pPr>
      <w:r>
        <w:rPr>
          <w:rFonts w:hint="eastAsia" w:ascii="宋体" w:eastAsia="宋体"/>
          <w:spacing w:val="0"/>
        </w:rPr>
        <w:t>电话：</w:t>
      </w:r>
    </w:p>
    <w:p>
      <w:pPr>
        <w:spacing w:line="360" w:lineRule="auto"/>
        <w:rPr>
          <w:rFonts w:ascii="宋体" w:eastAsia="宋体"/>
          <w:spacing w:val="0"/>
        </w:rPr>
      </w:pPr>
      <w:r>
        <w:rPr>
          <w:rFonts w:hint="eastAsia" w:ascii="宋体" w:eastAsia="宋体"/>
          <w:spacing w:val="0"/>
        </w:rPr>
        <w:t>电子邮箱：</w:t>
      </w:r>
    </w:p>
    <w:p>
      <w:pPr>
        <w:spacing w:line="360" w:lineRule="auto"/>
        <w:rPr>
          <w:rFonts w:ascii="宋体" w:eastAsia="宋体"/>
          <w:spacing w:val="0"/>
        </w:rPr>
      </w:pPr>
    </w:p>
    <w:p>
      <w:pPr>
        <w:spacing w:line="360" w:lineRule="auto"/>
        <w:rPr>
          <w:rFonts w:ascii="宋体" w:eastAsia="宋体"/>
          <w:b/>
          <w:spacing w:val="0"/>
        </w:rPr>
      </w:pPr>
      <w:r>
        <w:rPr>
          <w:rFonts w:hint="eastAsia" w:ascii="宋体" w:eastAsia="宋体"/>
          <w:b/>
          <w:spacing w:val="0"/>
        </w:rPr>
        <w:t>受托方：XXXXXXXXXXXXX（以下简称“乙方”）</w:t>
      </w:r>
    </w:p>
    <w:p>
      <w:pPr>
        <w:spacing w:line="360" w:lineRule="auto"/>
        <w:rPr>
          <w:rFonts w:ascii="宋体" w:eastAsia="宋体"/>
          <w:spacing w:val="0"/>
        </w:rPr>
      </w:pPr>
      <w:r>
        <w:rPr>
          <w:rFonts w:hint="eastAsia" w:ascii="宋体" w:eastAsia="宋体"/>
          <w:spacing w:val="0"/>
        </w:rPr>
        <w:t xml:space="preserve">法定代表人： </w:t>
      </w:r>
    </w:p>
    <w:p>
      <w:pPr>
        <w:spacing w:line="360" w:lineRule="auto"/>
        <w:rPr>
          <w:rFonts w:ascii="宋体" w:eastAsia="宋体"/>
          <w:spacing w:val="0"/>
        </w:rPr>
      </w:pPr>
      <w:r>
        <w:rPr>
          <w:rFonts w:hint="eastAsia" w:ascii="宋体" w:eastAsia="宋体"/>
          <w:spacing w:val="0"/>
        </w:rPr>
        <w:t>地址：</w:t>
      </w:r>
    </w:p>
    <w:p>
      <w:pPr>
        <w:spacing w:line="360" w:lineRule="auto"/>
        <w:rPr>
          <w:rFonts w:ascii="宋体" w:eastAsia="宋体"/>
          <w:spacing w:val="0"/>
        </w:rPr>
      </w:pPr>
      <w:r>
        <w:rPr>
          <w:rFonts w:hint="eastAsia" w:ascii="宋体" w:eastAsia="宋体"/>
          <w:spacing w:val="0"/>
        </w:rPr>
        <w:t>邮政编码：</w:t>
      </w:r>
    </w:p>
    <w:p>
      <w:pPr>
        <w:spacing w:line="360" w:lineRule="auto"/>
        <w:rPr>
          <w:rFonts w:ascii="宋体" w:eastAsia="宋体"/>
          <w:spacing w:val="0"/>
        </w:rPr>
      </w:pPr>
      <w:r>
        <w:rPr>
          <w:rFonts w:hint="eastAsia" w:ascii="宋体" w:eastAsia="宋体"/>
          <w:spacing w:val="0"/>
        </w:rPr>
        <w:t xml:space="preserve">开户银行： </w:t>
      </w:r>
    </w:p>
    <w:p>
      <w:pPr>
        <w:spacing w:line="360" w:lineRule="auto"/>
        <w:rPr>
          <w:rFonts w:ascii="宋体" w:eastAsia="宋体"/>
          <w:spacing w:val="0"/>
        </w:rPr>
      </w:pPr>
      <w:r>
        <w:rPr>
          <w:rFonts w:hint="eastAsia" w:ascii="宋体" w:eastAsia="宋体"/>
          <w:spacing w:val="0"/>
        </w:rPr>
        <w:t>账号：</w:t>
      </w:r>
    </w:p>
    <w:p>
      <w:pPr>
        <w:spacing w:line="360" w:lineRule="auto"/>
        <w:rPr>
          <w:rFonts w:ascii="宋体" w:eastAsia="宋体"/>
          <w:spacing w:val="0"/>
        </w:rPr>
      </w:pPr>
      <w:r>
        <w:rPr>
          <w:rFonts w:hint="eastAsia" w:ascii="宋体" w:eastAsia="宋体"/>
          <w:spacing w:val="0"/>
        </w:rPr>
        <w:t>税号：</w:t>
      </w:r>
    </w:p>
    <w:p>
      <w:pPr>
        <w:spacing w:line="360" w:lineRule="auto"/>
        <w:rPr>
          <w:rFonts w:ascii="宋体" w:eastAsia="宋体"/>
          <w:spacing w:val="0"/>
        </w:rPr>
      </w:pPr>
      <w:r>
        <w:rPr>
          <w:rFonts w:hint="eastAsia" w:ascii="宋体" w:eastAsia="宋体"/>
          <w:spacing w:val="0"/>
        </w:rPr>
        <w:t xml:space="preserve">联系人： </w:t>
      </w:r>
    </w:p>
    <w:p>
      <w:pPr>
        <w:spacing w:line="360" w:lineRule="auto"/>
        <w:rPr>
          <w:rFonts w:ascii="宋体" w:eastAsia="宋体"/>
          <w:spacing w:val="0"/>
        </w:rPr>
      </w:pPr>
      <w:r>
        <w:rPr>
          <w:rFonts w:hint="eastAsia" w:ascii="宋体" w:eastAsia="宋体"/>
          <w:spacing w:val="0"/>
        </w:rPr>
        <w:t>电话：</w:t>
      </w:r>
    </w:p>
    <w:p>
      <w:pPr>
        <w:spacing w:line="360" w:lineRule="auto"/>
        <w:rPr>
          <w:rFonts w:ascii="宋体" w:eastAsia="宋体"/>
          <w:spacing w:val="0"/>
        </w:rPr>
      </w:pPr>
      <w:r>
        <w:rPr>
          <w:rFonts w:hint="eastAsia" w:ascii="宋体" w:eastAsia="宋体"/>
          <w:spacing w:val="0"/>
        </w:rPr>
        <w:t>手机：</w:t>
      </w:r>
    </w:p>
    <w:p>
      <w:pPr>
        <w:spacing w:line="360" w:lineRule="auto"/>
        <w:rPr>
          <w:rFonts w:ascii="宋体" w:eastAsia="宋体"/>
          <w:spacing w:val="0"/>
        </w:rPr>
      </w:pPr>
      <w:r>
        <w:rPr>
          <w:rFonts w:hint="eastAsia" w:ascii="宋体" w:eastAsia="宋体"/>
          <w:spacing w:val="0"/>
        </w:rPr>
        <w:t>传真：</w:t>
      </w:r>
    </w:p>
    <w:p>
      <w:pPr>
        <w:spacing w:line="360" w:lineRule="auto"/>
        <w:rPr>
          <w:rFonts w:ascii="宋体" w:eastAsia="宋体"/>
          <w:spacing w:val="0"/>
          <w:lang w:val="en-GB"/>
        </w:rPr>
      </w:pPr>
      <w:r>
        <w:rPr>
          <w:rFonts w:hint="eastAsia" w:ascii="宋体" w:eastAsia="宋体"/>
          <w:spacing w:val="0"/>
        </w:rPr>
        <w:t>电子邮箱：</w:t>
      </w:r>
    </w:p>
    <w:p>
      <w:pPr>
        <w:spacing w:line="360" w:lineRule="auto"/>
        <w:ind w:firstLine="482" w:firstLineChars="200"/>
        <w:rPr>
          <w:rFonts w:ascii="宋体" w:eastAsia="宋体"/>
          <w:b/>
          <w:spacing w:val="0"/>
        </w:rPr>
      </w:pPr>
      <w:r>
        <w:rPr>
          <w:rFonts w:ascii="宋体" w:eastAsia="宋体"/>
          <w:b/>
          <w:spacing w:val="0"/>
        </w:rPr>
        <w:br w:type="page"/>
      </w:r>
      <w:r>
        <w:rPr>
          <w:rFonts w:hint="eastAsia" w:ascii="宋体" w:eastAsia="宋体"/>
          <w:b/>
          <w:spacing w:val="0"/>
        </w:rPr>
        <w:t>鉴于：</w:t>
      </w:r>
    </w:p>
    <w:p>
      <w:pPr>
        <w:spacing w:line="360" w:lineRule="auto"/>
        <w:ind w:firstLine="480" w:firstLineChars="200"/>
        <w:rPr>
          <w:rFonts w:ascii="宋体" w:eastAsia="宋体"/>
          <w:spacing w:val="0"/>
        </w:rPr>
      </w:pPr>
      <w:r>
        <w:rPr>
          <w:rStyle w:val="36"/>
          <w:rFonts w:hint="eastAsia" w:ascii="宋体" w:eastAsia="宋体"/>
          <w:spacing w:val="0"/>
          <w:kern w:val="0"/>
        </w:rPr>
        <w:t>乙方具有良好的开发实施能力，甲乙双方经友好协商并达成一致，依据相关法律、法规的规定，就甲方委托</w:t>
      </w:r>
      <w:r>
        <w:rPr>
          <w:rStyle w:val="36"/>
          <w:rFonts w:ascii="宋体" w:eastAsia="宋体"/>
          <w:spacing w:val="0"/>
          <w:kern w:val="0"/>
        </w:rPr>
        <w:t>乙方</w:t>
      </w:r>
      <w:r>
        <w:rPr>
          <w:rStyle w:val="36"/>
          <w:rFonts w:hint="eastAsia" w:ascii="宋体" w:eastAsia="宋体"/>
          <w:spacing w:val="0"/>
          <w:kern w:val="0"/>
        </w:rPr>
        <w:t>进行</w:t>
      </w:r>
      <w:r>
        <w:rPr>
          <w:rStyle w:val="36"/>
          <w:rFonts w:ascii="宋体" w:eastAsia="宋体"/>
          <w:spacing w:val="0"/>
          <w:kern w:val="0"/>
        </w:rPr>
        <w:t>项目实施与技术支持</w:t>
      </w:r>
      <w:r>
        <w:rPr>
          <w:rStyle w:val="36"/>
          <w:rFonts w:hint="eastAsia" w:ascii="宋体" w:eastAsia="宋体"/>
          <w:spacing w:val="0"/>
          <w:kern w:val="0"/>
        </w:rPr>
        <w:t>，向乙方订购</w:t>
      </w:r>
      <w:r>
        <w:rPr>
          <w:rStyle w:val="36"/>
          <w:rFonts w:ascii="宋体" w:eastAsia="宋体"/>
          <w:spacing w:val="0"/>
          <w:kern w:val="0"/>
          <w:u w:val="single"/>
        </w:rPr>
        <w:t>手机银行</w:t>
      </w:r>
      <w:r>
        <w:rPr>
          <w:rStyle w:val="36"/>
          <w:rFonts w:hint="eastAsia" w:ascii="宋体" w:eastAsia="宋体"/>
          <w:spacing w:val="0"/>
          <w:kern w:val="0"/>
          <w:u w:val="single"/>
        </w:rPr>
        <w:t>产品</w:t>
      </w:r>
      <w:r>
        <w:rPr>
          <w:rStyle w:val="36"/>
          <w:rFonts w:hint="eastAsia" w:ascii="宋体" w:eastAsia="宋体"/>
          <w:spacing w:val="0"/>
          <w:kern w:val="0"/>
        </w:rPr>
        <w:t>（含定制化开发）的相关事宜订立本合同，</w:t>
      </w:r>
      <w:r>
        <w:rPr>
          <w:rFonts w:hint="eastAsia" w:ascii="宋体" w:eastAsia="宋体"/>
          <w:spacing w:val="0"/>
        </w:rPr>
        <w:t>以资信守：</w:t>
      </w:r>
    </w:p>
    <w:p>
      <w:pPr>
        <w:rPr>
          <w:rFonts w:ascii="宋体" w:eastAsia="宋体"/>
          <w:b/>
          <w:spacing w:val="0"/>
        </w:rPr>
      </w:pPr>
      <w:r>
        <w:rPr>
          <w:rFonts w:hint="eastAsia" w:ascii="宋体" w:eastAsia="宋体"/>
          <w:b/>
          <w:spacing w:val="0"/>
        </w:rPr>
        <w:t>第一条 定义</w:t>
      </w:r>
    </w:p>
    <w:p>
      <w:pPr>
        <w:spacing w:line="360" w:lineRule="auto"/>
        <w:ind w:firstLine="480" w:firstLineChars="200"/>
        <w:rPr>
          <w:rFonts w:ascii="宋体" w:eastAsia="宋体"/>
          <w:spacing w:val="0"/>
        </w:rPr>
      </w:pPr>
      <w:r>
        <w:rPr>
          <w:rFonts w:hint="eastAsia" w:ascii="宋体" w:eastAsia="宋体"/>
          <w:spacing w:val="0"/>
        </w:rPr>
        <w:t>在本合同中，除非有相反的表述，下列术语具有如下含义：</w:t>
      </w:r>
    </w:p>
    <w:p>
      <w:pPr>
        <w:spacing w:line="360" w:lineRule="auto"/>
        <w:ind w:firstLine="480" w:firstLineChars="200"/>
        <w:rPr>
          <w:rFonts w:ascii="宋体" w:eastAsia="宋体"/>
          <w:spacing w:val="0"/>
        </w:rPr>
      </w:pPr>
      <w:r>
        <w:rPr>
          <w:rFonts w:hint="eastAsia" w:ascii="宋体" w:eastAsia="宋体"/>
          <w:spacing w:val="0"/>
        </w:rPr>
        <w:t>1.1“项目”系指乙方受甲方委托，单独为本合同目的依据合同附件一《工作（需求）说明书》的产品实施与数据迁移服务。</w:t>
      </w:r>
    </w:p>
    <w:p>
      <w:pPr>
        <w:spacing w:line="360" w:lineRule="auto"/>
        <w:ind w:firstLine="480" w:firstLineChars="200"/>
        <w:rPr>
          <w:rFonts w:ascii="宋体" w:eastAsia="宋体"/>
          <w:spacing w:val="0"/>
        </w:rPr>
      </w:pPr>
      <w:r>
        <w:rPr>
          <w:rFonts w:hint="eastAsia" w:ascii="宋体" w:eastAsia="宋体"/>
          <w:spacing w:val="0"/>
        </w:rPr>
        <w:t>1.2“客户化工作”指项目交付乙方后乙方对甲方的需求进行开发实施。</w:t>
      </w:r>
    </w:p>
    <w:p>
      <w:pPr>
        <w:spacing w:line="360" w:lineRule="auto"/>
        <w:ind w:firstLine="480" w:firstLineChars="200"/>
        <w:rPr>
          <w:rFonts w:ascii="宋体" w:eastAsia="宋体"/>
          <w:spacing w:val="0"/>
        </w:rPr>
      </w:pPr>
      <w:r>
        <w:rPr>
          <w:rFonts w:hint="eastAsia" w:ascii="宋体" w:eastAsia="宋体"/>
          <w:spacing w:val="0"/>
        </w:rPr>
        <w:t>1.3“产品实施数据迁移”指乙方产品的安装配置和业务数据迁移服务。</w:t>
      </w:r>
    </w:p>
    <w:p>
      <w:pPr>
        <w:spacing w:line="360" w:lineRule="auto"/>
        <w:ind w:firstLine="480" w:firstLineChars="200"/>
        <w:rPr>
          <w:rFonts w:ascii="宋体" w:eastAsia="宋体"/>
          <w:spacing w:val="0"/>
        </w:rPr>
      </w:pPr>
      <w:r>
        <w:rPr>
          <w:rFonts w:hint="eastAsia" w:ascii="宋体" w:eastAsia="宋体"/>
          <w:spacing w:val="0"/>
        </w:rPr>
        <w:t>1.4“X</w:t>
      </w:r>
      <w:r>
        <w:rPr>
          <w:rFonts w:ascii="宋体" w:eastAsia="宋体"/>
          <w:spacing w:val="0"/>
        </w:rPr>
        <w:t>XXXXXXX</w:t>
      </w:r>
      <w:r>
        <w:rPr>
          <w:rFonts w:hint="eastAsia" w:ascii="宋体" w:eastAsia="宋体"/>
          <w:spacing w:val="0"/>
          <w:lang w:val="en-GB"/>
        </w:rPr>
        <w:t>系统</w:t>
      </w:r>
      <w:r>
        <w:rPr>
          <w:rFonts w:hint="eastAsia" w:ascii="宋体" w:eastAsia="宋体"/>
          <w:spacing w:val="0"/>
        </w:rPr>
        <w:t>业务”指乙方提供给甲方的附件一中所涵盖的业务功能。</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5</w:t>
      </w:r>
      <w:r>
        <w:rPr>
          <w:rFonts w:hint="eastAsia" w:ascii="宋体" w:eastAsia="宋体" w:cs="宋体"/>
          <w:spacing w:val="0"/>
          <w:szCs w:val="24"/>
        </w:rPr>
        <w:t>“缺陷逃逸率”：后一测试阶段测试期间发现的缺陷个数/（当前测试期间所发现的缺陷个数+后一测试期间发现的缺陷个数）。</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6</w:t>
      </w:r>
      <w:r>
        <w:rPr>
          <w:rFonts w:hint="eastAsia" w:ascii="宋体" w:eastAsia="宋体" w:cs="宋体"/>
          <w:spacing w:val="0"/>
          <w:szCs w:val="24"/>
        </w:rPr>
        <w:t>“试运行”：项目上线后进入试运行阶段，项目试运行至少3个月。在试运行期间，甲方随时将发现的逃逸的缺陷通知乙方，乙方在最快的时间内予以响应。</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7</w:t>
      </w:r>
      <w:r>
        <w:rPr>
          <w:rFonts w:hint="eastAsia" w:ascii="宋体" w:eastAsia="宋体" w:cs="宋体"/>
          <w:spacing w:val="0"/>
          <w:szCs w:val="24"/>
        </w:rPr>
        <w:t>“响应时间”：指乙方就甲方提出的问题予以答复的时间。</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8</w:t>
      </w:r>
      <w:r>
        <w:rPr>
          <w:rFonts w:hint="eastAsia" w:ascii="宋体" w:eastAsia="宋体" w:cs="宋体"/>
          <w:spacing w:val="0"/>
          <w:szCs w:val="24"/>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w:t>
      </w:r>
      <w:r>
        <w:rPr>
          <w:rFonts w:ascii="宋体" w:eastAsia="宋体" w:cs="宋体"/>
          <w:spacing w:val="0"/>
          <w:szCs w:val="24"/>
        </w:rPr>
        <w:t>9</w:t>
      </w:r>
      <w:r>
        <w:rPr>
          <w:rFonts w:hint="eastAsia" w:ascii="宋体" w:eastAsia="宋体" w:cs="宋体"/>
          <w:spacing w:val="0"/>
          <w:szCs w:val="24"/>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0</w:t>
      </w:r>
      <w:r>
        <w:rPr>
          <w:rFonts w:hint="eastAsia" w:ascii="宋体" w:eastAsia="宋体" w:cs="宋体"/>
          <w:spacing w:val="0"/>
          <w:szCs w:val="24"/>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1</w:t>
      </w:r>
      <w:r>
        <w:rPr>
          <w:rFonts w:hint="eastAsia" w:ascii="宋体" w:eastAsia="宋体" w:cs="宋体"/>
          <w:spacing w:val="0"/>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2</w:t>
      </w:r>
      <w:r>
        <w:rPr>
          <w:rFonts w:hint="eastAsia" w:ascii="宋体" w:eastAsia="宋体" w:cs="宋体"/>
          <w:spacing w:val="0"/>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3</w:t>
      </w:r>
      <w:r>
        <w:rPr>
          <w:rFonts w:hint="eastAsia" w:ascii="宋体" w:eastAsia="宋体" w:cs="宋体"/>
          <w:spacing w:val="0"/>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pPr>
        <w:spacing w:line="360" w:lineRule="auto"/>
        <w:ind w:left="-2" w:leftChars="-1" w:firstLine="480" w:firstLineChars="200"/>
        <w:rPr>
          <w:rFonts w:ascii="宋体" w:eastAsia="宋体" w:cs="宋体"/>
          <w:spacing w:val="0"/>
          <w:szCs w:val="24"/>
        </w:rPr>
      </w:pPr>
      <w:r>
        <w:rPr>
          <w:rFonts w:hint="eastAsia" w:ascii="宋体" w:eastAsia="宋体" w:cs="宋体"/>
          <w:spacing w:val="0"/>
          <w:szCs w:val="24"/>
        </w:rPr>
        <w:t>1.1</w:t>
      </w:r>
      <w:r>
        <w:rPr>
          <w:rFonts w:ascii="宋体" w:eastAsia="宋体" w:cs="宋体"/>
          <w:spacing w:val="0"/>
          <w:szCs w:val="24"/>
        </w:rPr>
        <w:t>4</w:t>
      </w:r>
      <w:r>
        <w:rPr>
          <w:rFonts w:hint="eastAsia" w:ascii="宋体" w:eastAsia="宋体" w:cs="宋体"/>
          <w:spacing w:val="0"/>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pPr>
        <w:spacing w:line="360" w:lineRule="auto"/>
        <w:ind w:left="-2" w:leftChars="-1" w:firstLine="480" w:firstLineChars="200"/>
        <w:rPr>
          <w:rFonts w:ascii="宋体" w:eastAsia="宋体"/>
          <w:spacing w:val="0"/>
          <w:szCs w:val="24"/>
        </w:rPr>
      </w:pPr>
      <w:r>
        <w:rPr>
          <w:rFonts w:hint="eastAsia" w:ascii="宋体" w:eastAsia="宋体"/>
          <w:spacing w:val="0"/>
          <w:szCs w:val="24"/>
        </w:rPr>
        <w:t>1.1</w:t>
      </w:r>
      <w:r>
        <w:rPr>
          <w:rFonts w:ascii="宋体" w:eastAsia="宋体"/>
          <w:spacing w:val="0"/>
          <w:szCs w:val="24"/>
        </w:rPr>
        <w:t>5</w:t>
      </w:r>
      <w:r>
        <w:rPr>
          <w:rFonts w:hint="eastAsia" w:ascii="宋体" w:eastAsia="宋体"/>
          <w:spacing w:val="0"/>
          <w:szCs w:val="24"/>
        </w:rPr>
        <w:t>“重大缺陷”：指严重缺陷和致命缺陷。</w:t>
      </w:r>
    </w:p>
    <w:p>
      <w:pPr>
        <w:spacing w:line="360" w:lineRule="auto"/>
        <w:ind w:left="-2" w:leftChars="-1" w:firstLine="480" w:firstLineChars="200"/>
        <w:rPr>
          <w:rFonts w:ascii="宋体" w:eastAsia="宋体"/>
          <w:spacing w:val="0"/>
        </w:rPr>
      </w:pPr>
    </w:p>
    <w:p>
      <w:pPr>
        <w:rPr>
          <w:rFonts w:ascii="宋体" w:eastAsia="宋体"/>
          <w:b/>
          <w:spacing w:val="0"/>
        </w:rPr>
      </w:pPr>
      <w:r>
        <w:rPr>
          <w:rFonts w:hint="eastAsia" w:ascii="宋体" w:eastAsia="宋体"/>
          <w:b/>
          <w:spacing w:val="0"/>
        </w:rPr>
        <w:t>第二条</w:t>
      </w:r>
      <w:bookmarkStart w:id="342" w:name="_Toc58337493"/>
      <w:r>
        <w:rPr>
          <w:rFonts w:hint="eastAsia" w:ascii="宋体" w:eastAsia="宋体"/>
          <w:b/>
          <w:spacing w:val="0"/>
        </w:rPr>
        <w:t xml:space="preserve"> 项目名称</w:t>
      </w:r>
      <w:r>
        <w:rPr>
          <w:rFonts w:ascii="宋体" w:eastAsia="宋体"/>
          <w:b/>
          <w:spacing w:val="0"/>
        </w:rPr>
        <w:t>、</w:t>
      </w:r>
      <w:r>
        <w:rPr>
          <w:rFonts w:hint="eastAsia" w:ascii="宋体" w:eastAsia="宋体"/>
          <w:b/>
          <w:spacing w:val="0"/>
        </w:rPr>
        <w:t>内容及要求</w:t>
      </w:r>
      <w:bookmarkEnd w:id="342"/>
    </w:p>
    <w:p>
      <w:pPr>
        <w:spacing w:line="360" w:lineRule="auto"/>
        <w:ind w:firstLine="480" w:firstLineChars="200"/>
        <w:rPr>
          <w:rFonts w:ascii="宋体" w:eastAsia="宋体"/>
          <w:spacing w:val="0"/>
        </w:rPr>
      </w:pPr>
      <w:r>
        <w:rPr>
          <w:rFonts w:hint="eastAsia" w:ascii="宋体" w:eastAsia="宋体"/>
          <w:spacing w:val="0"/>
        </w:rPr>
        <w:t>2.1项目名称</w:t>
      </w:r>
      <w:r>
        <w:rPr>
          <w:rFonts w:ascii="宋体" w:eastAsia="宋体"/>
          <w:spacing w:val="0"/>
        </w:rPr>
        <w:t>：重庆三峡银行第三代手机银行项目</w:t>
      </w:r>
    </w:p>
    <w:p>
      <w:pPr>
        <w:spacing w:beforeAutospacing="0" w:afterAutospacing="0" w:line="360" w:lineRule="auto"/>
        <w:ind w:firstLine="480" w:firstLineChars="200"/>
        <w:rPr>
          <w:rFonts w:ascii="宋体" w:eastAsia="宋体"/>
          <w:spacing w:val="0"/>
        </w:rPr>
      </w:pPr>
      <w:bookmarkStart w:id="343" w:name="_Toc58337494"/>
      <w:r>
        <w:rPr>
          <w:rFonts w:hint="eastAsia" w:ascii="宋体" w:eastAsia="宋体"/>
          <w:spacing w:val="0"/>
        </w:rPr>
        <w:t>2.2项目内容</w:t>
      </w:r>
      <w:r>
        <w:rPr>
          <w:rFonts w:ascii="宋体" w:eastAsia="宋体"/>
          <w:spacing w:val="0"/>
        </w:rPr>
        <w:t>、</w:t>
      </w:r>
      <w:r>
        <w:rPr>
          <w:rFonts w:hint="eastAsia" w:ascii="宋体" w:eastAsia="宋体"/>
          <w:spacing w:val="0"/>
        </w:rPr>
        <w:t>范围及要求</w:t>
      </w:r>
      <w:bookmarkEnd w:id="343"/>
    </w:p>
    <w:p>
      <w:pPr>
        <w:keepLines w:val="0"/>
        <w:pageBreakBefore w:val="0"/>
        <w:widowControl w:val="0"/>
        <w:kinsoku/>
        <w:wordWrap/>
        <w:overflowPunct/>
        <w:topLinePunct w:val="0"/>
        <w:autoSpaceDE/>
        <w:autoSpaceDN/>
        <w:spacing w:beforeAutospacing="0" w:afterAutospacing="0" w:line="360" w:lineRule="auto"/>
        <w:ind w:firstLine="480" w:firstLineChars="200"/>
        <w:rPr>
          <w:rFonts w:hint="eastAsia" w:ascii="宋体" w:hAnsi="Times New Roman" w:eastAsia="宋体"/>
          <w:spacing w:val="0"/>
          <w:lang w:val="en-US" w:eastAsia="zh-CN"/>
        </w:rPr>
      </w:pPr>
      <w:r>
        <w:rPr>
          <w:rFonts w:hint="eastAsia" w:ascii="宋体" w:hAnsi="Times New Roman" w:eastAsia="宋体"/>
          <w:spacing w:val="0"/>
          <w:lang w:val="en-US" w:eastAsia="zh-CN"/>
        </w:rPr>
        <w:t>重庆三峡银行开展第三代手机银行建设工作，将新一代手机银行打造为“线上经营平台”，APP端承担起全行交易服务主渠道、中长尾客户经营主阵地两大重要职责，在深度协同线下交易服务、中长尾客户挖潜、整合线上贷款入口、释放客户经理产能等方面带来提升；微信端着力建设客户经理微营业厅，借助微信用户的高流量、高活跃度，实现拉新活客、分享营销及活动/权益推送等功能，为APP深度运营客户引流转化。</w:t>
      </w:r>
    </w:p>
    <w:p>
      <w:pPr>
        <w:snapToGrid w:val="0"/>
        <w:spacing w:line="360" w:lineRule="auto"/>
        <w:ind w:firstLine="480" w:firstLineChars="200"/>
        <w:rPr>
          <w:rFonts w:ascii="宋体" w:eastAsia="宋体"/>
          <w:i/>
          <w:spacing w:val="0"/>
        </w:rPr>
      </w:pPr>
      <w:r>
        <w:rPr>
          <w:rFonts w:hint="eastAsia" w:ascii="宋体" w:eastAsia="宋体"/>
          <w:spacing w:val="0"/>
        </w:rPr>
        <w:t>详细内容参考附件一《工作（需求）说明书》，最终以附件一中双方约定的内容为准。</w:t>
      </w:r>
    </w:p>
    <w:p>
      <w:pPr>
        <w:snapToGrid w:val="0"/>
        <w:spacing w:line="360" w:lineRule="auto"/>
        <w:ind w:firstLine="480" w:firstLineChars="200"/>
        <w:rPr>
          <w:rFonts w:ascii="宋体" w:eastAsia="宋体"/>
          <w:spacing w:val="0"/>
        </w:rPr>
      </w:pPr>
      <w:bookmarkStart w:id="344" w:name="_Toc58337495"/>
      <w:r>
        <w:rPr>
          <w:rFonts w:hint="eastAsia" w:ascii="宋体" w:eastAsia="宋体"/>
          <w:spacing w:val="0"/>
        </w:rPr>
        <w:t>2.3技术指标和质量要求</w:t>
      </w:r>
      <w:bookmarkEnd w:id="344"/>
      <w:r>
        <w:rPr>
          <w:rFonts w:hint="eastAsia" w:ascii="宋体" w:eastAsia="宋体"/>
          <w:spacing w:val="0"/>
        </w:rPr>
        <w:t>。</w:t>
      </w:r>
    </w:p>
    <w:p>
      <w:pPr>
        <w:snapToGrid w:val="0"/>
        <w:spacing w:line="360" w:lineRule="auto"/>
        <w:ind w:firstLine="480" w:firstLineChars="200"/>
        <w:rPr>
          <w:rFonts w:ascii="宋体" w:eastAsia="宋体"/>
          <w:spacing w:val="0"/>
        </w:rPr>
      </w:pPr>
      <w:r>
        <w:rPr>
          <w:rFonts w:hint="eastAsia" w:ascii="宋体" w:eastAsia="宋体"/>
          <w:spacing w:val="0"/>
        </w:rPr>
        <w:t>见附件一、附件四。</w:t>
      </w:r>
    </w:p>
    <w:p>
      <w:pPr>
        <w:snapToGrid w:val="0"/>
        <w:spacing w:line="360" w:lineRule="auto"/>
        <w:ind w:firstLine="480" w:firstLineChars="200"/>
        <w:rPr>
          <w:rFonts w:ascii="宋体" w:eastAsia="宋体"/>
          <w:spacing w:val="0"/>
        </w:rPr>
      </w:pPr>
      <w:bookmarkStart w:id="345" w:name="_Toc58337496"/>
      <w:r>
        <w:rPr>
          <w:rFonts w:hint="eastAsia" w:ascii="宋体" w:eastAsia="宋体"/>
          <w:spacing w:val="0"/>
        </w:rPr>
        <w:t>2.4应当遵循的标准和规范</w:t>
      </w:r>
      <w:bookmarkEnd w:id="345"/>
      <w:r>
        <w:rPr>
          <w:rFonts w:hint="eastAsia" w:ascii="宋体" w:eastAsia="宋体"/>
          <w:spacing w:val="0"/>
        </w:rPr>
        <w:t>。</w:t>
      </w:r>
    </w:p>
    <w:p>
      <w:pPr>
        <w:snapToGrid w:val="0"/>
        <w:spacing w:line="360" w:lineRule="auto"/>
        <w:ind w:firstLine="420" w:firstLineChars="0"/>
        <w:rPr>
          <w:rFonts w:ascii="宋体" w:eastAsia="宋体"/>
          <w:spacing w:val="0"/>
        </w:rPr>
      </w:pPr>
      <w:r>
        <w:rPr>
          <w:rFonts w:hint="eastAsia" w:ascii="宋体" w:eastAsia="宋体"/>
          <w:spacing w:val="0"/>
        </w:rPr>
        <w:t>乙方交付的</w:t>
      </w:r>
      <w:r>
        <w:rPr>
          <w:rFonts w:ascii="宋体" w:eastAsia="宋体"/>
          <w:spacing w:val="0"/>
        </w:rPr>
        <w:t>手机银行项目</w:t>
      </w:r>
      <w:r>
        <w:rPr>
          <w:rFonts w:hint="eastAsia" w:ascii="宋体" w:eastAsia="宋体"/>
          <w:spacing w:val="0"/>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pPr>
        <w:snapToGrid w:val="0"/>
        <w:spacing w:line="360" w:lineRule="auto"/>
        <w:ind w:firstLine="420" w:firstLineChars="0"/>
        <w:rPr>
          <w:rFonts w:ascii="宋体" w:eastAsia="宋体"/>
          <w:spacing w:val="0"/>
        </w:rPr>
      </w:pPr>
    </w:p>
    <w:p>
      <w:pPr>
        <w:rPr>
          <w:rFonts w:ascii="宋体" w:eastAsia="宋体"/>
          <w:b/>
          <w:spacing w:val="0"/>
        </w:rPr>
      </w:pPr>
      <w:r>
        <w:rPr>
          <w:rFonts w:hint="eastAsia" w:ascii="宋体" w:eastAsia="宋体"/>
          <w:b/>
          <w:spacing w:val="0"/>
        </w:rPr>
        <w:t>第三条 项目履行的进度、期限、地点、地域、方式</w:t>
      </w:r>
    </w:p>
    <w:p>
      <w:pPr>
        <w:spacing w:line="360" w:lineRule="auto"/>
        <w:ind w:firstLine="480" w:firstLineChars="200"/>
        <w:rPr>
          <w:rFonts w:ascii="宋体" w:eastAsia="宋体"/>
          <w:spacing w:val="0"/>
        </w:rPr>
      </w:pPr>
      <w:r>
        <w:rPr>
          <w:rFonts w:hint="eastAsia" w:ascii="宋体" w:eastAsia="宋体"/>
          <w:spacing w:val="0"/>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spacing w:val="0"/>
          <w:kern w:val="0"/>
        </w:rPr>
        <w:t>替换人员技术水平或级别需不低于</w:t>
      </w:r>
      <w:r>
        <w:rPr>
          <w:rFonts w:hint="eastAsia" w:ascii="宋体" w:eastAsia="宋体"/>
          <w:spacing w:val="0"/>
        </w:rPr>
        <w:t>被替换的人员</w:t>
      </w:r>
      <w:r>
        <w:rPr>
          <w:rFonts w:hint="eastAsia" w:ascii="宋体" w:eastAsia="宋体"/>
          <w:spacing w:val="0"/>
          <w:kern w:val="0"/>
        </w:rPr>
        <w:t>水平或级别</w:t>
      </w:r>
      <w:r>
        <w:rPr>
          <w:rFonts w:hint="eastAsia" w:ascii="宋体" w:eastAsia="宋体"/>
          <w:spacing w:val="0"/>
        </w:rPr>
        <w:t>，并需通过甲方考察并取得甲方同意，否则甲方有权要求更换。</w:t>
      </w:r>
    </w:p>
    <w:p>
      <w:pPr>
        <w:spacing w:line="360" w:lineRule="auto"/>
        <w:ind w:firstLine="480" w:firstLineChars="200"/>
        <w:rPr>
          <w:rFonts w:ascii="宋体" w:eastAsia="宋体"/>
          <w:spacing w:val="0"/>
        </w:rPr>
      </w:pPr>
      <w:r>
        <w:rPr>
          <w:rFonts w:hint="eastAsia" w:ascii="宋体" w:eastAsia="宋体"/>
          <w:spacing w:val="0"/>
        </w:rPr>
        <w:t>3.2进度：乙方应严格按照3.3所列示的期限完成项目实施任务。</w:t>
      </w:r>
    </w:p>
    <w:p>
      <w:pPr>
        <w:spacing w:line="360" w:lineRule="auto"/>
        <w:ind w:firstLine="480" w:firstLineChars="200"/>
        <w:rPr>
          <w:rFonts w:ascii="宋体" w:eastAsia="宋体"/>
          <w:spacing w:val="0"/>
        </w:rPr>
      </w:pPr>
      <w:r>
        <w:rPr>
          <w:rFonts w:hint="eastAsia" w:ascii="宋体" w:eastAsia="宋体"/>
          <w:spacing w:val="0"/>
        </w:rPr>
        <w:t>3.3期限：上线时间为    年    月     日</w:t>
      </w:r>
      <w:r>
        <w:rPr>
          <w:rFonts w:ascii="宋体" w:eastAsia="宋体"/>
          <w:spacing w:val="0"/>
        </w:rPr>
        <w:t>前</w:t>
      </w:r>
      <w:r>
        <w:rPr>
          <w:rFonts w:hint="eastAsia" w:ascii="宋体" w:eastAsia="宋体"/>
          <w:spacing w:val="0"/>
        </w:rPr>
        <w:t>。</w:t>
      </w:r>
    </w:p>
    <w:p>
      <w:pPr>
        <w:spacing w:line="360" w:lineRule="auto"/>
        <w:ind w:firstLine="480" w:firstLineChars="200"/>
        <w:rPr>
          <w:rFonts w:ascii="宋体" w:eastAsia="宋体"/>
          <w:spacing w:val="0"/>
        </w:rPr>
      </w:pPr>
      <w:r>
        <w:rPr>
          <w:rFonts w:hint="eastAsia" w:ascii="宋体" w:eastAsia="宋体"/>
          <w:spacing w:val="0"/>
        </w:rPr>
        <w:t>3.4地点：乙方完成项目实施工作的地点为：</w:t>
      </w:r>
      <w:r>
        <w:rPr>
          <w:rFonts w:hint="eastAsia" w:ascii="宋体" w:eastAsia="宋体"/>
          <w:spacing w:val="0"/>
          <w:u w:val="single"/>
        </w:rPr>
        <w:t>重庆</w:t>
      </w:r>
      <w:r>
        <w:rPr>
          <w:rFonts w:hint="eastAsia" w:ascii="宋体" w:eastAsia="宋体"/>
          <w:spacing w:val="0"/>
        </w:rPr>
        <w:t>；【驻场】实施。</w:t>
      </w:r>
    </w:p>
    <w:p>
      <w:pPr>
        <w:spacing w:line="360" w:lineRule="auto"/>
        <w:ind w:firstLine="480" w:firstLineChars="200"/>
        <w:rPr>
          <w:rFonts w:ascii="宋体" w:eastAsia="宋体"/>
          <w:spacing w:val="0"/>
        </w:rPr>
      </w:pPr>
      <w:r>
        <w:rPr>
          <w:rFonts w:hint="eastAsia" w:ascii="宋体" w:eastAsia="宋体"/>
          <w:spacing w:val="0"/>
        </w:rPr>
        <w:t>3.5地域：本项目适用机构所在地域包括：</w:t>
      </w:r>
      <w:r>
        <w:rPr>
          <w:rFonts w:hint="eastAsia" w:ascii="宋体" w:eastAsia="宋体"/>
          <w:spacing w:val="0"/>
          <w:u w:val="single"/>
        </w:rPr>
        <w:t>重庆三峡银行总行各部门及辖内各经营机构</w:t>
      </w:r>
      <w:r>
        <w:rPr>
          <w:rFonts w:hint="eastAsia" w:ascii="宋体" w:eastAsia="宋体"/>
          <w:spacing w:val="0"/>
        </w:rPr>
        <w:t>。</w:t>
      </w:r>
    </w:p>
    <w:p>
      <w:pPr>
        <w:spacing w:line="360" w:lineRule="auto"/>
        <w:ind w:firstLine="480" w:firstLineChars="200"/>
        <w:rPr>
          <w:rFonts w:ascii="宋体" w:eastAsia="宋体"/>
          <w:spacing w:val="0"/>
        </w:rPr>
      </w:pPr>
      <w:r>
        <w:rPr>
          <w:rFonts w:hint="eastAsia" w:ascii="宋体" w:eastAsia="宋体"/>
          <w:spacing w:val="0"/>
        </w:rPr>
        <w:t>3.6方式：</w:t>
      </w:r>
    </w:p>
    <w:p>
      <w:pPr>
        <w:spacing w:line="360" w:lineRule="auto"/>
        <w:ind w:firstLine="480" w:firstLineChars="200"/>
        <w:rPr>
          <w:rFonts w:ascii="宋体" w:eastAsia="宋体"/>
          <w:spacing w:val="0"/>
        </w:rPr>
      </w:pPr>
      <w:r>
        <w:rPr>
          <w:rFonts w:hint="eastAsia" w:ascii="宋体" w:eastAsia="宋体"/>
          <w:spacing w:val="0"/>
        </w:rPr>
        <w:t>3.6.1协调：甲、乙双方各派出一名项目主要负责人负责本项目协调工作。其中，乙方代表负责提示完成本项目各阶段双方按照本合同应当履行的义务；经双方代表确认后分别与双方相关人员组织协调开展工作。</w:t>
      </w:r>
    </w:p>
    <w:p>
      <w:pPr>
        <w:spacing w:line="360" w:lineRule="auto"/>
        <w:ind w:firstLine="480" w:firstLineChars="200"/>
        <w:rPr>
          <w:rFonts w:ascii="宋体" w:eastAsia="宋体"/>
          <w:spacing w:val="0"/>
        </w:rPr>
      </w:pPr>
      <w:r>
        <w:rPr>
          <w:rFonts w:hint="eastAsia" w:ascii="宋体" w:eastAsia="宋体"/>
          <w:spacing w:val="0"/>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pPr>
        <w:spacing w:line="360" w:lineRule="auto"/>
        <w:ind w:firstLine="480" w:firstLineChars="200"/>
        <w:rPr>
          <w:rFonts w:ascii="宋体" w:eastAsia="宋体"/>
          <w:spacing w:val="0"/>
        </w:rPr>
      </w:pPr>
    </w:p>
    <w:p>
      <w:r>
        <w:rPr>
          <w:rFonts w:hint="eastAsia" w:ascii="宋体" w:eastAsia="宋体"/>
          <w:b/>
          <w:spacing w:val="0"/>
        </w:rPr>
        <w:t>第四条 方案调整</w:t>
      </w:r>
    </w:p>
    <w:p>
      <w:pPr>
        <w:spacing w:line="360" w:lineRule="auto"/>
        <w:ind w:firstLine="480" w:firstLineChars="200"/>
        <w:rPr>
          <w:rFonts w:ascii="宋体" w:eastAsia="宋体"/>
          <w:spacing w:val="0"/>
        </w:rPr>
      </w:pPr>
      <w:r>
        <w:rPr>
          <w:rStyle w:val="36"/>
          <w:rFonts w:hint="eastAsia" w:ascii="宋体" w:eastAsia="宋体"/>
          <w:spacing w:val="0"/>
          <w:kern w:val="0"/>
        </w:rPr>
        <w:t>4.1因甲方原因提出导致增加【</w:t>
      </w:r>
      <w:r>
        <w:rPr>
          <w:rStyle w:val="36"/>
          <w:rFonts w:ascii="宋体" w:eastAsia="宋体"/>
          <w:spacing w:val="0"/>
          <w:kern w:val="0"/>
        </w:rPr>
        <w:t>2</w:t>
      </w:r>
      <w:r>
        <w:rPr>
          <w:rStyle w:val="36"/>
          <w:rFonts w:hint="eastAsia" w:ascii="宋体" w:eastAsia="宋体"/>
          <w:spacing w:val="0"/>
          <w:kern w:val="0"/>
        </w:rPr>
        <w:t>】∕人∕月以上工作量的需求变更，</w:t>
      </w:r>
      <w:r>
        <w:rPr>
          <w:rFonts w:hint="eastAsia" w:ascii="宋体" w:eastAsia="宋体"/>
          <w:spacing w:val="0"/>
        </w:rPr>
        <w:t>须通知乙方并由乙方确认</w:t>
      </w:r>
      <w:r>
        <w:rPr>
          <w:rStyle w:val="36"/>
          <w:rFonts w:hint="eastAsia" w:ascii="宋体" w:eastAsia="宋体"/>
          <w:spacing w:val="0"/>
          <w:kern w:val="0"/>
        </w:rPr>
        <w:t>，对此</w:t>
      </w:r>
      <w:r>
        <w:rPr>
          <w:rFonts w:hint="eastAsia" w:ascii="宋体" w:eastAsia="宋体"/>
          <w:spacing w:val="0"/>
        </w:rPr>
        <w:t>变更给乙方带来的额外劳动部分甲乙双方协商解决，由此变更导致项目进度延期不构成违约。但4.2款确认的，由乙方原因引起的工作量，甲方无需承担任何费用。</w:t>
      </w:r>
    </w:p>
    <w:p>
      <w:pPr>
        <w:spacing w:line="360" w:lineRule="auto"/>
        <w:ind w:firstLine="480" w:firstLineChars="200"/>
        <w:rPr>
          <w:rFonts w:ascii="宋体" w:eastAsia="宋体"/>
          <w:spacing w:val="0"/>
        </w:rPr>
      </w:pPr>
      <w:r>
        <w:rPr>
          <w:rFonts w:hint="eastAsia" w:ascii="宋体" w:eastAsia="宋体"/>
          <w:spacing w:val="0"/>
        </w:rPr>
        <w:t>4.2 方案一经双方确认，任何一方有方案调整意见，均需与对方签字确认。</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第五条 验收</w:t>
      </w:r>
    </w:p>
    <w:p>
      <w:pPr>
        <w:pStyle w:val="9"/>
        <w:spacing w:before="50" w:beforeLines="0" w:line="360" w:lineRule="auto"/>
        <w:ind w:left="0" w:leftChars="0" w:firstLine="480" w:firstLineChars="200"/>
        <w:rPr>
          <w:rFonts w:ascii="宋体" w:eastAsia="宋体"/>
          <w:spacing w:val="0"/>
          <w:kern w:val="0"/>
        </w:rPr>
      </w:pPr>
      <w:r>
        <w:rPr>
          <w:rFonts w:hint="eastAsia" w:ascii="宋体" w:eastAsia="宋体"/>
          <w:spacing w:val="0"/>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spacing w:val="0"/>
          <w:kern w:val="0"/>
        </w:rPr>
        <w:t>本合同中的系统出现的任何问题，乙方应及时解决，保证试运行期间的稳定运行；试运行期间若出现</w:t>
      </w:r>
      <w:r>
        <w:rPr>
          <w:rFonts w:hint="eastAsia" w:ascii="宋体" w:eastAsia="宋体" w:cs="宋体"/>
          <w:bCs/>
          <w:spacing w:val="0"/>
          <w:kern w:val="0"/>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rPr>
        <w:t>在符合甲方项目预期目标且试运行满</w:t>
      </w:r>
      <w:r>
        <w:rPr>
          <w:rFonts w:hint="eastAsia" w:ascii="宋体" w:eastAsia="宋体"/>
          <w:spacing w:val="0"/>
          <w:kern w:val="0"/>
          <w:u w:val="single"/>
        </w:rPr>
        <w:t>三个月</w:t>
      </w:r>
      <w:r>
        <w:rPr>
          <w:rFonts w:hint="eastAsia" w:ascii="宋体" w:eastAsia="宋体"/>
          <w:spacing w:val="0"/>
          <w:kern w:val="0"/>
        </w:rPr>
        <w:t>后，由甲方按照合同约定进行正式验收，验收通过后签署验收表或验收报告。</w:t>
      </w:r>
    </w:p>
    <w:p>
      <w:pPr>
        <w:pStyle w:val="9"/>
        <w:spacing w:before="50" w:beforeLines="0" w:line="360" w:lineRule="auto"/>
        <w:ind w:left="0" w:leftChars="0" w:firstLine="480" w:firstLineChars="200"/>
        <w:rPr>
          <w:rFonts w:ascii="宋体" w:eastAsia="宋体"/>
          <w:spacing w:val="0"/>
          <w:kern w:val="0"/>
        </w:rPr>
      </w:pPr>
      <w:r>
        <w:rPr>
          <w:rFonts w:hint="eastAsia" w:ascii="宋体" w:eastAsia="宋体"/>
          <w:spacing w:val="0"/>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pPr>
        <w:pStyle w:val="9"/>
        <w:spacing w:before="50" w:beforeLines="0" w:line="360" w:lineRule="auto"/>
        <w:ind w:left="0" w:leftChars="0" w:firstLine="480" w:firstLineChars="200"/>
        <w:rPr>
          <w:rStyle w:val="36"/>
          <w:rFonts w:ascii="宋体" w:eastAsia="宋体"/>
          <w:spacing w:val="0"/>
          <w:kern w:val="0"/>
        </w:rPr>
      </w:pPr>
    </w:p>
    <w:p>
      <w:pPr>
        <w:rPr>
          <w:rFonts w:ascii="宋体" w:eastAsia="宋体"/>
          <w:b/>
          <w:spacing w:val="0"/>
        </w:rPr>
      </w:pPr>
      <w:r>
        <w:rPr>
          <w:rFonts w:hint="eastAsia" w:ascii="宋体" w:eastAsia="宋体"/>
          <w:b/>
          <w:spacing w:val="0"/>
        </w:rPr>
        <w:t>第六条 交付使用后维护期、系统完善和保修维护服务</w:t>
      </w:r>
    </w:p>
    <w:p>
      <w:pPr>
        <w:tabs>
          <w:tab w:val="left" w:pos="851"/>
        </w:tabs>
        <w:spacing w:line="360" w:lineRule="auto"/>
        <w:ind w:firstLine="480" w:firstLineChars="200"/>
        <w:rPr>
          <w:rFonts w:ascii="宋体" w:eastAsia="宋体"/>
          <w:spacing w:val="0"/>
        </w:rPr>
      </w:pPr>
      <w:r>
        <w:rPr>
          <w:rFonts w:hint="eastAsia" w:ascii="宋体" w:eastAsia="宋体"/>
          <w:spacing w:val="0"/>
        </w:rPr>
        <w:t>6.1本合同金额包含【】年维护，维护期为自本产品</w:t>
      </w:r>
      <w:r>
        <w:rPr>
          <w:rFonts w:hint="eastAsia" w:ascii="宋体" w:eastAsia="宋体"/>
          <w:spacing w:val="0"/>
          <w:kern w:val="0"/>
        </w:rPr>
        <w:t>正式</w:t>
      </w:r>
      <w:r>
        <w:rPr>
          <w:rFonts w:hint="eastAsia" w:ascii="宋体" w:eastAsia="宋体"/>
          <w:spacing w:val="0"/>
        </w:rPr>
        <w:t>验收合格后次日至次年并延期至6月30日或12月31日中较近日期（即维保延期最长不超过半年）。</w:t>
      </w:r>
    </w:p>
    <w:p>
      <w:pPr>
        <w:tabs>
          <w:tab w:val="left" w:pos="851"/>
        </w:tabs>
        <w:spacing w:line="360" w:lineRule="auto"/>
        <w:ind w:firstLine="480" w:firstLineChars="200"/>
        <w:rPr>
          <w:rFonts w:ascii="宋体" w:eastAsia="宋体"/>
          <w:spacing w:val="0"/>
        </w:rPr>
      </w:pPr>
      <w:r>
        <w:rPr>
          <w:rFonts w:hint="eastAsia" w:ascii="宋体" w:eastAsia="宋体"/>
          <w:spacing w:val="0"/>
        </w:rPr>
        <w:t>6.2本合同产品的有偿技术服务期为本合同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维护期到期之日起</w:t>
      </w:r>
      <w:r>
        <w:rPr>
          <w:rFonts w:hint="eastAsia" w:ascii="宋体" w:eastAsia="宋体"/>
          <w:spacing w:val="0"/>
          <w:u w:val="single"/>
        </w:rPr>
        <w:t>10</w:t>
      </w:r>
      <w:r>
        <w:rPr>
          <w:rFonts w:hint="eastAsia" w:ascii="宋体" w:eastAsia="宋体"/>
          <w:spacing w:val="0"/>
        </w:rPr>
        <w:t>年。本项目产品服务期内（包括本合同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维护期与有偿技术服务期）如甲方对照附件一发现项目存在技术缺陷和隐蔽瑕疵，乙方应负责予以解决并应承担相应法律责任。</w:t>
      </w:r>
    </w:p>
    <w:p>
      <w:pPr>
        <w:spacing w:line="360" w:lineRule="auto"/>
        <w:ind w:firstLine="480" w:firstLineChars="200"/>
        <w:rPr>
          <w:rFonts w:ascii="宋体" w:eastAsia="宋体"/>
          <w:spacing w:val="0"/>
        </w:rPr>
      </w:pPr>
      <w:r>
        <w:rPr>
          <w:rFonts w:hint="eastAsia" w:ascii="宋体" w:eastAsia="宋体"/>
          <w:spacing w:val="0"/>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pPr>
        <w:spacing w:line="360" w:lineRule="auto"/>
        <w:ind w:firstLine="480" w:firstLineChars="200"/>
        <w:rPr>
          <w:rFonts w:ascii="宋体" w:eastAsia="宋体"/>
          <w:spacing w:val="0"/>
        </w:rPr>
      </w:pPr>
      <w:r>
        <w:rPr>
          <w:rFonts w:hint="eastAsia" w:ascii="宋体" w:eastAsia="宋体"/>
          <w:spacing w:val="0"/>
        </w:rPr>
        <w:t>6.4 维护服务期内（包括本合同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维护期与有偿技术服务期）的服务内容和服务方式详见附件四《维护服务条款》。</w:t>
      </w:r>
    </w:p>
    <w:p>
      <w:pPr>
        <w:spacing w:line="360" w:lineRule="auto"/>
        <w:ind w:firstLine="480" w:firstLineChars="200"/>
        <w:rPr>
          <w:rFonts w:ascii="宋体" w:eastAsia="宋体"/>
          <w:spacing w:val="0"/>
        </w:rPr>
      </w:pPr>
      <w:r>
        <w:rPr>
          <w:rFonts w:hint="eastAsia" w:ascii="宋体" w:eastAsia="宋体"/>
          <w:spacing w:val="0"/>
        </w:rPr>
        <w:t>6.5上述服务，不包括由下列事件引起的故障：</w:t>
      </w:r>
    </w:p>
    <w:p>
      <w:pPr>
        <w:spacing w:line="360" w:lineRule="auto"/>
        <w:ind w:firstLine="480" w:firstLineChars="200"/>
        <w:rPr>
          <w:rFonts w:ascii="宋体" w:eastAsia="宋体"/>
          <w:spacing w:val="0"/>
        </w:rPr>
      </w:pPr>
      <w:r>
        <w:rPr>
          <w:rFonts w:hint="eastAsia" w:ascii="宋体" w:eastAsia="宋体"/>
          <w:spacing w:val="0"/>
        </w:rPr>
        <w:t>6.5.1 未能为系统提供适当的外部环境-如必要的系统环境、必要的管理体系、未能按照乙方要求配备资源等。</w:t>
      </w:r>
    </w:p>
    <w:p>
      <w:pPr>
        <w:spacing w:line="360" w:lineRule="auto"/>
        <w:ind w:firstLine="480" w:firstLineChars="200"/>
        <w:rPr>
          <w:rFonts w:ascii="宋体" w:eastAsia="宋体"/>
          <w:spacing w:val="0"/>
        </w:rPr>
      </w:pPr>
      <w:r>
        <w:rPr>
          <w:rFonts w:hint="eastAsia" w:ascii="宋体" w:eastAsia="宋体"/>
          <w:spacing w:val="0"/>
        </w:rPr>
        <w:t>6.5.2 使用并非由乙方提供的产品或服务。</w:t>
      </w:r>
    </w:p>
    <w:p>
      <w:pPr>
        <w:spacing w:line="360" w:lineRule="auto"/>
        <w:ind w:firstLine="480" w:firstLineChars="200"/>
        <w:rPr>
          <w:rFonts w:ascii="宋体" w:eastAsia="宋体"/>
          <w:spacing w:val="0"/>
        </w:rPr>
      </w:pPr>
      <w:r>
        <w:rPr>
          <w:rFonts w:hint="eastAsia" w:ascii="宋体" w:eastAsia="宋体"/>
          <w:spacing w:val="0"/>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spacing w:val="0"/>
          <w:u w:val="single"/>
        </w:rPr>
        <w:t xml:space="preserve"> 3 </w:t>
      </w:r>
      <w:r>
        <w:rPr>
          <w:rFonts w:hint="eastAsia" w:ascii="宋体" w:eastAsia="宋体"/>
          <w:spacing w:val="0"/>
        </w:rPr>
        <w:t>日内不到甲方现场进行检修，或在收到甲方通知后</w:t>
      </w:r>
      <w:r>
        <w:rPr>
          <w:rFonts w:hint="eastAsia" w:ascii="宋体" w:eastAsia="宋体"/>
          <w:spacing w:val="0"/>
          <w:u w:val="single"/>
        </w:rPr>
        <w:t xml:space="preserve"> 10 </w:t>
      </w:r>
      <w:r>
        <w:rPr>
          <w:rFonts w:hint="eastAsia" w:ascii="宋体" w:eastAsia="宋体"/>
          <w:spacing w:val="0"/>
        </w:rPr>
        <w:t>日内仍不能纠正不符之处的，甲方有权采取其他措施（包括聘请第三方替代履行）以减少损失，由此产生的费用及相关损失由乙方负责。乙方承</w:t>
      </w:r>
    </w:p>
    <w:p>
      <w:pPr>
        <w:spacing w:line="360" w:lineRule="auto"/>
        <w:rPr>
          <w:rFonts w:ascii="宋体" w:eastAsia="宋体"/>
          <w:spacing w:val="0"/>
        </w:rPr>
      </w:pPr>
      <w:r>
        <w:rPr>
          <w:rFonts w:hint="eastAsia" w:ascii="宋体" w:eastAsia="宋体"/>
          <w:spacing w:val="0"/>
        </w:rPr>
        <w:t>诺，甲方采取上述措施不必征得乙方事先同意，且不构成对乙方的任何侵权。</w:t>
      </w:r>
    </w:p>
    <w:p>
      <w:pPr>
        <w:spacing w:line="360" w:lineRule="auto"/>
        <w:ind w:firstLine="480" w:firstLineChars="200"/>
        <w:rPr>
          <w:rFonts w:ascii="宋体" w:eastAsia="宋体"/>
          <w:spacing w:val="0"/>
        </w:rPr>
      </w:pPr>
      <w:r>
        <w:rPr>
          <w:rFonts w:hint="eastAsia" w:ascii="宋体" w:eastAsia="宋体"/>
          <w:spacing w:val="0"/>
        </w:rPr>
        <w:t>6</w:t>
      </w:r>
      <w:r>
        <w:rPr>
          <w:rStyle w:val="36"/>
          <w:rFonts w:hint="eastAsia" w:ascii="宋体" w:eastAsia="宋体"/>
          <w:spacing w:val="0"/>
          <w:kern w:val="0"/>
        </w:rPr>
        <w:t xml:space="preserve">.7 </w:t>
      </w:r>
      <w:r>
        <w:rPr>
          <w:rFonts w:hint="eastAsia" w:ascii="宋体" w:eastAsia="宋体"/>
          <w:spacing w:val="0"/>
        </w:rPr>
        <w:t>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维护期结束后的</w:t>
      </w:r>
      <w:r>
        <w:rPr>
          <w:rFonts w:hint="eastAsia" w:ascii="宋体" w:eastAsia="宋体"/>
          <w:spacing w:val="0"/>
          <w:u w:val="single"/>
        </w:rPr>
        <w:t>10年</w:t>
      </w:r>
      <w:r>
        <w:rPr>
          <w:rFonts w:hint="eastAsia" w:ascii="宋体" w:eastAsia="宋体"/>
          <w:spacing w:val="0"/>
        </w:rPr>
        <w:t>有偿技术服务期内，</w:t>
      </w:r>
      <w:r>
        <w:rPr>
          <w:rStyle w:val="36"/>
          <w:rFonts w:hint="eastAsia" w:ascii="宋体" w:eastAsia="宋体"/>
          <w:spacing w:val="0"/>
          <w:kern w:val="0"/>
        </w:rPr>
        <w:t>如</w:t>
      </w:r>
      <w:r>
        <w:rPr>
          <w:rFonts w:hint="eastAsia" w:ascii="宋体" w:eastAsia="宋体"/>
          <w:spacing w:val="0"/>
        </w:rPr>
        <w:t>甲方需要乙方提供维护服务,乙方应予提供。双方确认，甲方有权选择是否购买维护，乙方无权要求甲方对未使用维护服务的期间支付费用。</w:t>
      </w:r>
    </w:p>
    <w:p>
      <w:pPr>
        <w:spacing w:line="360" w:lineRule="auto"/>
        <w:ind w:firstLine="480" w:firstLineChars="200"/>
        <w:rPr>
          <w:rFonts w:ascii="宋体" w:eastAsia="宋体"/>
          <w:b/>
          <w:spacing w:val="0"/>
        </w:rPr>
      </w:pPr>
      <w:r>
        <w:rPr>
          <w:rFonts w:hint="eastAsia" w:ascii="宋体" w:eastAsia="宋体"/>
          <w:spacing w:val="0"/>
        </w:rPr>
        <w:t>6.8 维护期结束后</w:t>
      </w:r>
      <w:r>
        <w:rPr>
          <w:rStyle w:val="36"/>
          <w:rFonts w:hint="eastAsia" w:ascii="宋体" w:eastAsia="宋体"/>
          <w:spacing w:val="0"/>
          <w:kern w:val="0"/>
        </w:rPr>
        <w:t>有偿技术服务期</w:t>
      </w:r>
      <w:r>
        <w:rPr>
          <w:rFonts w:hint="eastAsia" w:ascii="宋体" w:eastAsia="宋体"/>
          <w:spacing w:val="0"/>
        </w:rPr>
        <w:t>每年的维护价格【不超过/为】</w:t>
      </w:r>
      <w:r>
        <w:rPr>
          <w:rFonts w:hint="eastAsia" w:ascii="宋体" w:eastAsia="宋体"/>
          <w:iCs/>
          <w:color w:val="FF0000"/>
          <w:spacing w:val="0"/>
          <w:u w:val="single"/>
        </w:rPr>
        <w:t>合同总额的【8%】</w:t>
      </w:r>
      <w:r>
        <w:rPr>
          <w:rFonts w:hint="eastAsia" w:ascii="宋体" w:eastAsia="宋体"/>
          <w:spacing w:val="0"/>
        </w:rPr>
        <w:t>，具体服务内容详见附件四《维护服务条款》。有偿技术服务期的服务水平不低于附件四承诺的维护期的服务水平。</w:t>
      </w:r>
      <w:r>
        <w:rPr>
          <w:rFonts w:hint="eastAsia" w:ascii="宋体" w:eastAsia="宋体"/>
          <w:b/>
          <w:spacing w:val="0"/>
        </w:rPr>
        <w:t>后续改造类项目维护费用以系统首期建设合同（即本合同）约定为准，不得叠加、单独收取。</w:t>
      </w:r>
    </w:p>
    <w:p>
      <w:pPr>
        <w:spacing w:line="360" w:lineRule="auto"/>
        <w:ind w:firstLine="482" w:firstLineChars="200"/>
        <w:rPr>
          <w:rFonts w:ascii="宋体" w:eastAsia="宋体"/>
          <w:b/>
          <w:spacing w:val="0"/>
        </w:rPr>
      </w:pPr>
      <w:r>
        <w:rPr>
          <w:rFonts w:hint="eastAsia" w:ascii="宋体" w:eastAsia="宋体"/>
          <w:b/>
          <w:spacing w:val="0"/>
        </w:rPr>
        <w:t>本合同为改造类项目合同，后续维保费用以系统首期建设合同（可注明首期建设合同名称及编号）约定为准，不得叠加、单独收取。</w:t>
      </w:r>
    </w:p>
    <w:p>
      <w:pPr>
        <w:spacing w:line="360" w:lineRule="auto"/>
        <w:ind w:firstLine="480" w:firstLineChars="200"/>
        <w:rPr>
          <w:rFonts w:ascii="宋体" w:eastAsia="宋体"/>
          <w:spacing w:val="0"/>
        </w:rPr>
      </w:pPr>
      <w:r>
        <w:rPr>
          <w:rFonts w:hint="eastAsia" w:ascii="宋体" w:eastAsia="宋体"/>
          <w:spacing w:val="0"/>
        </w:rPr>
        <w:t>6.9本合同并非维护期结束后的维护服务合同，有偿技术服务的合同由双方另行签订。</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第七条 技术辅导与培训</w:t>
      </w:r>
    </w:p>
    <w:p>
      <w:pPr>
        <w:pStyle w:val="13"/>
        <w:spacing w:before="50" w:beforeLines="0" w:line="360" w:lineRule="auto"/>
        <w:ind w:firstLine="560" w:firstLineChars="0"/>
        <w:rPr>
          <w:rFonts w:ascii="宋体" w:eastAsia="宋体"/>
          <w:spacing w:val="0"/>
        </w:rPr>
      </w:pPr>
      <w:r>
        <w:rPr>
          <w:rFonts w:hint="eastAsia" w:ascii="宋体" w:eastAsia="宋体"/>
          <w:spacing w:val="0"/>
        </w:rPr>
        <w:t>乙方应负责向甲方提供技术辅导与培训，以使甲方人员熟练掌握该项目产品的应用和日常维护。培训内容包括：</w:t>
      </w:r>
      <w:r>
        <w:rPr>
          <w:rFonts w:ascii="宋体" w:eastAsia="宋体"/>
          <w:spacing w:val="0"/>
        </w:rPr>
        <w:t>业务操作培训、系统架构培训、运行维护培训等。</w:t>
      </w:r>
      <w:r>
        <w:rPr>
          <w:rFonts w:hint="eastAsia" w:ascii="宋体" w:eastAsia="宋体"/>
          <w:spacing w:val="0"/>
        </w:rPr>
        <w:t>具体培训内容由双方共同商定，并由甲方项目经理签字确认。</w:t>
      </w:r>
    </w:p>
    <w:p>
      <w:pPr>
        <w:pStyle w:val="13"/>
        <w:spacing w:before="50" w:beforeLines="0" w:line="360" w:lineRule="auto"/>
        <w:rPr>
          <w:rFonts w:ascii="宋体" w:eastAsia="宋体"/>
          <w:spacing w:val="0"/>
        </w:rPr>
      </w:pPr>
    </w:p>
    <w:p>
      <w:pPr>
        <w:rPr>
          <w:rFonts w:ascii="宋体" w:eastAsia="宋体"/>
          <w:b/>
          <w:spacing w:val="0"/>
        </w:rPr>
      </w:pPr>
      <w:r>
        <w:rPr>
          <w:rFonts w:hint="eastAsia" w:ascii="宋体" w:eastAsia="宋体"/>
          <w:b/>
          <w:spacing w:val="0"/>
        </w:rPr>
        <w:t>第八条 双方的权利、义务</w:t>
      </w:r>
    </w:p>
    <w:p>
      <w:pPr>
        <w:spacing w:line="360" w:lineRule="auto"/>
        <w:ind w:firstLine="480" w:firstLineChars="200"/>
        <w:rPr>
          <w:rFonts w:ascii="宋体" w:eastAsia="宋体"/>
          <w:spacing w:val="0"/>
        </w:rPr>
      </w:pPr>
      <w:r>
        <w:rPr>
          <w:rFonts w:hint="eastAsia" w:ascii="宋体" w:eastAsia="宋体"/>
          <w:spacing w:val="0"/>
        </w:rPr>
        <w:t>8.1除本合同其他条款外，甲方应承担如下义务：</w:t>
      </w:r>
    </w:p>
    <w:p>
      <w:pPr>
        <w:spacing w:line="360" w:lineRule="auto"/>
        <w:ind w:firstLine="480" w:firstLineChars="200"/>
        <w:rPr>
          <w:rFonts w:ascii="宋体" w:eastAsia="宋体"/>
          <w:spacing w:val="0"/>
        </w:rPr>
      </w:pPr>
      <w:r>
        <w:rPr>
          <w:rFonts w:hint="eastAsia" w:ascii="宋体" w:eastAsia="宋体"/>
          <w:spacing w:val="0"/>
        </w:rPr>
        <w:t>8.1.1 按照本合同第十三条的规定向乙方支付报酬。</w:t>
      </w:r>
    </w:p>
    <w:p>
      <w:pPr>
        <w:spacing w:line="360" w:lineRule="auto"/>
        <w:ind w:firstLine="480" w:firstLineChars="200"/>
        <w:rPr>
          <w:rFonts w:ascii="宋体" w:eastAsia="宋体"/>
          <w:spacing w:val="0"/>
        </w:rPr>
      </w:pPr>
      <w:r>
        <w:rPr>
          <w:rFonts w:hint="eastAsia" w:ascii="宋体" w:eastAsia="宋体"/>
          <w:spacing w:val="0"/>
        </w:rPr>
        <w:t>8.1.2 向乙方提供本合同约定的业务协作：如参与各方的资源协调与进度管理、商务保障、项目环境保障等，确保参与各方按期、按质协同工作。</w:t>
      </w:r>
    </w:p>
    <w:p>
      <w:pPr>
        <w:spacing w:line="360" w:lineRule="auto"/>
        <w:ind w:firstLine="480" w:firstLineChars="200"/>
        <w:rPr>
          <w:rFonts w:ascii="宋体" w:eastAsia="宋体"/>
          <w:spacing w:val="0"/>
        </w:rPr>
      </w:pPr>
      <w:r>
        <w:rPr>
          <w:rFonts w:hint="eastAsia" w:ascii="宋体" w:eastAsia="宋体"/>
          <w:spacing w:val="0"/>
        </w:rPr>
        <w:t>8.1.3 指派一名项目主要负责人参加甲、乙双方为本项目召开的会议并协调相关工作和签署有关文件。</w:t>
      </w:r>
    </w:p>
    <w:p>
      <w:pPr>
        <w:spacing w:line="360" w:lineRule="auto"/>
        <w:ind w:firstLine="480" w:firstLineChars="200"/>
        <w:rPr>
          <w:rFonts w:ascii="宋体" w:eastAsia="宋体"/>
          <w:spacing w:val="0"/>
        </w:rPr>
      </w:pPr>
      <w:r>
        <w:rPr>
          <w:rFonts w:hint="eastAsia" w:ascii="宋体" w:eastAsia="宋体"/>
          <w:spacing w:val="0"/>
        </w:rPr>
        <w:t>8.1.4 甲方为乙方解决现场人员正常开展工作的开发测试系统环境和场地。</w:t>
      </w:r>
    </w:p>
    <w:p>
      <w:pPr>
        <w:spacing w:line="360" w:lineRule="auto"/>
        <w:ind w:firstLine="480" w:firstLineChars="200"/>
        <w:rPr>
          <w:rFonts w:ascii="宋体" w:eastAsia="宋体"/>
          <w:spacing w:val="0"/>
        </w:rPr>
      </w:pPr>
      <w:r>
        <w:rPr>
          <w:rFonts w:hint="eastAsia" w:ascii="宋体" w:eastAsia="宋体"/>
          <w:spacing w:val="0"/>
        </w:rPr>
        <w:t>8.2除本合同其他条款外，乙方应承担如下义务：</w:t>
      </w:r>
    </w:p>
    <w:p>
      <w:pPr>
        <w:pStyle w:val="11"/>
        <w:tabs>
          <w:tab w:val="left" w:pos="0"/>
        </w:tabs>
        <w:spacing w:line="360" w:lineRule="auto"/>
        <w:ind w:left="-2" w:leftChars="-1" w:firstLine="480" w:firstLineChars="20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pPr>
        <w:spacing w:line="360" w:lineRule="auto"/>
        <w:ind w:firstLine="480" w:firstLineChars="200"/>
        <w:rPr>
          <w:rFonts w:ascii="宋体" w:eastAsia="宋体"/>
          <w:spacing w:val="0"/>
        </w:rPr>
      </w:pPr>
      <w:r>
        <w:rPr>
          <w:rFonts w:hint="eastAsia" w:ascii="宋体" w:eastAsia="宋体"/>
          <w:spacing w:val="0"/>
        </w:rPr>
        <w:t>8.2.2 按照本合同附件一的要求，采取一切必要的措施完成实施任务，保证项目的功能满足本项目需求，并确保在实施过程中严格执行版本过程化管理，配合甲方《软件研发项目实施细则》提供交付物</w:t>
      </w:r>
    </w:p>
    <w:p>
      <w:pPr>
        <w:spacing w:line="360" w:lineRule="auto"/>
        <w:ind w:firstLine="480" w:firstLineChars="200"/>
        <w:rPr>
          <w:rFonts w:ascii="宋体" w:eastAsia="宋体"/>
          <w:spacing w:val="0"/>
        </w:rPr>
      </w:pPr>
      <w:r>
        <w:rPr>
          <w:rFonts w:hint="eastAsia" w:ascii="宋体" w:eastAsia="宋体"/>
          <w:spacing w:val="0"/>
        </w:rPr>
        <w:t>8.2.3 负责在甲方的环境内安装并调试实施项目。</w:t>
      </w:r>
    </w:p>
    <w:p>
      <w:pPr>
        <w:spacing w:line="360" w:lineRule="auto"/>
        <w:ind w:firstLine="480" w:firstLineChars="200"/>
        <w:rPr>
          <w:rFonts w:ascii="宋体" w:eastAsia="宋体"/>
          <w:spacing w:val="0"/>
        </w:rPr>
      </w:pPr>
      <w:r>
        <w:rPr>
          <w:rFonts w:hint="eastAsia" w:ascii="宋体" w:eastAsia="宋体"/>
          <w:spacing w:val="0"/>
        </w:rPr>
        <w:t>8.2.4 指派一名项目主要负责人参加甲、乙双方为本项目召开的会议并协调相关工作和签署有关文件。</w:t>
      </w:r>
    </w:p>
    <w:p>
      <w:pPr>
        <w:spacing w:line="360" w:lineRule="auto"/>
        <w:ind w:firstLine="480" w:firstLineChars="200"/>
        <w:rPr>
          <w:rFonts w:ascii="宋体" w:eastAsia="宋体"/>
          <w:spacing w:val="0"/>
        </w:rPr>
      </w:pPr>
      <w:r>
        <w:rPr>
          <w:rFonts w:hint="eastAsia" w:ascii="宋体" w:eastAsia="宋体"/>
          <w:spacing w:val="0"/>
        </w:rPr>
        <w:t>8.2.5指派独立于开发团队的测试人员负责项目系统测试，并承诺按照甲方质量管理要求完成项目系统测试、性能测试、安全测试等。</w:t>
      </w:r>
    </w:p>
    <w:p>
      <w:pPr>
        <w:spacing w:line="360" w:lineRule="auto"/>
        <w:ind w:firstLine="480" w:firstLineChars="200"/>
        <w:rPr>
          <w:rFonts w:ascii="宋体" w:eastAsia="宋体"/>
          <w:spacing w:val="0"/>
        </w:rPr>
      </w:pPr>
      <w:r>
        <w:rPr>
          <w:rFonts w:hint="eastAsia" w:ascii="宋体" w:eastAsia="宋体"/>
          <w:spacing w:val="0"/>
        </w:rPr>
        <w:t>8.2.6 按照本合同的约定向甲方提供相关技术资料并提供技术指导。</w:t>
      </w:r>
    </w:p>
    <w:p>
      <w:pPr>
        <w:spacing w:line="360" w:lineRule="auto"/>
        <w:ind w:firstLine="480" w:firstLineChars="200"/>
        <w:rPr>
          <w:rFonts w:ascii="宋体" w:eastAsia="宋体"/>
          <w:spacing w:val="0"/>
        </w:rPr>
      </w:pPr>
      <w:r>
        <w:rPr>
          <w:rFonts w:hint="eastAsia" w:ascii="宋体" w:eastAsia="宋体"/>
          <w:spacing w:val="0"/>
        </w:rPr>
        <w:t>8.2.7乙方需为甲方提供持续的项目风险识别和控制措施，并按甲方要求提供公司财务分析报告、项目进度报告以及重大事项报告等。</w:t>
      </w:r>
    </w:p>
    <w:p>
      <w:pPr>
        <w:spacing w:line="360" w:lineRule="auto"/>
        <w:ind w:firstLine="480" w:firstLineChars="200"/>
        <w:rPr>
          <w:rFonts w:ascii="宋体" w:eastAsia="宋体"/>
          <w:spacing w:val="0"/>
        </w:rPr>
      </w:pPr>
      <w:r>
        <w:rPr>
          <w:rFonts w:hint="eastAsia" w:ascii="宋体" w:eastAsia="宋体"/>
          <w:spacing w:val="0"/>
        </w:rPr>
        <w:t>8.2.8 乙方应该适时开展风险管理评估和第三方审计工作，应该接受甲方的审核、评估以及外包检查，并配合接受来自监管机构的各项检查，配合对监管意见做出相应的管理、服务、基础设施、软硬件等整改。</w:t>
      </w:r>
    </w:p>
    <w:p>
      <w:pPr>
        <w:spacing w:line="360" w:lineRule="auto"/>
        <w:ind w:firstLine="480" w:firstLineChars="200"/>
        <w:rPr>
          <w:rFonts w:ascii="宋体" w:eastAsia="宋体"/>
          <w:spacing w:val="0"/>
        </w:rPr>
      </w:pPr>
      <w:r>
        <w:rPr>
          <w:rFonts w:hint="eastAsia" w:ascii="宋体" w:eastAsia="宋体"/>
          <w:spacing w:val="0"/>
        </w:rPr>
        <w:t>8.2</w:t>
      </w:r>
      <w:r>
        <w:rPr>
          <w:rFonts w:ascii="宋体" w:eastAsia="宋体"/>
          <w:spacing w:val="0"/>
        </w:rPr>
        <w:t>.</w:t>
      </w:r>
      <w:r>
        <w:rPr>
          <w:rFonts w:hint="eastAsia" w:ascii="宋体" w:eastAsia="宋体"/>
          <w:spacing w:val="0"/>
        </w:rPr>
        <w:t>9</w:t>
      </w:r>
      <w:r>
        <w:rPr>
          <w:rFonts w:ascii="宋体" w:eastAsia="宋体"/>
          <w:spacing w:val="0"/>
        </w:rPr>
        <w:t xml:space="preserve"> 乙方应针对服务内容为甲方制定业务连续性计划和应急计划并维护好相关资源</w:t>
      </w:r>
      <w:r>
        <w:rPr>
          <w:rFonts w:hint="eastAsia" w:ascii="宋体" w:eastAsia="宋体"/>
          <w:spacing w:val="0"/>
        </w:rPr>
        <w:t>，</w:t>
      </w:r>
      <w:r>
        <w:rPr>
          <w:rFonts w:ascii="宋体" w:eastAsia="宋体"/>
          <w:spacing w:val="0"/>
        </w:rPr>
        <w:t>在服务质量不能满足合同要求时</w:t>
      </w:r>
      <w:r>
        <w:rPr>
          <w:rFonts w:hint="eastAsia" w:ascii="宋体" w:eastAsia="宋体"/>
          <w:spacing w:val="0"/>
        </w:rPr>
        <w:t>，甲方具有</w:t>
      </w:r>
      <w:r>
        <w:rPr>
          <w:rFonts w:ascii="宋体" w:eastAsia="宋体"/>
          <w:spacing w:val="0"/>
        </w:rPr>
        <w:t>优先获取服务资源的权利</w:t>
      </w:r>
      <w:r>
        <w:rPr>
          <w:rFonts w:hint="eastAsia" w:ascii="宋体" w:eastAsia="宋体"/>
          <w:spacing w:val="0"/>
        </w:rPr>
        <w:t>。</w:t>
      </w:r>
    </w:p>
    <w:p>
      <w:pPr>
        <w:spacing w:line="360" w:lineRule="auto"/>
        <w:ind w:firstLine="480" w:firstLineChars="200"/>
        <w:rPr>
          <w:rFonts w:ascii="宋体" w:eastAsia="宋体"/>
          <w:spacing w:val="0"/>
        </w:rPr>
      </w:pPr>
      <w:r>
        <w:rPr>
          <w:rFonts w:hint="eastAsia" w:ascii="宋体" w:eastAsia="宋体"/>
          <w:spacing w:val="0"/>
        </w:rPr>
        <w:t>8.2.10 乙方应当自己完成本合同项下的开发、测试或维护等工作，而不得分包给任何第三方，也不得进行转包或变相转包。</w:t>
      </w:r>
    </w:p>
    <w:p>
      <w:pPr>
        <w:spacing w:line="360" w:lineRule="auto"/>
        <w:ind w:firstLine="480" w:firstLineChars="200"/>
        <w:rPr>
          <w:rFonts w:ascii="宋体" w:eastAsia="宋体"/>
          <w:bCs/>
          <w:spacing w:val="0"/>
        </w:rPr>
      </w:pPr>
      <w:r>
        <w:rPr>
          <w:rFonts w:ascii="宋体" w:eastAsia="宋体"/>
          <w:spacing w:val="0"/>
        </w:rPr>
        <w:t xml:space="preserve">8.2.11 </w:t>
      </w:r>
      <w:r>
        <w:rPr>
          <w:rFonts w:ascii="宋体" w:eastAsia="宋体"/>
          <w:bCs/>
          <w:spacing w:val="0"/>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第九条 乙方的声明与保证</w:t>
      </w:r>
    </w:p>
    <w:p>
      <w:pPr>
        <w:spacing w:line="360" w:lineRule="auto"/>
        <w:ind w:firstLine="480" w:firstLineChars="200"/>
        <w:rPr>
          <w:rFonts w:ascii="宋体" w:eastAsia="宋体"/>
          <w:spacing w:val="0"/>
        </w:rPr>
      </w:pPr>
      <w:r>
        <w:rPr>
          <w:rFonts w:hint="eastAsia" w:ascii="宋体" w:eastAsia="宋体"/>
          <w:spacing w:val="0"/>
        </w:rPr>
        <w:t>乙方向甲方做出如下声明与保证：</w:t>
      </w:r>
    </w:p>
    <w:p>
      <w:pPr>
        <w:spacing w:line="360" w:lineRule="auto"/>
        <w:ind w:firstLine="480" w:firstLineChars="200"/>
        <w:rPr>
          <w:rFonts w:ascii="宋体" w:eastAsia="宋体"/>
          <w:spacing w:val="0"/>
        </w:rPr>
      </w:pPr>
      <w:r>
        <w:rPr>
          <w:rFonts w:hint="eastAsia" w:ascii="宋体" w:eastAsia="宋体"/>
          <w:spacing w:val="0"/>
        </w:rPr>
        <w:t>9.1乙方完全具有本合同项下项目实施的技术资质与实力，包括开发技术人员、硬件设施等。</w:t>
      </w:r>
    </w:p>
    <w:p>
      <w:pPr>
        <w:spacing w:line="360" w:lineRule="auto"/>
        <w:ind w:firstLine="480" w:firstLineChars="200"/>
        <w:rPr>
          <w:rFonts w:ascii="宋体" w:eastAsia="宋体"/>
          <w:spacing w:val="0"/>
        </w:rPr>
      </w:pPr>
      <w:r>
        <w:rPr>
          <w:rFonts w:hint="eastAsia" w:ascii="宋体" w:eastAsia="宋体"/>
          <w:spacing w:val="0"/>
        </w:rPr>
        <w:t>9.2乙方已对照本合同附件一中甲方确认的需求，确认乙方的设计方案已经涵盖了设计需求的各方面，并且乙方实施的产品是先进的、适用的、兼容的，能够满足甲方核心业务扩展的需求。</w:t>
      </w:r>
    </w:p>
    <w:p>
      <w:pPr>
        <w:spacing w:line="360" w:lineRule="auto"/>
        <w:ind w:firstLine="480" w:firstLineChars="200"/>
        <w:rPr>
          <w:rFonts w:ascii="宋体" w:eastAsia="宋体"/>
          <w:spacing w:val="0"/>
        </w:rPr>
      </w:pPr>
      <w:r>
        <w:rPr>
          <w:rStyle w:val="36"/>
          <w:rFonts w:hint="eastAsia" w:ascii="宋体" w:eastAsia="宋体"/>
          <w:spacing w:val="0"/>
          <w:kern w:val="0"/>
        </w:rPr>
        <w:t>9.3乙方在本项目中【使用】第三方</w:t>
      </w:r>
      <w:r>
        <w:rPr>
          <w:rStyle w:val="36"/>
          <w:rFonts w:ascii="宋体" w:eastAsia="宋体"/>
          <w:spacing w:val="0"/>
          <w:kern w:val="0"/>
        </w:rPr>
        <w:t>产品</w:t>
      </w:r>
      <w:r>
        <w:rPr>
          <w:rStyle w:val="36"/>
          <w:rFonts w:hint="eastAsia" w:ascii="宋体" w:eastAsia="宋体"/>
          <w:spacing w:val="0"/>
          <w:kern w:val="0"/>
        </w:rPr>
        <w:t>，</w:t>
      </w:r>
      <w:r>
        <w:rPr>
          <w:rStyle w:val="36"/>
          <w:rFonts w:ascii="宋体" w:eastAsia="宋体"/>
          <w:spacing w:val="0"/>
          <w:kern w:val="0"/>
        </w:rPr>
        <w:t>包括第三方</w:t>
      </w:r>
      <w:r>
        <w:rPr>
          <w:rStyle w:val="36"/>
          <w:rFonts w:hint="eastAsia" w:ascii="宋体" w:eastAsia="宋体"/>
          <w:spacing w:val="0"/>
          <w:kern w:val="0"/>
        </w:rPr>
        <w:t>SDK、小程序、软件、开源组件等，例：第三方SDK：XXXX、XXX；第三方小程序：XXX等。</w:t>
      </w:r>
      <w:r>
        <w:rPr>
          <w:rFonts w:hint="eastAsia" w:ascii="宋体" w:eastAsia="宋体"/>
          <w:spacing w:val="0"/>
        </w:rPr>
        <w:t>若乙方在项目中使用了第三方产品，乙方须按如下要求执行：</w:t>
      </w:r>
    </w:p>
    <w:p>
      <w:pPr>
        <w:spacing w:line="360" w:lineRule="auto"/>
        <w:ind w:firstLine="480" w:firstLineChars="200"/>
        <w:rPr>
          <w:rFonts w:ascii="宋体" w:eastAsia="宋体"/>
          <w:spacing w:val="0"/>
        </w:rPr>
      </w:pPr>
      <w:r>
        <w:rPr>
          <w:rFonts w:hint="eastAsia" w:ascii="宋体" w:eastAsia="宋体"/>
          <w:spacing w:val="0"/>
        </w:rPr>
        <w:t>（1）针对第三方SDK：乙方应开展安全评估和个人信息保护评估，并提供无中高风险的评估报告；</w:t>
      </w:r>
    </w:p>
    <w:p>
      <w:pPr>
        <w:spacing w:line="360" w:lineRule="auto"/>
        <w:ind w:firstLine="480" w:firstLineChars="200"/>
        <w:rPr>
          <w:rFonts w:ascii="宋体" w:eastAsia="宋体"/>
          <w:spacing w:val="0"/>
        </w:rPr>
      </w:pPr>
      <w:r>
        <w:rPr>
          <w:rFonts w:hint="eastAsia" w:ascii="宋体" w:eastAsia="宋体"/>
          <w:spacing w:val="0"/>
        </w:rPr>
        <w:t>（2）针对第三方小程序：乙方应开展安全评估，并提供无中高风险漏洞的安全评估报告。</w:t>
      </w:r>
    </w:p>
    <w:p>
      <w:pPr>
        <w:spacing w:line="360" w:lineRule="auto"/>
        <w:ind w:firstLine="480" w:firstLineChars="200"/>
        <w:rPr>
          <w:rStyle w:val="36"/>
          <w:rFonts w:ascii="宋体" w:eastAsia="宋体"/>
          <w:spacing w:val="0"/>
          <w:kern w:val="0"/>
        </w:rPr>
      </w:pPr>
      <w:r>
        <w:rPr>
          <w:rFonts w:hint="eastAsia" w:ascii="宋体" w:eastAsia="宋体"/>
          <w:spacing w:val="0"/>
        </w:rPr>
        <w:t>（</w:t>
      </w:r>
      <w:r>
        <w:rPr>
          <w:rFonts w:ascii="宋体" w:eastAsia="宋体"/>
          <w:spacing w:val="0"/>
        </w:rPr>
        <w:t>3</w:t>
      </w:r>
      <w:r>
        <w:rPr>
          <w:rFonts w:hint="eastAsia" w:ascii="宋体" w:eastAsia="宋体"/>
          <w:spacing w:val="0"/>
        </w:rPr>
        <w:t>）若</w:t>
      </w:r>
      <w:r>
        <w:rPr>
          <w:rStyle w:val="36"/>
          <w:rFonts w:hint="eastAsia" w:ascii="宋体" w:eastAsia="宋体"/>
          <w:spacing w:val="0"/>
          <w:kern w:val="0"/>
        </w:rPr>
        <w:t>第三方产品出现安全漏洞</w:t>
      </w:r>
      <w:r>
        <w:rPr>
          <w:rFonts w:hint="eastAsia" w:ascii="宋体" w:eastAsia="宋体"/>
          <w:spacing w:val="0"/>
        </w:rPr>
        <w:t>或违反个人信息保护相关法规，</w:t>
      </w:r>
      <w:r>
        <w:rPr>
          <w:rStyle w:val="36"/>
          <w:rFonts w:hint="eastAsia" w:ascii="宋体" w:eastAsia="宋体"/>
          <w:spacing w:val="0"/>
          <w:kern w:val="0"/>
        </w:rPr>
        <w:t>甲方有权要求乙方进行修复，若因此给甲方造成损失的，甲方有权随时向乙方追偿。</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9</w:t>
      </w:r>
      <w:r>
        <w:rPr>
          <w:rStyle w:val="36"/>
          <w:rFonts w:ascii="宋体" w:eastAsia="宋体"/>
          <w:spacing w:val="0"/>
          <w:kern w:val="0"/>
        </w:rPr>
        <w:t>.4</w:t>
      </w:r>
      <w:r>
        <w:rPr>
          <w:rStyle w:val="36"/>
          <w:rFonts w:hint="eastAsia" w:ascii="宋体" w:eastAsia="宋体"/>
          <w:spacing w:val="0"/>
          <w:kern w:val="0"/>
        </w:rPr>
        <w:t>乙方保证向甲方提供的项目产品（含第三方产品）的安全性、合规性，保证无恶意脚本、后门及恶意漏洞，不携带任何病毒，不越权收集、处理客户信息。</w:t>
      </w:r>
    </w:p>
    <w:p>
      <w:pPr>
        <w:spacing w:line="360" w:lineRule="auto"/>
        <w:ind w:firstLine="480" w:firstLineChars="200"/>
        <w:rPr>
          <w:rFonts w:ascii="宋体" w:eastAsia="宋体"/>
          <w:spacing w:val="0"/>
        </w:rPr>
      </w:pPr>
      <w:r>
        <w:rPr>
          <w:rFonts w:hint="eastAsia" w:ascii="宋体" w:eastAsia="宋体"/>
          <w:spacing w:val="0"/>
        </w:rPr>
        <w:t>9.5乙方向甲方提供的产品和服务不会有任何第三方主张权利，也不会侵害任何第三方的合法权益，包括知识产权。</w:t>
      </w:r>
    </w:p>
    <w:p>
      <w:pPr>
        <w:spacing w:line="360" w:lineRule="auto"/>
        <w:ind w:firstLine="480" w:firstLineChars="200"/>
        <w:rPr>
          <w:rFonts w:ascii="宋体" w:eastAsia="宋体"/>
          <w:spacing w:val="0"/>
        </w:rPr>
      </w:pPr>
      <w:r>
        <w:rPr>
          <w:rFonts w:hint="eastAsia" w:ascii="宋体" w:eastAsia="宋体"/>
          <w:spacing w:val="0"/>
        </w:rPr>
        <w:t>9.</w:t>
      </w:r>
      <w:r>
        <w:rPr>
          <w:rFonts w:ascii="宋体" w:eastAsia="宋体"/>
          <w:spacing w:val="0"/>
        </w:rPr>
        <w:t>6</w:t>
      </w:r>
      <w:r>
        <w:rPr>
          <w:rFonts w:hint="eastAsia" w:ascii="宋体" w:eastAsia="宋体"/>
          <w:spacing w:val="0"/>
        </w:rPr>
        <w:t>乙方保证遵守甲方《重庆三峡银行员工回避管理办法》中招录回避、任职回避、公务回避的相关要求。若发现乙方人员与甲方内部人员存在亲属关系，乙方应主动报告，并采取相应回避措施。</w:t>
      </w:r>
    </w:p>
    <w:p>
      <w:pPr>
        <w:spacing w:line="360" w:lineRule="auto"/>
        <w:ind w:firstLine="480" w:firstLineChars="200"/>
        <w:rPr>
          <w:rFonts w:ascii="宋体" w:eastAsia="宋体"/>
          <w:spacing w:val="0"/>
        </w:rPr>
      </w:pPr>
      <w:r>
        <w:rPr>
          <w:rFonts w:hint="eastAsia" w:ascii="宋体" w:eastAsia="宋体"/>
          <w:spacing w:val="0"/>
        </w:rPr>
        <w:t>9.</w:t>
      </w:r>
      <w:r>
        <w:rPr>
          <w:rFonts w:ascii="宋体" w:eastAsia="宋体"/>
          <w:spacing w:val="0"/>
        </w:rPr>
        <w:t>7</w:t>
      </w:r>
      <w:r>
        <w:rPr>
          <w:rFonts w:hint="eastAsia" w:ascii="宋体" w:eastAsia="宋体"/>
          <w:spacing w:val="0"/>
        </w:rPr>
        <w:t xml:space="preserve"> 乙方保证其人员无不良记录，服务商与其建立合法的雇佣关系，依法履行用工管理职责。</w:t>
      </w:r>
    </w:p>
    <w:p>
      <w:pPr>
        <w:spacing w:line="360" w:lineRule="auto"/>
        <w:ind w:firstLine="480" w:firstLineChars="200"/>
        <w:rPr>
          <w:rFonts w:ascii="宋体" w:eastAsia="宋体"/>
          <w:spacing w:val="0"/>
        </w:rPr>
      </w:pPr>
      <w:r>
        <w:rPr>
          <w:rFonts w:hint="eastAsia" w:ascii="宋体" w:eastAsia="宋体"/>
          <w:spacing w:val="0"/>
        </w:rPr>
        <w:t>9.</w:t>
      </w:r>
      <w:r>
        <w:rPr>
          <w:rFonts w:ascii="宋体" w:eastAsia="宋体"/>
          <w:spacing w:val="0"/>
        </w:rPr>
        <w:t>8</w:t>
      </w:r>
      <w:r>
        <w:rPr>
          <w:rFonts w:hint="eastAsia" w:ascii="宋体" w:eastAsia="宋体"/>
          <w:spacing w:val="0"/>
        </w:rPr>
        <w:t xml:space="preserve"> 乙方定期通报外包事项，及时通报外包突发性事件及解决情况。</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第十条 知识产权</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pPr>
        <w:spacing w:line="360" w:lineRule="auto"/>
        <w:ind w:firstLine="480" w:firstLineChars="200"/>
        <w:rPr>
          <w:rStyle w:val="36"/>
          <w:rFonts w:ascii="宋体" w:eastAsia="宋体"/>
          <w:spacing w:val="0"/>
        </w:rPr>
      </w:pPr>
      <w:r>
        <w:rPr>
          <w:rFonts w:ascii="宋体" w:eastAsia="宋体"/>
          <w:spacing w:val="0"/>
        </w:rPr>
        <w:t>10</w:t>
      </w:r>
      <w:r>
        <w:rPr>
          <w:rFonts w:hint="eastAsia" w:ascii="宋体" w:eastAsia="宋体"/>
          <w:spacing w:val="0"/>
        </w:rPr>
        <w:t>.</w:t>
      </w:r>
      <w:r>
        <w:rPr>
          <w:rFonts w:ascii="宋体" w:eastAsia="宋体"/>
          <w:spacing w:val="0"/>
        </w:rPr>
        <w:t xml:space="preserve">2 </w:t>
      </w:r>
      <w:r>
        <w:rPr>
          <w:rFonts w:hint="eastAsia" w:ascii="宋体" w:eastAsia="宋体"/>
          <w:spacing w:val="0"/>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pPr>
        <w:spacing w:line="360" w:lineRule="auto"/>
        <w:ind w:firstLine="480" w:firstLineChars="200"/>
        <w:rPr>
          <w:rStyle w:val="36"/>
          <w:rFonts w:ascii="宋体" w:eastAsia="宋体"/>
          <w:spacing w:val="0"/>
        </w:rPr>
      </w:pPr>
      <w:r>
        <w:rPr>
          <w:rFonts w:hint="eastAsia" w:ascii="宋体" w:eastAsia="宋体"/>
          <w:spacing w:val="0"/>
        </w:rPr>
        <w:t>10.</w:t>
      </w:r>
      <w:r>
        <w:rPr>
          <w:rFonts w:ascii="宋体" w:eastAsia="宋体"/>
          <w:spacing w:val="0"/>
        </w:rPr>
        <w:t>3</w:t>
      </w:r>
      <w:r>
        <w:rPr>
          <w:rFonts w:hint="eastAsia" w:ascii="宋体" w:eastAsia="宋体"/>
          <w:spacing w:val="0"/>
        </w:rPr>
        <w:t>乙方应将有关资料（数据库设计文件、技术文件和用户手册等全部资料）在甲方要求期限内，按国家有关项目开发标准以文字等载体的形式交给甲方，甲方拥有永久的使用权。</w:t>
      </w:r>
      <w:r>
        <w:rPr>
          <w:rStyle w:val="36"/>
          <w:rFonts w:hint="eastAsia" w:ascii="宋体" w:eastAsia="宋体"/>
          <w:spacing w:val="0"/>
        </w:rPr>
        <w:t>乙方须提供全部源代码（包含以下内容：产品源代码、客户化源代码、系统平台源代码、</w:t>
      </w:r>
      <w:r>
        <w:rPr>
          <w:rStyle w:val="36"/>
          <w:rFonts w:hint="eastAsia" w:ascii="宋体" w:hAnsi="Times New Roman" w:eastAsia="宋体"/>
          <w:spacing w:val="0"/>
          <w:highlight w:val="none"/>
          <w:lang w:val="en-US" w:eastAsia="zh-CN"/>
        </w:rPr>
        <w:t>移动开发平台及</w:t>
      </w:r>
      <w:r>
        <w:rPr>
          <w:rStyle w:val="36"/>
          <w:rFonts w:hint="eastAsia" w:ascii="宋体" w:eastAsia="宋体"/>
          <w:spacing w:val="0"/>
        </w:rPr>
        <w:t>第三方产品源代码，底层架构和通讯层的源代码）、代码解析平台（若有）及源代码说明文档、源代码注释说明、基线版本号等相关内容，乙方应进行无保留的知识转移。</w:t>
      </w:r>
    </w:p>
    <w:p>
      <w:pPr>
        <w:spacing w:line="360" w:lineRule="auto"/>
        <w:ind w:firstLine="480" w:firstLineChars="200"/>
        <w:rPr>
          <w:rStyle w:val="36"/>
          <w:rFonts w:ascii="宋体" w:eastAsia="宋体"/>
          <w:spacing w:val="0"/>
        </w:rPr>
      </w:pPr>
      <w:r>
        <w:rPr>
          <w:rStyle w:val="36"/>
          <w:rFonts w:hint="eastAsia" w:ascii="宋体" w:eastAsia="宋体"/>
          <w:spacing w:val="0"/>
        </w:rPr>
        <w:t>1</w:t>
      </w:r>
      <w:r>
        <w:rPr>
          <w:rStyle w:val="36"/>
          <w:rFonts w:ascii="宋体" w:eastAsia="宋体"/>
          <w:spacing w:val="0"/>
        </w:rPr>
        <w:t>0.4本项目</w:t>
      </w:r>
      <w:r>
        <w:rPr>
          <w:rStyle w:val="36"/>
          <w:rFonts w:hint="eastAsia" w:ascii="宋体" w:eastAsia="宋体"/>
          <w:spacing w:val="0"/>
        </w:rPr>
        <w:t>客户化源代码的知识产权归甲方单独所有，其余部分归双方共有。</w:t>
      </w:r>
    </w:p>
    <w:p>
      <w:pPr>
        <w:spacing w:line="360" w:lineRule="auto"/>
        <w:ind w:firstLine="480" w:firstLineChars="200"/>
        <w:rPr>
          <w:rStyle w:val="36"/>
          <w:rFonts w:ascii="宋体" w:eastAsia="宋体"/>
          <w:spacing w:val="0"/>
          <w:kern w:val="0"/>
        </w:rPr>
      </w:pPr>
      <w:r>
        <w:rPr>
          <w:rStyle w:val="36"/>
          <w:rFonts w:hint="eastAsia" w:ascii="宋体" w:eastAsia="宋体"/>
          <w:spacing w:val="0"/>
        </w:rPr>
        <w:t>1</w:t>
      </w:r>
      <w:r>
        <w:rPr>
          <w:rStyle w:val="36"/>
          <w:rFonts w:ascii="宋体" w:eastAsia="宋体"/>
          <w:spacing w:val="0"/>
        </w:rPr>
        <w:t>0.4.1</w:t>
      </w:r>
      <w:r>
        <w:rPr>
          <w:rStyle w:val="36"/>
          <w:rFonts w:hint="eastAsia" w:ascii="宋体" w:eastAsia="宋体"/>
          <w:spacing w:val="0"/>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pPr>
        <w:spacing w:line="360" w:lineRule="auto"/>
        <w:ind w:firstLine="480" w:firstLineChars="200"/>
        <w:rPr>
          <w:rStyle w:val="36"/>
          <w:rFonts w:ascii="宋体" w:eastAsia="宋体"/>
          <w:spacing w:val="0"/>
        </w:rPr>
      </w:pPr>
      <w:r>
        <w:rPr>
          <w:rStyle w:val="36"/>
          <w:rFonts w:ascii="宋体" w:eastAsia="宋体"/>
          <w:spacing w:val="0"/>
        </w:rPr>
        <w:t>10.4.2</w:t>
      </w:r>
      <w:r>
        <w:rPr>
          <w:rStyle w:val="36"/>
          <w:rFonts w:hint="eastAsia" w:ascii="宋体" w:eastAsia="宋体"/>
          <w:spacing w:val="0"/>
        </w:rPr>
        <w:t>针对共有部分，甲方拥有在甲方及其分支机构使用及后续开发的权利，</w:t>
      </w:r>
      <w:r>
        <w:rPr>
          <w:rFonts w:hint="eastAsia" w:ascii="宋体" w:eastAsia="宋体"/>
          <w:spacing w:val="0"/>
        </w:rPr>
        <w:t>甲方在乙方交付的系统版本上进行自主开发或交由第三方公司开发，开发成果的知识产权归甲方所有。</w:t>
      </w:r>
      <w:r>
        <w:rPr>
          <w:rStyle w:val="36"/>
          <w:rFonts w:hint="eastAsia" w:ascii="宋体" w:eastAsia="宋体"/>
          <w:spacing w:val="0"/>
        </w:rPr>
        <w:t>乙方拥有在其公司和其他组织范围内使用的权利，但乙方使用时不得侵犯甲方利益。</w:t>
      </w:r>
    </w:p>
    <w:p>
      <w:pPr>
        <w:spacing w:line="360" w:lineRule="auto"/>
        <w:ind w:firstLine="480" w:firstLineChars="200"/>
        <w:rPr>
          <w:rStyle w:val="36"/>
          <w:rFonts w:ascii="宋体" w:eastAsia="宋体"/>
          <w:spacing w:val="0"/>
        </w:rPr>
      </w:pPr>
      <w:r>
        <w:rPr>
          <w:rStyle w:val="36"/>
          <w:rFonts w:ascii="宋体" w:eastAsia="宋体"/>
          <w:spacing w:val="0"/>
        </w:rPr>
        <w:t>10.4.</w:t>
      </w:r>
      <w:r>
        <w:rPr>
          <w:rStyle w:val="36"/>
          <w:rFonts w:hint="eastAsia" w:ascii="宋体" w:eastAsia="宋体"/>
          <w:spacing w:val="0"/>
        </w:rPr>
        <w:t>3</w:t>
      </w:r>
      <w:r>
        <w:rPr>
          <w:rStyle w:val="36"/>
          <w:rFonts w:hint="eastAsia" w:eastAsia="宋体"/>
          <w:spacing w:val="0"/>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pPr>
        <w:spacing w:line="360" w:lineRule="auto"/>
        <w:ind w:firstLine="480" w:firstLineChars="200"/>
        <w:rPr>
          <w:rFonts w:ascii="宋体" w:eastAsia="宋体"/>
          <w:spacing w:val="0"/>
          <w:kern w:val="0"/>
        </w:rPr>
      </w:pPr>
    </w:p>
    <w:p>
      <w:pPr>
        <w:rPr>
          <w:rFonts w:ascii="宋体" w:eastAsia="宋体"/>
          <w:b/>
          <w:spacing w:val="0"/>
        </w:rPr>
      </w:pPr>
      <w:r>
        <w:rPr>
          <w:rFonts w:hint="eastAsia" w:ascii="宋体" w:eastAsia="宋体"/>
          <w:b/>
          <w:spacing w:val="0"/>
        </w:rPr>
        <w:t>第十一条 第三方索赔</w:t>
      </w:r>
    </w:p>
    <w:p>
      <w:pPr>
        <w:spacing w:line="360" w:lineRule="auto"/>
        <w:ind w:firstLine="480" w:firstLineChars="200"/>
        <w:rPr>
          <w:rFonts w:ascii="宋体" w:eastAsia="宋体"/>
          <w:spacing w:val="0"/>
        </w:rPr>
      </w:pPr>
      <w:r>
        <w:rPr>
          <w:rFonts w:hint="eastAsia" w:ascii="宋体" w:eastAsia="宋体"/>
          <w:spacing w:val="0"/>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pPr>
        <w:spacing w:line="360" w:lineRule="auto"/>
        <w:ind w:firstLine="480" w:firstLineChars="200"/>
        <w:rPr>
          <w:rFonts w:ascii="宋体" w:eastAsia="宋体"/>
          <w:spacing w:val="0"/>
        </w:rPr>
      </w:pPr>
      <w:r>
        <w:rPr>
          <w:rFonts w:hint="eastAsia" w:ascii="宋体" w:eastAsia="宋体"/>
          <w:spacing w:val="0"/>
        </w:rPr>
        <w:t>11.2对于第11.1条涉及的侵权索赔，乙方将承担全部费用，包括</w:t>
      </w:r>
      <w:r>
        <w:rPr>
          <w:rStyle w:val="36"/>
          <w:rFonts w:hint="eastAsia" w:ascii="宋体" w:eastAsia="宋体"/>
          <w:spacing w:val="0"/>
          <w:kern w:val="0"/>
        </w:rPr>
        <w:t>诉讼费、仲裁费、甲方支付的律师费、差旅住宿费、公证费、鉴定费、调解费及仲裁裁决、法院判决或调解协议中由甲方承担的赔偿金。</w:t>
      </w:r>
    </w:p>
    <w:p>
      <w:pPr>
        <w:spacing w:line="360" w:lineRule="auto"/>
        <w:ind w:firstLine="480" w:firstLineChars="200"/>
        <w:rPr>
          <w:rFonts w:ascii="宋体" w:eastAsia="宋体"/>
          <w:spacing w:val="0"/>
        </w:rPr>
      </w:pPr>
      <w:r>
        <w:rPr>
          <w:rFonts w:hint="eastAsia" w:ascii="宋体" w:eastAsia="宋体"/>
          <w:spacing w:val="0"/>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36"/>
          <w:rFonts w:hint="eastAsia" w:ascii="宋体" w:eastAsia="宋体"/>
          <w:spacing w:val="0"/>
          <w:kern w:val="0"/>
        </w:rPr>
        <w:t>部损失</w:t>
      </w:r>
      <w:r>
        <w:rPr>
          <w:rFonts w:hint="eastAsia" w:ascii="宋体" w:eastAsia="宋体"/>
          <w:spacing w:val="0"/>
        </w:rPr>
        <w:t>。</w:t>
      </w:r>
    </w:p>
    <w:p>
      <w:pPr>
        <w:spacing w:line="360" w:lineRule="auto"/>
        <w:ind w:firstLine="480" w:firstLineChars="200"/>
        <w:rPr>
          <w:rFonts w:ascii="宋体" w:eastAsia="宋体"/>
          <w:spacing w:val="0"/>
        </w:rPr>
      </w:pPr>
      <w:r>
        <w:rPr>
          <w:rFonts w:hint="eastAsia" w:ascii="宋体" w:eastAsia="宋体"/>
          <w:spacing w:val="0"/>
        </w:rPr>
        <w:t>11.4乙方对由以下非乙方的过错引起的侵权索赔不承担责任：</w:t>
      </w:r>
    </w:p>
    <w:p>
      <w:pPr>
        <w:spacing w:line="360" w:lineRule="auto"/>
        <w:ind w:firstLine="480" w:firstLineChars="200"/>
        <w:rPr>
          <w:rFonts w:ascii="宋体" w:eastAsia="宋体"/>
          <w:spacing w:val="0"/>
        </w:rPr>
      </w:pPr>
      <w:r>
        <w:rPr>
          <w:rStyle w:val="36"/>
          <w:rFonts w:hint="eastAsia" w:ascii="宋体" w:eastAsia="宋体"/>
          <w:spacing w:val="0"/>
          <w:kern w:val="0"/>
        </w:rPr>
        <w:t>11.4.1 甲方使用不当所造成的侵权。</w:t>
      </w:r>
    </w:p>
    <w:p>
      <w:pPr>
        <w:spacing w:line="360" w:lineRule="auto"/>
        <w:ind w:firstLine="480" w:firstLineChars="200"/>
        <w:rPr>
          <w:rFonts w:ascii="宋体" w:eastAsia="宋体"/>
          <w:spacing w:val="0"/>
        </w:rPr>
      </w:pPr>
      <w:r>
        <w:rPr>
          <w:rFonts w:hint="eastAsia" w:ascii="宋体" w:eastAsia="宋体"/>
          <w:spacing w:val="0"/>
        </w:rPr>
        <w:t>11.4.2 因甲方或第三方对开发软件或资料进行修改所直接造成的侵权。</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第十二条 保密</w:t>
      </w:r>
    </w:p>
    <w:p>
      <w:pPr>
        <w:spacing w:line="360" w:lineRule="auto"/>
        <w:ind w:firstLine="480" w:firstLineChars="200"/>
        <w:rPr>
          <w:rFonts w:ascii="宋体" w:eastAsia="宋体"/>
          <w:bCs/>
          <w:spacing w:val="0"/>
          <w:kern w:val="0"/>
        </w:rPr>
      </w:pPr>
      <w:r>
        <w:rPr>
          <w:rFonts w:hint="eastAsia" w:ascii="宋体" w:eastAsia="宋体"/>
          <w:bCs/>
          <w:spacing w:val="0"/>
          <w:kern w:val="0"/>
        </w:rPr>
        <w:t>12.1乙方须对本合同项下的所有条款保密。乙方人员入场前须与甲方签订相应诚信安全承诺书。</w:t>
      </w:r>
    </w:p>
    <w:p>
      <w:pPr>
        <w:tabs>
          <w:tab w:val="left" w:pos="1134"/>
        </w:tabs>
        <w:spacing w:line="360" w:lineRule="auto"/>
        <w:ind w:firstLine="480" w:firstLineChars="200"/>
        <w:rPr>
          <w:rFonts w:ascii="宋体" w:eastAsia="宋体"/>
          <w:spacing w:val="0"/>
          <w:kern w:val="0"/>
        </w:rPr>
      </w:pPr>
      <w:r>
        <w:rPr>
          <w:rFonts w:hint="eastAsia" w:ascii="宋体" w:eastAsia="宋体"/>
          <w:spacing w:val="0"/>
          <w:kern w:val="0"/>
        </w:rPr>
        <w:t>12.</w:t>
      </w:r>
      <w:r>
        <w:rPr>
          <w:rFonts w:ascii="宋体" w:eastAsia="宋体"/>
          <w:spacing w:val="0"/>
          <w:kern w:val="0"/>
        </w:rPr>
        <w:t>2</w:t>
      </w:r>
      <w:r>
        <w:rPr>
          <w:rFonts w:hint="eastAsia" w:ascii="宋体" w:eastAsia="宋体"/>
          <w:spacing w:val="0"/>
          <w:kern w:val="0"/>
        </w:rPr>
        <w:t>乙方应对本合同所述的客户信息、</w:t>
      </w:r>
      <w:r>
        <w:rPr>
          <w:rFonts w:hint="eastAsia" w:ascii="宋体" w:eastAsia="宋体"/>
          <w:bCs/>
          <w:spacing w:val="0"/>
          <w:kern w:val="0"/>
        </w:rPr>
        <w:t>技术资料、业务流程、源代码</w:t>
      </w:r>
      <w:r>
        <w:rPr>
          <w:rFonts w:ascii="宋体" w:eastAsia="宋体"/>
          <w:bCs/>
          <w:spacing w:val="0"/>
          <w:kern w:val="0"/>
        </w:rPr>
        <w:t>、</w:t>
      </w:r>
      <w:r>
        <w:rPr>
          <w:rFonts w:hint="eastAsia" w:ascii="宋体" w:eastAsia="宋体"/>
          <w:bCs/>
          <w:spacing w:val="0"/>
          <w:kern w:val="0"/>
        </w:rPr>
        <w:t>数据等</w:t>
      </w:r>
      <w:r>
        <w:rPr>
          <w:rFonts w:ascii="宋体" w:eastAsia="宋体"/>
          <w:bCs/>
          <w:spacing w:val="0"/>
          <w:kern w:val="0"/>
        </w:rPr>
        <w:t>重要</w:t>
      </w:r>
      <w:r>
        <w:rPr>
          <w:rFonts w:hint="eastAsia" w:ascii="宋体" w:eastAsia="宋体"/>
          <w:bCs/>
          <w:spacing w:val="0"/>
          <w:kern w:val="0"/>
        </w:rPr>
        <w:t>信息</w:t>
      </w:r>
      <w:r>
        <w:rPr>
          <w:rFonts w:hint="eastAsia" w:ascii="宋体" w:eastAsia="宋体"/>
          <w:spacing w:val="0"/>
          <w:kern w:val="0"/>
        </w:rPr>
        <w:t>采取保密措施，未经甲方的书面同意，乙方不得在合同允许范围外使用、披露、存放于</w:t>
      </w:r>
      <w:r>
        <w:rPr>
          <w:rFonts w:ascii="宋体" w:eastAsia="宋体"/>
          <w:spacing w:val="0"/>
          <w:kern w:val="0"/>
        </w:rPr>
        <w:t>第三方托管平台</w:t>
      </w:r>
      <w:r>
        <w:rPr>
          <w:rFonts w:hint="eastAsia" w:ascii="宋体" w:eastAsia="宋体"/>
          <w:spacing w:val="0"/>
          <w:kern w:val="0"/>
        </w:rPr>
        <w:t>、向无关人员或第三方透露，也不能就有关合同内容的任何部分进行新闻的发布、公开的宣称、否认或承认。</w:t>
      </w:r>
    </w:p>
    <w:p>
      <w:pPr>
        <w:spacing w:line="360" w:lineRule="auto"/>
        <w:ind w:firstLine="480" w:firstLineChars="200"/>
        <w:rPr>
          <w:rFonts w:ascii="宋体" w:eastAsia="宋体"/>
          <w:bCs/>
          <w:spacing w:val="0"/>
          <w:kern w:val="0"/>
        </w:rPr>
      </w:pPr>
      <w:r>
        <w:rPr>
          <w:rFonts w:hint="eastAsia" w:ascii="宋体" w:eastAsia="宋体"/>
          <w:bCs/>
          <w:spacing w:val="0"/>
          <w:kern w:val="0"/>
        </w:rPr>
        <w:t>12.</w:t>
      </w:r>
      <w:r>
        <w:rPr>
          <w:rFonts w:ascii="宋体" w:eastAsia="宋体"/>
          <w:bCs/>
          <w:spacing w:val="0"/>
          <w:kern w:val="0"/>
        </w:rPr>
        <w:t>3</w:t>
      </w:r>
      <w:r>
        <w:rPr>
          <w:rFonts w:hint="eastAsia" w:ascii="宋体" w:eastAsia="宋体"/>
          <w:bCs/>
          <w:spacing w:val="0"/>
          <w:kern w:val="0"/>
        </w:rPr>
        <w:t>乙方不得以甲方名义开展活动，不得将甲方数据、信息以任何形式转移、挪用或谋取合同约定以外的利益。</w:t>
      </w:r>
    </w:p>
    <w:p>
      <w:pPr>
        <w:spacing w:line="360" w:lineRule="auto"/>
        <w:ind w:firstLine="480" w:firstLineChars="200"/>
        <w:rPr>
          <w:rFonts w:ascii="宋体" w:eastAsia="宋体"/>
          <w:spacing w:val="0"/>
          <w:kern w:val="0"/>
        </w:rPr>
      </w:pPr>
      <w:r>
        <w:rPr>
          <w:rFonts w:hint="eastAsia" w:ascii="宋体" w:eastAsia="宋体"/>
          <w:spacing w:val="0"/>
          <w:kern w:val="0"/>
        </w:rPr>
        <w:t>12.4乙方知道违反本条规定将给甲方客户权利以及甲方造成难以弥补的损失，为此同意承担由此产生的经济上和法律上的责任和</w:t>
      </w:r>
      <w:r>
        <w:rPr>
          <w:rFonts w:ascii="宋体" w:eastAsia="宋体"/>
          <w:spacing w:val="0"/>
          <w:kern w:val="0"/>
        </w:rPr>
        <w:t>损失</w:t>
      </w:r>
      <w:r>
        <w:rPr>
          <w:rFonts w:hint="eastAsia" w:ascii="宋体" w:eastAsia="宋体"/>
          <w:spacing w:val="0"/>
          <w:kern w:val="0"/>
        </w:rPr>
        <w:t>。</w:t>
      </w:r>
    </w:p>
    <w:p>
      <w:pPr>
        <w:spacing w:line="360" w:lineRule="auto"/>
        <w:ind w:firstLine="480" w:firstLineChars="200"/>
        <w:rPr>
          <w:rFonts w:ascii="宋体" w:eastAsia="宋体"/>
          <w:spacing w:val="0"/>
          <w:kern w:val="0"/>
        </w:rPr>
      </w:pPr>
      <w:r>
        <w:rPr>
          <w:rFonts w:hint="eastAsia" w:ascii="宋体" w:eastAsia="宋体"/>
          <w:spacing w:val="0"/>
          <w:kern w:val="0"/>
        </w:rPr>
        <w:t>12.5乙方承认本合同中的技术资料和技术秘密为甲方所专有，将其对乙方进行披露并不意味着任何所有权、专利权的转让。</w:t>
      </w:r>
    </w:p>
    <w:p>
      <w:pPr>
        <w:spacing w:line="360" w:lineRule="auto"/>
        <w:ind w:firstLine="480" w:firstLineChars="200"/>
        <w:rPr>
          <w:rFonts w:ascii="宋体" w:eastAsia="宋体"/>
          <w:spacing w:val="0"/>
          <w:kern w:val="0"/>
        </w:rPr>
      </w:pPr>
      <w:r>
        <w:rPr>
          <w:rFonts w:hint="eastAsia" w:ascii="宋体" w:eastAsia="宋体"/>
          <w:spacing w:val="0"/>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pPr>
        <w:spacing w:line="360" w:lineRule="auto"/>
        <w:ind w:firstLine="480" w:firstLineChars="200"/>
        <w:rPr>
          <w:rFonts w:ascii="宋体" w:eastAsia="宋体"/>
          <w:spacing w:val="0"/>
          <w:kern w:val="0"/>
        </w:rPr>
      </w:pPr>
      <w:r>
        <w:rPr>
          <w:rFonts w:hint="eastAsia" w:ascii="宋体" w:eastAsia="宋体"/>
          <w:spacing w:val="0"/>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spacing w:line="360" w:lineRule="auto"/>
        <w:ind w:firstLine="480" w:firstLineChars="200"/>
        <w:rPr>
          <w:rFonts w:ascii="宋体" w:eastAsia="宋体"/>
          <w:spacing w:val="0"/>
          <w:kern w:val="0"/>
        </w:rPr>
      </w:pPr>
      <w:r>
        <w:rPr>
          <w:rFonts w:hint="eastAsia" w:ascii="宋体" w:eastAsia="宋体"/>
          <w:spacing w:val="0"/>
          <w:kern w:val="0"/>
        </w:rPr>
        <w:t>12.8除非甲方特别声明，乙方对于保密信息的保密义务为无限期保密，直至甲方宣布解密或者保密信息实际上已经公开。</w:t>
      </w:r>
    </w:p>
    <w:p>
      <w:pPr>
        <w:spacing w:line="360" w:lineRule="auto"/>
        <w:ind w:firstLine="480" w:firstLineChars="200"/>
        <w:rPr>
          <w:rFonts w:ascii="宋体" w:eastAsia="宋体"/>
          <w:spacing w:val="0"/>
          <w:kern w:val="0"/>
        </w:rPr>
      </w:pPr>
      <w:r>
        <w:rPr>
          <w:rFonts w:hint="eastAsia" w:ascii="宋体" w:eastAsia="宋体"/>
          <w:spacing w:val="0"/>
          <w:kern w:val="0"/>
        </w:rPr>
        <w:t>12.9 本合同</w:t>
      </w:r>
      <w:r>
        <w:rPr>
          <w:rFonts w:ascii="宋体" w:eastAsia="宋体"/>
          <w:spacing w:val="0"/>
          <w:kern w:val="0"/>
        </w:rPr>
        <w:t>项下乙方</w:t>
      </w:r>
      <w:r>
        <w:rPr>
          <w:rFonts w:hint="eastAsia" w:ascii="宋体" w:eastAsia="宋体"/>
          <w:spacing w:val="0"/>
          <w:kern w:val="0"/>
        </w:rPr>
        <w:t>人员</w:t>
      </w:r>
      <w:r>
        <w:rPr>
          <w:rFonts w:ascii="宋体" w:eastAsia="宋体"/>
          <w:spacing w:val="0"/>
          <w:kern w:val="0"/>
        </w:rPr>
        <w:t>行为视为乙方行为，</w:t>
      </w:r>
      <w:r>
        <w:rPr>
          <w:rFonts w:hint="eastAsia" w:ascii="宋体" w:eastAsia="宋体"/>
          <w:spacing w:val="0"/>
          <w:kern w:val="0"/>
        </w:rPr>
        <w:t>乙方应承担全部责任及损失</w:t>
      </w:r>
      <w:r>
        <w:rPr>
          <w:rFonts w:ascii="宋体" w:eastAsia="宋体"/>
          <w:spacing w:val="0"/>
          <w:kern w:val="0"/>
        </w:rPr>
        <w:t>。</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第十三条 价格与支付</w:t>
      </w:r>
    </w:p>
    <w:p>
      <w:pPr>
        <w:spacing w:line="360" w:lineRule="auto"/>
        <w:ind w:left="122" w:leftChars="51" w:firstLine="417" w:firstLineChars="174"/>
        <w:jc w:val="left"/>
        <w:rPr>
          <w:rStyle w:val="36"/>
          <w:rFonts w:ascii="宋体" w:eastAsia="宋体"/>
          <w:spacing w:val="0"/>
          <w:kern w:val="0"/>
        </w:rPr>
      </w:pPr>
      <w:r>
        <w:rPr>
          <w:rStyle w:val="36"/>
          <w:rFonts w:hint="eastAsia" w:ascii="宋体" w:eastAsia="宋体"/>
          <w:spacing w:val="0"/>
          <w:kern w:val="0"/>
        </w:rPr>
        <w:t>13.1本项目合同总金额（价税合计）为</w:t>
      </w:r>
      <w:r>
        <w:rPr>
          <w:rStyle w:val="36"/>
          <w:rFonts w:hint="eastAsia" w:ascii="宋体" w:eastAsia="宋体"/>
          <w:spacing w:val="0"/>
          <w:szCs w:val="2"/>
        </w:rPr>
        <w:t>_______</w:t>
      </w:r>
      <w:r>
        <w:rPr>
          <w:rStyle w:val="36"/>
          <w:rFonts w:hint="eastAsia" w:ascii="宋体" w:eastAsia="宋体"/>
          <w:spacing w:val="0"/>
          <w:szCs w:val="2"/>
          <w:u w:val="single"/>
        </w:rPr>
        <w:t>元</w:t>
      </w:r>
      <w:r>
        <w:rPr>
          <w:rStyle w:val="36"/>
          <w:rFonts w:hint="eastAsia" w:ascii="宋体" w:eastAsia="宋体"/>
          <w:spacing w:val="0"/>
          <w:kern w:val="0"/>
          <w:u w:val="single"/>
        </w:rPr>
        <w:t>（大写：</w:t>
      </w:r>
      <w:r>
        <w:rPr>
          <w:rStyle w:val="36"/>
          <w:rFonts w:ascii="宋体" w:eastAsia="宋体"/>
          <w:spacing w:val="0"/>
          <w:szCs w:val="2"/>
          <w:u w:val="single"/>
        </w:rPr>
        <w:t>整</w:t>
      </w:r>
      <w:r>
        <w:rPr>
          <w:rStyle w:val="36"/>
          <w:rFonts w:hint="eastAsia" w:ascii="宋体" w:eastAsia="宋体"/>
          <w:spacing w:val="0"/>
          <w:kern w:val="0"/>
          <w:u w:val="single"/>
        </w:rPr>
        <w:t>）</w:t>
      </w:r>
      <w:r>
        <w:rPr>
          <w:rStyle w:val="36"/>
          <w:rFonts w:hint="eastAsia" w:ascii="宋体" w:eastAsia="宋体"/>
          <w:spacing w:val="0"/>
          <w:kern w:val="0"/>
        </w:rPr>
        <w:t>，</w:t>
      </w:r>
      <w:r>
        <w:rPr>
          <w:rStyle w:val="36"/>
          <w:rFonts w:ascii="宋体" w:eastAsia="宋体"/>
          <w:spacing w:val="0"/>
          <w:kern w:val="0"/>
        </w:rPr>
        <w:t>税率为13%，</w:t>
      </w:r>
      <w:r>
        <w:rPr>
          <w:rStyle w:val="36"/>
          <w:rFonts w:hint="eastAsia" w:ascii="宋体" w:eastAsia="宋体"/>
          <w:spacing w:val="0"/>
          <w:szCs w:val="2"/>
        </w:rPr>
        <w:t>不含税价为：_______</w:t>
      </w:r>
      <w:r>
        <w:rPr>
          <w:rStyle w:val="36"/>
          <w:rFonts w:hint="eastAsia" w:ascii="宋体" w:eastAsia="宋体"/>
          <w:spacing w:val="0"/>
          <w:szCs w:val="2"/>
          <w:u w:val="single"/>
        </w:rPr>
        <w:t>元（大写：</w:t>
      </w:r>
      <w:r>
        <w:rPr>
          <w:rStyle w:val="36"/>
          <w:rFonts w:ascii="宋体" w:eastAsia="宋体"/>
          <w:spacing w:val="0"/>
          <w:szCs w:val="2"/>
          <w:u w:val="single"/>
        </w:rPr>
        <w:t>整</w:t>
      </w:r>
      <w:r>
        <w:rPr>
          <w:rStyle w:val="36"/>
          <w:rFonts w:hint="eastAsia" w:ascii="宋体" w:eastAsia="宋体"/>
          <w:spacing w:val="0"/>
          <w:szCs w:val="2"/>
          <w:u w:val="single"/>
        </w:rPr>
        <w:t>）</w:t>
      </w:r>
      <w:r>
        <w:rPr>
          <w:rStyle w:val="36"/>
          <w:rFonts w:hint="eastAsia" w:ascii="宋体" w:eastAsia="宋体"/>
          <w:spacing w:val="0"/>
          <w:szCs w:val="2"/>
        </w:rPr>
        <w:t>,税额为：_______</w:t>
      </w:r>
      <w:r>
        <w:rPr>
          <w:rStyle w:val="36"/>
          <w:rFonts w:hint="eastAsia" w:ascii="宋体" w:eastAsia="宋体"/>
          <w:spacing w:val="0"/>
          <w:szCs w:val="2"/>
          <w:u w:val="single"/>
        </w:rPr>
        <w:t>元（大写：</w:t>
      </w:r>
      <w:r>
        <w:rPr>
          <w:rStyle w:val="36"/>
          <w:rFonts w:ascii="宋体" w:eastAsia="宋体"/>
          <w:spacing w:val="0"/>
          <w:szCs w:val="2"/>
          <w:u w:val="single"/>
        </w:rPr>
        <w:t>整</w:t>
      </w:r>
      <w:r>
        <w:rPr>
          <w:rStyle w:val="36"/>
          <w:rFonts w:hint="eastAsia" w:ascii="宋体" w:eastAsia="宋体"/>
          <w:spacing w:val="0"/>
          <w:szCs w:val="2"/>
          <w:u w:val="single"/>
        </w:rPr>
        <w:t>）</w:t>
      </w:r>
      <w:r>
        <w:rPr>
          <w:rStyle w:val="36"/>
          <w:rFonts w:hint="eastAsia" w:ascii="宋体" w:eastAsia="宋体"/>
          <w:spacing w:val="0"/>
          <w:szCs w:val="2"/>
        </w:rPr>
        <w:t>。</w:t>
      </w:r>
      <w:r>
        <w:rPr>
          <w:rStyle w:val="36"/>
          <w:rFonts w:ascii="宋体" w:eastAsia="宋体"/>
          <w:spacing w:val="0"/>
          <w:szCs w:val="2"/>
        </w:rPr>
        <w:t>其中产品金额（价税合计）为</w:t>
      </w:r>
      <w:r>
        <w:rPr>
          <w:rStyle w:val="36"/>
          <w:rFonts w:hint="eastAsia" w:ascii="宋体" w:eastAsia="宋体"/>
          <w:spacing w:val="0"/>
          <w:szCs w:val="2"/>
        </w:rPr>
        <w:t>_______</w:t>
      </w:r>
      <w:r>
        <w:rPr>
          <w:rStyle w:val="36"/>
          <w:rFonts w:hint="eastAsia" w:ascii="宋体" w:eastAsia="宋体"/>
          <w:spacing w:val="0"/>
          <w:szCs w:val="2"/>
          <w:u w:val="single"/>
        </w:rPr>
        <w:t>元（大写：</w:t>
      </w:r>
      <w:r>
        <w:rPr>
          <w:rStyle w:val="36"/>
          <w:rFonts w:ascii="宋体" w:eastAsia="宋体"/>
          <w:spacing w:val="0"/>
          <w:szCs w:val="2"/>
          <w:u w:val="single"/>
        </w:rPr>
        <w:t>整</w:t>
      </w:r>
      <w:r>
        <w:rPr>
          <w:rStyle w:val="36"/>
          <w:rFonts w:hint="eastAsia" w:ascii="宋体" w:eastAsia="宋体"/>
          <w:spacing w:val="0"/>
          <w:szCs w:val="2"/>
          <w:u w:val="single"/>
        </w:rPr>
        <w:t>）</w:t>
      </w:r>
      <w:r>
        <w:rPr>
          <w:rStyle w:val="36"/>
          <w:rFonts w:ascii="宋体" w:eastAsia="宋体"/>
          <w:spacing w:val="0"/>
          <w:szCs w:val="2"/>
          <w:u w:val="single"/>
        </w:rPr>
        <w:t>，实施金额（价税合计）为</w:t>
      </w:r>
      <w:r>
        <w:rPr>
          <w:rStyle w:val="36"/>
          <w:rFonts w:hint="eastAsia" w:ascii="宋体" w:eastAsia="宋体"/>
          <w:spacing w:val="0"/>
          <w:szCs w:val="2"/>
        </w:rPr>
        <w:t>_______</w:t>
      </w:r>
      <w:r>
        <w:rPr>
          <w:rStyle w:val="36"/>
          <w:rFonts w:hint="eastAsia" w:ascii="宋体" w:eastAsia="宋体"/>
          <w:spacing w:val="0"/>
          <w:szCs w:val="2"/>
          <w:u w:val="single"/>
        </w:rPr>
        <w:t>元（大写：</w:t>
      </w:r>
      <w:r>
        <w:rPr>
          <w:rStyle w:val="36"/>
          <w:rFonts w:ascii="宋体" w:eastAsia="宋体"/>
          <w:spacing w:val="0"/>
          <w:szCs w:val="2"/>
          <w:u w:val="single"/>
        </w:rPr>
        <w:t>整</w:t>
      </w:r>
      <w:r>
        <w:rPr>
          <w:rStyle w:val="36"/>
          <w:rFonts w:hint="eastAsia" w:ascii="宋体" w:eastAsia="宋体"/>
          <w:spacing w:val="0"/>
          <w:szCs w:val="2"/>
          <w:u w:val="single"/>
        </w:rPr>
        <w:t>）</w:t>
      </w:r>
      <w:r>
        <w:rPr>
          <w:rStyle w:val="36"/>
          <w:rFonts w:ascii="宋体" w:eastAsia="宋体"/>
          <w:spacing w:val="0"/>
          <w:szCs w:val="2"/>
        </w:rPr>
        <w:t>。</w:t>
      </w:r>
      <w:r>
        <w:rPr>
          <w:rStyle w:val="36"/>
          <w:rFonts w:hint="eastAsia" w:ascii="宋体" w:eastAsia="宋体"/>
          <w:spacing w:val="0"/>
          <w:szCs w:val="2"/>
        </w:rPr>
        <w:t>不含税价格不因国家税率变化而变化，若在合同履行期间，如遇国家的税率调整，则价税合计应相应调整，以开具发票的时间为准。</w:t>
      </w:r>
      <w:r>
        <w:rPr>
          <w:rStyle w:val="36"/>
          <w:rFonts w:hint="eastAsia" w:ascii="宋体" w:eastAsia="宋体"/>
          <w:spacing w:val="0"/>
          <w:kern w:val="0"/>
        </w:rPr>
        <w:t>该金额为本合同约定项目的全部费用，除双方另有约定外，甲方无须向乙方支付其他任何费用。</w:t>
      </w:r>
    </w:p>
    <w:p>
      <w:pPr>
        <w:spacing w:line="360" w:lineRule="auto"/>
        <w:ind w:firstLine="480" w:firstLineChars="200"/>
        <w:jc w:val="left"/>
        <w:rPr>
          <w:rStyle w:val="36"/>
          <w:rFonts w:ascii="宋体" w:eastAsia="宋体"/>
          <w:spacing w:val="0"/>
          <w:kern w:val="0"/>
        </w:rPr>
      </w:pPr>
      <w:r>
        <w:rPr>
          <w:rStyle w:val="36"/>
          <w:rFonts w:hint="eastAsia" w:ascii="宋体" w:eastAsia="宋体"/>
          <w:spacing w:val="0"/>
          <w:kern w:val="0"/>
        </w:rPr>
        <w:t>本项目产品价格（含实施</w:t>
      </w:r>
      <w:r>
        <w:rPr>
          <w:rStyle w:val="36"/>
          <w:rFonts w:ascii="宋体" w:eastAsia="宋体"/>
          <w:spacing w:val="0"/>
          <w:kern w:val="0"/>
        </w:rPr>
        <w:t>金额部分</w:t>
      </w:r>
      <w:r>
        <w:rPr>
          <w:rStyle w:val="36"/>
          <w:rFonts w:hint="eastAsia" w:ascii="宋体" w:eastAsia="宋体"/>
          <w:spacing w:val="0"/>
          <w:kern w:val="0"/>
        </w:rPr>
        <w:t>）如下表所示：</w:t>
      </w:r>
    </w:p>
    <w:tbl>
      <w:tblPr>
        <w:tblStyle w:val="20"/>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pPr>
              <w:jc w:val="center"/>
              <w:rPr>
                <w:rFonts w:eastAsia="宋体"/>
                <w:b/>
                <w:spacing w:val="0"/>
                <w:sz w:val="21"/>
                <w:szCs w:val="24"/>
              </w:rPr>
            </w:pPr>
            <w:r>
              <w:rPr>
                <w:rFonts w:eastAsia="宋体"/>
                <w:b/>
                <w:spacing w:val="0"/>
                <w:sz w:val="21"/>
                <w:szCs w:val="24"/>
              </w:rPr>
              <w:t>产品名称</w:t>
            </w:r>
          </w:p>
        </w:tc>
        <w:tc>
          <w:tcPr>
            <w:tcW w:w="1701" w:type="dxa"/>
            <w:tcBorders>
              <w:tl2br w:val="nil"/>
              <w:tr2bl w:val="nil"/>
            </w:tcBorders>
            <w:vAlign w:val="center"/>
          </w:tcPr>
          <w:p>
            <w:pPr>
              <w:jc w:val="center"/>
              <w:rPr>
                <w:rFonts w:eastAsia="宋体"/>
                <w:b/>
                <w:spacing w:val="0"/>
                <w:sz w:val="21"/>
                <w:szCs w:val="24"/>
              </w:rPr>
            </w:pPr>
            <w:r>
              <w:rPr>
                <w:rFonts w:eastAsia="宋体"/>
                <w:b/>
                <w:spacing w:val="0"/>
                <w:sz w:val="21"/>
                <w:szCs w:val="24"/>
              </w:rPr>
              <w:t>模块</w:t>
            </w:r>
          </w:p>
        </w:tc>
        <w:tc>
          <w:tcPr>
            <w:tcW w:w="1134" w:type="dxa"/>
            <w:tcBorders>
              <w:tl2br w:val="nil"/>
              <w:tr2bl w:val="nil"/>
            </w:tcBorders>
            <w:vAlign w:val="center"/>
          </w:tcPr>
          <w:p>
            <w:pPr>
              <w:jc w:val="center"/>
              <w:rPr>
                <w:rFonts w:eastAsia="宋体"/>
                <w:b/>
                <w:spacing w:val="0"/>
                <w:sz w:val="21"/>
                <w:szCs w:val="24"/>
              </w:rPr>
            </w:pPr>
            <w:r>
              <w:rPr>
                <w:rFonts w:hint="eastAsia" w:eastAsia="宋体"/>
                <w:b/>
                <w:spacing w:val="0"/>
                <w:sz w:val="21"/>
                <w:szCs w:val="24"/>
              </w:rPr>
              <w:t>单价（元）</w:t>
            </w:r>
          </w:p>
        </w:tc>
        <w:tc>
          <w:tcPr>
            <w:tcW w:w="1276" w:type="dxa"/>
            <w:tcBorders>
              <w:tl2br w:val="nil"/>
              <w:tr2bl w:val="nil"/>
            </w:tcBorders>
            <w:vAlign w:val="center"/>
          </w:tcPr>
          <w:p>
            <w:pPr>
              <w:jc w:val="center"/>
              <w:rPr>
                <w:rFonts w:eastAsia="宋体"/>
                <w:b/>
                <w:spacing w:val="0"/>
                <w:sz w:val="21"/>
                <w:szCs w:val="24"/>
              </w:rPr>
            </w:pPr>
            <w:r>
              <w:rPr>
                <w:rFonts w:hint="eastAsia" w:eastAsia="宋体"/>
                <w:b/>
                <w:spacing w:val="0"/>
                <w:sz w:val="21"/>
                <w:szCs w:val="24"/>
              </w:rPr>
              <w:t>数量（套）</w:t>
            </w:r>
          </w:p>
        </w:tc>
        <w:tc>
          <w:tcPr>
            <w:tcW w:w="1276" w:type="dxa"/>
            <w:tcBorders>
              <w:tl2br w:val="nil"/>
              <w:tr2bl w:val="nil"/>
            </w:tcBorders>
            <w:vAlign w:val="center"/>
          </w:tcPr>
          <w:p>
            <w:pPr>
              <w:jc w:val="center"/>
              <w:rPr>
                <w:rFonts w:eastAsia="宋体"/>
                <w:b/>
                <w:spacing w:val="0"/>
                <w:sz w:val="21"/>
                <w:szCs w:val="24"/>
              </w:rPr>
            </w:pPr>
            <w:r>
              <w:rPr>
                <w:rFonts w:hint="eastAsia" w:eastAsia="宋体"/>
                <w:b/>
                <w:spacing w:val="0"/>
                <w:sz w:val="21"/>
                <w:szCs w:val="24"/>
              </w:rPr>
              <w:t>金额</w:t>
            </w:r>
            <w:r>
              <w:rPr>
                <w:rFonts w:eastAsia="宋体"/>
                <w:b/>
                <w:spacing w:val="0"/>
                <w:sz w:val="21"/>
                <w:szCs w:val="24"/>
              </w:rPr>
              <w:t>小计</w:t>
            </w:r>
            <w:r>
              <w:rPr>
                <w:rFonts w:hint="eastAsia" w:eastAsia="宋体"/>
                <w:b/>
                <w:spacing w:val="0"/>
                <w:sz w:val="21"/>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pPr>
              <w:spacing w:line="360" w:lineRule="auto"/>
              <w:jc w:val="center"/>
              <w:rPr>
                <w:rFonts w:ascii="宋体" w:eastAsia="宋体"/>
                <w:spacing w:val="0"/>
                <w:sz w:val="21"/>
                <w:szCs w:val="24"/>
              </w:rPr>
            </w:pPr>
          </w:p>
        </w:tc>
        <w:tc>
          <w:tcPr>
            <w:tcW w:w="1701" w:type="dxa"/>
            <w:tcBorders>
              <w:tl2br w:val="nil"/>
              <w:tr2bl w:val="nil"/>
            </w:tcBorders>
            <w:vAlign w:val="center"/>
          </w:tcPr>
          <w:p>
            <w:pPr>
              <w:spacing w:line="360" w:lineRule="auto"/>
              <w:jc w:val="center"/>
              <w:rPr>
                <w:rFonts w:eastAsia="宋体"/>
                <w:spacing w:val="0"/>
                <w:sz w:val="21"/>
                <w:szCs w:val="24"/>
              </w:rPr>
            </w:pPr>
          </w:p>
        </w:tc>
        <w:tc>
          <w:tcPr>
            <w:tcW w:w="1134" w:type="dxa"/>
            <w:tcBorders>
              <w:tl2br w:val="nil"/>
              <w:tr2bl w:val="nil"/>
            </w:tcBorders>
            <w:vAlign w:val="center"/>
          </w:tcPr>
          <w:p>
            <w:pPr>
              <w:spacing w:line="360" w:lineRule="auto"/>
              <w:jc w:val="center"/>
              <w:rPr>
                <w:rFonts w:ascii="宋体" w:eastAsia="宋体"/>
                <w:spacing w:val="0"/>
                <w:sz w:val="21"/>
                <w:szCs w:val="24"/>
              </w:rPr>
            </w:pPr>
          </w:p>
        </w:tc>
        <w:tc>
          <w:tcPr>
            <w:tcW w:w="1276" w:type="dxa"/>
            <w:tcBorders>
              <w:tl2br w:val="nil"/>
              <w:tr2bl w:val="nil"/>
            </w:tcBorders>
            <w:vAlign w:val="center"/>
          </w:tcPr>
          <w:p>
            <w:pPr>
              <w:spacing w:line="360" w:lineRule="auto"/>
              <w:jc w:val="center"/>
              <w:rPr>
                <w:rFonts w:ascii="宋体" w:eastAsia="宋体"/>
                <w:spacing w:val="0"/>
                <w:sz w:val="21"/>
                <w:szCs w:val="24"/>
              </w:rPr>
            </w:pPr>
          </w:p>
        </w:tc>
        <w:tc>
          <w:tcPr>
            <w:tcW w:w="1276" w:type="dxa"/>
            <w:tcBorders>
              <w:tl2br w:val="nil"/>
              <w:tr2bl w:val="nil"/>
            </w:tcBorders>
            <w:vAlign w:val="center"/>
          </w:tcPr>
          <w:p>
            <w:pPr>
              <w:spacing w:line="360" w:lineRule="auto"/>
              <w:jc w:val="center"/>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tc>
        <w:tc>
          <w:tcPr>
            <w:tcW w:w="1701" w:type="dxa"/>
            <w:tcBorders>
              <w:tl2br w:val="nil"/>
              <w:tr2bl w:val="nil"/>
            </w:tcBorders>
            <w:vAlign w:val="center"/>
          </w:tcPr>
          <w:p>
            <w:pPr>
              <w:spacing w:line="360" w:lineRule="auto"/>
              <w:jc w:val="center"/>
              <w:rPr>
                <w:rFonts w:eastAsia="宋体"/>
                <w:spacing w:val="0"/>
                <w:sz w:val="21"/>
                <w:szCs w:val="24"/>
              </w:rPr>
            </w:pPr>
          </w:p>
        </w:tc>
        <w:tc>
          <w:tcPr>
            <w:tcW w:w="1134" w:type="dxa"/>
            <w:tcBorders>
              <w:tl2br w:val="nil"/>
              <w:tr2bl w:val="nil"/>
            </w:tcBorders>
            <w:vAlign w:val="center"/>
          </w:tcPr>
          <w:p>
            <w:pPr>
              <w:spacing w:line="360" w:lineRule="auto"/>
              <w:jc w:val="center"/>
              <w:rPr>
                <w:rFonts w:ascii="宋体" w:eastAsia="宋体"/>
                <w:spacing w:val="0"/>
                <w:sz w:val="21"/>
                <w:szCs w:val="24"/>
              </w:rPr>
            </w:pPr>
          </w:p>
        </w:tc>
        <w:tc>
          <w:tcPr>
            <w:tcW w:w="1276" w:type="dxa"/>
            <w:tcBorders>
              <w:tl2br w:val="nil"/>
              <w:tr2bl w:val="nil"/>
            </w:tcBorders>
            <w:vAlign w:val="center"/>
          </w:tcPr>
          <w:p>
            <w:pPr>
              <w:spacing w:line="360" w:lineRule="auto"/>
              <w:jc w:val="center"/>
              <w:rPr>
                <w:rFonts w:ascii="宋体" w:eastAsia="宋体"/>
                <w:spacing w:val="0"/>
                <w:sz w:val="21"/>
                <w:szCs w:val="24"/>
              </w:rPr>
            </w:pPr>
          </w:p>
        </w:tc>
        <w:tc>
          <w:tcPr>
            <w:tcW w:w="1276" w:type="dxa"/>
            <w:tcBorders>
              <w:tl2br w:val="nil"/>
              <w:tr2bl w:val="nil"/>
            </w:tcBorders>
            <w:vAlign w:val="center"/>
          </w:tcPr>
          <w:p>
            <w:pPr>
              <w:spacing w:line="360" w:lineRule="auto"/>
              <w:jc w:val="center"/>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pPr>
              <w:spacing w:line="360" w:lineRule="auto"/>
              <w:jc w:val="center"/>
              <w:rPr>
                <w:rStyle w:val="36"/>
                <w:rFonts w:ascii="宋体" w:eastAsia="宋体"/>
                <w:bCs/>
                <w:kern w:val="0"/>
                <w:sz w:val="21"/>
                <w:szCs w:val="21"/>
              </w:rPr>
            </w:pPr>
            <w:r>
              <w:rPr>
                <w:rStyle w:val="36"/>
                <w:rFonts w:ascii="宋体" w:eastAsia="宋体"/>
                <w:bCs/>
                <w:kern w:val="0"/>
                <w:sz w:val="21"/>
                <w:szCs w:val="21"/>
              </w:rPr>
              <w:t>合计</w:t>
            </w:r>
            <w:r>
              <w:rPr>
                <w:rFonts w:hint="eastAsia" w:eastAsia="宋体"/>
                <w:spacing w:val="0"/>
                <w:sz w:val="21"/>
                <w:szCs w:val="24"/>
              </w:rPr>
              <w:t>（含税）</w:t>
            </w:r>
          </w:p>
        </w:tc>
        <w:tc>
          <w:tcPr>
            <w:tcW w:w="5387" w:type="dxa"/>
            <w:gridSpan w:val="4"/>
            <w:tcBorders>
              <w:tl2br w:val="nil"/>
              <w:tr2bl w:val="nil"/>
            </w:tcBorders>
            <w:vAlign w:val="center"/>
          </w:tcPr>
          <w:p>
            <w:pPr>
              <w:spacing w:line="360" w:lineRule="auto"/>
              <w:jc w:val="center"/>
              <w:rPr>
                <w:rFonts w:ascii="宋体" w:eastAsia="宋体"/>
                <w:spacing w:val="0"/>
                <w:sz w:val="21"/>
                <w:szCs w:val="24"/>
              </w:rPr>
            </w:pPr>
            <w:r>
              <w:rPr>
                <w:rFonts w:hint="eastAsia" w:eastAsia="宋体"/>
                <w:spacing w:val="0"/>
                <w:sz w:val="21"/>
                <w:szCs w:val="24"/>
              </w:rPr>
              <w:t>大写（人民币）：元整</w:t>
            </w:r>
          </w:p>
        </w:tc>
      </w:tr>
    </w:tbl>
    <w:p>
      <w:pPr>
        <w:spacing w:line="360" w:lineRule="auto"/>
        <w:ind w:firstLine="480" w:firstLineChars="200"/>
        <w:jc w:val="left"/>
        <w:rPr>
          <w:rStyle w:val="36"/>
          <w:rFonts w:ascii="宋体" w:eastAsia="宋体"/>
          <w:spacing w:val="0"/>
          <w:kern w:val="0"/>
        </w:rPr>
      </w:pPr>
    </w:p>
    <w:p>
      <w:pPr>
        <w:spacing w:line="360" w:lineRule="auto"/>
        <w:ind w:firstLine="480" w:firstLineChars="200"/>
        <w:rPr>
          <w:rFonts w:ascii="宋体" w:eastAsia="宋体"/>
          <w:spacing w:val="0"/>
        </w:rPr>
      </w:pPr>
      <w:r>
        <w:rPr>
          <w:rFonts w:hint="eastAsia" w:ascii="宋体" w:eastAsia="宋体"/>
          <w:spacing w:val="0"/>
        </w:rPr>
        <w:t>13.2支付方式：</w:t>
      </w:r>
    </w:p>
    <w:p>
      <w:pPr>
        <w:spacing w:line="360" w:lineRule="auto"/>
        <w:ind w:firstLine="480" w:firstLineChars="200"/>
        <w:rPr>
          <w:rFonts w:ascii="宋体" w:eastAsia="宋体"/>
          <w:spacing w:val="0"/>
        </w:rPr>
      </w:pPr>
      <w:r>
        <w:rPr>
          <w:rFonts w:hint="eastAsia" w:ascii="宋体" w:eastAsia="宋体"/>
          <w:spacing w:val="0"/>
        </w:rPr>
        <w:t>本合同款项采用分期付款：</w:t>
      </w:r>
    </w:p>
    <w:p>
      <w:pPr>
        <w:spacing w:line="360" w:lineRule="auto"/>
        <w:ind w:firstLine="480" w:firstLineChars="200"/>
        <w:rPr>
          <w:rFonts w:ascii="宋体" w:eastAsia="宋体"/>
          <w:spacing w:val="0"/>
        </w:rPr>
      </w:pPr>
      <w:r>
        <w:rPr>
          <w:rFonts w:hint="eastAsia" w:ascii="宋体" w:eastAsia="宋体"/>
          <w:spacing w:val="0"/>
        </w:rPr>
        <w:t>13.2.1项目安装、调试并投入试运行后30个工作日内,乙方向甲方提供合法足额的增值税专用发票，甲方向乙方支付合同总额的60％，即元（大写：</w:t>
      </w:r>
      <w:r>
        <w:rPr>
          <w:rFonts w:hint="eastAsia" w:ascii="宋体" w:eastAsia="宋体"/>
          <w:spacing w:val="0"/>
          <w:u w:val="single"/>
        </w:rPr>
        <w:t xml:space="preserve">      元整 </w:t>
      </w:r>
      <w:r>
        <w:rPr>
          <w:rFonts w:hint="eastAsia" w:ascii="宋体" w:eastAsia="宋体"/>
          <w:spacing w:val="0"/>
        </w:rPr>
        <w:t>）。</w:t>
      </w:r>
    </w:p>
    <w:p>
      <w:pPr>
        <w:spacing w:line="360" w:lineRule="auto"/>
        <w:ind w:firstLine="480" w:firstLineChars="200"/>
        <w:rPr>
          <w:rFonts w:ascii="宋体" w:eastAsia="宋体"/>
          <w:spacing w:val="0"/>
        </w:rPr>
      </w:pPr>
      <w:r>
        <w:rPr>
          <w:rFonts w:hint="eastAsia" w:ascii="宋体" w:eastAsia="宋体"/>
          <w:spacing w:val="0"/>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spacing w:val="0"/>
          <w:kern w:val="0"/>
        </w:rPr>
        <w:t>，</w:t>
      </w:r>
      <w:r>
        <w:rPr>
          <w:rFonts w:hint="eastAsia" w:ascii="宋体" w:eastAsia="宋体"/>
          <w:spacing w:val="0"/>
        </w:rPr>
        <w:t>即元（大写：</w:t>
      </w:r>
      <w:r>
        <w:rPr>
          <w:rFonts w:hint="eastAsia" w:ascii="宋体" w:eastAsia="宋体"/>
          <w:spacing w:val="0"/>
          <w:u w:val="single"/>
        </w:rPr>
        <w:t xml:space="preserve">          元整 </w:t>
      </w:r>
      <w:r>
        <w:rPr>
          <w:rFonts w:hint="eastAsia" w:ascii="宋体" w:eastAsia="宋体"/>
          <w:spacing w:val="0"/>
        </w:rPr>
        <w:t>），否则按《服务水平协议（SLA）》进行相应金额扣除。</w:t>
      </w:r>
    </w:p>
    <w:p>
      <w:pPr>
        <w:spacing w:line="360" w:lineRule="auto"/>
        <w:ind w:firstLine="480" w:firstLineChars="200"/>
        <w:rPr>
          <w:rFonts w:ascii="宋体" w:eastAsia="宋体"/>
          <w:spacing w:val="0"/>
        </w:rPr>
      </w:pPr>
      <w:r>
        <w:rPr>
          <w:rFonts w:hint="eastAsia" w:ascii="宋体" w:eastAsia="宋体"/>
          <w:spacing w:val="0"/>
        </w:rPr>
        <w:t>13.2.3本合同</w:t>
      </w:r>
      <w:r>
        <w:rPr>
          <w:rFonts w:ascii="宋体" w:eastAsia="宋体"/>
          <w:spacing w:val="0"/>
        </w:rPr>
        <w:t>第</w:t>
      </w:r>
      <w:r>
        <w:rPr>
          <w:rFonts w:hint="eastAsia" w:ascii="宋体" w:eastAsia="宋体"/>
          <w:spacing w:val="0"/>
        </w:rPr>
        <w:t>6.1条</w:t>
      </w:r>
      <w:r>
        <w:rPr>
          <w:rFonts w:ascii="宋体" w:eastAsia="宋体"/>
          <w:spacing w:val="0"/>
        </w:rPr>
        <w:t>约定的</w:t>
      </w:r>
      <w:r>
        <w:rPr>
          <w:rFonts w:hint="eastAsia" w:ascii="宋体" w:eastAsia="宋体"/>
          <w:spacing w:val="0"/>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eastAsia="宋体"/>
          <w:spacing w:val="0"/>
          <w:u w:val="single"/>
        </w:rPr>
        <w:t xml:space="preserve">      元整 </w:t>
      </w:r>
      <w:r>
        <w:rPr>
          <w:rFonts w:hint="eastAsia" w:ascii="宋体" w:eastAsia="宋体"/>
          <w:spacing w:val="0"/>
        </w:rPr>
        <w:t>），否则按《服务水平协议（SLA）》进行相应金额扣除（13.2.2中已扣除部分，本条不重复扣减）。</w:t>
      </w:r>
    </w:p>
    <w:p>
      <w:pPr>
        <w:spacing w:line="360" w:lineRule="auto"/>
        <w:ind w:firstLine="480" w:firstLineChars="200"/>
        <w:rPr>
          <w:rFonts w:ascii="宋体" w:eastAsia="宋体"/>
          <w:spacing w:val="0"/>
        </w:rPr>
      </w:pPr>
      <w:r>
        <w:rPr>
          <w:rFonts w:hint="eastAsia" w:ascii="宋体" w:eastAsia="宋体"/>
          <w:spacing w:val="0"/>
        </w:rPr>
        <w:t>13.3发票要求：</w:t>
      </w:r>
    </w:p>
    <w:p>
      <w:pPr>
        <w:spacing w:line="360" w:lineRule="auto"/>
        <w:ind w:firstLine="480" w:firstLineChars="200"/>
        <w:rPr>
          <w:rFonts w:ascii="宋体" w:eastAsia="宋体"/>
          <w:spacing w:val="0"/>
        </w:rPr>
      </w:pPr>
      <w:r>
        <w:rPr>
          <w:rFonts w:hint="eastAsia" w:ascii="宋体" w:eastAsia="宋体"/>
          <w:spacing w:val="0"/>
        </w:rPr>
        <w:t>乙方须严格按照合同内容开具税率为</w:t>
      </w:r>
      <w:r>
        <w:rPr>
          <w:rFonts w:ascii="宋体" w:eastAsia="宋体"/>
          <w:spacing w:val="0"/>
          <w:u w:val="single"/>
        </w:rPr>
        <w:t>13%</w:t>
      </w:r>
      <w:r>
        <w:rPr>
          <w:rFonts w:hint="eastAsia" w:ascii="宋体" w:eastAsia="宋体"/>
          <w:spacing w:val="0"/>
        </w:rPr>
        <w:t>的增值税专用发票（若遇国家税率调整另议），乙方在甲方每次付款前</w:t>
      </w:r>
      <w:r>
        <w:rPr>
          <w:rFonts w:ascii="宋体" w:eastAsia="宋体"/>
          <w:spacing w:val="0"/>
        </w:rPr>
        <w:t>30</w:t>
      </w:r>
      <w:r>
        <w:rPr>
          <w:rFonts w:hint="eastAsia" w:ascii="宋体" w:eastAsia="宋体"/>
          <w:spacing w:val="0"/>
        </w:rPr>
        <w:t>个工作日需向甲方交付合法足额发票，否则甲方有权拒绝支付任何费用且不承担逾期付款违约责任。</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第十四条 风险责任的承担</w:t>
      </w:r>
    </w:p>
    <w:p>
      <w:pPr>
        <w:tabs>
          <w:tab w:val="left" w:pos="6020"/>
        </w:tabs>
        <w:spacing w:line="360" w:lineRule="auto"/>
        <w:ind w:firstLine="480" w:firstLineChars="200"/>
        <w:rPr>
          <w:rFonts w:ascii="宋体" w:eastAsia="宋体"/>
          <w:spacing w:val="0"/>
        </w:rPr>
      </w:pPr>
      <w:r>
        <w:rPr>
          <w:rFonts w:hint="eastAsia" w:ascii="宋体" w:eastAsia="宋体"/>
          <w:spacing w:val="0"/>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pPr>
        <w:tabs>
          <w:tab w:val="left" w:pos="6020"/>
        </w:tabs>
        <w:spacing w:line="360" w:lineRule="auto"/>
        <w:ind w:firstLine="480" w:firstLineChars="200"/>
        <w:rPr>
          <w:rStyle w:val="36"/>
          <w:rFonts w:ascii="宋体" w:eastAsia="宋体"/>
          <w:spacing w:val="0"/>
          <w:kern w:val="0"/>
        </w:rPr>
      </w:pPr>
      <w:r>
        <w:rPr>
          <w:rStyle w:val="36"/>
          <w:rFonts w:hint="eastAsia" w:ascii="宋体" w:eastAsia="宋体"/>
          <w:spacing w:val="0"/>
          <w:kern w:val="0"/>
        </w:rPr>
        <w:t>14.2乙方发现可能导致实施项目失败或者部分失败的情况时，应当及时通知甲方并采取适当措施减少损失；乙方没有及时通知甲方并采取适当措施致使损失扩大的，应当就扩大的损失承担责任。</w:t>
      </w:r>
    </w:p>
    <w:p>
      <w:pPr>
        <w:tabs>
          <w:tab w:val="left" w:pos="6020"/>
        </w:tabs>
        <w:spacing w:line="360" w:lineRule="auto"/>
        <w:ind w:firstLine="480" w:firstLineChars="200"/>
        <w:rPr>
          <w:rStyle w:val="36"/>
          <w:rFonts w:ascii="宋体" w:eastAsia="宋体"/>
          <w:spacing w:val="0"/>
          <w:kern w:val="0"/>
        </w:rPr>
      </w:pPr>
      <w:r>
        <w:rPr>
          <w:rStyle w:val="36"/>
          <w:rFonts w:hint="eastAsia" w:ascii="宋体" w:eastAsia="宋体"/>
          <w:spacing w:val="0"/>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pPr>
        <w:tabs>
          <w:tab w:val="left" w:pos="6020"/>
        </w:tabs>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第十五条</w:t>
      </w:r>
      <w:bookmarkStart w:id="346" w:name="_Toc58337511"/>
      <w:r>
        <w:rPr>
          <w:rFonts w:hint="eastAsia" w:ascii="宋体" w:eastAsia="宋体"/>
          <w:b/>
          <w:spacing w:val="0"/>
        </w:rPr>
        <w:t xml:space="preserve"> 违约与赔偿</w:t>
      </w:r>
      <w:bookmarkEnd w:id="346"/>
    </w:p>
    <w:p>
      <w:pPr>
        <w:spacing w:line="360" w:lineRule="auto"/>
        <w:ind w:firstLine="480" w:firstLineChars="200"/>
        <w:rPr>
          <w:rFonts w:ascii="宋体" w:eastAsia="宋体"/>
          <w:spacing w:val="0"/>
        </w:rPr>
      </w:pPr>
      <w:r>
        <w:rPr>
          <w:rFonts w:hint="eastAsia" w:ascii="宋体" w:eastAsia="宋体"/>
          <w:spacing w:val="0"/>
        </w:rPr>
        <w:t>15.1因甲方原因未按本合同规定支付第一期款项</w:t>
      </w:r>
      <w:r>
        <w:rPr>
          <w:rFonts w:ascii="宋体" w:eastAsia="宋体"/>
          <w:spacing w:val="0"/>
        </w:rPr>
        <w:t>，且经乙方合理催告后，仍无正当理由并逾期支付达【</w:t>
      </w:r>
      <w:r>
        <w:rPr>
          <w:rFonts w:hint="eastAsia" w:ascii="宋体" w:eastAsia="宋体"/>
          <w:spacing w:val="0"/>
        </w:rPr>
        <w:t>30</w:t>
      </w:r>
      <w:r>
        <w:rPr>
          <w:rFonts w:ascii="宋体" w:eastAsia="宋体"/>
          <w:spacing w:val="0"/>
        </w:rPr>
        <w:t>】</w:t>
      </w:r>
      <w:r>
        <w:rPr>
          <w:rFonts w:hint="eastAsia" w:ascii="宋体" w:eastAsia="宋体"/>
          <w:spacing w:val="0"/>
        </w:rPr>
        <w:t>个工作</w:t>
      </w:r>
      <w:r>
        <w:rPr>
          <w:rFonts w:ascii="宋体" w:eastAsia="宋体"/>
          <w:spacing w:val="0"/>
        </w:rPr>
        <w:t>日以上的</w:t>
      </w:r>
      <w:r>
        <w:rPr>
          <w:rFonts w:hint="eastAsia" w:ascii="宋体" w:eastAsia="宋体"/>
          <w:spacing w:val="0"/>
        </w:rPr>
        <w:t>，乙方有权解除合同。</w:t>
      </w:r>
    </w:p>
    <w:p>
      <w:pPr>
        <w:spacing w:line="360" w:lineRule="auto"/>
        <w:ind w:firstLine="480" w:firstLineChars="200"/>
        <w:rPr>
          <w:rFonts w:ascii="宋体" w:eastAsia="宋体"/>
          <w:spacing w:val="0"/>
        </w:rPr>
      </w:pPr>
      <w:r>
        <w:rPr>
          <w:rFonts w:hint="eastAsia" w:ascii="宋体" w:eastAsia="宋体"/>
          <w:spacing w:val="0"/>
        </w:rPr>
        <w:t>15.2因甲方原因逾期支付第二期或第三期款项的，自逾期一个月后的第二天起，每逾期一天支付应付逾期付款金额的万分之五的违约金，违约金总额不超过应付款额的20%。</w:t>
      </w:r>
    </w:p>
    <w:p>
      <w:pPr>
        <w:spacing w:line="360" w:lineRule="auto"/>
        <w:ind w:firstLine="480" w:firstLineChars="200"/>
        <w:rPr>
          <w:rFonts w:ascii="宋体" w:eastAsia="宋体"/>
          <w:spacing w:val="0"/>
        </w:rPr>
      </w:pPr>
      <w:r>
        <w:rPr>
          <w:rFonts w:hint="eastAsia" w:ascii="宋体" w:eastAsia="宋体"/>
          <w:spacing w:val="0"/>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pPr>
        <w:spacing w:line="360" w:lineRule="auto"/>
        <w:ind w:firstLine="480" w:firstLineChars="200"/>
        <w:rPr>
          <w:rFonts w:ascii="宋体" w:eastAsia="宋体"/>
          <w:spacing w:val="0"/>
        </w:rPr>
      </w:pPr>
      <w:r>
        <w:rPr>
          <w:rFonts w:hint="eastAsia" w:ascii="宋体" w:eastAsia="宋体"/>
          <w:spacing w:val="0"/>
        </w:rPr>
        <w:t>15.4乙方应按本合同规定的研究开发进程完成开发项目。若因乙方自身原因未按时完成开发项目，则按照附件五《服务水平协议（SLA）》扣除延期违约金。</w:t>
      </w:r>
    </w:p>
    <w:p>
      <w:pPr>
        <w:spacing w:line="360" w:lineRule="auto"/>
        <w:ind w:firstLine="480" w:firstLineChars="200"/>
        <w:rPr>
          <w:rFonts w:ascii="宋体" w:eastAsia="宋体"/>
          <w:spacing w:val="0"/>
        </w:rPr>
      </w:pPr>
      <w:r>
        <w:rPr>
          <w:rFonts w:hint="eastAsia" w:ascii="宋体" w:eastAsia="宋体"/>
          <w:spacing w:val="0"/>
        </w:rPr>
        <w:t>15.5乙方未能完成甲方委托的开发项目或开发成果不符合本合同约定的要求，乙方承担本合同总额20%的违约金，并返还甲方已支付的费用。</w:t>
      </w:r>
    </w:p>
    <w:p>
      <w:pPr>
        <w:spacing w:line="360" w:lineRule="auto"/>
        <w:ind w:firstLine="480" w:firstLineChars="200"/>
        <w:rPr>
          <w:rFonts w:ascii="宋体" w:eastAsia="宋体"/>
          <w:spacing w:val="0"/>
        </w:rPr>
      </w:pPr>
      <w:r>
        <w:rPr>
          <w:rFonts w:hint="eastAsia" w:ascii="宋体" w:eastAsia="宋体"/>
          <w:spacing w:val="0"/>
        </w:rPr>
        <w:t>15.6乙方将甲方支付的费用于履行合同以外的目的，甲方有权制止并要求其纠正。如因此造成本合同项目停滞、延误或失败的，乙方应当承担给甲方造成的损失赔偿责任。</w:t>
      </w:r>
    </w:p>
    <w:p>
      <w:pPr>
        <w:spacing w:line="360" w:lineRule="auto"/>
        <w:ind w:firstLine="480" w:firstLineChars="200"/>
        <w:rPr>
          <w:rFonts w:ascii="宋体" w:eastAsia="宋体"/>
          <w:spacing w:val="0"/>
        </w:rPr>
      </w:pPr>
      <w:r>
        <w:rPr>
          <w:rFonts w:hint="eastAsia" w:ascii="宋体" w:eastAsia="宋体"/>
          <w:spacing w:val="0"/>
        </w:rPr>
        <w:t>15.7除本条、附件五《服务水平协议（SLA）》及</w:t>
      </w:r>
      <w:r>
        <w:rPr>
          <w:rFonts w:ascii="宋体" w:eastAsia="宋体"/>
          <w:spacing w:val="0"/>
        </w:rPr>
        <w:t>其他条款</w:t>
      </w:r>
      <w:r>
        <w:rPr>
          <w:rFonts w:hint="eastAsia" w:ascii="宋体" w:eastAsia="宋体"/>
          <w:spacing w:val="0"/>
        </w:rPr>
        <w:t>另有约定外，乙方违反本合同任一条款的，应向甲方支付合同总额</w:t>
      </w:r>
      <w:r>
        <w:rPr>
          <w:rFonts w:ascii="宋体" w:eastAsia="宋体"/>
          <w:spacing w:val="0"/>
        </w:rPr>
        <w:t>5</w:t>
      </w:r>
      <w:r>
        <w:rPr>
          <w:rFonts w:hint="eastAsia" w:ascii="宋体" w:eastAsia="宋体"/>
          <w:spacing w:val="0"/>
        </w:rPr>
        <w:t>%的违约金并赔偿甲方产生的损失。</w:t>
      </w:r>
    </w:p>
    <w:p>
      <w:pPr>
        <w:spacing w:line="360" w:lineRule="auto"/>
        <w:ind w:firstLine="480" w:firstLineChars="200"/>
        <w:rPr>
          <w:rFonts w:ascii="宋体" w:eastAsia="宋体"/>
          <w:spacing w:val="0"/>
        </w:rPr>
      </w:pPr>
      <w:r>
        <w:rPr>
          <w:rFonts w:hint="eastAsia" w:ascii="宋体" w:eastAsia="宋体"/>
          <w:spacing w:val="0"/>
        </w:rPr>
        <w:t>15.8本合同项下乙方应支付的违约金、赔偿金等，甲方均有权从应支付给乙方的款项中优先扣除，若有不足，乙方应另行筹措资金补足。</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第十六条 合同的解除</w:t>
      </w:r>
    </w:p>
    <w:p>
      <w:pPr>
        <w:spacing w:line="360" w:lineRule="auto"/>
        <w:ind w:firstLine="480" w:firstLineChars="200"/>
        <w:rPr>
          <w:rFonts w:ascii="宋体" w:eastAsia="宋体"/>
          <w:spacing w:val="0"/>
        </w:rPr>
      </w:pPr>
      <w:r>
        <w:rPr>
          <w:rFonts w:hint="eastAsia" w:ascii="宋体" w:eastAsia="宋体"/>
          <w:spacing w:val="0"/>
        </w:rPr>
        <w:t>16.1如果满足以下条件，任一方在通知对方后，都可以解除本合同。</w:t>
      </w:r>
    </w:p>
    <w:p>
      <w:pPr>
        <w:spacing w:line="360" w:lineRule="auto"/>
        <w:ind w:firstLine="480" w:firstLineChars="200"/>
        <w:rPr>
          <w:rFonts w:ascii="宋体" w:eastAsia="宋体"/>
          <w:spacing w:val="0"/>
        </w:rPr>
      </w:pPr>
      <w:r>
        <w:rPr>
          <w:rFonts w:hint="eastAsia" w:ascii="宋体" w:eastAsia="宋体"/>
          <w:spacing w:val="0"/>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spacing w:line="360" w:lineRule="auto"/>
        <w:ind w:firstLine="480" w:firstLineChars="200"/>
        <w:rPr>
          <w:rFonts w:ascii="宋体" w:eastAsia="宋体"/>
          <w:spacing w:val="0"/>
        </w:rPr>
      </w:pPr>
      <w:r>
        <w:rPr>
          <w:rFonts w:hint="eastAsia" w:ascii="宋体" w:eastAsia="宋体"/>
          <w:spacing w:val="0"/>
        </w:rPr>
        <w:t>（2）当一方按正常程序停止经营业务、破产、处于付款拖欠、延期偿付、公司重组或倒闭状况，或全部转让利润与债权人、书面承认无力偿还到期债务、委派清算人清算其业务或财产。</w:t>
      </w:r>
    </w:p>
    <w:p>
      <w:pPr>
        <w:spacing w:line="360" w:lineRule="auto"/>
        <w:ind w:firstLine="480" w:firstLineChars="200"/>
        <w:rPr>
          <w:rFonts w:ascii="宋体" w:eastAsia="宋体"/>
          <w:spacing w:val="0"/>
        </w:rPr>
      </w:pPr>
      <w:r>
        <w:rPr>
          <w:rFonts w:hint="eastAsia" w:ascii="宋体" w:eastAsia="宋体"/>
          <w:spacing w:val="0"/>
        </w:rPr>
        <w:t>16.2除本合同约定的情形外，甲方若认为乙方无法胜任本合同项下工作的，有权随时通知乙方后解除本合同。甲方除据实与乙方结算费用外，不承担其他违约责任。</w:t>
      </w:r>
    </w:p>
    <w:p>
      <w:pPr>
        <w:spacing w:line="360" w:lineRule="auto"/>
        <w:ind w:firstLine="480" w:firstLineChars="200"/>
        <w:rPr>
          <w:rFonts w:ascii="宋体" w:eastAsia="宋体"/>
          <w:spacing w:val="0"/>
        </w:rPr>
      </w:pPr>
      <w:r>
        <w:rPr>
          <w:rFonts w:hint="eastAsia" w:ascii="宋体" w:eastAsia="宋体"/>
          <w:spacing w:val="0"/>
        </w:rPr>
        <w:t>16.3当本合同以任何原因解除</w:t>
      </w:r>
      <w:r>
        <w:rPr>
          <w:rFonts w:ascii="宋体" w:eastAsia="宋体"/>
          <w:spacing w:val="0"/>
        </w:rPr>
        <w:t>或</w:t>
      </w:r>
      <w:r>
        <w:rPr>
          <w:rFonts w:hint="eastAsia" w:ascii="宋体" w:eastAsia="宋体"/>
          <w:spacing w:val="0"/>
        </w:rPr>
        <w:t>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pPr>
        <w:spacing w:line="360" w:lineRule="auto"/>
        <w:ind w:firstLine="482" w:firstLineChars="200"/>
        <w:rPr>
          <w:rFonts w:ascii="宋体" w:eastAsia="宋体"/>
          <w:b/>
          <w:spacing w:val="0"/>
        </w:rPr>
      </w:pPr>
    </w:p>
    <w:p>
      <w:pPr>
        <w:rPr>
          <w:rFonts w:ascii="宋体" w:eastAsia="宋体"/>
          <w:b/>
          <w:spacing w:val="0"/>
        </w:rPr>
      </w:pPr>
      <w:r>
        <w:rPr>
          <w:rFonts w:hint="eastAsia" w:ascii="宋体" w:eastAsia="宋体"/>
          <w:b/>
          <w:spacing w:val="0"/>
        </w:rPr>
        <w:t>第十七条 合同变更及转让</w:t>
      </w:r>
    </w:p>
    <w:p>
      <w:pPr>
        <w:spacing w:line="360" w:lineRule="auto"/>
        <w:ind w:firstLine="480" w:firstLineChars="200"/>
        <w:rPr>
          <w:rFonts w:ascii="宋体" w:eastAsia="宋体"/>
          <w:spacing w:val="0"/>
        </w:rPr>
      </w:pPr>
      <w:r>
        <w:rPr>
          <w:rFonts w:hint="eastAsia" w:ascii="宋体" w:eastAsia="宋体"/>
          <w:spacing w:val="0"/>
        </w:rPr>
        <w:t>17.1对本合同及其附件的内容进行变更，必须经双方协商一致并签订补充协议，方能生效，本合同另有约定的除外。</w:t>
      </w:r>
    </w:p>
    <w:p>
      <w:pPr>
        <w:spacing w:line="360" w:lineRule="auto"/>
        <w:ind w:firstLine="480" w:firstLineChars="200"/>
        <w:rPr>
          <w:rFonts w:ascii="宋体" w:eastAsia="宋体"/>
          <w:spacing w:val="0"/>
        </w:rPr>
      </w:pPr>
      <w:r>
        <w:rPr>
          <w:rFonts w:hint="eastAsia" w:ascii="宋体" w:eastAsia="宋体"/>
          <w:spacing w:val="0"/>
        </w:rPr>
        <w:t>17.2本合同双方在未取得对方事先书面同意的前提下，均不得将各自本合同项下的任何权利或义务转让给第三方。</w:t>
      </w:r>
    </w:p>
    <w:p>
      <w:pPr>
        <w:spacing w:line="360" w:lineRule="auto"/>
        <w:ind w:firstLine="482" w:firstLineChars="200"/>
        <w:rPr>
          <w:rFonts w:ascii="宋体" w:eastAsia="宋体"/>
          <w:b/>
          <w:spacing w:val="0"/>
        </w:rPr>
      </w:pPr>
    </w:p>
    <w:p>
      <w:pPr>
        <w:rPr>
          <w:rFonts w:ascii="宋体" w:eastAsia="宋体"/>
          <w:b/>
          <w:spacing w:val="0"/>
        </w:rPr>
      </w:pPr>
      <w:r>
        <w:rPr>
          <w:rFonts w:hint="eastAsia" w:ascii="宋体" w:eastAsia="宋体"/>
          <w:b/>
          <w:spacing w:val="0"/>
        </w:rPr>
        <w:t>第十八条 争议解决</w:t>
      </w:r>
    </w:p>
    <w:p>
      <w:pPr>
        <w:spacing w:line="360" w:lineRule="auto"/>
        <w:ind w:firstLine="480" w:firstLineChars="200"/>
        <w:rPr>
          <w:rFonts w:ascii="宋体" w:eastAsia="宋体"/>
          <w:spacing w:val="0"/>
        </w:rPr>
      </w:pPr>
      <w:r>
        <w:rPr>
          <w:rFonts w:hint="eastAsia" w:ascii="宋体" w:eastAsia="宋体"/>
          <w:spacing w:val="0"/>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rPr>
        <w:t>委员会按照该会届时有效的仲裁规则</w:t>
      </w:r>
      <w:r>
        <w:rPr>
          <w:rFonts w:hint="eastAsia" w:ascii="宋体" w:eastAsia="宋体"/>
          <w:spacing w:val="0"/>
        </w:rPr>
        <w:t>申请</w:t>
      </w:r>
      <w:r>
        <w:rPr>
          <w:rFonts w:ascii="宋体" w:eastAsia="宋体"/>
          <w:spacing w:val="0"/>
        </w:rPr>
        <w:t>仲裁，仲裁裁决是终局性的，对双方均有约束力</w:t>
      </w:r>
      <w:r>
        <w:rPr>
          <w:rFonts w:hint="eastAsia" w:ascii="宋体" w:eastAsia="宋体"/>
          <w:spacing w:val="0"/>
        </w:rPr>
        <w:t>。</w:t>
      </w:r>
    </w:p>
    <w:p>
      <w:pPr>
        <w:spacing w:line="360" w:lineRule="auto"/>
        <w:ind w:firstLine="480" w:firstLineChars="200"/>
        <w:rPr>
          <w:rFonts w:ascii="宋体" w:eastAsia="宋体"/>
          <w:spacing w:val="0"/>
        </w:rPr>
      </w:pPr>
    </w:p>
    <w:p>
      <w:pPr>
        <w:rPr>
          <w:rFonts w:ascii="宋体" w:eastAsia="宋体"/>
          <w:b/>
          <w:spacing w:val="0"/>
        </w:rPr>
      </w:pPr>
      <w:r>
        <w:rPr>
          <w:rFonts w:hint="eastAsia" w:ascii="宋体" w:eastAsia="宋体"/>
          <w:b/>
          <w:spacing w:val="0"/>
        </w:rPr>
        <w:t>第十九条 通知与送达</w:t>
      </w:r>
    </w:p>
    <w:p>
      <w:pPr>
        <w:spacing w:line="360" w:lineRule="auto"/>
        <w:ind w:firstLine="480" w:firstLineChars="200"/>
        <w:rPr>
          <w:rFonts w:ascii="宋体" w:eastAsia="宋体"/>
          <w:spacing w:val="0"/>
        </w:rPr>
      </w:pPr>
      <w:r>
        <w:rPr>
          <w:rFonts w:hint="eastAsia" w:ascii="宋体" w:eastAsia="宋体"/>
          <w:spacing w:val="0"/>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autoSpaceDE w:val="0"/>
        <w:autoSpaceDN w:val="0"/>
        <w:adjustRightInd w:val="0"/>
        <w:spacing w:line="336" w:lineRule="auto"/>
        <w:ind w:firstLine="537" w:firstLineChars="224"/>
        <w:jc w:val="left"/>
        <w:rPr>
          <w:rFonts w:ascii="宋体" w:eastAsia="宋体"/>
          <w:spacing w:val="0"/>
        </w:rPr>
      </w:pPr>
      <w:r>
        <w:rPr>
          <w:rFonts w:hint="eastAsia" w:ascii="宋体" w:eastAsia="宋体"/>
          <w:spacing w:val="0"/>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autoSpaceDE w:val="0"/>
        <w:autoSpaceDN w:val="0"/>
        <w:adjustRightInd w:val="0"/>
        <w:spacing w:line="336" w:lineRule="auto"/>
        <w:ind w:firstLine="537" w:firstLineChars="224"/>
        <w:jc w:val="left"/>
        <w:rPr>
          <w:rFonts w:ascii="宋体" w:eastAsia="宋体"/>
          <w:spacing w:val="0"/>
        </w:rPr>
      </w:pPr>
    </w:p>
    <w:p>
      <w:pPr>
        <w:rPr>
          <w:rFonts w:ascii="宋体" w:eastAsia="宋体"/>
          <w:b/>
          <w:spacing w:val="0"/>
        </w:rPr>
      </w:pPr>
      <w:r>
        <w:rPr>
          <w:rFonts w:hint="eastAsia" w:ascii="宋体" w:eastAsia="宋体"/>
          <w:b/>
          <w:spacing w:val="0"/>
        </w:rPr>
        <w:t>第二十条 合同生效</w:t>
      </w:r>
    </w:p>
    <w:p>
      <w:pPr>
        <w:spacing w:line="360" w:lineRule="auto"/>
        <w:ind w:firstLine="480" w:firstLineChars="200"/>
        <w:rPr>
          <w:rFonts w:ascii="宋体" w:eastAsia="宋体"/>
          <w:spacing w:val="0"/>
        </w:rPr>
      </w:pPr>
      <w:r>
        <w:rPr>
          <w:rFonts w:hint="eastAsia" w:ascii="宋体" w:eastAsia="宋体"/>
          <w:spacing w:val="0"/>
        </w:rPr>
        <w:t>本合同自下列条件全部满足之日起生效：</w:t>
      </w:r>
    </w:p>
    <w:p>
      <w:pPr>
        <w:spacing w:line="360" w:lineRule="auto"/>
        <w:ind w:firstLine="480" w:firstLineChars="200"/>
        <w:rPr>
          <w:rFonts w:ascii="宋体" w:eastAsia="宋体"/>
          <w:spacing w:val="0"/>
        </w:rPr>
      </w:pPr>
      <w:r>
        <w:rPr>
          <w:rFonts w:hint="eastAsia" w:ascii="宋体" w:eastAsia="宋体"/>
          <w:spacing w:val="0"/>
        </w:rPr>
        <w:t>双方对本合同及其全部附件内容达成一致并加盖公章。</w:t>
      </w:r>
    </w:p>
    <w:p>
      <w:pPr>
        <w:spacing w:line="360" w:lineRule="auto"/>
        <w:ind w:firstLine="482" w:firstLineChars="200"/>
        <w:rPr>
          <w:rFonts w:ascii="宋体" w:eastAsia="宋体"/>
          <w:b/>
          <w:spacing w:val="0"/>
        </w:rPr>
      </w:pPr>
    </w:p>
    <w:p>
      <w:pPr>
        <w:rPr>
          <w:rFonts w:ascii="宋体" w:eastAsia="宋体"/>
          <w:b/>
          <w:spacing w:val="0"/>
        </w:rPr>
      </w:pPr>
      <w:r>
        <w:rPr>
          <w:rFonts w:hint="eastAsia" w:ascii="宋体" w:eastAsia="宋体"/>
          <w:b/>
          <w:spacing w:val="0"/>
        </w:rPr>
        <w:t>第二十一条 不可抗力</w:t>
      </w:r>
    </w:p>
    <w:p>
      <w:pPr>
        <w:spacing w:line="360" w:lineRule="auto"/>
        <w:ind w:firstLine="480" w:firstLineChars="200"/>
        <w:rPr>
          <w:rFonts w:ascii="宋体" w:eastAsia="宋体"/>
          <w:spacing w:val="0"/>
          <w:kern w:val="0"/>
        </w:rPr>
      </w:pPr>
      <w:r>
        <w:rPr>
          <w:rFonts w:hint="eastAsia" w:ascii="宋体" w:eastAsia="宋体"/>
          <w:spacing w:val="0"/>
          <w:kern w:val="0"/>
        </w:rPr>
        <w:t>21.1不可抗力是指本合同生效后，发生不能预见并且对其发生和后果不能防止或避免的事件，如地震、台风、水灾、火灾、战争、传染病等，致使直接影响本合同的履行或不能按约定的条件履行。</w:t>
      </w:r>
    </w:p>
    <w:p>
      <w:pPr>
        <w:spacing w:line="360" w:lineRule="auto"/>
        <w:ind w:firstLine="480" w:firstLineChars="200"/>
        <w:rPr>
          <w:rFonts w:ascii="宋体" w:eastAsia="宋体"/>
          <w:spacing w:val="0"/>
          <w:kern w:val="0"/>
        </w:rPr>
      </w:pPr>
      <w:r>
        <w:rPr>
          <w:rFonts w:hint="eastAsia" w:ascii="宋体" w:eastAsia="宋体"/>
          <w:spacing w:val="0"/>
          <w:kern w:val="0"/>
        </w:rPr>
        <w:t>21.2发生不可抗力的一方应立即通知对方，并在十五天内提供不可抗力的详情及将有关证明文件送交对方。</w:t>
      </w:r>
    </w:p>
    <w:p>
      <w:pPr>
        <w:spacing w:line="360" w:lineRule="auto"/>
        <w:ind w:firstLine="480" w:firstLineChars="200"/>
        <w:rPr>
          <w:rFonts w:ascii="宋体" w:eastAsia="宋体"/>
          <w:spacing w:val="0"/>
          <w:kern w:val="0"/>
        </w:rPr>
      </w:pPr>
      <w:r>
        <w:rPr>
          <w:rFonts w:hint="eastAsia" w:ascii="宋体" w:eastAsia="宋体"/>
          <w:spacing w:val="0"/>
          <w:kern w:val="0"/>
        </w:rPr>
        <w:t>21.3发生不可抗力事件时，甲乙双方应协商以寻找一个合理的解决方法，并尽一切努力减轻不可抗力产生的后果。</w:t>
      </w:r>
    </w:p>
    <w:p>
      <w:pPr>
        <w:spacing w:line="360" w:lineRule="auto"/>
        <w:ind w:firstLine="480" w:firstLineChars="200"/>
        <w:rPr>
          <w:rFonts w:ascii="宋体" w:eastAsia="宋体"/>
          <w:spacing w:val="0"/>
          <w:kern w:val="0"/>
        </w:rPr>
      </w:pPr>
      <w:r>
        <w:rPr>
          <w:rFonts w:hint="eastAsia" w:ascii="宋体" w:eastAsia="宋体"/>
          <w:spacing w:val="0"/>
          <w:kern w:val="0"/>
        </w:rPr>
        <w:t>21.4如不可抗力事件持续三十天时，甲乙双方应友好协商解决本合同是否继续履行或终止的问题。</w:t>
      </w:r>
    </w:p>
    <w:p>
      <w:pPr>
        <w:spacing w:line="360" w:lineRule="auto"/>
        <w:ind w:firstLine="482" w:firstLineChars="200"/>
        <w:rPr>
          <w:rFonts w:ascii="宋体" w:eastAsia="宋体"/>
          <w:b/>
          <w:spacing w:val="0"/>
        </w:rPr>
      </w:pPr>
    </w:p>
    <w:p>
      <w:pPr>
        <w:rPr>
          <w:rFonts w:ascii="宋体" w:eastAsia="宋体"/>
          <w:b/>
          <w:spacing w:val="0"/>
        </w:rPr>
      </w:pPr>
      <w:r>
        <w:rPr>
          <w:rFonts w:hint="eastAsia" w:ascii="宋体" w:eastAsia="宋体"/>
          <w:b/>
          <w:spacing w:val="0"/>
        </w:rPr>
        <w:t>第二十二条 反商业贿赂</w:t>
      </w:r>
    </w:p>
    <w:p>
      <w:pPr>
        <w:spacing w:line="360" w:lineRule="auto"/>
        <w:ind w:firstLine="480" w:firstLineChars="200"/>
        <w:rPr>
          <w:rFonts w:ascii="宋体" w:eastAsia="宋体"/>
          <w:spacing w:val="0"/>
        </w:rPr>
      </w:pPr>
      <w:r>
        <w:rPr>
          <w:rFonts w:hint="eastAsia" w:ascii="宋体" w:eastAsia="宋体"/>
          <w:spacing w:val="0"/>
        </w:rPr>
        <w:t>乙方不得对甲方或甲方任何员工有任何商业贿赂的行为，否则经查证属实后，乙方应对甲方赔付相当于合同总额50%的赔偿金。该条在法律允许的范围内，不受任何免责或限制责任的条款制约。</w:t>
      </w:r>
    </w:p>
    <w:p>
      <w:pPr>
        <w:spacing w:line="360" w:lineRule="auto"/>
        <w:ind w:firstLine="482" w:firstLineChars="200"/>
        <w:rPr>
          <w:rFonts w:ascii="宋体" w:eastAsia="宋体"/>
          <w:b/>
          <w:spacing w:val="0"/>
        </w:rPr>
      </w:pPr>
    </w:p>
    <w:p>
      <w:pPr>
        <w:rPr>
          <w:rFonts w:ascii="宋体" w:eastAsia="宋体"/>
          <w:b/>
          <w:spacing w:val="0"/>
        </w:rPr>
      </w:pPr>
      <w:r>
        <w:rPr>
          <w:rFonts w:hint="eastAsia" w:ascii="宋体" w:eastAsia="宋体"/>
          <w:b/>
          <w:spacing w:val="0"/>
        </w:rPr>
        <w:t>第二十三条 附件</w:t>
      </w:r>
    </w:p>
    <w:p>
      <w:pPr>
        <w:spacing w:line="360" w:lineRule="auto"/>
        <w:ind w:firstLine="559" w:firstLineChars="233"/>
        <w:rPr>
          <w:rFonts w:ascii="宋体" w:eastAsia="宋体"/>
          <w:spacing w:val="0"/>
        </w:rPr>
      </w:pPr>
      <w:r>
        <w:rPr>
          <w:rFonts w:hint="eastAsia" w:ascii="宋体" w:eastAsia="宋体"/>
          <w:spacing w:val="0"/>
        </w:rPr>
        <w:t>本合同的附件与合同正本具有同等法律效力，主合同与附件如有冲突，以主合同为准。本合同附件如下：</w:t>
      </w:r>
    </w:p>
    <w:p>
      <w:pPr>
        <w:spacing w:line="360" w:lineRule="auto"/>
        <w:ind w:left="560"/>
        <w:rPr>
          <w:rFonts w:ascii="宋体" w:eastAsia="宋体"/>
          <w:spacing w:val="0"/>
        </w:rPr>
      </w:pPr>
      <w:r>
        <w:rPr>
          <w:rFonts w:hint="eastAsia" w:ascii="宋体" w:eastAsia="宋体"/>
          <w:spacing w:val="0"/>
        </w:rPr>
        <w:t>附件一：工作（需求）说明书</w:t>
      </w:r>
    </w:p>
    <w:p>
      <w:pPr>
        <w:spacing w:line="360" w:lineRule="auto"/>
        <w:ind w:left="560"/>
        <w:rPr>
          <w:rFonts w:ascii="宋体" w:eastAsia="宋体"/>
          <w:spacing w:val="0"/>
        </w:rPr>
      </w:pPr>
      <w:r>
        <w:rPr>
          <w:rFonts w:hint="eastAsia" w:ascii="宋体" w:eastAsia="宋体"/>
          <w:spacing w:val="0"/>
        </w:rPr>
        <w:t>附件二：项目人员名单及人员应急退出机制</w:t>
      </w:r>
    </w:p>
    <w:p>
      <w:pPr>
        <w:spacing w:line="360" w:lineRule="auto"/>
        <w:ind w:left="560"/>
        <w:rPr>
          <w:rFonts w:ascii="宋体" w:eastAsia="宋体"/>
          <w:spacing w:val="0"/>
        </w:rPr>
      </w:pPr>
      <w:r>
        <w:rPr>
          <w:rFonts w:hint="eastAsia" w:ascii="宋体" w:eastAsia="宋体"/>
          <w:spacing w:val="0"/>
        </w:rPr>
        <w:t>附件三：验收标准及流程</w:t>
      </w:r>
    </w:p>
    <w:p>
      <w:pPr>
        <w:spacing w:line="360" w:lineRule="auto"/>
        <w:ind w:left="560"/>
        <w:rPr>
          <w:rFonts w:ascii="宋体" w:eastAsia="宋体"/>
          <w:spacing w:val="0"/>
        </w:rPr>
      </w:pPr>
      <w:r>
        <w:rPr>
          <w:rFonts w:hint="eastAsia" w:ascii="宋体" w:eastAsia="宋体"/>
          <w:spacing w:val="0"/>
        </w:rPr>
        <w:t>附件四：维护服务条款</w:t>
      </w:r>
    </w:p>
    <w:p>
      <w:pPr>
        <w:spacing w:line="360" w:lineRule="auto"/>
        <w:ind w:left="560"/>
        <w:rPr>
          <w:rFonts w:ascii="宋体" w:eastAsia="宋体"/>
          <w:spacing w:val="0"/>
        </w:rPr>
      </w:pPr>
      <w:r>
        <w:rPr>
          <w:rFonts w:hint="eastAsia" w:ascii="宋体" w:eastAsia="宋体"/>
          <w:spacing w:val="0"/>
        </w:rPr>
        <w:t>附件五：服务水平协议（SLA）</w:t>
      </w:r>
    </w:p>
    <w:p>
      <w:pPr>
        <w:spacing w:line="360" w:lineRule="auto"/>
        <w:ind w:left="560"/>
        <w:rPr>
          <w:rFonts w:ascii="宋体" w:eastAsia="宋体"/>
          <w:spacing w:val="0"/>
        </w:rPr>
      </w:pPr>
      <w:r>
        <w:rPr>
          <w:rFonts w:hint="eastAsia" w:ascii="宋体" w:eastAsia="宋体"/>
          <w:spacing w:val="0"/>
        </w:rPr>
        <w:t>附件六：服务连续性预案</w:t>
      </w:r>
    </w:p>
    <w:p>
      <w:pPr>
        <w:spacing w:line="360" w:lineRule="auto"/>
        <w:ind w:left="560"/>
        <w:rPr>
          <w:rFonts w:ascii="宋体" w:eastAsia="宋体"/>
          <w:spacing w:val="0"/>
        </w:rPr>
      </w:pPr>
    </w:p>
    <w:p>
      <w:pPr>
        <w:rPr>
          <w:rFonts w:ascii="宋体" w:eastAsia="宋体"/>
          <w:b/>
          <w:spacing w:val="0"/>
        </w:rPr>
      </w:pPr>
      <w:r>
        <w:rPr>
          <w:rFonts w:hint="eastAsia" w:ascii="宋体" w:eastAsia="宋体"/>
          <w:b/>
          <w:spacing w:val="0"/>
        </w:rPr>
        <w:t>第二十四条 其他</w:t>
      </w:r>
    </w:p>
    <w:p>
      <w:pPr>
        <w:pStyle w:val="13"/>
        <w:spacing w:before="50" w:beforeLines="0" w:line="360" w:lineRule="auto"/>
        <w:rPr>
          <w:rFonts w:ascii="宋体" w:eastAsia="宋体"/>
          <w:spacing w:val="0"/>
        </w:rPr>
      </w:pPr>
      <w:r>
        <w:rPr>
          <w:rStyle w:val="36"/>
          <w:rFonts w:hint="eastAsia" w:ascii="宋体" w:eastAsia="宋体"/>
          <w:spacing w:val="0"/>
          <w:kern w:val="0"/>
        </w:rPr>
        <w:t>24.1除本</w:t>
      </w:r>
      <w:r>
        <w:rPr>
          <w:rFonts w:hint="eastAsia" w:ascii="宋体" w:eastAsia="宋体"/>
          <w:spacing w:val="0"/>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3"/>
        <w:spacing w:before="50" w:beforeLines="0" w:line="360" w:lineRule="auto"/>
        <w:rPr>
          <w:rFonts w:ascii="宋体" w:eastAsia="宋体"/>
          <w:spacing w:val="0"/>
        </w:rPr>
      </w:pPr>
      <w:r>
        <w:rPr>
          <w:rFonts w:hint="eastAsia" w:ascii="宋体" w:eastAsia="宋体"/>
          <w:spacing w:val="0"/>
        </w:rPr>
        <w:t>24.</w:t>
      </w:r>
      <w:r>
        <w:rPr>
          <w:rStyle w:val="36"/>
          <w:rFonts w:hint="eastAsia" w:ascii="宋体" w:eastAsia="宋体"/>
          <w:spacing w:val="0"/>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rPr>
        <w:t>同其他条款或内容的合法性、有效性和可执行性不受影响。</w:t>
      </w:r>
    </w:p>
    <w:p>
      <w:pPr>
        <w:spacing w:line="360" w:lineRule="auto"/>
        <w:ind w:firstLine="480" w:firstLineChars="200"/>
        <w:rPr>
          <w:rFonts w:ascii="宋体" w:eastAsia="宋体"/>
          <w:spacing w:val="0"/>
        </w:rPr>
      </w:pPr>
      <w:r>
        <w:rPr>
          <w:rStyle w:val="36"/>
          <w:rFonts w:hint="eastAsia" w:ascii="宋体" w:eastAsia="宋体"/>
          <w:spacing w:val="0"/>
          <w:kern w:val="0"/>
        </w:rPr>
        <w:t>24.3本</w:t>
      </w:r>
      <w:r>
        <w:rPr>
          <w:rFonts w:hint="eastAsia" w:ascii="宋体" w:eastAsia="宋体"/>
          <w:spacing w:val="0"/>
        </w:rPr>
        <w:t>合同签订后，如需要就与合同执行有关的事项签订补充合同，应由双方加盖公章后，补充合同即生效。</w:t>
      </w:r>
      <w:r>
        <w:rPr>
          <w:rFonts w:ascii="宋体" w:eastAsia="宋体"/>
          <w:spacing w:val="0"/>
        </w:rPr>
        <w:t>本合同附件为本合同的组成部分，本</w:t>
      </w:r>
      <w:r>
        <w:rPr>
          <w:rFonts w:hint="eastAsia" w:ascii="宋体" w:eastAsia="宋体"/>
          <w:spacing w:val="0"/>
        </w:rPr>
        <w:t>合同与附件如有冲突，以</w:t>
      </w:r>
      <w:r>
        <w:rPr>
          <w:rFonts w:ascii="宋体" w:eastAsia="宋体"/>
          <w:spacing w:val="0"/>
        </w:rPr>
        <w:t>本</w:t>
      </w:r>
      <w:r>
        <w:rPr>
          <w:rFonts w:hint="eastAsia" w:ascii="宋体" w:eastAsia="宋体"/>
          <w:spacing w:val="0"/>
        </w:rPr>
        <w:t>合同为准。</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24.4本合同以中文版本为准，除非本合同明确规定或双方另有约定，为履行本合同的所有文件及信函均以中文书写。</w:t>
      </w:r>
    </w:p>
    <w:p>
      <w:pPr>
        <w:spacing w:line="360" w:lineRule="auto"/>
        <w:ind w:firstLine="480" w:firstLineChars="200"/>
        <w:rPr>
          <w:rFonts w:ascii="宋体" w:eastAsia="宋体"/>
          <w:b/>
          <w:i/>
          <w:spacing w:val="0"/>
        </w:rPr>
      </w:pPr>
      <w:r>
        <w:rPr>
          <w:rStyle w:val="36"/>
          <w:rFonts w:hint="eastAsia" w:ascii="宋体" w:eastAsia="宋体"/>
          <w:spacing w:val="0"/>
          <w:kern w:val="0"/>
        </w:rPr>
        <w:t>24.5本合同一式肆份，甲方执贰份，乙方执贰份，每份具有同等法律</w:t>
      </w:r>
      <w:r>
        <w:rPr>
          <w:rFonts w:hint="eastAsia" w:ascii="宋体" w:eastAsia="宋体"/>
          <w:spacing w:val="0"/>
        </w:rPr>
        <w:t>效力。</w:t>
      </w:r>
    </w:p>
    <w:p>
      <w:pPr>
        <w:spacing w:line="360" w:lineRule="auto"/>
        <w:rPr>
          <w:rFonts w:ascii="宋体" w:eastAsia="宋体"/>
          <w:b/>
          <w:iCs/>
          <w:spacing w:val="0"/>
        </w:rPr>
      </w:pPr>
      <w:r>
        <w:rPr>
          <w:rFonts w:hint="eastAsia" w:ascii="宋体" w:eastAsia="宋体"/>
          <w:b/>
          <w:iCs/>
          <w:spacing w:val="0"/>
        </w:rPr>
        <w:t>（以下无正文）</w:t>
      </w:r>
    </w:p>
    <w:p>
      <w:pPr>
        <w:spacing w:line="360" w:lineRule="auto"/>
        <w:rPr>
          <w:rFonts w:ascii="宋体" w:eastAsia="宋体"/>
          <w:b/>
          <w:iCs/>
          <w:spacing w:val="0"/>
        </w:rPr>
      </w:pPr>
    </w:p>
    <w:p>
      <w:pPr>
        <w:spacing w:line="360" w:lineRule="auto"/>
        <w:rPr>
          <w:rFonts w:ascii="宋体" w:eastAsia="宋体"/>
          <w:b/>
          <w:i/>
          <w:spacing w:val="0"/>
        </w:rPr>
      </w:pPr>
    </w:p>
    <w:p>
      <w:pPr>
        <w:spacing w:line="360" w:lineRule="auto"/>
        <w:rPr>
          <w:rFonts w:ascii="宋体" w:eastAsia="宋体"/>
          <w:b/>
          <w:i/>
          <w:spacing w:val="0"/>
        </w:rPr>
      </w:pPr>
    </w:p>
    <w:p>
      <w:pPr>
        <w:tabs>
          <w:tab w:val="left" w:pos="851"/>
        </w:tabs>
        <w:adjustRightInd w:val="0"/>
        <w:spacing w:line="360" w:lineRule="auto"/>
        <w:textAlignment w:val="baseline"/>
        <w:rPr>
          <w:rFonts w:ascii="宋体" w:eastAsia="宋体"/>
          <w:spacing w:val="0"/>
          <w:kern w:val="0"/>
        </w:rPr>
      </w:pPr>
      <w:r>
        <w:rPr>
          <w:rFonts w:hint="eastAsia" w:ascii="宋体" w:eastAsia="宋体"/>
          <w:spacing w:val="0"/>
          <w:kern w:val="0"/>
        </w:rPr>
        <w:t>甲方：</w:t>
      </w:r>
      <w:r>
        <w:rPr>
          <w:rFonts w:hint="eastAsia" w:ascii="宋体" w:eastAsia="宋体"/>
          <w:b/>
          <w:spacing w:val="0"/>
        </w:rPr>
        <w:t>重庆三峡银行股份有限公司</w:t>
      </w:r>
      <w:r>
        <w:rPr>
          <w:rFonts w:hint="eastAsia" w:ascii="宋体" w:eastAsia="宋体"/>
          <w:spacing w:val="0"/>
          <w:kern w:val="0"/>
        </w:rPr>
        <w:t>（公章）</w:t>
      </w:r>
    </w:p>
    <w:p>
      <w:pPr>
        <w:spacing w:line="360" w:lineRule="auto"/>
        <w:rPr>
          <w:rFonts w:ascii="宋体" w:eastAsia="宋体"/>
          <w:spacing w:val="0"/>
        </w:rPr>
      </w:pPr>
    </w:p>
    <w:p>
      <w:pPr>
        <w:tabs>
          <w:tab w:val="left" w:pos="851"/>
        </w:tabs>
        <w:adjustRightInd w:val="0"/>
        <w:spacing w:line="360" w:lineRule="auto"/>
        <w:ind w:firstLine="720" w:firstLineChars="300"/>
        <w:textAlignment w:val="baseline"/>
        <w:rPr>
          <w:rFonts w:ascii="宋体" w:eastAsia="宋体"/>
          <w:spacing w:val="0"/>
          <w:kern w:val="0"/>
        </w:rPr>
      </w:pPr>
    </w:p>
    <w:p>
      <w:pPr>
        <w:spacing w:line="360" w:lineRule="auto"/>
        <w:rPr>
          <w:rFonts w:ascii="宋体" w:eastAsia="宋体"/>
          <w:spacing w:val="0"/>
        </w:rPr>
      </w:pPr>
    </w:p>
    <w:p>
      <w:pPr>
        <w:spacing w:line="360" w:lineRule="auto"/>
        <w:rPr>
          <w:rFonts w:ascii="宋体" w:eastAsia="宋体"/>
          <w:spacing w:val="0"/>
        </w:rPr>
      </w:pPr>
      <w:r>
        <w:rPr>
          <w:rFonts w:hint="eastAsia" w:ascii="宋体" w:eastAsia="宋体"/>
          <w:spacing w:val="0"/>
        </w:rPr>
        <w:t>乙方：</w:t>
      </w:r>
      <w:r>
        <w:rPr>
          <w:rFonts w:hint="eastAsia" w:ascii="宋体" w:eastAsia="宋体"/>
          <w:b/>
          <w:spacing w:val="0"/>
        </w:rPr>
        <w:t>X</w:t>
      </w:r>
      <w:r>
        <w:rPr>
          <w:rFonts w:ascii="宋体" w:eastAsia="宋体"/>
          <w:b/>
          <w:spacing w:val="0"/>
        </w:rPr>
        <w:t>XXXXXXXXXXXXXXX</w:t>
      </w:r>
      <w:r>
        <w:rPr>
          <w:rFonts w:hint="eastAsia" w:ascii="宋体" w:eastAsia="宋体"/>
          <w:b/>
          <w:spacing w:val="0"/>
        </w:rPr>
        <w:t>公司</w:t>
      </w:r>
      <w:r>
        <w:rPr>
          <w:rFonts w:hint="eastAsia" w:ascii="宋体" w:eastAsia="宋体"/>
          <w:spacing w:val="0"/>
        </w:rPr>
        <w:t>（公章）</w:t>
      </w:r>
    </w:p>
    <w:p>
      <w:pPr>
        <w:spacing w:line="360" w:lineRule="auto"/>
        <w:rPr>
          <w:rFonts w:ascii="宋体" w:eastAsia="宋体"/>
          <w:spacing w:val="0"/>
        </w:rPr>
      </w:pPr>
    </w:p>
    <w:p>
      <w:pPr>
        <w:spacing w:line="360" w:lineRule="auto"/>
        <w:ind w:firstLine="5280" w:firstLineChars="2200"/>
        <w:rPr>
          <w:rFonts w:ascii="宋体" w:eastAsia="宋体"/>
          <w:spacing w:val="0"/>
        </w:rPr>
      </w:pPr>
      <w:r>
        <w:rPr>
          <w:rFonts w:hint="eastAsia" w:ascii="宋体" w:eastAsia="宋体"/>
          <w:spacing w:val="0"/>
        </w:rPr>
        <w:t>日期：  年  月  日</w:t>
      </w:r>
    </w:p>
    <w:p>
      <w:pPr>
        <w:rPr>
          <w:rStyle w:val="36"/>
          <w:rFonts w:ascii="宋体" w:eastAsia="宋体"/>
          <w:spacing w:val="0"/>
          <w:kern w:val="0"/>
          <w:sz w:val="30"/>
        </w:rPr>
      </w:pPr>
      <w:r>
        <w:rPr>
          <w:spacing w:val="0"/>
        </w:rPr>
        <w:br w:type="page"/>
      </w:r>
      <w:bookmarkStart w:id="347" w:name="_Toc63757481"/>
      <w:bookmarkStart w:id="348" w:name="_Toc84948049"/>
      <w:r>
        <w:rPr>
          <w:rStyle w:val="36"/>
          <w:rFonts w:hint="eastAsia" w:ascii="宋体" w:eastAsia="宋体"/>
          <w:spacing w:val="0"/>
          <w:kern w:val="0"/>
          <w:sz w:val="30"/>
        </w:rPr>
        <w:t>附件一：工作（需求）说明书</w:t>
      </w:r>
      <w:bookmarkEnd w:id="347"/>
      <w:bookmarkEnd w:id="348"/>
    </w:p>
    <w:p>
      <w:pPr>
        <w:spacing w:line="360" w:lineRule="auto"/>
        <w:ind w:left="0" w:firstLine="480" w:firstLineChars="200"/>
        <w:rPr>
          <w:rStyle w:val="36"/>
          <w:rFonts w:hint="eastAsia" w:ascii="宋体" w:hAnsi="宋体" w:eastAsia="宋体"/>
          <w:bCs/>
          <w:snapToGrid w:val="0"/>
          <w:spacing w:val="0"/>
          <w:kern w:val="0"/>
          <w:highlight w:val="none"/>
        </w:rPr>
      </w:pPr>
      <w:bookmarkStart w:id="349" w:name="_Toc84948050"/>
      <w:bookmarkStart w:id="350" w:name="_Toc63757482"/>
      <w:r>
        <w:rPr>
          <w:rStyle w:val="36"/>
          <w:rFonts w:hint="eastAsia" w:ascii="宋体" w:hAnsi="宋体" w:eastAsia="宋体"/>
          <w:bCs/>
          <w:snapToGrid w:val="0"/>
          <w:spacing w:val="0"/>
          <w:kern w:val="0"/>
          <w:highlight w:val="none"/>
          <w:lang w:val="en-US" w:eastAsia="zh-CN"/>
        </w:rPr>
        <w:t>本项目业务需求范围包括手机银行APP、微信小程序、微信公众号、渠道业</w:t>
      </w:r>
      <w:r>
        <w:rPr>
          <w:rStyle w:val="36"/>
          <w:rFonts w:hint="eastAsia" w:ascii="宋体" w:hAnsi="宋体" w:eastAsia="宋体"/>
          <w:bCs/>
          <w:snapToGrid w:val="0"/>
          <w:spacing w:val="0"/>
          <w:kern w:val="0"/>
          <w:highlight w:val="none"/>
        </w:rPr>
        <w:t>务中台，要求打通用户体系，做到统一管理。具体内容包括：</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1.1手机银行APP</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建设安卓、苹果、鸿蒙三个客户端，每个客户端包括标准版、老年版两个版本，老年版的业务流程较标准版更简化，以适应老年群体的操作习惯。鸿蒙客户端分两阶段实施，一阶段确保2024年9月底上线，采用以新的UI及业务流程设计对接本行现有手机银行后端服务，保留主页、登录、转账、存款、贷款、理财、商城等高频功能的方式；二阶段按整体项目计划对接渠道业务中台，与安卓、苹果及微信端一起上线。</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•注册登录：注册、绑定账户、密码/指纹/人脸等多种登录方式、重置登录密码（采用卡密、短信、人脸等多种方式组合验证）；</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•主页：首页（支持个性化定制）、金刚区、常用功能、广告/公告（支持“千人千面”按客群定向展示）、财富版块、贷款版块、生活服务版块等；</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•客户/账户服务：账户余额/明细查询、资产负债查询、账户加挂/解挂、换卡申请、密码解锁、短信通、II/III类户绑定/开立/注销/升降级、证件有效期维护、客户信息完善、客户等级/权益查询、线上结售汇等；</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•转账支付：转账汇款（含账号转账、语音转账、手机号转账）、预约转账、扫码支付、电子回单等；</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财富版块：自营理财产品/代销产品查询/申购/认购/赎回、风险评估，满足自营理财产品及代销产品销售和交易行为的记录、保存、回溯检查要求；基础存款产品活期转活期、活期转定期、定期转活期、活期转通知存款、通知存款转活期、定活通转活期、约定转存等，特色存款产品财富存/大额存单/三峡宝等存款产品查询/购买/支取，大额存单购买、预约购买、撤单、持有产品查询、当前委托查询、历史委托查询、转让挂单、转让购买等功能。</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•贷款版块：存e贷/商户贷等业务品种入口、已申请贷款查询/还款、还款明细打印、提前还款申请等；</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•生活服务版块：包括话费、水费、燃气费、党费、商城、医保电子凭证、住房公积金、非税电子化、低碳三峡等服务；</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•网点服务：网点查询导航、银行流水打印、存款证明打印、大额取款/小额零钞预约、网点预约取号、外币现钞预约等。</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1.</w:t>
      </w:r>
      <w:r>
        <w:rPr>
          <w:rStyle w:val="36"/>
          <w:rFonts w:ascii="宋体" w:hAnsi="宋体" w:eastAsia="宋体"/>
          <w:bCs/>
          <w:snapToGrid w:val="0"/>
          <w:spacing w:val="0"/>
          <w:kern w:val="0"/>
          <w:highlight w:val="none"/>
          <w:lang w:val="en-US" w:eastAsia="zh-CN"/>
        </w:rPr>
        <w:t>2</w:t>
      </w:r>
      <w:r>
        <w:rPr>
          <w:rStyle w:val="36"/>
          <w:rFonts w:hint="eastAsia" w:ascii="宋体" w:hAnsi="宋体" w:eastAsia="宋体"/>
          <w:bCs/>
          <w:snapToGrid w:val="0"/>
          <w:spacing w:val="0"/>
          <w:kern w:val="0"/>
          <w:highlight w:val="none"/>
          <w:lang w:val="en-US" w:eastAsia="zh-CN"/>
        </w:rPr>
        <w:t>微信小程序</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客户经理微营业厅：支持客户经理自定义编辑营业厅主页，支持客户经理名片的分享，支持产品包括理财产品、财富存、大额存单、三峡宝、尊享贷、商户贷等发布在微营业厅，支持产品通过微信分享给客户后跳转相应购买页面（手机银行APP或相应产品小程序），支持客户购买产品后业绩记录查询；</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•客户/账户服务：统一客户信息、APP/小程序统一授权登录、动账通知（对私）、账户余额/明细查询、资产负债查询、客户等级/权益查询、银企对账等；</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•贷款服务：商户贷、房e贷、尊享贷、新渝贷、惠企贷等贷款产品入口整合；</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•网点服务：网点查询导航、银行流水打印、存款证明打印、大额取款预约、网点预约取号、网点预约开户等；</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•生活便民服务：公积金查询、社保查询、低碳三峡等。</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•代发客群专区：专属产品及服务展示。</w:t>
      </w:r>
    </w:p>
    <w:p>
      <w:pPr>
        <w:spacing w:line="360" w:lineRule="auto"/>
        <w:ind w:left="0"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1.3 微信公众号</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主要包括：3*5菜单配置管理、动账通知（对私）、公告/广告发布等。</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1.</w:t>
      </w:r>
      <w:r>
        <w:rPr>
          <w:rStyle w:val="36"/>
          <w:rFonts w:ascii="宋体" w:hAnsi="宋体" w:eastAsia="宋体"/>
          <w:bCs/>
          <w:snapToGrid w:val="0"/>
          <w:spacing w:val="0"/>
          <w:kern w:val="0"/>
          <w:highlight w:val="none"/>
        </w:rPr>
        <w:t>4</w:t>
      </w:r>
      <w:r>
        <w:rPr>
          <w:rStyle w:val="36"/>
          <w:rFonts w:hint="eastAsia" w:ascii="宋体" w:hAnsi="宋体" w:eastAsia="宋体"/>
          <w:bCs/>
          <w:snapToGrid w:val="0"/>
          <w:spacing w:val="0"/>
          <w:kern w:val="0"/>
          <w:highlight w:val="none"/>
        </w:rPr>
        <w:t>渠道业务中台</w:t>
      </w:r>
    </w:p>
    <w:p>
      <w:pPr>
        <w:spacing w:line="360" w:lineRule="auto"/>
        <w:ind w:left="0"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建设标准化服务能力，将各渠道前端使用的业务逻辑整合在渠道业务中台内部，各渠道前端共用一套逻辑，后期具备灵活的可扩展性，支持AI、营销平台等系统及能力的快速接入。通过渠道业务中台与营销平台、各渠道前端间相互链接、联动，支持营销平台的营销活动/广告等营销内容在我行手机银行APP、微信小程序、微信公众号多渠道进行内容推送，实现对多元渠道客户或指定客群营销触达，支持营销高效运营。</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用户中心：负责对业务中台的用户进行集中统一管理，建立统一的用户视图和唯一的用户标识，打通手机银行APP、微信小程序、微信公众号等互联网渠道用户体系，用于满足游客、自助注册、线下签约用户之间的多渠道服务需要；</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•合约中心：建立统一的签约流程，提供标准协议版本管理（隐私政策、人脸协议、征信授权书、产品授权书等的签解约和检查服务）、微信/支付宝/云闪付一键绑卡管理，实现对业务合约的统一管理；</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用户行为采集分析中心：支持APP（包括安卓、苹果、鸿蒙）、微信小程序、H5埋点，收集客户行为数据并结合部分交易数据开展基础分析，为数据中台客户画像、智能交易风控系统风控模型丰富客户标签数据源，以支撑精准营销客户、产品推送及持续开展手机银行优化工作；</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产品中心：将产品服务化和参数化，作为产品线上销售的统一出入口，进行统一管理。提供产品的统一配置、统一登记、统一包装、在线审批、销售、以及产品相关的全生命周期管理，满足后期高效率定制产品的需要；</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•转账支付中心：转账支付类交易作为手机银行最高频功能，包括行内转账、跨行转账、语音转账、手机号转账、扫码支付、预约转账等细分模块，建立专门的服务中心承载相应服务并统一管理；</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认证中心：结合智能交易风控中心的能力建立统一风险控制机制，整合包括密码、手势、短信、指纹、人脸、云证书、令牌、UKEY等多种认证方式，实现互联网渠道限额体系、认证体系、权限体系、风险策略统一，在风险防控能力和客户体验上做到有效平衡；</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•限额中心：结合智能交易风控中心和认证中心的能力，通过多维度控制，建立银行级、用户/账户级、VIP突破级限额的综合限额体系，既满足整体安全要求、又满足用户个性化需求；</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lang w:val="en-US" w:eastAsia="zh-CN"/>
        </w:rPr>
      </w:pPr>
      <w:r>
        <w:rPr>
          <w:rStyle w:val="36"/>
          <w:rFonts w:hint="eastAsia" w:ascii="宋体" w:hAnsi="宋体" w:eastAsia="宋体"/>
          <w:bCs/>
          <w:snapToGrid w:val="0"/>
          <w:spacing w:val="0"/>
          <w:kern w:val="0"/>
          <w:highlight w:val="none"/>
          <w:lang w:val="en-US" w:eastAsia="zh-CN"/>
        </w:rPr>
        <w:t>•管理及参数中心：对各服务渠道内容管理、消息公告管理、机构管理、错误码管理、APP版本号管理等内部业务运营管理功能进行统一，实现业务处理参数化、快速化。</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1.5功能列表如下：</w:t>
      </w:r>
    </w:p>
    <w:p>
      <w:pPr>
        <w:topLinePunct/>
        <w:autoSpaceDE w:val="0"/>
        <w:autoSpaceDN w:val="0"/>
        <w:snapToGrid w:val="0"/>
        <w:spacing w:line="360" w:lineRule="auto"/>
        <w:ind w:firstLine="480" w:firstLineChars="200"/>
        <w:rPr>
          <w:rStyle w:val="36"/>
          <w:rFonts w:hint="eastAsia" w:ascii="宋体" w:hAnsi="宋体" w:eastAsia="宋体"/>
          <w:bCs/>
          <w:snapToGrid w:val="0"/>
          <w:spacing w:val="0"/>
          <w:kern w:val="0"/>
          <w:highlight w:val="none"/>
        </w:rPr>
      </w:pPr>
      <w:r>
        <w:rPr>
          <w:rStyle w:val="36"/>
          <w:rFonts w:hint="eastAsia" w:ascii="宋体" w:hAnsi="宋体" w:eastAsia="宋体"/>
          <w:bCs/>
          <w:snapToGrid w:val="0"/>
          <w:spacing w:val="0"/>
          <w:kern w:val="0"/>
          <w:highlight w:val="none"/>
        </w:rPr>
        <w:t>•APP功能点：</w:t>
      </w:r>
    </w:p>
    <w:tbl>
      <w:tblPr>
        <w:tblStyle w:val="20"/>
        <w:tblW w:w="872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8"/>
        <w:gridCol w:w="10"/>
        <w:gridCol w:w="2049"/>
        <w:gridCol w:w="2145"/>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0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topLinePunct/>
              <w:autoSpaceDE w:val="0"/>
              <w:autoSpaceDN w:val="0"/>
              <w:snapToGrid w:val="0"/>
              <w:spacing w:line="360" w:lineRule="auto"/>
              <w:ind w:left="0"/>
              <w:rPr>
                <w:rFonts w:hint="eastAsia" w:ascii="宋体" w:hAnsi="宋体" w:eastAsia="宋体" w:cs="宋体"/>
                <w:i w:val="0"/>
                <w:iCs w:val="0"/>
                <w:color w:val="auto"/>
                <w:szCs w:val="24"/>
                <w:highlight w:val="none"/>
                <w:u w:val="none"/>
              </w:rPr>
            </w:pPr>
            <w:r>
              <w:rPr>
                <w:rStyle w:val="36"/>
                <w:rFonts w:hint="eastAsia" w:ascii="宋体" w:hAnsi="宋体" w:eastAsia="宋体"/>
                <w:bCs/>
                <w:snapToGrid w:val="0"/>
                <w:spacing w:val="0"/>
                <w:kern w:val="0"/>
                <w:highlight w:val="none"/>
                <w:lang w:val="en-US" w:eastAsia="zh-CN"/>
              </w:rPr>
              <w:t>一级菜单</w:t>
            </w:r>
          </w:p>
        </w:tc>
        <w:tc>
          <w:tcPr>
            <w:tcW w:w="20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二级菜单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三级菜单</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center"/>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启动</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启动图、启动广告</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自助注册</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注册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支持用户模式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绑定账户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支持I、II、III类户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登录</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密码登录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手势登录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指纹登录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人脸登录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微信登录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支付宝登录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忘记登录密码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采用卡密、短信、人脸、NFC实证等多种方式组合验证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主页</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新手引导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首页</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主页</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金刚区</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常用功能</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支持按功能热度排序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扫一扫</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热门活动</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商城</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主体功能H5接入，爆款商品展示通过接口推送给手机银行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网点服务</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广告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资讯服务</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公告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智能客服</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消息提醒</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首页定制</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搜索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财富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贷款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生活圈</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我的</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主页</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签到</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权益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积分、红包、卡券、机场贵宾厅等，对接积分系统、营销平台、场景金融等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设置</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收货地址管理、用户头像、昵称设置、意见反馈、安全中心、安全检测、设备管理、令牌管理、小额免密、限额管理、日志查询、云闪付支付设置、系统权限管理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账户服务</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我的账户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资产负债</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查询该客户名下所有本外币资产负债余额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收支明细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查询手机银行加挂卡下历年所有交易明细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数字人民币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支持个人钱包的开立、绑卡、转账、收付款、充钱包、存银行等功能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无卡取款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小额免密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客户开通小额免密功能后，对于单笔交易金额在设定限额（最高1000元，客户自己设置）以下的POS刷卡交易无需输入密码和在签购单上签名，贴卡即可完成交易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账户激活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支持睡眠户、半年无交易的账户核实客户身份后激活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超网贷记、小额借记签约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申请换卡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线上申请同号换卡，网点领卡激活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自动扣款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提供生活缴费业务代扣查询、解约服务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开户网点查询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账户密码解锁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lang w:val="en-US"/>
              </w:rPr>
            </w:pPr>
            <w:r>
              <w:rPr>
                <w:rFonts w:hint="eastAsia" w:ascii="宋体" w:hAnsi="宋体" w:eastAsia="宋体" w:cs="宋体"/>
                <w:i w:val="0"/>
                <w:iCs w:val="0"/>
                <w:color w:val="auto"/>
                <w:kern w:val="0"/>
                <w:szCs w:val="24"/>
                <w:highlight w:val="none"/>
                <w:u w:val="none"/>
                <w:lang w:val="en-US" w:eastAsia="zh-CN"/>
              </w:rPr>
              <w:t>对接视频客服核身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短信通</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短信通号码管理，发送起点金额调整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账户加挂、解挂</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II/III类户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绑定</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支持II、III类户（包括原三峡付、京东等渠道开立的账户）在手机银行进行账户关联与登录。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开立</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（1）支持II、III类户的绑定账户为本、他行I 类户、信用卡；（2）需要对设备定位的判断；（3）需提供白名单功能，设置后仅支持白名单开户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注销</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支持注销II、III类户，支持对不同开户渠道、不同用户进行入口控制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升降级</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支持II、III类户升降级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线上客户修改核心主手机号和/或姓名</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支持原三峡付线上客户修改核心主手机号或/和姓名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外部合作渠道账户换绑卡申请</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支持所有外部渠道的账户进行换绑卡申请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五要素鉴权解冻</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支持原三峡付、京东等合作渠道账户进行五要素鉴权解冻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绑定账户管理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支持对II、III类户的绑定账户进行换绑、解绑操作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交易密码管理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仅支持原三峡付线上客户新设置交易密码、重置原交易密码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充值</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支持三峡付渠道、核心开立的II、III类账户进行本行卡与他行卡充值；默认不支持京东等合作渠道进行充值，可进行白名单配置渠道账户/单个客户提供充值入口，即需支持不同开户渠道、不同用户的入口控制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提现</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提现功能需支持提现到本行卡和他行卡；提现功能需支持不同开户渠道、不同用户的入口控制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线上结售汇</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一键绑卡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转账支付</w:t>
            </w: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szCs w:val="24"/>
                <w:highlight w:val="none"/>
                <w:u w:val="none"/>
              </w:rPr>
            </w:pPr>
          </w:p>
        </w:tc>
        <w:tc>
          <w:tcPr>
            <w:tcW w:w="205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转账汇款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银行账号/手机号转账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语音转账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预约转账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预约转账查询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预约转账列表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预约详情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添加新的预约转账计划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终止预约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贷款转出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常用转账行为列表</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转账记录查询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转账伙伴管理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转出收款人管理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转给我的伙伴管理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扫一扫</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集成云网SDK，支持扫微信、支付宝、银联云闪付、我行全景商户的收款码进行支付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付款码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集成云网SDK，支持展示付款码，供微信、支付宝、银联云闪付、我行全景商户扫码后支付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电子回单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他行账户管理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lang w:val="en-US" w:eastAsia="zh-CN"/>
              </w:rPr>
            </w:pPr>
            <w:r>
              <w:rPr>
                <w:rFonts w:hint="eastAsia" w:ascii="宋体" w:hAnsi="宋体" w:eastAsia="宋体" w:cs="宋体"/>
                <w:i w:val="0"/>
                <w:iCs w:val="0"/>
                <w:color w:val="auto"/>
                <w:szCs w:val="24"/>
                <w:highlight w:val="none"/>
                <w:u w:val="none"/>
                <w:lang w:val="en-US" w:eastAsia="zh-CN"/>
              </w:rPr>
              <w:t>他行账户签约、扣款</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宋体" w:hAnsi="宋体" w:eastAsia="宋体" w:cs="宋体"/>
                <w:i w:val="0"/>
                <w:iCs w:val="0"/>
                <w:color w:val="auto"/>
                <w:szCs w:val="24"/>
                <w:highlight w:val="none"/>
                <w:u w:val="none"/>
                <w:lang w:val="en-US" w:eastAsia="zh-CN"/>
              </w:rPr>
            </w:pPr>
            <w:r>
              <w:rPr>
                <w:rFonts w:hint="eastAsia" w:ascii="宋体" w:hAnsi="宋体" w:eastAsia="宋体" w:cs="宋体"/>
                <w:i w:val="0"/>
                <w:iCs w:val="0"/>
                <w:color w:val="auto"/>
                <w:szCs w:val="24"/>
                <w:highlight w:val="none"/>
                <w:u w:val="none"/>
                <w:lang w:val="en-US" w:eastAsia="zh-CN"/>
              </w:rPr>
              <w:t>对接二代支付超网贷记、小额借记等接口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财富版块</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理财产品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购买、赎回、查询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财富存</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大额存单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购买、支取、查询、转让</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转让功能对接核心存款转让模块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三峡宝</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增加不同渠道、不同客户的支取开关功能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整存整取</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随心存</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签约、解约、查询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风险评估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三方存管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存贷利率</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外汇牌价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代销业务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代销理财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代销保险</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代销基金</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满足可回溯要求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240" w:firstLineChars="10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贷款</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我的贷款（首页）</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存e贷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480" w:firstLineChars="20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主流重构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商户贷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志e贷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采e贷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bottom"/>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税e贷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bottom"/>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征信授权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利息券</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提前还款预约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个税编号查询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贷款结清证明</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贷款计算器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生活服务</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党费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生活缴费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水费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燃气费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有线电视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通讯费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宽带费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话费充值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流量充值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交通罚款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帆帆商城</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医保电子凭证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住房公积金</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非税电子化</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低碳三峡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资讯服务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0" w:firstLineChars="0"/>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商家服务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firstLine="0" w:firstLineChars="0"/>
              <w:jc w:val="left"/>
              <w:rPr>
                <w:rFonts w:hint="eastAsia" w:ascii="宋体" w:hAnsi="宋体" w:eastAsia="宋体" w:cs="宋体"/>
                <w:i w:val="0"/>
                <w:iCs w:val="0"/>
                <w:color w:val="auto"/>
                <w:szCs w:val="24"/>
                <w:highlight w:val="none"/>
                <w:u w:val="none"/>
                <w:lang w:val="en-US"/>
              </w:rPr>
            </w:pPr>
            <w:r>
              <w:rPr>
                <w:rFonts w:hint="eastAsia" w:ascii="宋体" w:hAnsi="宋体" w:eastAsia="宋体" w:cs="宋体"/>
                <w:i w:val="0"/>
                <w:iCs w:val="0"/>
                <w:color w:val="auto"/>
                <w:kern w:val="0"/>
                <w:szCs w:val="24"/>
                <w:highlight w:val="none"/>
                <w:u w:val="none"/>
                <w:lang w:val="en-US" w:eastAsia="zh-CN"/>
              </w:rPr>
              <w:t>商户手续费减免额度查询、收单交易查询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lang w:val="en-US" w:eastAsia="zh-CN"/>
              </w:rPr>
            </w:pPr>
            <w:r>
              <w:rPr>
                <w:rFonts w:hint="eastAsia" w:ascii="宋体" w:hAnsi="宋体" w:eastAsia="宋体" w:cs="宋体"/>
                <w:i w:val="0"/>
                <w:iCs w:val="0"/>
                <w:color w:val="auto"/>
                <w:szCs w:val="24"/>
                <w:highlight w:val="none"/>
                <w:u w:val="none"/>
                <w:lang w:val="en-US" w:eastAsia="zh-CN"/>
              </w:rPr>
              <w:t>仅对商户标签客户可见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营销增值服务</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热门活动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480" w:firstLineChars="20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配置展示营销活动信息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本地服务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查询附近优惠商户信息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我的权益</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卡券红包</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云影票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集成云网SDK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车主生活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集成云网SDK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240" w:firstLineChars="10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助手</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安全锁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登录管理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提供手势登录、指纹登录、刷脸登录管理功能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云证书管理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lang w:val="en-US"/>
              </w:rPr>
            </w:pPr>
            <w:r>
              <w:rPr>
                <w:rFonts w:hint="eastAsia" w:ascii="宋体" w:hAnsi="宋体" w:eastAsia="宋体" w:cs="宋体"/>
                <w:i w:val="0"/>
                <w:iCs w:val="0"/>
                <w:color w:val="auto"/>
                <w:kern w:val="0"/>
                <w:szCs w:val="24"/>
                <w:highlight w:val="none"/>
                <w:u w:val="none"/>
                <w:lang w:val="en-US" w:eastAsia="zh-CN"/>
              </w:rPr>
              <w:t>数字证书管理，支持证书的下载、解约、密码找回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消息中心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szCs w:val="24"/>
                <w:highlight w:val="none"/>
                <w:u w:val="none"/>
              </w:rPr>
              <w:t>支持消息的分类展示如：动账通知、服务提醒、活动资讯、银行公告等；展示消息推送开关设置，客户可针对消息类别选择“开关”；展示标记为已读。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智能搜索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展示关键字搜索、关键字联想、拼音联想、语音搜索等；</w:t>
            </w:r>
          </w:p>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支持历史搜索、热门搜索、客户常用功能快速定位、热搜榜、产品榜；支持产品、功能、问答等全栈信息检索及与智能客服无缝对接。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证件有效期维护</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接移民局数据支持4类非身份证客户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客户信息完善</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提供线上补录客户职业、联系地址、税收居民标识信息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网点服务</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网点服务（发布网点专属活动、线上线下联动、客户经理联系）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lang w:val="en-US"/>
              </w:rPr>
            </w:pPr>
            <w:r>
              <w:rPr>
                <w:rFonts w:hint="eastAsia" w:ascii="宋体" w:hAnsi="宋体" w:eastAsia="宋体" w:cs="宋体"/>
                <w:i w:val="0"/>
                <w:iCs w:val="0"/>
                <w:color w:val="auto"/>
                <w:kern w:val="0"/>
                <w:szCs w:val="24"/>
                <w:highlight w:val="none"/>
                <w:u w:val="none"/>
                <w:lang w:val="en-US" w:eastAsia="zh-CN"/>
              </w:rPr>
              <w:t>支持客户与网点归属关系、客户手机定位定向展示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银行流水打印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存款证明打印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大额取款预约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网点取号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申请记录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外币现钞预约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安全认证工具</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IFAA/FIDO</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云证书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OCR</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人脸识别</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滑块验证码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NFC实证校验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UKEY</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SIM卡校验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9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其他</w:t>
            </w: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视频客服</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szCs w:val="24"/>
                <w:highlight w:val="none"/>
                <w:u w:val="none"/>
              </w:rPr>
            </w:pPr>
            <w:r>
              <w:rPr>
                <w:rFonts w:hint="eastAsia" w:ascii="宋体" w:hAnsi="宋体" w:eastAsia="宋体" w:cs="宋体"/>
                <w:i w:val="0"/>
                <w:iCs w:val="0"/>
                <w:color w:val="auto"/>
                <w:kern w:val="0"/>
                <w:szCs w:val="24"/>
                <w:highlight w:val="none"/>
                <w:u w:val="none"/>
                <w:lang w:val="en-US" w:eastAsia="zh-CN"/>
              </w:rPr>
              <w:t>集中授权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9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tc>
        <w:tc>
          <w:tcPr>
            <w:tcW w:w="205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auto"/>
                <w:kern w:val="0"/>
                <w:szCs w:val="24"/>
                <w:highlight w:val="none"/>
                <w:u w:val="none"/>
                <w:lang w:val="en-US" w:eastAsia="zh-CN"/>
              </w:rPr>
            </w:pPr>
            <w:r>
              <w:rPr>
                <w:rFonts w:hint="eastAsia" w:ascii="宋体" w:hAnsi="宋体" w:eastAsia="宋体" w:cs="宋体"/>
                <w:i w:val="0"/>
                <w:iCs w:val="0"/>
                <w:color w:val="auto"/>
                <w:kern w:val="0"/>
                <w:szCs w:val="24"/>
                <w:highlight w:val="none"/>
                <w:u w:val="none"/>
                <w:lang w:val="en-US" w:eastAsia="zh-CN"/>
              </w:rPr>
              <w:t>视频直播</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auto"/>
                <w:szCs w:val="24"/>
                <w:highlight w:val="none"/>
                <w:u w:val="none"/>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auto"/>
                <w:szCs w:val="24"/>
                <w:highlight w:val="none"/>
                <w:u w:val="none"/>
                <w:lang w:val="en-US" w:eastAsia="zh-CN"/>
              </w:rPr>
            </w:pPr>
            <w:r>
              <w:rPr>
                <w:rFonts w:hint="eastAsia" w:ascii="宋体" w:hAnsi="宋体" w:eastAsia="宋体" w:cs="宋体"/>
                <w:i w:val="0"/>
                <w:iCs w:val="0"/>
                <w:color w:val="auto"/>
                <w:szCs w:val="24"/>
                <w:highlight w:val="none"/>
                <w:u w:val="none"/>
                <w:lang w:val="en-US" w:eastAsia="zh-CN"/>
              </w:rPr>
              <w:t>产品页面支持视频直播、录播回放</w:t>
            </w:r>
          </w:p>
        </w:tc>
      </w:tr>
    </w:tbl>
    <w:p>
      <w:pPr>
        <w:topLinePunct/>
        <w:autoSpaceDE w:val="0"/>
        <w:autoSpaceDN w:val="0"/>
        <w:snapToGrid w:val="0"/>
        <w:spacing w:line="360" w:lineRule="auto"/>
        <w:ind w:firstLine="480" w:firstLineChars="200"/>
        <w:jc w:val="left"/>
        <w:rPr>
          <w:rFonts w:hint="eastAsia" w:ascii="宋体" w:hAnsi="宋体" w:eastAsia="宋体" w:cs="宋体"/>
          <w:snapToGrid w:val="0"/>
          <w:color w:val="auto"/>
          <w:kern w:val="0"/>
          <w:szCs w:val="24"/>
          <w:highlight w:val="none"/>
          <w:shd w:val="clear" w:color="auto" w:fill="auto"/>
          <w:lang w:val="en-US" w:eastAsia="zh-CN"/>
        </w:rPr>
      </w:pPr>
    </w:p>
    <w:p>
      <w:pPr>
        <w:topLinePunct/>
        <w:autoSpaceDE w:val="0"/>
        <w:autoSpaceDN w:val="0"/>
        <w:snapToGrid w:val="0"/>
        <w:spacing w:line="360" w:lineRule="auto"/>
        <w:ind w:firstLine="480" w:firstLineChars="200"/>
        <w:jc w:val="left"/>
        <w:rPr>
          <w:rFonts w:hint="eastAsia" w:ascii="宋体" w:hAnsi="宋体" w:eastAsia="宋体" w:cs="宋体"/>
          <w:snapToGrid w:val="0"/>
          <w:color w:val="auto"/>
          <w:kern w:val="0"/>
          <w:szCs w:val="24"/>
          <w:highlight w:val="none"/>
          <w:shd w:val="clear" w:color="auto" w:fill="auto"/>
          <w:lang w:val="en-US" w:eastAsia="zh-CN"/>
        </w:rPr>
      </w:pPr>
      <w:r>
        <w:rPr>
          <w:rFonts w:hint="eastAsia" w:ascii="宋体" w:hAnsi="宋体" w:eastAsia="宋体" w:cs="宋体"/>
          <w:snapToGrid w:val="0"/>
          <w:color w:val="auto"/>
          <w:kern w:val="0"/>
          <w:szCs w:val="24"/>
          <w:highlight w:val="none"/>
          <w:shd w:val="clear" w:color="auto" w:fill="auto"/>
          <w:lang w:val="en-US" w:eastAsia="zh-CN"/>
        </w:rPr>
        <w:t>•微信小程序功能点：</w:t>
      </w:r>
    </w:p>
    <w:tbl>
      <w:tblPr>
        <w:tblStyle w:val="20"/>
        <w:tblW w:w="858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8"/>
        <w:gridCol w:w="1913"/>
        <w:gridCol w:w="2557"/>
        <w:gridCol w:w="2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198"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lang w:val="en-US" w:eastAsia="zh-CN"/>
              </w:rPr>
            </w:pPr>
            <w:r>
              <w:rPr>
                <w:rFonts w:hint="eastAsia" w:ascii="宋体" w:hAnsi="宋体" w:eastAsia="宋体" w:cs="宋体"/>
                <w:i w:val="0"/>
                <w:iCs w:val="0"/>
                <w:color w:val="000000"/>
                <w:szCs w:val="24"/>
                <w:highlight w:val="none"/>
                <w:u w:val="none"/>
                <w:lang w:val="en-US" w:eastAsia="zh-CN"/>
              </w:rPr>
              <w:t>一级菜单</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二级菜单</w:t>
            </w:r>
          </w:p>
        </w:tc>
        <w:tc>
          <w:tcPr>
            <w:tcW w:w="2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三级菜单</w:t>
            </w:r>
          </w:p>
        </w:tc>
        <w:tc>
          <w:tcPr>
            <w:tcW w:w="2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主页</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功能分布、广告位</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支持主页定制及广告位按客群、客户分组定向展示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客户/账户服务</w:t>
            </w: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自助注册</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注册</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绑卡</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登录</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676A6C"/>
                <w:szCs w:val="24"/>
                <w:highlight w:val="none"/>
                <w:u w:val="none"/>
              </w:rPr>
            </w:pPr>
            <w:r>
              <w:rPr>
                <w:rFonts w:hint="eastAsia" w:ascii="宋体" w:hAnsi="宋体" w:eastAsia="宋体" w:cs="宋体"/>
                <w:i w:val="0"/>
                <w:iCs w:val="0"/>
                <w:color w:val="676A6C"/>
                <w:kern w:val="0"/>
                <w:szCs w:val="24"/>
                <w:highlight w:val="none"/>
                <w:u w:val="none"/>
                <w:lang w:val="en-US" w:eastAsia="zh-CN"/>
              </w:rPr>
              <w:t>密码登录</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bottom"/>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忘记密码</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查询类服务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动账通知（对私）</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资产负债查询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账户查询、收支明细查询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客户等级、权益查询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外汇牌价查询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网点类服务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银行流水打印</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查找网点/ATM（导航）</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大额取款预约</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存款证明打印</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预约/现场排队取号</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对公预约开户</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8" w:type="dxa"/>
            <w:vMerge w:val="continue"/>
            <w:tcBorders>
              <w:top w:val="nil"/>
              <w:left w:val="single" w:color="000000" w:sz="8" w:space="0"/>
              <w:bottom w:val="single" w:color="000000" w:sz="8" w:space="0"/>
              <w:right w:val="single" w:color="000000" w:sz="8" w:space="0"/>
            </w:tcBorders>
            <w:shd w:val="clear" w:color="auto" w:fill="auto"/>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统一客户信息</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打通手机银行、微信小程序用户体系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统一授权登录</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统一授权后，无需重复登录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绑定/解绑</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智能机器人客服</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银企对账</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特殊业务自助申请</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对接双录系统和柜面，实现客户身份认证+资料、音视频影像收集，推送待办任务至柜面处理（含密码解锁、限额调整2个业务）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19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财富版块</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在售产品信息展示</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对接新金销平台，买、卖及查询功能通过跳转手机银行实现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贷款</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商户贷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办理业务跳转手机银行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房e贷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尊享贷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新渝贷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惠企贷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办理业务跳转对应小程序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政务/便民服务</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公积金查询</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社保查询</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外部系统H5接入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绿色金融</w:t>
            </w: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低碳三峡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绿色生活</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绿色金融</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绿色知识普及</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客户经理微营业厅</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主页</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头像维护</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主题管理</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活动管理</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kern w:val="0"/>
                <w:szCs w:val="24"/>
                <w:highlight w:val="none"/>
                <w:u w:val="none"/>
                <w:lang w:val="en-US" w:eastAsia="zh-CN"/>
              </w:rPr>
            </w:pPr>
            <w:r>
              <w:rPr>
                <w:rFonts w:hint="eastAsia" w:ascii="宋体" w:hAnsi="宋体" w:eastAsia="宋体" w:cs="宋体"/>
                <w:i w:val="0"/>
                <w:iCs w:val="0"/>
                <w:color w:val="000000"/>
                <w:kern w:val="0"/>
                <w:szCs w:val="24"/>
                <w:highlight w:val="none"/>
                <w:u w:val="none"/>
                <w:lang w:val="en-US" w:eastAsia="zh-CN"/>
              </w:rPr>
              <w:t>名片分享</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产品管理</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理财产品</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lang w:val="en-US" w:eastAsia="zh-CN"/>
              </w:rPr>
            </w:pPr>
            <w:r>
              <w:rPr>
                <w:rFonts w:hint="eastAsia" w:ascii="宋体" w:hAnsi="宋体" w:eastAsia="宋体" w:cs="宋体"/>
                <w:i w:val="0"/>
                <w:iCs w:val="0"/>
                <w:color w:val="000000"/>
                <w:szCs w:val="24"/>
                <w:highlight w:val="none"/>
                <w:u w:val="none"/>
                <w:lang w:val="en-US" w:eastAsia="zh-CN"/>
              </w:rPr>
              <w:t>总行提供统一的产品宣传，客户经理自主选择展示（所有产品模式相同）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财富存</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大额存单</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三峡宝</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房e贷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商户贷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尊享贷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新渝贷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2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惠企贷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主页预览、发布</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主页发布</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bottom"/>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产品分享</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tc>
        <w:tc>
          <w:tcPr>
            <w:tcW w:w="19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line="400" w:lineRule="exact"/>
              <w:ind w:left="0" w:firstLine="0" w:firstLineChars="0"/>
              <w:jc w:val="left"/>
              <w:textAlignment w:val="center"/>
              <w:rPr>
                <w:rFonts w:hint="eastAsia" w:ascii="宋体" w:hAnsi="宋体" w:eastAsia="宋体" w:cs="宋体"/>
                <w:i w:val="0"/>
                <w:iCs w:val="0"/>
                <w:color w:val="000000"/>
                <w:szCs w:val="24"/>
                <w:highlight w:val="none"/>
                <w:u w:val="none"/>
              </w:rPr>
            </w:pPr>
            <w:r>
              <w:rPr>
                <w:rFonts w:hint="eastAsia" w:ascii="宋体" w:hAnsi="宋体" w:eastAsia="宋体" w:cs="宋体"/>
                <w:i w:val="0"/>
                <w:iCs w:val="0"/>
                <w:color w:val="000000"/>
                <w:kern w:val="0"/>
                <w:szCs w:val="24"/>
                <w:highlight w:val="none"/>
                <w:u w:val="none"/>
                <w:lang w:val="en-US" w:eastAsia="zh-CN"/>
              </w:rPr>
              <w:t>查看营销业绩</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keepNext w:val="0"/>
              <w:keepLines w:val="0"/>
              <w:pageBreakBefore w:val="0"/>
              <w:widowControl w:val="0"/>
              <w:kinsoku/>
              <w:wordWrap/>
              <w:overflowPunct/>
              <w:topLinePunct w:val="0"/>
              <w:autoSpaceDE w:val="0"/>
              <w:autoSpaceDN w:val="0"/>
              <w:bidi w:val="0"/>
              <w:adjustRightInd/>
              <w:snapToGrid/>
              <w:spacing w:line="400" w:lineRule="exact"/>
              <w:jc w:val="left"/>
              <w:rPr>
                <w:rFonts w:hint="eastAsia" w:ascii="宋体" w:hAnsi="宋体" w:eastAsia="宋体" w:cs="宋体"/>
                <w:i w:val="0"/>
                <w:iCs w:val="0"/>
                <w:color w:val="000000"/>
                <w:szCs w:val="24"/>
                <w:highlight w:val="none"/>
                <w:u w:val="none"/>
              </w:rPr>
            </w:pPr>
          </w:p>
        </w:tc>
      </w:tr>
    </w:tbl>
    <w:p>
      <w:pPr>
        <w:topLinePunct/>
        <w:autoSpaceDE w:val="0"/>
        <w:autoSpaceDN w:val="0"/>
        <w:snapToGrid w:val="0"/>
        <w:spacing w:line="360" w:lineRule="auto"/>
        <w:ind w:firstLine="480" w:firstLineChars="200"/>
        <w:rPr>
          <w:rFonts w:hint="eastAsia" w:ascii="方正仿宋_GBK" w:hAnsi="Times New Roman" w:eastAsia="方正仿宋_GBK" w:cs="方正仿宋_GBK"/>
          <w:snapToGrid w:val="0"/>
          <w:color w:val="auto"/>
          <w:kern w:val="0"/>
          <w:szCs w:val="24"/>
          <w:highlight w:val="none"/>
          <w:shd w:val="clear" w:color="auto" w:fill="auto"/>
          <w:lang w:val="en-US" w:eastAsia="zh-CN"/>
        </w:rPr>
      </w:pPr>
    </w:p>
    <w:p>
      <w:pPr>
        <w:spacing w:line="360" w:lineRule="auto"/>
        <w:ind w:firstLine="600" w:firstLineChars="200"/>
        <w:rPr>
          <w:rStyle w:val="36"/>
          <w:rFonts w:ascii="宋体" w:eastAsia="宋体"/>
          <w:spacing w:val="0"/>
          <w:kern w:val="0"/>
          <w:sz w:val="30"/>
        </w:rPr>
      </w:pPr>
      <w:r>
        <w:rPr>
          <w:rStyle w:val="36"/>
          <w:rFonts w:ascii="宋体" w:eastAsia="宋体"/>
          <w:spacing w:val="0"/>
          <w:kern w:val="0"/>
          <w:sz w:val="30"/>
        </w:rPr>
        <w:br w:type="page"/>
      </w:r>
      <w:r>
        <w:rPr>
          <w:rStyle w:val="36"/>
          <w:rFonts w:hint="eastAsia" w:ascii="宋体" w:eastAsia="宋体"/>
          <w:b/>
          <w:spacing w:val="0"/>
          <w:kern w:val="0"/>
          <w:sz w:val="30"/>
        </w:rPr>
        <w:t>附件二：项目人员名单及人员应急退出机制</w:t>
      </w:r>
      <w:bookmarkEnd w:id="349"/>
      <w:bookmarkEnd w:id="350"/>
    </w:p>
    <w:p>
      <w:pPr>
        <w:spacing w:line="360" w:lineRule="auto"/>
        <w:rPr>
          <w:rStyle w:val="36"/>
          <w:rFonts w:ascii="宋体" w:eastAsia="宋体"/>
          <w:spacing w:val="0"/>
          <w:kern w:val="0"/>
        </w:rPr>
      </w:pPr>
    </w:p>
    <w:p>
      <w:pPr>
        <w:spacing w:line="360" w:lineRule="auto"/>
        <w:ind w:firstLine="482" w:firstLineChars="200"/>
        <w:rPr>
          <w:rStyle w:val="36"/>
          <w:rFonts w:ascii="宋体" w:eastAsia="宋体"/>
          <w:b/>
          <w:spacing w:val="0"/>
          <w:kern w:val="0"/>
        </w:rPr>
      </w:pPr>
      <w:r>
        <w:rPr>
          <w:rStyle w:val="36"/>
          <w:rFonts w:hint="eastAsia" w:ascii="宋体" w:eastAsia="宋体"/>
          <w:b/>
          <w:spacing w:val="0"/>
          <w:kern w:val="0"/>
        </w:rPr>
        <w:t>一、项目人员名单</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 xml:space="preserve">项目经理： </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技术骨干：</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 xml:space="preserve">项目组成员： </w:t>
      </w:r>
    </w:p>
    <w:p>
      <w:pPr>
        <w:spacing w:line="360" w:lineRule="auto"/>
        <w:ind w:firstLine="480" w:firstLineChars="200"/>
        <w:rPr>
          <w:rStyle w:val="36"/>
          <w:rFonts w:ascii="宋体" w:eastAsia="宋体"/>
          <w:spacing w:val="0"/>
          <w:kern w:val="0"/>
        </w:rPr>
      </w:pPr>
    </w:p>
    <w:p>
      <w:pPr>
        <w:spacing w:line="360" w:lineRule="auto"/>
        <w:ind w:firstLine="482" w:firstLineChars="200"/>
        <w:rPr>
          <w:rStyle w:val="36"/>
          <w:rFonts w:ascii="宋体" w:eastAsia="宋体"/>
          <w:b/>
          <w:spacing w:val="0"/>
          <w:kern w:val="0"/>
        </w:rPr>
      </w:pPr>
      <w:r>
        <w:rPr>
          <w:rStyle w:val="36"/>
          <w:rFonts w:hint="eastAsia" w:ascii="宋体" w:eastAsia="宋体"/>
          <w:b/>
          <w:spacing w:val="0"/>
          <w:kern w:val="0"/>
        </w:rPr>
        <w:t>二、人员应急退出机制</w:t>
      </w:r>
    </w:p>
    <w:p>
      <w:pPr>
        <w:spacing w:line="360" w:lineRule="auto"/>
        <w:ind w:firstLine="480" w:firstLineChars="200"/>
        <w:rPr>
          <w:rStyle w:val="36"/>
          <w:rFonts w:ascii="宋体" w:eastAsia="宋体"/>
          <w:spacing w:val="0"/>
          <w:kern w:val="0"/>
        </w:rPr>
      </w:pPr>
      <w:r>
        <w:rPr>
          <w:rStyle w:val="36"/>
          <w:rFonts w:hint="eastAsia" w:ascii="宋体" w:eastAsia="宋体"/>
          <w:spacing w:val="0"/>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pPr>
        <w:spacing w:line="360" w:lineRule="auto"/>
        <w:ind w:firstLine="465" w:firstLineChars="0"/>
        <w:rPr>
          <w:rStyle w:val="36"/>
          <w:rFonts w:ascii="宋体" w:eastAsia="宋体"/>
          <w:spacing w:val="0"/>
          <w:kern w:val="0"/>
        </w:rPr>
      </w:pPr>
      <w:r>
        <w:rPr>
          <w:rStyle w:val="36"/>
          <w:rFonts w:hint="eastAsia" w:ascii="宋体" w:eastAsia="宋体"/>
          <w:spacing w:val="0"/>
          <w:kern w:val="0"/>
        </w:rPr>
        <w:t>备用项目经理：</w:t>
      </w:r>
    </w:p>
    <w:p>
      <w:pPr>
        <w:spacing w:line="360" w:lineRule="auto"/>
        <w:ind w:firstLine="465" w:firstLineChars="0"/>
        <w:rPr>
          <w:rStyle w:val="36"/>
          <w:rFonts w:ascii="宋体" w:eastAsia="宋体"/>
          <w:spacing w:val="0"/>
          <w:kern w:val="0"/>
        </w:rPr>
      </w:pPr>
      <w:r>
        <w:rPr>
          <w:rStyle w:val="36"/>
          <w:rFonts w:hint="eastAsia" w:ascii="宋体" w:eastAsia="宋体"/>
          <w:spacing w:val="0"/>
          <w:kern w:val="0"/>
        </w:rPr>
        <w:t>备用技术骨干：</w:t>
      </w:r>
    </w:p>
    <w:p>
      <w:pPr>
        <w:rPr>
          <w:rStyle w:val="36"/>
          <w:rFonts w:ascii="宋体" w:eastAsia="宋体"/>
          <w:spacing w:val="0"/>
          <w:kern w:val="0"/>
          <w:sz w:val="30"/>
        </w:rPr>
      </w:pPr>
      <w:r>
        <w:rPr>
          <w:rStyle w:val="36"/>
          <w:rFonts w:hint="eastAsia" w:ascii="宋体" w:eastAsia="宋体"/>
          <w:b w:val="0"/>
          <w:spacing w:val="0"/>
          <w:kern w:val="0"/>
          <w:sz w:val="30"/>
        </w:rPr>
        <w:br w:type="page"/>
      </w:r>
      <w:bookmarkStart w:id="351" w:name="_Toc84948051"/>
      <w:bookmarkStart w:id="352" w:name="_Toc63757483"/>
      <w:r>
        <w:rPr>
          <w:rStyle w:val="36"/>
          <w:rFonts w:hint="eastAsia" w:ascii="宋体" w:eastAsia="宋体"/>
          <w:spacing w:val="0"/>
          <w:kern w:val="0"/>
          <w:sz w:val="30"/>
        </w:rPr>
        <w:t>附件三：验收标准及流程</w:t>
      </w:r>
      <w:bookmarkEnd w:id="351"/>
      <w:bookmarkEnd w:id="352"/>
    </w:p>
    <w:p>
      <w:pPr>
        <w:spacing w:line="360" w:lineRule="auto"/>
        <w:ind w:firstLine="482" w:firstLineChars="200"/>
        <w:rPr>
          <w:rStyle w:val="36"/>
          <w:rFonts w:ascii="宋体" w:eastAsia="宋体"/>
          <w:spacing w:val="0"/>
          <w:kern w:val="0"/>
        </w:rPr>
      </w:pPr>
      <w:r>
        <w:rPr>
          <w:rStyle w:val="36"/>
          <w:rFonts w:hint="eastAsia" w:ascii="宋体" w:eastAsia="宋体"/>
          <w:b/>
          <w:spacing w:val="0"/>
          <w:kern w:val="0"/>
        </w:rPr>
        <w:t>一、验收标准</w:t>
      </w:r>
    </w:p>
    <w:p>
      <w:pPr>
        <w:numPr>
          <w:ilvl w:val="0"/>
          <w:numId w:val="12"/>
        </w:numPr>
        <w:spacing w:line="360" w:lineRule="auto"/>
        <w:ind w:firstLineChars="0"/>
        <w:rPr>
          <w:rStyle w:val="36"/>
          <w:rFonts w:ascii="宋体" w:eastAsia="宋体"/>
          <w:spacing w:val="0"/>
          <w:kern w:val="0"/>
        </w:rPr>
      </w:pPr>
      <w:r>
        <w:rPr>
          <w:rStyle w:val="36"/>
          <w:rFonts w:hint="eastAsia" w:ascii="宋体" w:eastAsia="宋体"/>
          <w:spacing w:val="0"/>
          <w:kern w:val="0"/>
        </w:rPr>
        <w:t>验收系统须满足试运行期内项目产品运行稳定、无遗留问题。</w:t>
      </w:r>
    </w:p>
    <w:p>
      <w:pPr>
        <w:numPr>
          <w:ilvl w:val="0"/>
          <w:numId w:val="12"/>
        </w:numPr>
        <w:spacing w:line="360" w:lineRule="auto"/>
        <w:ind w:firstLineChars="0"/>
        <w:rPr>
          <w:rStyle w:val="36"/>
          <w:rFonts w:ascii="宋体" w:eastAsia="宋体"/>
          <w:spacing w:val="0"/>
          <w:kern w:val="0"/>
        </w:rPr>
      </w:pPr>
      <w:r>
        <w:rPr>
          <w:rStyle w:val="36"/>
          <w:rFonts w:hint="eastAsia" w:ascii="宋体" w:eastAsia="宋体"/>
          <w:spacing w:val="0"/>
          <w:kern w:val="0"/>
        </w:rPr>
        <w:t>项目知识及文档已全部完成转移。</w:t>
      </w:r>
    </w:p>
    <w:p>
      <w:pPr>
        <w:spacing w:line="360" w:lineRule="auto"/>
        <w:ind w:firstLine="360" w:firstLineChars="150"/>
        <w:rPr>
          <w:rStyle w:val="36"/>
          <w:rFonts w:ascii="宋体" w:eastAsia="宋体"/>
          <w:spacing w:val="0"/>
          <w:kern w:val="0"/>
        </w:rPr>
      </w:pPr>
      <w:r>
        <w:rPr>
          <w:rStyle w:val="36"/>
          <w:rFonts w:hint="eastAsia" w:ascii="宋体" w:eastAsia="宋体"/>
          <w:spacing w:val="0"/>
          <w:kern w:val="0"/>
        </w:rPr>
        <w:t>3、验收交付物包括：</w:t>
      </w:r>
    </w:p>
    <w:p>
      <w:pPr>
        <w:spacing w:line="360" w:lineRule="auto"/>
        <w:rPr>
          <w:rStyle w:val="36"/>
          <w:rFonts w:ascii="宋体" w:eastAsia="宋体"/>
          <w:iCs/>
          <w:spacing w:val="0"/>
          <w:kern w:val="0"/>
        </w:rPr>
      </w:pPr>
      <w:r>
        <w:rPr>
          <w:rStyle w:val="36"/>
          <w:rFonts w:hint="eastAsia" w:ascii="宋体" w:eastAsia="宋体"/>
          <w:iCs/>
          <w:spacing w:val="0"/>
          <w:kern w:val="0"/>
        </w:rPr>
        <w:t>《项目需求分析说明书》、《概要设计说明书》、《详细设计说明书》、《数据库设计说明书》、《系统安装部署手册》、《系统运行维护手册》、《用户操作手册》、《试运行报告》、《验收报告》</w:t>
      </w:r>
      <w:r>
        <w:rPr>
          <w:rStyle w:val="36"/>
          <w:rFonts w:ascii="宋体" w:eastAsia="宋体"/>
          <w:iCs/>
          <w:spacing w:val="0"/>
          <w:kern w:val="0"/>
        </w:rPr>
        <w:t>、</w:t>
      </w:r>
      <w:r>
        <w:rPr>
          <w:rStyle w:val="36"/>
          <w:rFonts w:hint="eastAsia" w:ascii="宋体" w:eastAsia="宋体"/>
          <w:color w:val="FF0000"/>
          <w:spacing w:val="0"/>
          <w:kern w:val="0"/>
        </w:rPr>
        <w:t>《数据迁移方案》</w:t>
      </w:r>
      <w:r>
        <w:rPr>
          <w:rStyle w:val="36"/>
          <w:rFonts w:ascii="宋体" w:eastAsia="宋体"/>
          <w:iCs/>
          <w:spacing w:val="0"/>
          <w:kern w:val="0"/>
        </w:rPr>
        <w:t>、</w:t>
      </w:r>
      <w:r>
        <w:rPr>
          <w:rStyle w:val="36"/>
          <w:rFonts w:hint="eastAsia" w:ascii="宋体" w:eastAsia="宋体"/>
          <w:color w:val="FF0000"/>
          <w:spacing w:val="0"/>
          <w:kern w:val="0"/>
        </w:rPr>
        <w:t>《软件兼容性方案》</w:t>
      </w:r>
      <w:r>
        <w:rPr>
          <w:rStyle w:val="36"/>
          <w:rFonts w:ascii="宋体" w:eastAsia="宋体"/>
          <w:iCs/>
          <w:spacing w:val="0"/>
          <w:kern w:val="0"/>
        </w:rPr>
        <w:t>、</w:t>
      </w:r>
      <w:r>
        <w:rPr>
          <w:rStyle w:val="36"/>
          <w:rFonts w:hint="eastAsia" w:ascii="宋体" w:eastAsia="宋体"/>
          <w:color w:val="FF0000"/>
          <w:spacing w:val="0"/>
          <w:kern w:val="0"/>
        </w:rPr>
        <w:t>《系统测试计划》、《系统测试报告》、《性能测试报告》、《安全测试报告》</w:t>
      </w:r>
    </w:p>
    <w:p>
      <w:pPr>
        <w:spacing w:line="360" w:lineRule="auto"/>
        <w:rPr>
          <w:rStyle w:val="36"/>
          <w:rFonts w:ascii="宋体" w:eastAsia="宋体"/>
          <w:iCs/>
          <w:spacing w:val="0"/>
          <w:kern w:val="0"/>
        </w:rPr>
      </w:pPr>
    </w:p>
    <w:p>
      <w:pPr>
        <w:spacing w:line="360" w:lineRule="auto"/>
        <w:ind w:firstLine="482" w:firstLineChars="200"/>
        <w:rPr>
          <w:rStyle w:val="36"/>
          <w:rFonts w:ascii="宋体" w:eastAsia="宋体"/>
          <w:b/>
          <w:spacing w:val="0"/>
          <w:kern w:val="0"/>
        </w:rPr>
      </w:pPr>
      <w:r>
        <w:rPr>
          <w:rStyle w:val="36"/>
          <w:rFonts w:hint="eastAsia" w:ascii="宋体" w:eastAsia="宋体"/>
          <w:b/>
          <w:spacing w:val="0"/>
          <w:kern w:val="0"/>
        </w:rPr>
        <w:t>二、验收流程</w:t>
      </w:r>
    </w:p>
    <w:p>
      <w:pPr>
        <w:spacing w:line="360" w:lineRule="auto"/>
        <w:ind w:left="2" w:leftChars="1" w:firstLine="360" w:firstLineChars="150"/>
        <w:rPr>
          <w:rStyle w:val="36"/>
          <w:rFonts w:ascii="宋体" w:eastAsia="宋体"/>
          <w:spacing w:val="0"/>
          <w:kern w:val="0"/>
        </w:rPr>
      </w:pPr>
      <w:r>
        <w:rPr>
          <w:rStyle w:val="36"/>
          <w:rFonts w:hint="eastAsia" w:ascii="宋体" w:eastAsia="宋体"/>
          <w:spacing w:val="0"/>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pPr>
        <w:spacing w:line="360" w:lineRule="auto"/>
        <w:ind w:left="-358"/>
        <w:rPr>
          <w:rStyle w:val="36"/>
          <w:rFonts w:ascii="宋体" w:eastAsia="宋体"/>
          <w:spacing w:val="0"/>
          <w:kern w:val="0"/>
        </w:rPr>
      </w:pPr>
    </w:p>
    <w:p>
      <w:pPr>
        <w:rPr>
          <w:rStyle w:val="36"/>
          <w:rFonts w:ascii="宋体" w:eastAsia="宋体"/>
          <w:spacing w:val="0"/>
          <w:kern w:val="0"/>
          <w:sz w:val="30"/>
        </w:rPr>
      </w:pPr>
      <w:r>
        <w:rPr>
          <w:rStyle w:val="36"/>
          <w:rFonts w:hint="eastAsia" w:ascii="宋体" w:eastAsia="宋体"/>
          <w:b w:val="0"/>
          <w:spacing w:val="0"/>
          <w:kern w:val="0"/>
          <w:sz w:val="30"/>
        </w:rPr>
        <w:br w:type="page"/>
      </w:r>
      <w:bookmarkStart w:id="353" w:name="_Toc63757484"/>
      <w:bookmarkStart w:id="354" w:name="_Toc84948052"/>
      <w:r>
        <w:rPr>
          <w:rStyle w:val="36"/>
          <w:rFonts w:hint="eastAsia" w:ascii="宋体" w:eastAsia="宋体"/>
          <w:spacing w:val="0"/>
          <w:kern w:val="0"/>
          <w:sz w:val="30"/>
        </w:rPr>
        <w:t>附件四：维护服务条款</w:t>
      </w:r>
      <w:bookmarkEnd w:id="353"/>
      <w:bookmarkEnd w:id="354"/>
    </w:p>
    <w:p>
      <w:pPr>
        <w:spacing w:line="360" w:lineRule="auto"/>
        <w:ind w:firstLine="480" w:firstLineChars="0"/>
        <w:rPr>
          <w:rStyle w:val="36"/>
          <w:rFonts w:ascii="宋体" w:eastAsia="宋体"/>
          <w:spacing w:val="0"/>
          <w:kern w:val="0"/>
        </w:rPr>
      </w:pPr>
      <w:r>
        <w:rPr>
          <w:rStyle w:val="36"/>
          <w:rFonts w:hint="eastAsia" w:ascii="宋体" w:eastAsia="宋体"/>
          <w:spacing w:val="0"/>
          <w:kern w:val="0"/>
        </w:rPr>
        <w:t>乙方业务代表作为技术服务的第一联系人，项目经理作为该项目的技术服务第二联系人，随时接受客户的电话服务支持，并申请调配相关资源为客户提供及时服务。</w:t>
      </w:r>
    </w:p>
    <w:p>
      <w:pPr>
        <w:numPr>
          <w:ilvl w:val="0"/>
          <w:numId w:val="13"/>
        </w:numPr>
        <w:tabs>
          <w:tab w:val="left" w:pos="420"/>
          <w:tab w:val="clear" w:pos="0"/>
        </w:tabs>
        <w:spacing w:line="360" w:lineRule="auto"/>
        <w:ind w:firstLineChars="0"/>
        <w:rPr>
          <w:rStyle w:val="36"/>
          <w:rFonts w:ascii="宋体" w:eastAsia="宋体"/>
          <w:spacing w:val="0"/>
        </w:rPr>
      </w:pPr>
      <w:r>
        <w:rPr>
          <w:rStyle w:val="36"/>
          <w:rFonts w:hint="eastAsia" w:ascii="宋体" w:eastAsia="宋体"/>
          <w:spacing w:val="0"/>
        </w:rPr>
        <w:t>系统正式验收通过，上线后提供三个月免费人员现场驻场维护，</w:t>
      </w:r>
      <w:r>
        <w:rPr>
          <w:rFonts w:hint="eastAsia" w:ascii="宋体" w:eastAsia="宋体"/>
          <w:spacing w:val="0"/>
          <w:kern w:val="0"/>
        </w:rPr>
        <w:t>正式</w:t>
      </w:r>
      <w:r>
        <w:rPr>
          <w:rFonts w:hint="eastAsia" w:ascii="宋体" w:eastAsia="宋体"/>
          <w:spacing w:val="0"/>
        </w:rPr>
        <w:t>验收合格次日</w:t>
      </w:r>
      <w:r>
        <w:rPr>
          <w:rStyle w:val="36"/>
          <w:rFonts w:hint="eastAsia" w:ascii="宋体" w:eastAsia="宋体"/>
          <w:spacing w:val="0"/>
        </w:rPr>
        <w:t>至次年</w:t>
      </w:r>
      <w:r>
        <w:rPr>
          <w:rFonts w:hint="eastAsia" w:ascii="宋体" w:eastAsia="宋体"/>
          <w:spacing w:val="0"/>
        </w:rPr>
        <w:t>并延期至6月30日或12月31日中较近日期（即维保延期最长不超过半年）</w:t>
      </w:r>
      <w:r>
        <w:rPr>
          <w:rStyle w:val="36"/>
          <w:rFonts w:hint="eastAsia" w:ascii="宋体" w:eastAsia="宋体"/>
          <w:spacing w:val="0"/>
        </w:rPr>
        <w:t>提供支持和服务。</w:t>
      </w:r>
    </w:p>
    <w:p>
      <w:pPr>
        <w:numPr>
          <w:ilvl w:val="0"/>
          <w:numId w:val="13"/>
        </w:numPr>
        <w:tabs>
          <w:tab w:val="left" w:pos="420"/>
          <w:tab w:val="clear" w:pos="0"/>
        </w:tabs>
        <w:spacing w:line="360" w:lineRule="auto"/>
        <w:ind w:firstLineChars="0"/>
        <w:rPr>
          <w:rStyle w:val="36"/>
          <w:rFonts w:ascii="宋体" w:eastAsia="宋体"/>
          <w:spacing w:val="0"/>
        </w:rPr>
      </w:pPr>
      <w:r>
        <w:rPr>
          <w:rStyle w:val="36"/>
          <w:rFonts w:hint="eastAsia" w:ascii="宋体" w:eastAsia="宋体"/>
          <w:spacing w:val="0"/>
        </w:rPr>
        <w:t>维护期内，提供平台升级及优化服务。</w:t>
      </w:r>
    </w:p>
    <w:p>
      <w:pPr>
        <w:numPr>
          <w:ilvl w:val="0"/>
          <w:numId w:val="13"/>
        </w:numPr>
        <w:tabs>
          <w:tab w:val="left" w:pos="420"/>
          <w:tab w:val="clear" w:pos="0"/>
        </w:tabs>
        <w:spacing w:line="360" w:lineRule="auto"/>
        <w:ind w:firstLineChars="0"/>
        <w:rPr>
          <w:rStyle w:val="36"/>
          <w:rFonts w:ascii="宋体" w:eastAsia="宋体"/>
          <w:spacing w:val="0"/>
        </w:rPr>
      </w:pPr>
      <w:r>
        <w:rPr>
          <w:rStyle w:val="36"/>
          <w:rFonts w:hint="eastAsia" w:ascii="宋体" w:eastAsia="宋体"/>
          <w:spacing w:val="0"/>
        </w:rPr>
        <w:t>系统上线后，提供二次系统和产品的培训，时间为每次1天。在维护期内，也可以根据用户需求，随时到客户现场进行系统和产品的培训。</w:t>
      </w:r>
    </w:p>
    <w:p>
      <w:pPr>
        <w:numPr>
          <w:ilvl w:val="0"/>
          <w:numId w:val="13"/>
        </w:numPr>
        <w:tabs>
          <w:tab w:val="left" w:pos="420"/>
          <w:tab w:val="clear" w:pos="0"/>
        </w:tabs>
        <w:spacing w:line="360" w:lineRule="auto"/>
        <w:ind w:firstLineChars="0"/>
        <w:rPr>
          <w:rFonts w:ascii="宋体" w:eastAsia="宋体"/>
          <w:spacing w:val="0"/>
        </w:rPr>
      </w:pPr>
      <w:r>
        <w:rPr>
          <w:rStyle w:val="36"/>
          <w:rFonts w:hint="eastAsia" w:ascii="宋体" w:eastAsia="宋体"/>
          <w:spacing w:val="0"/>
        </w:rPr>
        <w:t>维护期内，每季度派工程师现场巡检一次，并在巡检后提交巡检报告，针对巡检中发现的问题立即组织整改。</w:t>
      </w:r>
    </w:p>
    <w:p>
      <w:pPr>
        <w:spacing w:line="360" w:lineRule="auto"/>
        <w:rPr>
          <w:rFonts w:ascii="宋体" w:eastAsia="宋体"/>
          <w:spacing w:val="0"/>
        </w:rPr>
      </w:pPr>
      <w:r>
        <w:rPr>
          <w:rFonts w:hint="eastAsia" w:ascii="宋体" w:eastAsia="宋体"/>
          <w:spacing w:val="0"/>
        </w:rPr>
        <w:t>支持方式和手段</w:t>
      </w:r>
    </w:p>
    <w:p>
      <w:pPr>
        <w:numPr>
          <w:ilvl w:val="0"/>
          <w:numId w:val="14"/>
        </w:numPr>
        <w:tabs>
          <w:tab w:val="left" w:pos="420"/>
          <w:tab w:val="clear" w:pos="0"/>
        </w:tabs>
        <w:spacing w:line="360" w:lineRule="auto"/>
        <w:ind w:firstLineChars="0"/>
        <w:rPr>
          <w:rFonts w:ascii="宋体" w:eastAsia="宋体"/>
          <w:spacing w:val="0"/>
        </w:rPr>
      </w:pPr>
      <w:r>
        <w:rPr>
          <w:rFonts w:hint="eastAsia" w:ascii="宋体" w:eastAsia="宋体"/>
          <w:spacing w:val="0"/>
        </w:rPr>
        <w:t>热线电话</w:t>
      </w:r>
      <w:r>
        <w:rPr>
          <w:rFonts w:hint="eastAsia" w:ascii="宋体" w:eastAsia="宋体"/>
          <w:spacing w:val="0"/>
        </w:rPr>
        <w:br w:type="textWrapping"/>
      </w:r>
      <w:r>
        <w:rPr>
          <w:rFonts w:hint="eastAsia" w:ascii="宋体" w:eastAsia="宋体"/>
          <w:spacing w:val="0"/>
        </w:rPr>
        <w:t>针对具体业务过程中产生的各种技术咨询，开设专线，提供7*24小时的技术服务支持。</w:t>
      </w:r>
    </w:p>
    <w:p>
      <w:pPr>
        <w:numPr>
          <w:ilvl w:val="0"/>
          <w:numId w:val="14"/>
        </w:numPr>
        <w:tabs>
          <w:tab w:val="left" w:pos="420"/>
          <w:tab w:val="clear" w:pos="0"/>
        </w:tabs>
        <w:spacing w:line="360" w:lineRule="auto"/>
        <w:ind w:firstLineChars="0"/>
        <w:rPr>
          <w:rFonts w:ascii="宋体" w:eastAsia="宋体"/>
          <w:spacing w:val="0"/>
        </w:rPr>
      </w:pPr>
      <w:r>
        <w:rPr>
          <w:rFonts w:hint="eastAsia" w:ascii="宋体" w:eastAsia="宋体"/>
          <w:spacing w:val="0"/>
        </w:rPr>
        <w:t>E-mail</w:t>
      </w:r>
      <w:r>
        <w:rPr>
          <w:rFonts w:hint="eastAsia" w:ascii="宋体" w:eastAsia="宋体"/>
          <w:spacing w:val="0"/>
        </w:rPr>
        <w:br w:type="textWrapping"/>
      </w:r>
      <w:r>
        <w:rPr>
          <w:rFonts w:hint="eastAsia" w:ascii="宋体" w:eastAsia="宋体"/>
          <w:spacing w:val="0"/>
        </w:rPr>
        <w:t>客户建议、意见及技术支持同样可以通过</w:t>
      </w:r>
      <w:r>
        <w:rPr>
          <w:rFonts w:hint="eastAsia" w:ascii="宋体" w:eastAsia="宋体"/>
          <w:spacing w:val="0"/>
          <w:u w:val="single"/>
        </w:rPr>
        <w:t xml:space="preserve">    XXXXX公司（乙方）  </w:t>
      </w:r>
      <w:r>
        <w:rPr>
          <w:rFonts w:hint="eastAsia" w:ascii="宋体" w:eastAsia="宋体"/>
          <w:spacing w:val="0"/>
        </w:rPr>
        <w:t>提供的服务支持电子信箱获得响应，我们将做出详细、全面的服务解答，在半天内给予E-mail回复。</w:t>
      </w:r>
    </w:p>
    <w:p>
      <w:pPr>
        <w:numPr>
          <w:ilvl w:val="0"/>
          <w:numId w:val="14"/>
        </w:numPr>
        <w:tabs>
          <w:tab w:val="left" w:pos="420"/>
          <w:tab w:val="clear" w:pos="0"/>
        </w:tabs>
        <w:spacing w:line="360" w:lineRule="auto"/>
        <w:ind w:firstLineChars="0"/>
        <w:rPr>
          <w:rFonts w:ascii="宋体" w:eastAsia="宋体"/>
          <w:spacing w:val="0"/>
        </w:rPr>
      </w:pPr>
      <w:r>
        <w:rPr>
          <w:rFonts w:hint="eastAsia" w:ascii="宋体" w:eastAsia="宋体"/>
          <w:spacing w:val="0"/>
        </w:rPr>
        <w:t>远程登录</w:t>
      </w:r>
      <w:r>
        <w:rPr>
          <w:rFonts w:hint="eastAsia" w:ascii="宋体" w:eastAsia="宋体"/>
          <w:spacing w:val="0"/>
        </w:rPr>
        <w:br w:type="textWrapping"/>
      </w:r>
      <w:r>
        <w:rPr>
          <w:rFonts w:hint="eastAsia" w:ascii="宋体" w:eastAsia="宋体"/>
          <w:spacing w:val="0"/>
        </w:rPr>
        <w:t>对客户所遇到技术问题可以在客户条件许可的情况下进行远程访问排除故障，以方便客户能够及时解决疑难杂症。</w:t>
      </w:r>
    </w:p>
    <w:p>
      <w:pPr>
        <w:numPr>
          <w:ilvl w:val="0"/>
          <w:numId w:val="14"/>
        </w:numPr>
        <w:tabs>
          <w:tab w:val="left" w:pos="420"/>
          <w:tab w:val="clear" w:pos="0"/>
        </w:tabs>
        <w:spacing w:line="360" w:lineRule="auto"/>
        <w:ind w:firstLineChars="0"/>
        <w:rPr>
          <w:rFonts w:ascii="宋体" w:eastAsia="宋体"/>
          <w:spacing w:val="0"/>
        </w:rPr>
      </w:pPr>
      <w:r>
        <w:rPr>
          <w:rFonts w:hint="eastAsia" w:ascii="宋体" w:eastAsia="宋体"/>
          <w:spacing w:val="0"/>
        </w:rPr>
        <w:t>现场支持</w:t>
      </w:r>
      <w:r>
        <w:rPr>
          <w:rFonts w:hint="eastAsia" w:ascii="宋体" w:eastAsia="宋体"/>
          <w:spacing w:val="0"/>
        </w:rPr>
        <w:br w:type="textWrapping"/>
      </w:r>
      <w:r>
        <w:rPr>
          <w:rFonts w:hint="eastAsia" w:ascii="宋体" w:eastAsia="宋体"/>
          <w:spacing w:val="0"/>
        </w:rPr>
        <w:t>对于重大故障或者无法通过远程登录排除的故障，将安排工程师前往现场进行处理，使客户在最短的时间内解决故障，减少故障历时，从而最大限度地减少客户损失，保证在2小时内到现场。</w:t>
      </w:r>
    </w:p>
    <w:p>
      <w:pPr>
        <w:numPr>
          <w:ilvl w:val="0"/>
          <w:numId w:val="14"/>
        </w:numPr>
        <w:tabs>
          <w:tab w:val="left" w:pos="420"/>
          <w:tab w:val="clear" w:pos="0"/>
        </w:tabs>
        <w:spacing w:line="360" w:lineRule="auto"/>
        <w:ind w:firstLineChars="0"/>
        <w:rPr>
          <w:rFonts w:ascii="宋体" w:eastAsia="宋体"/>
          <w:spacing w:val="0"/>
        </w:rPr>
      </w:pPr>
      <w:r>
        <w:rPr>
          <w:rFonts w:hint="eastAsia" w:ascii="宋体" w:eastAsia="宋体"/>
          <w:spacing w:val="0"/>
        </w:rPr>
        <w:t>运行日志定期检查</w:t>
      </w:r>
      <w:r>
        <w:rPr>
          <w:rFonts w:hint="eastAsia" w:ascii="宋体" w:eastAsia="宋体"/>
          <w:spacing w:val="0"/>
        </w:rPr>
        <w:br w:type="textWrapping"/>
      </w:r>
      <w:r>
        <w:rPr>
          <w:rFonts w:hint="eastAsia" w:ascii="宋体" w:eastAsia="宋体"/>
          <w:spacing w:val="0"/>
        </w:rPr>
        <w:t>最好的服务方式是提前发现问题，将问题解决于发生前，在</w:t>
      </w:r>
      <w:r>
        <w:rPr>
          <w:rStyle w:val="36"/>
          <w:rFonts w:hint="eastAsia" w:ascii="宋体" w:eastAsia="宋体"/>
          <w:spacing w:val="0"/>
          <w:kern w:val="0"/>
        </w:rPr>
        <w:t>乙方</w:t>
      </w:r>
      <w:r>
        <w:rPr>
          <w:rFonts w:hint="eastAsia" w:ascii="宋体" w:eastAsia="宋体"/>
          <w:spacing w:val="0"/>
        </w:rPr>
        <w:t>实施的系统中，提供了相关的运行日志，通过和客户的协商，通过客户定期提供的运行日志，可实现定期的日志检查，可以提前发现系统的运行问题，以起到防患于未然的效果。</w:t>
      </w:r>
    </w:p>
    <w:p>
      <w:pPr>
        <w:numPr>
          <w:ilvl w:val="0"/>
          <w:numId w:val="14"/>
        </w:numPr>
        <w:tabs>
          <w:tab w:val="left" w:pos="420"/>
          <w:tab w:val="clear" w:pos="0"/>
        </w:tabs>
        <w:spacing w:line="360" w:lineRule="auto"/>
        <w:ind w:firstLineChars="0"/>
        <w:rPr>
          <w:rFonts w:ascii="宋体" w:eastAsia="宋体"/>
          <w:spacing w:val="0"/>
        </w:rPr>
      </w:pPr>
      <w:r>
        <w:rPr>
          <w:rFonts w:hint="eastAsia" w:ascii="宋体" w:eastAsia="宋体"/>
          <w:spacing w:val="0"/>
        </w:rPr>
        <w:t>故障处理流程</w:t>
      </w:r>
    </w:p>
    <w:p>
      <w:pPr>
        <w:spacing w:line="360" w:lineRule="auto"/>
        <w:ind w:left="420"/>
        <w:rPr>
          <w:rFonts w:hint="eastAsia" w:ascii="宋体" w:eastAsia="宋体"/>
          <w:spacing w:val="0"/>
        </w:rPr>
      </w:pPr>
      <w:r>
        <w:rPr>
          <w:rFonts w:hint="eastAsia" w:ascii="宋体" w:eastAsia="宋体"/>
          <w:spacing w:val="0"/>
        </w:rPr>
        <w:t>通过现象定位错误原因，编写处理说明书（包含处理完成时间）。</w:t>
      </w:r>
      <w:bookmarkStart w:id="355" w:name="_Toc84948053"/>
      <w:bookmarkStart w:id="356" w:name="_Toc63757485"/>
    </w:p>
    <w:p>
      <w:pPr>
        <w:rPr>
          <w:rFonts w:hint="eastAsia" w:ascii="宋体" w:eastAsia="宋体"/>
          <w:spacing w:val="0"/>
        </w:rPr>
      </w:pPr>
      <w:r>
        <w:rPr>
          <w:rFonts w:hint="eastAsia" w:ascii="宋体" w:eastAsia="宋体"/>
          <w:spacing w:val="0"/>
        </w:rPr>
        <w:br w:type="page"/>
      </w:r>
    </w:p>
    <w:p>
      <w:pPr>
        <w:spacing w:line="360" w:lineRule="auto"/>
        <w:ind w:left="420"/>
      </w:pPr>
      <w:r>
        <w:rPr>
          <w:rStyle w:val="36"/>
          <w:rFonts w:hint="eastAsia" w:ascii="宋体" w:eastAsia="宋体"/>
          <w:spacing w:val="0"/>
          <w:kern w:val="0"/>
          <w:sz w:val="30"/>
        </w:rPr>
        <w:t>附件五：服务水平协议（SLA）</w:t>
      </w:r>
      <w:bookmarkEnd w:id="355"/>
      <w:bookmarkEnd w:id="356"/>
    </w:p>
    <w:p>
      <w:pPr>
        <w:rPr>
          <w:rFonts w:ascii="宋体" w:eastAsia="宋体"/>
          <w:b/>
          <w:bCs/>
          <w:spacing w:val="0"/>
          <w:szCs w:val="24"/>
        </w:rPr>
      </w:pPr>
      <w:r>
        <w:rPr>
          <w:rFonts w:hint="eastAsia" w:ascii="宋体" w:eastAsia="宋体"/>
          <w:b/>
          <w:bCs/>
          <w:spacing w:val="0"/>
          <w:kern w:val="32"/>
          <w:szCs w:val="24"/>
        </w:rPr>
        <w:t>1. 目标</w:t>
      </w:r>
    </w:p>
    <w:p>
      <w:pPr>
        <w:spacing w:line="360" w:lineRule="auto"/>
        <w:ind w:firstLine="480" w:firstLineChars="200"/>
        <w:rPr>
          <w:rFonts w:ascii="宋体" w:eastAsia="宋体"/>
          <w:spacing w:val="0"/>
          <w:szCs w:val="24"/>
        </w:rPr>
      </w:pPr>
      <w:r>
        <w:rPr>
          <w:rFonts w:hint="eastAsia" w:ascii="宋体" w:eastAsia="宋体"/>
          <w:spacing w:val="0"/>
          <w:szCs w:val="24"/>
        </w:rPr>
        <w:t>本服务水平协议（SLA）的目标是为了清晰地定义由X</w:t>
      </w:r>
      <w:r>
        <w:rPr>
          <w:rFonts w:ascii="宋体" w:eastAsia="宋体"/>
          <w:spacing w:val="0"/>
          <w:szCs w:val="24"/>
        </w:rPr>
        <w:t>XXXXXXXXXXXXXXXXXX</w:t>
      </w:r>
      <w:r>
        <w:rPr>
          <w:rFonts w:hint="eastAsia" w:ascii="宋体" w:eastAsia="宋体"/>
          <w:spacing w:val="0"/>
          <w:szCs w:val="24"/>
        </w:rPr>
        <w:t>公司（乙方）在本项目中为重庆三峡银行（甲方）提供的服务水平，本SLA主要：</w:t>
      </w:r>
    </w:p>
    <w:p>
      <w:pPr>
        <w:widowControl/>
        <w:numPr>
          <w:ilvl w:val="0"/>
          <w:numId w:val="15"/>
        </w:numPr>
        <w:spacing w:line="360" w:lineRule="auto"/>
        <w:ind w:firstLineChars="0"/>
        <w:jc w:val="left"/>
        <w:rPr>
          <w:rFonts w:ascii="宋体" w:eastAsia="宋体"/>
          <w:spacing w:val="0"/>
          <w:szCs w:val="24"/>
        </w:rPr>
      </w:pPr>
      <w:r>
        <w:rPr>
          <w:rFonts w:hint="eastAsia" w:ascii="宋体" w:eastAsia="宋体"/>
          <w:spacing w:val="0"/>
          <w:szCs w:val="24"/>
        </w:rPr>
        <w:t>明确甲方对外包乙方所提供服务水平的期望</w:t>
      </w:r>
    </w:p>
    <w:p>
      <w:pPr>
        <w:widowControl/>
        <w:numPr>
          <w:ilvl w:val="0"/>
          <w:numId w:val="15"/>
        </w:numPr>
        <w:spacing w:line="360" w:lineRule="auto"/>
        <w:ind w:firstLineChars="0"/>
        <w:jc w:val="left"/>
        <w:rPr>
          <w:rFonts w:ascii="宋体" w:eastAsia="宋体"/>
          <w:spacing w:val="0"/>
          <w:szCs w:val="24"/>
        </w:rPr>
      </w:pPr>
      <w:r>
        <w:rPr>
          <w:rFonts w:hint="eastAsia" w:ascii="宋体" w:eastAsia="宋体"/>
          <w:spacing w:val="0"/>
          <w:szCs w:val="24"/>
        </w:rPr>
        <w:t>规范和加强甲方对乙方所提供服务水平的控制</w:t>
      </w:r>
    </w:p>
    <w:p>
      <w:pPr>
        <w:spacing w:line="360" w:lineRule="auto"/>
        <w:ind w:firstLine="480" w:firstLineChars="200"/>
        <w:rPr>
          <w:rFonts w:ascii="宋体" w:eastAsia="宋体"/>
          <w:spacing w:val="0"/>
          <w:szCs w:val="24"/>
        </w:rPr>
      </w:pPr>
      <w:r>
        <w:rPr>
          <w:rFonts w:hint="eastAsia" w:ascii="宋体" w:eastAsia="宋体"/>
          <w:spacing w:val="0"/>
          <w:szCs w:val="24"/>
        </w:rPr>
        <w:t>双方将针对本项目制定明确的职责分工表用来确定计划和管理服务水平协议的角色和职责。</w:t>
      </w:r>
    </w:p>
    <w:p>
      <w:pPr>
        <w:rPr>
          <w:rFonts w:ascii="宋体" w:eastAsia="宋体"/>
          <w:b/>
          <w:bCs/>
          <w:spacing w:val="0"/>
          <w:kern w:val="32"/>
          <w:szCs w:val="24"/>
        </w:rPr>
      </w:pPr>
      <w:r>
        <w:rPr>
          <w:rFonts w:hint="eastAsia" w:ascii="宋体" w:eastAsia="宋体"/>
          <w:b/>
          <w:bCs/>
          <w:spacing w:val="0"/>
          <w:kern w:val="32"/>
          <w:szCs w:val="24"/>
        </w:rPr>
        <w:t>2. 协议期限</w:t>
      </w:r>
    </w:p>
    <w:p>
      <w:pPr>
        <w:spacing w:line="360" w:lineRule="auto"/>
        <w:ind w:firstLine="424" w:firstLineChars="177"/>
        <w:rPr>
          <w:rFonts w:ascii="宋体" w:eastAsia="宋体"/>
          <w:spacing w:val="0"/>
          <w:szCs w:val="24"/>
        </w:rPr>
      </w:pPr>
      <w:r>
        <w:rPr>
          <w:rFonts w:hint="eastAsia" w:ascii="宋体" w:eastAsia="宋体"/>
          <w:spacing w:val="0"/>
          <w:szCs w:val="24"/>
        </w:rPr>
        <w:t>根据双方达成的一致要求，本协议的有效期从本项目实施之日起到合同正文</w:t>
      </w:r>
      <w:r>
        <w:rPr>
          <w:rFonts w:hint="eastAsia" w:ascii="宋体" w:eastAsia="宋体"/>
          <w:spacing w:val="0"/>
        </w:rPr>
        <w:t>6.1承诺的</w:t>
      </w:r>
      <w:r>
        <w:rPr>
          <w:rFonts w:hint="eastAsia" w:ascii="宋体" w:eastAsia="宋体"/>
          <w:spacing w:val="0"/>
          <w:szCs w:val="24"/>
        </w:rPr>
        <w:t>维护期结束。</w:t>
      </w:r>
    </w:p>
    <w:p>
      <w:pPr>
        <w:rPr>
          <w:rFonts w:ascii="宋体" w:eastAsia="宋体"/>
          <w:b/>
          <w:bCs/>
          <w:spacing w:val="0"/>
          <w:kern w:val="32"/>
          <w:szCs w:val="24"/>
        </w:rPr>
      </w:pPr>
      <w:r>
        <w:rPr>
          <w:rFonts w:hint="eastAsia" w:ascii="宋体" w:eastAsia="宋体"/>
          <w:b/>
          <w:bCs/>
          <w:spacing w:val="0"/>
          <w:kern w:val="32"/>
          <w:szCs w:val="24"/>
        </w:rPr>
        <w:t>3. 双方职责</w:t>
      </w:r>
    </w:p>
    <w:p>
      <w:pPr>
        <w:rPr>
          <w:rFonts w:ascii="宋体" w:eastAsia="宋体"/>
          <w:b/>
          <w:bCs/>
          <w:spacing w:val="0"/>
          <w:kern w:val="32"/>
          <w:szCs w:val="24"/>
        </w:rPr>
      </w:pPr>
      <w:r>
        <w:rPr>
          <w:rFonts w:hint="eastAsia" w:ascii="宋体" w:eastAsia="宋体"/>
          <w:b/>
          <w:bCs/>
          <w:spacing w:val="0"/>
          <w:kern w:val="32"/>
          <w:szCs w:val="24"/>
        </w:rPr>
        <w:t>3.1乙方</w:t>
      </w:r>
    </w:p>
    <w:p>
      <w:pPr>
        <w:spacing w:line="360" w:lineRule="auto"/>
        <w:ind w:firstLine="480" w:firstLineChars="200"/>
        <w:rPr>
          <w:rFonts w:ascii="宋体" w:eastAsia="宋体"/>
          <w:spacing w:val="0"/>
          <w:szCs w:val="24"/>
        </w:rPr>
      </w:pPr>
      <w:r>
        <w:rPr>
          <w:rFonts w:hint="eastAsia" w:ascii="宋体" w:eastAsia="宋体"/>
          <w:spacing w:val="0"/>
          <w:szCs w:val="24"/>
        </w:rPr>
        <w:t>除本协议描述的服务水平衡量和目标外，乙方还应：</w:t>
      </w:r>
    </w:p>
    <w:p>
      <w:pPr>
        <w:widowControl/>
        <w:numPr>
          <w:ilvl w:val="0"/>
          <w:numId w:val="15"/>
        </w:numPr>
        <w:spacing w:line="360" w:lineRule="auto"/>
        <w:ind w:firstLineChars="0"/>
        <w:jc w:val="left"/>
        <w:rPr>
          <w:rFonts w:ascii="宋体" w:eastAsia="宋体"/>
          <w:spacing w:val="0"/>
          <w:szCs w:val="24"/>
        </w:rPr>
      </w:pPr>
      <w:r>
        <w:rPr>
          <w:rFonts w:hint="eastAsia" w:ascii="宋体" w:eastAsia="宋体"/>
          <w:spacing w:val="0"/>
          <w:szCs w:val="24"/>
        </w:rPr>
        <w:t>尽快向甲方管理层汇报发现的问题；</w:t>
      </w:r>
    </w:p>
    <w:p>
      <w:pPr>
        <w:widowControl/>
        <w:numPr>
          <w:ilvl w:val="0"/>
          <w:numId w:val="15"/>
        </w:numPr>
        <w:spacing w:line="360" w:lineRule="auto"/>
        <w:ind w:firstLineChars="0"/>
        <w:jc w:val="left"/>
        <w:rPr>
          <w:rFonts w:ascii="宋体" w:eastAsia="宋体"/>
          <w:spacing w:val="0"/>
          <w:szCs w:val="24"/>
        </w:rPr>
      </w:pPr>
      <w:r>
        <w:rPr>
          <w:rFonts w:hint="eastAsia" w:ascii="宋体" w:eastAsia="宋体"/>
          <w:spacing w:val="0"/>
          <w:szCs w:val="24"/>
        </w:rPr>
        <w:t>任何可能影响SLA中规定服务的服务能力的事件，乙方应尽早向甲方提供预警信息，以及可能的影响和处置措施。事件包括：</w:t>
      </w:r>
    </w:p>
    <w:p>
      <w:pPr>
        <w:widowControl/>
        <w:numPr>
          <w:ilvl w:val="0"/>
          <w:numId w:val="16"/>
        </w:numPr>
        <w:spacing w:line="360" w:lineRule="auto"/>
        <w:ind w:firstLineChars="0"/>
        <w:jc w:val="left"/>
        <w:rPr>
          <w:rFonts w:ascii="宋体" w:eastAsia="宋体"/>
          <w:spacing w:val="0"/>
          <w:szCs w:val="24"/>
        </w:rPr>
      </w:pPr>
      <w:r>
        <w:rPr>
          <w:rFonts w:hint="eastAsia" w:ascii="宋体" w:eastAsia="宋体"/>
          <w:spacing w:val="0"/>
          <w:szCs w:val="24"/>
        </w:rPr>
        <w:t>组织架构变更</w:t>
      </w:r>
    </w:p>
    <w:p>
      <w:pPr>
        <w:widowControl/>
        <w:numPr>
          <w:ilvl w:val="0"/>
          <w:numId w:val="16"/>
        </w:numPr>
        <w:spacing w:line="360" w:lineRule="auto"/>
        <w:ind w:firstLineChars="0"/>
        <w:jc w:val="left"/>
        <w:rPr>
          <w:rFonts w:ascii="宋体" w:eastAsia="宋体"/>
          <w:spacing w:val="0"/>
          <w:szCs w:val="24"/>
        </w:rPr>
      </w:pPr>
      <w:r>
        <w:rPr>
          <w:rFonts w:hint="eastAsia" w:ascii="宋体" w:eastAsia="宋体"/>
          <w:spacing w:val="0"/>
          <w:szCs w:val="24"/>
        </w:rPr>
        <w:t>技术变更</w:t>
      </w:r>
    </w:p>
    <w:p>
      <w:pPr>
        <w:widowControl/>
        <w:numPr>
          <w:ilvl w:val="0"/>
          <w:numId w:val="16"/>
        </w:numPr>
        <w:spacing w:line="360" w:lineRule="auto"/>
        <w:ind w:firstLineChars="0"/>
        <w:jc w:val="left"/>
        <w:rPr>
          <w:rFonts w:ascii="宋体" w:eastAsia="宋体"/>
          <w:spacing w:val="0"/>
          <w:szCs w:val="24"/>
        </w:rPr>
      </w:pPr>
      <w:r>
        <w:rPr>
          <w:rFonts w:hint="eastAsia" w:ascii="宋体" w:eastAsia="宋体"/>
          <w:spacing w:val="0"/>
          <w:szCs w:val="24"/>
        </w:rPr>
        <w:t>职能变更</w:t>
      </w:r>
    </w:p>
    <w:p>
      <w:pPr>
        <w:widowControl/>
        <w:numPr>
          <w:ilvl w:val="0"/>
          <w:numId w:val="16"/>
        </w:numPr>
        <w:spacing w:line="360" w:lineRule="auto"/>
        <w:ind w:firstLineChars="0"/>
        <w:jc w:val="left"/>
        <w:rPr>
          <w:rFonts w:ascii="宋体" w:eastAsia="宋体"/>
          <w:spacing w:val="0"/>
          <w:szCs w:val="24"/>
        </w:rPr>
      </w:pPr>
      <w:r>
        <w:rPr>
          <w:rFonts w:ascii="宋体" w:eastAsia="宋体"/>
          <w:spacing w:val="0"/>
          <w:szCs w:val="24"/>
        </w:rPr>
        <w:t>其他可能影响对甲方服务的突发事件</w:t>
      </w:r>
    </w:p>
    <w:p>
      <w:pPr>
        <w:widowControl/>
        <w:numPr>
          <w:ilvl w:val="0"/>
          <w:numId w:val="15"/>
        </w:numPr>
        <w:spacing w:line="360" w:lineRule="auto"/>
        <w:ind w:left="709" w:hanging="229" w:firstLineChars="0"/>
        <w:jc w:val="left"/>
        <w:rPr>
          <w:rFonts w:ascii="宋体" w:eastAsia="宋体"/>
          <w:spacing w:val="0"/>
          <w:szCs w:val="24"/>
        </w:rPr>
      </w:pPr>
      <w:r>
        <w:rPr>
          <w:rFonts w:hint="eastAsia" w:ascii="宋体" w:eastAsia="宋体"/>
          <w:spacing w:val="0"/>
          <w:szCs w:val="24"/>
        </w:rPr>
        <w:t>协助甲方及时解决生产事件。当问题产生时，应尽快采取适当的措施识别并修复问题。</w:t>
      </w:r>
    </w:p>
    <w:p>
      <w:pPr>
        <w:rPr>
          <w:rFonts w:ascii="宋体" w:eastAsia="宋体"/>
          <w:spacing w:val="0"/>
          <w:szCs w:val="24"/>
        </w:rPr>
      </w:pPr>
    </w:p>
    <w:p>
      <w:pPr>
        <w:rPr>
          <w:rFonts w:ascii="宋体" w:eastAsia="宋体"/>
          <w:b/>
          <w:bCs/>
          <w:spacing w:val="0"/>
          <w:kern w:val="32"/>
          <w:szCs w:val="24"/>
        </w:rPr>
      </w:pPr>
      <w:r>
        <w:rPr>
          <w:rFonts w:hint="eastAsia" w:ascii="宋体" w:eastAsia="宋体"/>
          <w:b/>
          <w:bCs/>
          <w:spacing w:val="0"/>
          <w:kern w:val="32"/>
          <w:szCs w:val="24"/>
        </w:rPr>
        <w:t>3.2甲方</w:t>
      </w:r>
    </w:p>
    <w:p>
      <w:pPr>
        <w:widowControl/>
        <w:numPr>
          <w:ilvl w:val="0"/>
          <w:numId w:val="15"/>
        </w:numPr>
        <w:spacing w:line="360" w:lineRule="auto"/>
        <w:ind w:left="709" w:hanging="229" w:firstLineChars="0"/>
        <w:jc w:val="left"/>
        <w:rPr>
          <w:rFonts w:ascii="宋体" w:eastAsia="宋体"/>
          <w:spacing w:val="0"/>
          <w:szCs w:val="24"/>
        </w:rPr>
      </w:pPr>
      <w:r>
        <w:rPr>
          <w:rFonts w:hint="eastAsia" w:ascii="宋体" w:eastAsia="宋体"/>
          <w:spacing w:val="0"/>
          <w:szCs w:val="24"/>
        </w:rPr>
        <w:t>甲方将尽快将问题汇报给乙方管理层；</w:t>
      </w:r>
    </w:p>
    <w:p>
      <w:pPr>
        <w:widowControl/>
        <w:numPr>
          <w:ilvl w:val="0"/>
          <w:numId w:val="15"/>
        </w:numPr>
        <w:spacing w:line="360" w:lineRule="auto"/>
        <w:ind w:left="709" w:hanging="229" w:firstLineChars="0"/>
        <w:jc w:val="left"/>
        <w:rPr>
          <w:rFonts w:ascii="宋体" w:eastAsia="宋体"/>
          <w:spacing w:val="0"/>
          <w:szCs w:val="24"/>
        </w:rPr>
      </w:pPr>
      <w:r>
        <w:rPr>
          <w:rFonts w:hint="eastAsia" w:ascii="宋体" w:eastAsia="宋体"/>
          <w:spacing w:val="0"/>
          <w:szCs w:val="24"/>
        </w:rPr>
        <w:t>提供任何可能影响乙方向甲方提供SLA中规定服务的服务能力的事件信息，包括：</w:t>
      </w:r>
    </w:p>
    <w:p>
      <w:pPr>
        <w:widowControl/>
        <w:numPr>
          <w:ilvl w:val="0"/>
          <w:numId w:val="16"/>
        </w:numPr>
        <w:spacing w:line="360" w:lineRule="auto"/>
        <w:ind w:firstLineChars="0"/>
        <w:jc w:val="left"/>
        <w:rPr>
          <w:rFonts w:ascii="宋体" w:eastAsia="宋体"/>
          <w:spacing w:val="0"/>
          <w:szCs w:val="24"/>
        </w:rPr>
      </w:pPr>
      <w:r>
        <w:rPr>
          <w:rFonts w:hint="eastAsia" w:ascii="宋体" w:eastAsia="宋体"/>
          <w:spacing w:val="0"/>
          <w:szCs w:val="24"/>
        </w:rPr>
        <w:t>组织架构变更</w:t>
      </w:r>
    </w:p>
    <w:p>
      <w:pPr>
        <w:widowControl/>
        <w:numPr>
          <w:ilvl w:val="0"/>
          <w:numId w:val="16"/>
        </w:numPr>
        <w:spacing w:line="360" w:lineRule="auto"/>
        <w:ind w:firstLineChars="0"/>
        <w:jc w:val="left"/>
        <w:rPr>
          <w:rFonts w:ascii="宋体" w:eastAsia="宋体"/>
          <w:spacing w:val="0"/>
          <w:szCs w:val="24"/>
        </w:rPr>
      </w:pPr>
      <w:r>
        <w:rPr>
          <w:rFonts w:hint="eastAsia" w:ascii="宋体" w:eastAsia="宋体"/>
          <w:spacing w:val="0"/>
          <w:szCs w:val="24"/>
        </w:rPr>
        <w:t>技术变更</w:t>
      </w:r>
    </w:p>
    <w:p>
      <w:pPr>
        <w:widowControl/>
        <w:numPr>
          <w:ilvl w:val="0"/>
          <w:numId w:val="16"/>
        </w:numPr>
        <w:spacing w:line="360" w:lineRule="auto"/>
        <w:ind w:firstLineChars="0"/>
        <w:jc w:val="left"/>
        <w:rPr>
          <w:rFonts w:ascii="宋体" w:eastAsia="宋体"/>
          <w:spacing w:val="0"/>
          <w:szCs w:val="24"/>
        </w:rPr>
      </w:pPr>
      <w:r>
        <w:rPr>
          <w:rFonts w:hint="eastAsia" w:ascii="宋体" w:eastAsia="宋体"/>
          <w:spacing w:val="0"/>
          <w:szCs w:val="24"/>
        </w:rPr>
        <w:t>职能变更</w:t>
      </w:r>
    </w:p>
    <w:p>
      <w:pPr>
        <w:rPr>
          <w:rFonts w:ascii="宋体" w:eastAsia="宋体"/>
          <w:b/>
          <w:bCs/>
          <w:spacing w:val="0"/>
          <w:kern w:val="32"/>
          <w:szCs w:val="24"/>
        </w:rPr>
      </w:pPr>
      <w:r>
        <w:rPr>
          <w:rFonts w:hint="eastAsia" w:ascii="宋体" w:eastAsia="宋体"/>
          <w:b/>
          <w:bCs/>
          <w:spacing w:val="0"/>
          <w:kern w:val="32"/>
          <w:szCs w:val="24"/>
        </w:rPr>
        <w:t>4. 服务内容</w:t>
      </w:r>
    </w:p>
    <w:tbl>
      <w:tblPr>
        <w:tblStyle w:val="20"/>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l2br w:val="nil"/>
              <w:tr2bl w:val="nil"/>
            </w:tcBorders>
            <w:vAlign w:val="center"/>
          </w:tcPr>
          <w:p>
            <w:pPr>
              <w:ind w:left="0" w:firstLine="0" w:firstLineChars="0"/>
              <w:rPr>
                <w:rFonts w:ascii="宋体" w:eastAsia="宋体"/>
                <w:spacing w:val="0"/>
                <w:szCs w:val="24"/>
              </w:rPr>
            </w:pPr>
            <w:r>
              <w:rPr>
                <w:rFonts w:hint="eastAsia" w:ascii="宋体" w:eastAsia="宋体"/>
                <w:b/>
                <w:bCs/>
                <w:spacing w:val="0"/>
                <w:kern w:val="32"/>
                <w:szCs w:val="24"/>
              </w:rPr>
              <w:t>4.1技术管理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4.1.1</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项目执行控制</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管理目标、沟通和范围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4.1.2</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系统部署</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在甲方所提供的技术环境内配置和部署系统接入所需的资源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4.1.3</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管理系统</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管理运行过程中的各个环节和环境（如测试、培训、维护等）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l2br w:val="nil"/>
              <w:tr2bl w:val="nil"/>
            </w:tcBorders>
            <w:vAlign w:val="center"/>
          </w:tcPr>
          <w:p>
            <w:pPr>
              <w:ind w:left="0" w:firstLine="0" w:firstLineChars="0"/>
              <w:rPr>
                <w:rFonts w:ascii="宋体" w:eastAsia="宋体"/>
                <w:b/>
                <w:spacing w:val="0"/>
                <w:szCs w:val="24"/>
              </w:rPr>
            </w:pPr>
            <w:r>
              <w:rPr>
                <w:rFonts w:hint="eastAsia" w:ascii="宋体" w:eastAsia="宋体"/>
                <w:b/>
                <w:spacing w:val="0"/>
                <w:szCs w:val="24"/>
              </w:rPr>
              <w:t>4.2系统处理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4.2.1</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备份</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提供数据容量规划咨询，设计系统的备份策略，完成其有效性验证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4.2.2</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恢复</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设计系统的恢复策略，完成其有效性验证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l2br w:val="nil"/>
              <w:tr2bl w:val="nil"/>
            </w:tcBorders>
            <w:vAlign w:val="center"/>
          </w:tcPr>
          <w:p>
            <w:pPr>
              <w:ind w:left="0" w:firstLine="0" w:firstLineChars="0"/>
              <w:rPr>
                <w:rFonts w:ascii="宋体" w:eastAsia="宋体"/>
                <w:b/>
                <w:spacing w:val="0"/>
                <w:szCs w:val="24"/>
              </w:rPr>
            </w:pPr>
            <w:r>
              <w:rPr>
                <w:rFonts w:hint="eastAsia" w:ascii="宋体" w:eastAsia="宋体"/>
                <w:b/>
                <w:spacing w:val="0"/>
                <w:szCs w:val="24"/>
              </w:rPr>
              <w:t>4.3软件开发及测试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4.3.1</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软件管理</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负责管理和设计应用软件，配合进行软件过程开发管理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4.3.2</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系统接口开发</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设计和开发系统内部各模块的接口以及与外部系统进行数据交互的接口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4.3.3</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代码开发和测试</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编写代码并且完成开发自测与系统测试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4.3.4</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知识转移</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负责现场培训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pPr>
              <w:ind w:left="0" w:firstLine="0" w:firstLineChars="0"/>
              <w:rPr>
                <w:rFonts w:ascii="宋体" w:eastAsia="宋体"/>
                <w:b/>
                <w:spacing w:val="0"/>
                <w:szCs w:val="24"/>
              </w:rPr>
            </w:pPr>
            <w:r>
              <w:rPr>
                <w:rFonts w:hint="eastAsia" w:ascii="宋体" w:eastAsia="宋体"/>
                <w:b/>
                <w:spacing w:val="0"/>
                <w:szCs w:val="24"/>
              </w:rPr>
              <w:t>4.4 支持和维护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4.4.1</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变更管理</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根据变更需求在甲方的技术环境内设计并且执行所有平台和应用软件变更程序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4.4.2</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系统监控</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提供对系统监控的支持，包括专有硬件设备（如有）、应用系统进程、日志、连接等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4.4.3</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发布管理</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制定测试环境发布方案，协助将具体的目标系统从测试环境移植到生产的上线方案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4.4.4</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安全管理</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配合甲方完成上线前的漏洞扫描、渗透测试等安全评估工作，根据甲方要求完成发现漏洞的整改工作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l2br w:val="nil"/>
              <w:tr2bl w:val="nil"/>
            </w:tcBorders>
            <w:vAlign w:val="center"/>
          </w:tcPr>
          <w:p>
            <w:pPr>
              <w:ind w:left="0" w:firstLine="0" w:firstLineChars="0"/>
              <w:rPr>
                <w:rFonts w:ascii="宋体" w:eastAsia="宋体"/>
                <w:b/>
                <w:spacing w:val="0"/>
                <w:szCs w:val="24"/>
              </w:rPr>
            </w:pPr>
            <w:r>
              <w:rPr>
                <w:rFonts w:hint="eastAsia" w:ascii="宋体" w:eastAsia="宋体"/>
                <w:b/>
                <w:spacing w:val="0"/>
                <w:szCs w:val="24"/>
              </w:rPr>
              <w:t>4.5 后续支持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4.5.1</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版本安装、更新和升级</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提供系统版本安装和升级支持，包括响应甲方对生产、测试、开发、培训环境的安装和升级要求；提供硬件更换服务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4.5.2</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安全漏洞整改</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针对系统运行过程中发现的安全漏洞，根据甲方要求完成整改工作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4.5.3</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服务台支持</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提供7×24小时的技术支持服务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4.5.4</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巡检服务</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提供系统运行状况报告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4.5.5</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现场问题解决</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提供重大问题现场解决，提供系统性能、容量、问题报告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pPr>
              <w:ind w:left="0" w:firstLine="0" w:firstLineChars="0"/>
              <w:rPr>
                <w:rFonts w:ascii="宋体" w:eastAsia="宋体"/>
                <w:spacing w:val="0"/>
                <w:szCs w:val="24"/>
              </w:rPr>
            </w:pPr>
            <w:r>
              <w:rPr>
                <w:rFonts w:hint="eastAsia" w:ascii="宋体" w:eastAsia="宋体"/>
                <w:spacing w:val="0"/>
                <w:szCs w:val="24"/>
              </w:rPr>
              <w:t>4.5.6</w:t>
            </w:r>
          </w:p>
        </w:tc>
        <w:tc>
          <w:tcPr>
            <w:tcW w:w="2022" w:type="dxa"/>
            <w:tcBorders>
              <w:tl2br w:val="nil"/>
              <w:tr2bl w:val="nil"/>
            </w:tcBorders>
            <w:vAlign w:val="center"/>
          </w:tcPr>
          <w:p>
            <w:pPr>
              <w:rPr>
                <w:rFonts w:ascii="宋体" w:eastAsia="宋体"/>
                <w:spacing w:val="0"/>
                <w:szCs w:val="24"/>
              </w:rPr>
            </w:pPr>
            <w:r>
              <w:rPr>
                <w:rFonts w:hint="eastAsia" w:ascii="宋体" w:eastAsia="宋体"/>
                <w:spacing w:val="0"/>
                <w:szCs w:val="24"/>
              </w:rPr>
              <w:t>响应要求</w:t>
            </w:r>
          </w:p>
        </w:tc>
        <w:tc>
          <w:tcPr>
            <w:tcW w:w="6059" w:type="dxa"/>
            <w:tcBorders>
              <w:tl2br w:val="nil"/>
              <w:tr2bl w:val="nil"/>
            </w:tcBorders>
            <w:vAlign w:val="center"/>
          </w:tcPr>
          <w:p>
            <w:pPr>
              <w:rPr>
                <w:rFonts w:ascii="宋体" w:eastAsia="宋体"/>
                <w:spacing w:val="0"/>
                <w:szCs w:val="24"/>
              </w:rPr>
            </w:pPr>
            <w:r>
              <w:rPr>
                <w:rFonts w:hint="eastAsia" w:ascii="宋体" w:eastAsia="宋体"/>
                <w:spacing w:val="0"/>
                <w:szCs w:val="24"/>
              </w:rPr>
              <w:t>要求按服务水平和指标及时响应：</w:t>
            </w:r>
          </w:p>
          <w:p>
            <w:pPr>
              <w:rPr>
                <w:rFonts w:ascii="宋体" w:eastAsia="宋体"/>
                <w:spacing w:val="0"/>
                <w:szCs w:val="24"/>
              </w:rPr>
            </w:pPr>
            <w:r>
              <w:rPr>
                <w:rFonts w:hint="eastAsia" w:ascii="宋体" w:eastAsia="宋体"/>
                <w:spacing w:val="0"/>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pPr>
              <w:rPr>
                <w:rFonts w:ascii="宋体" w:eastAsia="宋体"/>
                <w:spacing w:val="0"/>
                <w:szCs w:val="24"/>
              </w:rPr>
            </w:pPr>
            <w:r>
              <w:rPr>
                <w:rFonts w:hint="eastAsia" w:ascii="宋体" w:eastAsia="宋体"/>
                <w:spacing w:val="0"/>
                <w:szCs w:val="24"/>
              </w:rPr>
              <w:t>二级响应：系统的运行性能严重下降，或性能明显下降，对业务运作产生明显影响。响应时间1小时内，必要时4小时到达，8小时内排除问题；</w:t>
            </w:r>
          </w:p>
          <w:p>
            <w:pPr>
              <w:rPr>
                <w:rFonts w:ascii="宋体" w:eastAsia="宋体"/>
                <w:spacing w:val="0"/>
                <w:szCs w:val="24"/>
              </w:rPr>
            </w:pPr>
            <w:r>
              <w:rPr>
                <w:rFonts w:hint="eastAsia" w:ascii="宋体" w:eastAsia="宋体"/>
                <w:spacing w:val="0"/>
                <w:szCs w:val="24"/>
              </w:rPr>
              <w:t>三级响应：系统的运作性能受损，但业务仍可正常运行，响应时间12小时内，必要时24小时到达，1周内排除问题；</w:t>
            </w:r>
          </w:p>
          <w:p>
            <w:pPr>
              <w:rPr>
                <w:rFonts w:ascii="宋体" w:eastAsia="宋体"/>
                <w:spacing w:val="0"/>
                <w:szCs w:val="24"/>
              </w:rPr>
            </w:pPr>
            <w:r>
              <w:rPr>
                <w:rFonts w:hint="eastAsia" w:ascii="宋体" w:eastAsia="宋体"/>
                <w:spacing w:val="0"/>
                <w:szCs w:val="24"/>
              </w:rPr>
              <w:t>四级响应：对系统安装或配置方面需要咨询或支援，很显然对业务运作几乎无影响，或根本没有影响。响应时间24小时内，必要时48小时到达，2周内排除问题。</w:t>
            </w:r>
          </w:p>
        </w:tc>
      </w:tr>
    </w:tbl>
    <w:p>
      <w:pPr>
        <w:rPr>
          <w:rFonts w:ascii="宋体" w:eastAsia="宋体"/>
          <w:b/>
          <w:bCs/>
          <w:spacing w:val="0"/>
          <w:kern w:val="32"/>
          <w:szCs w:val="24"/>
        </w:rPr>
      </w:pPr>
      <w:r>
        <w:rPr>
          <w:rFonts w:hint="eastAsia" w:ascii="宋体" w:eastAsia="宋体"/>
          <w:b/>
          <w:bCs/>
          <w:spacing w:val="0"/>
          <w:kern w:val="32"/>
          <w:szCs w:val="24"/>
        </w:rPr>
        <w:t>5. 问题管理流程</w:t>
      </w:r>
    </w:p>
    <w:p>
      <w:pPr>
        <w:rPr>
          <w:rFonts w:ascii="宋体" w:eastAsia="宋体"/>
          <w:b/>
          <w:bCs/>
          <w:spacing w:val="0"/>
          <w:kern w:val="32"/>
          <w:szCs w:val="24"/>
        </w:rPr>
      </w:pPr>
      <w:r>
        <w:rPr>
          <w:rFonts w:hint="eastAsia" w:ascii="宋体" w:eastAsia="宋体"/>
          <w:b/>
          <w:bCs/>
          <w:spacing w:val="0"/>
          <w:kern w:val="32"/>
          <w:szCs w:val="24"/>
        </w:rPr>
        <w:t>5.1问题处理流程</w:t>
      </w:r>
    </w:p>
    <w:p>
      <w:pPr>
        <w:widowControl/>
        <w:numPr>
          <w:ilvl w:val="0"/>
          <w:numId w:val="17"/>
        </w:numPr>
        <w:spacing w:line="360" w:lineRule="auto"/>
        <w:ind w:left="0" w:firstLine="648" w:firstLineChars="270"/>
        <w:rPr>
          <w:rFonts w:ascii="宋体" w:eastAsia="宋体"/>
          <w:spacing w:val="0"/>
          <w:szCs w:val="24"/>
        </w:rPr>
      </w:pPr>
      <w:r>
        <w:rPr>
          <w:rFonts w:hint="eastAsia" w:ascii="宋体" w:eastAsia="宋体"/>
          <w:spacing w:val="0"/>
          <w:szCs w:val="24"/>
        </w:rPr>
        <w:t>甲方或乙方均可以首先提出对问题解决方案有不同意见的看法；</w:t>
      </w:r>
    </w:p>
    <w:p>
      <w:pPr>
        <w:widowControl/>
        <w:numPr>
          <w:ilvl w:val="0"/>
          <w:numId w:val="17"/>
        </w:numPr>
        <w:spacing w:line="360" w:lineRule="auto"/>
        <w:ind w:left="0" w:firstLine="648" w:firstLineChars="270"/>
        <w:rPr>
          <w:rFonts w:ascii="宋体" w:eastAsia="宋体"/>
          <w:spacing w:val="0"/>
          <w:szCs w:val="24"/>
        </w:rPr>
      </w:pPr>
      <w:r>
        <w:rPr>
          <w:rFonts w:hint="eastAsia" w:ascii="宋体" w:eastAsia="宋体"/>
          <w:spacing w:val="0"/>
          <w:szCs w:val="24"/>
        </w:rPr>
        <w:t>甲方管理层和乙方管理层将决定问题是否需要提升到更高的管理层；</w:t>
      </w:r>
    </w:p>
    <w:p>
      <w:pPr>
        <w:widowControl/>
        <w:numPr>
          <w:ilvl w:val="0"/>
          <w:numId w:val="17"/>
        </w:numPr>
        <w:spacing w:line="360" w:lineRule="auto"/>
        <w:ind w:left="0" w:firstLine="648" w:firstLineChars="270"/>
        <w:rPr>
          <w:rFonts w:ascii="宋体" w:eastAsia="宋体"/>
          <w:spacing w:val="0"/>
          <w:szCs w:val="24"/>
        </w:rPr>
      </w:pPr>
      <w:r>
        <w:rPr>
          <w:rFonts w:hint="eastAsia" w:ascii="宋体" w:eastAsia="宋体"/>
          <w:spacing w:val="0"/>
          <w:szCs w:val="24"/>
        </w:rPr>
        <w:t>及时召开相关的会议讨论和解决问题，问题的相关文档应提前一天发送到与会者；</w:t>
      </w:r>
    </w:p>
    <w:p>
      <w:pPr>
        <w:widowControl/>
        <w:numPr>
          <w:ilvl w:val="0"/>
          <w:numId w:val="17"/>
        </w:numPr>
        <w:spacing w:line="360" w:lineRule="auto"/>
        <w:ind w:left="0" w:firstLine="648" w:firstLineChars="270"/>
        <w:rPr>
          <w:rFonts w:ascii="宋体" w:eastAsia="宋体"/>
          <w:spacing w:val="0"/>
          <w:szCs w:val="24"/>
        </w:rPr>
      </w:pPr>
      <w:r>
        <w:rPr>
          <w:rFonts w:hint="eastAsia" w:ascii="宋体" w:eastAsia="宋体"/>
          <w:spacing w:val="0"/>
          <w:szCs w:val="24"/>
        </w:rPr>
        <w:t>如有必要，甲方和乙方管理层在永久性解决方案出台之前可以先共同达成一套临时性的解决方案。乙方可以在会后与各利益相关方沟通并达成永久性的解决方案；</w:t>
      </w:r>
    </w:p>
    <w:p>
      <w:pPr>
        <w:widowControl/>
        <w:numPr>
          <w:ilvl w:val="0"/>
          <w:numId w:val="17"/>
        </w:numPr>
        <w:spacing w:line="360" w:lineRule="auto"/>
        <w:ind w:left="0" w:firstLine="648" w:firstLineChars="270"/>
        <w:rPr>
          <w:rFonts w:ascii="宋体" w:eastAsia="宋体"/>
          <w:spacing w:val="0"/>
          <w:szCs w:val="24"/>
        </w:rPr>
      </w:pPr>
      <w:r>
        <w:rPr>
          <w:rFonts w:hint="eastAsia" w:ascii="宋体" w:eastAsia="宋体"/>
          <w:spacing w:val="0"/>
          <w:szCs w:val="24"/>
        </w:rPr>
        <w:t>如果问题最终仍没解决，甲方和乙方双方可以申请仲裁来达成最终的一致方案。</w:t>
      </w:r>
    </w:p>
    <w:p>
      <w:pPr>
        <w:rPr>
          <w:rFonts w:ascii="宋体" w:eastAsia="宋体"/>
          <w:b/>
          <w:bCs/>
          <w:spacing w:val="0"/>
          <w:kern w:val="32"/>
          <w:szCs w:val="24"/>
        </w:rPr>
      </w:pPr>
      <w:r>
        <w:rPr>
          <w:rFonts w:hint="eastAsia" w:ascii="宋体" w:eastAsia="宋体"/>
          <w:b/>
          <w:bCs/>
          <w:spacing w:val="0"/>
          <w:kern w:val="32"/>
          <w:szCs w:val="24"/>
        </w:rPr>
        <w:t>5.2问题升级流程</w:t>
      </w:r>
    </w:p>
    <w:p>
      <w:pPr>
        <w:widowControl/>
        <w:numPr>
          <w:ilvl w:val="0"/>
          <w:numId w:val="18"/>
        </w:numPr>
        <w:spacing w:line="360" w:lineRule="auto"/>
        <w:ind w:firstLineChars="0"/>
        <w:rPr>
          <w:rFonts w:ascii="宋体" w:eastAsia="宋体"/>
          <w:spacing w:val="0"/>
          <w:szCs w:val="24"/>
        </w:rPr>
      </w:pPr>
      <w:r>
        <w:rPr>
          <w:rFonts w:hint="eastAsia" w:ascii="宋体" w:eastAsia="宋体"/>
          <w:spacing w:val="0"/>
          <w:szCs w:val="24"/>
        </w:rPr>
        <w:t>甲方或者乙方都有可能首先提出该流程；</w:t>
      </w:r>
    </w:p>
    <w:p>
      <w:pPr>
        <w:widowControl/>
        <w:numPr>
          <w:ilvl w:val="0"/>
          <w:numId w:val="18"/>
        </w:numPr>
        <w:spacing w:line="360" w:lineRule="auto"/>
        <w:ind w:firstLineChars="0"/>
        <w:rPr>
          <w:rFonts w:ascii="宋体" w:eastAsia="宋体"/>
          <w:spacing w:val="0"/>
          <w:szCs w:val="24"/>
        </w:rPr>
      </w:pPr>
      <w:r>
        <w:rPr>
          <w:rFonts w:hint="eastAsia" w:ascii="宋体" w:eastAsia="宋体"/>
          <w:spacing w:val="0"/>
          <w:szCs w:val="24"/>
        </w:rPr>
        <w:t>首先提出的一方应及时通知对方问题升级流程已经启动；</w:t>
      </w:r>
    </w:p>
    <w:p>
      <w:pPr>
        <w:widowControl/>
        <w:numPr>
          <w:ilvl w:val="0"/>
          <w:numId w:val="18"/>
        </w:numPr>
        <w:spacing w:line="360" w:lineRule="auto"/>
        <w:ind w:firstLineChars="0"/>
        <w:rPr>
          <w:rFonts w:ascii="宋体" w:eastAsia="宋体"/>
          <w:spacing w:val="0"/>
          <w:szCs w:val="24"/>
        </w:rPr>
      </w:pPr>
      <w:r>
        <w:rPr>
          <w:rFonts w:hint="eastAsia" w:ascii="宋体" w:eastAsia="宋体"/>
          <w:spacing w:val="0"/>
          <w:szCs w:val="24"/>
        </w:rPr>
        <w:t>问题升级到的管理层应当事先定义在联络人表中；</w:t>
      </w:r>
    </w:p>
    <w:p>
      <w:pPr>
        <w:widowControl/>
        <w:numPr>
          <w:ilvl w:val="0"/>
          <w:numId w:val="18"/>
        </w:numPr>
        <w:spacing w:line="360" w:lineRule="auto"/>
        <w:ind w:firstLineChars="0"/>
        <w:rPr>
          <w:rFonts w:ascii="宋体" w:eastAsia="宋体"/>
          <w:spacing w:val="0"/>
          <w:szCs w:val="24"/>
        </w:rPr>
      </w:pPr>
      <w:r>
        <w:rPr>
          <w:rFonts w:hint="eastAsia" w:ascii="宋体" w:eastAsia="宋体"/>
          <w:spacing w:val="0"/>
          <w:szCs w:val="24"/>
        </w:rPr>
        <w:t>问题升级的层次在甲方和乙方之间应当保持一致，直至解决该问题。</w:t>
      </w:r>
    </w:p>
    <w:p>
      <w:pPr>
        <w:rPr>
          <w:rFonts w:ascii="宋体" w:eastAsia="宋体"/>
          <w:b/>
          <w:bCs/>
          <w:spacing w:val="0"/>
          <w:kern w:val="32"/>
          <w:szCs w:val="24"/>
        </w:rPr>
      </w:pPr>
      <w:r>
        <w:rPr>
          <w:rFonts w:hint="eastAsia" w:ascii="宋体" w:eastAsia="宋体"/>
          <w:b/>
          <w:bCs/>
          <w:spacing w:val="0"/>
          <w:kern w:val="32"/>
          <w:szCs w:val="24"/>
        </w:rPr>
        <w:t>5.3联络表</w:t>
      </w:r>
    </w:p>
    <w:tbl>
      <w:tblPr>
        <w:tblStyle w:val="20"/>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r>
              <w:rPr>
                <w:rFonts w:hint="eastAsia" w:ascii="宋体" w:eastAsia="宋体"/>
                <w:b/>
                <w:spacing w:val="0"/>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b/>
                <w:spacing w:val="0"/>
                <w:szCs w:val="24"/>
              </w:rPr>
            </w:pPr>
            <w:r>
              <w:rPr>
                <w:rFonts w:hint="eastAsia" w:ascii="宋体" w:eastAsia="宋体"/>
                <w:b/>
                <w:spacing w:val="0"/>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b/>
                <w:spacing w:val="0"/>
                <w:szCs w:val="24"/>
              </w:rPr>
            </w:pPr>
            <w:r>
              <w:rPr>
                <w:rFonts w:hint="eastAsia" w:ascii="宋体" w:eastAsia="宋体"/>
                <w:b/>
                <w:spacing w:val="0"/>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r>
              <w:rPr>
                <w:rFonts w:hint="eastAsia" w:ascii="宋体" w:eastAsia="宋体"/>
                <w:spacing w:val="0"/>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r>
              <w:rPr>
                <w:rFonts w:hint="eastAsia" w:ascii="宋体" w:eastAsia="宋体"/>
                <w:spacing w:val="0"/>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r>
              <w:rPr>
                <w:rFonts w:hint="eastAsia" w:ascii="宋体" w:eastAsia="宋体"/>
                <w:spacing w:val="0"/>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r>
              <w:rPr>
                <w:rFonts w:hint="eastAsia" w:ascii="宋体" w:eastAsia="宋体"/>
                <w:spacing w:val="0"/>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pPr>
              <w:spacing w:line="360" w:lineRule="auto"/>
              <w:jc w:val="center"/>
              <w:rPr>
                <w:rFonts w:ascii="宋体" w:eastAsia="宋体"/>
                <w:spacing w:val="0"/>
                <w:szCs w:val="24"/>
              </w:rPr>
            </w:pPr>
          </w:p>
        </w:tc>
      </w:tr>
    </w:tbl>
    <w:p>
      <w:pPr>
        <w:rPr>
          <w:rFonts w:ascii="宋体" w:eastAsia="宋体"/>
          <w:b/>
          <w:bCs/>
          <w:spacing w:val="0"/>
          <w:kern w:val="32"/>
          <w:szCs w:val="24"/>
        </w:rPr>
      </w:pPr>
      <w:r>
        <w:rPr>
          <w:rFonts w:hint="eastAsia" w:ascii="宋体" w:eastAsia="宋体"/>
          <w:b/>
          <w:bCs/>
          <w:spacing w:val="0"/>
          <w:kern w:val="32"/>
          <w:szCs w:val="24"/>
        </w:rPr>
        <w:t>6. 汇报</w:t>
      </w:r>
      <w:r>
        <w:rPr>
          <w:rFonts w:ascii="宋体" w:eastAsia="宋体"/>
          <w:b/>
          <w:bCs/>
          <w:spacing w:val="0"/>
          <w:kern w:val="32"/>
          <w:szCs w:val="24"/>
        </w:rPr>
        <w:t>内容及</w:t>
      </w:r>
      <w:r>
        <w:rPr>
          <w:rFonts w:hint="eastAsia" w:ascii="宋体" w:eastAsia="宋体"/>
          <w:b/>
          <w:bCs/>
          <w:spacing w:val="0"/>
          <w:kern w:val="32"/>
          <w:szCs w:val="24"/>
        </w:rPr>
        <w:t>流程</w:t>
      </w:r>
    </w:p>
    <w:p>
      <w:pPr>
        <w:spacing w:line="360" w:lineRule="auto"/>
        <w:ind w:firstLine="480" w:firstLineChars="200"/>
        <w:rPr>
          <w:rFonts w:ascii="宋体" w:eastAsia="宋体"/>
          <w:spacing w:val="0"/>
          <w:szCs w:val="24"/>
        </w:rPr>
      </w:pPr>
      <w:r>
        <w:rPr>
          <w:rFonts w:hint="eastAsia" w:ascii="宋体" w:eastAsia="宋体"/>
          <w:color w:val="000000"/>
          <w:spacing w:val="0"/>
          <w:szCs w:val="24"/>
        </w:rPr>
        <w:t>乙方应当在每星期五向甲方提交工作周报</w:t>
      </w:r>
      <w:r>
        <w:rPr>
          <w:rFonts w:hint="eastAsia" w:ascii="宋体" w:eastAsia="宋体"/>
          <w:spacing w:val="0"/>
          <w:szCs w:val="24"/>
        </w:rPr>
        <w:t>，包括项目情况跟踪及问题报告等，附带的性能报告（如有）也将递交给甲方项目经理。如发生突发事件，乙方也应第一时间向甲方项目经理报告。</w:t>
      </w:r>
    </w:p>
    <w:p>
      <w:pPr>
        <w:rPr>
          <w:rFonts w:ascii="宋体" w:eastAsia="宋体"/>
          <w:b/>
          <w:bCs/>
          <w:spacing w:val="0"/>
          <w:kern w:val="32"/>
          <w:szCs w:val="24"/>
        </w:rPr>
      </w:pPr>
      <w:r>
        <w:rPr>
          <w:rFonts w:hint="eastAsia" w:ascii="宋体" w:eastAsia="宋体"/>
          <w:b/>
          <w:bCs/>
          <w:spacing w:val="0"/>
          <w:kern w:val="32"/>
          <w:szCs w:val="24"/>
        </w:rPr>
        <w:t>7. 服务水平和指标</w:t>
      </w:r>
    </w:p>
    <w:p>
      <w:pPr>
        <w:widowControl/>
        <w:numPr>
          <w:ilvl w:val="0"/>
          <w:numId w:val="19"/>
        </w:numPr>
        <w:spacing w:line="360" w:lineRule="auto"/>
        <w:ind w:left="0" w:hanging="2" w:firstLineChars="0"/>
        <w:rPr>
          <w:rFonts w:ascii="宋体" w:eastAsia="宋体"/>
          <w:spacing w:val="0"/>
          <w:szCs w:val="24"/>
        </w:rPr>
      </w:pPr>
      <w:r>
        <w:rPr>
          <w:rFonts w:hint="eastAsia" w:ascii="宋体" w:eastAsia="宋体"/>
          <w:spacing w:val="0"/>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0"/>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710"/>
        <w:gridCol w:w="1134"/>
        <w:gridCol w:w="1701"/>
        <w:gridCol w:w="1559"/>
        <w:gridCol w:w="1843"/>
        <w:gridCol w:w="1701"/>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序号</w:t>
            </w:r>
          </w:p>
        </w:tc>
        <w:tc>
          <w:tcPr>
            <w:tcW w:w="710" w:type="dxa"/>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服务内容</w:t>
            </w:r>
          </w:p>
        </w:tc>
        <w:tc>
          <w:tcPr>
            <w:tcW w:w="1134" w:type="dxa"/>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服务定义</w:t>
            </w:r>
          </w:p>
        </w:tc>
        <w:tc>
          <w:tcPr>
            <w:tcW w:w="1701" w:type="dxa"/>
            <w:shd w:val="clear" w:color="auto" w:fill="auto"/>
            <w:vAlign w:val="center"/>
          </w:tcPr>
          <w:p>
            <w:pPr>
              <w:widowControl/>
              <w:ind w:left="0" w:firstLine="316" w:firstLineChars="150"/>
              <w:rPr>
                <w:rFonts w:ascii="宋体" w:eastAsia="宋体"/>
                <w:b/>
                <w:spacing w:val="0"/>
                <w:sz w:val="21"/>
                <w:szCs w:val="21"/>
              </w:rPr>
            </w:pPr>
            <w:r>
              <w:rPr>
                <w:rFonts w:hint="eastAsia" w:ascii="宋体" w:eastAsia="宋体"/>
                <w:b/>
                <w:spacing w:val="0"/>
                <w:sz w:val="21"/>
                <w:szCs w:val="21"/>
              </w:rPr>
              <w:t>服务标准</w:t>
            </w:r>
          </w:p>
        </w:tc>
        <w:tc>
          <w:tcPr>
            <w:tcW w:w="1559" w:type="dxa"/>
            <w:shd w:val="clear" w:color="auto" w:fill="auto"/>
            <w:vAlign w:val="center"/>
          </w:tcPr>
          <w:p>
            <w:pPr>
              <w:widowControl/>
              <w:jc w:val="center"/>
              <w:rPr>
                <w:rFonts w:ascii="宋体" w:eastAsia="宋体"/>
                <w:b/>
                <w:spacing w:val="0"/>
                <w:sz w:val="21"/>
                <w:szCs w:val="21"/>
              </w:rPr>
            </w:pPr>
            <w:r>
              <w:rPr>
                <w:rFonts w:hint="eastAsia" w:ascii="宋体" w:eastAsia="宋体"/>
                <w:b/>
                <w:spacing w:val="0"/>
                <w:sz w:val="21"/>
                <w:szCs w:val="21"/>
              </w:rPr>
              <w:t>指标计算</w:t>
            </w:r>
          </w:p>
        </w:tc>
        <w:tc>
          <w:tcPr>
            <w:tcW w:w="1843" w:type="dxa"/>
            <w:shd w:val="clear" w:color="auto" w:fill="auto"/>
            <w:vAlign w:val="center"/>
          </w:tcPr>
          <w:p>
            <w:pPr>
              <w:widowControl/>
              <w:ind w:left="0" w:firstLine="0" w:firstLineChars="0"/>
              <w:rPr>
                <w:rFonts w:ascii="宋体" w:eastAsia="宋体"/>
                <w:b/>
                <w:bCs/>
                <w:spacing w:val="0"/>
                <w:sz w:val="21"/>
                <w:szCs w:val="21"/>
              </w:rPr>
            </w:pPr>
            <w:r>
              <w:rPr>
                <w:rFonts w:hint="eastAsia" w:ascii="宋体" w:eastAsia="宋体"/>
                <w:b/>
                <w:bCs/>
                <w:spacing w:val="0"/>
                <w:sz w:val="21"/>
                <w:szCs w:val="21"/>
              </w:rPr>
              <w:t>服务水平要求</w:t>
            </w:r>
          </w:p>
        </w:tc>
        <w:tc>
          <w:tcPr>
            <w:tcW w:w="1701" w:type="dxa"/>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违约金标准</w:t>
            </w:r>
          </w:p>
        </w:tc>
        <w:tc>
          <w:tcPr>
            <w:tcW w:w="709" w:type="dxa"/>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1</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任务响应</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衡量乙方在需求与问题响应方面的能力</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乙方在收到甲方任务后2个工作日内，向甲方反馈确认任务的实施方案、计划和工作量等</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甲方应当明确任务提出时间，乙方应当向甲方发出一个确认任务响应信息</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乙方不得违反承诺响应时间</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如违反承诺的响应时间要求，每次扣除1000元违约金</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2</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项目延期</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衡量乙方对项目整体实施进度的控制能力</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乙方原因导致的项目进度偏差</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按项目计划为基准计算进度偏差天数（进度偏差率≤20%）</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进度偏差率=进度偏差天数/项目计划中进度天数（进度偏差率≤20%）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20%＜进度偏差率≤30%，每偏差一天按合同总金额的0.1%计违约金，进度偏差率＞30%并且延期3个月以上，违约金为合同总金额的10%</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3</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任务完成情况</w:t>
            </w:r>
          </w:p>
        </w:tc>
        <w:tc>
          <w:tcPr>
            <w:tcW w:w="1134" w:type="dxa"/>
            <w:tcBorders>
              <w:left w:val="single" w:color="auto" w:sz="4" w:space="0"/>
            </w:tcBorders>
            <w:shd w:val="clear" w:color="auto" w:fill="auto"/>
            <w:vAlign w:val="center"/>
          </w:tcPr>
          <w:p>
            <w:pPr>
              <w:widowControl/>
              <w:snapToGrid w:val="0"/>
              <w:spacing w:line="320" w:lineRule="exact"/>
              <w:jc w:val="left"/>
              <w:rPr>
                <w:rFonts w:ascii="宋体" w:hAnsi="宋体"/>
              </w:rPr>
            </w:pPr>
            <w:r>
              <w:rPr>
                <w:rFonts w:hint="eastAsia" w:ascii="宋体" w:eastAsia="宋体"/>
                <w:spacing w:val="0"/>
                <w:sz w:val="21"/>
                <w:szCs w:val="24"/>
              </w:rPr>
              <w:t>衡量乙方按计划完成任务的能力</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乙方应当在双方确认的时间内完成任务</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p>
          <w:p>
            <w:pPr>
              <w:widowControl/>
              <w:jc w:val="left"/>
              <w:rPr>
                <w:rFonts w:ascii="宋体" w:eastAsia="宋体"/>
                <w:spacing w:val="0"/>
                <w:sz w:val="21"/>
                <w:szCs w:val="24"/>
              </w:rPr>
            </w:pPr>
            <w:r>
              <w:rPr>
                <w:rFonts w:hint="eastAsia" w:ascii="宋体" w:eastAsia="宋体"/>
                <w:spacing w:val="0"/>
                <w:sz w:val="21"/>
                <w:szCs w:val="24"/>
              </w:rPr>
              <w:t>甲方标识出每一项任务完成的具体时间，对比乙方给出的任务完成计划时间</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1.需求分析说明、概要设计、详细设计100%完成；</w:t>
            </w:r>
          </w:p>
          <w:p>
            <w:pPr>
              <w:widowControl/>
              <w:jc w:val="left"/>
              <w:rPr>
                <w:rFonts w:ascii="宋体" w:eastAsia="宋体"/>
                <w:spacing w:val="0"/>
                <w:sz w:val="21"/>
                <w:szCs w:val="24"/>
              </w:rPr>
            </w:pPr>
            <w:r>
              <w:rPr>
                <w:rFonts w:hint="eastAsia" w:ascii="宋体" w:eastAsia="宋体"/>
                <w:spacing w:val="0"/>
                <w:sz w:val="21"/>
                <w:szCs w:val="24"/>
              </w:rPr>
              <w:t>2.软件编码100%完成；</w:t>
            </w:r>
          </w:p>
          <w:p>
            <w:pPr>
              <w:widowControl/>
              <w:jc w:val="left"/>
              <w:rPr>
                <w:rFonts w:ascii="宋体" w:eastAsia="宋体"/>
                <w:spacing w:val="0"/>
                <w:sz w:val="21"/>
                <w:szCs w:val="24"/>
              </w:rPr>
            </w:pPr>
            <w:r>
              <w:rPr>
                <w:rFonts w:hint="eastAsia" w:ascii="宋体" w:eastAsia="宋体"/>
                <w:spacing w:val="0"/>
                <w:sz w:val="21"/>
                <w:szCs w:val="24"/>
              </w:rPr>
              <w:t>3.测试案例需求覆盖率100%，且测试案例执行率100%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以上三个指标之一低于90%甲方有权终止合同，追回支付款项，要求赔偿损失</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4</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上线后重大质量缺陷</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衡量乙方在系统上线运行后的稳定性</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cs="宋体"/>
                <w:spacing w:val="0"/>
                <w:sz w:val="21"/>
                <w:szCs w:val="24"/>
              </w:rPr>
              <w:t>系统上线后不能发生较大运营中断事件和重大质量缺陷</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甲方根据系统</w:t>
            </w:r>
            <w:r>
              <w:rPr>
                <w:rFonts w:hint="eastAsia" w:ascii="宋体" w:eastAsia="宋体" w:cs="宋体"/>
                <w:spacing w:val="0"/>
                <w:sz w:val="21"/>
                <w:szCs w:val="24"/>
              </w:rPr>
              <w:t>生产缺陷程度</w:t>
            </w:r>
            <w:r>
              <w:rPr>
                <w:rFonts w:hint="eastAsia" w:ascii="宋体" w:eastAsia="宋体"/>
                <w:spacing w:val="0"/>
                <w:sz w:val="21"/>
                <w:szCs w:val="24"/>
              </w:rPr>
              <w:t>和数量判定</w:t>
            </w:r>
          </w:p>
        </w:tc>
        <w:tc>
          <w:tcPr>
            <w:tcW w:w="1843" w:type="dxa"/>
            <w:tcBorders>
              <w:left w:val="single" w:color="auto" w:sz="4" w:space="0"/>
            </w:tcBorders>
            <w:shd w:val="clear" w:color="auto" w:fill="auto"/>
            <w:vAlign w:val="center"/>
          </w:tcPr>
          <w:p>
            <w:pPr>
              <w:autoSpaceDE w:val="0"/>
              <w:autoSpaceDN w:val="0"/>
              <w:rPr>
                <w:rFonts w:ascii="宋体" w:eastAsia="宋体" w:cs="宋体"/>
                <w:spacing w:val="0"/>
                <w:sz w:val="21"/>
                <w:szCs w:val="24"/>
              </w:rPr>
            </w:pPr>
            <w:r>
              <w:rPr>
                <w:rFonts w:hint="eastAsia" w:ascii="宋体" w:eastAsia="宋体" w:cs="宋体"/>
                <w:spacing w:val="0"/>
                <w:sz w:val="21"/>
                <w:szCs w:val="24"/>
              </w:rPr>
              <w:t>1、应用软件未出现III级(含)以上的运营中断事件；</w:t>
            </w:r>
          </w:p>
          <w:p>
            <w:pPr>
              <w:autoSpaceDE w:val="0"/>
              <w:autoSpaceDN w:val="0"/>
              <w:rPr>
                <w:rFonts w:ascii="宋体" w:eastAsia="宋体" w:cs="宋体"/>
                <w:spacing w:val="0"/>
                <w:sz w:val="21"/>
                <w:szCs w:val="24"/>
              </w:rPr>
            </w:pPr>
            <w:r>
              <w:rPr>
                <w:rFonts w:hint="eastAsia" w:ascii="宋体" w:eastAsia="宋体" w:cs="宋体"/>
                <w:spacing w:val="0"/>
                <w:sz w:val="21"/>
                <w:szCs w:val="24"/>
              </w:rPr>
              <w:t>2、应用软件未出现严重缺陷和致命缺陷；</w:t>
            </w:r>
          </w:p>
          <w:p>
            <w:pPr>
              <w:widowControl/>
              <w:jc w:val="left"/>
              <w:rPr>
                <w:rFonts w:ascii="宋体" w:eastAsia="宋体"/>
                <w:spacing w:val="0"/>
                <w:sz w:val="21"/>
                <w:szCs w:val="24"/>
              </w:rPr>
            </w:pPr>
            <w:r>
              <w:rPr>
                <w:rFonts w:hint="eastAsia" w:ascii="宋体" w:eastAsia="宋体" w:cs="宋体"/>
                <w:spacing w:val="0"/>
                <w:sz w:val="21"/>
                <w:szCs w:val="24"/>
              </w:rPr>
              <w:t xml:space="preserve">3、一般和微小缺陷逃逸率≤4.5% </w:t>
            </w:r>
          </w:p>
        </w:tc>
        <w:tc>
          <w:tcPr>
            <w:tcW w:w="1701" w:type="dxa"/>
            <w:tcBorders>
              <w:left w:val="single" w:color="auto" w:sz="4" w:space="0"/>
            </w:tcBorders>
            <w:shd w:val="clear" w:color="auto" w:fill="auto"/>
            <w:vAlign w:val="center"/>
          </w:tcPr>
          <w:p>
            <w:pPr>
              <w:autoSpaceDE w:val="0"/>
              <w:autoSpaceDN w:val="0"/>
              <w:rPr>
                <w:rFonts w:ascii="宋体" w:eastAsia="宋体"/>
                <w:spacing w:val="0"/>
                <w:sz w:val="21"/>
                <w:szCs w:val="24"/>
              </w:rPr>
            </w:pPr>
            <w:r>
              <w:rPr>
                <w:rFonts w:hint="eastAsia" w:ascii="宋体" w:eastAsia="宋体" w:cs="宋体"/>
                <w:spacing w:val="0"/>
                <w:sz w:val="21"/>
                <w:szCs w:val="24"/>
              </w:rPr>
              <w:t>不满足该项任一标准扣除2万元违约金并要求乙方赔偿损失</w:t>
            </w:r>
          </w:p>
        </w:tc>
        <w:tc>
          <w:tcPr>
            <w:tcW w:w="709" w:type="dxa"/>
            <w:tcBorders>
              <w:left w:val="single" w:color="auto" w:sz="4" w:space="0"/>
            </w:tcBorders>
          </w:tcPr>
          <w:p>
            <w:pPr>
              <w:autoSpaceDE w:val="0"/>
              <w:autoSpaceDN w:val="0"/>
              <w:rPr>
                <w:rFonts w:ascii="宋体" w:eastAsia="宋体" w:cs="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5</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上线后重大问题处理</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衡量乙方在系统上线运行后及时处理重大问题的能力</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上线后遗留问题或生产缺陷解决的及时性</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甲方根据系统上线运行后的重大问题处理情况判定</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生产缺陷解决及时率=100%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重大生产缺陷、问题不能得到及时解决，每次按合同总金额的5%计违约金</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shd w:val="clear" w:color="auto" w:fill="auto"/>
            <w:vAlign w:val="center"/>
          </w:tcPr>
          <w:p>
            <w:pPr>
              <w:widowControl/>
              <w:snapToGrid w:val="0"/>
              <w:spacing w:line="320" w:lineRule="exact"/>
              <w:ind w:left="0" w:firstLine="0" w:firstLineChars="0"/>
              <w:rPr>
                <w:rFonts w:ascii="宋体" w:hAnsi="宋体"/>
              </w:rPr>
            </w:pPr>
            <w:r>
              <w:rPr>
                <w:rFonts w:hint="eastAsia" w:ascii="宋体" w:hAnsi="宋体"/>
              </w:rPr>
              <w:t>6</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人力资源投入及人员稳定性</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衡量乙方人员服务的符合度及人员稳定性</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投入人员情况符合投标文件或合同要求，乙方项目组人员变动比例不得高于30%</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甲方按合同要求判定乙方人员投入及变动情况</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人员数量差异=承诺人数-实际人数</w:t>
            </w:r>
          </w:p>
          <w:p>
            <w:pPr>
              <w:widowControl/>
              <w:jc w:val="left"/>
              <w:rPr>
                <w:rFonts w:ascii="宋体" w:eastAsia="宋体"/>
                <w:spacing w:val="0"/>
                <w:sz w:val="21"/>
                <w:szCs w:val="24"/>
              </w:rPr>
            </w:pPr>
            <w:r>
              <w:rPr>
                <w:rFonts w:hint="eastAsia" w:ascii="宋体" w:eastAsia="宋体"/>
                <w:spacing w:val="0"/>
                <w:sz w:val="21"/>
                <w:szCs w:val="24"/>
              </w:rPr>
              <w:t>人员变动率=人员变动人数/原项目组人员总人数</w:t>
            </w:r>
            <w:r>
              <w:rPr>
                <w:rFonts w:hint="eastAsia" w:ascii="宋体" w:eastAsia="宋体"/>
                <w:spacing w:val="0"/>
                <w:sz w:val="21"/>
                <w:szCs w:val="24"/>
              </w:rPr>
              <w:br w:type="textWrapping"/>
            </w:r>
            <w:r>
              <w:rPr>
                <w:rFonts w:hint="eastAsia" w:ascii="宋体" w:eastAsia="宋体"/>
                <w:spacing w:val="0"/>
                <w:sz w:val="21"/>
                <w:szCs w:val="24"/>
              </w:rPr>
              <w:t>（人员数量差异≤2；技术骨干及项目经理不得变动；技术人员变动率≤30%）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技术骨干及项目经理变动扣除技术骨干人月单价（至少不低于3万元），技术人员变动超过30%，扣除合同总金额10%</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7</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测试人员配置</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衡量乙方投入系统测试人员的符合度</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投入系统测试人员情况符合投标文件或合同要求</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甲方按照合同或标书要求判定乙方测试人员投入情况</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人员重合率=测试人员/开发人员（人员重合率=0）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8</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人员异常退出</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衡量乙方人员是否提供持续服务</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未经甲方同意，乙方人员辞职和离职或无计划的调离项目组</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甲方根据乙方人员退出的具体时间和原因测算</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人员异常退出次数=0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每次人员异常退出扣除乙方金额人民币1000元</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9</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人员纪律性</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衡量乙方人员是否遵守甲方的日常规章和操作规范</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乙方人员不得违反甲方的各项规章制度和操作规范</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甲方根据自身检查及其他管理部门的检查结果为依据统计乙方人员违规次数。</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人员违规次数=0次</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乙方人员违反甲方规章制度或操作规范，每次扣除乙方金额人民币500元</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10</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安全管理</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衡量乙方网络和信息安全服务的管理能力</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针对发现的安全漏洞及安全缺陷（包括源代码、第三方SDK或第三方小程序、第三方软件产品及开源组件等），须按甲方要求完成整改。</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甲方根据整改情况统计整改及时性及整改通过率。</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互联网或电子银行类系统：</w:t>
            </w:r>
          </w:p>
          <w:p>
            <w:pPr>
              <w:widowControl/>
              <w:jc w:val="left"/>
              <w:rPr>
                <w:rFonts w:ascii="宋体" w:eastAsia="宋体"/>
                <w:spacing w:val="0"/>
                <w:sz w:val="21"/>
                <w:szCs w:val="24"/>
              </w:rPr>
            </w:pPr>
            <w:r>
              <w:rPr>
                <w:rFonts w:hint="eastAsia" w:ascii="宋体" w:eastAsia="宋体"/>
                <w:spacing w:val="0"/>
                <w:sz w:val="21"/>
                <w:szCs w:val="24"/>
              </w:rPr>
              <w:t>1.安全漏洞及安全缺陷整改及时率=100%</w:t>
            </w:r>
          </w:p>
          <w:p>
            <w:pPr>
              <w:rPr>
                <w:rFonts w:ascii="宋体" w:eastAsia="宋体"/>
                <w:spacing w:val="0"/>
                <w:sz w:val="21"/>
                <w:szCs w:val="24"/>
              </w:rPr>
            </w:pPr>
            <w:r>
              <w:rPr>
                <w:rFonts w:hint="eastAsia" w:ascii="宋体" w:eastAsia="宋体"/>
                <w:spacing w:val="0"/>
                <w:sz w:val="21"/>
                <w:szCs w:val="24"/>
              </w:rPr>
              <w:t>2.安全漏洞及安全缺陷整改通过率=100%</w:t>
            </w:r>
          </w:p>
          <w:p>
            <w:pPr>
              <w:widowControl/>
              <w:jc w:val="left"/>
              <w:rPr>
                <w:rFonts w:ascii="宋体" w:eastAsia="宋体"/>
                <w:spacing w:val="0"/>
                <w:sz w:val="21"/>
                <w:szCs w:val="24"/>
              </w:rPr>
            </w:pPr>
            <w:r>
              <w:rPr>
                <w:rFonts w:hint="eastAsia" w:ascii="宋体" w:eastAsia="宋体"/>
                <w:spacing w:val="0"/>
                <w:sz w:val="21"/>
                <w:szCs w:val="24"/>
              </w:rPr>
              <w:t>非互联网或电子银行类系统：</w:t>
            </w:r>
          </w:p>
          <w:p>
            <w:pPr>
              <w:widowControl/>
              <w:jc w:val="left"/>
              <w:rPr>
                <w:rFonts w:ascii="宋体" w:eastAsia="宋体"/>
                <w:spacing w:val="0"/>
                <w:sz w:val="21"/>
                <w:szCs w:val="24"/>
              </w:rPr>
            </w:pPr>
            <w:r>
              <w:rPr>
                <w:rFonts w:hint="eastAsia" w:ascii="宋体" w:eastAsia="宋体"/>
                <w:spacing w:val="0"/>
                <w:sz w:val="21"/>
                <w:szCs w:val="24"/>
              </w:rPr>
              <w:t>1.中高危安全漏洞及安全缺陷整改及时率=100%</w:t>
            </w:r>
          </w:p>
          <w:p>
            <w:pPr>
              <w:rPr>
                <w:rFonts w:ascii="宋体" w:eastAsia="宋体"/>
                <w:spacing w:val="0"/>
                <w:sz w:val="21"/>
                <w:szCs w:val="24"/>
              </w:rPr>
            </w:pPr>
            <w:r>
              <w:rPr>
                <w:rFonts w:hint="eastAsia" w:ascii="宋体" w:eastAsia="宋体"/>
                <w:spacing w:val="0"/>
                <w:sz w:val="21"/>
                <w:szCs w:val="24"/>
              </w:rPr>
              <w:t>2.中高危安全漏洞及安全缺陷整改通过率=100%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不满足该项任一标准扣除2万元违约金并要求乙方赔偿损失</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1</w:t>
            </w:r>
            <w:r>
              <w:rPr>
                <w:rFonts w:ascii="宋体" w:eastAsia="宋体"/>
                <w:spacing w:val="0"/>
                <w:szCs w:val="24"/>
              </w:rPr>
              <w:t>1</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网络安全事件</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控制网络安全风险</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不得因乙方原因（含乙方合作的第三方）导致甲方发生网络安全事件</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甲方根据监管及本行要求及事件危害程度判定。</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网络安全事件=0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每发生一次网络安全事件扣除乙方合同金额不低于3%,并要求乙方赔偿实际损失。</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shd w:val="clear" w:color="auto" w:fill="auto"/>
            <w:vAlign w:val="center"/>
          </w:tcPr>
          <w:p>
            <w:pPr>
              <w:widowControl/>
              <w:jc w:val="center"/>
              <w:rPr>
                <w:rFonts w:ascii="宋体" w:eastAsia="宋体"/>
                <w:spacing w:val="0"/>
                <w:szCs w:val="24"/>
              </w:rPr>
            </w:pPr>
            <w:r>
              <w:rPr>
                <w:rFonts w:ascii="宋体" w:eastAsia="宋体"/>
                <w:spacing w:val="0"/>
                <w:szCs w:val="24"/>
              </w:rPr>
              <w:t>11</w:t>
            </w:r>
            <w:r>
              <w:rPr>
                <w:rFonts w:hint="eastAsia" w:ascii="宋体" w:eastAsia="宋体"/>
                <w:spacing w:val="0"/>
                <w:szCs w:val="24"/>
              </w:rPr>
              <w:t>2</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外包安全事件</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ascii="宋体" w:eastAsia="宋体"/>
                <w:spacing w:val="0"/>
                <w:sz w:val="21"/>
                <w:szCs w:val="24"/>
              </w:rPr>
              <w:t>控制外包操作风险</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ascii="宋体" w:eastAsia="宋体"/>
                <w:spacing w:val="0"/>
                <w:sz w:val="21"/>
                <w:szCs w:val="24"/>
              </w:rPr>
              <w:t>乙方不得出现危害甲方生产运行安全、数据安全等并造成后果的外包安全事件。</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ascii="宋体" w:eastAsia="宋体"/>
                <w:spacing w:val="0"/>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外包安全事件=0</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每次</w:t>
            </w:r>
            <w:r>
              <w:rPr>
                <w:rFonts w:ascii="宋体" w:eastAsia="宋体"/>
                <w:spacing w:val="0"/>
                <w:sz w:val="21"/>
                <w:szCs w:val="24"/>
              </w:rPr>
              <w:t>事件扣罚乙方金额不低于人民币1000元，并要求乙方赔偿实际损失。</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567" w:type="dxa"/>
            <w:shd w:val="clear" w:color="auto" w:fill="auto"/>
            <w:vAlign w:val="center"/>
          </w:tcPr>
          <w:p>
            <w:pPr>
              <w:widowControl/>
              <w:jc w:val="center"/>
              <w:rPr>
                <w:rFonts w:ascii="宋体" w:eastAsia="宋体"/>
                <w:spacing w:val="0"/>
                <w:szCs w:val="24"/>
              </w:rPr>
            </w:pPr>
            <w:r>
              <w:rPr>
                <w:rFonts w:hint="eastAsia" w:ascii="宋体" w:eastAsia="宋体"/>
                <w:spacing w:val="0"/>
                <w:szCs w:val="24"/>
              </w:rPr>
              <w:t>1</w:t>
            </w:r>
            <w:r>
              <w:rPr>
                <w:rFonts w:ascii="宋体" w:eastAsia="宋体"/>
                <w:spacing w:val="0"/>
                <w:szCs w:val="24"/>
              </w:rPr>
              <w:t>1</w:t>
            </w:r>
            <w:r>
              <w:rPr>
                <w:rFonts w:hint="eastAsia" w:ascii="宋体" w:eastAsia="宋体"/>
                <w:spacing w:val="0"/>
                <w:szCs w:val="24"/>
              </w:rPr>
              <w:t>3</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交付文档数量及质量</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衡量甲方内部人员对乙方所提供文档的满意情况</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交付文档数量及质量满足甲方要求</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甲方根据乙方实际交付的文档数量及文档质量计算</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文档实际交付数量不少于甲方要求数量（文档实际交付数量是指文档交付甲方后甲方确认文档质量并实际接收的文档数量）</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文档每缺少一个扣除合同金额2000元；每有一个文档质量不合格扣除合同金额2000元</w:t>
            </w:r>
          </w:p>
        </w:tc>
        <w:tc>
          <w:tcPr>
            <w:tcW w:w="709" w:type="dxa"/>
            <w:tcBorders>
              <w:left w:val="single" w:color="auto" w:sz="4" w:space="0"/>
            </w:tcBorders>
            <w:vAlign w:val="center"/>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67" w:type="dxa"/>
            <w:shd w:val="clear" w:color="auto" w:fill="auto"/>
            <w:vAlign w:val="center"/>
          </w:tcPr>
          <w:p>
            <w:pPr>
              <w:widowControl/>
              <w:ind w:left="0" w:firstLine="0" w:firstLineChars="0"/>
              <w:rPr>
                <w:rFonts w:ascii="宋体" w:eastAsia="宋体"/>
                <w:spacing w:val="0"/>
                <w:szCs w:val="24"/>
              </w:rPr>
            </w:pPr>
            <w:r>
              <w:rPr>
                <w:rFonts w:hint="eastAsia" w:ascii="宋体" w:eastAsia="宋体"/>
                <w:spacing w:val="0"/>
                <w:szCs w:val="24"/>
              </w:rPr>
              <w:t>14</w:t>
            </w:r>
          </w:p>
        </w:tc>
        <w:tc>
          <w:tcPr>
            <w:tcW w:w="710" w:type="dxa"/>
            <w:tcBorders>
              <w:left w:val="single" w:color="auto" w:sz="4" w:space="0"/>
            </w:tcBorders>
            <w:shd w:val="clear" w:color="auto" w:fill="auto"/>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服务满意度</w:t>
            </w:r>
          </w:p>
        </w:tc>
        <w:tc>
          <w:tcPr>
            <w:tcW w:w="1134"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衡量甲方内部人员对乙方所提供服务的满意情况</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服务满意度指标</w:t>
            </w:r>
          </w:p>
        </w:tc>
        <w:tc>
          <w:tcPr>
            <w:tcW w:w="1559"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服务满意度评级判定</w:t>
            </w:r>
          </w:p>
        </w:tc>
        <w:tc>
          <w:tcPr>
            <w:tcW w:w="1843"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客户满意度级别为：1级（非常不满意）；2级（不满意）；3级（一般满意）；4级（满意）；5级（非常满意）（服务满意不低于3级）</w:t>
            </w:r>
          </w:p>
        </w:tc>
        <w:tc>
          <w:tcPr>
            <w:tcW w:w="1701" w:type="dxa"/>
            <w:tcBorders>
              <w:left w:val="single" w:color="auto" w:sz="4" w:space="0"/>
            </w:tcBorders>
            <w:shd w:val="clear" w:color="auto" w:fill="auto"/>
            <w:vAlign w:val="center"/>
          </w:tcPr>
          <w:p>
            <w:pPr>
              <w:widowControl/>
              <w:jc w:val="left"/>
              <w:rPr>
                <w:rFonts w:ascii="宋体" w:eastAsia="宋体"/>
                <w:spacing w:val="0"/>
                <w:sz w:val="21"/>
                <w:szCs w:val="24"/>
              </w:rPr>
            </w:pPr>
            <w:r>
              <w:rPr>
                <w:rFonts w:hint="eastAsia" w:ascii="宋体" w:eastAsia="宋体"/>
                <w:spacing w:val="0"/>
                <w:sz w:val="21"/>
                <w:szCs w:val="24"/>
              </w:rPr>
              <w:t>　</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shd w:val="clear" w:color="auto" w:fill="auto"/>
            <w:noWrap/>
            <w:vAlign w:val="center"/>
          </w:tcPr>
          <w:p>
            <w:pPr>
              <w:widowControl/>
              <w:ind w:left="0" w:firstLine="0" w:firstLineChars="0"/>
              <w:rPr>
                <w:rFonts w:ascii="宋体" w:eastAsia="宋体"/>
                <w:spacing w:val="0"/>
                <w:szCs w:val="24"/>
              </w:rPr>
            </w:pPr>
            <w:r>
              <w:rPr>
                <w:rFonts w:hint="eastAsia" w:ascii="宋体" w:eastAsia="宋体"/>
                <w:spacing w:val="0"/>
                <w:szCs w:val="24"/>
              </w:rPr>
              <w:t>合计</w:t>
            </w:r>
          </w:p>
        </w:tc>
        <w:tc>
          <w:tcPr>
            <w:tcW w:w="710" w:type="dxa"/>
            <w:tcBorders>
              <w:left w:val="single" w:color="auto" w:sz="4" w:space="0"/>
            </w:tcBorders>
            <w:shd w:val="clear" w:color="auto" w:fill="auto"/>
            <w:noWrap/>
            <w:vAlign w:val="center"/>
          </w:tcPr>
          <w:p>
            <w:pPr>
              <w:widowControl/>
              <w:ind w:left="0" w:firstLine="0" w:firstLineChars="0"/>
              <w:jc w:val="left"/>
              <w:rPr>
                <w:rFonts w:ascii="宋体" w:eastAsia="宋体"/>
                <w:spacing w:val="0"/>
                <w:sz w:val="21"/>
                <w:szCs w:val="24"/>
              </w:rPr>
            </w:pPr>
            <w:r>
              <w:rPr>
                <w:rFonts w:hint="eastAsia" w:ascii="宋体" w:eastAsia="宋体"/>
                <w:spacing w:val="0"/>
                <w:sz w:val="21"/>
                <w:szCs w:val="24"/>
              </w:rPr>
              <w:t>SLA满足率</w:t>
            </w:r>
          </w:p>
        </w:tc>
        <w:tc>
          <w:tcPr>
            <w:tcW w:w="1134" w:type="dxa"/>
            <w:tcBorders>
              <w:left w:val="single" w:color="auto" w:sz="4" w:space="0"/>
            </w:tcBorders>
            <w:shd w:val="clear" w:color="auto" w:fill="auto"/>
            <w:noWrap/>
            <w:vAlign w:val="center"/>
          </w:tcPr>
          <w:p>
            <w:pPr>
              <w:widowControl/>
              <w:jc w:val="left"/>
              <w:rPr>
                <w:rFonts w:ascii="宋体" w:eastAsia="宋体"/>
                <w:spacing w:val="0"/>
                <w:sz w:val="21"/>
                <w:szCs w:val="24"/>
              </w:rPr>
            </w:pPr>
            <w:r>
              <w:rPr>
                <w:rFonts w:hint="eastAsia" w:ascii="宋体" w:eastAsia="宋体"/>
                <w:spacing w:val="0"/>
                <w:sz w:val="21"/>
                <w:szCs w:val="24"/>
              </w:rPr>
              <w:t>此数据是衡量满足要求的SLA个数与整体SLA个数的百分之整体的比率</w:t>
            </w:r>
          </w:p>
        </w:tc>
        <w:tc>
          <w:tcPr>
            <w:tcW w:w="1701" w:type="dxa"/>
            <w:tcBorders>
              <w:left w:val="single" w:color="auto" w:sz="4" w:space="0"/>
            </w:tcBorders>
            <w:shd w:val="clear" w:color="auto" w:fill="auto"/>
            <w:noWrap/>
            <w:vAlign w:val="center"/>
          </w:tcPr>
          <w:p>
            <w:pPr>
              <w:widowControl/>
              <w:jc w:val="left"/>
              <w:rPr>
                <w:rFonts w:ascii="宋体" w:eastAsia="宋体"/>
                <w:spacing w:val="0"/>
                <w:sz w:val="21"/>
                <w:szCs w:val="24"/>
              </w:rPr>
            </w:pPr>
            <w:r>
              <w:rPr>
                <w:rFonts w:hint="eastAsia" w:ascii="宋体" w:eastAsia="宋体"/>
                <w:spacing w:val="0"/>
                <w:sz w:val="21"/>
                <w:szCs w:val="24"/>
              </w:rPr>
              <w:t>衡量乙方达到要求的SLA占全部SLA的百分比。</w:t>
            </w:r>
          </w:p>
        </w:tc>
        <w:tc>
          <w:tcPr>
            <w:tcW w:w="1559" w:type="dxa"/>
            <w:tcBorders>
              <w:left w:val="single" w:color="auto" w:sz="4" w:space="0"/>
            </w:tcBorders>
            <w:shd w:val="clear" w:color="auto" w:fill="auto"/>
            <w:noWrap/>
            <w:vAlign w:val="center"/>
          </w:tcPr>
          <w:p>
            <w:pPr>
              <w:widowControl/>
              <w:jc w:val="left"/>
              <w:rPr>
                <w:rFonts w:ascii="宋体" w:eastAsia="宋体"/>
                <w:spacing w:val="0"/>
                <w:sz w:val="21"/>
                <w:szCs w:val="24"/>
              </w:rPr>
            </w:pPr>
            <w:r>
              <w:rPr>
                <w:rFonts w:hint="eastAsia" w:ascii="宋体" w:eastAsia="宋体"/>
                <w:spacing w:val="0"/>
                <w:sz w:val="21"/>
                <w:szCs w:val="24"/>
              </w:rPr>
              <w:t>为了这个度量报告，需要持续汇报SOW中所有SLA情况。</w:t>
            </w:r>
          </w:p>
        </w:tc>
        <w:tc>
          <w:tcPr>
            <w:tcW w:w="1843" w:type="dxa"/>
            <w:tcBorders>
              <w:left w:val="single" w:color="auto" w:sz="4" w:space="0"/>
            </w:tcBorders>
            <w:shd w:val="clear" w:color="auto" w:fill="auto"/>
            <w:noWrap/>
            <w:vAlign w:val="center"/>
          </w:tcPr>
          <w:p>
            <w:pPr>
              <w:widowControl/>
              <w:jc w:val="left"/>
              <w:rPr>
                <w:rFonts w:ascii="宋体" w:eastAsia="宋体"/>
                <w:spacing w:val="0"/>
                <w:sz w:val="21"/>
                <w:szCs w:val="24"/>
              </w:rPr>
            </w:pPr>
            <w:r>
              <w:rPr>
                <w:rFonts w:hint="eastAsia" w:ascii="宋体" w:eastAsia="宋体"/>
                <w:spacing w:val="0"/>
                <w:sz w:val="21"/>
                <w:szCs w:val="24"/>
              </w:rPr>
              <w:t>SLA满足率＝（满足SLA的个数/总体SLA的个数）×100%（SLA满足率≥70%）</w:t>
            </w:r>
          </w:p>
        </w:tc>
        <w:tc>
          <w:tcPr>
            <w:tcW w:w="1701" w:type="dxa"/>
            <w:tcBorders>
              <w:left w:val="single" w:color="auto" w:sz="4" w:space="0"/>
            </w:tcBorders>
            <w:shd w:val="clear" w:color="auto" w:fill="auto"/>
            <w:noWrap/>
            <w:vAlign w:val="center"/>
          </w:tcPr>
          <w:p>
            <w:pPr>
              <w:widowControl/>
              <w:jc w:val="left"/>
              <w:rPr>
                <w:rFonts w:ascii="宋体" w:eastAsia="宋体"/>
                <w:spacing w:val="0"/>
                <w:sz w:val="21"/>
                <w:szCs w:val="24"/>
              </w:rPr>
            </w:pPr>
            <w:r>
              <w:rPr>
                <w:rFonts w:hint="eastAsia" w:ascii="宋体" w:eastAsia="宋体"/>
                <w:spacing w:val="0"/>
                <w:sz w:val="21"/>
                <w:szCs w:val="24"/>
              </w:rPr>
              <w:t>SLA满足率每低于标准5%，扣除合同总金额的1%</w:t>
            </w:r>
          </w:p>
        </w:tc>
        <w:tc>
          <w:tcPr>
            <w:tcW w:w="709" w:type="dxa"/>
            <w:tcBorders>
              <w:left w:val="single" w:color="auto" w:sz="4" w:space="0"/>
            </w:tcBorders>
          </w:tcPr>
          <w:p>
            <w:pPr>
              <w:widowControl/>
              <w:jc w:val="left"/>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924" w:type="dxa"/>
            <w:gridSpan w:val="8"/>
            <w:shd w:val="clear" w:color="auto" w:fill="auto"/>
            <w:noWrap/>
            <w:vAlign w:val="center"/>
          </w:tcPr>
          <w:p>
            <w:pPr>
              <w:widowControl/>
              <w:jc w:val="left"/>
              <w:rPr>
                <w:rFonts w:ascii="宋体" w:eastAsia="宋体"/>
                <w:spacing w:val="0"/>
                <w:sz w:val="21"/>
                <w:szCs w:val="24"/>
              </w:rPr>
            </w:pPr>
            <w:r>
              <w:rPr>
                <w:rFonts w:hint="eastAsia" w:ascii="宋体" w:eastAsia="宋体"/>
                <w:spacing w:val="0"/>
                <w:sz w:val="21"/>
                <w:szCs w:val="24"/>
              </w:rPr>
              <w:t>综合评价</w:t>
            </w:r>
          </w:p>
          <w:p>
            <w:pPr>
              <w:widowControl/>
              <w:jc w:val="left"/>
              <w:rPr>
                <w:rFonts w:ascii="宋体" w:eastAsia="宋体"/>
                <w:spacing w:val="0"/>
                <w:sz w:val="21"/>
                <w:szCs w:val="24"/>
              </w:rPr>
            </w:pPr>
            <w:r>
              <w:rPr>
                <w:rFonts w:hint="eastAsia" w:ascii="宋体" w:eastAsia="宋体"/>
                <w:spacing w:val="0"/>
                <w:sz w:val="21"/>
                <w:szCs w:val="24"/>
              </w:rPr>
              <w:t xml:space="preserve">评价人：    </w:t>
            </w:r>
          </w:p>
        </w:tc>
      </w:tr>
    </w:tbl>
    <w:p>
      <w:pPr>
        <w:spacing w:line="360" w:lineRule="auto"/>
        <w:rPr>
          <w:rStyle w:val="36"/>
          <w:rFonts w:ascii="宋体" w:eastAsia="宋体"/>
          <w:spacing w:val="0"/>
          <w:kern w:val="0"/>
        </w:rPr>
      </w:pPr>
    </w:p>
    <w:p>
      <w:pPr>
        <w:rPr>
          <w:rStyle w:val="36"/>
          <w:rFonts w:ascii="宋体" w:eastAsia="宋体"/>
          <w:spacing w:val="0"/>
          <w:kern w:val="0"/>
          <w:sz w:val="30"/>
        </w:rPr>
      </w:pPr>
      <w:r>
        <w:rPr>
          <w:rStyle w:val="36"/>
          <w:rFonts w:hint="eastAsia" w:ascii="宋体" w:eastAsia="宋体"/>
          <w:spacing w:val="0"/>
          <w:kern w:val="0"/>
          <w:sz w:val="30"/>
        </w:rPr>
        <w:t>附件六：服务连续性预案</w:t>
      </w:r>
    </w:p>
    <w:p>
      <w:pPr>
        <w:ind w:firstLine="482" w:firstLineChars="200"/>
        <w:rPr>
          <w:rFonts w:ascii="宋体" w:hAnsi="宋体" w:eastAsia="宋体"/>
          <w:b/>
          <w:spacing w:val="0"/>
          <w:szCs w:val="24"/>
        </w:rPr>
      </w:pPr>
      <w:r>
        <w:rPr>
          <w:rFonts w:hint="eastAsia" w:ascii="宋体" w:hAnsi="宋体" w:eastAsia="宋体"/>
          <w:b/>
          <w:spacing w:val="0"/>
          <w:szCs w:val="24"/>
        </w:rPr>
        <w:t>一、目的</w:t>
      </w:r>
    </w:p>
    <w:p>
      <w:pPr>
        <w:spacing w:line="360" w:lineRule="auto"/>
        <w:ind w:firstLine="559" w:firstLineChars="233"/>
        <w:rPr>
          <w:rFonts w:eastAsia="宋体"/>
          <w:spacing w:val="0"/>
          <w:szCs w:val="24"/>
        </w:rPr>
      </w:pPr>
      <w:r>
        <w:rPr>
          <w:rFonts w:hint="eastAsia" w:ascii="宋体" w:eastAsia="宋体"/>
          <w:spacing w:val="0"/>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pPr>
        <w:ind w:firstLine="482" w:firstLineChars="200"/>
        <w:rPr>
          <w:rFonts w:ascii="宋体" w:hAnsi="宋体" w:eastAsia="宋体"/>
          <w:b/>
          <w:spacing w:val="0"/>
          <w:szCs w:val="24"/>
        </w:rPr>
      </w:pPr>
      <w:r>
        <w:rPr>
          <w:rFonts w:hint="eastAsia" w:ascii="宋体" w:hAnsi="宋体" w:eastAsia="宋体"/>
          <w:b/>
          <w:spacing w:val="0"/>
          <w:szCs w:val="24"/>
        </w:rPr>
        <w:t>二、应急组织架构及职责</w:t>
      </w:r>
    </w:p>
    <w:p>
      <w:pPr>
        <w:ind w:firstLine="482" w:firstLineChars="200"/>
        <w:rPr>
          <w:rFonts w:ascii="宋体" w:hAnsi="宋体" w:eastAsia="宋体"/>
          <w:b/>
          <w:spacing w:val="0"/>
          <w:szCs w:val="24"/>
        </w:rPr>
      </w:pPr>
      <w:r>
        <w:rPr>
          <w:rFonts w:hint="eastAsia" w:ascii="宋体" w:hAnsi="宋体" w:eastAsia="宋体"/>
          <w:b/>
          <w:spacing w:val="0"/>
          <w:szCs w:val="24"/>
        </w:rPr>
        <w:t>（一）决策层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spacing w:line="360" w:lineRule="auto"/>
              <w:ind w:firstLine="559" w:firstLineChars="233"/>
              <w:rPr>
                <w:rFonts w:ascii="宋体" w:eastAsia="宋体"/>
                <w:spacing w:val="0"/>
                <w:szCs w:val="24"/>
              </w:rPr>
            </w:pPr>
            <w:r>
              <w:rPr>
                <w:rFonts w:hint="eastAsia" w:ascii="宋体" w:eastAsia="宋体"/>
                <w:spacing w:val="0"/>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spacing w:val="0"/>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spacing w:val="0"/>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spacing w:val="0"/>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bl>
    <w:p>
      <w:pPr>
        <w:ind w:firstLine="482" w:firstLineChars="200"/>
        <w:rPr>
          <w:rFonts w:ascii="宋体" w:hAnsi="宋体" w:eastAsia="宋体"/>
          <w:b/>
          <w:spacing w:val="0"/>
          <w:szCs w:val="24"/>
        </w:rPr>
      </w:pPr>
      <w:r>
        <w:rPr>
          <w:rFonts w:hint="eastAsia" w:ascii="宋体" w:hAnsi="宋体" w:eastAsia="宋体"/>
          <w:b/>
          <w:spacing w:val="0"/>
          <w:szCs w:val="24"/>
        </w:rPr>
        <w:t>（二）危机处理层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spacing w:line="360" w:lineRule="auto"/>
              <w:ind w:firstLine="559" w:firstLineChars="233"/>
              <w:rPr>
                <w:rFonts w:ascii="宋体" w:eastAsia="宋体"/>
                <w:spacing w:val="0"/>
                <w:szCs w:val="24"/>
              </w:rPr>
            </w:pPr>
            <w:r>
              <w:rPr>
                <w:rFonts w:hint="eastAsia" w:ascii="宋体" w:eastAsia="宋体"/>
                <w:spacing w:val="0"/>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4067"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4067"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bl>
    <w:p>
      <w:pPr>
        <w:ind w:firstLine="482" w:firstLineChars="200"/>
        <w:rPr>
          <w:rFonts w:ascii="宋体" w:hAnsi="宋体" w:eastAsia="宋体"/>
          <w:b/>
          <w:spacing w:val="0"/>
          <w:szCs w:val="24"/>
        </w:rPr>
      </w:pPr>
      <w:r>
        <w:rPr>
          <w:rFonts w:hint="eastAsia" w:ascii="宋体" w:hAnsi="宋体" w:eastAsia="宋体"/>
          <w:b/>
          <w:spacing w:val="0"/>
          <w:szCs w:val="24"/>
        </w:rPr>
        <w:t>（三）具体业务层</w:t>
      </w:r>
    </w:p>
    <w:tbl>
      <w:tblPr>
        <w:tblStyle w:val="2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spacing w:line="360" w:lineRule="auto"/>
              <w:ind w:firstLine="559" w:firstLineChars="233"/>
              <w:rPr>
                <w:rFonts w:ascii="宋体" w:eastAsia="宋体"/>
                <w:spacing w:val="0"/>
                <w:szCs w:val="24"/>
              </w:rPr>
            </w:pPr>
            <w:r>
              <w:rPr>
                <w:rFonts w:hint="eastAsia" w:ascii="宋体" w:eastAsia="宋体"/>
                <w:spacing w:val="0"/>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jc w:val="center"/>
              <w:rPr>
                <w:rFonts w:ascii="宋体" w:eastAsia="宋体"/>
                <w:spacing w:val="0"/>
                <w:szCs w:val="24"/>
              </w:rPr>
            </w:pPr>
            <w:r>
              <w:rPr>
                <w:rFonts w:hint="eastAsia" w:ascii="宋体" w:eastAsia="宋体"/>
                <w:spacing w:val="0"/>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eastAsia="宋体"/>
                <w:spacing w:val="0"/>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rPr>
                <w:rFonts w:ascii="宋体" w:eastAsia="宋体"/>
                <w:spacing w:val="0"/>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jc w:val="center"/>
              <w:rPr>
                <w:rFonts w:ascii="宋体" w:eastAsia="宋体"/>
                <w:spacing w:val="0"/>
                <w:sz w:val="21"/>
                <w:szCs w:val="24"/>
              </w:rPr>
            </w:pPr>
          </w:p>
        </w:tc>
      </w:tr>
    </w:tbl>
    <w:p>
      <w:pPr>
        <w:ind w:firstLine="482" w:firstLineChars="200"/>
        <w:rPr>
          <w:rFonts w:ascii="宋体" w:hAnsi="宋体" w:eastAsia="宋体"/>
          <w:b/>
          <w:spacing w:val="0"/>
          <w:szCs w:val="24"/>
        </w:rPr>
      </w:pPr>
      <w:r>
        <w:rPr>
          <w:rFonts w:hint="eastAsia" w:ascii="宋体" w:hAnsi="宋体" w:eastAsia="宋体"/>
          <w:b/>
          <w:spacing w:val="0"/>
          <w:szCs w:val="24"/>
        </w:rPr>
        <w:t>（四）应急领导小组职责</w:t>
      </w:r>
    </w:p>
    <w:p>
      <w:pPr>
        <w:spacing w:line="360" w:lineRule="auto"/>
        <w:ind w:firstLine="559" w:firstLineChars="233"/>
        <w:rPr>
          <w:rFonts w:ascii="宋体" w:eastAsia="宋体"/>
          <w:spacing w:val="0"/>
          <w:szCs w:val="24"/>
        </w:rPr>
      </w:pPr>
      <w:r>
        <w:rPr>
          <w:rFonts w:hint="eastAsia" w:ascii="宋体" w:eastAsia="宋体"/>
          <w:spacing w:val="0"/>
          <w:szCs w:val="24"/>
        </w:rPr>
        <w:t>1</w:t>
      </w:r>
      <w:r>
        <w:rPr>
          <w:rFonts w:ascii="宋体" w:eastAsia="宋体"/>
          <w:spacing w:val="0"/>
          <w:szCs w:val="24"/>
        </w:rPr>
        <w:t>.</w:t>
      </w:r>
      <w:r>
        <w:rPr>
          <w:rFonts w:hint="eastAsia" w:ascii="宋体" w:eastAsia="宋体"/>
          <w:spacing w:val="0"/>
          <w:szCs w:val="24"/>
        </w:rPr>
        <w:t>启动应急预案</w:t>
      </w:r>
    </w:p>
    <w:p>
      <w:pPr>
        <w:spacing w:line="360" w:lineRule="auto"/>
        <w:ind w:firstLine="559" w:firstLineChars="233"/>
        <w:rPr>
          <w:rFonts w:ascii="宋体" w:eastAsia="宋体"/>
          <w:spacing w:val="0"/>
          <w:szCs w:val="24"/>
        </w:rPr>
      </w:pPr>
      <w:r>
        <w:rPr>
          <w:rFonts w:hint="eastAsia" w:ascii="宋体" w:eastAsia="宋体"/>
          <w:spacing w:val="0"/>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pPr>
        <w:spacing w:line="360" w:lineRule="auto"/>
        <w:ind w:firstLine="559" w:firstLineChars="233"/>
        <w:rPr>
          <w:rFonts w:ascii="宋体" w:eastAsia="宋体"/>
          <w:spacing w:val="0"/>
          <w:szCs w:val="24"/>
        </w:rPr>
      </w:pPr>
      <w:r>
        <w:rPr>
          <w:rFonts w:hint="eastAsia" w:ascii="宋体" w:eastAsia="宋体"/>
          <w:spacing w:val="0"/>
          <w:szCs w:val="24"/>
        </w:rPr>
        <w:t>2</w:t>
      </w:r>
      <w:r>
        <w:rPr>
          <w:rFonts w:ascii="宋体" w:eastAsia="宋体"/>
          <w:spacing w:val="0"/>
          <w:szCs w:val="24"/>
        </w:rPr>
        <w:t>.</w:t>
      </w:r>
      <w:r>
        <w:rPr>
          <w:rFonts w:hint="eastAsia" w:ascii="宋体" w:eastAsia="宋体"/>
          <w:spacing w:val="0"/>
          <w:szCs w:val="24"/>
        </w:rPr>
        <w:t>应急事件处理</w:t>
      </w:r>
    </w:p>
    <w:p>
      <w:pPr>
        <w:spacing w:line="360" w:lineRule="auto"/>
        <w:ind w:firstLine="559" w:firstLineChars="233"/>
        <w:rPr>
          <w:rFonts w:ascii="宋体" w:eastAsia="宋体"/>
          <w:spacing w:val="0"/>
          <w:szCs w:val="24"/>
        </w:rPr>
      </w:pPr>
      <w:r>
        <w:rPr>
          <w:rFonts w:hint="eastAsia" w:ascii="宋体" w:eastAsia="宋体"/>
          <w:spacing w:val="0"/>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pPr>
        <w:spacing w:line="360" w:lineRule="auto"/>
        <w:ind w:firstLine="559" w:firstLineChars="233"/>
        <w:rPr>
          <w:rFonts w:ascii="宋体" w:eastAsia="宋体"/>
          <w:spacing w:val="0"/>
          <w:szCs w:val="24"/>
        </w:rPr>
      </w:pPr>
      <w:r>
        <w:rPr>
          <w:rFonts w:hint="eastAsia" w:ascii="宋体" w:eastAsia="宋体"/>
          <w:spacing w:val="0"/>
          <w:szCs w:val="24"/>
        </w:rPr>
        <w:t>3</w:t>
      </w:r>
      <w:r>
        <w:rPr>
          <w:rFonts w:ascii="宋体" w:eastAsia="宋体"/>
          <w:spacing w:val="0"/>
          <w:szCs w:val="24"/>
        </w:rPr>
        <w:t>.</w:t>
      </w:r>
      <w:r>
        <w:rPr>
          <w:rFonts w:hint="eastAsia" w:ascii="宋体" w:eastAsia="宋体"/>
          <w:spacing w:val="0"/>
          <w:szCs w:val="24"/>
        </w:rPr>
        <w:t>业务持续性计划及应急预案优化</w:t>
      </w:r>
    </w:p>
    <w:p>
      <w:pPr>
        <w:spacing w:line="360" w:lineRule="auto"/>
        <w:ind w:firstLine="559" w:firstLineChars="233"/>
        <w:rPr>
          <w:rFonts w:ascii="宋体" w:eastAsia="宋体"/>
          <w:spacing w:val="0"/>
          <w:szCs w:val="24"/>
        </w:rPr>
      </w:pPr>
      <w:r>
        <w:rPr>
          <w:rFonts w:hint="eastAsia" w:ascii="宋体" w:eastAsia="宋体"/>
          <w:spacing w:val="0"/>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pPr>
        <w:ind w:firstLine="482" w:firstLineChars="200"/>
        <w:rPr>
          <w:rFonts w:ascii="宋体" w:hAnsi="宋体" w:eastAsia="宋体"/>
          <w:b/>
          <w:spacing w:val="0"/>
          <w:szCs w:val="24"/>
        </w:rPr>
      </w:pPr>
      <w:r>
        <w:rPr>
          <w:rFonts w:hint="eastAsia" w:ascii="宋体" w:hAnsi="宋体" w:eastAsia="宋体"/>
          <w:b/>
          <w:spacing w:val="0"/>
          <w:szCs w:val="24"/>
        </w:rPr>
        <w:t>三、应急场景</w:t>
      </w:r>
    </w:p>
    <w:p>
      <w:pPr>
        <w:ind w:firstLine="482" w:firstLineChars="200"/>
        <w:rPr>
          <w:rFonts w:ascii="宋体" w:hAnsi="宋体" w:eastAsia="宋体"/>
          <w:b/>
          <w:spacing w:val="0"/>
          <w:szCs w:val="24"/>
        </w:rPr>
      </w:pPr>
      <w:r>
        <w:rPr>
          <w:rFonts w:hint="eastAsia" w:ascii="宋体" w:hAnsi="宋体" w:eastAsia="宋体"/>
          <w:b/>
          <w:spacing w:val="0"/>
          <w:szCs w:val="24"/>
        </w:rPr>
        <w:t>（一）单个核心成员或某个角色无法提供正常服务</w:t>
      </w:r>
    </w:p>
    <w:p>
      <w:pPr>
        <w:spacing w:line="360" w:lineRule="auto"/>
        <w:ind w:firstLine="559" w:firstLineChars="233"/>
        <w:rPr>
          <w:rFonts w:ascii="宋体" w:eastAsia="宋体"/>
          <w:spacing w:val="0"/>
          <w:szCs w:val="24"/>
        </w:rPr>
      </w:pPr>
      <w:r>
        <w:rPr>
          <w:rFonts w:hint="eastAsia" w:ascii="宋体" w:eastAsia="宋体"/>
          <w:spacing w:val="0"/>
          <w:szCs w:val="24"/>
        </w:rPr>
        <w:t>1.影响程度：外包服务部分中断</w:t>
      </w:r>
    </w:p>
    <w:p>
      <w:pPr>
        <w:spacing w:line="360" w:lineRule="auto"/>
        <w:ind w:firstLine="559" w:firstLineChars="233"/>
        <w:rPr>
          <w:rFonts w:ascii="宋体" w:eastAsia="宋体"/>
          <w:spacing w:val="0"/>
          <w:szCs w:val="24"/>
        </w:rPr>
      </w:pPr>
      <w:r>
        <w:rPr>
          <w:rFonts w:hint="eastAsia" w:ascii="宋体" w:eastAsia="宋体"/>
          <w:spacing w:val="0"/>
          <w:szCs w:val="24"/>
        </w:rPr>
        <w:t>2.规避措施：</w:t>
      </w:r>
    </w:p>
    <w:p>
      <w:pPr>
        <w:spacing w:line="360" w:lineRule="auto"/>
        <w:ind w:firstLine="559" w:firstLineChars="233"/>
        <w:rPr>
          <w:rFonts w:ascii="宋体" w:eastAsia="宋体"/>
          <w:spacing w:val="0"/>
          <w:szCs w:val="24"/>
        </w:rPr>
      </w:pPr>
      <w:r>
        <w:rPr>
          <w:rFonts w:ascii="宋体" w:eastAsia="宋体"/>
          <w:spacing w:val="0"/>
          <w:szCs w:val="24"/>
        </w:rPr>
        <w:t>1</w:t>
      </w:r>
      <w:r>
        <w:rPr>
          <w:rFonts w:hint="eastAsia" w:ascii="宋体" w:eastAsia="宋体"/>
          <w:spacing w:val="0"/>
          <w:szCs w:val="24"/>
        </w:rPr>
        <w:t>）乙方在2小时内协调重庆本地高于该成员资历水平的的员工来厂商现场进行顶替，直到合适的补充人员入场能够接替该成员的工作为止，否则按照SLA第6调更换人员的相关条款进行罚款。</w:t>
      </w:r>
    </w:p>
    <w:p>
      <w:pPr>
        <w:spacing w:line="360" w:lineRule="auto"/>
        <w:ind w:firstLine="55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）乙方服务团队在合同有效期内，建立人才储备机制和培训机制，同时由A角和B角对项目进行支持工作。</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w:t>
      </w:r>
      <w:r>
        <w:rPr>
          <w:rFonts w:hint="eastAsia" w:ascii="宋体" w:eastAsia="宋体"/>
          <w:spacing w:val="0"/>
          <w:szCs w:val="24"/>
        </w:rPr>
        <w:t>按照SLA进行</w:t>
      </w:r>
      <w:r>
        <w:rPr>
          <w:rFonts w:ascii="宋体" w:eastAsia="宋体"/>
          <w:spacing w:val="0"/>
          <w:szCs w:val="24"/>
        </w:rPr>
        <w:t>赔偿。</w:t>
      </w:r>
    </w:p>
    <w:p>
      <w:pPr>
        <w:ind w:firstLine="482" w:firstLineChars="200"/>
        <w:rPr>
          <w:rFonts w:ascii="宋体" w:hAnsi="宋体" w:eastAsia="宋体"/>
          <w:b/>
          <w:spacing w:val="0"/>
          <w:szCs w:val="24"/>
        </w:rPr>
      </w:pPr>
      <w:r>
        <w:rPr>
          <w:rFonts w:hint="eastAsia" w:ascii="宋体" w:hAnsi="宋体" w:eastAsia="宋体"/>
          <w:b/>
          <w:spacing w:val="0"/>
          <w:szCs w:val="24"/>
        </w:rPr>
        <w:t>（二）乙方服务团队无法提供正常服务，但乙方仍具备履约能力</w:t>
      </w:r>
    </w:p>
    <w:p>
      <w:pPr>
        <w:spacing w:line="360" w:lineRule="auto"/>
        <w:ind w:firstLine="559" w:firstLineChars="233"/>
        <w:rPr>
          <w:rFonts w:ascii="宋体" w:eastAsia="宋体"/>
          <w:spacing w:val="0"/>
          <w:szCs w:val="24"/>
        </w:rPr>
      </w:pPr>
      <w:r>
        <w:rPr>
          <w:rFonts w:hint="eastAsia" w:ascii="宋体" w:eastAsia="宋体"/>
          <w:spacing w:val="0"/>
          <w:szCs w:val="24"/>
        </w:rPr>
        <w:t>1.影响程度：外包服务完全中断</w:t>
      </w:r>
    </w:p>
    <w:p>
      <w:pPr>
        <w:spacing w:line="360" w:lineRule="auto"/>
        <w:ind w:firstLine="559" w:firstLineChars="233"/>
        <w:rPr>
          <w:rFonts w:ascii="宋体" w:eastAsia="宋体"/>
          <w:spacing w:val="0"/>
          <w:szCs w:val="24"/>
        </w:rPr>
      </w:pPr>
      <w:r>
        <w:rPr>
          <w:rFonts w:hint="eastAsia" w:ascii="宋体" w:eastAsia="宋体"/>
          <w:spacing w:val="0"/>
          <w:szCs w:val="24"/>
        </w:rPr>
        <w:t>2.规避措施：</w:t>
      </w:r>
    </w:p>
    <w:p>
      <w:pPr>
        <w:spacing w:line="360" w:lineRule="auto"/>
        <w:ind w:firstLine="559" w:firstLineChars="233"/>
        <w:rPr>
          <w:rFonts w:ascii="宋体" w:eastAsia="宋体"/>
          <w:spacing w:val="0"/>
          <w:szCs w:val="24"/>
        </w:rPr>
      </w:pPr>
      <w:r>
        <w:rPr>
          <w:rFonts w:hint="eastAsia" w:ascii="宋体" w:eastAsia="宋体"/>
          <w:spacing w:val="0"/>
          <w:szCs w:val="24"/>
        </w:rPr>
        <w:t>1）乙方服务团队需按时按照甲方流程及制度规范提交项目各类文档；</w:t>
      </w:r>
    </w:p>
    <w:p>
      <w:pPr>
        <w:spacing w:line="360" w:lineRule="auto"/>
        <w:ind w:firstLine="559" w:firstLineChars="233"/>
        <w:rPr>
          <w:rFonts w:ascii="宋体" w:eastAsia="宋体"/>
          <w:spacing w:val="0"/>
          <w:szCs w:val="24"/>
        </w:rPr>
      </w:pPr>
      <w:r>
        <w:rPr>
          <w:rFonts w:hint="eastAsia" w:ascii="宋体" w:eastAsia="宋体"/>
          <w:spacing w:val="0"/>
          <w:szCs w:val="24"/>
        </w:rPr>
        <w:t>2）乙方服务团队需制定合理的培训计划和培训内容，加强知识转移；</w:t>
      </w:r>
    </w:p>
    <w:p>
      <w:pPr>
        <w:spacing w:line="360" w:lineRule="auto"/>
        <w:ind w:firstLine="559" w:firstLineChars="233"/>
        <w:rPr>
          <w:rFonts w:ascii="宋体" w:eastAsia="宋体"/>
          <w:spacing w:val="0"/>
          <w:szCs w:val="24"/>
        </w:rPr>
      </w:pPr>
      <w:r>
        <w:rPr>
          <w:rFonts w:hint="eastAsia" w:ascii="宋体" w:eastAsia="宋体"/>
          <w:spacing w:val="0"/>
          <w:szCs w:val="24"/>
        </w:rPr>
        <w:t>3）如遇类似事件乙方提前10个工作日书面通知甲方项目经理；</w:t>
      </w:r>
    </w:p>
    <w:p>
      <w:pPr>
        <w:spacing w:line="360" w:lineRule="auto"/>
        <w:ind w:firstLine="559" w:firstLineChars="233"/>
        <w:rPr>
          <w:rFonts w:ascii="宋体" w:eastAsia="宋体"/>
          <w:spacing w:val="0"/>
          <w:szCs w:val="24"/>
        </w:rPr>
      </w:pPr>
      <w:r>
        <w:rPr>
          <w:rFonts w:ascii="宋体" w:eastAsia="宋体"/>
          <w:spacing w:val="0"/>
          <w:szCs w:val="24"/>
        </w:rPr>
        <w:t>4</w:t>
      </w:r>
      <w:r>
        <w:rPr>
          <w:rFonts w:hint="eastAsia" w:ascii="宋体" w:eastAsia="宋体"/>
          <w:spacing w:val="0"/>
          <w:szCs w:val="24"/>
        </w:rPr>
        <w:t>）乙方负责提前协调备用团队，并协调相应角色做好交接工作，协调方案经过甲方认可后，在10个工作日内将补充团队派驻入场，保障工作连续开展。</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p>
    <w:p>
      <w:pPr>
        <w:ind w:firstLine="482" w:firstLineChars="200"/>
        <w:rPr>
          <w:rFonts w:ascii="宋体" w:hAnsi="宋体" w:eastAsia="宋体"/>
          <w:b/>
          <w:spacing w:val="0"/>
          <w:szCs w:val="24"/>
        </w:rPr>
      </w:pPr>
      <w:r>
        <w:rPr>
          <w:rFonts w:hint="eastAsia" w:ascii="宋体" w:hAnsi="宋体" w:eastAsia="宋体"/>
          <w:b/>
          <w:spacing w:val="0"/>
          <w:szCs w:val="24"/>
        </w:rPr>
        <w:t>（三）乙方服务团队无法提供正常服务且乙方不具备恢复服务能力或意愿</w:t>
      </w:r>
    </w:p>
    <w:p>
      <w:pPr>
        <w:spacing w:line="360" w:lineRule="auto"/>
        <w:ind w:firstLine="559" w:firstLineChars="233"/>
        <w:rPr>
          <w:rFonts w:ascii="宋体" w:eastAsia="宋体"/>
          <w:spacing w:val="0"/>
          <w:szCs w:val="24"/>
        </w:rPr>
      </w:pPr>
      <w:r>
        <w:rPr>
          <w:rFonts w:hint="eastAsia" w:ascii="宋体" w:eastAsia="宋体"/>
          <w:spacing w:val="0"/>
          <w:szCs w:val="24"/>
        </w:rPr>
        <w:t>1.影响程度：外包服务完全中断</w:t>
      </w:r>
    </w:p>
    <w:p>
      <w:pPr>
        <w:spacing w:line="360" w:lineRule="auto"/>
        <w:ind w:firstLine="559" w:firstLineChars="233"/>
        <w:rPr>
          <w:rFonts w:ascii="宋体" w:eastAsia="宋体"/>
          <w:spacing w:val="0"/>
          <w:szCs w:val="24"/>
        </w:rPr>
      </w:pPr>
      <w:r>
        <w:rPr>
          <w:rFonts w:hint="eastAsia" w:ascii="宋体" w:eastAsia="宋体"/>
          <w:spacing w:val="0"/>
          <w:szCs w:val="24"/>
        </w:rPr>
        <w:t>2.规避措施：</w:t>
      </w:r>
    </w:p>
    <w:p>
      <w:pPr>
        <w:spacing w:line="360" w:lineRule="auto"/>
        <w:ind w:firstLine="559" w:firstLineChars="233"/>
        <w:rPr>
          <w:rFonts w:ascii="宋体" w:eastAsia="宋体"/>
          <w:spacing w:val="0"/>
          <w:szCs w:val="24"/>
        </w:rPr>
      </w:pPr>
      <w:r>
        <w:rPr>
          <w:rFonts w:hint="eastAsia" w:ascii="宋体" w:eastAsia="宋体"/>
          <w:spacing w:val="0"/>
          <w:szCs w:val="24"/>
        </w:rPr>
        <w:t>1）如遇类似事件乙方提前15个工作日书面通知甲方项目经理；</w:t>
      </w:r>
    </w:p>
    <w:p>
      <w:pPr>
        <w:spacing w:line="360" w:lineRule="auto"/>
        <w:ind w:firstLine="55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）乙方保证提前沟通协调人力资源，于10个工作日内提交所有阶段性项目文档，并完成甲方认可的所有工作交接和知识转移，包括不限于对替代供应商进行培训；</w:t>
      </w:r>
    </w:p>
    <w:p>
      <w:pPr>
        <w:spacing w:line="360" w:lineRule="auto"/>
        <w:ind w:firstLine="559" w:firstLineChars="233"/>
        <w:rPr>
          <w:rFonts w:ascii="宋体" w:eastAsia="宋体"/>
          <w:spacing w:val="0"/>
          <w:szCs w:val="24"/>
        </w:rPr>
      </w:pPr>
      <w:r>
        <w:rPr>
          <w:rFonts w:ascii="宋体" w:eastAsia="宋体"/>
          <w:spacing w:val="0"/>
          <w:szCs w:val="24"/>
        </w:rPr>
        <w:t>3</w:t>
      </w:r>
      <w:r>
        <w:rPr>
          <w:rFonts w:hint="eastAsia" w:ascii="宋体" w:eastAsia="宋体"/>
          <w:spacing w:val="0"/>
          <w:szCs w:val="24"/>
        </w:rPr>
        <w:t>）允许推荐项目成员到与甲方合作良好的其他供应商任职或由甲方直接聘用。</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r>
        <w:rPr>
          <w:rFonts w:hint="eastAsia" w:ascii="宋体" w:eastAsia="宋体"/>
          <w:spacing w:val="0"/>
          <w:szCs w:val="24"/>
        </w:rPr>
        <w:t>。</w:t>
      </w:r>
    </w:p>
    <w:p>
      <w:pPr>
        <w:ind w:firstLine="482" w:firstLineChars="200"/>
        <w:rPr>
          <w:rFonts w:ascii="宋体" w:hAnsi="宋体" w:eastAsia="宋体"/>
          <w:b/>
          <w:spacing w:val="0"/>
          <w:szCs w:val="24"/>
        </w:rPr>
      </w:pPr>
      <w:r>
        <w:rPr>
          <w:rFonts w:hint="eastAsia" w:ascii="宋体" w:hAnsi="宋体" w:eastAsia="宋体"/>
          <w:b/>
          <w:spacing w:val="0"/>
          <w:szCs w:val="24"/>
        </w:rPr>
        <w:t>（四）乙方因资质变更、被收购、兼并或破产等原因致使其无法继续提供服务</w:t>
      </w:r>
    </w:p>
    <w:p>
      <w:pPr>
        <w:spacing w:line="360" w:lineRule="auto"/>
        <w:ind w:firstLine="559" w:firstLineChars="233"/>
        <w:rPr>
          <w:rFonts w:ascii="宋体" w:eastAsia="宋体"/>
          <w:spacing w:val="0"/>
          <w:szCs w:val="24"/>
        </w:rPr>
      </w:pPr>
      <w:r>
        <w:rPr>
          <w:rFonts w:hint="eastAsia" w:ascii="宋体" w:eastAsia="宋体"/>
          <w:spacing w:val="0"/>
          <w:szCs w:val="24"/>
        </w:rPr>
        <w:t>1.影响程度：外包服务完全中断</w:t>
      </w:r>
    </w:p>
    <w:p>
      <w:pPr>
        <w:spacing w:line="360" w:lineRule="auto"/>
        <w:ind w:firstLine="559" w:firstLineChars="233"/>
        <w:rPr>
          <w:rFonts w:ascii="宋体" w:eastAsia="宋体"/>
          <w:spacing w:val="0"/>
          <w:szCs w:val="24"/>
        </w:rPr>
      </w:pPr>
      <w:r>
        <w:rPr>
          <w:rFonts w:hint="eastAsia" w:ascii="宋体" w:eastAsia="宋体"/>
          <w:spacing w:val="0"/>
          <w:szCs w:val="24"/>
        </w:rPr>
        <w:t>2.规避措施：</w:t>
      </w:r>
    </w:p>
    <w:p>
      <w:pPr>
        <w:spacing w:line="360" w:lineRule="auto"/>
        <w:ind w:firstLine="559" w:firstLineChars="233"/>
        <w:rPr>
          <w:rFonts w:ascii="宋体" w:eastAsia="宋体"/>
          <w:spacing w:val="0"/>
          <w:szCs w:val="24"/>
        </w:rPr>
      </w:pPr>
      <w:r>
        <w:rPr>
          <w:rFonts w:hint="eastAsia" w:ascii="宋体" w:eastAsia="宋体"/>
          <w:spacing w:val="0"/>
          <w:szCs w:val="24"/>
        </w:rPr>
        <w:t>1）如遇类似事件乙方提前20个工作日通知甲方项目经理；</w:t>
      </w:r>
    </w:p>
    <w:p>
      <w:pPr>
        <w:spacing w:line="360" w:lineRule="auto"/>
        <w:ind w:firstLine="55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）根据开发合同约定提前与甲方进行沟通协商，做好代码、文档、服务等交接工作，减少对甲方的影响；</w:t>
      </w:r>
    </w:p>
    <w:p>
      <w:pPr>
        <w:spacing w:line="360" w:lineRule="auto"/>
        <w:ind w:firstLine="559" w:firstLineChars="233"/>
        <w:rPr>
          <w:rFonts w:ascii="宋体" w:eastAsia="宋体"/>
          <w:spacing w:val="0"/>
          <w:szCs w:val="24"/>
        </w:rPr>
      </w:pPr>
      <w:r>
        <w:rPr>
          <w:rFonts w:ascii="宋体" w:eastAsia="宋体"/>
          <w:spacing w:val="0"/>
          <w:szCs w:val="24"/>
        </w:rPr>
        <w:t>3</w:t>
      </w:r>
      <w:r>
        <w:rPr>
          <w:rFonts w:hint="eastAsia" w:ascii="宋体" w:eastAsia="宋体"/>
          <w:spacing w:val="0"/>
          <w:szCs w:val="24"/>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r>
        <w:rPr>
          <w:rFonts w:hint="eastAsia" w:ascii="宋体" w:eastAsia="宋体"/>
          <w:spacing w:val="0"/>
          <w:szCs w:val="24"/>
        </w:rPr>
        <w:t>；</w:t>
      </w:r>
    </w:p>
    <w:p>
      <w:pPr>
        <w:spacing w:line="360" w:lineRule="auto"/>
        <w:ind w:firstLine="559" w:firstLineChars="233"/>
        <w:rPr>
          <w:rFonts w:ascii="宋体" w:eastAsia="宋体"/>
          <w:spacing w:val="0"/>
          <w:szCs w:val="24"/>
        </w:rPr>
      </w:pPr>
      <w:r>
        <w:rPr>
          <w:rFonts w:ascii="宋体" w:eastAsia="宋体"/>
          <w:spacing w:val="0"/>
          <w:szCs w:val="24"/>
        </w:rPr>
        <w:t>4</w:t>
      </w:r>
      <w:r>
        <w:rPr>
          <w:rFonts w:hint="eastAsia" w:ascii="宋体" w:eastAsia="宋体"/>
          <w:spacing w:val="0"/>
          <w:szCs w:val="24"/>
        </w:rPr>
        <w:t>）允许推荐项目成员到与甲方合作良好的其他供应商任职或由甲方直接聘用。</w:t>
      </w:r>
    </w:p>
    <w:p>
      <w:pPr>
        <w:ind w:firstLine="482" w:firstLineChars="200"/>
        <w:rPr>
          <w:rFonts w:ascii="宋体" w:hAnsi="宋体" w:eastAsia="宋体"/>
          <w:b/>
          <w:spacing w:val="0"/>
          <w:szCs w:val="24"/>
        </w:rPr>
      </w:pPr>
      <w:r>
        <w:rPr>
          <w:rFonts w:hint="eastAsia" w:ascii="宋体" w:hAnsi="宋体" w:eastAsia="宋体"/>
          <w:b/>
          <w:spacing w:val="0"/>
          <w:szCs w:val="24"/>
        </w:rPr>
        <w:t>（五）乙方因不可抗力导致其主动退出（国家相关法律法规调整、遭受大规模自然灾害等）</w:t>
      </w:r>
    </w:p>
    <w:p>
      <w:pPr>
        <w:spacing w:line="360" w:lineRule="auto"/>
        <w:ind w:firstLine="559" w:firstLineChars="233"/>
        <w:rPr>
          <w:rFonts w:ascii="宋体" w:eastAsia="宋体"/>
          <w:spacing w:val="0"/>
          <w:szCs w:val="24"/>
        </w:rPr>
      </w:pPr>
      <w:r>
        <w:rPr>
          <w:rFonts w:hint="eastAsia" w:ascii="宋体" w:eastAsia="宋体"/>
          <w:spacing w:val="0"/>
          <w:szCs w:val="24"/>
        </w:rPr>
        <w:t>1.影响程度：外包服务完全中断</w:t>
      </w:r>
    </w:p>
    <w:p>
      <w:pPr>
        <w:spacing w:line="360" w:lineRule="auto"/>
        <w:ind w:firstLine="559" w:firstLineChars="233"/>
        <w:rPr>
          <w:rFonts w:ascii="宋体" w:eastAsia="宋体"/>
          <w:spacing w:val="0"/>
          <w:szCs w:val="24"/>
        </w:rPr>
      </w:pPr>
      <w:r>
        <w:rPr>
          <w:rFonts w:hint="eastAsia" w:ascii="宋体" w:eastAsia="宋体"/>
          <w:spacing w:val="0"/>
          <w:szCs w:val="24"/>
        </w:rPr>
        <w:t>2.规避措施：</w:t>
      </w:r>
    </w:p>
    <w:p>
      <w:pPr>
        <w:spacing w:line="360" w:lineRule="auto"/>
        <w:ind w:firstLine="559" w:firstLineChars="233"/>
        <w:rPr>
          <w:rFonts w:ascii="宋体" w:eastAsia="宋体"/>
          <w:spacing w:val="0"/>
          <w:szCs w:val="24"/>
        </w:rPr>
      </w:pPr>
      <w:r>
        <w:rPr>
          <w:rFonts w:hint="eastAsia" w:ascii="宋体" w:eastAsia="宋体"/>
          <w:spacing w:val="0"/>
          <w:szCs w:val="24"/>
        </w:rPr>
        <w:t>1）如遇类似事件乙方应立即通知甲方项目经理。</w:t>
      </w:r>
    </w:p>
    <w:p>
      <w:pPr>
        <w:spacing w:line="360" w:lineRule="auto"/>
        <w:ind w:firstLine="559" w:firstLineChars="233"/>
        <w:rPr>
          <w:rFonts w:ascii="宋体" w:eastAsia="宋体"/>
          <w:spacing w:val="0"/>
          <w:szCs w:val="24"/>
        </w:rPr>
      </w:pPr>
      <w:r>
        <w:rPr>
          <w:rFonts w:ascii="宋体" w:eastAsia="宋体"/>
          <w:spacing w:val="0"/>
          <w:szCs w:val="24"/>
        </w:rPr>
        <w:t>2</w:t>
      </w:r>
      <w:r>
        <w:rPr>
          <w:rFonts w:hint="eastAsia" w:ascii="宋体" w:eastAsia="宋体"/>
          <w:spacing w:val="0"/>
          <w:szCs w:val="24"/>
        </w:rPr>
        <w:t>）乙方与甲方及时进行协商，得出一致性解决方案，于15个工作日内提交所有阶段性项目文档，并完成甲方认可的所有工作交接和知识转移，降低突发事件的影响；</w:t>
      </w:r>
    </w:p>
    <w:p>
      <w:pPr>
        <w:spacing w:line="360" w:lineRule="auto"/>
        <w:ind w:firstLine="559" w:firstLineChars="233"/>
        <w:rPr>
          <w:rFonts w:ascii="宋体" w:eastAsia="宋体"/>
          <w:spacing w:val="0"/>
          <w:szCs w:val="24"/>
        </w:rPr>
      </w:pPr>
      <w:r>
        <w:rPr>
          <w:rFonts w:ascii="宋体" w:eastAsia="宋体"/>
          <w:spacing w:val="0"/>
          <w:szCs w:val="24"/>
        </w:rPr>
        <w:t>3</w:t>
      </w:r>
      <w:r>
        <w:rPr>
          <w:rFonts w:hint="eastAsia" w:ascii="宋体" w:eastAsia="宋体"/>
          <w:spacing w:val="0"/>
          <w:szCs w:val="24"/>
        </w:rPr>
        <w:t>）允许推荐项目成员到与甲方合作良好的其他供应商任职或由甲方直接聘用。</w:t>
      </w:r>
      <w:r>
        <w:rPr>
          <w:rFonts w:ascii="宋体" w:eastAsia="宋体"/>
          <w:spacing w:val="0"/>
          <w:szCs w:val="24"/>
        </w:rPr>
        <w:t>因</w:t>
      </w:r>
      <w:r>
        <w:rPr>
          <w:rFonts w:hint="eastAsia" w:ascii="宋体" w:eastAsia="宋体"/>
          <w:spacing w:val="0"/>
          <w:szCs w:val="24"/>
        </w:rPr>
        <w:t>乙方原因</w:t>
      </w:r>
      <w:r>
        <w:rPr>
          <w:rFonts w:ascii="宋体" w:eastAsia="宋体"/>
          <w:spacing w:val="0"/>
          <w:szCs w:val="24"/>
        </w:rPr>
        <w:t>造成甲方损失的，乙方在双方协商后做出赔偿。</w:t>
      </w:r>
    </w:p>
    <w:p>
      <w:pPr>
        <w:ind w:firstLine="482" w:firstLineChars="200"/>
        <w:rPr>
          <w:rFonts w:ascii="宋体" w:hAnsi="宋体" w:eastAsia="宋体"/>
          <w:spacing w:val="0"/>
          <w:szCs w:val="24"/>
        </w:rPr>
      </w:pPr>
      <w:r>
        <w:rPr>
          <w:rFonts w:hint="eastAsia" w:ascii="宋体" w:hAnsi="宋体" w:eastAsia="宋体"/>
          <w:b/>
          <w:spacing w:val="0"/>
          <w:szCs w:val="24"/>
        </w:rPr>
        <w:t>四、应急处理阶段</w:t>
      </w:r>
    </w:p>
    <w:p>
      <w:pPr>
        <w:ind w:firstLine="482" w:firstLineChars="200"/>
        <w:rPr>
          <w:rFonts w:ascii="宋体" w:hAnsi="宋体" w:eastAsia="宋体"/>
          <w:b/>
          <w:spacing w:val="0"/>
          <w:szCs w:val="24"/>
        </w:rPr>
      </w:pPr>
      <w:r>
        <w:rPr>
          <w:rFonts w:hint="eastAsia" w:ascii="宋体" w:hAnsi="宋体" w:eastAsia="宋体"/>
          <w:b/>
          <w:spacing w:val="0"/>
          <w:szCs w:val="24"/>
        </w:rPr>
        <w:t>（一）项目实施过程中应急服务</w:t>
      </w:r>
    </w:p>
    <w:p>
      <w:pPr>
        <w:spacing w:line="360" w:lineRule="auto"/>
        <w:ind w:firstLine="559" w:firstLineChars="233"/>
        <w:rPr>
          <w:rFonts w:ascii="宋体" w:eastAsia="宋体"/>
          <w:spacing w:val="0"/>
          <w:szCs w:val="24"/>
        </w:rPr>
      </w:pPr>
      <w:r>
        <w:rPr>
          <w:rFonts w:hint="eastAsia" w:ascii="宋体" w:eastAsia="宋体"/>
          <w:spacing w:val="0"/>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pPr>
        <w:spacing w:line="360" w:lineRule="auto"/>
        <w:ind w:firstLine="559" w:firstLineChars="233"/>
        <w:rPr>
          <w:rFonts w:ascii="宋体" w:eastAsia="宋体"/>
          <w:spacing w:val="0"/>
          <w:szCs w:val="24"/>
        </w:rPr>
      </w:pPr>
      <w:r>
        <w:rPr>
          <w:rFonts w:hint="eastAsia" w:ascii="宋体" w:eastAsia="宋体"/>
          <w:spacing w:val="0"/>
          <w:szCs w:val="24"/>
        </w:rPr>
        <w:t>在应急事件处理完毕后，由乙方应急小组</w:t>
      </w:r>
      <w:r>
        <w:rPr>
          <w:rFonts w:ascii="宋体" w:eastAsia="宋体"/>
          <w:spacing w:val="0"/>
          <w:szCs w:val="24"/>
        </w:rPr>
        <w:t>对事件发生原因、性质、影响、后果、责任及应急处置能力、恢复重建等问题进行全面调查评估，总结经验教训，完善应急处理预案，整改</w:t>
      </w:r>
      <w:r>
        <w:rPr>
          <w:rFonts w:hint="eastAsia" w:ascii="宋体" w:eastAsia="宋体"/>
          <w:spacing w:val="0"/>
          <w:szCs w:val="24"/>
        </w:rPr>
        <w:t>项目服务过程中</w:t>
      </w:r>
      <w:r>
        <w:rPr>
          <w:rFonts w:ascii="宋体" w:eastAsia="宋体"/>
          <w:spacing w:val="0"/>
          <w:szCs w:val="24"/>
        </w:rPr>
        <w:t>存在的隐患</w:t>
      </w:r>
      <w:r>
        <w:rPr>
          <w:rFonts w:hint="eastAsia" w:ascii="宋体" w:eastAsia="宋体"/>
          <w:spacing w:val="0"/>
          <w:szCs w:val="24"/>
        </w:rPr>
        <w:t>问题</w:t>
      </w:r>
      <w:r>
        <w:rPr>
          <w:rFonts w:ascii="宋体" w:eastAsia="宋体"/>
          <w:spacing w:val="0"/>
          <w:szCs w:val="24"/>
        </w:rPr>
        <w:t>。</w:t>
      </w:r>
    </w:p>
    <w:p>
      <w:pPr>
        <w:ind w:firstLine="482" w:firstLineChars="200"/>
        <w:rPr>
          <w:rFonts w:ascii="宋体" w:hAnsi="宋体" w:eastAsia="宋体"/>
          <w:b/>
          <w:spacing w:val="0"/>
          <w:szCs w:val="24"/>
        </w:rPr>
      </w:pPr>
      <w:r>
        <w:rPr>
          <w:rFonts w:hint="eastAsia" w:ascii="宋体" w:hAnsi="宋体" w:eastAsia="宋体"/>
          <w:b/>
          <w:spacing w:val="0"/>
          <w:szCs w:val="24"/>
        </w:rPr>
        <w:t>（二）系统上线后应急服务</w:t>
      </w:r>
    </w:p>
    <w:p>
      <w:pPr>
        <w:spacing w:line="360" w:lineRule="auto"/>
        <w:ind w:firstLine="559" w:firstLineChars="233"/>
        <w:rPr>
          <w:rFonts w:ascii="宋体" w:eastAsia="宋体"/>
          <w:spacing w:val="0"/>
          <w:szCs w:val="24"/>
        </w:rPr>
      </w:pPr>
      <w:r>
        <w:rPr>
          <w:rFonts w:hint="eastAsia" w:ascii="宋体" w:eastAsia="宋体"/>
          <w:spacing w:val="0"/>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pPr>
        <w:spacing w:line="360" w:lineRule="auto"/>
        <w:ind w:firstLine="559" w:firstLineChars="233"/>
        <w:rPr>
          <w:rFonts w:ascii="宋体" w:eastAsia="宋体"/>
          <w:spacing w:val="0"/>
          <w:szCs w:val="24"/>
        </w:rPr>
      </w:pPr>
      <w:r>
        <w:rPr>
          <w:rFonts w:hint="eastAsia" w:ascii="宋体" w:eastAsia="宋体"/>
          <w:spacing w:val="0"/>
          <w:szCs w:val="24"/>
        </w:rPr>
        <w:t>姓名:        手机号码：        邮箱：</w:t>
      </w:r>
    </w:p>
    <w:p>
      <w:pPr>
        <w:spacing w:line="360" w:lineRule="auto"/>
        <w:ind w:firstLine="559" w:firstLineChars="233"/>
        <w:rPr>
          <w:rFonts w:ascii="宋体" w:eastAsia="宋体"/>
          <w:spacing w:val="0"/>
          <w:szCs w:val="24"/>
        </w:rPr>
      </w:pPr>
      <w:r>
        <w:rPr>
          <w:rFonts w:hint="eastAsia" w:ascii="宋体" w:eastAsia="宋体"/>
          <w:spacing w:val="0"/>
          <w:szCs w:val="24"/>
        </w:rPr>
        <w:t>姓名:        手机号码：        邮箱：</w:t>
      </w:r>
    </w:p>
    <w:p>
      <w:pPr>
        <w:spacing w:line="360" w:lineRule="auto"/>
        <w:rPr>
          <w:rStyle w:val="36"/>
          <w:rFonts w:ascii="宋体" w:eastAsia="宋体"/>
          <w:spacing w:val="0"/>
          <w:kern w:val="0"/>
        </w:rPr>
      </w:pPr>
    </w:p>
    <w:p>
      <w:pPr>
        <w:rPr>
          <w:rFonts w:ascii="Times New Roman" w:hAnsi="Times New Roman"/>
          <w:color w:val="auto"/>
          <w:highlight w:val="none"/>
          <w:shd w:val="clear" w:color="auto" w:fill="auto"/>
        </w:rPr>
      </w:pP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pPr>
        <w:pStyle w:val="2"/>
        <w:rPr>
          <w:rFonts w:ascii="Times New Roman" w:hAnsi="Times New Roman"/>
          <w:color w:val="auto"/>
          <w:highlight w:val="none"/>
          <w:shd w:val="clear" w:color="auto" w:fill="auto"/>
        </w:rPr>
      </w:pPr>
      <w:bookmarkStart w:id="357" w:name="_Toc27694"/>
      <w:bookmarkStart w:id="358" w:name="_Toc8818"/>
      <w:r>
        <w:rPr>
          <w:rFonts w:hint="eastAsia" w:ascii="Times New Roman" w:hAnsi="Times New Roman"/>
          <w:color w:val="auto"/>
          <w:highlight w:val="none"/>
          <w:shd w:val="clear" w:color="auto" w:fill="auto"/>
        </w:rPr>
        <w:t>第六章 参选文件</w:t>
      </w:r>
      <w:bookmarkEnd w:id="338"/>
      <w:bookmarkEnd w:id="339"/>
      <w:bookmarkStart w:id="359" w:name="_Toc303066035"/>
      <w:r>
        <w:rPr>
          <w:rFonts w:hint="eastAsia" w:ascii="Times New Roman" w:hAnsi="Times New Roman"/>
          <w:color w:val="auto"/>
          <w:highlight w:val="none"/>
          <w:shd w:val="clear" w:color="auto" w:fill="auto"/>
        </w:rPr>
        <w:t>格式</w:t>
      </w:r>
      <w:bookmarkEnd w:id="357"/>
      <w:bookmarkEnd w:id="358"/>
    </w:p>
    <w:bookmarkEnd w:id="359"/>
    <w:p>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shd w:val="clear" w:color="auto" w:fill="auto"/>
        </w:rPr>
      </w:pPr>
    </w:p>
    <w:p>
      <w:pPr>
        <w:spacing w:line="360" w:lineRule="auto"/>
        <w:ind w:firstLine="0" w:firstLineChars="0"/>
        <w:jc w:val="center"/>
        <w:rPr>
          <w:rFonts w:ascii="Times New Roman" w:hAnsi="Times New Roman" w:cs="Times New Roman"/>
          <w:b/>
          <w:snapToGrid w:val="0"/>
          <w:color w:val="auto"/>
          <w:kern w:val="0"/>
          <w:sz w:val="44"/>
          <w:szCs w:val="44"/>
          <w:highlight w:val="none"/>
          <w:u w:val="none"/>
          <w:shd w:val="clear" w:color="auto" w:fill="auto"/>
        </w:rPr>
      </w:pPr>
      <w:r>
        <w:rPr>
          <w:rFonts w:hint="eastAsia" w:ascii="Times New Roman" w:hAnsi="Times New Roman" w:cs="Times New Roman"/>
          <w:b/>
          <w:snapToGrid w:val="0"/>
          <w:color w:val="auto"/>
          <w:kern w:val="0"/>
          <w:sz w:val="44"/>
          <w:szCs w:val="44"/>
          <w:highlight w:val="none"/>
          <w:u w:val="none"/>
          <w:shd w:val="clear" w:color="auto" w:fill="auto"/>
        </w:rPr>
        <w:t>重庆三峡银行</w:t>
      </w:r>
    </w:p>
    <w:p>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szCs w:val="44"/>
          <w:highlight w:val="none"/>
          <w:u w:val="none"/>
          <w:shd w:val="clear" w:color="auto" w:fill="auto"/>
        </w:rPr>
      </w:pPr>
      <w:r>
        <w:rPr>
          <w:rFonts w:hint="eastAsia" w:ascii="Times New Roman" w:hAnsi="Times New Roman" w:cs="Times New Roman"/>
          <w:b/>
          <w:snapToGrid w:val="0"/>
          <w:color w:val="auto"/>
          <w:kern w:val="0"/>
          <w:sz w:val="44"/>
          <w:szCs w:val="44"/>
          <w:highlight w:val="none"/>
          <w:u w:val="none"/>
          <w:shd w:val="clear" w:color="auto" w:fill="auto"/>
          <w:lang w:val="en-US" w:eastAsia="zh-CN"/>
        </w:rPr>
        <w:t>第三代手机银行</w:t>
      </w:r>
      <w:r>
        <w:rPr>
          <w:rFonts w:hint="eastAsia" w:ascii="Times New Roman" w:hAnsi="Times New Roman" w:cs="Times New Roman"/>
          <w:b/>
          <w:snapToGrid w:val="0"/>
          <w:color w:val="auto"/>
          <w:kern w:val="0"/>
          <w:sz w:val="44"/>
          <w:szCs w:val="44"/>
          <w:highlight w:val="none"/>
          <w:u w:val="none"/>
          <w:shd w:val="clear" w:color="auto" w:fill="auto"/>
        </w:rPr>
        <w:t>项目</w:t>
      </w:r>
    </w:p>
    <w:p>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shd w:val="clear" w:color="auto" w:fill="auto"/>
        </w:rPr>
      </w:pPr>
      <w:r>
        <w:rPr>
          <w:rFonts w:hint="eastAsia" w:ascii="Times New Roman" w:hAnsi="Times New Roman"/>
          <w:b/>
          <w:color w:val="auto"/>
          <w:kern w:val="0"/>
          <w:sz w:val="84"/>
          <w:highlight w:val="none"/>
          <w:shd w:val="clear" w:color="auto" w:fill="auto"/>
        </w:rPr>
        <w:t>参  选  文  件</w:t>
      </w:r>
    </w:p>
    <w:p>
      <w:pPr>
        <w:adjustRightInd w:val="0"/>
        <w:snapToGrid w:val="0"/>
        <w:spacing w:line="360" w:lineRule="auto"/>
        <w:ind w:firstLine="0" w:firstLineChars="0"/>
        <w:jc w:val="center"/>
        <w:rPr>
          <w:rFonts w:ascii="Times New Roman" w:hAnsi="Times New Roman"/>
          <w:color w:val="auto"/>
          <w:kern w:val="0"/>
          <w:sz w:val="16"/>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（盖单位公章）</w:t>
      </w:r>
    </w:p>
    <w:p>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t>法定代表人</w:t>
      </w:r>
      <w:r>
        <w:rPr>
          <w:rFonts w:hint="eastAsia" w:ascii="Times New Roman" w:hAnsi="Times New Roman"/>
          <w:color w:val="auto"/>
          <w:highlight w:val="none"/>
          <w:shd w:val="clear" w:color="auto" w:fill="auto"/>
        </w:rPr>
        <w:t>/委托代理人：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（签字）</w:t>
      </w:r>
    </w:p>
    <w:p>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shd w:val="clear" w:color="auto" w:fill="auto"/>
        </w:rPr>
      </w:pPr>
    </w:p>
    <w:p>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sectPr>
          <w:headerReference r:id="rId6" w:type="default"/>
          <w:footerReference r:id="rId7" w:type="default"/>
          <w:pgSz w:w="11906" w:h="16838"/>
          <w:pgMar w:top="1440" w:right="1800" w:bottom="1440" w:left="1800" w:header="851" w:footer="992" w:gutter="0"/>
          <w:pgNumType w:fmt="numberInDash" w:start="1"/>
          <w:cols w:space="720" w:num="1"/>
          <w:docGrid w:type="lines" w:linePitch="312" w:charSpace="0"/>
        </w:sectPr>
      </w:pPr>
    </w:p>
    <w:p>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shd w:val="clear" w:color="auto" w:fill="auto"/>
        </w:rPr>
      </w:pPr>
      <w:bookmarkStart w:id="360" w:name="_Toc19433"/>
      <w:r>
        <w:rPr>
          <w:rFonts w:hint="eastAsia" w:ascii="Times New Roman" w:hAnsi="Times New Roman"/>
          <w:b/>
          <w:snapToGrid w:val="0"/>
          <w:color w:val="auto"/>
          <w:kern w:val="0"/>
          <w:sz w:val="36"/>
          <w:szCs w:val="28"/>
          <w:highlight w:val="none"/>
          <w:shd w:val="clear" w:color="auto" w:fill="auto"/>
        </w:rPr>
        <w:t>目  录</w:t>
      </w:r>
      <w:bookmarkEnd w:id="360"/>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一</w:t>
      </w:r>
      <w:r>
        <w:rPr>
          <w:rFonts w:hint="eastAsia" w:ascii="Times New Roman" w:hAnsi="Times New Roman"/>
          <w:color w:val="auto"/>
          <w:highlight w:val="none"/>
          <w:shd w:val="clear" w:color="auto" w:fill="auto"/>
        </w:rPr>
        <w:t>、参选函</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二、</w:t>
      </w:r>
      <w:r>
        <w:rPr>
          <w:rFonts w:hint="eastAsia" w:ascii="Times New Roman" w:hAnsi="Times New Roman"/>
          <w:color w:val="auto"/>
          <w:highlight w:val="none"/>
          <w:shd w:val="clear" w:color="auto" w:fill="auto"/>
          <w:lang w:val="en-US" w:eastAsia="zh-CN"/>
        </w:rPr>
        <w:t>报价一览</w:t>
      </w:r>
      <w:r>
        <w:rPr>
          <w:rFonts w:hint="eastAsia" w:ascii="Times New Roman" w:hAnsi="Times New Roman"/>
          <w:color w:val="auto"/>
          <w:highlight w:val="none"/>
          <w:shd w:val="clear" w:color="auto" w:fill="auto"/>
        </w:rPr>
        <w:t>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三、资格性文件</w:t>
      </w:r>
    </w:p>
    <w:p>
      <w:pPr>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（一）参选人基本情况介绍，资质证明等</w:t>
      </w:r>
    </w:p>
    <w:p>
      <w:pPr>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（二）法定代表人身份证明及授权委托书</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（三）书面声明</w:t>
      </w:r>
    </w:p>
    <w:p>
      <w:pPr>
        <w:rPr>
          <w:rFonts w:ascii="Times New Roman" w:hAnsi="Times New Roman"/>
          <w:color w:val="auto"/>
          <w:highlight w:val="none"/>
          <w:shd w:val="clear" w:color="auto" w:fill="auto"/>
        </w:rPr>
      </w:pP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p>
    <w:p>
      <w:pPr>
        <w:rPr>
          <w:rFonts w:hint="eastAsia" w:ascii="Times New Roman" w:hAnsi="Times New Roman" w:eastAsia="宋体"/>
          <w:color w:val="auto"/>
          <w:highlight w:val="none"/>
          <w:shd w:val="clear" w:color="auto" w:fill="auto"/>
          <w:lang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第三方软件产品的原厂商授权书或确认函</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如有</w:t>
      </w:r>
      <w:r>
        <w:rPr>
          <w:rFonts w:hint="eastAsia" w:ascii="Times New Roman" w:hAnsi="Times New Roman"/>
          <w:color w:val="auto"/>
          <w:highlight w:val="none"/>
          <w:shd w:val="clear" w:color="auto" w:fill="auto"/>
          <w:lang w:eastAsia="zh-CN"/>
        </w:rPr>
        <w:t>）</w:t>
      </w:r>
    </w:p>
    <w:p>
      <w:pPr>
        <w:rPr>
          <w:rFonts w:hint="default"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rPr>
        <w:t>四、响应</w:t>
      </w:r>
      <w:r>
        <w:rPr>
          <w:rFonts w:hint="eastAsia" w:ascii="Times New Roman" w:hAnsi="Times New Roman"/>
          <w:color w:val="auto"/>
          <w:highlight w:val="none"/>
          <w:shd w:val="clear" w:color="auto" w:fill="auto"/>
          <w:lang w:val="en-US" w:eastAsia="zh-CN"/>
        </w:rPr>
        <w:t>性文件</w:t>
      </w: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（一）响应承诺函</w:t>
      </w:r>
    </w:p>
    <w:p>
      <w:pPr>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二</w:t>
      </w:r>
      <w:r>
        <w:rPr>
          <w:rFonts w:hint="eastAsia" w:ascii="Times New Roman" w:hAnsi="Times New Roman"/>
          <w:color w:val="auto"/>
          <w:highlight w:val="none"/>
          <w:shd w:val="clear" w:color="auto" w:fill="auto"/>
          <w:lang w:eastAsia="zh-CN"/>
        </w:rPr>
        <w:t>）近半年公司为项目组成员缴纳社保的证明材料</w:t>
      </w:r>
    </w:p>
    <w:p>
      <w:pPr>
        <w:rPr>
          <w:rFonts w:hint="eastAsia" w:ascii="Times New Roman" w:hAnsi="Times New Roman"/>
          <w:snapToGrid w:val="0"/>
          <w:color w:val="auto"/>
          <w:kern w:val="0"/>
          <w:highlight w:val="none"/>
          <w:shd w:val="clear" w:color="auto" w:fill="auto"/>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三</w:t>
      </w:r>
      <w:r>
        <w:rPr>
          <w:rFonts w:hint="eastAsia" w:ascii="Times New Roman" w:hAnsi="Times New Roman"/>
          <w:color w:val="auto"/>
          <w:highlight w:val="none"/>
          <w:shd w:val="clear" w:color="auto" w:fill="auto"/>
          <w:lang w:eastAsia="zh-CN"/>
        </w:rPr>
        <w:t>）</w:t>
      </w:r>
      <w:r>
        <w:rPr>
          <w:rFonts w:hint="eastAsia" w:ascii="Times New Roman" w:hAnsi="Times New Roman"/>
          <w:snapToGrid w:val="0"/>
          <w:color w:val="auto"/>
          <w:kern w:val="0"/>
          <w:highlight w:val="none"/>
          <w:shd w:val="clear" w:color="auto" w:fill="auto"/>
        </w:rPr>
        <w:t>项目组成员简历信息</w:t>
      </w:r>
    </w:p>
    <w:p>
      <w:pPr>
        <w:rPr>
          <w:rFonts w:hint="eastAsia"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lang w:eastAsia="zh-CN"/>
        </w:rPr>
        <w:t>（</w:t>
      </w:r>
      <w:r>
        <w:rPr>
          <w:rFonts w:hint="eastAsia" w:ascii="Times New Roman" w:hAnsi="Times New Roman"/>
          <w:snapToGrid w:val="0"/>
          <w:color w:val="auto"/>
          <w:kern w:val="0"/>
          <w:highlight w:val="none"/>
          <w:shd w:val="clear" w:color="auto" w:fill="auto"/>
          <w:lang w:val="en-US" w:eastAsia="zh-CN"/>
        </w:rPr>
        <w:t>四</w:t>
      </w:r>
      <w:r>
        <w:rPr>
          <w:rFonts w:hint="eastAsia" w:ascii="Times New Roman" w:hAnsi="Times New Roman"/>
          <w:snapToGrid w:val="0"/>
          <w:color w:val="auto"/>
          <w:kern w:val="0"/>
          <w:highlight w:val="none"/>
          <w:shd w:val="clear" w:color="auto" w:fill="auto"/>
          <w:lang w:eastAsia="zh-CN"/>
        </w:rPr>
        <w:t>）</w:t>
      </w:r>
      <w:r>
        <w:rPr>
          <w:rFonts w:hint="eastAsia" w:ascii="Times New Roman" w:hAnsi="Times New Roman"/>
          <w:color w:val="auto"/>
          <w:highlight w:val="none"/>
          <w:shd w:val="clear" w:color="auto" w:fill="auto"/>
        </w:rPr>
        <w:t>项目实施要求</w:t>
      </w:r>
    </w:p>
    <w:p>
      <w:pPr>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五</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售后</w:t>
      </w:r>
      <w:r>
        <w:rPr>
          <w:rFonts w:hint="eastAsia" w:ascii="Times New Roman" w:hAnsi="Times New Roman"/>
          <w:color w:val="auto"/>
          <w:highlight w:val="none"/>
          <w:shd w:val="clear" w:color="auto" w:fill="auto"/>
        </w:rPr>
        <w:t>服务和支持</w:t>
      </w:r>
      <w:r>
        <w:rPr>
          <w:rFonts w:hint="eastAsia" w:ascii="Times New Roman" w:hAnsi="Times New Roman"/>
          <w:color w:val="auto"/>
          <w:highlight w:val="none"/>
          <w:shd w:val="clear" w:color="auto" w:fill="auto"/>
          <w:lang w:val="en-US" w:eastAsia="zh-CN"/>
        </w:rPr>
        <w:t>方案</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rPr>
        <w:t>服务连续性预案</w:t>
      </w:r>
    </w:p>
    <w:p>
      <w:pPr>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rPr>
        <w:t>项目实施方案</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五、参选保证金</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六、服务水平协议（SLA）</w:t>
      </w:r>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七、管理资质</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八、</w:t>
      </w:r>
      <w:r>
        <w:rPr>
          <w:rFonts w:hint="eastAsia" w:ascii="Times New Roman" w:hAnsi="Times New Roman"/>
          <w:color w:val="auto"/>
          <w:highlight w:val="none"/>
          <w:shd w:val="clear" w:color="auto" w:fill="auto"/>
        </w:rPr>
        <w:t>服务能力要求</w:t>
      </w:r>
      <w:r>
        <w:rPr>
          <w:rFonts w:hint="eastAsia" w:ascii="Times New Roman" w:hAnsi="Times New Roman"/>
          <w:color w:val="auto"/>
          <w:highlight w:val="none"/>
          <w:shd w:val="clear" w:color="auto" w:fill="auto"/>
          <w:lang w:val="en-US" w:eastAsia="zh-CN"/>
        </w:rPr>
        <w:t>相关资料</w:t>
      </w: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九</w:t>
      </w:r>
      <w:r>
        <w:rPr>
          <w:rFonts w:hint="eastAsia" w:ascii="Times New Roman" w:hAnsi="Times New Roman"/>
          <w:color w:val="auto"/>
          <w:highlight w:val="none"/>
          <w:shd w:val="clear" w:color="auto" w:fill="auto"/>
        </w:rPr>
        <w:t>、其他（</w:t>
      </w:r>
      <w:r>
        <w:rPr>
          <w:rFonts w:ascii="Times New Roman" w:hAnsi="Times New Roman"/>
          <w:color w:val="auto"/>
          <w:highlight w:val="none"/>
          <w:shd w:val="clear" w:color="auto" w:fill="auto"/>
        </w:rPr>
        <w:t>如有</w:t>
      </w:r>
      <w:r>
        <w:rPr>
          <w:rFonts w:hint="eastAsia" w:ascii="Times New Roman" w:hAnsi="Times New Roman"/>
          <w:color w:val="auto"/>
          <w:highlight w:val="none"/>
          <w:shd w:val="clear" w:color="auto" w:fill="auto"/>
        </w:rPr>
        <w:t>）</w:t>
      </w:r>
    </w:p>
    <w:p>
      <w:pPr>
        <w:spacing w:line="360" w:lineRule="auto"/>
        <w:ind w:firstLine="0" w:firstLineChars="0"/>
        <w:rPr>
          <w:rFonts w:ascii="Times New Roman" w:hAnsi="Times New Roman" w:cs="宋体"/>
          <w:color w:val="auto"/>
          <w:highlight w:val="none"/>
          <w:shd w:val="clear" w:color="auto" w:fill="auto"/>
        </w:rPr>
      </w:pPr>
    </w:p>
    <w:p>
      <w:pPr>
        <w:spacing w:line="240" w:lineRule="auto"/>
        <w:ind w:firstLine="0" w:firstLineChars="0"/>
        <w:jc w:val="left"/>
        <w:outlineLvl w:val="9"/>
        <w:rPr>
          <w:rStyle w:val="26"/>
          <w:rFonts w:hint="eastAsia" w:ascii="Times New Roman" w:hAnsi="Times New Roman"/>
          <w:color w:val="auto"/>
          <w:highlight w:val="none"/>
          <w:shd w:val="clear" w:color="auto" w:fill="auto"/>
        </w:rPr>
      </w:pPr>
      <w:r>
        <w:rPr>
          <w:rStyle w:val="26"/>
          <w:rFonts w:hint="eastAsia" w:ascii="Times New Roman" w:hAnsi="Times New Roman"/>
          <w:color w:val="auto"/>
          <w:highlight w:val="none"/>
          <w:shd w:val="clear" w:color="auto" w:fill="auto"/>
        </w:rPr>
        <w:br w:type="page"/>
      </w:r>
    </w:p>
    <w:p>
      <w:pPr>
        <w:spacing w:line="360" w:lineRule="auto"/>
        <w:ind w:firstLine="0" w:firstLineChars="0"/>
        <w:jc w:val="center"/>
        <w:outlineLvl w:val="1"/>
        <w:rPr>
          <w:rStyle w:val="26"/>
          <w:rFonts w:ascii="Times New Roman" w:hAnsi="Times New Roman"/>
          <w:color w:val="auto"/>
          <w:highlight w:val="none"/>
          <w:shd w:val="clear" w:color="auto" w:fill="auto"/>
        </w:rPr>
      </w:pPr>
      <w:bookmarkStart w:id="361" w:name="_Toc30287"/>
      <w:r>
        <w:rPr>
          <w:rStyle w:val="26"/>
          <w:rFonts w:hint="eastAsia" w:ascii="Times New Roman" w:hAnsi="Times New Roman"/>
          <w:color w:val="auto"/>
          <w:highlight w:val="none"/>
          <w:shd w:val="clear" w:color="auto" w:fill="auto"/>
        </w:rPr>
        <w:t>一、参选函</w:t>
      </w:r>
      <w:bookmarkEnd w:id="361"/>
    </w:p>
    <w:p>
      <w:pPr>
        <w:tabs>
          <w:tab w:val="left" w:pos="6300"/>
        </w:tabs>
        <w:snapToGrid w:val="0"/>
        <w:spacing w:line="360" w:lineRule="auto"/>
        <w:ind w:right="-34" w:rightChars="-14"/>
        <w:rPr>
          <w:rFonts w:ascii="Times New Roman" w:hAnsi="Times New Roman"/>
          <w:snapToGrid w:val="0"/>
          <w:color w:val="auto"/>
          <w:kern w:val="0"/>
          <w:szCs w:val="24"/>
          <w:highlight w:val="none"/>
          <w:u w:val="single"/>
          <w:shd w:val="clear" w:color="auto" w:fill="auto"/>
        </w:rPr>
      </w:pP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u w:val="single"/>
          <w:shd w:val="clear" w:color="auto" w:fill="auto"/>
        </w:rPr>
        <w:t>重庆三峡银行股份有限公司</w:t>
      </w:r>
      <w:r>
        <w:rPr>
          <w:rFonts w:hint="eastAsia" w:ascii="Times New Roman" w:hAnsi="Times New Roman"/>
          <w:snapToGrid w:val="0"/>
          <w:color w:val="auto"/>
          <w:kern w:val="0"/>
          <w:szCs w:val="24"/>
          <w:highlight w:val="none"/>
          <w:shd w:val="clear" w:color="auto" w:fill="auto"/>
        </w:rPr>
        <w:t>：</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我方收到___________________比选文件，经详细研究，决定参加该比选项目的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w:t>
      </w:r>
    </w:p>
    <w:p>
      <w:pPr>
        <w:tabs>
          <w:tab w:val="left" w:pos="6300"/>
        </w:tabs>
        <w:snapToGrid w:val="0"/>
        <w:spacing w:line="360" w:lineRule="auto"/>
        <w:ind w:right="-34" w:rightChars="-14" w:firstLine="573" w:firstLineChars="0"/>
        <w:rPr>
          <w:rFonts w:ascii="Times New Roman" w:hAnsi="Times New Roman"/>
          <w:b w:val="0"/>
          <w:bCs w:val="0"/>
          <w:snapToGrid w:val="0"/>
          <w:color w:val="auto"/>
          <w:kern w:val="0"/>
          <w:szCs w:val="24"/>
          <w:highlight w:val="none"/>
          <w:u w:val="none"/>
          <w:shd w:val="clear" w:color="auto" w:fill="auto"/>
        </w:rPr>
      </w:pPr>
      <w:r>
        <w:rPr>
          <w:rFonts w:hint="eastAsia" w:ascii="Times New Roman" w:hAnsi="Times New Roman"/>
          <w:snapToGrid w:val="0"/>
          <w:color w:val="auto"/>
          <w:kern w:val="0"/>
          <w:szCs w:val="24"/>
          <w:highlight w:val="none"/>
          <w:shd w:val="clear" w:color="auto" w:fill="auto"/>
        </w:rPr>
        <w:t>1、愿意按照比选文件中的一切要求，以人民币小写：</w:t>
      </w:r>
      <w:r>
        <w:rPr>
          <w:rFonts w:hint="eastAsia" w:ascii="Times New Roman" w:hAnsi="Times New Roman"/>
          <w:snapToGrid w:val="0"/>
          <w:color w:val="auto"/>
          <w:kern w:val="0"/>
          <w:szCs w:val="24"/>
          <w:highlight w:val="none"/>
          <w:u w:val="single"/>
          <w:shd w:val="clear" w:color="auto" w:fill="auto"/>
        </w:rPr>
        <w:t xml:space="preserve">          </w:t>
      </w:r>
      <w:r>
        <w:rPr>
          <w:rFonts w:hint="eastAsia" w:ascii="Times New Roman" w:hAnsi="Times New Roman"/>
          <w:snapToGrid w:val="0"/>
          <w:color w:val="auto"/>
          <w:kern w:val="0"/>
          <w:szCs w:val="24"/>
          <w:highlight w:val="none"/>
          <w:shd w:val="clear" w:color="auto" w:fill="auto"/>
        </w:rPr>
        <w:t>，人民币大写：</w:t>
      </w:r>
      <w:r>
        <w:rPr>
          <w:rFonts w:hint="eastAsia" w:ascii="Times New Roman" w:hAnsi="Times New Roman"/>
          <w:snapToGrid w:val="0"/>
          <w:color w:val="auto"/>
          <w:kern w:val="0"/>
          <w:szCs w:val="24"/>
          <w:highlight w:val="none"/>
          <w:u w:val="single"/>
          <w:shd w:val="clear" w:color="auto" w:fill="auto"/>
        </w:rPr>
        <w:t xml:space="preserve">          </w:t>
      </w:r>
      <w:r>
        <w:rPr>
          <w:rFonts w:hint="eastAsia" w:ascii="Times New Roman" w:hAnsi="Times New Roman"/>
          <w:snapToGrid w:val="0"/>
          <w:color w:val="auto"/>
          <w:kern w:val="0"/>
          <w:szCs w:val="24"/>
          <w:highlight w:val="none"/>
          <w:shd w:val="clear" w:color="auto" w:fill="auto"/>
        </w:rPr>
        <w:t>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总价（含税）承担和完成本项目</w:t>
      </w:r>
      <w:r>
        <w:rPr>
          <w:rFonts w:hint="eastAsia" w:ascii="Times New Roman" w:hAnsi="Times New Roman"/>
          <w:snapToGrid w:val="0"/>
          <w:color w:val="auto"/>
          <w:kern w:val="0"/>
          <w:szCs w:val="24"/>
          <w:highlight w:val="none"/>
          <w:u w:val="none"/>
          <w:shd w:val="clear" w:color="auto" w:fill="auto"/>
        </w:rPr>
        <w:t>。</w:t>
      </w:r>
      <w:r>
        <w:rPr>
          <w:rFonts w:hint="eastAsia" w:ascii="Times New Roman" w:hAnsi="Times New Roman"/>
          <w:snapToGrid w:val="0"/>
          <w:color w:val="auto"/>
          <w:kern w:val="0"/>
          <w:szCs w:val="24"/>
          <w:highlight w:val="none"/>
          <w:shd w:val="clear" w:color="auto" w:fill="auto"/>
        </w:rPr>
        <w:t>免费维保期</w:t>
      </w:r>
      <w:r>
        <w:rPr>
          <w:rFonts w:ascii="Times New Roman" w:hAnsi="Times New Roman"/>
          <w:snapToGrid w:val="0"/>
          <w:color w:val="auto"/>
          <w:kern w:val="0"/>
          <w:szCs w:val="24"/>
          <w:highlight w:val="none"/>
          <w:shd w:val="clear" w:color="auto" w:fill="auto"/>
        </w:rPr>
        <w:t>：</w:t>
      </w:r>
      <w:r>
        <w:rPr>
          <w:rFonts w:hint="eastAsia" w:ascii="Times New Roman" w:hAnsi="Times New Roman"/>
          <w:b w:val="0"/>
          <w:bCs w:val="0"/>
          <w:snapToGrid w:val="0"/>
          <w:color w:val="auto"/>
          <w:kern w:val="0"/>
          <w:szCs w:val="24"/>
          <w:highlight w:val="none"/>
          <w:u w:val="none"/>
          <w:shd w:val="clear" w:color="auto" w:fill="auto"/>
        </w:rPr>
        <w:t>_____；</w:t>
      </w:r>
      <w:r>
        <w:rPr>
          <w:rFonts w:hint="eastAsia" w:ascii="Times New Roman" w:hAnsi="Times New Roman"/>
          <w:b w:val="0"/>
          <w:bCs w:val="0"/>
          <w:snapToGrid w:val="0"/>
          <w:color w:val="auto"/>
          <w:kern w:val="0"/>
          <w:szCs w:val="24"/>
          <w:highlight w:val="none"/>
          <w:shd w:val="clear" w:color="auto" w:fill="auto"/>
        </w:rPr>
        <w:t>免费维保期后的维保费率：</w:t>
      </w:r>
      <w:r>
        <w:rPr>
          <w:rFonts w:hint="eastAsia" w:ascii="Times New Roman" w:hAnsi="Times New Roman"/>
          <w:b w:val="0"/>
          <w:bCs w:val="0"/>
          <w:snapToGrid w:val="0"/>
          <w:color w:val="auto"/>
          <w:kern w:val="0"/>
          <w:szCs w:val="24"/>
          <w:highlight w:val="none"/>
          <w:u w:val="none"/>
          <w:shd w:val="clear" w:color="auto" w:fill="auto"/>
        </w:rPr>
        <w:t>_____。</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2、我方现提交的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文件正本一份，副本一份，电子文件一份。</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3、如果我方</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文件被接受，我方将履行比选文件中规定的各项要求，按相关法律法规和合同约定条款承担我方的责任。</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4、我方愿意提供比选文件中要求的所有资料，并对其真实性负责。</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5、我方理解最低价格不是中选的唯一条件。</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6、</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有效期为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截止日期后90天内。</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7、若我方中选，我方开具税率为______%的增值税专用发票。</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人（公章）：</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地址：  </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电话：                           传真：</w:t>
      </w:r>
    </w:p>
    <w:p>
      <w:pPr>
        <w:tabs>
          <w:tab w:val="left" w:pos="6300"/>
        </w:tabs>
        <w:snapToGrid w:val="0"/>
        <w:spacing w:line="360" w:lineRule="auto"/>
        <w:ind w:right="-34" w:rightChars="-14"/>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网址：                         </w:t>
      </w:r>
    </w:p>
    <w:p>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年     月     日</w:t>
      </w: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pStyle w:val="3"/>
        <w:ind w:left="0" w:firstLine="562" w:firstLineChars="200"/>
        <w:jc w:val="center"/>
        <w:rPr>
          <w:rFonts w:hint="eastAsia" w:ascii="Times New Roman" w:hAnsi="Times New Roman"/>
          <w:color w:val="auto"/>
          <w:kern w:val="0"/>
          <w:highlight w:val="none"/>
          <w:shd w:val="clear" w:color="auto" w:fill="auto"/>
        </w:rPr>
      </w:pPr>
      <w:bookmarkStart w:id="362" w:name="_Toc21257"/>
      <w:r>
        <w:rPr>
          <w:rFonts w:hint="eastAsia" w:ascii="Times New Roman" w:hAnsi="Times New Roman" w:cs="Cambria"/>
          <w:bCs w:val="0"/>
          <w:snapToGrid/>
          <w:color w:val="auto"/>
          <w:sz w:val="28"/>
          <w:szCs w:val="28"/>
          <w:highlight w:val="none"/>
          <w:shd w:val="clear" w:color="auto" w:fill="auto"/>
          <w:lang w:val="en-US" w:eastAsia="zh-CN"/>
        </w:rPr>
        <w:t>二、</w:t>
      </w:r>
      <w:r>
        <w:rPr>
          <w:rFonts w:hint="eastAsia" w:ascii="Times New Roman" w:hAnsi="Times New Roman" w:cs="Cambria"/>
          <w:bCs w:val="0"/>
          <w:snapToGrid/>
          <w:color w:val="auto"/>
          <w:sz w:val="28"/>
          <w:szCs w:val="28"/>
          <w:highlight w:val="none"/>
          <w:shd w:val="clear" w:color="auto" w:fill="auto"/>
        </w:rPr>
        <w:t>报价一览表</w:t>
      </w:r>
      <w:bookmarkEnd w:id="362"/>
    </w:p>
    <w:p>
      <w:pPr>
        <w:tabs>
          <w:tab w:val="left" w:pos="6300"/>
        </w:tabs>
        <w:snapToGrid w:val="0"/>
        <w:spacing w:line="360" w:lineRule="auto"/>
        <w:jc w:val="center"/>
        <w:rPr>
          <w:rFonts w:hint="eastAsia" w:ascii="Times New Roman" w:hAnsi="Times New Roman"/>
          <w:b/>
          <w:snapToGrid w:val="0"/>
          <w:color w:val="auto"/>
          <w:kern w:val="0"/>
          <w:sz w:val="36"/>
          <w:szCs w:val="28"/>
          <w:highlight w:val="none"/>
          <w:shd w:val="clear" w:color="auto" w:fill="auto"/>
        </w:rPr>
      </w:pPr>
    </w:p>
    <w:tbl>
      <w:tblPr>
        <w:tblStyle w:val="20"/>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4020"/>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cs="Cambria"/>
                <w:snapToGrid w:val="0"/>
                <w:color w:val="auto"/>
                <w:kern w:val="0"/>
                <w:sz w:val="24"/>
                <w:szCs w:val="24"/>
                <w:highlight w:val="none"/>
                <w:shd w:val="clear" w:color="auto" w:fill="auto"/>
              </w:rPr>
              <w:t>参选</w:t>
            </w:r>
            <w:r>
              <w:rPr>
                <w:rFonts w:hint="eastAsia" w:ascii="Times New Roman" w:hAnsi="Times New Roman"/>
                <w:snapToGrid w:val="0"/>
                <w:color w:val="auto"/>
                <w:kern w:val="0"/>
                <w:sz w:val="24"/>
                <w:szCs w:val="24"/>
                <w:highlight w:val="none"/>
                <w:shd w:val="clear" w:color="auto" w:fill="auto"/>
              </w:rPr>
              <w:t>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比选项目名称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color w:val="auto"/>
                <w:sz w:val="24"/>
                <w:szCs w:val="24"/>
                <w:highlight w:val="none"/>
                <w:shd w:val="clear" w:color="auto" w:fill="auto"/>
              </w:rPr>
            </w:pPr>
            <w:r>
              <w:rPr>
                <w:rFonts w:hint="eastAsia" w:ascii="Times New Roman" w:hAnsi="Times New Roman"/>
                <w:snapToGrid w:val="0"/>
                <w:color w:val="auto"/>
                <w:sz w:val="24"/>
                <w:szCs w:val="24"/>
                <w:highlight w:val="none"/>
                <w:shd w:val="clear" w:color="auto" w:fill="auto"/>
              </w:rPr>
              <w:t>参选</w:t>
            </w:r>
            <w:r>
              <w:rPr>
                <w:rFonts w:hint="eastAsia" w:ascii="Times New Roman" w:hAnsi="Times New Roman"/>
                <w:color w:val="auto"/>
                <w:sz w:val="24"/>
                <w:szCs w:val="24"/>
                <w:highlight w:val="none"/>
                <w:shd w:val="clear" w:color="auto" w:fill="auto"/>
              </w:rPr>
              <w:t>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6975" w:type="dxa"/>
            <w:gridSpan w:val="2"/>
            <w:tcBorders>
              <w:top w:val="single" w:color="auto" w:sz="4" w:space="0"/>
              <w:left w:val="single" w:color="auto" w:sz="4" w:space="0"/>
              <w:right w:val="single" w:color="auto" w:sz="4" w:space="0"/>
            </w:tcBorders>
            <w:vAlign w:val="center"/>
          </w:tcPr>
          <w:p>
            <w:pPr>
              <w:spacing w:line="360" w:lineRule="auto"/>
              <w:rPr>
                <w:rFonts w:hint="eastAsia"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产品报价：</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color w:val="auto"/>
                <w:sz w:val="24"/>
                <w:szCs w:val="24"/>
                <w:highlight w:val="none"/>
                <w:shd w:val="clear" w:color="auto" w:fill="auto"/>
              </w:rPr>
            </w:pPr>
            <w:r>
              <w:rPr>
                <w:rFonts w:ascii="Times New Roman" w:hAnsi="Times New Roman"/>
                <w:color w:val="auto"/>
                <w:sz w:val="24"/>
                <w:szCs w:val="24"/>
                <w:highlight w:val="none"/>
                <w:shd w:val="clear" w:color="auto" w:fill="auto"/>
              </w:rPr>
              <w:t>税率</w:t>
            </w:r>
            <w:r>
              <w:rPr>
                <w:rFonts w:hint="eastAsia" w:ascii="Times New Roman" w:hAnsi="Times New Roman"/>
                <w:color w:val="auto"/>
                <w:sz w:val="24"/>
                <w:szCs w:val="24"/>
                <w:highlight w:val="none"/>
                <w:shd w:val="clear" w:color="auto" w:fill="auto"/>
              </w:rPr>
              <w:t>：1</w:t>
            </w:r>
            <w:r>
              <w:rPr>
                <w:rFonts w:ascii="Times New Roman" w:hAnsi="Times New Roman"/>
                <w:color w:val="auto"/>
                <w:sz w:val="24"/>
                <w:szCs w:val="24"/>
                <w:highlight w:val="none"/>
                <w:shd w:val="clear" w:color="auto" w:fill="auto"/>
              </w:rPr>
              <w:t>3</w:t>
            </w:r>
            <w:r>
              <w:rPr>
                <w:rFonts w:hint="eastAsia" w:ascii="Times New Roman" w:hAnsi="Times New Roman"/>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75" w:type="dxa"/>
            <w:gridSpan w:val="2"/>
            <w:tcBorders>
              <w:left w:val="single" w:color="auto" w:sz="4" w:space="0"/>
              <w:bottom w:val="single" w:color="auto" w:sz="4" w:space="0"/>
              <w:right w:val="single" w:color="auto" w:sz="4" w:space="0"/>
            </w:tcBorders>
            <w:vAlign w:val="center"/>
          </w:tcPr>
          <w:p>
            <w:pPr>
              <w:spacing w:line="360" w:lineRule="auto"/>
              <w:rPr>
                <w:rFonts w:hint="eastAsia"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定制开发报价：</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税率：6%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snapToGrid w:val="0"/>
                <w:color w:val="auto"/>
                <w:kern w:val="0"/>
                <w:sz w:val="24"/>
                <w:szCs w:val="24"/>
                <w:highlight w:val="none"/>
                <w:shd w:val="clear" w:color="auto" w:fill="auto"/>
              </w:rPr>
            </w:pPr>
            <w:r>
              <w:rPr>
                <w:rFonts w:ascii="Times New Roman" w:hAnsi="Times New Roman"/>
                <w:snapToGrid w:val="0"/>
                <w:color w:val="auto"/>
                <w:kern w:val="0"/>
                <w:sz w:val="24"/>
                <w:szCs w:val="24"/>
                <w:highlight w:val="none"/>
                <w:shd w:val="clear" w:color="auto" w:fill="auto"/>
              </w:rPr>
              <w:t>总报价</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snapToGrid w:val="0"/>
                <w:color w:val="auto"/>
                <w:kern w:val="0"/>
                <w:sz w:val="24"/>
                <w:szCs w:val="24"/>
                <w:highlight w:val="none"/>
                <w:shd w:val="clear" w:color="auto" w:fill="auto"/>
              </w:rPr>
            </w:pPr>
            <w:r>
              <w:rPr>
                <w:rFonts w:ascii="Times New Roman" w:hAnsi="Times New Roman"/>
                <w:snapToGrid w:val="0"/>
                <w:color w:val="auto"/>
                <w:kern w:val="0"/>
                <w:sz w:val="24"/>
                <w:szCs w:val="24"/>
                <w:highlight w:val="none"/>
                <w:shd w:val="clear" w:color="auto" w:fill="auto"/>
              </w:rPr>
              <w:t>小写</w:t>
            </w:r>
            <w:r>
              <w:rPr>
                <w:rFonts w:hint="eastAsia" w:ascii="Times New Roman" w:hAnsi="Times New Roman"/>
                <w:snapToGrid w:val="0"/>
                <w:color w:val="auto"/>
                <w:kern w:val="0"/>
                <w:sz w:val="24"/>
                <w:szCs w:val="24"/>
                <w:highlight w:val="none"/>
                <w:shd w:val="clear" w:color="auto" w:fill="auto"/>
              </w:rPr>
              <w:t>：</w:t>
            </w:r>
            <w:r>
              <w:rPr>
                <w:rFonts w:hint="eastAsia" w:ascii="Times New Roman" w:hAnsi="Times New Roman"/>
                <w:snapToGrid w:val="0"/>
                <w:color w:val="auto"/>
                <w:kern w:val="0"/>
                <w:sz w:val="24"/>
                <w:szCs w:val="24"/>
                <w:highlight w:val="none"/>
                <w:shd w:val="clear" w:color="auto" w:fill="auto"/>
                <w:lang w:val="en-US" w:eastAsia="zh-CN"/>
              </w:rPr>
              <w:t xml:space="preserve">                  </w:t>
            </w:r>
            <w:r>
              <w:rPr>
                <w:rFonts w:ascii="Times New Roman" w:hAnsi="Times New Roman"/>
                <w:snapToGrid w:val="0"/>
                <w:color w:val="auto"/>
                <w:kern w:val="0"/>
                <w:sz w:val="24"/>
                <w:szCs w:val="24"/>
                <w:highlight w:val="none"/>
                <w:shd w:val="clear" w:color="auto" w:fill="auto"/>
              </w:rPr>
              <w:t>人民币</w:t>
            </w:r>
          </w:p>
          <w:p>
            <w:pPr>
              <w:spacing w:line="360" w:lineRule="auto"/>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大写：</w:t>
            </w:r>
            <w:r>
              <w:rPr>
                <w:rFonts w:hint="eastAsia" w:ascii="Times New Roman" w:hAnsi="Times New Roman"/>
                <w:snapToGrid w:val="0"/>
                <w:color w:val="auto"/>
                <w:kern w:val="0"/>
                <w:sz w:val="24"/>
                <w:szCs w:val="24"/>
                <w:highlight w:val="none"/>
                <w:shd w:val="clear" w:color="auto" w:fill="auto"/>
                <w:lang w:val="en-US" w:eastAsia="zh-CN"/>
              </w:rPr>
              <w:t xml:space="preserve">                  </w:t>
            </w:r>
            <w:r>
              <w:rPr>
                <w:rFonts w:hint="eastAsia" w:ascii="Times New Roman" w:hAnsi="Times New Roman"/>
                <w:snapToGrid w:val="0"/>
                <w:color w:val="auto"/>
                <w:kern w:val="0"/>
                <w:sz w:val="24"/>
                <w:szCs w:val="24"/>
                <w:highlight w:val="none"/>
                <w:shd w:val="clear" w:color="auto" w:fill="auto"/>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维护期</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color w:val="auto"/>
                <w:sz w:val="24"/>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92" w:type="dxa"/>
            <w:gridSpan w:val="3"/>
            <w:tcBorders>
              <w:top w:val="single" w:color="auto" w:sz="4" w:space="0"/>
              <w:left w:val="single" w:color="auto" w:sz="4" w:space="0"/>
              <w:bottom w:val="single" w:color="auto" w:sz="4" w:space="0"/>
              <w:right w:val="single" w:color="auto" w:sz="4" w:space="0"/>
            </w:tcBorders>
          </w:tcPr>
          <w:p>
            <w:pPr>
              <w:pStyle w:val="12"/>
              <w:spacing w:line="360" w:lineRule="auto"/>
              <w:rPr>
                <w:rFonts w:ascii="Times New Roman" w:hAnsi="Times New Roman"/>
                <w:snapToGrid w:val="0"/>
                <w:color w:val="auto"/>
                <w:kern w:val="0"/>
                <w:sz w:val="24"/>
                <w:szCs w:val="24"/>
                <w:highlight w:val="none"/>
                <w:shd w:val="clear" w:color="auto" w:fill="auto"/>
              </w:rPr>
            </w:pPr>
          </w:p>
          <w:p>
            <w:pPr>
              <w:pStyle w:val="12"/>
              <w:spacing w:line="360" w:lineRule="auto"/>
              <w:rPr>
                <w:rFonts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备注：</w:t>
            </w:r>
          </w:p>
        </w:tc>
      </w:tr>
    </w:tbl>
    <w:p>
      <w:pPr>
        <w:spacing w:line="360" w:lineRule="auto"/>
        <w:ind w:right="-34" w:rightChars="-14"/>
        <w:rPr>
          <w:rFonts w:hint="eastAsia" w:ascii="Times New Roman" w:hAnsi="Times New Roman"/>
          <w:color w:val="auto"/>
          <w:sz w:val="24"/>
          <w:szCs w:val="28"/>
          <w:highlight w:val="none"/>
          <w:shd w:val="clear" w:color="auto" w:fill="auto"/>
        </w:rPr>
      </w:pPr>
      <w:bookmarkStart w:id="363" w:name="_Hlk59456849"/>
      <w:r>
        <w:rPr>
          <w:rFonts w:hint="eastAsia" w:ascii="Times New Roman" w:hAnsi="Times New Roman"/>
          <w:color w:val="auto"/>
          <w:sz w:val="24"/>
          <w:szCs w:val="28"/>
          <w:highlight w:val="none"/>
          <w:shd w:val="clear" w:color="auto" w:fill="auto"/>
        </w:rPr>
        <w:t>注：上述税率为推荐税率，因国家政策产生的特殊情况除外，若有税收优惠请附相关凭证。若遇国家税率调整，则保持不含税价不变，重新计算含税价格。</w:t>
      </w:r>
    </w:p>
    <w:bookmarkEnd w:id="363"/>
    <w:p>
      <w:pPr>
        <w:spacing w:line="360" w:lineRule="auto"/>
        <w:ind w:right="-34" w:rightChars="-14"/>
        <w:rPr>
          <w:rFonts w:hint="eastAsia" w:ascii="Times New Roman" w:hAnsi="Times New Roman"/>
          <w:color w:val="auto"/>
          <w:sz w:val="24"/>
          <w:szCs w:val="28"/>
          <w:highlight w:val="none"/>
          <w:shd w:val="clear" w:color="auto" w:fill="auto"/>
        </w:rPr>
      </w:pPr>
    </w:p>
    <w:p>
      <w:pPr>
        <w:spacing w:line="360" w:lineRule="auto"/>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cs="等线 Light"/>
          <w:snapToGrid w:val="0"/>
          <w:color w:val="auto"/>
          <w:kern w:val="0"/>
          <w:sz w:val="24"/>
          <w:szCs w:val="24"/>
          <w:highlight w:val="none"/>
          <w:shd w:val="clear" w:color="auto" w:fill="auto"/>
        </w:rPr>
        <w:t>参选</w:t>
      </w:r>
      <w:r>
        <w:rPr>
          <w:rFonts w:hint="eastAsia" w:ascii="Times New Roman" w:hAnsi="Times New Roman"/>
          <w:snapToGrid w:val="0"/>
          <w:color w:val="auto"/>
          <w:kern w:val="0"/>
          <w:sz w:val="24"/>
          <w:szCs w:val="24"/>
          <w:highlight w:val="none"/>
          <w:shd w:val="clear" w:color="auto" w:fill="auto"/>
        </w:rPr>
        <w:t>人：                            法人授权代表：</w:t>
      </w:r>
    </w:p>
    <w:p>
      <w:pPr>
        <w:spacing w:line="360" w:lineRule="auto"/>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（公章）                               （签章）</w:t>
      </w:r>
    </w:p>
    <w:p>
      <w:pPr>
        <w:spacing w:line="360" w:lineRule="auto"/>
        <w:ind w:right="-34" w:rightChars="-14"/>
        <w:jc w:val="right"/>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年     月     日</w:t>
      </w:r>
    </w:p>
    <w:p>
      <w:pPr>
        <w:snapToGrid w:val="0"/>
        <w:spacing w:line="360" w:lineRule="auto"/>
        <w:rPr>
          <w:rFonts w:hint="eastAsia" w:ascii="Times New Roman" w:hAnsi="Times New Roman"/>
          <w:snapToGrid w:val="0"/>
          <w:color w:val="auto"/>
          <w:kern w:val="0"/>
          <w:sz w:val="24"/>
          <w:szCs w:val="24"/>
          <w:highlight w:val="none"/>
          <w:shd w:val="clear" w:color="auto" w:fill="auto"/>
        </w:rPr>
      </w:pPr>
    </w:p>
    <w:p>
      <w:pPr>
        <w:snapToGrid w:val="0"/>
        <w:spacing w:line="360" w:lineRule="auto"/>
        <w:rPr>
          <w:rFonts w:hint="eastAsia" w:ascii="Times New Roman" w:hAnsi="Times New Roman"/>
          <w:snapToGrid w:val="0"/>
          <w:color w:val="auto"/>
          <w:kern w:val="0"/>
          <w:sz w:val="24"/>
          <w:szCs w:val="24"/>
          <w:highlight w:val="none"/>
          <w:shd w:val="clear" w:color="auto" w:fill="auto"/>
        </w:rPr>
      </w:pPr>
    </w:p>
    <w:p>
      <w:pPr>
        <w:snapToGrid w:val="0"/>
        <w:spacing w:line="360" w:lineRule="auto"/>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有关说明：</w:t>
      </w:r>
    </w:p>
    <w:p>
      <w:pPr>
        <w:snapToGrid w:val="0"/>
        <w:spacing w:line="360" w:lineRule="auto"/>
        <w:jc w:val="left"/>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报价一览表在开标大会上当众宣读，务必填写清楚，准确无误。表格可扩展。</w:t>
      </w:r>
    </w:p>
    <w:p>
      <w:pPr>
        <w:snapToGrid w:val="0"/>
        <w:spacing w:line="360" w:lineRule="auto"/>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本次报价包含上述维护期，比选人不再另行支付该维护期内维护费用。</w:t>
      </w:r>
    </w:p>
    <w:p>
      <w:pPr>
        <w:tabs>
          <w:tab w:val="left" w:pos="6300"/>
        </w:tabs>
        <w:snapToGrid w:val="0"/>
        <w:spacing w:line="360" w:lineRule="auto"/>
        <w:ind w:right="-34" w:rightChars="-14" w:firstLine="5400" w:firstLineChars="2250"/>
        <w:rPr>
          <w:rFonts w:hint="eastAsia" w:ascii="Times New Roman" w:hAnsi="Times New Roman"/>
          <w:snapToGrid w:val="0"/>
          <w:color w:val="auto"/>
          <w:kern w:val="0"/>
          <w:szCs w:val="24"/>
          <w:highlight w:val="none"/>
          <w:shd w:val="clear" w:color="auto" w:fill="auto"/>
        </w:rPr>
      </w:pPr>
    </w:p>
    <w:p>
      <w:pPr>
        <w:snapToGrid w:val="0"/>
        <w:spacing w:line="360" w:lineRule="auto"/>
        <w:ind w:left="0" w:firstLine="0" w:firstLineChars="0"/>
        <w:jc w:val="center"/>
        <w:rPr>
          <w:rFonts w:hint="eastAsia" w:ascii="Times New Roman" w:hAnsi="Times New Roman" w:eastAsia="宋体" w:cs="Cambria"/>
          <w:b/>
          <w:bCs w:val="0"/>
          <w:snapToGrid/>
          <w:color w:val="auto"/>
          <w:kern w:val="2"/>
          <w:sz w:val="28"/>
          <w:szCs w:val="28"/>
          <w:highlight w:val="none"/>
          <w:shd w:val="clear" w:color="auto" w:fill="auto"/>
          <w:lang w:val="en-US" w:eastAsia="zh-CN" w:bidi="ar-SA"/>
        </w:rPr>
      </w:pPr>
      <w:r>
        <w:rPr>
          <w:rFonts w:hint="eastAsia" w:ascii="Times New Roman" w:hAnsi="Times New Roman" w:cs="Cambria"/>
          <w:b/>
          <w:bCs w:val="0"/>
          <w:snapToGrid/>
          <w:color w:val="auto"/>
          <w:kern w:val="2"/>
          <w:sz w:val="28"/>
          <w:szCs w:val="28"/>
          <w:highlight w:val="none"/>
          <w:shd w:val="clear" w:color="auto" w:fill="auto"/>
          <w:lang w:val="en-US" w:eastAsia="zh-CN" w:bidi="ar-SA"/>
        </w:rPr>
        <w:t>三</w:t>
      </w:r>
      <w:r>
        <w:rPr>
          <w:rFonts w:hint="eastAsia" w:ascii="Times New Roman" w:hAnsi="Times New Roman" w:eastAsia="宋体" w:cs="Cambria"/>
          <w:b/>
          <w:bCs w:val="0"/>
          <w:snapToGrid/>
          <w:color w:val="auto"/>
          <w:kern w:val="2"/>
          <w:sz w:val="28"/>
          <w:szCs w:val="28"/>
          <w:highlight w:val="none"/>
          <w:shd w:val="clear" w:color="auto" w:fill="auto"/>
          <w:lang w:val="en-US" w:eastAsia="zh-CN" w:bidi="ar-SA"/>
        </w:rPr>
        <w:t>、资格性文件</w:t>
      </w:r>
    </w:p>
    <w:p>
      <w:pPr>
        <w:pStyle w:val="32"/>
        <w:rPr>
          <w:rFonts w:ascii="Times New Roman" w:hAnsi="Times New Roman"/>
          <w:color w:val="auto"/>
          <w:highlight w:val="none"/>
          <w:shd w:val="clear" w:color="auto" w:fill="auto"/>
        </w:rPr>
      </w:pPr>
      <w:bookmarkStart w:id="364" w:name="_Toc16133"/>
      <w:r>
        <w:rPr>
          <w:rFonts w:ascii="Times New Roman" w:hAnsi="Times New Roman"/>
          <w:color w:val="auto"/>
          <w:highlight w:val="none"/>
          <w:shd w:val="clear" w:color="auto" w:fill="auto"/>
        </w:rPr>
        <w:t>（一）参选人基本情况介绍，资质证明等</w:t>
      </w:r>
      <w:bookmarkEnd w:id="364"/>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参选人名称</w:t>
            </w:r>
          </w:p>
        </w:tc>
        <w:tc>
          <w:tcPr>
            <w:tcW w:w="7114" w:type="dxa"/>
            <w:gridSpan w:val="8"/>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邮政编码</w:t>
            </w:r>
          </w:p>
        </w:tc>
        <w:tc>
          <w:tcPr>
            <w:tcW w:w="1657" w:type="dxa"/>
            <w:gridSpan w:val="3"/>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1657" w:type="dxa"/>
            <w:gridSpan w:val="3"/>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网址</w:t>
            </w:r>
          </w:p>
        </w:tc>
        <w:tc>
          <w:tcPr>
            <w:tcW w:w="1657" w:type="dxa"/>
            <w:gridSpan w:val="3"/>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组织结构</w:t>
            </w:r>
          </w:p>
        </w:tc>
        <w:tc>
          <w:tcPr>
            <w:tcW w:w="7114" w:type="dxa"/>
            <w:gridSpan w:val="8"/>
            <w:tcBorders>
              <w:lef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法定代表人/分支机构负责人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758" w:type="dxa"/>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758" w:type="dxa"/>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4234" w:type="dxa"/>
            <w:gridSpan w:val="6"/>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项目经理</w:t>
            </w:r>
          </w:p>
        </w:tc>
        <w:tc>
          <w:tcPr>
            <w:tcW w:w="1481" w:type="dxa"/>
            <w:gridSpan w:val="2"/>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高级职称人员</w:t>
            </w:r>
          </w:p>
        </w:tc>
        <w:tc>
          <w:tcPr>
            <w:tcW w:w="1481" w:type="dxa"/>
            <w:gridSpan w:val="2"/>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中级职称人员</w:t>
            </w:r>
          </w:p>
        </w:tc>
        <w:tc>
          <w:tcPr>
            <w:tcW w:w="1481" w:type="dxa"/>
            <w:gridSpan w:val="2"/>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初级职称人员</w:t>
            </w:r>
          </w:p>
        </w:tc>
        <w:tc>
          <w:tcPr>
            <w:tcW w:w="1481" w:type="dxa"/>
            <w:gridSpan w:val="2"/>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技工</w:t>
            </w:r>
          </w:p>
        </w:tc>
        <w:tc>
          <w:tcPr>
            <w:tcW w:w="1481" w:type="dxa"/>
            <w:gridSpan w:val="2"/>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经营范围</w:t>
            </w:r>
          </w:p>
        </w:tc>
        <w:tc>
          <w:tcPr>
            <w:tcW w:w="7114" w:type="dxa"/>
            <w:gridSpan w:val="8"/>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备注</w:t>
            </w:r>
          </w:p>
        </w:tc>
        <w:tc>
          <w:tcPr>
            <w:tcW w:w="7114" w:type="dxa"/>
            <w:gridSpan w:val="8"/>
            <w:tcBorders>
              <w:left w:val="single" w:color="auto" w:sz="4" w:space="0"/>
            </w:tcBorders>
          </w:tcPr>
          <w:p>
            <w:pPr>
              <w:spacing w:line="360" w:lineRule="auto"/>
              <w:ind w:firstLine="0" w:firstLineChars="0"/>
              <w:jc w:val="center"/>
              <w:rPr>
                <w:rFonts w:ascii="Times New Roman" w:hAnsi="Times New Roman"/>
                <w:color w:val="auto"/>
                <w:sz w:val="22"/>
                <w:szCs w:val="24"/>
                <w:highlight w:val="none"/>
                <w:shd w:val="clear" w:color="auto" w:fill="auto"/>
              </w:rPr>
            </w:pPr>
          </w:p>
        </w:tc>
      </w:tr>
    </w:tbl>
    <w:p>
      <w:pPr>
        <w:widowControl/>
        <w:spacing w:line="360" w:lineRule="auto"/>
        <w:jc w:val="left"/>
        <w:rPr>
          <w:rFonts w:ascii="Times New Roman" w:hAnsi="Times New Roman"/>
          <w:color w:val="auto"/>
          <w:sz w:val="20"/>
          <w:szCs w:val="21"/>
          <w:highlight w:val="none"/>
          <w:shd w:val="clear" w:color="auto" w:fill="auto"/>
        </w:rPr>
        <w:sectPr>
          <w:pgSz w:w="11906" w:h="16838"/>
          <w:pgMar w:top="1440" w:right="1800" w:bottom="1440" w:left="1800" w:header="851" w:footer="992" w:gutter="0"/>
          <w:pgNumType w:fmt="numberInDash"/>
          <w:cols w:space="720" w:num="1"/>
          <w:docGrid w:type="lines" w:linePitch="312" w:charSpace="0"/>
        </w:sectPr>
      </w:pPr>
      <w:r>
        <w:rPr>
          <w:rFonts w:hint="eastAsia" w:ascii="Times New Roman" w:hAnsi="Times New Roman"/>
          <w:color w:val="auto"/>
          <w:sz w:val="20"/>
          <w:szCs w:val="21"/>
          <w:highlight w:val="none"/>
          <w:shd w:val="clear" w:color="auto" w:fill="auto"/>
        </w:rPr>
        <w:t>注：附营业执照（副本）、总公司授权委托书、资质证明复印件等。</w:t>
      </w:r>
    </w:p>
    <w:p>
      <w:pPr>
        <w:pStyle w:val="32"/>
        <w:rPr>
          <w:rFonts w:ascii="Times New Roman" w:hAnsi="Times New Roman"/>
          <w:color w:val="auto"/>
          <w:highlight w:val="none"/>
          <w:shd w:val="clear" w:color="auto" w:fill="auto"/>
        </w:rPr>
      </w:pPr>
      <w:bookmarkStart w:id="365" w:name="_Toc378234770"/>
      <w:bookmarkStart w:id="366" w:name="_Toc478054435"/>
      <w:bookmarkStart w:id="367" w:name="_Toc472780356"/>
      <w:bookmarkStart w:id="368" w:name="_Toc378234584"/>
      <w:bookmarkStart w:id="369" w:name="_Toc29381"/>
      <w:bookmarkStart w:id="370" w:name="_Toc478053903"/>
      <w:r>
        <w:rPr>
          <w:rFonts w:ascii="Times New Roman" w:hAnsi="Times New Roman"/>
          <w:color w:val="auto"/>
          <w:highlight w:val="none"/>
          <w:shd w:val="clear" w:color="auto" w:fill="auto"/>
        </w:rPr>
        <w:t>（二）法定代表人身份证明及授权委托书</w:t>
      </w:r>
      <w:bookmarkEnd w:id="365"/>
      <w:bookmarkEnd w:id="366"/>
      <w:bookmarkEnd w:id="367"/>
      <w:bookmarkEnd w:id="368"/>
      <w:bookmarkEnd w:id="369"/>
      <w:bookmarkEnd w:id="370"/>
    </w:p>
    <w:p>
      <w:pPr>
        <w:pStyle w:val="33"/>
        <w:rPr>
          <w:rFonts w:ascii="Times New Roman" w:hAnsi="Times New Roman"/>
          <w:color w:val="auto"/>
          <w:highlight w:val="none"/>
          <w:shd w:val="clear" w:color="auto" w:fill="auto"/>
        </w:rPr>
      </w:pPr>
      <w:r>
        <w:rPr>
          <w:rFonts w:ascii="Times New Roman" w:hAnsi="Times New Roman"/>
          <w:color w:val="auto"/>
          <w:highlight w:val="none"/>
          <w:shd w:val="clear" w:color="auto" w:fill="auto"/>
        </w:rPr>
        <w:t>法定代表人身份证明书</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项目名称：</w:t>
      </w:r>
      <w:r>
        <w:rPr>
          <w:rFonts w:hint="eastAsia" w:ascii="Times New Roman" w:hAnsi="Times New Roman"/>
          <w:snapToGrid w:val="0"/>
          <w:color w:val="auto"/>
          <w:kern w:val="0"/>
          <w:highlight w:val="none"/>
          <w:u w:val="single"/>
          <w:shd w:val="clear" w:color="auto" w:fill="auto"/>
        </w:rPr>
        <w:t>____________________</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 xml:space="preserve"> 重庆三峡银行股份有限公司  </w:t>
      </w:r>
      <w:r>
        <w:rPr>
          <w:rFonts w:hint="eastAsia" w:ascii="Times New Roman" w:hAnsi="Times New Roman"/>
          <w:snapToGrid w:val="0"/>
          <w:color w:val="auto"/>
          <w:kern w:val="0"/>
          <w:highlight w:val="none"/>
          <w:shd w:val="clear" w:color="auto" w:fill="auto"/>
        </w:rPr>
        <w:t>：</w:t>
      </w: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人法定代表人姓名）在</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（参选人名称）任</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（职务名称）职务，是（参</w:t>
      </w:r>
      <w:r>
        <w:rPr>
          <w:rFonts w:hint="eastAsia" w:ascii="Times New Roman" w:hAnsi="Times New Roman" w:cs="Cambria"/>
          <w:snapToGrid w:val="0"/>
          <w:color w:val="auto"/>
          <w:kern w:val="0"/>
          <w:szCs w:val="24"/>
          <w:highlight w:val="none"/>
          <w:shd w:val="clear" w:color="auto" w:fill="auto"/>
        </w:rPr>
        <w:t>选</w:t>
      </w:r>
      <w:r>
        <w:rPr>
          <w:rFonts w:hint="eastAsia" w:ascii="Times New Roman" w:hAnsi="Times New Roman"/>
          <w:snapToGrid w:val="0"/>
          <w:color w:val="auto"/>
          <w:kern w:val="0"/>
          <w:highlight w:val="none"/>
          <w:shd w:val="clear" w:color="auto" w:fill="auto"/>
        </w:rPr>
        <w:t>人名称）</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的法定代表人。</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特此证明。</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ind w:firstLine="6000" w:firstLineChars="25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参选人：</w:t>
      </w:r>
    </w:p>
    <w:p>
      <w:pPr>
        <w:tabs>
          <w:tab w:val="left" w:pos="6300"/>
        </w:tabs>
        <w:snapToGrid w:val="0"/>
        <w:spacing w:line="360" w:lineRule="auto"/>
        <w:ind w:firstLine="5760" w:firstLineChars="24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人公章）</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 xml:space="preserve">                                             年   月   日</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（附：法定代表人身份证正反面复印件）</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p>
    <w:p>
      <w:pPr>
        <w:jc w:val="center"/>
        <w:rPr>
          <w:rStyle w:val="34"/>
          <w:rFonts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br w:type="column"/>
      </w:r>
      <w:r>
        <w:rPr>
          <w:rStyle w:val="34"/>
          <w:rFonts w:ascii="Times New Roman" w:hAnsi="Times New Roman"/>
          <w:color w:val="auto"/>
          <w:highlight w:val="none"/>
          <w:shd w:val="clear" w:color="auto" w:fill="auto"/>
        </w:rPr>
        <w:t>法定代表人授权委托书</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项目名称</w:t>
      </w:r>
      <w:r>
        <w:rPr>
          <w:rFonts w:hint="eastAsia" w:ascii="Times New Roman" w:hAnsi="Times New Roman"/>
          <w:snapToGrid w:val="0"/>
          <w:color w:val="auto"/>
          <w:kern w:val="0"/>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___________________</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snapToGrid w:val="0"/>
          <w:color w:val="auto"/>
          <w:kern w:val="0"/>
          <w:highlight w:val="none"/>
          <w:shd w:val="clear" w:color="auto" w:fill="auto"/>
        </w:rPr>
        <w:t>：</w:t>
      </w: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人法定代表人名称）是</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人名称）的法定代表人，特授权</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（被授权人姓名及身份证代码）代表我单位全权办理上述项目的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、谈判、签约等具体工作，并签署全部有关文件、协议及合同。</w:t>
      </w: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我单位对被授权人的签字负全部责任。</w:t>
      </w: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在撤消授权的书面通知以前，本授权书一直有效。被授权人在授权书有效期内签署的所有文件不因授权的撤消而失效。</w:t>
      </w:r>
    </w:p>
    <w:p>
      <w:pPr>
        <w:tabs>
          <w:tab w:val="left" w:pos="6300"/>
        </w:tabs>
        <w:snapToGrid w:val="0"/>
        <w:spacing w:line="360" w:lineRule="auto"/>
        <w:rPr>
          <w:rFonts w:ascii="Times New Roman" w:hAnsi="Times New Roman"/>
          <w:snapToGrid w:val="0"/>
          <w:color w:val="auto"/>
          <w:kern w:val="0"/>
          <w:highlight w:val="none"/>
          <w:shd w:val="clear" w:color="auto" w:fill="auto"/>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被授权人</w:t>
            </w:r>
          </w:p>
        </w:tc>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r>
    </w:tbl>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szCs w:val="28"/>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（附：被授权人身份证正反面复印件）</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ind w:right="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人公章）</w:t>
      </w:r>
    </w:p>
    <w:p>
      <w:pPr>
        <w:tabs>
          <w:tab w:val="left" w:pos="6300"/>
        </w:tabs>
        <w:snapToGrid w:val="0"/>
        <w:spacing w:line="360" w:lineRule="auto"/>
        <w:ind w:right="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年   月   日</w:t>
      </w:r>
    </w:p>
    <w:p>
      <w:pPr>
        <w:tabs>
          <w:tab w:val="left" w:pos="6300"/>
        </w:tabs>
        <w:snapToGrid w:val="0"/>
        <w:spacing w:line="360" w:lineRule="auto"/>
        <w:rPr>
          <w:rFonts w:ascii="Times New Roman" w:hAnsi="Times New Roman"/>
          <w:snapToGrid w:val="0"/>
          <w:color w:val="auto"/>
          <w:kern w:val="0"/>
          <w:highlight w:val="none"/>
          <w:shd w:val="clear" w:color="auto" w:fill="auto"/>
        </w:rPr>
      </w:pP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注：1.若为法定代表人办理并签署参选文件的，不提供此文件。</w:t>
      </w: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sectPr>
          <w:pgSz w:w="11906" w:h="16838"/>
          <w:pgMar w:top="1440" w:right="1800" w:bottom="1440" w:left="1800" w:header="851" w:footer="992" w:gutter="0"/>
          <w:pgNumType w:fmt="numberInDash"/>
          <w:cols w:space="720" w:num="1"/>
          <w:docGrid w:type="lines" w:linePitch="312" w:charSpace="0"/>
        </w:sectPr>
      </w:pPr>
    </w:p>
    <w:p>
      <w:pPr>
        <w:pStyle w:val="32"/>
        <w:rPr>
          <w:rFonts w:ascii="Times New Roman" w:hAnsi="Times New Roman"/>
          <w:color w:val="auto"/>
          <w:highlight w:val="none"/>
          <w:shd w:val="clear" w:color="auto" w:fill="auto"/>
        </w:rPr>
      </w:pPr>
      <w:bookmarkStart w:id="371" w:name="_Toc13790"/>
      <w:r>
        <w:rPr>
          <w:rFonts w:hint="eastAsia" w:ascii="Times New Roman" w:hAnsi="Times New Roman"/>
          <w:color w:val="auto"/>
          <w:highlight w:val="none"/>
          <w:shd w:val="clear" w:color="auto" w:fill="auto"/>
        </w:rPr>
        <w:t>（三）书面声明</w:t>
      </w:r>
      <w:bookmarkEnd w:id="371"/>
    </w:p>
    <w:p>
      <w:pPr>
        <w:tabs>
          <w:tab w:val="left" w:pos="6300"/>
        </w:tabs>
        <w:snapToGrid w:val="0"/>
        <w:spacing w:line="360" w:lineRule="auto"/>
        <w:rPr>
          <w:rFonts w:ascii="Times New Roman" w:hAnsi="Times New Roman"/>
          <w:color w:val="auto"/>
          <w:highlight w:val="none"/>
          <w:shd w:val="clear" w:color="auto" w:fill="auto"/>
        </w:rPr>
      </w:pPr>
    </w:p>
    <w:p>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szCs w:val="28"/>
          <w:highlight w:val="none"/>
          <w:shd w:val="clear" w:color="auto" w:fill="auto"/>
        </w:rPr>
        <w:t>项目名称</w:t>
      </w:r>
      <w:r>
        <w:rPr>
          <w:rFonts w:hint="eastAsia" w:ascii="Times New Roman" w:hAnsi="Times New Roman"/>
          <w:color w:val="auto"/>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w:t>
      </w:r>
    </w:p>
    <w:p>
      <w:pPr>
        <w:tabs>
          <w:tab w:val="left" w:pos="6300"/>
        </w:tabs>
        <w:snapToGrid w:val="0"/>
        <w:spacing w:line="360" w:lineRule="auto"/>
        <w:rPr>
          <w:rFonts w:ascii="Times New Roman" w:hAnsi="Times New Roman"/>
          <w:color w:val="auto"/>
          <w:highlight w:val="none"/>
          <w:shd w:val="clear" w:color="auto" w:fill="auto"/>
        </w:rPr>
      </w:pPr>
    </w:p>
    <w:p>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color w:val="auto"/>
          <w:highlight w:val="none"/>
          <w:shd w:val="clear" w:color="auto" w:fill="auto"/>
        </w:rPr>
        <w:t>：</w:t>
      </w:r>
    </w:p>
    <w:p>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人资格条件；</w:t>
      </w:r>
      <w:r>
        <w:rPr>
          <w:rFonts w:hint="eastAsia" w:ascii="Times New Roman" w:hAnsi="Times New Roman" w:cs="Cambria"/>
          <w:color w:val="auto"/>
          <w:szCs w:val="24"/>
          <w:highlight w:val="none"/>
          <w:shd w:val="clear" w:color="auto" w:fill="auto"/>
        </w:rPr>
        <w:t>我公司本次如若中选，中选后不会对项目进行转包</w:t>
      </w: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我公司</w:t>
      </w:r>
      <w:r>
        <w:rPr>
          <w:rFonts w:hint="eastAsia" w:ascii="Times New Roman" w:hAnsi="Times New Roman"/>
          <w:color w:val="auto"/>
          <w:highlight w:val="none"/>
          <w:shd w:val="clear" w:color="auto" w:fill="auto"/>
        </w:rPr>
        <w:t>近3年财务状况稳定</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我方对以上声明负全部法律责任。</w:t>
      </w:r>
    </w:p>
    <w:p>
      <w:pPr>
        <w:tabs>
          <w:tab w:val="left" w:pos="6300"/>
        </w:tabs>
        <w:snapToGrid w:val="0"/>
        <w:spacing w:line="360" w:lineRule="auto"/>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特此声明。</w:t>
      </w:r>
    </w:p>
    <w:p>
      <w:pPr>
        <w:tabs>
          <w:tab w:val="left" w:pos="6300"/>
        </w:tabs>
        <w:snapToGrid w:val="0"/>
        <w:spacing w:line="360" w:lineRule="auto"/>
        <w:rPr>
          <w:rFonts w:ascii="Times New Roman" w:hAnsi="Times New Roman"/>
          <w:color w:val="auto"/>
          <w:highlight w:val="none"/>
          <w:shd w:val="clear" w:color="auto" w:fill="auto"/>
        </w:rPr>
      </w:pPr>
    </w:p>
    <w:p>
      <w:pPr>
        <w:tabs>
          <w:tab w:val="left" w:pos="6300"/>
        </w:tabs>
        <w:snapToGrid w:val="0"/>
        <w:spacing w:line="360" w:lineRule="auto"/>
        <w:rPr>
          <w:rFonts w:ascii="Times New Roman" w:hAnsi="Times New Roman"/>
          <w:color w:val="auto"/>
          <w:highlight w:val="none"/>
          <w:shd w:val="clear" w:color="auto" w:fill="auto"/>
        </w:rPr>
      </w:pPr>
    </w:p>
    <w:p>
      <w:pPr>
        <w:tabs>
          <w:tab w:val="left" w:pos="6300"/>
        </w:tabs>
        <w:snapToGrid w:val="0"/>
        <w:spacing w:line="360" w:lineRule="auto"/>
        <w:rPr>
          <w:rFonts w:ascii="Times New Roman" w:hAnsi="Times New Roman"/>
          <w:color w:val="auto"/>
          <w:highlight w:val="none"/>
          <w:shd w:val="clear" w:color="auto" w:fill="auto"/>
        </w:rPr>
      </w:pPr>
    </w:p>
    <w:p>
      <w:pPr>
        <w:tabs>
          <w:tab w:val="left" w:pos="6300"/>
        </w:tabs>
        <w:snapToGrid w:val="0"/>
        <w:spacing w:line="360" w:lineRule="auto"/>
        <w:ind w:right="424"/>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人公章）</w:t>
      </w:r>
    </w:p>
    <w:p>
      <w:pPr>
        <w:tabs>
          <w:tab w:val="left" w:pos="6300"/>
        </w:tabs>
        <w:snapToGrid w:val="0"/>
        <w:spacing w:line="360" w:lineRule="auto"/>
        <w:ind w:right="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pPr>
        <w:spacing w:line="360" w:lineRule="auto"/>
        <w:jc w:val="left"/>
        <w:rPr>
          <w:rFonts w:ascii="Times New Roman" w:hAnsi="Times New Roman" w:cs="等线 Light"/>
          <w:snapToGrid w:val="0"/>
          <w:color w:val="auto"/>
          <w:kern w:val="0"/>
          <w:szCs w:val="24"/>
          <w:highlight w:val="none"/>
          <w:shd w:val="clear" w:color="auto" w:fill="auto"/>
        </w:rPr>
      </w:pPr>
    </w:p>
    <w:p>
      <w:pPr>
        <w:spacing w:line="360" w:lineRule="auto"/>
        <w:jc w:val="left"/>
        <w:rPr>
          <w:rFonts w:ascii="Times New Roman" w:hAnsi="Times New Roman" w:cs="等线 Light"/>
          <w:snapToGrid w:val="0"/>
          <w:color w:val="auto"/>
          <w:kern w:val="0"/>
          <w:szCs w:val="24"/>
          <w:highlight w:val="none"/>
          <w:shd w:val="clear" w:color="auto" w:fill="auto"/>
        </w:rPr>
      </w:pPr>
    </w:p>
    <w:p>
      <w:pPr>
        <w:spacing w:line="360" w:lineRule="auto"/>
        <w:jc w:val="left"/>
        <w:rPr>
          <w:rFonts w:ascii="Times New Roman" w:hAnsi="Times New Roman" w:cs="等线 Light"/>
          <w:snapToGrid w:val="0"/>
          <w:color w:val="auto"/>
          <w:kern w:val="0"/>
          <w:szCs w:val="24"/>
          <w:highlight w:val="none"/>
          <w:shd w:val="clear" w:color="auto" w:fill="auto"/>
        </w:rPr>
      </w:pPr>
    </w:p>
    <w:p>
      <w:pPr>
        <w:spacing w:line="360" w:lineRule="auto"/>
        <w:jc w:val="left"/>
        <w:rPr>
          <w:rFonts w:ascii="Times New Roman" w:hAnsi="Times New Roman" w:cs="等线 Light"/>
          <w:snapToGrid w:val="0"/>
          <w:color w:val="auto"/>
          <w:kern w:val="0"/>
          <w:szCs w:val="24"/>
          <w:highlight w:val="none"/>
          <w:shd w:val="clear" w:color="auto" w:fill="auto"/>
        </w:rPr>
      </w:pPr>
    </w:p>
    <w:p>
      <w:pPr>
        <w:spacing w:line="360" w:lineRule="auto"/>
        <w:jc w:val="left"/>
        <w:rPr>
          <w:rFonts w:ascii="Times New Roman" w:hAnsi="Times New Roman" w:cs="等线 Light"/>
          <w:snapToGrid w:val="0"/>
          <w:color w:val="auto"/>
          <w:kern w:val="0"/>
          <w:szCs w:val="24"/>
          <w:highlight w:val="none"/>
          <w:shd w:val="clear" w:color="auto" w:fill="auto"/>
        </w:rPr>
      </w:pPr>
    </w:p>
    <w:p>
      <w:pPr>
        <w:spacing w:line="360" w:lineRule="auto"/>
        <w:jc w:val="left"/>
        <w:rPr>
          <w:rFonts w:ascii="Times New Roman" w:hAnsi="Times New Roman" w:cs="等线 Light"/>
          <w:snapToGrid w:val="0"/>
          <w:color w:val="auto"/>
          <w:kern w:val="0"/>
          <w:szCs w:val="24"/>
          <w:highlight w:val="none"/>
          <w:shd w:val="clear" w:color="auto" w:fill="auto"/>
        </w:rPr>
      </w:pPr>
    </w:p>
    <w:p>
      <w:pPr>
        <w:spacing w:line="360" w:lineRule="auto"/>
        <w:jc w:val="left"/>
        <w:rPr>
          <w:rFonts w:ascii="Times New Roman" w:hAnsi="Times New Roman" w:cs="等线 Light"/>
          <w:snapToGrid w:val="0"/>
          <w:color w:val="auto"/>
          <w:kern w:val="0"/>
          <w:szCs w:val="24"/>
          <w:highlight w:val="none"/>
          <w:shd w:val="clear" w:color="auto" w:fill="auto"/>
        </w:rPr>
      </w:pPr>
    </w:p>
    <w:p>
      <w:pPr>
        <w:rPr>
          <w:rFonts w:ascii="Times New Roman" w:hAnsi="Times New Roman"/>
          <w:b/>
          <w:bCs/>
          <w:color w:val="auto"/>
          <w:highlight w:val="none"/>
          <w:shd w:val="clear" w:color="auto" w:fill="auto"/>
        </w:rPr>
      </w:pPr>
      <w:r>
        <w:rPr>
          <w:rFonts w:hint="eastAsia" w:ascii="Times New Roman" w:hAnsi="Times New Roman"/>
          <w:color w:val="auto"/>
          <w:kern w:val="0"/>
          <w:highlight w:val="none"/>
          <w:shd w:val="clear" w:color="auto" w:fill="auto"/>
        </w:rPr>
        <w:br w:type="page"/>
      </w:r>
    </w:p>
    <w:p>
      <w:pPr>
        <w:pStyle w:val="32"/>
        <w:rPr>
          <w:rFonts w:ascii="Times New Roman" w:hAnsi="Times New Roman"/>
          <w:color w:val="auto"/>
          <w:highlight w:val="none"/>
          <w:shd w:val="clear" w:color="auto" w:fill="auto"/>
        </w:rPr>
      </w:pPr>
      <w:bookmarkStart w:id="372" w:name="_Toc16697"/>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bookmarkEnd w:id="372"/>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p>
    <w:p>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pPr>
        <w:pStyle w:val="32"/>
        <w:rPr>
          <w:rFonts w:ascii="Times New Roman" w:hAnsi="Times New Roman"/>
          <w:color w:val="auto"/>
          <w:highlight w:val="none"/>
          <w:shd w:val="clear" w:color="auto" w:fill="auto"/>
        </w:rPr>
      </w:pPr>
      <w:bookmarkStart w:id="373" w:name="_Toc4643"/>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bookmarkEnd w:id="373"/>
    </w:p>
    <w:p>
      <w:pPr>
        <w:ind w:left="0" w:firstLine="0" w:firstLineChars="0"/>
        <w:rPr>
          <w:rFonts w:ascii="Times New Roman" w:hAnsi="Times New Roman"/>
          <w:color w:val="auto"/>
          <w:highlight w:val="none"/>
          <w:shd w:val="clear" w:color="auto" w:fill="auto"/>
          <w:lang w:val="zh-CN"/>
        </w:rPr>
        <w:sectPr>
          <w:pgSz w:w="11906" w:h="16838"/>
          <w:pgMar w:top="1440" w:right="1800" w:bottom="1440" w:left="1800" w:header="851" w:footer="992" w:gutter="0"/>
          <w:pgNumType w:fmt="numberInDash"/>
          <w:cols w:space="720" w:num="1"/>
          <w:docGrid w:type="lines" w:linePitch="312" w:charSpace="0"/>
        </w:sectPr>
      </w:pPr>
    </w:p>
    <w:p>
      <w:pPr>
        <w:ind w:firstLine="0" w:firstLineChars="0"/>
        <w:jc w:val="center"/>
        <w:outlineLvl w:val="2"/>
        <w:rPr>
          <w:rFonts w:hint="eastAsia" w:ascii="Times New Roman" w:hAnsi="Times New Roman" w:eastAsia="宋体"/>
          <w:color w:val="auto"/>
          <w:highlight w:val="none"/>
          <w:shd w:val="clear" w:color="auto" w:fill="auto"/>
          <w:lang w:eastAsia="zh-CN"/>
        </w:rPr>
      </w:pPr>
      <w:bookmarkStart w:id="374" w:name="_Toc13224"/>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第三方软件产品的原厂商授权书或确认函</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如有</w:t>
      </w:r>
      <w:r>
        <w:rPr>
          <w:rFonts w:hint="eastAsia" w:ascii="Times New Roman" w:hAnsi="Times New Roman"/>
          <w:color w:val="auto"/>
          <w:highlight w:val="none"/>
          <w:shd w:val="clear" w:color="auto" w:fill="auto"/>
          <w:lang w:eastAsia="zh-CN"/>
        </w:rPr>
        <w:t>）</w:t>
      </w:r>
      <w:bookmarkEnd w:id="374"/>
    </w:p>
    <w:p>
      <w:pPr>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br w:type="page"/>
      </w:r>
    </w:p>
    <w:p>
      <w:pPr>
        <w:pStyle w:val="30"/>
        <w:rPr>
          <w:rFonts w:hint="default" w:ascii="Times New Roman" w:hAnsi="Times New Roman" w:eastAsia="宋体"/>
          <w:color w:val="auto"/>
          <w:highlight w:val="none"/>
          <w:shd w:val="clear" w:color="auto" w:fill="auto"/>
          <w:lang w:val="en-US" w:eastAsia="zh-CN"/>
        </w:rPr>
      </w:pPr>
      <w:bookmarkStart w:id="375" w:name="_Toc2751"/>
      <w:r>
        <w:rPr>
          <w:rFonts w:hint="eastAsia" w:ascii="Times New Roman" w:hAnsi="Times New Roman"/>
          <w:color w:val="auto"/>
          <w:highlight w:val="none"/>
          <w:shd w:val="clear" w:color="auto" w:fill="auto"/>
          <w:lang w:val="en-US" w:eastAsia="zh-CN"/>
        </w:rPr>
        <w:t>四</w:t>
      </w:r>
      <w:r>
        <w:rPr>
          <w:rFonts w:ascii="Times New Roman" w:hAnsi="Times New Roman"/>
          <w:color w:val="auto"/>
          <w:highlight w:val="none"/>
          <w:shd w:val="clear" w:color="auto" w:fill="auto"/>
        </w:rPr>
        <w:t>、响应</w:t>
      </w:r>
      <w:r>
        <w:rPr>
          <w:rFonts w:hint="eastAsia" w:ascii="Times New Roman" w:hAnsi="Times New Roman"/>
          <w:color w:val="auto"/>
          <w:highlight w:val="none"/>
          <w:shd w:val="clear" w:color="auto" w:fill="auto"/>
          <w:lang w:val="en-US" w:eastAsia="zh-CN"/>
        </w:rPr>
        <w:t>性文件</w:t>
      </w:r>
      <w:bookmarkEnd w:id="375"/>
    </w:p>
    <w:p>
      <w:pPr>
        <w:pStyle w:val="32"/>
        <w:rPr>
          <w:rFonts w:ascii="Times New Roman" w:hAnsi="Times New Roman"/>
          <w:color w:val="auto"/>
          <w:highlight w:val="none"/>
          <w:shd w:val="clear" w:color="auto" w:fill="auto"/>
        </w:rPr>
      </w:pPr>
      <w:bookmarkStart w:id="376" w:name="_Toc10552"/>
      <w:r>
        <w:rPr>
          <w:rFonts w:hint="eastAsia" w:ascii="Times New Roman" w:hAnsi="Times New Roman"/>
          <w:color w:val="auto"/>
          <w:highlight w:val="none"/>
          <w:shd w:val="clear" w:color="auto" w:fill="auto"/>
        </w:rPr>
        <w:t>（一）响应承诺函</w:t>
      </w:r>
      <w:bookmarkEnd w:id="376"/>
    </w:p>
    <w:p>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根据第三章“项目要求”内容，做出整体承诺，格式自理。</w:t>
      </w:r>
    </w:p>
    <w:p>
      <w:pPr>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eastAsia="zh-CN"/>
        </w:rPr>
        <w:br w:type="page"/>
      </w:r>
    </w:p>
    <w:p>
      <w:pPr>
        <w:autoSpaceDE/>
        <w:autoSpaceDN/>
        <w:ind w:firstLine="0" w:firstLineChars="0"/>
        <w:jc w:val="center"/>
        <w:outlineLvl w:val="2"/>
        <w:rPr>
          <w:rFonts w:hint="eastAsia" w:ascii="Times New Roman" w:hAnsi="Times New Roman"/>
          <w:color w:val="auto"/>
          <w:highlight w:val="none"/>
          <w:shd w:val="clear" w:color="auto" w:fill="auto"/>
          <w:lang w:eastAsia="zh-CN"/>
        </w:rPr>
      </w:pPr>
      <w:bookmarkStart w:id="377" w:name="_Toc7810"/>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二</w:t>
      </w:r>
      <w:r>
        <w:rPr>
          <w:rFonts w:hint="eastAsia" w:ascii="Times New Roman" w:hAnsi="Times New Roman"/>
          <w:color w:val="auto"/>
          <w:highlight w:val="none"/>
          <w:shd w:val="clear" w:color="auto" w:fill="auto"/>
          <w:lang w:eastAsia="zh-CN"/>
        </w:rPr>
        <w:t>）近半年公司为项目组成员缴纳社保的证明材料</w:t>
      </w:r>
      <w:bookmarkEnd w:id="377"/>
    </w:p>
    <w:p>
      <w:pPr>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eastAsia="zh-CN"/>
        </w:rPr>
        <w:br w:type="page"/>
      </w:r>
    </w:p>
    <w:p>
      <w:pPr>
        <w:autoSpaceDE/>
        <w:autoSpaceDN/>
        <w:ind w:firstLine="0" w:firstLineChars="0"/>
        <w:jc w:val="center"/>
        <w:outlineLvl w:val="2"/>
        <w:rPr>
          <w:rFonts w:hint="eastAsia" w:ascii="Times New Roman" w:hAnsi="Times New Roman"/>
          <w:snapToGrid w:val="0"/>
          <w:color w:val="auto"/>
          <w:kern w:val="0"/>
          <w:highlight w:val="none"/>
          <w:shd w:val="clear" w:color="auto" w:fill="auto"/>
        </w:rPr>
      </w:pPr>
      <w:bookmarkStart w:id="378" w:name="_Toc22709"/>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三</w:t>
      </w:r>
      <w:r>
        <w:rPr>
          <w:rFonts w:hint="eastAsia" w:ascii="Times New Roman" w:hAnsi="Times New Roman"/>
          <w:color w:val="auto"/>
          <w:highlight w:val="none"/>
          <w:shd w:val="clear" w:color="auto" w:fill="auto"/>
          <w:lang w:eastAsia="zh-CN"/>
        </w:rPr>
        <w:t>）</w:t>
      </w:r>
      <w:r>
        <w:rPr>
          <w:rFonts w:hint="eastAsia" w:ascii="Times New Roman" w:hAnsi="Times New Roman"/>
          <w:snapToGrid w:val="0"/>
          <w:color w:val="auto"/>
          <w:kern w:val="0"/>
          <w:highlight w:val="none"/>
          <w:shd w:val="clear" w:color="auto" w:fill="auto"/>
        </w:rPr>
        <w:t>项目组成员简历信息</w:t>
      </w:r>
      <w:bookmarkEnd w:id="378"/>
    </w:p>
    <w:p>
      <w:pPr>
        <w:rPr>
          <w:rFonts w:hint="eastAsia" w:ascii="Times New Roman" w:hAnsi="Times New Roman"/>
          <w:snapToGrid w:val="0"/>
          <w:color w:val="auto"/>
          <w:kern w:val="0"/>
          <w:highlight w:val="none"/>
          <w:shd w:val="clear" w:color="auto" w:fill="auto"/>
          <w:lang w:eastAsia="zh-CN"/>
        </w:rPr>
      </w:pPr>
      <w:r>
        <w:rPr>
          <w:rFonts w:hint="eastAsia" w:ascii="Times New Roman" w:hAnsi="Times New Roman"/>
          <w:snapToGrid w:val="0"/>
          <w:color w:val="auto"/>
          <w:kern w:val="0"/>
          <w:highlight w:val="none"/>
          <w:shd w:val="clear" w:color="auto" w:fill="auto"/>
          <w:lang w:eastAsia="zh-CN"/>
        </w:rPr>
        <w:br w:type="page"/>
      </w:r>
    </w:p>
    <w:p>
      <w:pPr>
        <w:autoSpaceDE/>
        <w:autoSpaceDN/>
        <w:ind w:firstLine="0" w:firstLineChars="0"/>
        <w:jc w:val="center"/>
        <w:outlineLvl w:val="2"/>
        <w:rPr>
          <w:rFonts w:hint="eastAsia" w:ascii="Times New Roman" w:hAnsi="Times New Roman"/>
          <w:color w:val="auto"/>
          <w:highlight w:val="none"/>
          <w:shd w:val="clear" w:color="auto" w:fill="auto"/>
        </w:rPr>
      </w:pPr>
      <w:bookmarkStart w:id="379" w:name="_Toc30555"/>
      <w:r>
        <w:rPr>
          <w:rFonts w:hint="eastAsia" w:ascii="Times New Roman" w:hAnsi="Times New Roman"/>
          <w:snapToGrid w:val="0"/>
          <w:color w:val="auto"/>
          <w:kern w:val="0"/>
          <w:highlight w:val="none"/>
          <w:shd w:val="clear" w:color="auto" w:fill="auto"/>
          <w:lang w:eastAsia="zh-CN"/>
        </w:rPr>
        <w:t>（</w:t>
      </w:r>
      <w:r>
        <w:rPr>
          <w:rFonts w:hint="eastAsia" w:ascii="Times New Roman" w:hAnsi="Times New Roman"/>
          <w:snapToGrid w:val="0"/>
          <w:color w:val="auto"/>
          <w:kern w:val="0"/>
          <w:highlight w:val="none"/>
          <w:shd w:val="clear" w:color="auto" w:fill="auto"/>
          <w:lang w:val="en-US" w:eastAsia="zh-CN"/>
        </w:rPr>
        <w:t>四</w:t>
      </w:r>
      <w:r>
        <w:rPr>
          <w:rFonts w:hint="eastAsia" w:ascii="Times New Roman" w:hAnsi="Times New Roman"/>
          <w:snapToGrid w:val="0"/>
          <w:color w:val="auto"/>
          <w:kern w:val="0"/>
          <w:highlight w:val="none"/>
          <w:shd w:val="clear" w:color="auto" w:fill="auto"/>
          <w:lang w:eastAsia="zh-CN"/>
        </w:rPr>
        <w:t>）</w:t>
      </w:r>
      <w:r>
        <w:rPr>
          <w:rFonts w:hint="eastAsia" w:ascii="Times New Roman" w:hAnsi="Times New Roman"/>
          <w:color w:val="auto"/>
          <w:highlight w:val="none"/>
          <w:shd w:val="clear" w:color="auto" w:fill="auto"/>
        </w:rPr>
        <w:t>项目实施要求</w:t>
      </w:r>
      <w:bookmarkEnd w:id="379"/>
    </w:p>
    <w:p>
      <w:pPr>
        <w:rPr>
          <w:rFonts w:hint="eastAsia" w:ascii="Times New Roman" w:hAnsi="Times New Roman"/>
          <w:color w:val="auto"/>
          <w:highlight w:val="none"/>
          <w:shd w:val="clear" w:color="auto" w:fill="auto"/>
          <w:lang w:eastAsia="zh-CN"/>
        </w:rPr>
      </w:pPr>
      <w:r>
        <w:rPr>
          <w:rFonts w:hint="eastAsia" w:ascii="Times New Roman" w:hAnsi="Times New Roman"/>
          <w:color w:val="auto"/>
          <w:highlight w:val="none"/>
          <w:shd w:val="clear" w:color="auto" w:fill="auto"/>
          <w:lang w:eastAsia="zh-CN"/>
        </w:rPr>
        <w:br w:type="page"/>
      </w:r>
    </w:p>
    <w:p>
      <w:pPr>
        <w:autoSpaceDE/>
        <w:autoSpaceDN/>
        <w:ind w:firstLine="0" w:firstLineChars="0"/>
        <w:jc w:val="center"/>
        <w:outlineLvl w:val="2"/>
        <w:rPr>
          <w:rFonts w:hint="eastAsia" w:ascii="Times New Roman" w:hAnsi="Times New Roman"/>
          <w:color w:val="auto"/>
          <w:highlight w:val="none"/>
          <w:shd w:val="clear" w:color="auto" w:fill="auto"/>
          <w:lang w:val="en-US" w:eastAsia="zh-CN"/>
        </w:rPr>
      </w:pPr>
      <w:bookmarkStart w:id="380" w:name="_Toc8537"/>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五</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售后</w:t>
      </w:r>
      <w:r>
        <w:rPr>
          <w:rFonts w:hint="eastAsia" w:ascii="Times New Roman" w:hAnsi="Times New Roman"/>
          <w:color w:val="auto"/>
          <w:highlight w:val="none"/>
          <w:shd w:val="clear" w:color="auto" w:fill="auto"/>
        </w:rPr>
        <w:t>服务和支持</w:t>
      </w:r>
      <w:r>
        <w:rPr>
          <w:rFonts w:hint="eastAsia" w:ascii="Times New Roman" w:hAnsi="Times New Roman"/>
          <w:color w:val="auto"/>
          <w:highlight w:val="none"/>
          <w:shd w:val="clear" w:color="auto" w:fill="auto"/>
          <w:lang w:val="en-US" w:eastAsia="zh-CN"/>
        </w:rPr>
        <w:t>方案</w:t>
      </w:r>
      <w:bookmarkEnd w:id="380"/>
    </w:p>
    <w:p>
      <w:pPr>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br w:type="page"/>
      </w:r>
    </w:p>
    <w:p>
      <w:pPr>
        <w:autoSpaceDE/>
        <w:autoSpaceDN/>
        <w:ind w:firstLine="0" w:firstLineChars="0"/>
        <w:jc w:val="center"/>
        <w:outlineLvl w:val="2"/>
        <w:rPr>
          <w:rFonts w:ascii="Times New Roman" w:hAnsi="Times New Roman"/>
          <w:color w:val="auto"/>
          <w:highlight w:val="none"/>
          <w:shd w:val="clear" w:color="auto" w:fill="auto"/>
        </w:rPr>
      </w:pPr>
      <w:bookmarkStart w:id="381" w:name="_Toc2173"/>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rPr>
        <w:t>服务连续性预案</w:t>
      </w:r>
      <w:bookmarkEnd w:id="381"/>
    </w:p>
    <w:p>
      <w:pPr>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br w:type="page"/>
      </w:r>
    </w:p>
    <w:p>
      <w:pPr>
        <w:autoSpaceDE/>
        <w:autoSpaceDN/>
        <w:ind w:firstLine="0" w:firstLineChars="0"/>
        <w:jc w:val="center"/>
        <w:outlineLvl w:val="2"/>
        <w:rPr>
          <w:rFonts w:hint="eastAsia" w:ascii="Times New Roman" w:hAnsi="Times New Roman"/>
          <w:color w:val="auto"/>
          <w:highlight w:val="none"/>
          <w:shd w:val="clear" w:color="auto" w:fill="auto"/>
          <w:lang w:val="en-US" w:eastAsia="zh-CN"/>
        </w:rPr>
      </w:pPr>
      <w:bookmarkStart w:id="382" w:name="_Toc32490"/>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rPr>
        <w:t>项目实施方案</w:t>
      </w:r>
      <w:bookmarkEnd w:id="382"/>
    </w:p>
    <w:p>
      <w:pPr>
        <w:rPr>
          <w:rFonts w:hint="eastAsia" w:ascii="Times New Roman" w:hAnsi="Times New Roman" w:eastAsia="宋体"/>
          <w:color w:val="auto"/>
          <w:highlight w:val="none"/>
          <w:shd w:val="clear" w:color="auto" w:fill="auto"/>
        </w:rPr>
      </w:pPr>
      <w:r>
        <w:rPr>
          <w:rFonts w:hint="eastAsia" w:ascii="Times New Roman" w:hAnsi="Times New Roman" w:eastAsia="宋体"/>
          <w:color w:val="auto"/>
          <w:highlight w:val="none"/>
          <w:shd w:val="clear" w:color="auto" w:fill="auto"/>
        </w:rPr>
        <w:br w:type="page"/>
      </w:r>
    </w:p>
    <w:p>
      <w:pPr>
        <w:pStyle w:val="30"/>
        <w:rPr>
          <w:rFonts w:hint="eastAsia" w:ascii="Times New Roman" w:hAnsi="Times New Roman" w:eastAsia="宋体"/>
          <w:color w:val="auto"/>
          <w:highlight w:val="none"/>
          <w:shd w:val="clear" w:color="auto" w:fill="auto"/>
        </w:rPr>
      </w:pPr>
      <w:bookmarkStart w:id="383" w:name="_Toc18057"/>
      <w:r>
        <w:rPr>
          <w:rFonts w:hint="eastAsia" w:ascii="Times New Roman" w:hAnsi="Times New Roman" w:eastAsia="宋体"/>
          <w:color w:val="auto"/>
          <w:highlight w:val="none"/>
          <w:shd w:val="clear" w:color="auto" w:fill="auto"/>
        </w:rPr>
        <w:t>五、参选保证金</w:t>
      </w:r>
      <w:bookmarkEnd w:id="383"/>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p>
    <w:p>
      <w:pPr>
        <w:adjustRightInd w:val="0"/>
        <w:snapToGrid w:val="0"/>
        <w:spacing w:line="360" w:lineRule="auto"/>
        <w:jc w:val="left"/>
        <w:rPr>
          <w:rFonts w:ascii="Times New Roman" w:hAnsi="Times New Roman"/>
          <w:color w:val="auto"/>
          <w:kern w:val="0"/>
          <w:highlight w:val="none"/>
          <w:shd w:val="clear" w:color="auto" w:fill="auto"/>
        </w:rPr>
      </w:pPr>
      <w:r>
        <w:rPr>
          <w:rFonts w:ascii="Times New Roman" w:hAnsi="Times New Roman"/>
          <w:color w:val="auto"/>
          <w:highlight w:val="none"/>
          <w:shd w:val="clear" w:color="auto" w:fill="auto"/>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UxcCBR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U0oM03jh&#10;t59//Pr09ffPL7jefv9G8ihS53yBuUuzhsHzbg2R8b4GHf/IheyTsIejsGIfCMfNfJbPrvIpJfwu&#10;lp0OOvDhhbCaRKOkSprImRVs98oHLIapdylx29gbqVS6N2VIh41P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FMXAgU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保证金交款凭据复印件</w:t>
      </w:r>
    </w:p>
    <w:p>
      <w:pPr>
        <w:rPr>
          <w:rFonts w:hint="eastAsia" w:ascii="Times New Roman" w:hAnsi="Times New Roman" w:eastAsia="宋体"/>
          <w:color w:val="auto"/>
          <w:highlight w:val="none"/>
          <w:shd w:val="clear" w:color="auto" w:fill="auto"/>
        </w:rPr>
      </w:pPr>
      <w:r>
        <w:rPr>
          <w:rFonts w:hint="eastAsia" w:ascii="Times New Roman" w:hAnsi="Times New Roman" w:eastAsia="宋体"/>
          <w:color w:val="auto"/>
          <w:highlight w:val="none"/>
          <w:shd w:val="clear" w:color="auto" w:fill="auto"/>
        </w:rPr>
        <w:br w:type="page"/>
      </w:r>
    </w:p>
    <w:p>
      <w:pPr>
        <w:pStyle w:val="30"/>
        <w:rPr>
          <w:rFonts w:hint="eastAsia" w:ascii="Times New Roman" w:hAnsi="Times New Roman" w:eastAsia="宋体"/>
          <w:color w:val="auto"/>
          <w:highlight w:val="none"/>
          <w:shd w:val="clear" w:color="auto" w:fill="auto"/>
        </w:rPr>
      </w:pPr>
      <w:bookmarkStart w:id="384" w:name="_Toc9131"/>
      <w:r>
        <w:rPr>
          <w:rFonts w:hint="eastAsia" w:ascii="Times New Roman" w:hAnsi="Times New Roman" w:eastAsia="宋体"/>
          <w:color w:val="auto"/>
          <w:highlight w:val="none"/>
          <w:shd w:val="clear" w:color="auto" w:fill="auto"/>
        </w:rPr>
        <w:t>六、服务水平协议（SLA）</w:t>
      </w:r>
      <w:bookmarkEnd w:id="384"/>
    </w:p>
    <w:tbl>
      <w:tblPr>
        <w:tblStyle w:val="20"/>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10"/>
        <w:gridCol w:w="1134"/>
        <w:gridCol w:w="1701"/>
        <w:gridCol w:w="1559"/>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序号</w:t>
            </w:r>
          </w:p>
        </w:tc>
        <w:tc>
          <w:tcPr>
            <w:tcW w:w="710" w:type="dxa"/>
            <w:tcBorders>
              <w:left w:val="single" w:color="auto" w:sz="4" w:space="0"/>
            </w:tcBorders>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服务内容</w:t>
            </w:r>
          </w:p>
        </w:tc>
        <w:tc>
          <w:tcPr>
            <w:tcW w:w="1134" w:type="dxa"/>
            <w:tcBorders>
              <w:left w:val="single" w:color="auto" w:sz="4" w:space="0"/>
            </w:tcBorders>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服务定义</w:t>
            </w:r>
          </w:p>
        </w:tc>
        <w:tc>
          <w:tcPr>
            <w:tcW w:w="1701" w:type="dxa"/>
            <w:tcBorders>
              <w:left w:val="single" w:color="auto" w:sz="4" w:space="0"/>
            </w:tcBorders>
            <w:shd w:val="clear" w:color="auto" w:fill="auto"/>
            <w:vAlign w:val="center"/>
          </w:tcPr>
          <w:p>
            <w:pPr>
              <w:widowControl/>
              <w:ind w:left="0" w:firstLine="316" w:firstLineChars="150"/>
              <w:rPr>
                <w:rFonts w:ascii="宋体" w:eastAsia="宋体"/>
                <w:b/>
                <w:spacing w:val="0"/>
                <w:sz w:val="21"/>
                <w:szCs w:val="21"/>
              </w:rPr>
            </w:pPr>
            <w:r>
              <w:rPr>
                <w:rFonts w:hint="eastAsia" w:ascii="宋体" w:eastAsia="宋体"/>
                <w:b/>
                <w:spacing w:val="0"/>
                <w:sz w:val="21"/>
                <w:szCs w:val="21"/>
              </w:rPr>
              <w:t>服务标准</w:t>
            </w:r>
          </w:p>
        </w:tc>
        <w:tc>
          <w:tcPr>
            <w:tcW w:w="1559" w:type="dxa"/>
            <w:tcBorders>
              <w:left w:val="single" w:color="auto" w:sz="4" w:space="0"/>
            </w:tcBorders>
            <w:shd w:val="clear" w:color="auto" w:fill="auto"/>
            <w:vAlign w:val="center"/>
          </w:tcPr>
          <w:p>
            <w:pPr>
              <w:widowControl/>
              <w:jc w:val="center"/>
              <w:rPr>
                <w:rFonts w:ascii="宋体" w:eastAsia="宋体"/>
                <w:b/>
                <w:spacing w:val="0"/>
                <w:sz w:val="21"/>
                <w:szCs w:val="21"/>
              </w:rPr>
            </w:pPr>
            <w:r>
              <w:rPr>
                <w:rFonts w:hint="eastAsia" w:ascii="宋体" w:eastAsia="宋体"/>
                <w:b/>
                <w:spacing w:val="0"/>
                <w:sz w:val="21"/>
                <w:szCs w:val="21"/>
              </w:rPr>
              <w:t>指标计算</w:t>
            </w:r>
          </w:p>
        </w:tc>
        <w:tc>
          <w:tcPr>
            <w:tcW w:w="1843" w:type="dxa"/>
            <w:tcBorders>
              <w:left w:val="single" w:color="auto" w:sz="4" w:space="0"/>
            </w:tcBorders>
            <w:shd w:val="clear" w:color="auto" w:fill="auto"/>
            <w:vAlign w:val="center"/>
          </w:tcPr>
          <w:p>
            <w:pPr>
              <w:widowControl/>
              <w:ind w:left="0" w:firstLine="0" w:firstLineChars="0"/>
              <w:rPr>
                <w:rFonts w:ascii="宋体" w:eastAsia="宋体"/>
                <w:b/>
                <w:bCs/>
                <w:spacing w:val="0"/>
                <w:sz w:val="21"/>
                <w:szCs w:val="21"/>
              </w:rPr>
            </w:pPr>
            <w:r>
              <w:rPr>
                <w:rFonts w:hint="eastAsia" w:ascii="宋体" w:eastAsia="宋体"/>
                <w:b/>
                <w:bCs/>
                <w:spacing w:val="0"/>
                <w:sz w:val="21"/>
                <w:szCs w:val="21"/>
              </w:rPr>
              <w:t>服务水平要求</w:t>
            </w:r>
          </w:p>
        </w:tc>
        <w:tc>
          <w:tcPr>
            <w:tcW w:w="1701" w:type="dxa"/>
            <w:tcBorders>
              <w:left w:val="single" w:color="auto" w:sz="4" w:space="0"/>
            </w:tcBorders>
            <w:shd w:val="clear" w:color="auto" w:fill="auto"/>
            <w:vAlign w:val="center"/>
          </w:tcPr>
          <w:p>
            <w:pPr>
              <w:widowControl/>
              <w:ind w:left="0" w:firstLine="0" w:firstLineChars="0"/>
              <w:rPr>
                <w:rFonts w:ascii="宋体" w:eastAsia="宋体"/>
                <w:b/>
                <w:spacing w:val="0"/>
                <w:sz w:val="21"/>
                <w:szCs w:val="21"/>
              </w:rPr>
            </w:pPr>
            <w:r>
              <w:rPr>
                <w:rFonts w:hint="eastAsia" w:ascii="宋体" w:eastAsia="宋体"/>
                <w:b/>
                <w:spacing w:val="0"/>
                <w:sz w:val="21"/>
                <w:szCs w:val="21"/>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1</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任务响应</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衡量乙方在需求与问题响应方面的能力</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乙方在收到甲方任务后2个工作日内，向甲方反馈确认任务的实施方案、计划和工作量等</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甲方应当明确任务提出时间，乙方应当向甲方发出一个确认任务响应信息</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乙方不得违反承诺响应时间</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如违反承诺的响应时间要求，每次扣除1000元违约金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ascii="宋体" w:eastAsia="宋体"/>
                <w:spacing w:val="0"/>
                <w:sz w:val="21"/>
                <w:szCs w:val="21"/>
              </w:rPr>
              <w:t>2</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项目延期</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衡量乙方对项目整体实施进度的控制能力</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乙方原因导致的项目进度偏差</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按项目计划为基准计算进度偏差天数（进度偏差率≤20%）</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进度偏差率=进度偏差天数/项目计划中进度天数（进度偏差率≤20%）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20%＜进度偏差率≤30%，每偏差一天按合同总金额的0.1%计违约金，进度偏差率＞30%并且延期3个月以上，违约金为合同总金额的10%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3</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任务完成情况</w:t>
            </w:r>
          </w:p>
        </w:tc>
        <w:tc>
          <w:tcPr>
            <w:tcW w:w="1134" w:type="dxa"/>
            <w:tcBorders>
              <w:left w:val="single" w:color="auto" w:sz="4" w:space="0"/>
            </w:tcBorders>
            <w:shd w:val="clear" w:color="auto" w:fill="auto"/>
            <w:vAlign w:val="center"/>
          </w:tcPr>
          <w:p>
            <w:pPr>
              <w:widowControl/>
              <w:snapToGrid w:val="0"/>
              <w:spacing w:line="300" w:lineRule="exact"/>
              <w:jc w:val="left"/>
              <w:rPr>
                <w:rFonts w:ascii="宋体" w:hAnsi="宋体"/>
                <w:sz w:val="21"/>
                <w:szCs w:val="21"/>
              </w:rPr>
            </w:pPr>
            <w:r>
              <w:rPr>
                <w:rFonts w:hint="eastAsia" w:ascii="宋体" w:eastAsia="宋体"/>
                <w:spacing w:val="0"/>
                <w:sz w:val="21"/>
                <w:szCs w:val="21"/>
              </w:rPr>
              <w:t>衡量乙方按计划完成任务的能力</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乙方应当在双方确认的时间内完成任务</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p>
          <w:p>
            <w:pPr>
              <w:widowControl/>
              <w:spacing w:line="300" w:lineRule="exact"/>
              <w:jc w:val="left"/>
              <w:rPr>
                <w:rFonts w:ascii="宋体" w:eastAsia="宋体"/>
                <w:spacing w:val="0"/>
                <w:sz w:val="21"/>
                <w:szCs w:val="21"/>
              </w:rPr>
            </w:pPr>
            <w:r>
              <w:rPr>
                <w:rFonts w:hint="eastAsia" w:ascii="宋体" w:eastAsia="宋体"/>
                <w:spacing w:val="0"/>
                <w:sz w:val="21"/>
                <w:szCs w:val="21"/>
              </w:rPr>
              <w:t>甲方标识出每一项任务完成的具体时间，对比乙方给出的任务完成计划时间</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1.需求分析说明、概要设计、详细设计100%完成；</w:t>
            </w:r>
          </w:p>
          <w:p>
            <w:pPr>
              <w:widowControl/>
              <w:spacing w:line="300" w:lineRule="exact"/>
              <w:jc w:val="left"/>
              <w:rPr>
                <w:rFonts w:ascii="宋体" w:eastAsia="宋体"/>
                <w:spacing w:val="0"/>
                <w:sz w:val="21"/>
                <w:szCs w:val="21"/>
              </w:rPr>
            </w:pPr>
            <w:r>
              <w:rPr>
                <w:rFonts w:hint="eastAsia" w:ascii="宋体" w:eastAsia="宋体"/>
                <w:spacing w:val="0"/>
                <w:sz w:val="21"/>
                <w:szCs w:val="21"/>
              </w:rPr>
              <w:t>2.软件编码100%完成；</w:t>
            </w:r>
          </w:p>
          <w:p>
            <w:pPr>
              <w:widowControl/>
              <w:spacing w:line="300" w:lineRule="exact"/>
              <w:jc w:val="left"/>
              <w:rPr>
                <w:rFonts w:ascii="宋体" w:eastAsia="宋体"/>
                <w:spacing w:val="0"/>
                <w:sz w:val="21"/>
                <w:szCs w:val="21"/>
              </w:rPr>
            </w:pPr>
            <w:r>
              <w:rPr>
                <w:rFonts w:hint="eastAsia" w:ascii="宋体" w:eastAsia="宋体"/>
                <w:spacing w:val="0"/>
                <w:sz w:val="21"/>
                <w:szCs w:val="21"/>
              </w:rPr>
              <w:t>3.测试案例需求覆盖率100%，且测试案例执行率100%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以上三个指标之一低于90%甲方有权终止合同，追回支付款项，要求赔偿损失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4</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上线后重大质量缺陷</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衡量乙方在系统上线运行后的稳定性</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cs="宋体"/>
                <w:spacing w:val="0"/>
                <w:sz w:val="21"/>
                <w:szCs w:val="21"/>
              </w:rPr>
              <w:t>系统上线后不能发生较大运营中断事件和重大质量缺陷</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甲方根据系统</w:t>
            </w:r>
            <w:r>
              <w:rPr>
                <w:rFonts w:hint="eastAsia" w:ascii="宋体" w:eastAsia="宋体" w:cs="宋体"/>
                <w:spacing w:val="0"/>
                <w:sz w:val="21"/>
                <w:szCs w:val="21"/>
              </w:rPr>
              <w:t>生产缺陷程度</w:t>
            </w:r>
            <w:r>
              <w:rPr>
                <w:rFonts w:hint="eastAsia" w:ascii="宋体" w:eastAsia="宋体"/>
                <w:spacing w:val="0"/>
                <w:sz w:val="21"/>
                <w:szCs w:val="21"/>
              </w:rPr>
              <w:t>和数量判定</w:t>
            </w:r>
          </w:p>
        </w:tc>
        <w:tc>
          <w:tcPr>
            <w:tcW w:w="1843" w:type="dxa"/>
            <w:tcBorders>
              <w:left w:val="single" w:color="auto" w:sz="4" w:space="0"/>
            </w:tcBorders>
            <w:shd w:val="clear" w:color="auto" w:fill="auto"/>
            <w:vAlign w:val="center"/>
          </w:tcPr>
          <w:p>
            <w:pPr>
              <w:autoSpaceDE w:val="0"/>
              <w:autoSpaceDN w:val="0"/>
              <w:spacing w:line="300" w:lineRule="exact"/>
              <w:rPr>
                <w:rFonts w:ascii="宋体" w:eastAsia="宋体" w:cs="宋体"/>
                <w:spacing w:val="0"/>
                <w:sz w:val="21"/>
                <w:szCs w:val="21"/>
              </w:rPr>
            </w:pPr>
            <w:r>
              <w:rPr>
                <w:rFonts w:hint="eastAsia" w:ascii="宋体" w:eastAsia="宋体" w:cs="宋体"/>
                <w:spacing w:val="0"/>
                <w:sz w:val="21"/>
                <w:szCs w:val="21"/>
              </w:rPr>
              <w:t>1、应用软件未出现III级(含)以上的运营中断事件；</w:t>
            </w:r>
          </w:p>
          <w:p>
            <w:pPr>
              <w:autoSpaceDE w:val="0"/>
              <w:autoSpaceDN w:val="0"/>
              <w:spacing w:line="300" w:lineRule="exact"/>
              <w:rPr>
                <w:rFonts w:ascii="宋体" w:eastAsia="宋体" w:cs="宋体"/>
                <w:spacing w:val="0"/>
                <w:sz w:val="21"/>
                <w:szCs w:val="21"/>
              </w:rPr>
            </w:pPr>
            <w:r>
              <w:rPr>
                <w:rFonts w:hint="eastAsia" w:ascii="宋体" w:eastAsia="宋体" w:cs="宋体"/>
                <w:spacing w:val="0"/>
                <w:sz w:val="21"/>
                <w:szCs w:val="21"/>
              </w:rPr>
              <w:t>2、应用软件未出现严重缺陷和致命缺陷；</w:t>
            </w:r>
          </w:p>
          <w:p>
            <w:pPr>
              <w:widowControl/>
              <w:spacing w:line="300" w:lineRule="exact"/>
              <w:jc w:val="left"/>
              <w:rPr>
                <w:rFonts w:ascii="宋体" w:eastAsia="宋体"/>
                <w:spacing w:val="0"/>
                <w:sz w:val="21"/>
                <w:szCs w:val="21"/>
              </w:rPr>
            </w:pPr>
            <w:r>
              <w:rPr>
                <w:rFonts w:hint="eastAsia" w:ascii="宋体" w:eastAsia="宋体" w:cs="宋体"/>
                <w:spacing w:val="0"/>
                <w:sz w:val="21"/>
                <w:szCs w:val="21"/>
              </w:rPr>
              <w:t xml:space="preserve">3、一般和微小缺陷逃逸率≤4.5% </w:t>
            </w:r>
          </w:p>
        </w:tc>
        <w:tc>
          <w:tcPr>
            <w:tcW w:w="1701" w:type="dxa"/>
            <w:tcBorders>
              <w:left w:val="single" w:color="auto" w:sz="4" w:space="0"/>
            </w:tcBorders>
            <w:shd w:val="clear" w:color="auto" w:fill="auto"/>
            <w:vAlign w:val="center"/>
          </w:tcPr>
          <w:p>
            <w:pPr>
              <w:autoSpaceDE w:val="0"/>
              <w:autoSpaceDN w:val="0"/>
              <w:spacing w:line="300" w:lineRule="exact"/>
              <w:rPr>
                <w:rFonts w:ascii="宋体" w:eastAsia="宋体"/>
                <w:spacing w:val="0"/>
                <w:sz w:val="21"/>
                <w:szCs w:val="21"/>
              </w:rPr>
            </w:pPr>
            <w:r>
              <w:rPr>
                <w:rFonts w:hint="eastAsia" w:ascii="宋体" w:eastAsia="宋体" w:cs="宋体"/>
                <w:spacing w:val="0"/>
                <w:sz w:val="21"/>
                <w:szCs w:val="21"/>
              </w:rPr>
              <w:t>不满足该项任一标准扣除2万元违约金并要求乙方赔偿损失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5</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上线后重大问题处理</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衡量乙方在系统上线运行后及时处理重大问题的能力</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上线后遗留问题或生产缺陷解决的及时性</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甲方根据系统上线运行后的重大问题处理情况判定</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生产缺陷解决及时率=100%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重大生产缺陷、问题不能得到及时解决，每次按合同总金额的5%计违约金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567" w:type="dxa"/>
            <w:shd w:val="clear" w:color="auto" w:fill="auto"/>
            <w:vAlign w:val="center"/>
          </w:tcPr>
          <w:p>
            <w:pPr>
              <w:widowControl/>
              <w:snapToGrid w:val="0"/>
              <w:spacing w:line="300" w:lineRule="exact"/>
              <w:ind w:left="0" w:firstLine="0" w:firstLineChars="0"/>
              <w:rPr>
                <w:rFonts w:ascii="宋体" w:hAnsi="宋体"/>
                <w:sz w:val="21"/>
                <w:szCs w:val="21"/>
              </w:rPr>
            </w:pPr>
            <w:r>
              <w:rPr>
                <w:rFonts w:hint="eastAsia" w:ascii="宋体" w:hAnsi="宋体"/>
                <w:sz w:val="21"/>
                <w:szCs w:val="21"/>
              </w:rPr>
              <w:t>6</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人力资源投入及人员稳定性</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衡量乙方人员服务的符合度及人员稳定性</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投入人员情况符合投标文件或合同要求，乙方项目组人员变动比例不得高于30%</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甲方按合同要求判定乙方人员投入及变动情况</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人员数量差异=承诺人数-实际人数</w:t>
            </w:r>
          </w:p>
          <w:p>
            <w:pPr>
              <w:widowControl/>
              <w:spacing w:line="300" w:lineRule="exact"/>
              <w:jc w:val="left"/>
              <w:rPr>
                <w:rFonts w:ascii="宋体" w:eastAsia="宋体"/>
                <w:spacing w:val="0"/>
                <w:sz w:val="21"/>
                <w:szCs w:val="21"/>
              </w:rPr>
            </w:pPr>
            <w:r>
              <w:rPr>
                <w:rFonts w:hint="eastAsia" w:ascii="宋体" w:eastAsia="宋体"/>
                <w:spacing w:val="0"/>
                <w:sz w:val="21"/>
                <w:szCs w:val="21"/>
              </w:rPr>
              <w:t>人员变动率=人员变动人数/原项目组人员总人数</w:t>
            </w:r>
            <w:r>
              <w:rPr>
                <w:rFonts w:hint="eastAsia" w:ascii="宋体" w:eastAsia="宋体"/>
                <w:spacing w:val="0"/>
                <w:sz w:val="21"/>
                <w:szCs w:val="21"/>
              </w:rPr>
              <w:br w:type="textWrapping"/>
            </w:r>
            <w:r>
              <w:rPr>
                <w:rFonts w:hint="eastAsia" w:ascii="宋体" w:eastAsia="宋体"/>
                <w:spacing w:val="0"/>
                <w:sz w:val="21"/>
                <w:szCs w:val="21"/>
              </w:rPr>
              <w:t>（人员数量差异≤2；技术骨干及项目经理不得变动；技术人员变动率≤30%）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技术骨干及项目经理变动扣除技术骨干人月单价（至少不低于3万元），技术人员变动超过30%，扣除合同总金额10%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7</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测试人员配置</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衡量乙方投入系统测试人员的符合度</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投入系统测试人员情况符合投标文件或合同要求</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甲方按照合同或标书要求判定乙方测试人员投入情况</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人员重合率=测试人员/开发人员（人员重合率=0）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8</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人员异常退出</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衡量乙方人员是否提供持续服务</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未经甲方同意，乙方人员辞职和离职或无计划的调离项目组</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甲方根据乙方人员退出的具体时间和原因测算</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人员异常退出次数=0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每次人员异常退出扣除乙方金额人民币1000元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9</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人员纪律性</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衡量乙方人员是否遵守甲方的日常规章和操作规范</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乙方人员不得违反甲方的各项规章制度和操作规范</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甲方根据自身检查及其他管理部门的检查结果为依据统计乙方人员违规次数。</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人员违规次数=0次</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乙方人员违反甲方规章制度或操作规范，每次扣除乙方金额人民币500元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10</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安全管理</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衡量乙方网络和信息安全服务的管理能力</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针对发现的安全漏洞及安全缺陷（包括源代码、第三方SDK或第三方小程序、第三方软件产品及开源组件等），须按甲方要求完成整改。</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甲方根据整改情况统计整改及时性及整改通过率。</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互联网或电子银行类系统：</w:t>
            </w:r>
          </w:p>
          <w:p>
            <w:pPr>
              <w:widowControl/>
              <w:spacing w:line="300" w:lineRule="exact"/>
              <w:jc w:val="left"/>
              <w:rPr>
                <w:rFonts w:ascii="宋体" w:eastAsia="宋体"/>
                <w:spacing w:val="0"/>
                <w:sz w:val="21"/>
                <w:szCs w:val="21"/>
              </w:rPr>
            </w:pPr>
            <w:r>
              <w:rPr>
                <w:rFonts w:hint="eastAsia" w:ascii="宋体" w:eastAsia="宋体"/>
                <w:spacing w:val="0"/>
                <w:sz w:val="21"/>
                <w:szCs w:val="21"/>
              </w:rPr>
              <w:t>1.安全漏洞及安全缺陷整改及时率=100%</w:t>
            </w:r>
          </w:p>
          <w:p>
            <w:pPr>
              <w:spacing w:line="300" w:lineRule="exact"/>
              <w:rPr>
                <w:rFonts w:ascii="宋体" w:eastAsia="宋体"/>
                <w:spacing w:val="0"/>
                <w:sz w:val="21"/>
                <w:szCs w:val="21"/>
              </w:rPr>
            </w:pPr>
            <w:r>
              <w:rPr>
                <w:rFonts w:hint="eastAsia" w:ascii="宋体" w:eastAsia="宋体"/>
                <w:spacing w:val="0"/>
                <w:sz w:val="21"/>
                <w:szCs w:val="21"/>
              </w:rPr>
              <w:t>2.安全漏洞及安全缺陷整改通过率=100%</w:t>
            </w:r>
          </w:p>
          <w:p>
            <w:pPr>
              <w:widowControl/>
              <w:spacing w:line="300" w:lineRule="exact"/>
              <w:jc w:val="left"/>
              <w:rPr>
                <w:rFonts w:ascii="宋体" w:eastAsia="宋体"/>
                <w:spacing w:val="0"/>
                <w:sz w:val="21"/>
                <w:szCs w:val="21"/>
              </w:rPr>
            </w:pPr>
            <w:r>
              <w:rPr>
                <w:rFonts w:hint="eastAsia" w:ascii="宋体" w:eastAsia="宋体"/>
                <w:spacing w:val="0"/>
                <w:sz w:val="21"/>
                <w:szCs w:val="21"/>
              </w:rPr>
              <w:t>非互联网或电子银行类系统：</w:t>
            </w:r>
          </w:p>
          <w:p>
            <w:pPr>
              <w:widowControl/>
              <w:spacing w:line="300" w:lineRule="exact"/>
              <w:jc w:val="left"/>
              <w:rPr>
                <w:rFonts w:ascii="宋体" w:eastAsia="宋体"/>
                <w:spacing w:val="0"/>
                <w:sz w:val="21"/>
                <w:szCs w:val="21"/>
              </w:rPr>
            </w:pPr>
            <w:r>
              <w:rPr>
                <w:rFonts w:hint="eastAsia" w:ascii="宋体" w:eastAsia="宋体"/>
                <w:spacing w:val="0"/>
                <w:sz w:val="21"/>
                <w:szCs w:val="21"/>
              </w:rPr>
              <w:t>1.中高危安全漏洞及安全缺陷整改及时率=100%</w:t>
            </w:r>
          </w:p>
          <w:p>
            <w:pPr>
              <w:spacing w:line="300" w:lineRule="exact"/>
              <w:rPr>
                <w:rFonts w:ascii="宋体" w:eastAsia="宋体"/>
                <w:spacing w:val="0"/>
                <w:sz w:val="21"/>
                <w:szCs w:val="21"/>
              </w:rPr>
            </w:pPr>
            <w:r>
              <w:rPr>
                <w:rFonts w:hint="eastAsia" w:ascii="宋体" w:eastAsia="宋体"/>
                <w:spacing w:val="0"/>
                <w:sz w:val="21"/>
                <w:szCs w:val="21"/>
              </w:rPr>
              <w:t>2.中高危安全漏洞及安全缺陷整改通过率=100%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不满足该项任一标准扣除2万元违约金并要求乙方赔偿损失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11</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网络安全事件</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控制网络安全风险</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不得因乙方原因（含乙方合作的第三方）导致甲方发生网络安全事件</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甲方根据监管及本行要求及事件危害程度判定。</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网络安全事件=0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每发生一次网络安全事件扣除乙方合同金额不低于3%,并要求乙方赔偿实际损失。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12</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外包安全事件</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ascii="宋体" w:eastAsia="宋体"/>
                <w:spacing w:val="0"/>
                <w:sz w:val="21"/>
                <w:szCs w:val="21"/>
              </w:rPr>
              <w:t>控制外包操作风险</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ascii="宋体" w:eastAsia="宋体"/>
                <w:spacing w:val="0"/>
                <w:sz w:val="21"/>
                <w:szCs w:val="21"/>
              </w:rPr>
              <w:t>乙方不得出现危害甲方生产运行安全、数据安全等并造成后果的外包安全事件。</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ascii="宋体" w:eastAsia="宋体"/>
                <w:spacing w:val="0"/>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外包安全事件=0</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每次</w:t>
            </w:r>
            <w:r>
              <w:rPr>
                <w:rFonts w:ascii="宋体" w:eastAsia="宋体"/>
                <w:spacing w:val="0"/>
                <w:sz w:val="21"/>
                <w:szCs w:val="21"/>
              </w:rPr>
              <w:t>事件扣罚乙方金额不低于人民币1000元，并要求乙方赔偿实际损失。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13</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交付文档数量及质量</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衡量甲方内部人员对乙方所提供文档的满意情况</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交付文档数量及质量满足甲方要求</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甲方根据乙方实际交付的文档数量及文档质量计算</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文档实际交付数量不少于甲方要求数量（文档实际交付数量是指文档交付甲方后甲方确认文档质量并实际接收的文档数量）</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文档每缺少一个扣除合同金额2000元；每有一个文档质量不合格扣除合同金额2000元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67" w:type="dxa"/>
            <w:shd w:val="clear" w:color="auto" w:fill="auto"/>
            <w:vAlign w:val="center"/>
          </w:tcPr>
          <w:p>
            <w:pPr>
              <w:widowControl/>
              <w:spacing w:line="300" w:lineRule="exact"/>
              <w:ind w:left="0" w:firstLine="0" w:firstLineChars="0"/>
              <w:rPr>
                <w:rFonts w:ascii="宋体" w:eastAsia="宋体"/>
                <w:spacing w:val="0"/>
                <w:sz w:val="21"/>
                <w:szCs w:val="21"/>
              </w:rPr>
            </w:pPr>
            <w:r>
              <w:rPr>
                <w:rFonts w:ascii="宋体" w:eastAsia="宋体"/>
                <w:spacing w:val="0"/>
                <w:sz w:val="21"/>
                <w:szCs w:val="21"/>
              </w:rPr>
              <w:t>1</w:t>
            </w:r>
            <w:r>
              <w:rPr>
                <w:rFonts w:hint="eastAsia" w:ascii="宋体" w:eastAsia="宋体"/>
                <w:spacing w:val="0"/>
                <w:sz w:val="21"/>
                <w:szCs w:val="21"/>
              </w:rPr>
              <w:t>4</w:t>
            </w:r>
          </w:p>
        </w:tc>
        <w:tc>
          <w:tcPr>
            <w:tcW w:w="710" w:type="dxa"/>
            <w:tcBorders>
              <w:left w:val="single" w:color="auto" w:sz="4" w:space="0"/>
            </w:tcBorders>
            <w:shd w:val="clear" w:color="auto" w:fill="auto"/>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服务满意度</w:t>
            </w:r>
          </w:p>
        </w:tc>
        <w:tc>
          <w:tcPr>
            <w:tcW w:w="1134"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衡量甲方内部人员对乙方所提供服务的满意情况</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服务满意度指标</w:t>
            </w:r>
          </w:p>
        </w:tc>
        <w:tc>
          <w:tcPr>
            <w:tcW w:w="1559"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服务满意度评级判定</w:t>
            </w:r>
          </w:p>
        </w:tc>
        <w:tc>
          <w:tcPr>
            <w:tcW w:w="1843"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客户满意度级别为：1级（非常不满意）；2级（不满意）；3级（一般满意）；4级（满意）；5级（非常满意）（服务满意不低于3级）</w:t>
            </w:r>
          </w:p>
        </w:tc>
        <w:tc>
          <w:tcPr>
            <w:tcW w:w="1701" w:type="dxa"/>
            <w:tcBorders>
              <w:left w:val="single" w:color="auto" w:sz="4" w:space="0"/>
            </w:tcBorders>
            <w:shd w:val="clear" w:color="auto" w:fill="auto"/>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67" w:type="dxa"/>
            <w:shd w:val="clear" w:color="auto" w:fill="auto"/>
            <w:noWrap/>
            <w:vAlign w:val="center"/>
          </w:tcPr>
          <w:p>
            <w:pPr>
              <w:widowControl/>
              <w:spacing w:line="300" w:lineRule="exact"/>
              <w:ind w:left="0" w:firstLine="0" w:firstLineChars="0"/>
              <w:rPr>
                <w:rFonts w:ascii="宋体" w:eastAsia="宋体"/>
                <w:spacing w:val="0"/>
                <w:sz w:val="21"/>
                <w:szCs w:val="21"/>
              </w:rPr>
            </w:pPr>
            <w:r>
              <w:rPr>
                <w:rFonts w:hint="eastAsia" w:ascii="宋体" w:eastAsia="宋体"/>
                <w:spacing w:val="0"/>
                <w:sz w:val="21"/>
                <w:szCs w:val="21"/>
              </w:rPr>
              <w:t>合计</w:t>
            </w:r>
          </w:p>
        </w:tc>
        <w:tc>
          <w:tcPr>
            <w:tcW w:w="710" w:type="dxa"/>
            <w:tcBorders>
              <w:left w:val="single" w:color="auto" w:sz="4" w:space="0"/>
            </w:tcBorders>
            <w:shd w:val="clear" w:color="auto" w:fill="auto"/>
            <w:noWrap/>
            <w:vAlign w:val="center"/>
          </w:tcPr>
          <w:p>
            <w:pPr>
              <w:widowControl/>
              <w:spacing w:line="300" w:lineRule="exact"/>
              <w:ind w:left="0" w:firstLine="0" w:firstLineChars="0"/>
              <w:jc w:val="left"/>
              <w:rPr>
                <w:rFonts w:ascii="宋体" w:eastAsia="宋体"/>
                <w:spacing w:val="0"/>
                <w:sz w:val="21"/>
                <w:szCs w:val="21"/>
              </w:rPr>
            </w:pPr>
            <w:r>
              <w:rPr>
                <w:rFonts w:hint="eastAsia" w:ascii="宋体" w:eastAsia="宋体"/>
                <w:spacing w:val="0"/>
                <w:sz w:val="21"/>
                <w:szCs w:val="21"/>
              </w:rPr>
              <w:t>SLA满足率</w:t>
            </w:r>
          </w:p>
        </w:tc>
        <w:tc>
          <w:tcPr>
            <w:tcW w:w="1134" w:type="dxa"/>
            <w:tcBorders>
              <w:left w:val="single" w:color="auto" w:sz="4" w:space="0"/>
            </w:tcBorders>
            <w:shd w:val="clear" w:color="auto" w:fill="auto"/>
            <w:noWrap/>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此数据是衡量满足要求的SLA个数与整体SLA个数的百分之整体的比率</w:t>
            </w:r>
          </w:p>
        </w:tc>
        <w:tc>
          <w:tcPr>
            <w:tcW w:w="1701" w:type="dxa"/>
            <w:tcBorders>
              <w:left w:val="single" w:color="auto" w:sz="4" w:space="0"/>
            </w:tcBorders>
            <w:shd w:val="clear" w:color="auto" w:fill="auto"/>
            <w:noWrap/>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衡量乙方达到要求的SLA占全部SLA的百分比。</w:t>
            </w:r>
          </w:p>
        </w:tc>
        <w:tc>
          <w:tcPr>
            <w:tcW w:w="1559" w:type="dxa"/>
            <w:tcBorders>
              <w:left w:val="single" w:color="auto" w:sz="4" w:space="0"/>
            </w:tcBorders>
            <w:shd w:val="clear" w:color="auto" w:fill="auto"/>
            <w:noWrap/>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为了这个度量报告，需要持续汇报SOW中所有SLA情况。</w:t>
            </w:r>
          </w:p>
        </w:tc>
        <w:tc>
          <w:tcPr>
            <w:tcW w:w="1843" w:type="dxa"/>
            <w:tcBorders>
              <w:left w:val="single" w:color="auto" w:sz="4" w:space="0"/>
            </w:tcBorders>
            <w:shd w:val="clear" w:color="auto" w:fill="auto"/>
            <w:noWrap/>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SLA满足率＝（满足SLA的个数/总体SLA的个数）×100%（SLA满足率≥70%）</w:t>
            </w:r>
          </w:p>
        </w:tc>
        <w:tc>
          <w:tcPr>
            <w:tcW w:w="1701" w:type="dxa"/>
            <w:tcBorders>
              <w:left w:val="single" w:color="auto" w:sz="4" w:space="0"/>
            </w:tcBorders>
            <w:shd w:val="clear" w:color="auto" w:fill="auto"/>
            <w:noWrap/>
            <w:vAlign w:val="center"/>
          </w:tcPr>
          <w:p>
            <w:pPr>
              <w:widowControl/>
              <w:spacing w:line="300" w:lineRule="exact"/>
              <w:jc w:val="left"/>
              <w:rPr>
                <w:rFonts w:ascii="宋体" w:eastAsia="宋体"/>
                <w:spacing w:val="0"/>
                <w:sz w:val="21"/>
                <w:szCs w:val="21"/>
              </w:rPr>
            </w:pPr>
            <w:r>
              <w:rPr>
                <w:rFonts w:hint="eastAsia" w:ascii="宋体" w:eastAsia="宋体"/>
                <w:spacing w:val="0"/>
                <w:sz w:val="21"/>
                <w:szCs w:val="21"/>
              </w:rPr>
              <w:t>SLA满足率每低于标准5%，扣除合同总金额的1%</w:t>
            </w:r>
          </w:p>
        </w:tc>
      </w:tr>
    </w:tbl>
    <w:p>
      <w:pPr>
        <w:rPr>
          <w:rFonts w:hint="eastAsia" w:ascii="Times New Roman" w:hAnsi="Times New Roman" w:eastAsia="宋体"/>
          <w:color w:val="auto"/>
          <w:highlight w:val="none"/>
          <w:shd w:val="clear" w:color="auto" w:fill="auto"/>
        </w:rPr>
      </w:pPr>
      <w:r>
        <w:rPr>
          <w:rFonts w:hint="eastAsia" w:ascii="Times New Roman" w:hAnsi="Times New Roman" w:eastAsia="宋体"/>
          <w:color w:val="auto"/>
          <w:highlight w:val="none"/>
          <w:shd w:val="clear" w:color="auto" w:fill="auto"/>
        </w:rPr>
        <w:br w:type="page"/>
      </w:r>
    </w:p>
    <w:p>
      <w:pPr>
        <w:pStyle w:val="30"/>
        <w:rPr>
          <w:rFonts w:hint="eastAsia" w:ascii="Times New Roman" w:hAnsi="Times New Roman" w:eastAsia="宋体"/>
          <w:color w:val="auto"/>
          <w:highlight w:val="none"/>
          <w:shd w:val="clear" w:color="auto" w:fill="auto"/>
        </w:rPr>
      </w:pPr>
      <w:bookmarkStart w:id="385" w:name="_Toc4661"/>
      <w:r>
        <w:rPr>
          <w:rFonts w:hint="eastAsia" w:ascii="Times New Roman" w:hAnsi="Times New Roman" w:eastAsia="宋体"/>
          <w:color w:val="auto"/>
          <w:highlight w:val="none"/>
          <w:shd w:val="clear" w:color="auto" w:fill="auto"/>
        </w:rPr>
        <w:t>七、管理资质</w:t>
      </w:r>
      <w:bookmarkEnd w:id="385"/>
    </w:p>
    <w:p>
      <w:pPr>
        <w:rPr>
          <w:rFonts w:hint="eastAsia" w:ascii="Times New Roman" w:hAnsi="Times New Roman" w:eastAsia="宋体"/>
          <w:color w:val="auto"/>
          <w:highlight w:val="none"/>
          <w:shd w:val="clear" w:color="auto" w:fill="auto"/>
          <w:lang w:val="en-US" w:eastAsia="zh-CN"/>
        </w:rPr>
      </w:pPr>
      <w:r>
        <w:rPr>
          <w:rFonts w:hint="eastAsia" w:ascii="Times New Roman" w:hAnsi="Times New Roman" w:eastAsia="宋体"/>
          <w:color w:val="auto"/>
          <w:highlight w:val="none"/>
          <w:shd w:val="clear" w:color="auto" w:fill="auto"/>
          <w:lang w:val="en-US" w:eastAsia="zh-CN"/>
        </w:rPr>
        <w:br w:type="page"/>
      </w:r>
    </w:p>
    <w:p>
      <w:pPr>
        <w:pStyle w:val="30"/>
        <w:rPr>
          <w:rFonts w:hint="eastAsia" w:ascii="Times New Roman" w:hAnsi="Times New Roman" w:eastAsia="宋体"/>
          <w:color w:val="auto"/>
          <w:highlight w:val="none"/>
          <w:shd w:val="clear" w:color="auto" w:fill="auto"/>
        </w:rPr>
      </w:pPr>
      <w:bookmarkStart w:id="386" w:name="_Toc3829"/>
      <w:r>
        <w:rPr>
          <w:rFonts w:hint="eastAsia" w:ascii="Times New Roman" w:hAnsi="Times New Roman" w:eastAsia="宋体"/>
          <w:color w:val="auto"/>
          <w:highlight w:val="none"/>
          <w:shd w:val="clear" w:color="auto" w:fill="auto"/>
          <w:lang w:val="en-US" w:eastAsia="zh-CN"/>
        </w:rPr>
        <w:t>八、</w:t>
      </w:r>
      <w:r>
        <w:rPr>
          <w:rFonts w:hint="eastAsia" w:ascii="Times New Roman" w:hAnsi="Times New Roman" w:eastAsia="宋体"/>
          <w:color w:val="auto"/>
          <w:highlight w:val="none"/>
          <w:shd w:val="clear" w:color="auto" w:fill="auto"/>
        </w:rPr>
        <w:t>服务能力要求</w:t>
      </w:r>
      <w:r>
        <w:rPr>
          <w:rFonts w:hint="eastAsia" w:ascii="Times New Roman" w:hAnsi="Times New Roman" w:eastAsia="宋体"/>
          <w:color w:val="auto"/>
          <w:highlight w:val="none"/>
          <w:shd w:val="clear" w:color="auto" w:fill="auto"/>
          <w:lang w:val="en-US" w:eastAsia="zh-CN"/>
        </w:rPr>
        <w:t>相关资料</w:t>
      </w:r>
      <w:bookmarkEnd w:id="386"/>
    </w:p>
    <w:p>
      <w:pPr>
        <w:rPr>
          <w:rFonts w:hint="eastAsia" w:ascii="Times New Roman" w:hAnsi="Times New Roman" w:eastAsia="宋体"/>
          <w:color w:val="auto"/>
          <w:highlight w:val="none"/>
          <w:shd w:val="clear" w:color="auto" w:fill="auto"/>
          <w:lang w:val="en-US" w:eastAsia="zh-CN"/>
        </w:rPr>
      </w:pPr>
      <w:r>
        <w:rPr>
          <w:rFonts w:hint="eastAsia" w:ascii="Times New Roman" w:hAnsi="Times New Roman" w:eastAsia="宋体"/>
          <w:color w:val="auto"/>
          <w:highlight w:val="none"/>
          <w:shd w:val="clear" w:color="auto" w:fill="auto"/>
          <w:lang w:val="en-US" w:eastAsia="zh-CN"/>
        </w:rPr>
        <w:br w:type="page"/>
      </w:r>
    </w:p>
    <w:p>
      <w:pPr>
        <w:pStyle w:val="30"/>
        <w:rPr>
          <w:rFonts w:hint="eastAsia" w:ascii="Times New Roman" w:hAnsi="Times New Roman" w:eastAsia="宋体"/>
          <w:color w:val="auto"/>
          <w:highlight w:val="none"/>
          <w:shd w:val="clear" w:color="auto" w:fill="auto"/>
        </w:rPr>
      </w:pPr>
      <w:bookmarkStart w:id="387" w:name="_Toc28940"/>
      <w:r>
        <w:rPr>
          <w:rFonts w:hint="eastAsia" w:ascii="Times New Roman" w:hAnsi="Times New Roman" w:eastAsia="宋体"/>
          <w:color w:val="auto"/>
          <w:highlight w:val="none"/>
          <w:shd w:val="clear" w:color="auto" w:fill="auto"/>
          <w:lang w:val="en-US" w:eastAsia="zh-CN"/>
        </w:rPr>
        <w:t>九</w:t>
      </w:r>
      <w:r>
        <w:rPr>
          <w:rFonts w:hint="eastAsia" w:ascii="Times New Roman" w:hAnsi="Times New Roman" w:eastAsia="宋体"/>
          <w:color w:val="auto"/>
          <w:highlight w:val="none"/>
          <w:shd w:val="clear" w:color="auto" w:fill="auto"/>
        </w:rPr>
        <w:t>、其他（如有）</w:t>
      </w:r>
      <w:bookmarkEnd w:id="387"/>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DDEB"/>
    <w:multiLevelType w:val="multilevel"/>
    <w:tmpl w:val="A4A2DDEB"/>
    <w:lvl w:ilvl="0" w:tentative="0">
      <w:start w:val="1"/>
      <w:numFmt w:val="japaneseCounting"/>
      <w:suff w:val="space"/>
      <w:lvlText w:val="%1、"/>
      <w:lvlJc w:val="left"/>
      <w:pPr>
        <w:ind w:left="427" w:hanging="427"/>
      </w:pPr>
      <w:rPr>
        <w:rFonts w:hint="eastAsia"/>
      </w:rPr>
    </w:lvl>
    <w:lvl w:ilvl="1" w:tentative="0">
      <w:start w:val="2"/>
      <w:numFmt w:val="decimal"/>
      <w:lvlText w:val="（%2）"/>
      <w:lvlJc w:val="left"/>
      <w:pPr>
        <w:ind w:left="720" w:hanging="720"/>
      </w:pPr>
      <w:rPr>
        <w:rFonts w:hint="eastAsia"/>
      </w:rPr>
    </w:lvl>
    <w:lvl w:ilvl="2" w:tentative="0">
      <w:start w:val="1"/>
      <w:numFmt w:val="decimal"/>
      <w:suff w:val="nothing"/>
      <w:lvlText w:val="%3、"/>
      <w:lvlJc w:val="left"/>
      <w:pPr>
        <w:ind w:left="720" w:hanging="7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ACBC0E79"/>
    <w:multiLevelType w:val="singleLevel"/>
    <w:tmpl w:val="ACBC0E79"/>
    <w:lvl w:ilvl="0" w:tentative="0">
      <w:start w:val="1"/>
      <w:numFmt w:val="decimal"/>
      <w:suff w:val="nothing"/>
      <w:lvlText w:val="（%1）"/>
      <w:lvlJc w:val="left"/>
    </w:lvl>
  </w:abstractNum>
  <w:abstractNum w:abstractNumId="2">
    <w:nsid w:val="C8D1BAA2"/>
    <w:multiLevelType w:val="singleLevel"/>
    <w:tmpl w:val="C8D1BAA2"/>
    <w:lvl w:ilvl="0" w:tentative="0">
      <w:start w:val="1"/>
      <w:numFmt w:val="decimal"/>
      <w:suff w:val="nothing"/>
      <w:lvlText w:val="%1、"/>
      <w:lvlJc w:val="left"/>
    </w:lvl>
  </w:abstractNum>
  <w:abstractNum w:abstractNumId="3">
    <w:nsid w:val="C9D6ADDF"/>
    <w:multiLevelType w:val="multilevel"/>
    <w:tmpl w:val="C9D6ADDF"/>
    <w:lvl w:ilvl="0" w:tentative="0">
      <w:start w:val="1"/>
      <w:numFmt w:val="decimal"/>
      <w:lvlText w:val="（%1）"/>
      <w:legacy w:legacy="1" w:legacySpace="0" w:legacyIndent="420"/>
      <w:lvlJc w:val="left"/>
      <w:pPr>
        <w:ind w:left="420" w:hanging="420"/>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4">
    <w:nsid w:val="CDECF9B6"/>
    <w:multiLevelType w:val="multilevel"/>
    <w:tmpl w:val="CDECF9B6"/>
    <w:lvl w:ilvl="0" w:tentative="0">
      <w:start w:val="1"/>
      <w:numFmt w:val="decimal"/>
      <w:lvlText w:val="%1."/>
      <w:lvlJc w:val="left"/>
      <w:pPr>
        <w:ind w:left="0" w:leftChars="0" w:firstLine="0" w:firstLineChars="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E3675A9E"/>
    <w:multiLevelType w:val="singleLevel"/>
    <w:tmpl w:val="E3675A9E"/>
    <w:lvl w:ilvl="0" w:tentative="0">
      <w:start w:val="1"/>
      <w:numFmt w:val="decimal"/>
      <w:suff w:val="nothing"/>
      <w:lvlText w:val="%1、"/>
      <w:lvlJc w:val="left"/>
    </w:lvl>
  </w:abstractNum>
  <w:abstractNum w:abstractNumId="6">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7">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0">
    <w:nsid w:val="1695B46C"/>
    <w:multiLevelType w:val="singleLevel"/>
    <w:tmpl w:val="1695B46C"/>
    <w:lvl w:ilvl="0" w:tentative="0">
      <w:start w:val="1"/>
      <w:numFmt w:val="decimal"/>
      <w:suff w:val="nothing"/>
      <w:lvlText w:val="%1、"/>
      <w:lvlJc w:val="left"/>
    </w:lvl>
  </w:abstractNum>
  <w:abstractNum w:abstractNumId="11">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12">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13">
    <w:nsid w:val="37A92F36"/>
    <w:multiLevelType w:val="multilevel"/>
    <w:tmpl w:val="37A92F36"/>
    <w:lvl w:ilvl="0" w:tentative="0">
      <w:start w:val="1"/>
      <w:numFmt w:val="japaneseCounting"/>
      <w:suff w:val="space"/>
      <w:lvlText w:val="%1、"/>
      <w:lvlJc w:val="left"/>
      <w:pPr>
        <w:ind w:left="427" w:hanging="427"/>
      </w:pPr>
      <w:rPr>
        <w:rFonts w:hint="eastAsia"/>
      </w:rPr>
    </w:lvl>
    <w:lvl w:ilvl="1" w:tentative="0">
      <w:start w:val="2"/>
      <w:numFmt w:val="decimal"/>
      <w:lvlText w:val="（%2）"/>
      <w:lvlJc w:val="left"/>
      <w:pPr>
        <w:ind w:left="720" w:hanging="720"/>
      </w:pPr>
      <w:rPr>
        <w:rFonts w:hint="eastAsia"/>
      </w:rPr>
    </w:lvl>
    <w:lvl w:ilvl="2" w:tentative="0">
      <w:start w:val="1"/>
      <w:numFmt w:val="decimal"/>
      <w:suff w:val="nothing"/>
      <w:lvlText w:val="%3、"/>
      <w:lvlJc w:val="left"/>
      <w:pPr>
        <w:ind w:left="720" w:hanging="7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39E7CD72"/>
    <w:multiLevelType w:val="singleLevel"/>
    <w:tmpl w:val="39E7CD72"/>
    <w:lvl w:ilvl="0" w:tentative="0">
      <w:start w:val="7"/>
      <w:numFmt w:val="decimal"/>
      <w:suff w:val="space"/>
      <w:lvlText w:val="%1."/>
      <w:lvlJc w:val="left"/>
    </w:lvl>
  </w:abstractNum>
  <w:abstractNum w:abstractNumId="15">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6">
    <w:nsid w:val="54BFC8B6"/>
    <w:multiLevelType w:val="singleLevel"/>
    <w:tmpl w:val="54BFC8B6"/>
    <w:lvl w:ilvl="0" w:tentative="0">
      <w:start w:val="8"/>
      <w:numFmt w:val="decimal"/>
      <w:suff w:val="space"/>
      <w:lvlText w:val="%1."/>
      <w:lvlJc w:val="left"/>
    </w:lvl>
  </w:abstractNum>
  <w:abstractNum w:abstractNumId="17">
    <w:nsid w:val="5971B88D"/>
    <w:multiLevelType w:val="singleLevel"/>
    <w:tmpl w:val="5971B88D"/>
    <w:lvl w:ilvl="0" w:tentative="0">
      <w:start w:val="1"/>
      <w:numFmt w:val="bullet"/>
      <w:lvlText w:val=""/>
      <w:lvlJc w:val="left"/>
      <w:pPr>
        <w:ind w:left="420" w:hanging="420"/>
      </w:pPr>
      <w:rPr>
        <w:rFonts w:hint="default" w:ascii="Wingdings" w:hAnsi="Wingdings"/>
      </w:rPr>
    </w:lvl>
  </w:abstractNum>
  <w:abstractNum w:abstractNumId="18">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14"/>
  </w:num>
  <w:num w:numId="2">
    <w:abstractNumId w:val="16"/>
  </w:num>
  <w:num w:numId="3">
    <w:abstractNumId w:val="4"/>
  </w:num>
  <w:num w:numId="4">
    <w:abstractNumId w:val="3"/>
  </w:num>
  <w:num w:numId="5">
    <w:abstractNumId w:val="0"/>
  </w:num>
  <w:num w:numId="6">
    <w:abstractNumId w:val="17"/>
  </w:num>
  <w:num w:numId="7">
    <w:abstractNumId w:val="13"/>
  </w:num>
  <w:num w:numId="8">
    <w:abstractNumId w:val="1"/>
  </w:num>
  <w:num w:numId="9">
    <w:abstractNumId w:val="5"/>
  </w:num>
  <w:num w:numId="10">
    <w:abstractNumId w:val="10"/>
  </w:num>
  <w:num w:numId="11">
    <w:abstractNumId w:val="2"/>
  </w:num>
  <w:num w:numId="12">
    <w:abstractNumId w:val="11"/>
  </w:num>
  <w:num w:numId="13">
    <w:abstractNumId w:val="8"/>
  </w:num>
  <w:num w:numId="14">
    <w:abstractNumId w:val="7"/>
  </w:num>
  <w:num w:numId="15">
    <w:abstractNumId w:val="9"/>
  </w:num>
  <w:num w:numId="16">
    <w:abstractNumId w:val="15"/>
  </w:num>
  <w:num w:numId="17">
    <w:abstractNumId w:val="12"/>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000000"/>
    <w:rsid w:val="010B22B0"/>
    <w:rsid w:val="02B7624C"/>
    <w:rsid w:val="04B25F81"/>
    <w:rsid w:val="07A9029F"/>
    <w:rsid w:val="0A2D5BB1"/>
    <w:rsid w:val="0AB50DB3"/>
    <w:rsid w:val="0ABF65E6"/>
    <w:rsid w:val="17BC65E9"/>
    <w:rsid w:val="18ED2570"/>
    <w:rsid w:val="197D455B"/>
    <w:rsid w:val="19E927FD"/>
    <w:rsid w:val="1AB759E5"/>
    <w:rsid w:val="276E6F72"/>
    <w:rsid w:val="2DB651CE"/>
    <w:rsid w:val="2FCE7652"/>
    <w:rsid w:val="35074561"/>
    <w:rsid w:val="38D86C52"/>
    <w:rsid w:val="3D0C2234"/>
    <w:rsid w:val="423746D8"/>
    <w:rsid w:val="46F801AE"/>
    <w:rsid w:val="5146694F"/>
    <w:rsid w:val="52DD2C92"/>
    <w:rsid w:val="52ED5CD6"/>
    <w:rsid w:val="535231EB"/>
    <w:rsid w:val="53A15224"/>
    <w:rsid w:val="545A6A09"/>
    <w:rsid w:val="549B6C4C"/>
    <w:rsid w:val="570120E9"/>
    <w:rsid w:val="5D017424"/>
    <w:rsid w:val="61721815"/>
    <w:rsid w:val="64195948"/>
    <w:rsid w:val="6851314E"/>
    <w:rsid w:val="68646FFA"/>
    <w:rsid w:val="6AC10733"/>
    <w:rsid w:val="6EB61803"/>
    <w:rsid w:val="71B750AC"/>
    <w:rsid w:val="72AD5272"/>
    <w:rsid w:val="787A2481"/>
    <w:rsid w:val="7B266B06"/>
    <w:rsid w:val="7BA71741"/>
    <w:rsid w:val="7EA30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ascii="Calibri Light" w:hAnsi="Calibri Light" w:cs="Times New Roman"/>
      <w:bCs/>
      <w:szCs w:val="28"/>
    </w:rPr>
  </w:style>
  <w:style w:type="paragraph" w:styleId="6">
    <w:name w:val="heading 5"/>
    <w:basedOn w:val="1"/>
    <w:next w:val="1"/>
    <w:link w:val="26"/>
    <w:autoRedefine/>
    <w:qFormat/>
    <w:uiPriority w:val="0"/>
    <w:pPr>
      <w:spacing w:line="360" w:lineRule="auto"/>
      <w:ind w:firstLine="0" w:firstLineChars="0"/>
      <w:jc w:val="center"/>
      <w:outlineLvl w:val="4"/>
    </w:pPr>
    <w:rPr>
      <w:b/>
      <w:sz w:val="28"/>
    </w:rPr>
  </w:style>
  <w:style w:type="character" w:default="1" w:styleId="21">
    <w:name w:val="Default Paragraph Font"/>
    <w:autoRedefine/>
    <w:qFormat/>
    <w:uiPriority w:val="0"/>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before="100" w:beforeAutospacing="1" w:after="120"/>
    </w:pPr>
  </w:style>
  <w:style w:type="paragraph" w:styleId="9">
    <w:name w:val="Body Text Indent"/>
    <w:basedOn w:val="1"/>
    <w:autoRedefine/>
    <w:qFormat/>
    <w:uiPriority w:val="0"/>
    <w:pPr>
      <w:widowControl w:val="0"/>
      <w:spacing w:before="50" w:beforeLines="50" w:line="400" w:lineRule="exact"/>
      <w:ind w:left="150" w:leftChars="150"/>
      <w:jc w:val="both"/>
    </w:pPr>
    <w:rPr>
      <w:rFonts w:ascii="Times New Roman" w:hAnsi="Times New Roman" w:eastAsia="楷体_GB2312" w:cs="Times New Roman"/>
      <w:spacing w:val="20"/>
      <w:kern w:val="2"/>
      <w:sz w:val="24"/>
      <w:szCs w:val="20"/>
      <w:lang w:val="en-US" w:eastAsia="zh-CN" w:bidi="ar-SA"/>
    </w:r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pPr>
      <w:widowControl w:val="0"/>
      <w:jc w:val="both"/>
    </w:pPr>
    <w:rPr>
      <w:rFonts w:ascii="宋体" w:hAnsi="Times New Roman" w:eastAsia="宋体" w:cs="Times New Roman"/>
      <w:spacing w:val="0"/>
      <w:kern w:val="2"/>
      <w:sz w:val="21"/>
      <w:szCs w:val="21"/>
      <w:lang w:val="en-US" w:eastAsia="zh-CN" w:bidi="ar-SA"/>
    </w:rPr>
  </w:style>
  <w:style w:type="paragraph" w:styleId="12">
    <w:name w:val="Date"/>
    <w:basedOn w:val="1"/>
    <w:next w:val="1"/>
    <w:autoRedefine/>
    <w:qFormat/>
    <w:uiPriority w:val="0"/>
    <w:rPr>
      <w:kern w:val="0"/>
      <w:szCs w:val="20"/>
    </w:rPr>
  </w:style>
  <w:style w:type="paragraph" w:styleId="13">
    <w:name w:val="Body Text Indent 2"/>
    <w:basedOn w:val="1"/>
    <w:autoRedefine/>
    <w:qFormat/>
    <w:uiPriority w:val="0"/>
    <w:pPr>
      <w:widowControl w:val="0"/>
      <w:spacing w:before="50" w:beforeLines="50" w:line="400" w:lineRule="exact"/>
      <w:ind w:firstLine="200" w:firstLineChars="200"/>
      <w:jc w:val="both"/>
    </w:pPr>
    <w:rPr>
      <w:rFonts w:ascii="Times New Roman" w:hAnsi="Times New Roman" w:eastAsia="楷体_GB2312" w:cs="Times New Roman"/>
      <w:spacing w:val="20"/>
      <w:kern w:val="2"/>
      <w:sz w:val="24"/>
      <w:szCs w:val="20"/>
      <w:lang w:val="en-US" w:eastAsia="zh-CN" w:bidi="ar-SA"/>
    </w:rPr>
  </w:style>
  <w:style w:type="paragraph" w:styleId="14">
    <w:name w:val="Balloon Text"/>
    <w:basedOn w:val="1"/>
    <w:autoRedefine/>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next w:val="12"/>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楷体_GB2312" w:cs="Times New Roman"/>
      <w:spacing w:val="20"/>
      <w:kern w:val="2"/>
      <w:sz w:val="18"/>
      <w:szCs w:val="20"/>
      <w:lang w:val="en-US" w:eastAsia="zh-CN" w:bidi="ar-SA"/>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annotation subject"/>
    <w:basedOn w:val="1"/>
    <w:next w:val="7"/>
    <w:autoRedefine/>
    <w:qFormat/>
    <w:uiPriority w:val="0"/>
    <w:pPr>
      <w:widowControl w:val="0"/>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character" w:styleId="22">
    <w:name w:val="Strong"/>
    <w:autoRedefine/>
    <w:qFormat/>
    <w:uiPriority w:val="0"/>
    <w:rPr>
      <w:b/>
      <w:bCs/>
    </w:rPr>
  </w:style>
  <w:style w:type="character" w:styleId="23">
    <w:name w:val="page number"/>
    <w:autoRedefine/>
    <w:qFormat/>
    <w:uiPriority w:val="0"/>
    <w:rPr>
      <w:rFonts w:ascii="Times New Roman" w:hAnsi="Times New Roman" w:eastAsia="楷体_GB2312" w:cs="Times New Roman"/>
      <w:spacing w:val="20"/>
      <w:kern w:val="2"/>
      <w:sz w:val="24"/>
      <w:szCs w:val="20"/>
      <w:lang w:val="en-US" w:eastAsia="zh-CN" w:bidi="ar-SA"/>
    </w:rPr>
  </w:style>
  <w:style w:type="character" w:styleId="24">
    <w:name w:val="Hyperlink"/>
    <w:basedOn w:val="21"/>
    <w:autoRedefine/>
    <w:qFormat/>
    <w:uiPriority w:val="0"/>
    <w:rPr>
      <w:color w:val="0000FF"/>
      <w:u w:val="single"/>
    </w:rPr>
  </w:style>
  <w:style w:type="character" w:styleId="25">
    <w:name w:val="annotation reference"/>
    <w:basedOn w:val="21"/>
    <w:autoRedefine/>
    <w:qFormat/>
    <w:uiPriority w:val="0"/>
    <w:rPr>
      <w:sz w:val="21"/>
      <w:szCs w:val="21"/>
    </w:rPr>
  </w:style>
  <w:style w:type="character" w:customStyle="1" w:styleId="26">
    <w:name w:val="heading 5 Char"/>
    <w:basedOn w:val="21"/>
    <w:link w:val="6"/>
    <w:autoRedefine/>
    <w:qFormat/>
    <w:uiPriority w:val="0"/>
    <w:rPr>
      <w:rFonts w:ascii="Cambria Math" w:hAnsi="Cambria Math" w:eastAsia="宋体" w:cs="Cambria Math"/>
      <w:b/>
      <w:kern w:val="2"/>
      <w:sz w:val="28"/>
      <w:szCs w:val="20"/>
      <w:lang w:val="en-US" w:eastAsia="zh-CN" w:bidi="ar-SA"/>
    </w:rPr>
  </w:style>
  <w:style w:type="character" w:customStyle="1" w:styleId="27">
    <w:name w:val="font11"/>
    <w:basedOn w:val="21"/>
    <w:autoRedefine/>
    <w:qFormat/>
    <w:uiPriority w:val="0"/>
    <w:rPr>
      <w:rFonts w:ascii="宋体" w:hAnsi="宋体" w:eastAsia="宋体" w:cs="宋体"/>
      <w:b/>
      <w:bCs/>
      <w:color w:val="000000"/>
      <w:sz w:val="21"/>
      <w:szCs w:val="21"/>
      <w:u w:val="none"/>
    </w:rPr>
  </w:style>
  <w:style w:type="character" w:customStyle="1" w:styleId="28">
    <w:name w:val="font21"/>
    <w:basedOn w:val="21"/>
    <w:autoRedefine/>
    <w:qFormat/>
    <w:uiPriority w:val="0"/>
    <w:rPr>
      <w:rFonts w:ascii="宋体" w:hAnsi="宋体" w:eastAsia="宋体" w:cs="宋体"/>
      <w:color w:val="000000"/>
      <w:sz w:val="21"/>
      <w:szCs w:val="21"/>
      <w:u w:val="none"/>
    </w:rPr>
  </w:style>
  <w:style w:type="character" w:customStyle="1" w:styleId="29">
    <w:name w:val="font31"/>
    <w:basedOn w:val="21"/>
    <w:autoRedefine/>
    <w:qFormat/>
    <w:uiPriority w:val="0"/>
    <w:rPr>
      <w:rFonts w:ascii="宋体" w:hAnsi="宋体" w:eastAsia="宋体" w:cs="宋体"/>
      <w:color w:val="FF0000"/>
      <w:sz w:val="21"/>
      <w:szCs w:val="21"/>
      <w:u w:val="none"/>
    </w:rPr>
  </w:style>
  <w:style w:type="paragraph" w:customStyle="1" w:styleId="30">
    <w:name w:val="参选文件格式1"/>
    <w:basedOn w:val="1"/>
    <w:next w:val="1"/>
    <w:link w:val="31"/>
    <w:autoRedefine/>
    <w:qFormat/>
    <w:uiPriority w:val="0"/>
    <w:pPr>
      <w:spacing w:line="360" w:lineRule="auto"/>
      <w:ind w:firstLine="0" w:firstLineChars="0"/>
      <w:jc w:val="center"/>
      <w:outlineLvl w:val="1"/>
    </w:pPr>
    <w:rPr>
      <w:b/>
      <w:sz w:val="28"/>
    </w:rPr>
  </w:style>
  <w:style w:type="character" w:customStyle="1" w:styleId="31">
    <w:name w:val="参选文件格式1 Char"/>
    <w:basedOn w:val="21"/>
    <w:link w:val="30"/>
    <w:autoRedefine/>
    <w:qFormat/>
    <w:uiPriority w:val="0"/>
    <w:rPr>
      <w:rFonts w:ascii="Cambria Math" w:hAnsi="Cambria Math" w:eastAsia="宋体" w:cs="Cambria Math"/>
      <w:b/>
      <w:kern w:val="2"/>
      <w:sz w:val="28"/>
      <w:szCs w:val="20"/>
      <w:lang w:val="en-US" w:eastAsia="zh-CN" w:bidi="ar-SA"/>
    </w:rPr>
  </w:style>
  <w:style w:type="paragraph" w:customStyle="1" w:styleId="32">
    <w:name w:val="参选文件格式2"/>
    <w:basedOn w:val="1"/>
    <w:next w:val="1"/>
    <w:autoRedefine/>
    <w:qFormat/>
    <w:uiPriority w:val="0"/>
    <w:pPr>
      <w:ind w:firstLine="0" w:firstLineChars="0"/>
      <w:jc w:val="center"/>
      <w:outlineLvl w:val="2"/>
    </w:pPr>
    <w:rPr>
      <w:bCs/>
      <w:szCs w:val="32"/>
    </w:rPr>
  </w:style>
  <w:style w:type="paragraph" w:customStyle="1" w:styleId="33">
    <w:name w:val="参选文件格式3"/>
    <w:basedOn w:val="1"/>
    <w:link w:val="34"/>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4">
    <w:name w:val="参选文件格式3 Char"/>
    <w:basedOn w:val="21"/>
    <w:link w:val="33"/>
    <w:autoRedefine/>
    <w:qFormat/>
    <w:uiPriority w:val="0"/>
    <w:rPr>
      <w:rFonts w:ascii="宋体" w:hAnsi="宋体" w:eastAsia="宋体" w:cs="Cambria Math"/>
      <w:b/>
      <w:snapToGrid w:val="0"/>
      <w:kern w:val="0"/>
      <w:sz w:val="24"/>
      <w:szCs w:val="20"/>
      <w:lang w:val="en-US" w:eastAsia="zh-CN" w:bidi="ar-SA"/>
    </w:rPr>
  </w:style>
  <w:style w:type="paragraph" w:styleId="35">
    <w:name w:val="List Paragraph"/>
    <w:basedOn w:val="1"/>
    <w:autoRedefine/>
    <w:qFormat/>
    <w:uiPriority w:val="0"/>
    <w:pPr>
      <w:ind w:firstLine="200" w:firstLineChars="200"/>
    </w:pPr>
    <w:rPr>
      <w:rFonts w:ascii="Calibri" w:hAnsi="Calibri"/>
      <w:szCs w:val="22"/>
    </w:rPr>
  </w:style>
  <w:style w:type="character" w:customStyle="1" w:styleId="36">
    <w:name w:val="font_text_1"/>
    <w:autoRedefine/>
    <w:qFormat/>
    <w:uiPriority w:val="0"/>
    <w:rPr>
      <w:rFonts w:ascii="Times New Roman" w:hAnsi="Times New Roman" w:eastAsia="楷体_GB2312" w:cs="Times New Roman"/>
      <w:spacing w:val="2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76EEB-8741-4244-9F15-62634E172F7B}">
  <ds:schemaRefs/>
</ds:datastoreItem>
</file>

<file path=docProps/app.xml><?xml version="1.0" encoding="utf-8"?>
<Properties xmlns="http://schemas.openxmlformats.org/officeDocument/2006/extended-properties" xmlns:vt="http://schemas.openxmlformats.org/officeDocument/2006/docPropsVTypes">
  <Template>Normal.eit</Template>
  <Pages>163</Pages>
  <Words>0</Words>
  <Characters>44860</Characters>
  <Lines>0</Lines>
  <Paragraphs>1187</Paragraphs>
  <TotalTime>2</TotalTime>
  <ScaleCrop>false</ScaleCrop>
  <LinksUpToDate>false</LinksUpToDate>
  <CharactersWithSpaces>59814</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2024-04-03T09:43:00Z</dcterms:created>
  <dc:creator>玛玛</dc:creator>
  <cp:lastModifiedBy>admin</cp:lastModifiedBy>
  <dcterms:modified xsi:type="dcterms:W3CDTF">2024-04-29T08:56:42Z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E6FDFD06F5124C848855C003B38BACDC_13</vt:lpwstr>
  </property>
</Properties>
</file>