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60" w:lineRule="auto"/>
        <w:ind w:firstLine="0" w:firstLineChars="0"/>
        <w:rPr>
          <w:rFonts w:hint="eastAsia"/>
        </w:rPr>
      </w:pPr>
    </w:p>
    <w:p>
      <w:pPr>
        <w:spacing w:line="360" w:lineRule="auto"/>
        <w:ind w:firstLine="0" w:firstLineChars="0"/>
        <w:rPr>
          <w:rFonts w:ascii="宋体" w:hAnsi="宋体" w:cs="Cambria"/>
          <w:b/>
          <w:snapToGrid w:val="0"/>
          <w:kern w:val="0"/>
          <w:sz w:val="52"/>
          <w:szCs w:val="84"/>
        </w:rPr>
      </w:pP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2024年信息科技审计项目</w:t>
      </w:r>
    </w:p>
    <w:p>
      <w:pPr>
        <w:spacing w:line="360" w:lineRule="auto"/>
        <w:ind w:firstLine="0" w:firstLineChars="0"/>
        <w:jc w:val="left"/>
        <w:rPr>
          <w:rFonts w:ascii="Times New Roman" w:hAnsi="Times New Roman" w:cs="Times New Roman"/>
          <w:snapToGrid w:val="0"/>
          <w:kern w:val="0"/>
          <w:sz w:val="18"/>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pPr>
        <w:spacing w:line="360" w:lineRule="auto"/>
        <w:ind w:firstLine="0" w:firstLineChars="0"/>
        <w:jc w:val="center"/>
        <w:rPr>
          <w:rFonts w:ascii="Times New Roman" w:hAnsi="Times New Roman" w:cs="Times New Roman"/>
          <w:b/>
          <w:snapToGrid w:val="0"/>
          <w:kern w:val="0"/>
          <w:szCs w:val="28"/>
        </w:rPr>
      </w:pPr>
    </w:p>
    <w:p>
      <w:pPr>
        <w:spacing w:line="360" w:lineRule="auto"/>
        <w:ind w:firstLine="0" w:firstLineChars="0"/>
        <w:jc w:val="center"/>
        <w:rPr>
          <w:rFonts w:ascii="Times New Roman" w:hAnsi="Times New Roman" w:cs="Times New Roman"/>
          <w:b/>
          <w:snapToGrid w:val="0"/>
          <w:kern w:val="0"/>
          <w:szCs w:val="28"/>
        </w:rPr>
      </w:pPr>
    </w:p>
    <w:p>
      <w:pPr>
        <w:spacing w:line="360" w:lineRule="auto"/>
        <w:ind w:firstLine="0" w:firstLineChars="0"/>
        <w:jc w:val="center"/>
        <w:rPr>
          <w:rFonts w:ascii="Times New Roman" w:hAnsi="Times New Roman" w:cs="Times New Roman"/>
          <w:b/>
          <w:snapToGrid w:val="0"/>
          <w:kern w:val="0"/>
          <w:szCs w:val="28"/>
        </w:rPr>
      </w:pPr>
    </w:p>
    <w:p>
      <w:pPr>
        <w:ind w:firstLine="0" w:firstLineChars="0"/>
        <w:rPr>
          <w:rFonts w:hint="eastAsia"/>
        </w:rPr>
      </w:pPr>
    </w:p>
    <w:p>
      <w:pPr>
        <w:pStyle w:val="2"/>
        <w:ind w:firstLine="480"/>
        <w:rPr>
          <w:rFonts w:hint="eastAsia"/>
        </w:rPr>
      </w:pPr>
    </w:p>
    <w:p>
      <w:pPr>
        <w:ind w:firstLine="480"/>
        <w:rPr>
          <w:rFonts w:hint="eastAsia"/>
        </w:rPr>
      </w:pPr>
    </w:p>
    <w:p>
      <w:pPr>
        <w:ind w:firstLine="480"/>
        <w:rPr>
          <w:rFonts w:hint="eastAsia"/>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（盖单位法人章）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lang w:val="en-US" w:eastAsia="zh-CN"/>
              </w:rPr>
              <w:t>2024</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lang w:val="en-US" w:eastAsia="zh-CN"/>
              </w:rPr>
              <w:t>6</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p>
        </w:tc>
      </w:tr>
    </w:tbl>
    <w:p>
      <w:pPr>
        <w:ind w:firstLine="0" w:firstLineChars="0"/>
        <w:rPr>
          <w:rFonts w:hint="eastAsia"/>
        </w:rPr>
      </w:pPr>
    </w:p>
    <w:p>
      <w:pPr>
        <w:ind w:firstLine="0" w:firstLineChars="0"/>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napToGrid w:val="0"/>
        <w:spacing w:line="360" w:lineRule="auto"/>
        <w:ind w:firstLine="0" w:firstLineChars="0"/>
        <w:jc w:val="center"/>
        <w:rPr>
          <w:rFonts w:ascii="宋体" w:hAnsi="宋体"/>
          <w:b/>
          <w:snapToGrid w:val="0"/>
          <w:kern w:val="0"/>
          <w:sz w:val="44"/>
          <w:szCs w:val="44"/>
        </w:rPr>
      </w:pPr>
      <w:r>
        <w:rPr>
          <w:rFonts w:hint="eastAsia" w:ascii="宋体" w:hAnsi="宋体"/>
          <w:b/>
          <w:snapToGrid w:val="0"/>
          <w:kern w:val="0"/>
          <w:sz w:val="44"/>
          <w:szCs w:val="44"/>
        </w:rPr>
        <w:t>目录</w:t>
      </w:r>
    </w:p>
    <w:p>
      <w:pPr>
        <w:pStyle w:val="15"/>
        <w:tabs>
          <w:tab w:val="right" w:leader="dot" w:pos="8306"/>
        </w:tabs>
        <w:ind w:firstLine="480"/>
        <w:rPr>
          <w:rFonts w:hint="eastAsia"/>
        </w:rPr>
      </w:pPr>
      <w:r>
        <w:rPr>
          <w:rFonts w:ascii="宋体" w:hAnsi="宋体"/>
          <w:snapToGrid w:val="0"/>
          <w:kern w:val="0"/>
          <w:szCs w:val="24"/>
        </w:rPr>
        <w:fldChar w:fldCharType="begin"/>
      </w:r>
      <w:r>
        <w:rPr>
          <w:rFonts w:hint="eastAsia" w:ascii="宋体" w:hAnsi="宋体"/>
          <w:snapToGrid w:val="0"/>
          <w:kern w:val="0"/>
          <w:szCs w:val="24"/>
        </w:rPr>
        <w:instrText xml:space="preserve">TOC \o "1-1" \h \z \u</w:instrText>
      </w:r>
      <w:r>
        <w:rPr>
          <w:rFonts w:ascii="宋体" w:hAnsi="宋体"/>
          <w:snapToGrid w:val="0"/>
          <w:kern w:val="0"/>
          <w:szCs w:val="24"/>
        </w:rPr>
        <w:fldChar w:fldCharType="separate"/>
      </w:r>
      <w:r>
        <w:fldChar w:fldCharType="begin"/>
      </w:r>
      <w:r>
        <w:instrText xml:space="preserve"> HYPERLINK \l "_Toc5046" </w:instrText>
      </w:r>
      <w:r>
        <w:fldChar w:fldCharType="separate"/>
      </w:r>
      <w:r>
        <w:rPr>
          <w:rFonts w:hint="eastAsia"/>
        </w:rPr>
        <w:t>第一章 比选公告</w:t>
      </w:r>
      <w:r>
        <w:tab/>
      </w:r>
      <w:r>
        <w:fldChar w:fldCharType="begin"/>
      </w:r>
      <w:r>
        <w:instrText xml:space="preserve"> PAGEREF _Toc5046 \h </w:instrText>
      </w:r>
      <w:r>
        <w:fldChar w:fldCharType="separate"/>
      </w:r>
      <w:r>
        <w:t>1</w:t>
      </w:r>
      <w:r>
        <w:fldChar w:fldCharType="end"/>
      </w:r>
      <w:r>
        <w:fldChar w:fldCharType="end"/>
      </w:r>
    </w:p>
    <w:p>
      <w:pPr>
        <w:pStyle w:val="15"/>
        <w:tabs>
          <w:tab w:val="right" w:leader="dot" w:pos="8306"/>
        </w:tabs>
        <w:ind w:firstLine="480"/>
        <w:rPr>
          <w:rFonts w:hint="eastAsia"/>
        </w:rPr>
      </w:pPr>
      <w:r>
        <w:fldChar w:fldCharType="begin"/>
      </w:r>
      <w:r>
        <w:instrText xml:space="preserve"> HYPERLINK \l "_Toc723" </w:instrText>
      </w:r>
      <w:r>
        <w:fldChar w:fldCharType="separate"/>
      </w:r>
      <w:r>
        <w:rPr>
          <w:rFonts w:hint="eastAsia"/>
        </w:rPr>
        <w:t>第二章 参选人须知</w:t>
      </w:r>
      <w:r>
        <w:tab/>
      </w:r>
      <w:r>
        <w:fldChar w:fldCharType="begin"/>
      </w:r>
      <w:r>
        <w:instrText xml:space="preserve"> PAGEREF _Toc723 \h </w:instrText>
      </w:r>
      <w:r>
        <w:fldChar w:fldCharType="separate"/>
      </w:r>
      <w:r>
        <w:t>6</w:t>
      </w:r>
      <w:r>
        <w:fldChar w:fldCharType="end"/>
      </w:r>
      <w:r>
        <w:fldChar w:fldCharType="end"/>
      </w:r>
    </w:p>
    <w:p>
      <w:pPr>
        <w:pStyle w:val="15"/>
        <w:tabs>
          <w:tab w:val="right" w:leader="dot" w:pos="8306"/>
        </w:tabs>
        <w:ind w:firstLine="480"/>
        <w:rPr>
          <w:rFonts w:hint="eastAsia"/>
        </w:rPr>
      </w:pPr>
      <w:r>
        <w:fldChar w:fldCharType="begin"/>
      </w:r>
      <w:r>
        <w:instrText xml:space="preserve"> HYPERLINK \l "_Toc12676" </w:instrText>
      </w:r>
      <w:r>
        <w:fldChar w:fldCharType="separate"/>
      </w:r>
      <w:r>
        <w:rPr>
          <w:rFonts w:hint="eastAsia"/>
        </w:rPr>
        <w:t>第三章 项目要求</w:t>
      </w:r>
      <w:r>
        <w:tab/>
      </w:r>
      <w:r>
        <w:fldChar w:fldCharType="begin"/>
      </w:r>
      <w:r>
        <w:instrText xml:space="preserve"> PAGEREF _Toc12676 \h </w:instrText>
      </w:r>
      <w:r>
        <w:fldChar w:fldCharType="separate"/>
      </w:r>
      <w:r>
        <w:t>15</w:t>
      </w:r>
      <w:r>
        <w:fldChar w:fldCharType="end"/>
      </w:r>
      <w:r>
        <w:fldChar w:fldCharType="end"/>
      </w:r>
    </w:p>
    <w:p>
      <w:pPr>
        <w:pStyle w:val="15"/>
        <w:tabs>
          <w:tab w:val="right" w:leader="dot" w:pos="8306"/>
        </w:tabs>
        <w:ind w:firstLine="480"/>
        <w:rPr>
          <w:rFonts w:hint="eastAsia"/>
        </w:rPr>
      </w:pPr>
      <w:r>
        <w:fldChar w:fldCharType="begin"/>
      </w:r>
      <w:r>
        <w:instrText xml:space="preserve"> HYPERLINK \l "_Toc2116" </w:instrText>
      </w:r>
      <w:r>
        <w:fldChar w:fldCharType="separate"/>
      </w:r>
      <w:r>
        <w:rPr>
          <w:rFonts w:hint="eastAsia"/>
        </w:rPr>
        <w:t>第四章 评审办法（综合评估法）</w:t>
      </w:r>
      <w:r>
        <w:tab/>
      </w:r>
      <w:r>
        <w:fldChar w:fldCharType="begin"/>
      </w:r>
      <w:r>
        <w:instrText xml:space="preserve"> PAGEREF _Toc2116 \h </w:instrText>
      </w:r>
      <w:r>
        <w:fldChar w:fldCharType="separate"/>
      </w:r>
      <w:r>
        <w:t>21</w:t>
      </w:r>
      <w:r>
        <w:fldChar w:fldCharType="end"/>
      </w:r>
      <w:r>
        <w:fldChar w:fldCharType="end"/>
      </w:r>
    </w:p>
    <w:p>
      <w:pPr>
        <w:pStyle w:val="15"/>
        <w:tabs>
          <w:tab w:val="right" w:leader="dot" w:pos="8306"/>
        </w:tabs>
        <w:ind w:firstLine="480"/>
        <w:rPr>
          <w:rFonts w:hint="eastAsia"/>
        </w:rPr>
      </w:pPr>
      <w:r>
        <w:fldChar w:fldCharType="begin"/>
      </w:r>
      <w:r>
        <w:instrText xml:space="preserve"> HYPERLINK \l "_Toc5814" </w:instrText>
      </w:r>
      <w:r>
        <w:fldChar w:fldCharType="separate"/>
      </w:r>
      <w:r>
        <w:rPr>
          <w:rFonts w:hint="eastAsia"/>
        </w:rPr>
        <w:t>第五章 合同</w:t>
      </w:r>
      <w:r>
        <w:t>模板</w:t>
      </w:r>
      <w:r>
        <w:tab/>
      </w:r>
      <w:r>
        <w:fldChar w:fldCharType="begin"/>
      </w:r>
      <w:r>
        <w:instrText xml:space="preserve"> PAGEREF _Toc5814 \h </w:instrText>
      </w:r>
      <w:r>
        <w:fldChar w:fldCharType="separate"/>
      </w:r>
      <w:r>
        <w:t>28</w:t>
      </w:r>
      <w:r>
        <w:fldChar w:fldCharType="end"/>
      </w:r>
      <w:r>
        <w:fldChar w:fldCharType="end"/>
      </w:r>
    </w:p>
    <w:p>
      <w:pPr>
        <w:pStyle w:val="15"/>
        <w:tabs>
          <w:tab w:val="right" w:leader="dot" w:pos="8306"/>
        </w:tabs>
        <w:ind w:firstLine="480"/>
        <w:rPr>
          <w:rFonts w:hint="eastAsia"/>
        </w:rPr>
      </w:pPr>
      <w:r>
        <w:fldChar w:fldCharType="begin"/>
      </w:r>
      <w:r>
        <w:instrText xml:space="preserve"> HYPERLINK \l "_Toc16831" </w:instrText>
      </w:r>
      <w:r>
        <w:fldChar w:fldCharType="separate"/>
      </w:r>
      <w:r>
        <w:rPr>
          <w:rFonts w:hint="eastAsia"/>
        </w:rPr>
        <w:t>第六章 参选文件格式</w:t>
      </w:r>
      <w:r>
        <w:tab/>
      </w:r>
      <w:r>
        <w:fldChar w:fldCharType="begin"/>
      </w:r>
      <w:r>
        <w:instrText xml:space="preserve"> PAGEREF _Toc16831 \h </w:instrText>
      </w:r>
      <w:r>
        <w:fldChar w:fldCharType="separate"/>
      </w:r>
      <w:r>
        <w:t>44</w:t>
      </w:r>
      <w:r>
        <w:fldChar w:fldCharType="end"/>
      </w:r>
      <w:r>
        <w:fldChar w:fldCharType="end"/>
      </w:r>
    </w:p>
    <w:p>
      <w:pPr>
        <w:widowControl/>
        <w:ind w:firstLine="480"/>
        <w:jc w:val="left"/>
        <w:rPr>
          <w:rFonts w:ascii="宋体" w:hAnsi="宋体"/>
          <w:snapToGrid w:val="0"/>
          <w:kern w:val="0"/>
          <w:szCs w:val="24"/>
        </w:rPr>
      </w:pPr>
      <w:r>
        <w:rPr>
          <w:rFonts w:ascii="宋体" w:hAnsi="宋体"/>
          <w:snapToGrid w:val="0"/>
          <w:kern w:val="0"/>
          <w:szCs w:val="24"/>
        </w:rPr>
        <w:fldChar w:fldCharType="end"/>
      </w:r>
    </w:p>
    <w:p>
      <w:pPr>
        <w:widowControl/>
        <w:ind w:firstLine="480"/>
        <w:jc w:val="left"/>
        <w:rPr>
          <w:rFonts w:ascii="宋体" w:hAnsi="宋体"/>
          <w:snapToGrid w:val="0"/>
          <w:kern w:val="0"/>
          <w:szCs w:val="24"/>
        </w:rPr>
        <w:sectPr>
          <w:pgSz w:w="11906" w:h="16838"/>
          <w:pgMar w:top="1440" w:right="1800" w:bottom="1440" w:left="1800" w:header="851" w:footer="992" w:gutter="0"/>
          <w:pgNumType w:start="1"/>
          <w:cols w:space="720" w:num="1"/>
          <w:docGrid w:type="lines" w:linePitch="312" w:charSpace="0"/>
        </w:sectPr>
      </w:pPr>
    </w:p>
    <w:p>
      <w:pPr>
        <w:pStyle w:val="3"/>
      </w:pPr>
      <w:bookmarkStart w:id="0" w:name="_Toc440628903"/>
      <w:bookmarkStart w:id="1" w:name="_Toc469574661"/>
      <w:bookmarkStart w:id="2" w:name="_Toc6745"/>
      <w:bookmarkStart w:id="3" w:name="_Toc678"/>
      <w:bookmarkStart w:id="4" w:name="_Toc5046"/>
      <w:r>
        <w:rPr>
          <w:rFonts w:hint="eastAsia"/>
        </w:rPr>
        <w:t>第一章</w:t>
      </w:r>
      <w:bookmarkEnd w:id="0"/>
      <w:r>
        <w:rPr>
          <w:rFonts w:hint="eastAsia"/>
        </w:rPr>
        <w:t xml:space="preserve"> 比选公告</w:t>
      </w:r>
      <w:bookmarkEnd w:id="1"/>
      <w:bookmarkEnd w:id="2"/>
      <w:bookmarkEnd w:id="3"/>
      <w:bookmarkEnd w:id="4"/>
    </w:p>
    <w:p>
      <w:pPr>
        <w:ind w:firstLine="0" w:firstLineChars="0"/>
        <w:jc w:val="center"/>
        <w:rPr>
          <w:rFonts w:hint="eastAsia"/>
          <w:sz w:val="44"/>
          <w:szCs w:val="32"/>
        </w:rPr>
      </w:pPr>
      <w:bookmarkStart w:id="267" w:name="_GoBack"/>
      <w:r>
        <w:rPr>
          <w:rFonts w:hint="eastAsia"/>
          <w:sz w:val="44"/>
          <w:szCs w:val="32"/>
        </w:rPr>
        <w:t>重庆三峡银行2024年信息科技审计项目比选公告</w:t>
      </w:r>
    </w:p>
    <w:p>
      <w:pPr>
        <w:ind w:firstLine="480"/>
        <w:rPr>
          <w:rFonts w:hint="eastAsia"/>
          <w:color w:val="000000" w:themeColor="text1"/>
          <w14:textFill>
            <w14:solidFill>
              <w14:schemeClr w14:val="tx1"/>
            </w14:solidFill>
          </w14:textFill>
        </w:rPr>
      </w:pPr>
      <w:bookmarkStart w:id="5" w:name="_Toc55379218"/>
      <w:bookmarkStart w:id="6" w:name="_Toc89675127"/>
      <w:r>
        <w:rPr>
          <w:rFonts w:hint="eastAsia"/>
          <w:color w:val="000000" w:themeColor="text1"/>
          <w14:textFill>
            <w14:solidFill>
              <w14:schemeClr w14:val="tx1"/>
            </w14:solidFill>
          </w14:textFill>
        </w:rPr>
        <w:t>现对</w:t>
      </w:r>
      <w:r>
        <w:rPr>
          <w:rFonts w:hint="eastAsia" w:ascii="宋体" w:cs="Cambria"/>
          <w:snapToGrid w:val="0"/>
          <w:color w:val="000000" w:themeColor="text1"/>
          <w:kern w:val="0"/>
          <w:szCs w:val="24"/>
          <w14:textFill>
            <w14:solidFill>
              <w14:schemeClr w14:val="tx1"/>
            </w14:solidFill>
          </w14:textFill>
        </w:rPr>
        <w:t>重庆三峡银行2024年信息科技审计</w:t>
      </w:r>
      <w:r>
        <w:rPr>
          <w:rFonts w:hint="eastAsia"/>
          <w:color w:val="000000" w:themeColor="text1"/>
          <w14:textFill>
            <w14:solidFill>
              <w14:schemeClr w14:val="tx1"/>
            </w14:solidFill>
          </w14:textFill>
        </w:rPr>
        <w:t>项目进行公开比选，</w:t>
      </w:r>
      <w:r>
        <w:rPr>
          <w:color w:val="000000" w:themeColor="text1"/>
          <w14:textFill>
            <w14:solidFill>
              <w14:schemeClr w14:val="tx1"/>
            </w14:solidFill>
          </w14:textFill>
        </w:rPr>
        <w:t>特邀请有</w:t>
      </w:r>
      <w:bookmarkStart w:id="7" w:name="_Hlk59455120"/>
      <w:r>
        <w:rPr>
          <w:color w:val="000000" w:themeColor="text1"/>
          <w14:textFill>
            <w14:solidFill>
              <w14:schemeClr w14:val="tx1"/>
            </w14:solidFill>
          </w14:textFill>
        </w:rPr>
        <w:t>意向</w:t>
      </w:r>
      <w:bookmarkEnd w:id="7"/>
      <w:r>
        <w:rPr>
          <w:color w:val="000000" w:themeColor="text1"/>
          <w14:textFill>
            <w14:solidFill>
              <w14:schemeClr w14:val="tx1"/>
            </w14:solidFill>
          </w14:textFill>
        </w:rPr>
        <w:t>的潜在</w:t>
      </w:r>
      <w:r>
        <w:rPr>
          <w:rFonts w:hint="eastAsia"/>
          <w:color w:val="000000" w:themeColor="text1"/>
          <w14:textFill>
            <w14:solidFill>
              <w14:schemeClr w14:val="tx1"/>
            </w14:solidFill>
          </w14:textFill>
        </w:rPr>
        <w:t>参选</w:t>
      </w:r>
      <w:r>
        <w:rPr>
          <w:color w:val="000000" w:themeColor="text1"/>
          <w14:textFill>
            <w14:solidFill>
              <w14:schemeClr w14:val="tx1"/>
            </w14:solidFill>
          </w14:textFill>
        </w:rPr>
        <w:t>人进行</w:t>
      </w:r>
      <w:r>
        <w:rPr>
          <w:rFonts w:hint="eastAsia"/>
          <w:color w:val="000000" w:themeColor="text1"/>
          <w14:textFill>
            <w14:solidFill>
              <w14:schemeClr w14:val="tx1"/>
            </w14:solidFill>
          </w14:textFill>
        </w:rPr>
        <w:t>参选</w:t>
      </w:r>
      <w:r>
        <w:rPr>
          <w:color w:val="000000" w:themeColor="text1"/>
          <w14:textFill>
            <w14:solidFill>
              <w14:schemeClr w14:val="tx1"/>
            </w14:solidFill>
          </w14:textFill>
        </w:rPr>
        <w:t>。</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 比选项目内容</w:t>
      </w:r>
      <w:bookmarkEnd w:id="5"/>
      <w:bookmarkEnd w:id="6"/>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序号</w:t>
            </w:r>
          </w:p>
        </w:tc>
        <w:tc>
          <w:tcPr>
            <w:tcW w:w="2826" w:type="dxa"/>
            <w:vAlign w:val="center"/>
          </w:tcPr>
          <w:p>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项目名称</w:t>
            </w:r>
          </w:p>
        </w:tc>
        <w:tc>
          <w:tcPr>
            <w:tcW w:w="1646" w:type="dxa"/>
            <w:vAlign w:val="center"/>
          </w:tcPr>
          <w:p>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最高限价</w:t>
            </w:r>
          </w:p>
        </w:tc>
        <w:tc>
          <w:tcPr>
            <w:tcW w:w="1798" w:type="dxa"/>
            <w:vAlign w:val="center"/>
          </w:tcPr>
          <w:p>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中选人数量</w:t>
            </w:r>
          </w:p>
        </w:tc>
        <w:tc>
          <w:tcPr>
            <w:tcW w:w="1798" w:type="dxa"/>
            <w:vAlign w:val="center"/>
          </w:tcPr>
          <w:p>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1</w:t>
            </w:r>
          </w:p>
        </w:tc>
        <w:tc>
          <w:tcPr>
            <w:tcW w:w="2826" w:type="dxa"/>
            <w:vAlign w:val="center"/>
          </w:tcPr>
          <w:p>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重庆三峡银行2024年信息科技审计项目</w:t>
            </w:r>
          </w:p>
        </w:tc>
        <w:tc>
          <w:tcPr>
            <w:tcW w:w="1646" w:type="dxa"/>
            <w:vAlign w:val="center"/>
          </w:tcPr>
          <w:p>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60万元</w:t>
            </w:r>
          </w:p>
        </w:tc>
        <w:tc>
          <w:tcPr>
            <w:tcW w:w="1798" w:type="dxa"/>
            <w:vAlign w:val="center"/>
          </w:tcPr>
          <w:p>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1</w:t>
            </w:r>
          </w:p>
        </w:tc>
        <w:tc>
          <w:tcPr>
            <w:tcW w:w="1798" w:type="dxa"/>
            <w:vAlign w:val="center"/>
          </w:tcPr>
          <w:p>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ascii="宋体" w:hAnsi="宋体" w:cs="Cambria"/>
                <w:snapToGrid w:val="0"/>
                <w:color w:val="000000" w:themeColor="text1"/>
                <w:kern w:val="0"/>
                <w:sz w:val="21"/>
                <w:szCs w:val="21"/>
                <w14:textFill>
                  <w14:solidFill>
                    <w14:schemeClr w14:val="tx1"/>
                  </w14:solidFill>
                </w14:textFill>
              </w:rPr>
              <w:t>含税价</w:t>
            </w:r>
          </w:p>
        </w:tc>
      </w:tr>
    </w:tbl>
    <w:p>
      <w:pPr>
        <w:pStyle w:val="4"/>
        <w:rPr>
          <w:color w:val="000000" w:themeColor="text1"/>
          <w14:textFill>
            <w14:solidFill>
              <w14:schemeClr w14:val="tx1"/>
            </w14:solidFill>
          </w14:textFill>
        </w:rPr>
      </w:pPr>
      <w:bookmarkStart w:id="8" w:name="_Toc89675128"/>
      <w:bookmarkStart w:id="9" w:name="_Toc55379219"/>
      <w:bookmarkStart w:id="10" w:name="_Toc288224935"/>
      <w:bookmarkStart w:id="11" w:name="_Toc297817088"/>
      <w:bookmarkStart w:id="12" w:name="_Toc469574664"/>
      <w:r>
        <w:rPr>
          <w:rFonts w:hint="eastAsia"/>
          <w:color w:val="000000" w:themeColor="text1"/>
          <w14:textFill>
            <w14:solidFill>
              <w14:schemeClr w14:val="tx1"/>
            </w14:solidFill>
          </w14:textFill>
        </w:rPr>
        <w:t>2. 参选人资格要求</w:t>
      </w:r>
      <w:bookmarkEnd w:id="8"/>
      <w:bookmarkEnd w:id="9"/>
      <w:bookmarkEnd w:id="10"/>
      <w:bookmarkEnd w:id="11"/>
      <w:bookmarkEnd w:id="12"/>
    </w:p>
    <w:p>
      <w:pPr>
        <w:ind w:firstLine="480"/>
        <w:rPr>
          <w:rFonts w:hint="eastAsia"/>
          <w:color w:val="000000" w:themeColor="text1"/>
          <w14:textFill>
            <w14:solidFill>
              <w14:schemeClr w14:val="tx1"/>
            </w14:solidFill>
          </w14:textFill>
        </w:rPr>
      </w:pPr>
      <w:bookmarkStart w:id="13" w:name="_Hlk55488870"/>
      <w:r>
        <w:rPr>
          <w:rFonts w:hint="eastAsia"/>
          <w:color w:val="000000" w:themeColor="text1"/>
          <w14:textFill>
            <w14:solidFill>
              <w14:schemeClr w14:val="tx1"/>
            </w14:solidFill>
          </w14:textFill>
        </w:rPr>
        <w:t>2.1 具有独立承担民事责任的能力</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【提供参选人有效营业执照（副本）或事业单位法人证书（副本）或个体工商户营业执照或有效的自然人身份证明；参选人法定代表人身份证明和法定代表人授权代表委托书。】</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注：若为法定代表人办理并签署参选文件的，不提供授权代表委托书。</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 具有良好的商业信誉和健全的财务会计制度【提供书面声明】；</w:t>
      </w:r>
    </w:p>
    <w:p>
      <w:pPr>
        <w:ind w:firstLine="480"/>
        <w:rPr>
          <w:rFonts w:hint="eastAsia"/>
        </w:rPr>
      </w:pPr>
      <w:r>
        <w:rPr>
          <w:rFonts w:hint="eastAsia"/>
        </w:rPr>
        <w:t>2.3 具有履行合同所必需的设备和专业技术能力【提供书面声明】；</w:t>
      </w:r>
    </w:p>
    <w:p>
      <w:pPr>
        <w:ind w:firstLine="480"/>
        <w:rPr>
          <w:rFonts w:hint="eastAsia"/>
        </w:rPr>
      </w:pPr>
      <w:r>
        <w:rPr>
          <w:rFonts w:hint="eastAsia"/>
        </w:rPr>
        <w:t>2.4 有依法缴纳税收和社会保障金的良好记录【提供书面声明】；</w:t>
      </w:r>
    </w:p>
    <w:p>
      <w:pPr>
        <w:ind w:firstLine="480"/>
        <w:rPr>
          <w:rFonts w:hint="eastAsia"/>
        </w:rPr>
      </w:pPr>
      <w:r>
        <w:rPr>
          <w:rFonts w:hint="eastAsia"/>
        </w:rPr>
        <w:t>2.5 三年内在经营活动中没有重大违法记录【提供书面声明】；</w:t>
      </w:r>
    </w:p>
    <w:p>
      <w:pPr>
        <w:ind w:firstLine="480"/>
        <w:rPr>
          <w:rFonts w:hint="eastAsia"/>
          <w:b/>
        </w:rPr>
      </w:pPr>
      <w:r>
        <w:rPr>
          <w:rFonts w:hint="eastAsia"/>
        </w:rPr>
        <w:t>2.6 法人及法定代表人没有被人民法院列为失信被执行人名单【提供中国执行信息公开网截图并加盖单位鲜章】；</w:t>
      </w:r>
    </w:p>
    <w:p>
      <w:pPr>
        <w:ind w:firstLine="480"/>
        <w:rPr>
          <w:rFonts w:hint="eastAsia"/>
          <w:bCs/>
        </w:rPr>
      </w:pPr>
      <w:r>
        <w:rPr>
          <w:bCs/>
        </w:rPr>
        <w:t xml:space="preserve">2.7 </w:t>
      </w:r>
      <w:r>
        <w:rPr>
          <w:rFonts w:hint="eastAsia"/>
          <w:bCs/>
        </w:rPr>
        <w:t>本项目不允许任何形式的转包【提供书面声明】。</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2.8 本次比选不接受联合体参选。</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2.9 本次比选不接受分支机构参选。</w:t>
      </w:r>
    </w:p>
    <w:p>
      <w:pPr>
        <w:ind w:firstLine="480"/>
        <w:rPr>
          <w:rFonts w:ascii="宋体" w:hAnsi="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 xml:space="preserve">2.10 </w:t>
      </w:r>
      <w:r>
        <w:rPr>
          <w:rFonts w:hint="eastAsia" w:ascii="宋体" w:hAnsi="宋体"/>
          <w:color w:val="000000" w:themeColor="text1"/>
          <w:szCs w:val="24"/>
          <w14:textFill>
            <w14:solidFill>
              <w14:schemeClr w14:val="tx1"/>
            </w14:solidFill>
          </w14:textFill>
        </w:rPr>
        <w:t>近2年（</w:t>
      </w:r>
      <w:r>
        <w:rPr>
          <w:rFonts w:ascii="宋体" w:hAnsi="宋体"/>
          <w:color w:val="000000" w:themeColor="text1"/>
          <w:szCs w:val="24"/>
          <w14:textFill>
            <w14:solidFill>
              <w14:schemeClr w14:val="tx1"/>
            </w14:solidFill>
          </w14:textFill>
        </w:rPr>
        <w:t>202</w:t>
      </w:r>
      <w:r>
        <w:rPr>
          <w:rFonts w:hint="eastAsia" w:ascii="宋体" w:hAnsi="宋体"/>
          <w:color w:val="000000" w:themeColor="text1"/>
          <w:szCs w:val="24"/>
          <w14:textFill>
            <w14:solidFill>
              <w14:schemeClr w14:val="tx1"/>
            </w14:solidFill>
          </w14:textFill>
        </w:rPr>
        <w:t>2年</w:t>
      </w:r>
      <w:r>
        <w:rPr>
          <w:rFonts w:ascii="宋体" w:hAnsi="宋体"/>
          <w:color w:val="000000" w:themeColor="text1"/>
          <w:szCs w:val="24"/>
          <w14:textFill>
            <w14:solidFill>
              <w14:schemeClr w14:val="tx1"/>
            </w14:solidFill>
          </w14:textFill>
        </w:rPr>
        <w:t>1</w:t>
      </w:r>
      <w:r>
        <w:rPr>
          <w:rFonts w:hint="eastAsia" w:ascii="宋体" w:hAnsi="宋体"/>
          <w:color w:val="000000" w:themeColor="text1"/>
          <w:szCs w:val="24"/>
          <w14:textFill>
            <w14:solidFill>
              <w14:schemeClr w14:val="tx1"/>
            </w14:solidFill>
          </w14:textFill>
        </w:rPr>
        <w:t>月</w:t>
      </w:r>
      <w:r>
        <w:rPr>
          <w:rFonts w:ascii="宋体" w:hAnsi="宋体"/>
          <w:color w:val="000000" w:themeColor="text1"/>
          <w:szCs w:val="24"/>
          <w14:textFill>
            <w14:solidFill>
              <w14:schemeClr w14:val="tx1"/>
            </w14:solidFill>
          </w14:textFill>
        </w:rPr>
        <w:t>1日（合同签订时间为准）至</w:t>
      </w:r>
      <w:r>
        <w:rPr>
          <w:rFonts w:hint="eastAsia" w:ascii="宋体" w:hAnsi="宋体"/>
          <w:color w:val="000000" w:themeColor="text1"/>
          <w:szCs w:val="24"/>
          <w14:textFill>
            <w14:solidFill>
              <w14:schemeClr w14:val="tx1"/>
            </w14:solidFill>
          </w14:textFill>
        </w:rPr>
        <w:t>本项目比选截止时间</w:t>
      </w:r>
      <w:r>
        <w:rPr>
          <w:rFonts w:ascii="宋体" w:hAnsi="宋体"/>
          <w:color w:val="000000" w:themeColor="text1"/>
          <w:szCs w:val="24"/>
          <w14:textFill>
            <w14:solidFill>
              <w14:schemeClr w14:val="tx1"/>
            </w14:solidFill>
          </w14:textFill>
        </w:rPr>
        <w:t>以来</w:t>
      </w:r>
      <w:r>
        <w:rPr>
          <w:rFonts w:hint="eastAsia" w:ascii="宋体" w:hAnsi="宋体"/>
          <w:color w:val="000000" w:themeColor="text1"/>
          <w:szCs w:val="24"/>
          <w14:textFill>
            <w14:solidFill>
              <w14:schemeClr w14:val="tx1"/>
            </w14:solidFill>
          </w14:textFill>
        </w:rPr>
        <w:t>）具有</w:t>
      </w:r>
      <w:r>
        <w:rPr>
          <w:rFonts w:ascii="宋体" w:hAnsi="宋体"/>
          <w:color w:val="000000" w:themeColor="text1"/>
          <w:szCs w:val="24"/>
          <w14:textFill>
            <w14:solidFill>
              <w14:schemeClr w14:val="tx1"/>
            </w14:solidFill>
          </w14:textFill>
        </w:rPr>
        <w:t>为金融机构</w:t>
      </w:r>
      <w:r>
        <w:rPr>
          <w:rFonts w:hint="eastAsia" w:ascii="宋体" w:hAnsi="宋体"/>
          <w:color w:val="000000" w:themeColor="text1"/>
          <w:szCs w:val="24"/>
          <w14:textFill>
            <w14:solidFill>
              <w14:schemeClr w14:val="tx1"/>
            </w14:solidFill>
          </w14:textFill>
        </w:rPr>
        <w:t>实施信息科技全面审计和信息科技专项审计案例，（仅为审计案例，需提供合同复印件和项目简介）不少于2</w:t>
      </w:r>
      <w:r>
        <w:rPr>
          <w:rFonts w:ascii="宋体" w:hAnsi="宋体"/>
          <w:color w:val="000000" w:themeColor="text1"/>
          <w:szCs w:val="24"/>
          <w14:textFill>
            <w14:solidFill>
              <w14:schemeClr w14:val="tx1"/>
            </w14:solidFill>
          </w14:textFill>
        </w:rPr>
        <w:t>个，低于</w:t>
      </w:r>
      <w:r>
        <w:rPr>
          <w:rFonts w:hint="eastAsia" w:ascii="宋体" w:hAnsi="宋体"/>
          <w:color w:val="000000" w:themeColor="text1"/>
          <w:szCs w:val="24"/>
          <w14:textFill>
            <w14:solidFill>
              <w14:schemeClr w14:val="tx1"/>
            </w14:solidFill>
          </w14:textFill>
        </w:rPr>
        <w:t>2</w:t>
      </w:r>
      <w:r>
        <w:rPr>
          <w:rFonts w:ascii="宋体" w:hAnsi="宋体"/>
          <w:color w:val="000000" w:themeColor="text1"/>
          <w:szCs w:val="24"/>
          <w14:textFill>
            <w14:solidFill>
              <w14:schemeClr w14:val="tx1"/>
            </w14:solidFill>
          </w14:textFill>
        </w:rPr>
        <w:t>个案例（不含</w:t>
      </w:r>
      <w:r>
        <w:rPr>
          <w:rFonts w:hint="eastAsia" w:ascii="宋体" w:hAnsi="宋体"/>
          <w:color w:val="000000" w:themeColor="text1"/>
          <w:szCs w:val="24"/>
          <w14:textFill>
            <w14:solidFill>
              <w14:schemeClr w14:val="tx1"/>
            </w14:solidFill>
          </w14:textFill>
        </w:rPr>
        <w:t>2</w:t>
      </w:r>
      <w:r>
        <w:rPr>
          <w:rFonts w:ascii="宋体" w:hAnsi="宋体"/>
          <w:color w:val="000000" w:themeColor="text1"/>
          <w:szCs w:val="24"/>
          <w14:textFill>
            <w14:solidFill>
              <w14:schemeClr w14:val="tx1"/>
            </w14:solidFill>
          </w14:textFill>
        </w:rPr>
        <w:t>个）取消参选资质【案例须同时提供</w:t>
      </w:r>
      <w:r>
        <w:rPr>
          <w:rFonts w:hint="eastAsia" w:ascii="宋体" w:hAnsi="宋体"/>
          <w:color w:val="000000" w:themeColor="text1"/>
          <w:szCs w:val="24"/>
          <w14:textFill>
            <w14:solidFill>
              <w14:schemeClr w14:val="tx1"/>
            </w14:solidFill>
          </w14:textFill>
        </w:rPr>
        <w:t>中标（成交）通知书（如有）、</w:t>
      </w:r>
      <w:r>
        <w:rPr>
          <w:rFonts w:ascii="宋体" w:hAnsi="宋体"/>
          <w:color w:val="000000" w:themeColor="text1"/>
          <w:szCs w:val="24"/>
          <w14:textFill>
            <w14:solidFill>
              <w14:schemeClr w14:val="tx1"/>
            </w14:solidFill>
          </w14:textFill>
        </w:rPr>
        <w:t>合同关键页复印件、合同对应的发票之一和网上税务系统查询该发票截图。（发票开具日期须晚于合同签订日期、发票购买方须与合同买方一致、发票销售方须与合同卖方（参选人）一致）。同一单位的多个案例可多次计算。</w:t>
      </w:r>
      <w:r>
        <w:rPr>
          <w:rFonts w:hint="eastAsia" w:ascii="宋体" w:hAnsi="宋体"/>
          <w:color w:val="000000" w:themeColor="text1"/>
          <w:szCs w:val="24"/>
          <w14:textFill>
            <w14:solidFill>
              <w14:schemeClr w14:val="tx1"/>
            </w14:solidFill>
          </w14:textFill>
        </w:rPr>
        <w:t>】</w:t>
      </w:r>
    </w:p>
    <w:p>
      <w:pPr>
        <w:ind w:firstLine="480"/>
        <w:rPr>
          <w:rFonts w:hint="eastAsia"/>
        </w:rPr>
      </w:pPr>
      <w:r>
        <w:rPr>
          <w:rFonts w:hint="eastAsia"/>
        </w:rPr>
        <w:t>注:以上证明文件若比选人存疑，参选人需提供原件备查，参选文件中须附相关证明文件复印件并逐页加盖公章。</w:t>
      </w:r>
    </w:p>
    <w:p>
      <w:pPr>
        <w:ind w:firstLine="480"/>
        <w:rPr>
          <w:rFonts w:hint="eastAsia"/>
        </w:rPr>
      </w:pPr>
      <w:r>
        <w:rPr>
          <w:rFonts w:hint="eastAsia"/>
        </w:rPr>
        <w:t>本次</w:t>
      </w:r>
      <w:r>
        <w:t>比选</w:t>
      </w:r>
      <w:r>
        <w:rPr>
          <w:rFonts w:hint="eastAsia"/>
        </w:rPr>
        <w:t>不接受近三年内为我行提供过与本项审计外包业务相关咨询服务的第三方及其关联机构；不接受曾因参选人的违约行为与比选人发生过纠纷的参选人；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13"/>
    <w:p>
      <w:pPr>
        <w:pStyle w:val="4"/>
      </w:pPr>
      <w:bookmarkStart w:id="14" w:name="_Toc55379220"/>
      <w:bookmarkStart w:id="15" w:name="_Toc89675130"/>
      <w:bookmarkStart w:id="16" w:name="_Toc469574667"/>
      <w:bookmarkStart w:id="17" w:name="_Toc297817090"/>
      <w:r>
        <w:rPr>
          <w:rFonts w:hint="eastAsia"/>
        </w:rPr>
        <w:t>3. 比选截止时间</w:t>
      </w:r>
    </w:p>
    <w:p>
      <w:pPr>
        <w:ind w:firstLine="480"/>
        <w:rPr>
          <w:rFonts w:hint="eastAsia"/>
        </w:rPr>
      </w:pP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分（北京时间）</w:t>
      </w:r>
    </w:p>
    <w:p>
      <w:pPr>
        <w:pStyle w:val="4"/>
      </w:pPr>
      <w:r>
        <w:rPr>
          <w:rFonts w:hint="eastAsia"/>
        </w:rPr>
        <w:t>4. 比选文件的获取</w:t>
      </w:r>
      <w:bookmarkEnd w:id="14"/>
    </w:p>
    <w:p>
      <w:pPr>
        <w:ind w:firstLine="480"/>
        <w:rPr>
          <w:rFonts w:hint="eastAsia"/>
        </w:rPr>
      </w:pPr>
      <w:r>
        <w:rPr>
          <w:rFonts w:hint="eastAsia"/>
        </w:rPr>
        <w:t>4.1 获取时间和方式：从</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24</w:t>
      </w:r>
      <w:r>
        <w:rPr>
          <w:rFonts w:hint="eastAsia"/>
        </w:rPr>
        <w:t>日到</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分（北京时间），在重庆市公共资源交易网（www.cqggzy.com）下载比选文件。</w:t>
      </w:r>
    </w:p>
    <w:p>
      <w:pPr>
        <w:ind w:firstLine="480"/>
        <w:rPr>
          <w:rFonts w:hint="eastAsia"/>
          <w:color w:val="000000" w:themeColor="text1"/>
          <w14:textFill>
            <w14:solidFill>
              <w14:schemeClr w14:val="tx1"/>
            </w14:solidFill>
          </w14:textFill>
        </w:rPr>
      </w:pPr>
      <w:r>
        <w:rPr>
          <w:rFonts w:hint="eastAsia"/>
        </w:rPr>
        <w:t>4.2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27</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w:t>
      </w:r>
      <w:r>
        <w:rPr>
          <w:rFonts w:hint="eastAsia"/>
          <w:color w:val="000000" w:themeColor="text1"/>
          <w14:textFill>
            <w14:solidFill>
              <w14:schemeClr w14:val="tx1"/>
            </w14:solidFill>
          </w14:textFill>
        </w:rPr>
        <w:t>名提出。参选人未提出，则视为参选人已全面确认比选文件内容。</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4.3 比选人在认为有必要对参选人所提问题进行答复或对比选文件进行补充时，将于比选截止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4"/>
        <w:rPr>
          <w:color w:val="000000" w:themeColor="text1"/>
          <w14:textFill>
            <w14:solidFill>
              <w14:schemeClr w14:val="tx1"/>
            </w14:solidFill>
          </w14:textFill>
        </w:rPr>
      </w:pPr>
      <w:bookmarkStart w:id="18" w:name="_Toc55379221"/>
      <w:r>
        <w:rPr>
          <w:rFonts w:hint="eastAsia"/>
          <w:color w:val="000000" w:themeColor="text1"/>
          <w14:textFill>
            <w14:solidFill>
              <w14:schemeClr w14:val="tx1"/>
            </w14:solidFill>
          </w14:textFill>
        </w:rPr>
        <w:t>5. 参选保证金的递交</w:t>
      </w:r>
      <w:bookmarkEnd w:id="15"/>
      <w:bookmarkEnd w:id="16"/>
      <w:bookmarkEnd w:id="17"/>
      <w:bookmarkEnd w:id="18"/>
    </w:p>
    <w:p>
      <w:pPr>
        <w:ind w:firstLine="480"/>
        <w:rPr>
          <w:rFonts w:hint="eastAsia"/>
          <w:color w:val="000000" w:themeColor="text1"/>
          <w14:textFill>
            <w14:solidFill>
              <w14:schemeClr w14:val="tx1"/>
            </w14:solidFill>
          </w14:textFill>
        </w:rPr>
      </w:pPr>
      <w:bookmarkStart w:id="19" w:name="_Toc89675131"/>
      <w:bookmarkStart w:id="20" w:name="_Toc469574668"/>
      <w:bookmarkStart w:id="21" w:name="_Toc55379222"/>
      <w:bookmarkStart w:id="22" w:name="_Toc297817091"/>
      <w:r>
        <w:rPr>
          <w:rFonts w:hint="eastAsia"/>
          <w:color w:val="000000" w:themeColor="text1"/>
          <w14:textFill>
            <w14:solidFill>
              <w14:schemeClr w14:val="tx1"/>
            </w14:solidFill>
          </w14:textFill>
        </w:rPr>
        <w:t>5.1 参选保证金的金额：</w:t>
      </w:r>
      <w:r>
        <w:rPr>
          <w:rFonts w:hint="eastAsia"/>
          <w:b/>
          <w:bCs/>
          <w:color w:val="000000" w:themeColor="text1"/>
          <w:u w:val="single"/>
          <w14:textFill>
            <w14:solidFill>
              <w14:schemeClr w14:val="tx1"/>
            </w14:solidFill>
          </w14:textFill>
        </w:rPr>
        <w:t xml:space="preserve">  12000    </w:t>
      </w:r>
      <w:r>
        <w:rPr>
          <w:rFonts w:hint="eastAsia"/>
          <w:b/>
          <w:bCs/>
          <w:color w:val="000000" w:themeColor="text1"/>
          <w14:textFill>
            <w14:solidFill>
              <w14:schemeClr w14:val="tx1"/>
            </w14:solidFill>
          </w14:textFill>
        </w:rPr>
        <w:t>元整（大写：</w:t>
      </w:r>
      <w:r>
        <w:rPr>
          <w:rFonts w:hint="eastAsia"/>
          <w:b/>
          <w:bCs/>
          <w:color w:val="000000" w:themeColor="text1"/>
          <w:u w:val="single"/>
          <w14:textFill>
            <w14:solidFill>
              <w14:schemeClr w14:val="tx1"/>
            </w14:solidFill>
          </w14:textFill>
        </w:rPr>
        <w:t xml:space="preserve">  壹万贰仟元整    </w:t>
      </w:r>
      <w:r>
        <w:rPr>
          <w:rFonts w:hint="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ind w:firstLine="482"/>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参选人必须在付款凭证备注栏中注明项目简称。可简写成：</w:t>
      </w:r>
      <w:r>
        <w:rPr>
          <w:rFonts w:hint="eastAsia"/>
          <w:b/>
          <w:bCs/>
          <w:color w:val="000000" w:themeColor="text1"/>
          <w:u w:val="single"/>
          <w14:textFill>
            <w14:solidFill>
              <w14:schemeClr w14:val="tx1"/>
            </w14:solidFill>
          </w14:textFill>
        </w:rPr>
        <w:t xml:space="preserve"> 信息科技审计    </w:t>
      </w:r>
      <w:r>
        <w:rPr>
          <w:rFonts w:hint="eastAsia"/>
          <w:b/>
          <w:bCs/>
          <w:color w:val="000000" w:themeColor="text1"/>
          <w14:textFill>
            <w14:solidFill>
              <w14:schemeClr w14:val="tx1"/>
            </w14:solidFill>
          </w14:textFill>
        </w:rPr>
        <w:t>项目。</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 参选保证金递交的截止时间为</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w:t>
      </w:r>
      <w:r>
        <w:rPr>
          <w:rFonts w:hint="eastAsia"/>
          <w:color w:val="000000" w:themeColor="text1"/>
          <w14:textFill>
            <w14:solidFill>
              <w14:schemeClr w14:val="tx1"/>
            </w14:solidFill>
          </w14:textFill>
        </w:rPr>
        <w:t>（北京时间）。</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参选保证金专用账户如下：</w:t>
      </w:r>
    </w:p>
    <w:p>
      <w:pPr>
        <w:ind w:firstLine="480"/>
        <w:rPr>
          <w:rFonts w:hint="eastAsia"/>
        </w:rPr>
      </w:pPr>
      <w:r>
        <w:rPr>
          <w:rFonts w:hint="eastAsia"/>
          <w:color w:val="000000" w:themeColor="text1"/>
          <w14:textFill>
            <w14:solidFill>
              <w14:schemeClr w14:val="tx1"/>
            </w14:solidFill>
          </w14:textFill>
        </w:rPr>
        <w:t>详见重庆市公共资源交易网（www.cqggzy.com）对应本项目比选公告信息栏中的保证金信息。根据重庆市公共资源交易中心《关于开展公共资源交易市场</w:t>
      </w:r>
      <w:r>
        <w:rPr>
          <w:rFonts w:hint="eastAsia"/>
        </w:rPr>
        <w:t>主体信息登记工作的公告》的要求，参选人在参选前需在重庆市公共资源交易网（www.cqggzy.com）办理市场主体信息登记手续。</w:t>
      </w:r>
    </w:p>
    <w:p>
      <w:pPr>
        <w:ind w:firstLine="480"/>
        <w:rPr>
          <w:rFonts w:hint="eastAsia"/>
        </w:rPr>
      </w:pPr>
      <w:r>
        <w:rPr>
          <w:rFonts w:hint="eastAsia"/>
        </w:rPr>
        <w:t>参选保证金以重庆市公共资源交易中心比选现场展示的保证金交纳情况为准。</w:t>
      </w:r>
    </w:p>
    <w:p>
      <w:pPr>
        <w:pStyle w:val="4"/>
        <w:bidi w:val="0"/>
      </w:pPr>
      <w:r>
        <w:rPr>
          <w:rFonts w:hint="eastAsia"/>
        </w:rPr>
        <w:t>6. 比选地点</w:t>
      </w:r>
    </w:p>
    <w:p>
      <w:pPr>
        <w:ind w:firstLine="480"/>
        <w:rPr>
          <w:rFonts w:hint="eastAsia"/>
        </w:rPr>
      </w:pPr>
      <w:r>
        <w:rPr>
          <w:rFonts w:hint="eastAsia"/>
        </w:rPr>
        <w:t>重庆市渝北区青枫北路6号渝兴广场B10栋重庆市公共资源交易中心开标区。</w:t>
      </w:r>
    </w:p>
    <w:bookmarkEnd w:id="19"/>
    <w:bookmarkEnd w:id="20"/>
    <w:bookmarkEnd w:id="21"/>
    <w:bookmarkEnd w:id="22"/>
    <w:p>
      <w:pPr>
        <w:pStyle w:val="4"/>
      </w:pPr>
      <w:r>
        <w:rPr>
          <w:rFonts w:hint="eastAsia"/>
        </w:rPr>
        <w:t>7. 参选文件的递交</w:t>
      </w:r>
    </w:p>
    <w:p>
      <w:pPr>
        <w:ind w:firstLine="480"/>
        <w:rPr>
          <w:rFonts w:hint="eastAsia"/>
        </w:rPr>
      </w:pPr>
      <w:bookmarkStart w:id="23" w:name="_Toc469574669"/>
      <w:bookmarkStart w:id="24" w:name="_Toc55379223"/>
      <w:bookmarkStart w:id="25" w:name="_Toc89675132"/>
      <w:r>
        <w:rPr>
          <w:rFonts w:hint="eastAsia"/>
        </w:rPr>
        <w:t>7.1 参选文件现场递交的开始时间为</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r>
        <w:rPr>
          <w:rFonts w:hint="eastAsia"/>
          <w:lang w:val="en-US" w:eastAsia="zh-CN"/>
        </w:rPr>
        <w:t>9</w:t>
      </w:r>
      <w:r>
        <w:rPr>
          <w:rFonts w:hint="eastAsia"/>
        </w:rPr>
        <w:t>时</w:t>
      </w:r>
      <w:r>
        <w:rPr>
          <w:rFonts w:hint="eastAsia"/>
          <w:lang w:val="en-US" w:eastAsia="zh-CN"/>
        </w:rPr>
        <w:t>00</w:t>
      </w:r>
      <w:r>
        <w:rPr>
          <w:rFonts w:hint="eastAsia"/>
        </w:rPr>
        <w:t>分(北京时间)。递交截止时间为</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分（北京时间）。</w:t>
      </w:r>
    </w:p>
    <w:p>
      <w:pPr>
        <w:ind w:firstLine="480"/>
        <w:rPr>
          <w:rFonts w:hint="eastAsia"/>
        </w:rPr>
      </w:pPr>
      <w:r>
        <w:rPr>
          <w:rFonts w:hint="eastAsia"/>
        </w:rPr>
        <w:t>7.2 递交地点为重庆市公共资源交易中心开标区（具体请登陆重庆市公共资源交易网（www.cqggzy.com）查询或递交文件当日见交易中心大厅电子显示屏）。</w:t>
      </w:r>
    </w:p>
    <w:p>
      <w:pPr>
        <w:ind w:firstLine="480"/>
        <w:rPr>
          <w:rFonts w:hint="eastAsia"/>
        </w:rPr>
      </w:pPr>
      <w:r>
        <w:rPr>
          <w:rFonts w:hint="eastAsia"/>
        </w:rPr>
        <w:t>7.3 逾期送达的参选文件，不予接收。</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8. 发布公告的媒介</w:t>
      </w:r>
      <w:bookmarkEnd w:id="23"/>
      <w:bookmarkEnd w:id="24"/>
      <w:bookmarkEnd w:id="25"/>
    </w:p>
    <w:p>
      <w:pPr>
        <w:ind w:firstLine="480"/>
        <w:rPr>
          <w:rFonts w:hint="eastAsia"/>
          <w:color w:val="000000" w:themeColor="text1"/>
          <w14:textFill>
            <w14:solidFill>
              <w14:schemeClr w14:val="tx1"/>
            </w14:solidFill>
          </w14:textFill>
        </w:rPr>
      </w:pPr>
      <w:bookmarkStart w:id="26" w:name="_Toc55379224"/>
      <w:bookmarkStart w:id="27" w:name="_Toc250565211"/>
      <w:bookmarkStart w:id="28" w:name="_Toc89675133"/>
      <w:bookmarkStart w:id="29" w:name="_Toc469574670"/>
      <w:r>
        <w:rPr>
          <w:rFonts w:hint="eastAsia"/>
          <w:color w:val="000000" w:themeColor="text1"/>
          <w14:textFill>
            <w14:solidFill>
              <w14:schemeClr w14:val="tx1"/>
            </w14:solidFill>
          </w14:textFill>
        </w:rPr>
        <w:t>本次比选公告同时在《重庆市公共资源交易网（www.cqggzy.com）》《重庆三峡银行官网（https://www.ccqtgb.com）》和《中国比选参选公共服务平台（http://www.cebpubservice.com）》上发布。</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9. 联系方式</w:t>
      </w:r>
      <w:bookmarkEnd w:id="26"/>
      <w:bookmarkEnd w:id="27"/>
      <w:bookmarkEnd w:id="28"/>
      <w:bookmarkEnd w:id="29"/>
    </w:p>
    <w:tbl>
      <w:tblPr>
        <w:tblStyle w:val="20"/>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比选人：重庆三峡银行股份有限公司</w:t>
            </w:r>
          </w:p>
        </w:tc>
        <w:tc>
          <w:tcPr>
            <w:tcW w:w="487"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地址：重庆市渝北区嘉州路88号中渝国际都会4号写字楼21层</w:t>
            </w:r>
          </w:p>
        </w:tc>
        <w:tc>
          <w:tcPr>
            <w:tcW w:w="487"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平台服务联系人：罗老师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联系人：敬希、赵晨辰</w:t>
            </w:r>
          </w:p>
        </w:tc>
        <w:tc>
          <w:tcPr>
            <w:tcW w:w="487"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平台服务电话：023-63626034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采购咨询电话：023-88890395</w:t>
            </w:r>
          </w:p>
        </w:tc>
        <w:tc>
          <w:tcPr>
            <w:tcW w:w="487"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业务咨询电话：023-88890487</w:t>
            </w:r>
          </w:p>
        </w:tc>
        <w:tc>
          <w:tcPr>
            <w:tcW w:w="487"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邮箱：</w:t>
            </w:r>
            <w:r>
              <w:fldChar w:fldCharType="begin"/>
            </w:r>
            <w:r>
              <w:instrText xml:space="preserve"> HYPERLINK "mailto:sx.jcb@ccqtgb.com" </w:instrText>
            </w:r>
            <w:r>
              <w:fldChar w:fldCharType="separate"/>
            </w:r>
            <w:r>
              <w:rPr>
                <w:rFonts w:hint="eastAsia" w:ascii="宋体" w:hAnsi="宋体" w:cs="宋体"/>
                <w:snapToGrid w:val="0"/>
                <w:color w:val="000000" w:themeColor="text1"/>
                <w:kern w:val="0"/>
                <w:sz w:val="21"/>
                <w:szCs w:val="21"/>
                <w14:textFill>
                  <w14:solidFill>
                    <w14:schemeClr w14:val="tx1"/>
                  </w14:solidFill>
                </w14:textFill>
              </w:rPr>
              <w:t>sx.jcb@ccqtgb.com</w:t>
            </w:r>
            <w:r>
              <w:rPr>
                <w:rFonts w:hint="eastAsia" w:ascii="宋体" w:hAnsi="宋体" w:cs="宋体"/>
                <w:snapToGrid w:val="0"/>
                <w:color w:val="000000" w:themeColor="text1"/>
                <w:kern w:val="0"/>
                <w:sz w:val="21"/>
                <w:szCs w:val="21"/>
                <w14:textFill>
                  <w14:solidFill>
                    <w14:schemeClr w14:val="tx1"/>
                  </w14:solidFill>
                </w14:textFill>
              </w:rPr>
              <w:fldChar w:fldCharType="end"/>
            </w:r>
          </w:p>
        </w:tc>
        <w:tc>
          <w:tcPr>
            <w:tcW w:w="487"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c>
          <w:tcPr>
            <w:tcW w:w="3968" w:type="dxa"/>
            <w:tcBorders>
              <w:tl2br w:val="nil"/>
              <w:tr2bl w:val="nil"/>
            </w:tcBorders>
          </w:tcPr>
          <w:p>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r>
    </w:tbl>
    <w:p>
      <w:pPr>
        <w:ind w:firstLine="480"/>
        <w:rPr>
          <w:rFonts w:hint="eastAsia"/>
        </w:rPr>
      </w:pPr>
    </w:p>
    <w:p>
      <w:pPr>
        <w:ind w:firstLine="480"/>
        <w:rPr>
          <w:rFonts w:hint="eastAsia"/>
        </w:rPr>
      </w:pPr>
    </w:p>
    <w:p>
      <w:pPr>
        <w:spacing w:line="240" w:lineRule="auto"/>
        <w:ind w:firstLine="0" w:firstLineChars="0"/>
        <w:jc w:val="right"/>
        <w:rPr>
          <w:rFonts w:hint="eastAsia"/>
        </w:rPr>
      </w:pPr>
      <w:r>
        <w:rPr>
          <w:rFonts w:hint="eastAsia"/>
        </w:rPr>
        <w:t>重庆三峡银行股份有限公司</w:t>
      </w:r>
    </w:p>
    <w:p>
      <w:pPr>
        <w:ind w:firstLine="480"/>
        <w:jc w:val="right"/>
        <w:rPr>
          <w:rFonts w:hint="eastAsia"/>
        </w:rPr>
      </w:pPr>
      <w:r>
        <w:rPr>
          <w:rFonts w:hint="eastAsia"/>
        </w:rPr>
        <w:t>202</w:t>
      </w:r>
      <w:r>
        <w:rPr>
          <w:rFonts w:hint="eastAsia"/>
          <w:lang w:val="en-US" w:eastAsia="zh-CN"/>
        </w:rPr>
        <w:t>4</w:t>
      </w:r>
      <w:r>
        <w:rPr>
          <w:rFonts w:hint="eastAsia"/>
        </w:rPr>
        <w:t>年</w:t>
      </w:r>
      <w:r>
        <w:rPr>
          <w:rFonts w:hint="eastAsia"/>
          <w:lang w:val="en-US" w:eastAsia="zh-CN"/>
        </w:rPr>
        <w:t>6</w:t>
      </w:r>
      <w:r>
        <w:rPr>
          <w:rFonts w:hint="eastAsia"/>
        </w:rPr>
        <w:t>月</w:t>
      </w:r>
      <w:r>
        <w:rPr>
          <w:rFonts w:hint="eastAsia"/>
          <w:lang w:val="en-US" w:eastAsia="zh-CN"/>
        </w:rPr>
        <w:t>24</w:t>
      </w:r>
      <w:r>
        <w:rPr>
          <w:rFonts w:hint="eastAsia"/>
        </w:rPr>
        <w:t>日</w:t>
      </w:r>
    </w:p>
    <w:bookmarkEnd w:id="267"/>
    <w:p>
      <w:pPr>
        <w:ind w:firstLine="480"/>
        <w:rPr>
          <w:rFonts w:hint="eastAsia"/>
        </w:rPr>
      </w:pPr>
      <w:r>
        <w:br w:type="page"/>
      </w:r>
    </w:p>
    <w:p>
      <w:pPr>
        <w:pStyle w:val="3"/>
      </w:pPr>
      <w:bookmarkStart w:id="30" w:name="_Toc723"/>
      <w:bookmarkStart w:id="31" w:name="_Toc89675159"/>
      <w:bookmarkStart w:id="32" w:name="_Toc27630"/>
      <w:bookmarkStart w:id="33" w:name="_Toc303066033"/>
      <w:r>
        <w:rPr>
          <w:rFonts w:hint="eastAsia"/>
        </w:rPr>
        <w:t>第二章 参选人须知</w:t>
      </w:r>
      <w:bookmarkEnd w:id="30"/>
      <w:bookmarkEnd w:id="31"/>
      <w:bookmarkEnd w:id="32"/>
      <w:bookmarkEnd w:id="33"/>
    </w:p>
    <w:p>
      <w:pPr>
        <w:pStyle w:val="4"/>
      </w:pPr>
      <w:bookmarkStart w:id="34" w:name="_Toc89675160"/>
      <w:r>
        <w:rPr>
          <w:rFonts w:hint="eastAsia"/>
        </w:rPr>
        <w:t>1. 项目信息</w:t>
      </w:r>
    </w:p>
    <w:p>
      <w:pPr>
        <w:pStyle w:val="5"/>
        <w:rPr>
          <w:rFonts w:hint="eastAsia"/>
        </w:rPr>
      </w:pPr>
      <w:r>
        <w:rPr>
          <w:rFonts w:hint="eastAsia"/>
        </w:rPr>
        <w:t>1.1 比选人</w:t>
      </w:r>
    </w:p>
    <w:p>
      <w:pPr>
        <w:ind w:firstLine="480"/>
        <w:rPr>
          <w:rFonts w:hint="eastAsia"/>
        </w:rPr>
      </w:pPr>
      <w:r>
        <w:t>重庆三峡银行股份有限公司</w:t>
      </w:r>
      <w:r>
        <w:rPr>
          <w:rFonts w:hint="eastAsia"/>
        </w:rPr>
        <w:t>。</w:t>
      </w:r>
    </w:p>
    <w:p>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 最高限价</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本项目最高限价为：</w:t>
      </w:r>
      <w:r>
        <w:rPr>
          <w:rFonts w:hint="eastAsia"/>
          <w:color w:val="000000" w:themeColor="text1"/>
          <w:u w:val="single"/>
          <w14:textFill>
            <w14:solidFill>
              <w14:schemeClr w14:val="tx1"/>
            </w14:solidFill>
          </w14:textFill>
        </w:rPr>
        <w:t xml:space="preserve"> 60万元 </w:t>
      </w:r>
      <w:r>
        <w:rPr>
          <w:rFonts w:hint="eastAsia"/>
          <w:color w:val="000000" w:themeColor="text1"/>
          <w14:textFill>
            <w14:solidFill>
              <w14:schemeClr w14:val="tx1"/>
            </w14:solidFill>
          </w14:textFill>
        </w:rPr>
        <w:t>（人民币大写：</w:t>
      </w:r>
      <w:r>
        <w:rPr>
          <w:rFonts w:hint="eastAsia"/>
          <w:color w:val="000000" w:themeColor="text1"/>
          <w:u w:val="single"/>
          <w14:textFill>
            <w14:solidFill>
              <w14:schemeClr w14:val="tx1"/>
            </w14:solidFill>
          </w14:textFill>
        </w:rPr>
        <w:t xml:space="preserve"> 陆拾万元 </w:t>
      </w:r>
      <w:r>
        <w:rPr>
          <w:rFonts w:hint="eastAsia"/>
          <w:color w:val="000000" w:themeColor="text1"/>
          <w14:textFill>
            <w14:solidFill>
              <w14:schemeClr w14:val="tx1"/>
            </w14:solidFill>
          </w14:textFill>
        </w:rPr>
        <w:t>）。</w:t>
      </w:r>
    </w:p>
    <w:p>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 项目概况</w:t>
      </w:r>
    </w:p>
    <w:bookmarkEnd w:id="34"/>
    <w:p>
      <w:pPr>
        <w:ind w:firstLine="480"/>
        <w:rPr>
          <w:rFonts w:hint="eastAsia"/>
        </w:rPr>
      </w:pPr>
      <w:bookmarkStart w:id="35" w:name="_Toc89675161"/>
      <w:r>
        <w:t>依据包括外部法律法规、监管文件、我行内部现有制度规范以及国内外信息科技风险管理最佳实践和行业标准，从信息科技治理、信息科技风险管理、信息安全、系统开发测试和维护、信息科技运行、业务连续性管理、外包、数据安全、网络安全等方面对近三年来信息科技管理情况进行一次全面的审计。查找可能存在的风险点和安全控制薄弱环节，并提出具体整改措施。</w:t>
      </w:r>
    </w:p>
    <w:p>
      <w:pPr>
        <w:pStyle w:val="5"/>
        <w:rPr>
          <w:rFonts w:hint="eastAsia"/>
        </w:rPr>
      </w:pPr>
      <w:r>
        <w:rPr>
          <w:rFonts w:hint="eastAsia"/>
        </w:rPr>
        <w:t>1.4 项目目标</w:t>
      </w:r>
    </w:p>
    <w:p>
      <w:pPr>
        <w:ind w:firstLine="480"/>
        <w:rPr>
          <w:rFonts w:hint="eastAsia"/>
        </w:rPr>
      </w:pPr>
      <w:r>
        <w:t>通过完成本次审计，充分识别和评估信息科技风险，评价控制措施效果，加强和规范我行信息科技内部控制，提高信息科技管理水平和风险防控能力，确保信息系统可用性、安全性、完整性、有效性，促使我行信息科技规划和建设与我行战略规划保持一致，更好地支撑我行业务发展。</w:t>
      </w:r>
    </w:p>
    <w:p>
      <w:pPr>
        <w:pStyle w:val="4"/>
      </w:pPr>
      <w:r>
        <w:rPr>
          <w:rFonts w:hint="eastAsia"/>
        </w:rPr>
        <w:t xml:space="preserve">2. </w:t>
      </w:r>
      <w:r>
        <w:t>参选</w:t>
      </w:r>
      <w:r>
        <w:rPr>
          <w:rFonts w:hint="eastAsia"/>
        </w:rPr>
        <w:t>人</w:t>
      </w:r>
      <w:bookmarkEnd w:id="35"/>
    </w:p>
    <w:p>
      <w:pPr>
        <w:ind w:firstLine="480"/>
        <w:rPr>
          <w:rFonts w:hint="eastAsia"/>
        </w:rPr>
      </w:pPr>
      <w:r>
        <w:rPr>
          <w:rFonts w:hint="eastAsia"/>
        </w:rPr>
        <w:t>2.1 合格参选人条件</w:t>
      </w:r>
    </w:p>
    <w:p>
      <w:pPr>
        <w:ind w:firstLine="480"/>
        <w:rPr>
          <w:rFonts w:hint="eastAsia"/>
        </w:rPr>
      </w:pPr>
      <w:r>
        <w:rPr>
          <w:rFonts w:hint="eastAsia"/>
        </w:rPr>
        <w:t>合格参选人应完全符合比选文件第一章中规定的参选人资格条件，并对比选文件作出实质性响应。</w:t>
      </w:r>
    </w:p>
    <w:p>
      <w:pPr>
        <w:ind w:firstLine="480"/>
        <w:rPr>
          <w:rFonts w:hint="eastAsia"/>
        </w:rPr>
      </w:pPr>
      <w:r>
        <w:rPr>
          <w:rFonts w:hint="eastAsia"/>
        </w:rPr>
        <w:t>2.2 参选人的风险</w:t>
      </w:r>
    </w:p>
    <w:p>
      <w:pPr>
        <w:ind w:firstLine="480"/>
        <w:rPr>
          <w:rFonts w:hint="eastAsia"/>
        </w:rPr>
      </w:pPr>
      <w:r>
        <w:rPr>
          <w:rFonts w:hint="eastAsia"/>
        </w:rPr>
        <w:t>参选人没有按照比选文件要求提供全部资料，或者参选人没有对比选文件在各方面作出实质性响应，可能导致参选被拒绝或评定为无效参选。</w:t>
      </w:r>
    </w:p>
    <w:p>
      <w:pPr>
        <w:pStyle w:val="4"/>
      </w:pPr>
      <w:bookmarkStart w:id="36" w:name="_Toc89675162"/>
      <w:r>
        <w:rPr>
          <w:rFonts w:hint="eastAsia"/>
        </w:rPr>
        <w:t>3. 比选文件</w:t>
      </w:r>
      <w:bookmarkEnd w:id="36"/>
    </w:p>
    <w:p>
      <w:pPr>
        <w:ind w:firstLine="480"/>
        <w:rPr>
          <w:rFonts w:hint="eastAsia"/>
        </w:rPr>
      </w:pPr>
      <w:r>
        <w:rPr>
          <w:rFonts w:hint="eastAsia"/>
        </w:rPr>
        <w:t>比选文件是参选人编制参选文件的依据，是评审委员会评判依据和标准。比选文件也是比选人与中选人签订合同的基础。</w:t>
      </w:r>
    </w:p>
    <w:p>
      <w:pPr>
        <w:ind w:firstLine="480"/>
        <w:rPr>
          <w:rFonts w:hint="eastAsia"/>
        </w:rPr>
      </w:pPr>
      <w:r>
        <w:rPr>
          <w:rFonts w:hint="eastAsia"/>
        </w:rPr>
        <w:t>本行对比选文件所作的一切有效的书面通知、修改及补充，都是比选文件不可分割的部分。</w:t>
      </w:r>
    </w:p>
    <w:p>
      <w:pPr>
        <w:pStyle w:val="4"/>
      </w:pPr>
      <w:bookmarkStart w:id="37" w:name="_Toc89675163"/>
      <w:r>
        <w:rPr>
          <w:rFonts w:hint="eastAsia"/>
        </w:rPr>
        <w:t xml:space="preserve">4. </w:t>
      </w:r>
      <w:r>
        <w:t>参选</w:t>
      </w:r>
      <w:bookmarkEnd w:id="37"/>
    </w:p>
    <w:p>
      <w:pPr>
        <w:ind w:firstLine="480"/>
        <w:rPr>
          <w:rFonts w:hint="eastAsia"/>
        </w:rPr>
      </w:pPr>
      <w:r>
        <w:rPr>
          <w:rFonts w:hint="eastAsia"/>
        </w:rPr>
        <w:t>参选人应当按照比选文件的要求编制参选文件，并对比选文件提出的要求和条件作出实质性响应。</w:t>
      </w:r>
    </w:p>
    <w:p>
      <w:pPr>
        <w:pStyle w:val="5"/>
        <w:rPr>
          <w:rFonts w:hint="eastAsia"/>
        </w:rPr>
      </w:pPr>
      <w:r>
        <w:rPr>
          <w:rFonts w:hint="eastAsia"/>
        </w:rPr>
        <w:t>4.1 参选文件组成</w:t>
      </w:r>
    </w:p>
    <w:p>
      <w:pPr>
        <w:ind w:firstLine="480"/>
        <w:rPr>
          <w:rFonts w:hint="eastAsia"/>
        </w:rPr>
      </w:pPr>
      <w:r>
        <w:rPr>
          <w:rFonts w:hint="eastAsia"/>
        </w:rPr>
        <w:t>参选文件由参选人所作的一切有效补充、修改和承诺等文件组成，参选人应按照第六章“参选文件格式”规定的目录顺序组织编写和装订，否则有可能影响参选人的参选文件评审。</w:t>
      </w:r>
    </w:p>
    <w:p>
      <w:pPr>
        <w:pStyle w:val="5"/>
        <w:rPr>
          <w:rFonts w:hint="eastAsia"/>
        </w:rPr>
      </w:pPr>
      <w:r>
        <w:rPr>
          <w:rFonts w:hint="eastAsia"/>
        </w:rPr>
        <w:t>4.2 联合参选</w:t>
      </w:r>
    </w:p>
    <w:p>
      <w:pPr>
        <w:ind w:firstLine="480"/>
        <w:rPr>
          <w:rFonts w:hint="eastAsia"/>
        </w:rPr>
      </w:pPr>
      <w:r>
        <w:rPr>
          <w:rFonts w:hint="eastAsia"/>
        </w:rPr>
        <w:t>本比选项目不接受联合参选</w:t>
      </w:r>
    </w:p>
    <w:p>
      <w:pPr>
        <w:pStyle w:val="5"/>
        <w:rPr>
          <w:rFonts w:hint="eastAsia"/>
        </w:rPr>
      </w:pPr>
      <w:r>
        <w:rPr>
          <w:rFonts w:hint="eastAsia"/>
        </w:rPr>
        <w:t>4.3 参选有效期</w:t>
      </w:r>
    </w:p>
    <w:p>
      <w:pPr>
        <w:ind w:firstLine="480"/>
        <w:rPr>
          <w:rFonts w:hint="eastAsia"/>
        </w:rPr>
      </w:pPr>
      <w:r>
        <w:rPr>
          <w:rFonts w:hint="eastAsia"/>
        </w:rPr>
        <w:t>参选有效期为比选截止日期后90天内。</w:t>
      </w:r>
    </w:p>
    <w:p>
      <w:pPr>
        <w:pStyle w:val="5"/>
        <w:rPr>
          <w:rFonts w:hint="eastAsia"/>
        </w:rPr>
      </w:pPr>
      <w:r>
        <w:rPr>
          <w:rFonts w:hint="eastAsia"/>
        </w:rPr>
        <w:t>4.4 参选保证金</w:t>
      </w:r>
    </w:p>
    <w:p>
      <w:pPr>
        <w:ind w:firstLine="480"/>
        <w:rPr>
          <w:rFonts w:hint="eastAsia"/>
        </w:rPr>
      </w:pPr>
      <w:r>
        <w:rPr>
          <w:rFonts w:hint="eastAsia"/>
        </w:rPr>
        <w:t>4.4.1 参选人应在比选截止时间前，按比选文件第一章规定向比选人缴纳参选保证金。</w:t>
      </w:r>
    </w:p>
    <w:p>
      <w:pPr>
        <w:ind w:firstLine="480"/>
        <w:rPr>
          <w:rFonts w:hint="eastAsia"/>
        </w:rPr>
      </w:pPr>
      <w:r>
        <w:rPr>
          <w:rFonts w:hint="eastAsia"/>
        </w:rPr>
        <w:t>4.4.2 参选保证金为参选的有效约束条件。</w:t>
      </w:r>
    </w:p>
    <w:p>
      <w:pPr>
        <w:ind w:firstLine="480"/>
        <w:rPr>
          <w:rFonts w:hint="eastAsia"/>
        </w:rPr>
      </w:pPr>
      <w:r>
        <w:rPr>
          <w:rFonts w:hint="eastAsia"/>
        </w:rPr>
        <w:t>4.4.3 参选保证金有效期与参选文件有效期一致。</w:t>
      </w:r>
    </w:p>
    <w:p>
      <w:pPr>
        <w:ind w:firstLine="480"/>
        <w:rPr>
          <w:rFonts w:hint="eastAsia"/>
        </w:rPr>
      </w:pPr>
      <w:r>
        <w:rPr>
          <w:rFonts w:hint="eastAsia"/>
        </w:rPr>
        <w:t>4.4.4 参选保证金币种应与参选报价币种相同。</w:t>
      </w:r>
    </w:p>
    <w:p>
      <w:pPr>
        <w:ind w:firstLine="480"/>
        <w:rPr>
          <w:rFonts w:hint="eastAsia"/>
        </w:rPr>
      </w:pPr>
      <w:r>
        <w:rPr>
          <w:rFonts w:hint="eastAsia"/>
        </w:rPr>
        <w:t>4.4.5 参选保证金的退还：</w:t>
      </w:r>
    </w:p>
    <w:p>
      <w:pPr>
        <w:ind w:firstLine="480"/>
        <w:rPr>
          <w:rFonts w:hint="eastAsia"/>
        </w:rPr>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ind w:firstLine="480"/>
        <w:rPr>
          <w:rFonts w:hint="eastAsia"/>
        </w:rPr>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ind w:firstLine="480"/>
        <w:rPr>
          <w:rFonts w:hint="eastAsia"/>
        </w:rPr>
      </w:pPr>
      <w:r>
        <w:rPr>
          <w:rFonts w:hint="eastAsia"/>
        </w:rPr>
        <w:t>参选保证金专用账户由重庆市公共资源交易中心制定，关于保证金相关情况的问题请咨询重庆市公共资源交易中心，联系电话023-63621694。</w:t>
      </w:r>
    </w:p>
    <w:p>
      <w:pPr>
        <w:ind w:firstLine="480"/>
        <w:rPr>
          <w:rFonts w:hint="eastAsia"/>
        </w:rPr>
      </w:pPr>
      <w:r>
        <w:rPr>
          <w:rFonts w:hint="eastAsia"/>
        </w:rPr>
        <w:t>4.4.6 参选人有下列情形之一的，参选保证金将不予退还：</w:t>
      </w:r>
    </w:p>
    <w:p>
      <w:pPr>
        <w:ind w:firstLine="480"/>
        <w:rPr>
          <w:rFonts w:hint="eastAsia"/>
        </w:rPr>
      </w:pPr>
      <w:r>
        <w:rPr>
          <w:rFonts w:hint="eastAsia"/>
        </w:rPr>
        <w:t>4.4.6.1 参选人在参选有效期内撤销参选文件的；</w:t>
      </w:r>
    </w:p>
    <w:p>
      <w:pPr>
        <w:ind w:firstLine="480"/>
        <w:rPr>
          <w:rFonts w:hint="eastAsia"/>
        </w:rPr>
      </w:pPr>
      <w:r>
        <w:rPr>
          <w:rFonts w:hint="eastAsia"/>
        </w:rPr>
        <w:t>4.4.6.2 参选人在参选过程中弄虚作假，提供虚假材料的；</w:t>
      </w:r>
    </w:p>
    <w:p>
      <w:pPr>
        <w:ind w:firstLine="480"/>
        <w:rPr>
          <w:rFonts w:hint="eastAsia"/>
        </w:rPr>
      </w:pPr>
      <w:r>
        <w:rPr>
          <w:rFonts w:hint="eastAsia"/>
        </w:rPr>
        <w:t>4.4.6.3 中选人无正当理由不与比选人签订合同的；</w:t>
      </w:r>
    </w:p>
    <w:p>
      <w:pPr>
        <w:ind w:firstLine="480"/>
        <w:rPr>
          <w:rFonts w:hint="eastAsia"/>
        </w:rPr>
      </w:pPr>
      <w:r>
        <w:rPr>
          <w:rFonts w:hint="eastAsia"/>
        </w:rPr>
        <w:t>4.4.6.4 中选人将中选项目转让给他人或者在参选文件中未说明且未经比选单位同意，将中选项目分包给他人的；</w:t>
      </w:r>
    </w:p>
    <w:p>
      <w:pPr>
        <w:ind w:firstLine="480"/>
        <w:rPr>
          <w:rFonts w:hint="eastAsia"/>
        </w:rPr>
      </w:pPr>
      <w:r>
        <w:rPr>
          <w:rFonts w:hint="eastAsia"/>
        </w:rPr>
        <w:t>4.4.6.5 中选人拒绝履行合同义务的；</w:t>
      </w:r>
    </w:p>
    <w:p>
      <w:pPr>
        <w:ind w:firstLine="480"/>
        <w:rPr>
          <w:rFonts w:hint="eastAsia"/>
        </w:rPr>
      </w:pPr>
      <w:r>
        <w:rPr>
          <w:rFonts w:hint="eastAsia"/>
        </w:rPr>
        <w:t>4.4.6.6 其他严重扰乱比选程序的；</w:t>
      </w:r>
    </w:p>
    <w:p>
      <w:pPr>
        <w:pStyle w:val="5"/>
        <w:rPr>
          <w:rFonts w:hint="eastAsia"/>
        </w:rPr>
      </w:pPr>
      <w:r>
        <w:rPr>
          <w:rFonts w:hint="eastAsia"/>
        </w:rPr>
        <w:t>4.5 参选文件的份数和签署</w:t>
      </w:r>
    </w:p>
    <w:p>
      <w:pPr>
        <w:ind w:firstLine="480"/>
        <w:rPr>
          <w:rFonts w:hint="eastAsia"/>
        </w:rPr>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并单独装入信封中密封，并在信封表面加盖鲜章（公章）。</w:t>
      </w:r>
    </w:p>
    <w:p>
      <w:pPr>
        <w:ind w:firstLine="480"/>
        <w:rPr>
          <w:rFonts w:hint="eastAsia"/>
        </w:rPr>
      </w:pPr>
      <w:r>
        <w:rPr>
          <w:rFonts w:hint="eastAsia"/>
        </w:rPr>
        <w:t>4.5.2 参选文件正本中，每一页均应由参选人加盖公章，其中规定格式的文件应当按要求签名和加盖参选人公章。</w:t>
      </w:r>
    </w:p>
    <w:p>
      <w:pPr>
        <w:ind w:firstLine="480"/>
        <w:rPr>
          <w:rFonts w:hint="eastAsia"/>
        </w:rPr>
      </w:pPr>
      <w:r>
        <w:rPr>
          <w:rFonts w:hint="eastAsia"/>
        </w:rPr>
        <w:t>4.5.3 若参选人对参选文件的错处作必要修改，则应在修改处加盖参选人公章或由法人或法人授权代表签字确认。</w:t>
      </w:r>
    </w:p>
    <w:p>
      <w:pPr>
        <w:ind w:firstLine="480"/>
        <w:rPr>
          <w:rFonts w:hint="eastAsia"/>
        </w:rPr>
      </w:pPr>
      <w:r>
        <w:rPr>
          <w:rFonts w:hint="eastAsia"/>
        </w:rPr>
        <w:t>4.5.4 电报、电话、邮寄、传真形式的参选文件概不接受。</w:t>
      </w:r>
    </w:p>
    <w:p>
      <w:pPr>
        <w:pStyle w:val="5"/>
        <w:rPr>
          <w:rFonts w:hint="eastAsia"/>
        </w:rPr>
      </w:pPr>
      <w:r>
        <w:rPr>
          <w:rFonts w:hint="eastAsia"/>
        </w:rPr>
        <w:t>4.6 参选文件的密封与标记</w:t>
      </w:r>
    </w:p>
    <w:p>
      <w:pPr>
        <w:ind w:firstLine="480"/>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pPr>
        <w:ind w:firstLine="480"/>
        <w:rPr>
          <w:rFonts w:hint="eastAsia"/>
        </w:rPr>
      </w:pPr>
      <w:r>
        <w:rPr>
          <w:rFonts w:hint="eastAsia"/>
        </w:rPr>
        <w:t>如果未按上述规定进行密封和标记，则其参选将作为无效参选处理。</w:t>
      </w:r>
    </w:p>
    <w:p>
      <w:pPr>
        <w:pStyle w:val="5"/>
        <w:rPr>
          <w:rFonts w:hint="eastAsia"/>
        </w:rPr>
      </w:pPr>
      <w:r>
        <w:rPr>
          <w:rFonts w:hint="eastAsia"/>
        </w:rPr>
        <w:t>4.7 参选报价</w:t>
      </w:r>
    </w:p>
    <w:p>
      <w:pPr>
        <w:ind w:firstLine="480"/>
        <w:rPr>
          <w:rFonts w:hint="eastAsia"/>
        </w:rPr>
      </w:pPr>
      <w:r>
        <w:rPr>
          <w:rFonts w:hint="eastAsia"/>
        </w:rPr>
        <w:t>4.7.1 参选人应严格按照</w:t>
      </w:r>
      <w:r>
        <w:rPr>
          <w:rFonts w:hint="eastAsia" w:ascii="Times New Roman" w:hAnsi="Times New Roman" w:cs="Times New Roman"/>
        </w:rPr>
        <w:t>比选文件第三章的要求及</w:t>
      </w:r>
      <w:r>
        <w:rPr>
          <w:rFonts w:hint="eastAsia"/>
        </w:rPr>
        <w:t>“参选文件格式”填写报价。</w:t>
      </w:r>
    </w:p>
    <w:p>
      <w:pPr>
        <w:ind w:firstLine="480"/>
        <w:rPr>
          <w:rFonts w:hint="eastAsia"/>
        </w:rPr>
      </w:pPr>
      <w:r>
        <w:rPr>
          <w:rFonts w:hint="eastAsia"/>
        </w:rPr>
        <w:t>4.7.2 参选人的报价为一次性报价，即在参选有效期内参选价格固定不变。</w:t>
      </w:r>
    </w:p>
    <w:p>
      <w:pPr>
        <w:ind w:firstLine="480"/>
        <w:rPr>
          <w:rFonts w:hint="eastAsia"/>
        </w:rPr>
      </w:pPr>
      <w:r>
        <w:rPr>
          <w:rFonts w:hint="eastAsia"/>
        </w:rPr>
        <w:t>4.7.3 本项目只接受一个参选报价，有选择的或有条件的参选将不予接受。</w:t>
      </w:r>
    </w:p>
    <w:p>
      <w:pPr>
        <w:ind w:firstLine="480"/>
        <w:rPr>
          <w:rFonts w:hint="eastAsia"/>
        </w:rPr>
      </w:pPr>
      <w:r>
        <w:rPr>
          <w:rFonts w:hint="eastAsia"/>
        </w:rPr>
        <w:t>4.7.4 参选报价不得高于最高限价。</w:t>
      </w:r>
    </w:p>
    <w:p>
      <w:pPr>
        <w:pStyle w:val="5"/>
        <w:rPr>
          <w:rFonts w:hint="eastAsia"/>
        </w:rPr>
      </w:pPr>
      <w:r>
        <w:rPr>
          <w:rFonts w:hint="eastAsia"/>
        </w:rPr>
        <w:t>4.8 修正错误</w:t>
      </w:r>
    </w:p>
    <w:p>
      <w:pPr>
        <w:ind w:firstLine="480"/>
        <w:rPr>
          <w:rFonts w:hint="eastAsia"/>
        </w:rPr>
      </w:pPr>
      <w:r>
        <w:rPr>
          <w:rFonts w:hint="eastAsia"/>
        </w:rPr>
        <w:t>若参选文件出现计算或表达上的错误，修正错误的原则如下：</w:t>
      </w:r>
    </w:p>
    <w:p>
      <w:pPr>
        <w:ind w:firstLine="480"/>
        <w:rPr>
          <w:rFonts w:hint="eastAsia"/>
        </w:rPr>
      </w:pPr>
      <w:r>
        <w:rPr>
          <w:rFonts w:hint="eastAsia"/>
        </w:rPr>
        <w:t>4.8.1 参选文件的大写金额和小写金额不一致的，以大写金额为准；</w:t>
      </w:r>
    </w:p>
    <w:p>
      <w:pPr>
        <w:ind w:firstLine="480"/>
        <w:rPr>
          <w:rFonts w:hint="eastAsia"/>
        </w:rPr>
      </w:pPr>
      <w:r>
        <w:rPr>
          <w:rFonts w:hint="eastAsia"/>
        </w:rPr>
        <w:t>4.8.2 总价金额与按单价汇总金额不一致的，以单价金额计算结果为准；</w:t>
      </w:r>
    </w:p>
    <w:p>
      <w:pPr>
        <w:ind w:firstLine="480"/>
        <w:rPr>
          <w:rFonts w:hint="eastAsia"/>
        </w:rPr>
      </w:pPr>
      <w:r>
        <w:rPr>
          <w:rFonts w:hint="eastAsia"/>
        </w:rPr>
        <w:t>4.8.3 单价金额小数点有明显错位的，应以总价为准，并修正单价；</w:t>
      </w:r>
    </w:p>
    <w:p>
      <w:pPr>
        <w:ind w:firstLine="480"/>
        <w:rPr>
          <w:rFonts w:hint="eastAsia"/>
        </w:rPr>
      </w:pPr>
      <w:r>
        <w:rPr>
          <w:rFonts w:hint="eastAsia"/>
        </w:rPr>
        <w:t>4.8.4 对不同文字文本参选文件的解释发生异议的，以中文文本为准。</w:t>
      </w:r>
    </w:p>
    <w:p>
      <w:pPr>
        <w:ind w:firstLine="480"/>
        <w:rPr>
          <w:rFonts w:hint="eastAsia"/>
        </w:rPr>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4"/>
      </w:pPr>
      <w:bookmarkStart w:id="38" w:name="_Toc89675166"/>
      <w:r>
        <w:rPr>
          <w:rFonts w:hint="eastAsia"/>
        </w:rPr>
        <w:t>5. 比选程序</w:t>
      </w:r>
    </w:p>
    <w:p>
      <w:pPr>
        <w:ind w:firstLine="480"/>
        <w:rPr>
          <w:rFonts w:hint="eastAsia"/>
        </w:rPr>
      </w:pPr>
      <w:r>
        <w:rPr>
          <w:rFonts w:hint="eastAsia"/>
        </w:rPr>
        <w:t>主持人按下列程序进行比选：</w:t>
      </w:r>
    </w:p>
    <w:p>
      <w:pPr>
        <w:ind w:firstLine="480"/>
        <w:rPr>
          <w:rFonts w:hint="eastAsia"/>
        </w:rPr>
      </w:pPr>
      <w:r>
        <w:rPr>
          <w:rFonts w:hint="eastAsia"/>
        </w:rPr>
        <w:t>5.1 宣布比选纪律；</w:t>
      </w:r>
    </w:p>
    <w:p>
      <w:pPr>
        <w:ind w:firstLine="480"/>
        <w:rPr>
          <w:rFonts w:hint="eastAsia"/>
        </w:rPr>
      </w:pPr>
      <w:r>
        <w:rPr>
          <w:rFonts w:hint="eastAsia"/>
        </w:rPr>
        <w:t>5.2 宣布比选人、唱标人、记录人、监督人等有关人员姓名；</w:t>
      </w:r>
    </w:p>
    <w:p>
      <w:pPr>
        <w:ind w:firstLine="480"/>
        <w:rPr>
          <w:rFonts w:hint="eastAsia"/>
        </w:rPr>
      </w:pPr>
      <w:r>
        <w:rPr>
          <w:rFonts w:hint="eastAsia"/>
        </w:rPr>
        <w:t>5.3 公布在比选截止时间前递交参选文件的参选人名称，并点名确认参选人是否派人到场；</w:t>
      </w:r>
    </w:p>
    <w:p>
      <w:pPr>
        <w:ind w:firstLine="480"/>
        <w:rPr>
          <w:rFonts w:hint="eastAsia"/>
        </w:rPr>
      </w:pPr>
      <w:r>
        <w:rPr>
          <w:rFonts w:hint="eastAsia"/>
        </w:rPr>
        <w:t>5.4 展示参选保证金，参选保证金缴款不全或有误的，则记录在案交由评审委员会评审；</w:t>
      </w:r>
    </w:p>
    <w:p>
      <w:pPr>
        <w:ind w:firstLine="480"/>
        <w:rPr>
          <w:rFonts w:hint="eastAsia"/>
        </w:rPr>
      </w:pPr>
      <w:r>
        <w:rPr>
          <w:rFonts w:hint="eastAsia"/>
        </w:rPr>
        <w:t>5.5 封装情况检查：参选人或者其推选的代表检查各参选文件的封装情况并确认；</w:t>
      </w:r>
    </w:p>
    <w:p>
      <w:pPr>
        <w:ind w:firstLine="480"/>
        <w:rPr>
          <w:rFonts w:hint="eastAsia"/>
        </w:rPr>
      </w:pPr>
      <w:r>
        <w:rPr>
          <w:rFonts w:hint="eastAsia"/>
        </w:rPr>
        <w:t>5.6 设有最高限价的，公布最高限价；</w:t>
      </w:r>
    </w:p>
    <w:p>
      <w:pPr>
        <w:ind w:firstLine="480"/>
        <w:rPr>
          <w:rFonts w:hint="eastAsia"/>
        </w:rPr>
      </w:pPr>
      <w:r>
        <w:rPr>
          <w:rFonts w:hint="eastAsia"/>
        </w:rPr>
        <w:t>5.7 开启参选文件；</w:t>
      </w:r>
    </w:p>
    <w:p>
      <w:pPr>
        <w:ind w:firstLine="480"/>
        <w:rPr>
          <w:rFonts w:hint="eastAsia"/>
        </w:rPr>
      </w:pPr>
      <w:r>
        <w:rPr>
          <w:rFonts w:hint="eastAsia"/>
        </w:rPr>
        <w:t>5.8 比选人代表、参选人代表、监督人、记录人等有关人员在比选记录上签字确认；</w:t>
      </w:r>
    </w:p>
    <w:p>
      <w:pPr>
        <w:ind w:firstLine="480"/>
        <w:rPr>
          <w:rFonts w:hint="eastAsia"/>
        </w:rPr>
      </w:pPr>
      <w:r>
        <w:rPr>
          <w:rFonts w:hint="eastAsia"/>
        </w:rPr>
        <w:t>5.9 比选结束。</w:t>
      </w:r>
    </w:p>
    <w:p>
      <w:pPr>
        <w:pStyle w:val="4"/>
      </w:pPr>
      <w:r>
        <w:rPr>
          <w:rFonts w:hint="eastAsia"/>
        </w:rPr>
        <w:t>6. 评审</w:t>
      </w:r>
    </w:p>
    <w:p>
      <w:pPr>
        <w:ind w:firstLine="480"/>
        <w:rPr>
          <w:rFonts w:hint="eastAsia"/>
        </w:rPr>
      </w:pPr>
      <w:r>
        <w:rPr>
          <w:rFonts w:hint="eastAsia"/>
        </w:rPr>
        <w:t>见第四章内容。</w:t>
      </w:r>
    </w:p>
    <w:p>
      <w:pPr>
        <w:pStyle w:val="4"/>
      </w:pPr>
      <w:r>
        <w:rPr>
          <w:rFonts w:hint="eastAsia"/>
        </w:rPr>
        <w:t>7. 定</w:t>
      </w:r>
      <w:r>
        <w:t>选</w:t>
      </w:r>
      <w:bookmarkEnd w:id="38"/>
    </w:p>
    <w:p>
      <w:pPr>
        <w:ind w:firstLine="480"/>
        <w:rPr>
          <w:rFonts w:hint="eastAsia"/>
        </w:rPr>
      </w:pPr>
      <w:r>
        <w:rPr>
          <w:rFonts w:hint="eastAsia"/>
        </w:rPr>
        <w:t>7.1 定选原则</w:t>
      </w:r>
    </w:p>
    <w:p>
      <w:pPr>
        <w:ind w:firstLine="480"/>
        <w:rPr>
          <w:rFonts w:hint="eastAsia"/>
        </w:rPr>
      </w:pPr>
      <w:r>
        <w:rPr>
          <w:rFonts w:hint="eastAsia"/>
        </w:rPr>
        <w:t>比选人按照评审报告中推荐的中选候选人排名顺序确定中选人，如中选人因不可抗力或者自身原因不能履行合同的，比选人可以确定依次其后的候选人为中选人，以此类推。</w:t>
      </w:r>
    </w:p>
    <w:p>
      <w:pPr>
        <w:ind w:firstLine="480"/>
        <w:rPr>
          <w:rFonts w:hint="eastAsia"/>
        </w:rPr>
      </w:pPr>
      <w:r>
        <w:rPr>
          <w:rFonts w:hint="eastAsia"/>
        </w:rPr>
        <w:t>7.2 不承诺最低价格中选。</w:t>
      </w:r>
    </w:p>
    <w:p>
      <w:pPr>
        <w:ind w:firstLine="480"/>
        <w:rPr>
          <w:rFonts w:hint="eastAsia"/>
        </w:rPr>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4"/>
      </w:pPr>
      <w:bookmarkStart w:id="39" w:name="_Toc12245"/>
      <w:bookmarkStart w:id="40" w:name="_Toc89675168"/>
      <w:r>
        <w:rPr>
          <w:rFonts w:hint="eastAsia"/>
        </w:rPr>
        <w:t>8. 签订合同</w:t>
      </w:r>
      <w:bookmarkEnd w:id="39"/>
      <w:bookmarkEnd w:id="40"/>
    </w:p>
    <w:p>
      <w:pPr>
        <w:ind w:firstLine="480"/>
        <w:rPr>
          <w:rFonts w:hint="eastAsia"/>
        </w:rPr>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ind w:firstLine="480"/>
        <w:rPr>
          <w:rFonts w:hint="eastAsia"/>
        </w:rPr>
      </w:pPr>
      <w:r>
        <w:rPr>
          <w:rFonts w:hint="eastAsia"/>
        </w:rPr>
        <w:t>8.2 比选文件、中选人的参选文件及澄清文件等，均为签订合同的依据。</w:t>
      </w:r>
    </w:p>
    <w:p>
      <w:pPr>
        <w:ind w:firstLine="480"/>
        <w:rPr>
          <w:rFonts w:hint="eastAsia"/>
        </w:rPr>
      </w:pPr>
      <w:r>
        <w:rPr>
          <w:rFonts w:hint="eastAsia"/>
        </w:rPr>
        <w:t>8.3 合同生效条款由供需双方约定，法律、行政法规规定应当办理批准、登记等手续后生效的合同，依照其规定。</w:t>
      </w:r>
    </w:p>
    <w:p>
      <w:pPr>
        <w:ind w:firstLine="480"/>
        <w:rPr>
          <w:rFonts w:hint="eastAsia"/>
        </w:rPr>
      </w:pPr>
      <w:r>
        <w:rPr>
          <w:rFonts w:hint="eastAsia"/>
        </w:rPr>
        <w:t>8.4 签订合同后，若中选人无法按要求履约，比选人可以废除中选人资格，并可选择按照中选候选人顺位与下一候选人签订合同。</w:t>
      </w:r>
    </w:p>
    <w:p>
      <w:pPr>
        <w:ind w:firstLine="480"/>
        <w:rPr>
          <w:rFonts w:hint="eastAsia"/>
        </w:rPr>
      </w:pPr>
      <w:r>
        <w:rPr>
          <w:rFonts w:hint="eastAsia"/>
        </w:rPr>
        <w:t>8.5 该项目不允许任何形式的转包。</w:t>
      </w:r>
    </w:p>
    <w:p>
      <w:pPr>
        <w:pStyle w:val="4"/>
      </w:pPr>
      <w:r>
        <w:rPr>
          <w:rFonts w:hint="eastAsia"/>
        </w:rPr>
        <w:t>9. 纪律与要求</w:t>
      </w:r>
    </w:p>
    <w:p>
      <w:pPr>
        <w:ind w:firstLine="480"/>
        <w:rPr>
          <w:rFonts w:hint="eastAsia"/>
        </w:rPr>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pPr>
        <w:ind w:firstLine="480"/>
        <w:rPr>
          <w:rFonts w:hint="eastAsia"/>
        </w:rPr>
      </w:pPr>
      <w:r>
        <w:rPr>
          <w:rFonts w:hint="eastAsia"/>
        </w:rPr>
        <w:t>9.1 有下列情形之一的，属于参选人相互串通参选：</w:t>
      </w:r>
    </w:p>
    <w:p>
      <w:pPr>
        <w:ind w:firstLine="480"/>
        <w:rPr>
          <w:rFonts w:hint="eastAsia"/>
        </w:rPr>
      </w:pPr>
      <w:r>
        <w:rPr>
          <w:rFonts w:hint="eastAsia"/>
        </w:rPr>
        <w:t>9.1.1 参选人之间协商参选报价等参选文件的实质性内容；</w:t>
      </w:r>
    </w:p>
    <w:p>
      <w:pPr>
        <w:ind w:firstLine="480"/>
        <w:rPr>
          <w:rFonts w:hint="eastAsia"/>
        </w:rPr>
      </w:pPr>
      <w:r>
        <w:rPr>
          <w:rFonts w:hint="eastAsia"/>
        </w:rPr>
        <w:t>9.1.2 参选人之间约定中选人；</w:t>
      </w:r>
    </w:p>
    <w:p>
      <w:pPr>
        <w:ind w:firstLine="480"/>
        <w:rPr>
          <w:rFonts w:hint="eastAsia"/>
        </w:rPr>
      </w:pPr>
      <w:r>
        <w:rPr>
          <w:rFonts w:hint="eastAsia"/>
        </w:rPr>
        <w:t>9.1.3 参选人之间约定部分参选人放弃参选或者中选；</w:t>
      </w:r>
    </w:p>
    <w:p>
      <w:pPr>
        <w:ind w:firstLine="480"/>
        <w:rPr>
          <w:rFonts w:hint="eastAsia"/>
        </w:rPr>
      </w:pPr>
      <w:r>
        <w:rPr>
          <w:rFonts w:hint="eastAsia"/>
        </w:rPr>
        <w:t>9.1.4 属于同一集团、协会、商会等组织成员的参选人按照该组织要求协同参选；</w:t>
      </w:r>
    </w:p>
    <w:p>
      <w:pPr>
        <w:ind w:firstLine="480"/>
        <w:rPr>
          <w:rFonts w:hint="eastAsia"/>
        </w:rPr>
      </w:pPr>
      <w:r>
        <w:rPr>
          <w:rFonts w:hint="eastAsia"/>
        </w:rPr>
        <w:t>9.1.5 参选人之间为谋取中选或者排斥特定参选人而采取的其他联合行动。</w:t>
      </w:r>
    </w:p>
    <w:p>
      <w:pPr>
        <w:ind w:firstLine="480"/>
        <w:rPr>
          <w:rFonts w:hint="eastAsia"/>
        </w:rPr>
      </w:pPr>
      <w:r>
        <w:rPr>
          <w:rFonts w:hint="eastAsia"/>
        </w:rPr>
        <w:t>9.2 有下列情形之一的，视为参选人相互串通参选：</w:t>
      </w:r>
    </w:p>
    <w:p>
      <w:pPr>
        <w:ind w:firstLine="480"/>
        <w:rPr>
          <w:rFonts w:hint="eastAsia"/>
        </w:rPr>
      </w:pPr>
      <w:r>
        <w:rPr>
          <w:rFonts w:hint="eastAsia"/>
        </w:rPr>
        <w:t>9.2.1 不同参选人的参选文件由同一单位或者个人编制；</w:t>
      </w:r>
    </w:p>
    <w:p>
      <w:pPr>
        <w:ind w:firstLine="480"/>
        <w:rPr>
          <w:rFonts w:hint="eastAsia"/>
        </w:rPr>
      </w:pPr>
      <w:r>
        <w:rPr>
          <w:rFonts w:hint="eastAsia"/>
        </w:rPr>
        <w:t>9.2.2 不同参选人委托同一单位或者个人办理参选事宜；</w:t>
      </w:r>
    </w:p>
    <w:p>
      <w:pPr>
        <w:ind w:firstLine="480"/>
        <w:rPr>
          <w:rFonts w:hint="eastAsia"/>
        </w:rPr>
      </w:pPr>
      <w:r>
        <w:rPr>
          <w:rFonts w:hint="eastAsia"/>
        </w:rPr>
        <w:t>9.2.3 不同参选人的参选文件载明的项目管理成员为同一人；</w:t>
      </w:r>
    </w:p>
    <w:p>
      <w:pPr>
        <w:ind w:firstLine="480"/>
        <w:rPr>
          <w:rFonts w:hint="eastAsia"/>
        </w:rPr>
      </w:pPr>
      <w:r>
        <w:rPr>
          <w:rFonts w:hint="eastAsia"/>
        </w:rPr>
        <w:t>9.2.4 不同参选人的参选文件相互混装；</w:t>
      </w:r>
    </w:p>
    <w:p>
      <w:pPr>
        <w:ind w:firstLine="480"/>
        <w:rPr>
          <w:rFonts w:hint="eastAsia"/>
        </w:rPr>
      </w:pPr>
      <w:r>
        <w:rPr>
          <w:rFonts w:hint="eastAsia"/>
        </w:rPr>
        <w:t>9.2.5 不同参选人的参选保证金从同一单位或者个人的账户转出。</w:t>
      </w:r>
    </w:p>
    <w:p>
      <w:pPr>
        <w:ind w:firstLine="480"/>
        <w:rPr>
          <w:rFonts w:hint="eastAsia"/>
        </w:rPr>
      </w:pPr>
      <w:r>
        <w:rPr>
          <w:rFonts w:hint="eastAsia"/>
        </w:rPr>
        <w:t>9.3 使用通过受让或者租借等方式获取的资格、资质证书参选的，属于以他人名义参选。</w:t>
      </w:r>
    </w:p>
    <w:p>
      <w:pPr>
        <w:ind w:firstLine="480"/>
        <w:rPr>
          <w:rFonts w:hint="eastAsia"/>
        </w:rPr>
      </w:pPr>
      <w:r>
        <w:rPr>
          <w:rFonts w:hint="eastAsia"/>
        </w:rPr>
        <w:t>9.4 参选人有下列情形之一的，属于弄虚作假的行为：</w:t>
      </w:r>
    </w:p>
    <w:p>
      <w:pPr>
        <w:ind w:firstLine="480"/>
        <w:rPr>
          <w:rFonts w:hint="eastAsia"/>
        </w:rPr>
      </w:pPr>
      <w:r>
        <w:rPr>
          <w:rFonts w:hint="eastAsia"/>
        </w:rPr>
        <w:t>9.4.1 使用伪造、变造的许可证件；</w:t>
      </w:r>
    </w:p>
    <w:p>
      <w:pPr>
        <w:ind w:firstLine="480"/>
        <w:rPr>
          <w:rFonts w:hint="eastAsia"/>
        </w:rPr>
      </w:pPr>
      <w:r>
        <w:rPr>
          <w:rFonts w:hint="eastAsia"/>
        </w:rPr>
        <w:t>9.4.2 提供虚假的财务状况或者虚假业绩；</w:t>
      </w:r>
    </w:p>
    <w:p>
      <w:pPr>
        <w:ind w:firstLine="480"/>
        <w:rPr>
          <w:rFonts w:hint="eastAsia"/>
        </w:rPr>
      </w:pPr>
      <w:r>
        <w:rPr>
          <w:rFonts w:hint="eastAsia"/>
        </w:rPr>
        <w:t>9.4.3 提供虚假的项目负责人或者主要技术人员简历、劳动关系证明；</w:t>
      </w:r>
    </w:p>
    <w:p>
      <w:pPr>
        <w:ind w:firstLine="480"/>
        <w:rPr>
          <w:rFonts w:hint="eastAsia"/>
        </w:rPr>
      </w:pPr>
      <w:r>
        <w:rPr>
          <w:rFonts w:hint="eastAsia"/>
        </w:rPr>
        <w:t>9.4.4 提供虚假的信用状况；</w:t>
      </w:r>
    </w:p>
    <w:p>
      <w:pPr>
        <w:ind w:firstLine="480"/>
        <w:rPr>
          <w:rFonts w:hint="eastAsia"/>
        </w:rPr>
      </w:pPr>
      <w:r>
        <w:rPr>
          <w:rFonts w:hint="eastAsia"/>
        </w:rPr>
        <w:t>9.4.5 其它弄虚作假的行为。</w:t>
      </w:r>
    </w:p>
    <w:p>
      <w:pPr>
        <w:ind w:firstLine="480"/>
        <w:rPr>
          <w:rFonts w:hint="eastAsia"/>
        </w:rPr>
      </w:pPr>
      <w:r>
        <w:rPr>
          <w:rFonts w:hint="eastAsia"/>
        </w:rPr>
        <w:t>针对以上情况，比选人有权没收参选人的参选保证金，并保留进一步追究由此带来损失的权利。</w:t>
      </w:r>
    </w:p>
    <w:p>
      <w:pPr>
        <w:pStyle w:val="4"/>
      </w:pPr>
      <w:bookmarkStart w:id="41" w:name="_Toc89675169"/>
      <w:r>
        <w:rPr>
          <w:rFonts w:hint="eastAsia"/>
        </w:rPr>
        <w:t>10. 提问、质疑、投诉</w:t>
      </w:r>
    </w:p>
    <w:p>
      <w:pPr>
        <w:ind w:firstLine="480"/>
        <w:rPr>
          <w:rFonts w:hint="eastAsia"/>
        </w:rPr>
      </w:pPr>
      <w:r>
        <w:rPr>
          <w:rFonts w:hint="eastAsia"/>
        </w:rPr>
        <w:t>10.1 补遗内容可能影响参选文件编制的，须在比选截止时间3日前发布，发布时间至比选截止时间不足3日的，须相应延后比选截止时间。</w:t>
      </w:r>
    </w:p>
    <w:p>
      <w:pPr>
        <w:ind w:firstLine="480"/>
        <w:rPr>
          <w:rFonts w:hint="eastAsia"/>
        </w:rPr>
      </w:pPr>
      <w:r>
        <w:rPr>
          <w:rFonts w:hint="eastAsia"/>
        </w:rPr>
        <w:t>10.2 参选人对比选文件和答疑补遗有质疑的，应当在比选截止时间3日前，根据</w:t>
      </w:r>
      <w:r>
        <w:rPr>
          <w:rFonts w:hint="eastAsia" w:ascii="Times New Roman" w:hAnsi="Times New Roman" w:cs="Times New Roman"/>
        </w:rPr>
        <w:t>第一章第4 条要求或</w:t>
      </w:r>
      <w:r>
        <w:rPr>
          <w:rFonts w:hint="eastAsia"/>
        </w:rPr>
        <w:t>以书面形式通知比选人。</w:t>
      </w:r>
    </w:p>
    <w:p>
      <w:pPr>
        <w:ind w:firstLine="480"/>
        <w:rPr>
          <w:rFonts w:hint="eastAsia"/>
        </w:rPr>
      </w:pPr>
      <w:r>
        <w:rPr>
          <w:rFonts w:hint="eastAsia"/>
        </w:rPr>
        <w:t>10.3 参选人对公示的中选结果有质疑，参选人需在公示期内以书面形式向比选人提出质疑。本行在公示截止日期前负责书面答复。</w:t>
      </w:r>
    </w:p>
    <w:p>
      <w:pPr>
        <w:ind w:firstLine="480"/>
        <w:rPr>
          <w:rFonts w:hint="eastAsia"/>
        </w:rPr>
      </w:pPr>
      <w:r>
        <w:rPr>
          <w:rFonts w:hint="eastAsia"/>
        </w:rPr>
        <w:t>10.4 参选人对比选人的答复不满意或者有质疑，可向本行纪检监察部投诉。</w:t>
      </w:r>
    </w:p>
    <w:p>
      <w:pPr>
        <w:ind w:firstLine="480"/>
        <w:rPr>
          <w:rFonts w:hint="eastAsia"/>
        </w:rPr>
      </w:pPr>
      <w:r>
        <w:rPr>
          <w:rFonts w:hint="eastAsia"/>
        </w:rPr>
        <w:t>采购质疑邮箱：</w:t>
      </w:r>
      <w:r>
        <w:t>sx.jcb@ccqtgb.com</w:t>
      </w:r>
    </w:p>
    <w:p>
      <w:pPr>
        <w:ind w:firstLine="480"/>
        <w:rPr>
          <w:rFonts w:hint="eastAsia"/>
        </w:rPr>
      </w:pPr>
      <w:r>
        <w:rPr>
          <w:rFonts w:hint="eastAsia"/>
        </w:rPr>
        <w:t>采购投诉邮箱：</w:t>
      </w:r>
      <w:bookmarkStart w:id="42" w:name="_Hlk74215856"/>
      <w:r>
        <w:rPr>
          <w:rFonts w:hint="eastAsia" w:ascii="宋体"/>
          <w:snapToGrid w:val="0"/>
          <w:kern w:val="0"/>
          <w:szCs w:val="24"/>
        </w:rPr>
        <w:t>sxyhjjz@</w:t>
      </w:r>
      <w:r>
        <w:rPr>
          <w:rFonts w:ascii="宋体"/>
          <w:snapToGrid w:val="0"/>
          <w:kern w:val="0"/>
          <w:szCs w:val="24"/>
        </w:rPr>
        <w:t>ccqtgb</w:t>
      </w:r>
      <w:r>
        <w:rPr>
          <w:rFonts w:hint="eastAsia" w:ascii="宋体"/>
          <w:snapToGrid w:val="0"/>
          <w:kern w:val="0"/>
          <w:szCs w:val="24"/>
        </w:rPr>
        <w:t>.com</w:t>
      </w:r>
      <w:bookmarkEnd w:id="42"/>
    </w:p>
    <w:p>
      <w:pPr>
        <w:pStyle w:val="4"/>
      </w:pPr>
      <w:bookmarkStart w:id="43" w:name="_Toc89675157"/>
      <w:bookmarkStart w:id="44" w:name="_Toc15059431"/>
      <w:bookmarkStart w:id="45" w:name="_Toc11439"/>
      <w:bookmarkStart w:id="46" w:name="_Toc275199618"/>
      <w:bookmarkStart w:id="47" w:name="_Toc440628924"/>
      <w:r>
        <w:rPr>
          <w:rFonts w:hint="eastAsia"/>
        </w:rPr>
        <w:t>11. 无效参选条款</w:t>
      </w:r>
      <w:bookmarkEnd w:id="43"/>
      <w:bookmarkEnd w:id="44"/>
      <w:bookmarkEnd w:id="45"/>
      <w:bookmarkEnd w:id="46"/>
      <w:bookmarkEnd w:id="47"/>
    </w:p>
    <w:p>
      <w:pPr>
        <w:ind w:firstLine="480"/>
        <w:rPr>
          <w:rFonts w:hint="eastAsia"/>
        </w:rPr>
      </w:pPr>
      <w:r>
        <w:rPr>
          <w:rFonts w:hint="eastAsia"/>
        </w:rPr>
        <w:t>参选人或其参选文件出现下列情况之一者，应为无效参选：</w:t>
      </w:r>
    </w:p>
    <w:p>
      <w:pPr>
        <w:ind w:firstLine="480"/>
        <w:rPr>
          <w:rFonts w:hint="eastAsia"/>
        </w:rPr>
      </w:pPr>
      <w:r>
        <w:rPr>
          <w:rFonts w:hint="eastAsia"/>
        </w:rPr>
        <w:t xml:space="preserve">11.1 </w:t>
      </w:r>
      <w:r>
        <w:t>参选人未按比选文件规定提交足额参选保证金的</w:t>
      </w:r>
      <w:r>
        <w:rPr>
          <w:rFonts w:hint="eastAsia"/>
        </w:rPr>
        <w:t>。</w:t>
      </w:r>
    </w:p>
    <w:p>
      <w:pPr>
        <w:ind w:firstLine="480"/>
        <w:rPr>
          <w:rFonts w:hint="eastAsia"/>
        </w:rPr>
      </w:pPr>
      <w:r>
        <w:rPr>
          <w:rFonts w:hint="eastAsia"/>
        </w:rPr>
        <w:t xml:space="preserve">11.2 </w:t>
      </w:r>
      <w:r>
        <w:t>参选人未通过资格性检查，参选文件未通过符合性检查或参选文件经证实存在弄虚作假的</w:t>
      </w:r>
      <w:r>
        <w:rPr>
          <w:rFonts w:hint="eastAsia"/>
        </w:rPr>
        <w:t>。</w:t>
      </w:r>
    </w:p>
    <w:p>
      <w:pPr>
        <w:ind w:firstLine="480"/>
        <w:rPr>
          <w:rFonts w:hint="eastAsia"/>
        </w:rPr>
      </w:pPr>
      <w:r>
        <w:rPr>
          <w:rFonts w:hint="eastAsia"/>
        </w:rPr>
        <w:t>11.3 参选人超出其营业执照或事业单位法人证书上经营范围（业务范围）参选的。</w:t>
      </w:r>
    </w:p>
    <w:p>
      <w:pPr>
        <w:ind w:firstLine="480"/>
        <w:rPr>
          <w:rFonts w:hint="eastAsia"/>
        </w:rPr>
      </w:pPr>
      <w:r>
        <w:rPr>
          <w:rFonts w:hint="eastAsia"/>
        </w:rPr>
        <w:t>11.4 单位负责人为同一人或者存在直接控股、管理关系的不同参选人，不得参加同一合同项下的采购活动。</w:t>
      </w:r>
    </w:p>
    <w:p>
      <w:pPr>
        <w:ind w:firstLine="480"/>
        <w:rPr>
          <w:rFonts w:hint="eastAsia"/>
        </w:rPr>
      </w:pPr>
      <w:r>
        <w:rPr>
          <w:rFonts w:hint="eastAsia"/>
        </w:rPr>
        <w:t xml:space="preserve">11.5 </w:t>
      </w:r>
      <w:r>
        <w:t>同一分包的软件，制造商参与参选，再委托代理商参与参选的</w:t>
      </w:r>
      <w:r>
        <w:rPr>
          <w:rFonts w:hint="eastAsia"/>
        </w:rPr>
        <w:t>。</w:t>
      </w:r>
    </w:p>
    <w:p>
      <w:pPr>
        <w:ind w:firstLine="480"/>
        <w:rPr>
          <w:rFonts w:hint="eastAsia"/>
        </w:rPr>
      </w:pPr>
      <w:r>
        <w:rPr>
          <w:rFonts w:hint="eastAsia"/>
        </w:rPr>
        <w:t xml:space="preserve">11.6 </w:t>
      </w:r>
      <w:r>
        <w:t>参选文件不满足比选文件第</w:t>
      </w:r>
      <w:r>
        <w:rPr>
          <w:rFonts w:hint="eastAsia"/>
        </w:rPr>
        <w:t>六</w:t>
      </w:r>
      <w:r>
        <w:t>章参选文件格式中所规定签字、盖章的</w:t>
      </w:r>
      <w:r>
        <w:rPr>
          <w:rFonts w:hint="eastAsia"/>
        </w:rPr>
        <w:t>。</w:t>
      </w:r>
    </w:p>
    <w:p>
      <w:pPr>
        <w:ind w:firstLine="480"/>
        <w:rPr>
          <w:rFonts w:hint="eastAsia"/>
        </w:rPr>
      </w:pPr>
      <w:r>
        <w:rPr>
          <w:rFonts w:hint="eastAsia"/>
        </w:rPr>
        <w:t xml:space="preserve">11.7 </w:t>
      </w:r>
      <w:r>
        <w:t>参选文件出现多个参选方案或参选报价的</w:t>
      </w:r>
      <w:r>
        <w:rPr>
          <w:rFonts w:hint="eastAsia"/>
        </w:rPr>
        <w:t>。</w:t>
      </w:r>
    </w:p>
    <w:p>
      <w:pPr>
        <w:ind w:firstLine="480"/>
        <w:rPr>
          <w:rFonts w:hint="eastAsia"/>
        </w:rPr>
      </w:pPr>
      <w:r>
        <w:rPr>
          <w:rFonts w:hint="eastAsia"/>
        </w:rPr>
        <w:t xml:space="preserve">11.8 </w:t>
      </w:r>
      <w:r>
        <w:t>参选报价超出最高限价的</w:t>
      </w:r>
      <w:r>
        <w:rPr>
          <w:rFonts w:hint="eastAsia"/>
        </w:rPr>
        <w:t>。</w:t>
      </w:r>
    </w:p>
    <w:p>
      <w:pPr>
        <w:ind w:firstLine="480"/>
        <w:rPr>
          <w:rFonts w:hint="eastAsia"/>
        </w:rPr>
      </w:pPr>
      <w:r>
        <w:rPr>
          <w:rFonts w:hint="eastAsia"/>
        </w:rPr>
        <w:t xml:space="preserve">11.9 </w:t>
      </w:r>
      <w:r>
        <w:t>参选文件含有违反国家法律、法规的内容，或附有比选人不能接受的条件的。</w:t>
      </w:r>
    </w:p>
    <w:p>
      <w:pPr>
        <w:ind w:firstLine="480"/>
        <w:rPr>
          <w:rFonts w:hint="eastAsia"/>
        </w:rPr>
      </w:pPr>
      <w:r>
        <w:rPr>
          <w:rFonts w:hint="eastAsia"/>
        </w:rPr>
        <w:t>11.10 出现影响比选公正的违法、违规行为的。</w:t>
      </w:r>
    </w:p>
    <w:p>
      <w:pPr>
        <w:ind w:firstLine="480"/>
        <w:rPr>
          <w:rFonts w:hint="eastAsia"/>
        </w:rPr>
      </w:pPr>
      <w:r>
        <w:rPr>
          <w:rFonts w:hint="eastAsia"/>
        </w:rPr>
        <w:t>11.11 与比选人、评审专家、其他参选人恶意串通。</w:t>
      </w:r>
    </w:p>
    <w:p>
      <w:pPr>
        <w:ind w:firstLine="480"/>
        <w:rPr>
          <w:rFonts w:hint="eastAsia"/>
        </w:rPr>
      </w:pPr>
      <w:r>
        <w:rPr>
          <w:rFonts w:hint="eastAsia"/>
        </w:rPr>
        <w:t>11.12 参选法人发生合并、分立、破产等重大变化后，不再具备比选要求的资格条件的。</w:t>
      </w:r>
    </w:p>
    <w:p>
      <w:pPr>
        <w:ind w:firstLine="480"/>
        <w:rPr>
          <w:rFonts w:hint="eastAsia"/>
        </w:rPr>
      </w:pPr>
      <w:r>
        <w:rPr>
          <w:rFonts w:hint="eastAsia"/>
        </w:rPr>
        <w:t>11.13 提供虚假材料谋取中选资格的。</w:t>
      </w:r>
    </w:p>
    <w:p>
      <w:pPr>
        <w:ind w:firstLine="480"/>
        <w:rPr>
          <w:rFonts w:hint="eastAsia"/>
        </w:rPr>
      </w:pPr>
      <w:r>
        <w:rPr>
          <w:rFonts w:hint="eastAsia"/>
        </w:rPr>
        <w:t>11.14 参选文件含有比选人不能接受的附件条件的。</w:t>
      </w:r>
    </w:p>
    <w:p>
      <w:pPr>
        <w:pStyle w:val="4"/>
      </w:pPr>
      <w:r>
        <w:rPr>
          <w:rFonts w:hint="eastAsia"/>
        </w:rPr>
        <w:t>12. 比选失败情形</w:t>
      </w:r>
    </w:p>
    <w:p>
      <w:pPr>
        <w:snapToGrid w:val="0"/>
        <w:ind w:firstLine="480"/>
        <w:rPr>
          <w:rFonts w:hint="eastAsia"/>
        </w:rPr>
      </w:pPr>
      <w:r>
        <w:rPr>
          <w:rFonts w:hint="eastAsia"/>
        </w:rPr>
        <w:t>出现以下情形本次比选失败：</w:t>
      </w:r>
    </w:p>
    <w:p>
      <w:pPr>
        <w:snapToGrid w:val="0"/>
        <w:ind w:firstLine="480"/>
        <w:rPr>
          <w:rFonts w:hint="eastAsia"/>
        </w:rPr>
      </w:pPr>
      <w:r>
        <w:rPr>
          <w:rFonts w:hint="eastAsia"/>
        </w:rPr>
        <w:t>12.1 比选截止时间止，参选人少于2个的。</w:t>
      </w:r>
    </w:p>
    <w:p>
      <w:pPr>
        <w:ind w:firstLine="480"/>
        <w:rPr>
          <w:rFonts w:hint="eastAsia"/>
        </w:rPr>
      </w:pPr>
      <w:r>
        <w:rPr>
          <w:rFonts w:hint="eastAsia"/>
        </w:rPr>
        <w:t>12.2 经评审委员会评审后否决所有参选的。</w:t>
      </w:r>
    </w:p>
    <w:p>
      <w:pPr>
        <w:pStyle w:val="4"/>
      </w:pPr>
      <w:r>
        <w:rPr>
          <w:rFonts w:hint="eastAsia"/>
        </w:rPr>
        <w:t>13. 终止</w:t>
      </w:r>
      <w:r>
        <w:t>比选</w:t>
      </w:r>
      <w:bookmarkEnd w:id="41"/>
    </w:p>
    <w:p>
      <w:pPr>
        <w:ind w:firstLine="480"/>
        <w:rPr>
          <w:rFonts w:hint="eastAsia"/>
        </w:rPr>
      </w:pPr>
      <w:r>
        <w:rPr>
          <w:rFonts w:hint="eastAsia"/>
        </w:rPr>
        <w:t>13.1 因情况发生变化或其他原因造成该项目取消的，本次比选自动终止，双方互不承担责任，比选人无息退还参选保证金。</w:t>
      </w:r>
    </w:p>
    <w:p>
      <w:pPr>
        <w:ind w:firstLine="480"/>
        <w:rPr>
          <w:rFonts w:hint="eastAsia"/>
        </w:rPr>
      </w:pPr>
      <w:r>
        <w:rPr>
          <w:rFonts w:hint="eastAsia"/>
        </w:rPr>
        <w:t>13.2 签订合同之前，比选人发现中选候选人经营、财务状况发生较大变化或存在违法行为，比选人认为可能影响其履约能力的，比选人可废除中选人或中选候选人资格。</w:t>
      </w:r>
    </w:p>
    <w:p>
      <w:pPr>
        <w:pStyle w:val="4"/>
      </w:pPr>
      <w:r>
        <w:rPr>
          <w:rFonts w:hint="eastAsia"/>
        </w:rPr>
        <w:t xml:space="preserve">14. </w:t>
      </w:r>
      <w:r>
        <w:t>参选</w:t>
      </w:r>
      <w:r>
        <w:rPr>
          <w:rFonts w:hint="eastAsia"/>
        </w:rPr>
        <w:t>费用</w:t>
      </w:r>
    </w:p>
    <w:p>
      <w:pPr>
        <w:ind w:firstLine="480"/>
        <w:rPr>
          <w:rFonts w:hint="eastAsia"/>
        </w:rPr>
      </w:pPr>
      <w:r>
        <w:rPr>
          <w:rFonts w:hint="eastAsia"/>
        </w:rPr>
        <w:t>参选人参与本比选项目时，一切与参选有关的费用均由参选人自理。</w:t>
      </w:r>
    </w:p>
    <w:p>
      <w:pPr>
        <w:ind w:firstLine="480"/>
        <w:rPr>
          <w:rFonts w:hint="eastAsia"/>
        </w:rPr>
      </w:pPr>
      <w:r>
        <w:rPr>
          <w:rFonts w:hint="eastAsia"/>
        </w:rPr>
        <w:t>本项目须由中选人向重庆联合产权交易所集团股份有限公司支付平台服务费。若中选金额50万元及以下，平台服务费为8000元，若中选金额50万元以上，平台服务费为15000元，中选人应在领取中选通知书时一次性缴纳，请各参选人综合考虑进行报价。</w:t>
      </w:r>
    </w:p>
    <w:p>
      <w:pPr>
        <w:widowControl/>
        <w:ind w:firstLine="480"/>
        <w:jc w:val="left"/>
        <w:rPr>
          <w:rFonts w:ascii="宋体" w:hAnsi="宋体" w:cs="Cambria"/>
          <w:snapToGrid w:val="0"/>
          <w:kern w:val="0"/>
          <w:szCs w:val="28"/>
        </w:rPr>
      </w:pPr>
      <w:r>
        <w:rPr>
          <w:rFonts w:ascii="宋体" w:hAnsi="宋体" w:cs="Cambria"/>
          <w:snapToGrid w:val="0"/>
          <w:kern w:val="0"/>
          <w:szCs w:val="28"/>
        </w:rPr>
        <w:br w:type="page"/>
      </w:r>
    </w:p>
    <w:p>
      <w:pPr>
        <w:pStyle w:val="3"/>
      </w:pPr>
      <w:bookmarkStart w:id="48" w:name="_Toc12676"/>
      <w:bookmarkStart w:id="49" w:name="_Toc11825"/>
      <w:r>
        <w:rPr>
          <w:rFonts w:hint="eastAsia"/>
        </w:rPr>
        <w:t>第三章 项目要求</w:t>
      </w:r>
      <w:bookmarkEnd w:id="48"/>
      <w:bookmarkEnd w:id="49"/>
    </w:p>
    <w:p>
      <w:pPr>
        <w:pStyle w:val="4"/>
      </w:pPr>
      <w:r>
        <w:rPr>
          <w:rFonts w:hint="eastAsia"/>
        </w:rPr>
        <w:t>1. 总体要求</w:t>
      </w:r>
    </w:p>
    <w:p>
      <w:pPr>
        <w:ind w:firstLine="480"/>
        <w:rPr>
          <w:rFonts w:hint="eastAsia"/>
        </w:rPr>
      </w:pPr>
      <w:r>
        <w:t>1.1</w:t>
      </w:r>
      <w:r>
        <w:rPr>
          <w:rFonts w:hint="eastAsia"/>
        </w:rPr>
        <w:t xml:space="preserve"> 对信息科技风险管理现状进行审计，主要包含信息科技治理、信息科技风险管理、信息安全、信息系统开发测试和维护、信息科技运行、业务连续性管理、外包管理、内外部审计等八大领域和新技术应用风险。</w:t>
      </w:r>
    </w:p>
    <w:p>
      <w:pPr>
        <w:ind w:firstLine="480"/>
        <w:rPr>
          <w:rFonts w:hint="eastAsia"/>
        </w:rPr>
      </w:pPr>
      <w:r>
        <w:rPr>
          <w:rFonts w:hint="eastAsia"/>
        </w:rPr>
        <w:t>1.2 重点关注数据安全。需对开发测试场景中的数据安全管理情况、运维场景中访问数据库能够接触客户信息的规范情况、业务营销人员在营销分析和经营管理过程中采集、访问客户信息和重要数据的管理情况、对外交互数据的管理情况、隐私合规情况进行审计。选择包括制卡、支付等</w:t>
      </w:r>
      <w:r>
        <w:t>3-5</w:t>
      </w:r>
      <w:r>
        <w:rPr>
          <w:rFonts w:hint="eastAsia"/>
        </w:rPr>
        <w:t>个具体业务，从信息的采集、使用与变更、传递与共享、保管等方面对业务流程中的个人信息保护工作的合规性和安全性开展审计。</w:t>
      </w:r>
    </w:p>
    <w:p>
      <w:pPr>
        <w:ind w:firstLine="480"/>
        <w:rPr>
          <w:rFonts w:hint="eastAsia"/>
        </w:rPr>
      </w:pPr>
      <w:r>
        <w:rPr>
          <w:rFonts w:hint="eastAsia"/>
        </w:rPr>
        <w:t>1.3 重点关注网络安全。需对网络安全的管理活动进行审计，对网络安全架构、事态感知、漏洞与加固管理、入侵检测与监控情况进行审计。</w:t>
      </w:r>
    </w:p>
    <w:p>
      <w:pPr>
        <w:ind w:firstLine="480"/>
        <w:rPr>
          <w:rFonts w:hint="eastAsia"/>
        </w:rPr>
      </w:pPr>
      <w:r>
        <w:rPr>
          <w:rFonts w:hint="eastAsia"/>
        </w:rPr>
        <w:t>1.4 重点关注业务连续性管理。对我行业务影响分析、业务连续性计划、业务连续性资源建设、应急监控报告与处置、业务连续性演练、持续改进与监督等方面进行审计。</w:t>
      </w:r>
    </w:p>
    <w:p>
      <w:pPr>
        <w:ind w:firstLine="480"/>
        <w:rPr>
          <w:rFonts w:hint="eastAsia"/>
        </w:rPr>
      </w:pPr>
      <w:r>
        <w:rPr>
          <w:rFonts w:hint="eastAsia"/>
        </w:rPr>
        <w:t>1.5 重点关注架构管理。对我行信息科技运维和研发管理架构、技术架构（不限于基础设施层、应用层、中间件层、安全层、数据层）的架构规划、建设和执行等方面进行审计。</w:t>
      </w:r>
    </w:p>
    <w:p>
      <w:pPr>
        <w:ind w:firstLine="480"/>
        <w:rPr>
          <w:rFonts w:hint="eastAsia"/>
        </w:rPr>
      </w:pPr>
      <w:r>
        <w:rPr>
          <w:rFonts w:hint="eastAsia"/>
        </w:rPr>
        <w:t xml:space="preserve">1.6 </w:t>
      </w:r>
      <w:r>
        <w:rPr>
          <w:rFonts w:hint="eastAsia"/>
          <w:lang w:val="en-GB"/>
        </w:rPr>
        <w:t>对数字化建设项目绩效进行评价。根据我行数字化能力现状，对数字化投入的经济性、科学性和项目建设效益进行评价。重要从信息科技项目的质量管理、合规管理、投入规模、项目效益等方面开展评价工作。</w:t>
      </w:r>
    </w:p>
    <w:p>
      <w:pPr>
        <w:ind w:firstLine="480"/>
        <w:rPr>
          <w:rFonts w:hint="eastAsia"/>
        </w:rPr>
      </w:pPr>
      <w:r>
        <w:rPr>
          <w:rFonts w:hint="eastAsia"/>
        </w:rPr>
        <w:t xml:space="preserve">1.7 </w:t>
      </w:r>
      <w:r>
        <w:rPr>
          <w:rFonts w:hint="eastAsia"/>
          <w:lang w:val="en-GB"/>
        </w:rPr>
        <w:t>监督被审计对象的整改情况。对于无效或不完善的整改措施，应提供整改解决方案。在审计报告完成后的六个月内监督审计整改完成情况。</w:t>
      </w:r>
    </w:p>
    <w:p>
      <w:pPr>
        <w:pStyle w:val="4"/>
      </w:pPr>
      <w:r>
        <w:rPr>
          <w:rFonts w:hint="eastAsia"/>
        </w:rPr>
        <w:t>2. 交付物要求</w:t>
      </w:r>
    </w:p>
    <w:p>
      <w:pPr>
        <w:pStyle w:val="5"/>
        <w:rPr>
          <w:rFonts w:hint="eastAsia"/>
        </w:rPr>
      </w:pPr>
      <w:r>
        <w:rPr>
          <w:rFonts w:hint="eastAsia"/>
        </w:rPr>
        <w:t>2</w:t>
      </w:r>
      <w:r>
        <w:t xml:space="preserve">.1 </w:t>
      </w:r>
      <w:r>
        <w:rPr>
          <w:rFonts w:hint="eastAsia"/>
        </w:rPr>
        <w:t>本项目需中选人提交相关文档</w:t>
      </w:r>
    </w:p>
    <w:p>
      <w:pPr>
        <w:ind w:firstLine="480"/>
        <w:rPr>
          <w:rFonts w:hint="eastAsia"/>
        </w:rPr>
      </w:pPr>
      <w:r>
        <w:rPr>
          <w:rFonts w:hint="eastAsia"/>
        </w:rPr>
        <w:t>2</w:t>
      </w:r>
      <w:r>
        <w:t>.1.</w:t>
      </w:r>
      <w:r>
        <w:rPr>
          <w:rFonts w:hint="eastAsia"/>
        </w:rPr>
        <w:t>1 出具审计报告，包括信息科技全面审计报告、业务连续性管理专项审计报告、数字化建设项目评价报告。</w:t>
      </w:r>
    </w:p>
    <w:p>
      <w:pPr>
        <w:ind w:firstLine="480"/>
        <w:rPr>
          <w:rFonts w:hint="eastAsia"/>
        </w:rPr>
      </w:pPr>
      <w:r>
        <w:rPr>
          <w:rFonts w:hint="eastAsia"/>
        </w:rPr>
        <w:t>2</w:t>
      </w:r>
      <w:r>
        <w:t>.1.</w:t>
      </w:r>
      <w:r>
        <w:rPr>
          <w:rFonts w:hint="eastAsia"/>
        </w:rPr>
        <w:t>2 开展项目过程产生的文档，包括但不限于项目执行方案、过程调阅资料、工作底稿、情况记录、访谈提纲及纪要、问题台账、事实确认书、管理建议书等。</w:t>
      </w:r>
    </w:p>
    <w:p>
      <w:pPr>
        <w:pStyle w:val="5"/>
        <w:rPr>
          <w:rFonts w:hint="eastAsia"/>
        </w:rPr>
      </w:pPr>
      <w:r>
        <w:rPr>
          <w:rFonts w:hint="eastAsia"/>
        </w:rPr>
        <w:t>2</w:t>
      </w:r>
      <w:r>
        <w:t xml:space="preserve">.2 </w:t>
      </w:r>
      <w:r>
        <w:rPr>
          <w:rFonts w:hint="eastAsia"/>
        </w:rPr>
        <w:t>成果管理要求</w:t>
      </w:r>
    </w:p>
    <w:p>
      <w:pPr>
        <w:ind w:firstLine="480"/>
        <w:rPr>
          <w:rFonts w:hint="eastAsia"/>
        </w:rPr>
      </w:pPr>
      <w:r>
        <w:rPr>
          <w:rFonts w:hint="eastAsia"/>
        </w:rPr>
        <w:t>2</w:t>
      </w:r>
      <w:r>
        <w:t>.2 .</w:t>
      </w:r>
      <w:r>
        <w:rPr>
          <w:rFonts w:hint="eastAsia"/>
        </w:rPr>
        <w:t>1 中选人在项目实施阶段及交付完成后均应对我行的制度、流程及相关查阅文档内容进行严格保密。</w:t>
      </w:r>
    </w:p>
    <w:p>
      <w:pPr>
        <w:ind w:firstLine="480"/>
        <w:rPr>
          <w:rFonts w:hint="eastAsia"/>
        </w:rPr>
      </w:pPr>
      <w:r>
        <w:rPr>
          <w:rFonts w:hint="eastAsia"/>
        </w:rPr>
        <w:t>2</w:t>
      </w:r>
      <w:r>
        <w:t>.2 .</w:t>
      </w:r>
      <w:r>
        <w:rPr>
          <w:rFonts w:hint="eastAsia"/>
        </w:rPr>
        <w:t>2 中选人的项目交付成果应能真实、全面、准确、完整反映我行当前风险管理现状，交付文档应符合本次项目要求并遵照我行相关纸质档案格式要求，提供包括但不限于项目过程文档资料、审计（评价）报告、工作底稿、情况记录、问题台账等。同时，项目实施过程中采取的工具、方法及标准，应于项目结束后转交我行，并提供相应的人员培训。</w:t>
      </w:r>
    </w:p>
    <w:p>
      <w:pPr>
        <w:pStyle w:val="4"/>
      </w:pPr>
      <w:r>
        <w:rPr>
          <w:rFonts w:hint="eastAsia"/>
        </w:rPr>
        <w:t xml:space="preserve">3. </w:t>
      </w:r>
      <w:r>
        <w:t>技术</w:t>
      </w:r>
      <w:r>
        <w:rPr>
          <w:rFonts w:hint="eastAsia"/>
        </w:rPr>
        <w:t>要求</w:t>
      </w:r>
    </w:p>
    <w:p>
      <w:pPr>
        <w:pStyle w:val="5"/>
        <w:rPr>
          <w:rFonts w:hint="eastAsia"/>
        </w:rPr>
      </w:pPr>
      <w:r>
        <w:rPr>
          <w:rFonts w:hint="eastAsia"/>
        </w:rPr>
        <w:t>3</w:t>
      </w:r>
      <w:r>
        <w:t>.1 人员要求</w:t>
      </w:r>
    </w:p>
    <w:p>
      <w:pPr>
        <w:ind w:firstLine="480"/>
        <w:rPr>
          <w:rFonts w:hint="eastAsia"/>
        </w:rPr>
      </w:pPr>
      <w:r>
        <w:t>本项目实施团队应具备相应专业技术能力和相关项目的管理实施经验，人员资质要求如下：</w:t>
      </w:r>
    </w:p>
    <w:p>
      <w:pPr>
        <w:ind w:firstLine="480"/>
        <w:rPr>
          <w:rFonts w:hint="eastAsia"/>
        </w:rPr>
      </w:pPr>
      <w:r>
        <w:rPr>
          <w:rFonts w:hint="eastAsia"/>
        </w:rPr>
        <w:t>3</w:t>
      </w:r>
      <w:r>
        <w:t>.1.</w:t>
      </w:r>
      <w:r>
        <w:rPr>
          <w:rFonts w:hint="eastAsia"/>
        </w:rPr>
        <w:t>1</w:t>
      </w:r>
      <w:r>
        <w:t xml:space="preserve"> 项目负责人：</w:t>
      </w:r>
      <w:r>
        <w:rPr>
          <w:rFonts w:hint="eastAsia"/>
        </w:rPr>
        <w:t>负责项目总体方向把握，</w:t>
      </w:r>
      <w:r>
        <w:t>具有</w:t>
      </w:r>
      <w:r>
        <w:rPr>
          <w:rFonts w:hint="eastAsia"/>
        </w:rPr>
        <w:t>与比选人“行长级”、其他参与方高层沟通与协调</w:t>
      </w:r>
      <w:r>
        <w:t>、</w:t>
      </w:r>
      <w:r>
        <w:rPr>
          <w:rFonts w:hint="eastAsia"/>
        </w:rPr>
        <w:t>参与项目重大决策事项的能力。</w:t>
      </w:r>
      <w:r>
        <w:t>1</w:t>
      </w:r>
      <w:r>
        <w:rPr>
          <w:rFonts w:hint="eastAsia"/>
        </w:rPr>
        <w:t>0</w:t>
      </w:r>
      <w:r>
        <w:t>年以上信息科技</w:t>
      </w:r>
      <w:r>
        <w:rPr>
          <w:rFonts w:hint="eastAsia"/>
        </w:rPr>
        <w:t>咨询</w:t>
      </w:r>
      <w:r>
        <w:t>、审计等相关经验，并具备至少5个银行业</w:t>
      </w:r>
      <w:r>
        <w:rPr>
          <w:rFonts w:hint="eastAsia"/>
        </w:rPr>
        <w:t>信息科技</w:t>
      </w:r>
      <w:r>
        <w:t>审计项目负责人经验。</w:t>
      </w:r>
    </w:p>
    <w:p>
      <w:pPr>
        <w:ind w:firstLine="480"/>
        <w:rPr>
          <w:rFonts w:hint="eastAsia"/>
        </w:rPr>
      </w:pPr>
      <w:r>
        <w:rPr>
          <w:rFonts w:hint="eastAsia"/>
        </w:rPr>
        <w:t>3</w:t>
      </w:r>
      <w:r>
        <w:t>.1.</w:t>
      </w:r>
      <w:r>
        <w:rPr>
          <w:rFonts w:hint="eastAsia"/>
        </w:rPr>
        <w:t>2驻场</w:t>
      </w:r>
      <w:r>
        <w:t>负责人：8年以上信息科技咨询、审计等相关经验，并具备至少</w:t>
      </w:r>
      <w:r>
        <w:rPr>
          <w:rFonts w:hint="eastAsia"/>
        </w:rPr>
        <w:t>5</w:t>
      </w:r>
      <w:r>
        <w:t>个银行业</w:t>
      </w:r>
      <w:r>
        <w:rPr>
          <w:rFonts w:hint="eastAsia"/>
        </w:rPr>
        <w:t>信息科技</w:t>
      </w:r>
      <w:r>
        <w:t>审计项目经理经验。</w:t>
      </w:r>
    </w:p>
    <w:p>
      <w:pPr>
        <w:ind w:firstLine="480"/>
        <w:rPr>
          <w:rFonts w:hint="eastAsia"/>
        </w:rPr>
      </w:pPr>
      <w:r>
        <w:rPr>
          <w:rFonts w:hint="eastAsia"/>
        </w:rPr>
        <w:t>3</w:t>
      </w:r>
      <w:r>
        <w:t>.1.</w:t>
      </w:r>
      <w:r>
        <w:rPr>
          <w:rFonts w:hint="eastAsia"/>
        </w:rPr>
        <w:t>3项目组</w:t>
      </w:r>
      <w:r>
        <w:t>成员：</w:t>
      </w:r>
      <w:r>
        <w:rPr>
          <w:rFonts w:hint="eastAsia"/>
        </w:rPr>
        <w:t>3</w:t>
      </w:r>
      <w:r>
        <w:t>年以上信息科技咨询、审计咨询经验，并参与过至少</w:t>
      </w:r>
      <w:r>
        <w:rPr>
          <w:rFonts w:hint="eastAsia"/>
        </w:rPr>
        <w:t>3</w:t>
      </w:r>
      <w:r>
        <w:t>个银行业</w:t>
      </w:r>
      <w:r>
        <w:rPr>
          <w:rFonts w:hint="eastAsia"/>
        </w:rPr>
        <w:t>信息科技</w:t>
      </w:r>
      <w:r>
        <w:t>审计项目。</w:t>
      </w:r>
    </w:p>
    <w:p>
      <w:pPr>
        <w:pStyle w:val="5"/>
        <w:rPr>
          <w:rFonts w:hint="eastAsia"/>
        </w:rPr>
      </w:pPr>
      <w:r>
        <w:rPr>
          <w:rFonts w:hint="eastAsia"/>
        </w:rPr>
        <w:t>3</w:t>
      </w:r>
      <w:r>
        <w:t>.2 人员管理</w:t>
      </w:r>
    </w:p>
    <w:p>
      <w:pPr>
        <w:ind w:firstLine="480"/>
        <w:rPr>
          <w:rFonts w:hint="eastAsia"/>
        </w:rPr>
      </w:pPr>
      <w:r>
        <w:rPr>
          <w:rFonts w:hint="eastAsia"/>
        </w:rPr>
        <w:t>3</w:t>
      </w:r>
      <w:r>
        <w:t>.2.1</w:t>
      </w:r>
      <w:r>
        <w:rPr>
          <w:rFonts w:hint="eastAsia"/>
          <w:szCs w:val="21"/>
        </w:rPr>
        <w:t>应配备项目各角色（如：项目负责人、驻场负责人、项目组成员等）的备用人员，备用人员经验需高于实施团队人员。</w:t>
      </w:r>
      <w:r>
        <w:t>参选人未征得比选人书面同意的情况下不得更换项目组成员。项目组成员因中途离职等不可抗拒的原因无法继续实施项目时，经比选人书面同意后，由备用人员接替原项目成员工作，并于5个工作日内到岗。</w:t>
      </w:r>
    </w:p>
    <w:p>
      <w:pPr>
        <w:ind w:firstLine="480"/>
        <w:rPr>
          <w:rFonts w:hint="eastAsia"/>
        </w:rPr>
      </w:pPr>
      <w:r>
        <w:rPr>
          <w:rFonts w:hint="eastAsia"/>
        </w:rPr>
        <w:t>3</w:t>
      </w:r>
      <w:r>
        <w:t>.2.2 所有成员必须为参选人单位员工，参选人项目组成员须提供近半年公司为其缴纳社保的证明材料，不得外包其他单位员工。</w:t>
      </w:r>
    </w:p>
    <w:p>
      <w:pPr>
        <w:ind w:firstLine="480"/>
        <w:rPr>
          <w:rFonts w:hint="eastAsia"/>
        </w:rPr>
      </w:pPr>
      <w:r>
        <w:rPr>
          <w:rFonts w:hint="eastAsia"/>
        </w:rPr>
        <w:t>3</w:t>
      </w:r>
      <w:r>
        <w:t>.2.</w:t>
      </w:r>
      <w:r>
        <w:rPr>
          <w:rFonts w:hint="eastAsia"/>
        </w:rPr>
        <w:t>3</w:t>
      </w:r>
      <w:r>
        <w:t xml:space="preserve"> 如项目关键阶段需要补充人员，中选人须及时保障人力资源补充，确保项目按计划交付。</w:t>
      </w:r>
    </w:p>
    <w:p>
      <w:pPr>
        <w:ind w:firstLine="480"/>
        <w:rPr>
          <w:rFonts w:hint="eastAsia"/>
        </w:rPr>
      </w:pPr>
      <w:r>
        <w:rPr>
          <w:rFonts w:hint="eastAsia"/>
        </w:rPr>
        <w:t>3</w:t>
      </w:r>
      <w:r>
        <w:t>.2.</w:t>
      </w:r>
      <w:r>
        <w:rPr>
          <w:rFonts w:hint="eastAsia"/>
        </w:rPr>
        <w:t>4</w:t>
      </w:r>
      <w:r>
        <w:t xml:space="preserve"> 项目组成员若有违约违规行为将由中选人承担责任。</w:t>
      </w:r>
    </w:p>
    <w:p>
      <w:pPr>
        <w:ind w:firstLine="480"/>
        <w:rPr>
          <w:rFonts w:hint="eastAsia"/>
        </w:rPr>
      </w:pPr>
      <w:r>
        <w:t>【提供</w:t>
      </w:r>
      <w:r>
        <w:rPr>
          <w:rFonts w:hint="eastAsia"/>
        </w:rPr>
        <w:t>成员名单、简历、证书、参与案例的佐证材料</w:t>
      </w:r>
      <w:r>
        <w:t>】</w:t>
      </w:r>
    </w:p>
    <w:p>
      <w:pPr>
        <w:pStyle w:val="5"/>
        <w:rPr>
          <w:rFonts w:hint="eastAsia"/>
        </w:rPr>
      </w:pPr>
      <w:r>
        <w:rPr>
          <w:rFonts w:hint="eastAsia"/>
        </w:rPr>
        <w:t>3</w:t>
      </w:r>
      <w:r>
        <w:t>.3 项目实施要求</w:t>
      </w:r>
    </w:p>
    <w:p>
      <w:pPr>
        <w:ind w:firstLine="480"/>
        <w:rPr>
          <w:rFonts w:hint="eastAsia"/>
        </w:rPr>
      </w:pPr>
      <w:r>
        <w:t>中选人需</w:t>
      </w:r>
      <w:r>
        <w:rPr>
          <w:rFonts w:hint="eastAsia"/>
        </w:rPr>
        <w:t>参照</w:t>
      </w:r>
      <w:r>
        <w:t>比选人的相关管理制度及规定，具体如下：</w:t>
      </w:r>
    </w:p>
    <w:p>
      <w:pPr>
        <w:ind w:firstLine="480"/>
        <w:rPr>
          <w:rFonts w:hint="eastAsia"/>
        </w:rPr>
      </w:pPr>
      <w:r>
        <w:rPr>
          <w:rFonts w:hint="eastAsia"/>
        </w:rPr>
        <w:t>3</w:t>
      </w:r>
      <w:r>
        <w:t>.3.1 会议制度</w:t>
      </w:r>
    </w:p>
    <w:p>
      <w:pPr>
        <w:ind w:firstLine="480"/>
        <w:rPr>
          <w:rFonts w:hint="eastAsia"/>
        </w:rPr>
      </w:pPr>
      <w:r>
        <w:t>原则上，项目组每周一次例会，就本周工作的完成内容、质量、问题、风险及下周主要工作、工作重点等内容进行汇报和讨论。在项目的每一个重大里程碑节点上，需召开阶段评审会，评审本阶段的工作成果，并由参与评审的相关人员决定是否具备进入下一项目阶段的条件。</w:t>
      </w:r>
    </w:p>
    <w:p>
      <w:pPr>
        <w:ind w:firstLine="480"/>
        <w:rPr>
          <w:rFonts w:hint="eastAsia"/>
        </w:rPr>
      </w:pPr>
      <w:r>
        <w:t>在项目实施过程中，中选人需配合比选人召开</w:t>
      </w:r>
      <w:r>
        <w:rPr>
          <w:rFonts w:hint="eastAsia"/>
        </w:rPr>
        <w:t>相关</w:t>
      </w:r>
      <w:r>
        <w:t>会议。</w:t>
      </w:r>
    </w:p>
    <w:p>
      <w:pPr>
        <w:ind w:firstLine="480"/>
        <w:rPr>
          <w:rFonts w:hint="eastAsia"/>
        </w:rPr>
      </w:pPr>
      <w:r>
        <w:rPr>
          <w:rFonts w:hint="eastAsia"/>
        </w:rPr>
        <w:t>3</w:t>
      </w:r>
      <w:r>
        <w:t>.3.2 进度管理</w:t>
      </w:r>
    </w:p>
    <w:p>
      <w:pPr>
        <w:ind w:firstLine="480"/>
        <w:rPr>
          <w:rFonts w:hint="eastAsia"/>
        </w:rPr>
      </w:pPr>
      <w:r>
        <w:t>中选人项目经理为进度管理的直接责任人。项目经理应及时制定本项目各个阶段的任务分解，并根据项目资源情况和比选人需求，制定合理的项目计划。在项目进入下一个阶段前，项目经理需提前细化下一个阶段的项目执行计划。项目计划制定完成后，项目经理负责控制项目进度按照计划执行。项目经理需对项目进行绩效审查和偏差分析，判断项目进度的当前状态，并对引起项目进度变更的因素施加影响。</w:t>
      </w:r>
    </w:p>
    <w:p>
      <w:pPr>
        <w:ind w:firstLine="480"/>
        <w:rPr>
          <w:rFonts w:hint="eastAsia"/>
        </w:rPr>
      </w:pPr>
      <w:r>
        <w:rPr>
          <w:rFonts w:hint="eastAsia"/>
        </w:rPr>
        <w:t>3</w:t>
      </w:r>
      <w:r>
        <w:t>.3.3 关键节点的汇报</w:t>
      </w:r>
    </w:p>
    <w:p>
      <w:pPr>
        <w:ind w:firstLine="480"/>
        <w:rPr>
          <w:rFonts w:hint="eastAsia"/>
        </w:rPr>
      </w:pPr>
      <w:r>
        <w:t>在项目实施过程中，遇重大审计发现或重要事项时，中选人须配合比选人及时向相关管理层进行全面、准确的汇报，不得隐瞒或遗漏关键信息。</w:t>
      </w:r>
    </w:p>
    <w:p>
      <w:pPr>
        <w:ind w:firstLine="480"/>
        <w:rPr>
          <w:rFonts w:hint="eastAsia"/>
        </w:rPr>
      </w:pPr>
      <w:r>
        <w:rPr>
          <w:rFonts w:hint="eastAsia"/>
        </w:rPr>
        <w:t>3</w:t>
      </w:r>
      <w:r>
        <w:t>.3.4 其他</w:t>
      </w:r>
    </w:p>
    <w:p>
      <w:pPr>
        <w:ind w:firstLine="480"/>
        <w:rPr>
          <w:rFonts w:hint="eastAsia"/>
        </w:rPr>
      </w:pPr>
      <w:r>
        <w:t>中选人在项目实施过程中，需按照比选人项目管理规范提供相应文档（所有提交文档必须为中文）。</w:t>
      </w:r>
    </w:p>
    <w:p>
      <w:pPr>
        <w:pStyle w:val="4"/>
      </w:pPr>
      <w:bookmarkStart w:id="50" w:name="_Toc15059418"/>
      <w:bookmarkStart w:id="51" w:name="_Toc89675144"/>
      <w:r>
        <w:rPr>
          <w:rFonts w:hint="eastAsia"/>
        </w:rPr>
        <w:t>4. 交付周期、地点</w:t>
      </w:r>
      <w:bookmarkEnd w:id="50"/>
      <w:bookmarkEnd w:id="51"/>
    </w:p>
    <w:p>
      <w:pPr>
        <w:pStyle w:val="5"/>
        <w:rPr>
          <w:rFonts w:hint="eastAsia"/>
        </w:rPr>
      </w:pPr>
      <w:bookmarkStart w:id="52" w:name="_Toc15059420"/>
      <w:bookmarkStart w:id="53" w:name="_Toc89675146"/>
      <w:bookmarkStart w:id="54" w:name="_Toc1125"/>
      <w:bookmarkStart w:id="55" w:name="_Toc387826347"/>
      <w:bookmarkStart w:id="56" w:name="_Toc440628915"/>
      <w:bookmarkStart w:id="57" w:name="_Toc432254881"/>
      <w:r>
        <w:rPr>
          <w:rFonts w:hint="eastAsia"/>
        </w:rPr>
        <w:t xml:space="preserve">4.1 交付时间 </w:t>
      </w:r>
    </w:p>
    <w:p>
      <w:pPr>
        <w:pStyle w:val="5"/>
        <w:rPr>
          <w:rFonts w:hint="eastAsia"/>
        </w:rPr>
      </w:pPr>
      <w:r>
        <w:rPr>
          <w:rFonts w:hint="eastAsia"/>
        </w:rPr>
        <w:t>具体时间以合同签订为准。</w:t>
      </w:r>
    </w:p>
    <w:p>
      <w:pPr>
        <w:pStyle w:val="5"/>
        <w:rPr>
          <w:rFonts w:hint="eastAsia"/>
        </w:rPr>
      </w:pPr>
      <w:r>
        <w:rPr>
          <w:rFonts w:hint="eastAsia"/>
        </w:rPr>
        <w:t>4.2 实施及交付地点</w:t>
      </w:r>
    </w:p>
    <w:p>
      <w:pPr>
        <w:ind w:firstLine="720" w:firstLineChars="300"/>
        <w:rPr>
          <w:rFonts w:hint="eastAsia"/>
        </w:rPr>
      </w:pPr>
      <w:r>
        <w:rPr>
          <w:rFonts w:hint="eastAsia"/>
        </w:rPr>
        <w:t>重庆市。</w:t>
      </w:r>
    </w:p>
    <w:p>
      <w:pPr>
        <w:pStyle w:val="4"/>
      </w:pPr>
      <w:r>
        <w:rPr>
          <w:rFonts w:hint="eastAsia"/>
        </w:rPr>
        <w:t>5. 服务连续性预案</w:t>
      </w:r>
    </w:p>
    <w:p>
      <w:pPr>
        <w:ind w:firstLine="480"/>
        <w:rPr>
          <w:rFonts w:hint="eastAsia"/>
        </w:rPr>
      </w:pPr>
      <w:r>
        <w:rPr>
          <w:rFonts w:hint="eastAsia"/>
        </w:rPr>
        <w:t>在本次比选中，参选人应在参选文件中提供服务连续性预案供比选人查看。【提供服务连续性预案】</w:t>
      </w:r>
    </w:p>
    <w:p>
      <w:pPr>
        <w:pStyle w:val="4"/>
      </w:pPr>
      <w:r>
        <w:rPr>
          <w:rFonts w:hint="eastAsia"/>
        </w:rPr>
        <w:t>6. 项目实施方案</w:t>
      </w:r>
    </w:p>
    <w:p>
      <w:pPr>
        <w:ind w:firstLine="480"/>
        <w:rPr>
          <w:rFonts w:hint="eastAsia"/>
        </w:rPr>
      </w:pPr>
      <w:r>
        <w:rPr>
          <w:rFonts w:hint="eastAsia"/>
        </w:rPr>
        <w:t>在本次比选中，参选人应在参选文件中提供项目实施方案供比选人查看，方案应包括审计</w:t>
      </w:r>
      <w:r>
        <w:rPr>
          <w:rFonts w:hint="eastAsia"/>
          <w:szCs w:val="21"/>
        </w:rPr>
        <w:t>重点，审计程序，审计组织与分工，审计时间安排，质量管理措施、信息安全保护措施措施等</w:t>
      </w:r>
      <w:r>
        <w:rPr>
          <w:rFonts w:hint="eastAsia"/>
        </w:rPr>
        <w:t>。【提供项目实施方案】</w:t>
      </w:r>
    </w:p>
    <w:bookmarkEnd w:id="52"/>
    <w:bookmarkEnd w:id="53"/>
    <w:p>
      <w:pPr>
        <w:pStyle w:val="4"/>
      </w:pPr>
      <w:bookmarkStart w:id="58" w:name="_Toc15059422"/>
      <w:bookmarkStart w:id="59" w:name="_Toc89675148"/>
      <w:r>
        <w:rPr>
          <w:rFonts w:hint="eastAsia"/>
        </w:rPr>
        <w:t>7. 付款方式</w:t>
      </w:r>
      <w:bookmarkEnd w:id="58"/>
      <w:bookmarkEnd w:id="59"/>
    </w:p>
    <w:p>
      <w:pPr>
        <w:ind w:firstLine="480"/>
        <w:rPr>
          <w:rFonts w:hint="eastAsia"/>
        </w:rPr>
      </w:pPr>
      <w:r>
        <w:rPr>
          <w:rFonts w:hint="eastAsia"/>
        </w:rPr>
        <w:t>本项目采用分期付款，分三期支付，支付方式如下：</w:t>
      </w:r>
    </w:p>
    <w:p>
      <w:pPr>
        <w:ind w:firstLine="480"/>
        <w:rPr>
          <w:rFonts w:hint="eastAsia"/>
        </w:rPr>
      </w:pPr>
      <w:r>
        <w:rPr>
          <w:rFonts w:hint="eastAsia"/>
        </w:rPr>
        <w:t>合同生效且中选人完成审前调查，出具审计方案10个工作日内，根据中选人提出的付款申请，向中选人支付合同总价款的30%。</w:t>
      </w:r>
    </w:p>
    <w:p>
      <w:pPr>
        <w:ind w:firstLine="480"/>
        <w:rPr>
          <w:rFonts w:hint="eastAsia"/>
        </w:rPr>
      </w:pPr>
      <w:r>
        <w:rPr>
          <w:rFonts w:hint="eastAsia"/>
        </w:rPr>
        <w:t>在本次项目验收合格后10个工作日内，根据中选人提出的付款申请，向中选人支付合同总金额的60%。</w:t>
      </w:r>
    </w:p>
    <w:p>
      <w:pPr>
        <w:ind w:firstLine="480"/>
        <w:rPr>
          <w:rFonts w:hint="eastAsia"/>
        </w:rPr>
      </w:pPr>
      <w:r>
        <w:rPr>
          <w:rFonts w:hint="eastAsia"/>
        </w:rPr>
        <w:t>中选人完成审计工作验收通过后满6个月后，在审计抽样范围内，比选人未发生重大信息科技风险或该风险已被提示,向中选人支付合同总价款的10%。</w:t>
      </w:r>
    </w:p>
    <w:p>
      <w:pPr>
        <w:ind w:firstLine="480"/>
        <w:rPr>
          <w:rFonts w:hint="eastAsia"/>
        </w:rPr>
      </w:pPr>
      <w:r>
        <w:rPr>
          <w:rFonts w:hint="eastAsia"/>
        </w:rPr>
        <w:t>上述每期款项均在满足付款条件，且采购人收到中选人开具的载明相应金额的正式发票后20个工作日内付至中选人指定银行账户。如未及时收到发票，则付款时间相应顺延。由于中选人纳税人身份、纳税方式及国家税制改革原因带来的税种及税率的变化，合同不含税价款保持不变。</w:t>
      </w:r>
    </w:p>
    <w:p>
      <w:pPr>
        <w:ind w:firstLine="480"/>
        <w:rPr>
          <w:rFonts w:hint="eastAsia"/>
        </w:rPr>
      </w:pPr>
      <w:r>
        <w:rPr>
          <w:rFonts w:hint="eastAsia"/>
        </w:rPr>
        <w:t>中选人须严格履约、勤勉尽职，按期完成上述每期阶段性目标并交付成果，中选人逾期15天未完成阶段性目标并交付成果的，比选人均有权单方终止本项目，不再向中选人支付当期及后续款项，并有权要求中选人支付违约金，具体以合同约定为准。</w:t>
      </w:r>
    </w:p>
    <w:p>
      <w:pPr>
        <w:pStyle w:val="4"/>
      </w:pPr>
      <w:bookmarkStart w:id="60" w:name="_Toc89675150"/>
      <w:bookmarkStart w:id="61" w:name="_Toc15059424"/>
      <w:r>
        <w:rPr>
          <w:rFonts w:hint="eastAsia"/>
        </w:rPr>
        <w:t>8. 保密条款</w:t>
      </w:r>
      <w:bookmarkEnd w:id="54"/>
      <w:bookmarkEnd w:id="55"/>
      <w:bookmarkEnd w:id="56"/>
      <w:bookmarkEnd w:id="57"/>
      <w:bookmarkEnd w:id="60"/>
      <w:bookmarkEnd w:id="61"/>
    </w:p>
    <w:p>
      <w:pPr>
        <w:pStyle w:val="5"/>
        <w:rPr>
          <w:rFonts w:hint="eastAsia"/>
        </w:rPr>
      </w:pPr>
      <w:r>
        <w:rPr>
          <w:rFonts w:hint="eastAsia"/>
        </w:rPr>
        <w:t>8.1 保密范围</w:t>
      </w:r>
    </w:p>
    <w:p>
      <w:pPr>
        <w:ind w:firstLine="480"/>
        <w:rPr>
          <w:rFonts w:hint="eastAsia"/>
        </w:rPr>
      </w:pPr>
      <w:r>
        <w:rPr>
          <w:rFonts w:hint="eastAsia"/>
        </w:rPr>
        <w:t>中选人在实施过程中接触到的比选人知识产权、经营信息等。</w:t>
      </w:r>
    </w:p>
    <w:p>
      <w:pPr>
        <w:pStyle w:val="5"/>
        <w:rPr>
          <w:rFonts w:hint="eastAsia"/>
        </w:rPr>
      </w:pPr>
      <w:r>
        <w:rPr>
          <w:rFonts w:hint="eastAsia"/>
        </w:rPr>
        <w:t>8.2 保密责任</w:t>
      </w:r>
    </w:p>
    <w:p>
      <w:pPr>
        <w:ind w:firstLine="480"/>
        <w:rPr>
          <w:rFonts w:hint="eastAsia"/>
        </w:rPr>
      </w:pPr>
      <w:r>
        <w:rPr>
          <w:rFonts w:hint="eastAsia"/>
        </w:rPr>
        <w:t>双方互为保密资料的提供方和接受方，负有保密义务，承担保密责任。除经过双方书面同意，任何一方不得将有关内容提供给合同以外的第三人。</w:t>
      </w:r>
    </w:p>
    <w:p>
      <w:pPr>
        <w:pStyle w:val="4"/>
      </w:pPr>
      <w:r>
        <w:rPr>
          <w:rFonts w:hint="eastAsia"/>
        </w:rPr>
        <w:t>9. 报价要求</w:t>
      </w:r>
    </w:p>
    <w:p>
      <w:pPr>
        <w:ind w:firstLine="480"/>
        <w:rPr>
          <w:rFonts w:hint="eastAsia"/>
        </w:rPr>
      </w:pPr>
      <w:r>
        <w:rPr>
          <w:rFonts w:hint="eastAsia"/>
        </w:rPr>
        <w:t>参选人应严格按照《参选文件格式》的“报价一览表”的格式认真填写。</w:t>
      </w:r>
    </w:p>
    <w:p>
      <w:pPr>
        <w:pStyle w:val="4"/>
      </w:pPr>
      <w:bookmarkStart w:id="62" w:name="_Toc89675152"/>
      <w:bookmarkStart w:id="63" w:name="_Toc15059426"/>
      <w:r>
        <w:rPr>
          <w:rFonts w:hint="eastAsia"/>
        </w:rPr>
        <w:t>10. 知识产权</w:t>
      </w:r>
      <w:bookmarkEnd w:id="62"/>
      <w:bookmarkEnd w:id="63"/>
    </w:p>
    <w:p>
      <w:pPr>
        <w:ind w:firstLine="480"/>
        <w:rPr>
          <w:rFonts w:hint="eastAsia"/>
        </w:rPr>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4"/>
      </w:pPr>
      <w:bookmarkStart w:id="64" w:name="_Toc89675153"/>
      <w:bookmarkStart w:id="65" w:name="_Toc15059427"/>
      <w:r>
        <w:rPr>
          <w:rFonts w:hint="eastAsia"/>
        </w:rPr>
        <w:t>11. 其他</w:t>
      </w:r>
      <w:bookmarkEnd w:id="64"/>
      <w:bookmarkEnd w:id="65"/>
    </w:p>
    <w:p>
      <w:pPr>
        <w:ind w:firstLine="480"/>
        <w:rPr>
          <w:rFonts w:hint="eastAsia"/>
        </w:rPr>
      </w:pPr>
      <w:r>
        <w:rPr>
          <w:rFonts w:hint="eastAsia"/>
        </w:rPr>
        <w:t>1</w:t>
      </w:r>
      <w:r>
        <w:rPr>
          <w:rFonts w:hint="eastAsia"/>
          <w:lang w:val="en-US" w:eastAsia="zh-CN"/>
        </w:rPr>
        <w:t>1</w:t>
      </w:r>
      <w:r>
        <w:rPr>
          <w:rFonts w:hint="eastAsia"/>
        </w:rPr>
        <w:t>.1 参选人必须在响应承诺函中对本章内容做出整体性响应和承诺，承诺内容必须达到本章及比选文件其他条款的要求。</w:t>
      </w:r>
    </w:p>
    <w:p>
      <w:pPr>
        <w:ind w:firstLine="480"/>
        <w:rPr>
          <w:rFonts w:hint="eastAsia"/>
        </w:rPr>
      </w:pPr>
      <w:r>
        <w:rPr>
          <w:rFonts w:hint="eastAsia"/>
        </w:rPr>
        <w:t>1</w:t>
      </w:r>
      <w:r>
        <w:rPr>
          <w:rFonts w:hint="eastAsia"/>
          <w:lang w:val="en-US" w:eastAsia="zh-CN"/>
        </w:rPr>
        <w:t>1</w:t>
      </w:r>
      <w:r>
        <w:rPr>
          <w:rFonts w:hint="eastAsia"/>
        </w:rPr>
        <w:t>.2 参选人应根据本章内容和要求，提供对应的说明、方案、预案，内容齐全，无遗漏。</w:t>
      </w:r>
    </w:p>
    <w:p>
      <w:pPr>
        <w:ind w:firstLine="480"/>
        <w:rPr>
          <w:rFonts w:hint="eastAsia"/>
        </w:rPr>
      </w:pPr>
      <w:r>
        <w:rPr>
          <w:rFonts w:hint="eastAsia"/>
        </w:rPr>
        <w:t>11.2 其他未尽事宜由供需双方在合同中详细约定。</w:t>
      </w:r>
    </w:p>
    <w:p>
      <w:pPr>
        <w:snapToGrid w:val="0"/>
        <w:spacing w:line="360" w:lineRule="auto"/>
        <w:ind w:firstLine="480"/>
        <w:rPr>
          <w:rFonts w:hint="eastAsia" w:ascii="宋体" w:cs="宋体"/>
          <w:snapToGrid w:val="0"/>
          <w:color w:val="FF0000"/>
          <w:kern w:val="0"/>
          <w:szCs w:val="24"/>
        </w:rPr>
      </w:pPr>
    </w:p>
    <w:p>
      <w:pPr>
        <w:snapToGrid w:val="0"/>
        <w:spacing w:line="360" w:lineRule="auto"/>
        <w:ind w:firstLine="480"/>
        <w:rPr>
          <w:rFonts w:hint="eastAsia" w:ascii="宋体" w:cs="宋体"/>
          <w:snapToGrid w:val="0"/>
          <w:color w:val="FF0000"/>
          <w:kern w:val="0"/>
          <w:szCs w:val="24"/>
        </w:rPr>
      </w:pPr>
      <w:r>
        <w:rPr>
          <w:rFonts w:hint="eastAsia" w:ascii="宋体" w:cs="宋体"/>
          <w:snapToGrid w:val="0"/>
          <w:color w:val="FF0000"/>
          <w:kern w:val="0"/>
          <w:szCs w:val="24"/>
        </w:rPr>
        <w:br w:type="page"/>
      </w:r>
    </w:p>
    <w:p>
      <w:pPr>
        <w:pStyle w:val="3"/>
      </w:pPr>
      <w:bookmarkStart w:id="66" w:name="_Toc2116"/>
      <w:bookmarkStart w:id="67" w:name="_Toc24542"/>
      <w:bookmarkStart w:id="68" w:name="_Toc29189"/>
      <w:r>
        <w:rPr>
          <w:rFonts w:hint="eastAsia"/>
        </w:rPr>
        <w:t>第四章 评审办法（综合评估法）</w:t>
      </w:r>
      <w:bookmarkEnd w:id="66"/>
      <w:bookmarkEnd w:id="67"/>
      <w:bookmarkEnd w:id="68"/>
    </w:p>
    <w:p>
      <w:pPr>
        <w:ind w:firstLine="482"/>
        <w:rPr>
          <w:rFonts w:hint="eastAsia"/>
          <w:b/>
          <w:bCs/>
        </w:rPr>
      </w:pPr>
      <w:bookmarkStart w:id="69" w:name="_Toc14810"/>
      <w:bookmarkStart w:id="70" w:name="_Toc27076"/>
      <w:bookmarkStart w:id="71" w:name="_Toc2028"/>
      <w:bookmarkStart w:id="72" w:name="_Toc11471"/>
      <w:r>
        <w:rPr>
          <w:rFonts w:hint="eastAsia"/>
          <w:b/>
          <w:bCs/>
        </w:rPr>
        <w:t>评审办法前附表</w:t>
      </w:r>
      <w:bookmarkEnd w:id="69"/>
      <w:bookmarkEnd w:id="70"/>
      <w:bookmarkEnd w:id="71"/>
      <w:bookmarkEnd w:id="72"/>
    </w:p>
    <w:p>
      <w:pPr>
        <w:spacing w:line="360" w:lineRule="auto"/>
        <w:ind w:firstLine="480"/>
        <w:rPr>
          <w:rFonts w:hint="eastAsia"/>
        </w:rPr>
      </w:pPr>
      <w:r>
        <w:rPr>
          <w:rFonts w:ascii="宋体" w:hAnsi="宋体"/>
          <w:szCs w:val="21"/>
        </w:rPr>
        <w:t>若</w:t>
      </w:r>
      <w:r>
        <w:rPr>
          <w:rFonts w:hint="eastAsia" w:ascii="宋体" w:hAnsi="宋体"/>
          <w:szCs w:val="21"/>
        </w:rPr>
        <w:t>评审办法前附表</w:t>
      </w:r>
      <w:r>
        <w:rPr>
          <w:rFonts w:ascii="宋体" w:hAnsi="宋体"/>
          <w:szCs w:val="21"/>
        </w:rPr>
        <w:t>与正文不一致的地方，以</w:t>
      </w:r>
      <w:r>
        <w:rPr>
          <w:rFonts w:hint="eastAsia" w:ascii="宋体" w:hAnsi="宋体"/>
          <w:szCs w:val="21"/>
        </w:rPr>
        <w:t>评审办法前附表</w:t>
      </w:r>
      <w:r>
        <w:rPr>
          <w:rFonts w:ascii="宋体" w:hAnsi="宋体"/>
          <w:szCs w:val="21"/>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004"/>
        <w:gridCol w:w="1470"/>
        <w:gridCol w:w="519"/>
        <w:gridCol w:w="5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
                <w:kern w:val="0"/>
                <w:sz w:val="21"/>
                <w:szCs w:val="21"/>
              </w:rPr>
            </w:pPr>
            <w:bookmarkStart w:id="73" w:name="CQZH1_07"/>
            <w:r>
              <w:rPr>
                <w:rFonts w:hint="eastAsia" w:ascii="宋体" w:hAnsi="宋体" w:cs="宋体"/>
                <w:b/>
                <w:kern w:val="0"/>
                <w:sz w:val="21"/>
                <w:szCs w:val="21"/>
              </w:rPr>
              <w:t>条款号</w:t>
            </w:r>
          </w:p>
        </w:tc>
        <w:tc>
          <w:tcPr>
            <w:tcW w:w="1004" w:type="dxa"/>
            <w:vAlign w:val="center"/>
          </w:tcPr>
          <w:p>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评审因素</w:t>
            </w:r>
          </w:p>
        </w:tc>
        <w:tc>
          <w:tcPr>
            <w:tcW w:w="7640" w:type="dxa"/>
            <w:gridSpan w:val="3"/>
            <w:vAlign w:val="center"/>
          </w:tcPr>
          <w:p>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1</w:t>
            </w:r>
          </w:p>
        </w:tc>
        <w:tc>
          <w:tcPr>
            <w:tcW w:w="1004" w:type="dxa"/>
            <w:vAlign w:val="center"/>
          </w:tcPr>
          <w:p>
            <w:pPr>
              <w:spacing w:line="360" w:lineRule="auto"/>
              <w:ind w:firstLine="0" w:firstLineChars="0"/>
              <w:jc w:val="center"/>
              <w:rPr>
                <w:rFonts w:ascii="宋体" w:hAnsi="宋体" w:cs="宋体"/>
                <w:b/>
                <w:kern w:val="0"/>
                <w:sz w:val="21"/>
                <w:szCs w:val="21"/>
              </w:rPr>
            </w:pPr>
            <w:r>
              <w:rPr>
                <w:rFonts w:hint="eastAsia" w:ascii="Times New Roman" w:hAnsi="Times New Roman" w:cs="Times New Roman"/>
                <w:sz w:val="21"/>
                <w:szCs w:val="21"/>
              </w:rPr>
              <w:t>评审办法</w:t>
            </w:r>
          </w:p>
        </w:tc>
        <w:tc>
          <w:tcPr>
            <w:tcW w:w="7640" w:type="dxa"/>
            <w:gridSpan w:val="3"/>
            <w:vAlign w:val="center"/>
          </w:tcPr>
          <w:p>
            <w:pPr>
              <w:spacing w:line="360" w:lineRule="auto"/>
              <w:ind w:firstLine="0" w:firstLineChars="0"/>
              <w:jc w:val="left"/>
              <w:rPr>
                <w:rFonts w:ascii="宋体" w:hAnsi="宋体" w:cs="宋体"/>
                <w:b/>
                <w:kern w:val="0"/>
                <w:sz w:val="21"/>
                <w:szCs w:val="21"/>
              </w:rPr>
            </w:pPr>
            <w:r>
              <w:rPr>
                <w:rFonts w:hint="eastAsia" w:ascii="宋体" w:hAnsi="宋体" w:cs="Times New Roman"/>
                <w:kern w:val="0"/>
                <w:sz w:val="21"/>
                <w:szCs w:val="24"/>
              </w:rPr>
              <w:t>本次评审采用综合评估法。评审委员会按照评审办法前附表第2.2 条规定的评分标准进行打分，</w:t>
            </w:r>
            <w:r>
              <w:rPr>
                <w:rFonts w:hint="eastAsia" w:ascii="宋体" w:hAnsi="宋体" w:cs="Times New Roman"/>
                <w:spacing w:val="4"/>
                <w:kern w:val="0"/>
                <w:sz w:val="21"/>
                <w:szCs w:val="21"/>
              </w:rPr>
              <w:t>初步评审</w:t>
            </w:r>
            <w:r>
              <w:rPr>
                <w:rFonts w:hint="eastAsia" w:ascii="宋体" w:hAnsi="宋体" w:cs="Times New Roman"/>
                <w:kern w:val="0"/>
                <w:sz w:val="21"/>
                <w:szCs w:val="24"/>
              </w:rPr>
              <w:t>合格的参选人中，按得分由高到低顺序推荐1-3名中选候选人，但参选报价低于其成本的除外。综合评分相等时，以参选报价低的优先；参选报价也相等的，由评审委员会按照项目实施方案指标优劣原则排序。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2.1</w:t>
            </w:r>
          </w:p>
        </w:tc>
        <w:tc>
          <w:tcPr>
            <w:tcW w:w="1004" w:type="dxa"/>
            <w:vAlign w:val="center"/>
          </w:tcPr>
          <w:p>
            <w:pPr>
              <w:spacing w:line="360" w:lineRule="auto"/>
              <w:ind w:firstLine="0" w:firstLineChars="0"/>
              <w:jc w:val="center"/>
              <w:rPr>
                <w:rFonts w:ascii="宋体" w:hAnsi="宋体" w:cs="Times New Roman"/>
                <w:kern w:val="0"/>
                <w:sz w:val="21"/>
                <w:szCs w:val="24"/>
              </w:rPr>
            </w:pPr>
            <w:r>
              <w:rPr>
                <w:rFonts w:hint="eastAsia" w:ascii="宋体" w:hAnsi="宋体" w:cs="Times New Roman"/>
                <w:kern w:val="0"/>
                <w:sz w:val="21"/>
                <w:szCs w:val="24"/>
              </w:rPr>
              <w:t>初步评审标准</w:t>
            </w:r>
          </w:p>
        </w:tc>
        <w:tc>
          <w:tcPr>
            <w:tcW w:w="7640" w:type="dxa"/>
            <w:gridSpan w:val="3"/>
            <w:vAlign w:val="center"/>
          </w:tcPr>
          <w:p>
            <w:pPr>
              <w:spacing w:line="360" w:lineRule="auto"/>
              <w:ind w:firstLine="0" w:firstLineChars="0"/>
              <w:jc w:val="left"/>
              <w:rPr>
                <w:rFonts w:ascii="宋体" w:hAnsi="宋体" w:cs="Times New Roman"/>
                <w:kern w:val="0"/>
                <w:sz w:val="21"/>
                <w:szCs w:val="24"/>
              </w:rPr>
            </w:pPr>
            <w:r>
              <w:rPr>
                <w:rFonts w:hint="eastAsia" w:ascii="宋体" w:hAnsi="宋体" w:cs="Times New Roman"/>
                <w:kern w:val="0"/>
                <w:sz w:val="21"/>
                <w:szCs w:val="24"/>
              </w:rPr>
              <w:t>所有参选单位</w:t>
            </w:r>
            <w:r>
              <w:rPr>
                <w:rFonts w:hint="eastAsia" w:ascii="宋体" w:hAnsi="宋体" w:cs="Times New Roman"/>
                <w:spacing w:val="4"/>
                <w:kern w:val="0"/>
                <w:sz w:val="21"/>
                <w:szCs w:val="21"/>
              </w:rPr>
              <w:t>进行</w:t>
            </w:r>
            <w:r>
              <w:rPr>
                <w:rFonts w:hint="eastAsia" w:ascii="宋体" w:hAnsi="宋体" w:cs="Times New Roman"/>
                <w:kern w:val="0"/>
                <w:sz w:val="21"/>
                <w:szCs w:val="24"/>
              </w:rPr>
              <w:t>初步评审</w:t>
            </w:r>
            <w:r>
              <w:rPr>
                <w:rFonts w:hint="eastAsia" w:ascii="宋体" w:hAnsi="宋体" w:cs="Times New Roman"/>
                <w:spacing w:val="4"/>
                <w:kern w:val="0"/>
                <w:sz w:val="21"/>
                <w:szCs w:val="21"/>
              </w:rPr>
              <w:t>。</w:t>
            </w:r>
            <w:r>
              <w:rPr>
                <w:rFonts w:hint="eastAsia" w:ascii="宋体" w:hAnsi="宋体" w:cs="Times New Roman"/>
                <w:kern w:val="0"/>
                <w:sz w:val="21"/>
                <w:szCs w:val="24"/>
              </w:rPr>
              <w:t>初步评审</w:t>
            </w:r>
            <w:r>
              <w:rPr>
                <w:rFonts w:hint="eastAsia" w:ascii="宋体" w:hAnsi="宋体" w:cs="Times New Roman"/>
                <w:spacing w:val="4"/>
                <w:kern w:val="0"/>
                <w:sz w:val="21"/>
                <w:szCs w:val="21"/>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Cs/>
                <w:kern w:val="0"/>
                <w:sz w:val="21"/>
                <w:szCs w:val="21"/>
              </w:rPr>
            </w:pPr>
            <w:r>
              <w:rPr>
                <w:rFonts w:hint="eastAsia" w:ascii="宋体" w:hAnsi="宋体" w:cs="宋体"/>
                <w:kern w:val="0"/>
                <w:sz w:val="21"/>
                <w:szCs w:val="21"/>
              </w:rPr>
              <w:t>2.1.1</w:t>
            </w:r>
          </w:p>
        </w:tc>
        <w:tc>
          <w:tcPr>
            <w:tcW w:w="1004" w:type="dxa"/>
            <w:vAlign w:val="center"/>
          </w:tcPr>
          <w:p>
            <w:pPr>
              <w:spacing w:line="360" w:lineRule="auto"/>
              <w:ind w:firstLine="0" w:firstLineChars="0"/>
              <w:jc w:val="center"/>
              <w:rPr>
                <w:rFonts w:ascii="宋体" w:hAnsi="宋体" w:cs="Times New Roman"/>
                <w:kern w:val="0"/>
                <w:sz w:val="21"/>
                <w:szCs w:val="24"/>
              </w:rPr>
            </w:pPr>
            <w:r>
              <w:rPr>
                <w:rFonts w:hint="eastAsia" w:ascii="宋体" w:hAnsi="宋体" w:cs="宋体"/>
                <w:kern w:val="0"/>
                <w:sz w:val="21"/>
                <w:szCs w:val="21"/>
              </w:rPr>
              <w:t>资格评审标准</w:t>
            </w:r>
          </w:p>
        </w:tc>
        <w:tc>
          <w:tcPr>
            <w:tcW w:w="1470" w:type="dxa"/>
            <w:vAlign w:val="center"/>
          </w:tcPr>
          <w:p>
            <w:pPr>
              <w:spacing w:line="360" w:lineRule="auto"/>
              <w:ind w:firstLine="0" w:firstLineChars="0"/>
              <w:jc w:val="center"/>
              <w:rPr>
                <w:rFonts w:ascii="宋体" w:hAnsi="宋体" w:cs="Times New Roman"/>
                <w:kern w:val="0"/>
                <w:sz w:val="21"/>
                <w:szCs w:val="24"/>
              </w:rPr>
            </w:pPr>
            <w:r>
              <w:rPr>
                <w:rFonts w:hint="eastAsia" w:ascii="宋体" w:hAnsi="宋体" w:cs="宋体"/>
                <w:kern w:val="0"/>
                <w:sz w:val="21"/>
                <w:szCs w:val="21"/>
              </w:rPr>
              <w:t>资格条件要求</w:t>
            </w:r>
          </w:p>
        </w:tc>
        <w:tc>
          <w:tcPr>
            <w:tcW w:w="6170" w:type="dxa"/>
            <w:gridSpan w:val="2"/>
            <w:vAlign w:val="center"/>
          </w:tcPr>
          <w:p>
            <w:pPr>
              <w:spacing w:line="360" w:lineRule="auto"/>
              <w:ind w:firstLine="0" w:firstLineChars="0"/>
              <w:jc w:val="left"/>
              <w:rPr>
                <w:rFonts w:ascii="宋体" w:hAnsi="宋体" w:cs="Times New Roman"/>
                <w:kern w:val="0"/>
                <w:sz w:val="21"/>
                <w:szCs w:val="24"/>
              </w:rPr>
            </w:pPr>
            <w:r>
              <w:rPr>
                <w:rFonts w:hint="eastAsia" w:ascii="宋体" w:hAnsi="宋体" w:cs="宋体"/>
                <w:kern w:val="0"/>
                <w:sz w:val="21"/>
                <w:szCs w:val="21"/>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2.1.2</w:t>
            </w:r>
          </w:p>
        </w:tc>
        <w:tc>
          <w:tcPr>
            <w:tcW w:w="1004" w:type="dxa"/>
            <w:vMerge w:val="restart"/>
            <w:vAlign w:val="center"/>
          </w:tcPr>
          <w:p>
            <w:pPr>
              <w:spacing w:line="360" w:lineRule="auto"/>
              <w:ind w:firstLine="0" w:firstLineChars="0"/>
              <w:jc w:val="center"/>
              <w:rPr>
                <w:rFonts w:ascii="宋体" w:hAnsi="宋体" w:cs="Times New Roman"/>
                <w:kern w:val="0"/>
                <w:sz w:val="21"/>
                <w:szCs w:val="24"/>
              </w:rPr>
            </w:pPr>
            <w:r>
              <w:rPr>
                <w:rFonts w:hint="eastAsia" w:ascii="宋体" w:hAnsi="宋体" w:cs="Times New Roman"/>
                <w:kern w:val="0"/>
                <w:sz w:val="21"/>
                <w:szCs w:val="24"/>
              </w:rPr>
              <w:t>形式评审标准</w:t>
            </w: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参选人名称</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kern w:val="0"/>
                <w:sz w:val="21"/>
                <w:szCs w:val="21"/>
              </w:rPr>
            </w:pPr>
          </w:p>
        </w:tc>
        <w:tc>
          <w:tcPr>
            <w:tcW w:w="1004" w:type="dxa"/>
            <w:vMerge w:val="continue"/>
            <w:textDirection w:val="tbRlV"/>
            <w:vAlign w:val="center"/>
          </w:tcPr>
          <w:p>
            <w:pPr>
              <w:spacing w:line="360" w:lineRule="auto"/>
              <w:ind w:firstLine="0" w:firstLineChars="0"/>
              <w:jc w:val="center"/>
              <w:rPr>
                <w:rFonts w:ascii="宋体" w:hAnsi="宋体" w:cs="宋体"/>
                <w:kern w:val="0"/>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参选文件的签字盖章</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kern w:val="0"/>
                <w:sz w:val="21"/>
                <w:szCs w:val="21"/>
              </w:rPr>
            </w:pPr>
          </w:p>
        </w:tc>
        <w:tc>
          <w:tcPr>
            <w:tcW w:w="1004" w:type="dxa"/>
            <w:vMerge w:val="continue"/>
            <w:textDirection w:val="tbRlV"/>
            <w:vAlign w:val="center"/>
          </w:tcPr>
          <w:p>
            <w:pPr>
              <w:spacing w:line="360" w:lineRule="auto"/>
              <w:ind w:firstLine="0" w:firstLineChars="0"/>
              <w:jc w:val="center"/>
              <w:rPr>
                <w:rFonts w:ascii="宋体" w:hAnsi="宋体" w:cs="宋体"/>
                <w:kern w:val="0"/>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参选文件的密封</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kern w:val="0"/>
                <w:sz w:val="21"/>
                <w:szCs w:val="21"/>
              </w:rPr>
            </w:pPr>
          </w:p>
        </w:tc>
        <w:tc>
          <w:tcPr>
            <w:tcW w:w="1004" w:type="dxa"/>
            <w:vMerge w:val="continue"/>
            <w:textDirection w:val="tbRlV"/>
            <w:vAlign w:val="center"/>
          </w:tcPr>
          <w:p>
            <w:pPr>
              <w:spacing w:line="360" w:lineRule="auto"/>
              <w:ind w:firstLine="0" w:firstLineChars="0"/>
              <w:jc w:val="center"/>
              <w:rPr>
                <w:rFonts w:ascii="宋体" w:hAnsi="宋体" w:cs="宋体"/>
                <w:kern w:val="0"/>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参选文件格式</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kern w:val="0"/>
                <w:sz w:val="21"/>
                <w:szCs w:val="21"/>
              </w:rPr>
            </w:pPr>
          </w:p>
        </w:tc>
        <w:tc>
          <w:tcPr>
            <w:tcW w:w="1004" w:type="dxa"/>
            <w:vMerge w:val="continue"/>
            <w:textDirection w:val="tbRlV"/>
            <w:vAlign w:val="center"/>
          </w:tcPr>
          <w:p>
            <w:pPr>
              <w:spacing w:line="360" w:lineRule="auto"/>
              <w:ind w:firstLine="0" w:firstLineChars="0"/>
              <w:jc w:val="center"/>
              <w:rPr>
                <w:rFonts w:ascii="宋体" w:hAnsi="宋体" w:cs="宋体"/>
                <w:kern w:val="0"/>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参选文件组成</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符合第二章“参选人须知”4.1 条规定，</w:t>
            </w:r>
            <w:r>
              <w:rPr>
                <w:rFonts w:hint="eastAsia" w:ascii="宋体" w:cs="宋体"/>
                <w:kern w:val="0"/>
                <w:sz w:val="20"/>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kern w:val="0"/>
                <w:sz w:val="21"/>
                <w:szCs w:val="21"/>
              </w:rPr>
            </w:pPr>
          </w:p>
        </w:tc>
        <w:tc>
          <w:tcPr>
            <w:tcW w:w="1004" w:type="dxa"/>
            <w:vMerge w:val="continue"/>
            <w:textDirection w:val="tbRlV"/>
            <w:vAlign w:val="center"/>
          </w:tcPr>
          <w:p>
            <w:pPr>
              <w:spacing w:line="360" w:lineRule="auto"/>
              <w:ind w:firstLine="0" w:firstLineChars="0"/>
              <w:jc w:val="center"/>
              <w:rPr>
                <w:rFonts w:ascii="宋体" w:hAnsi="宋体" w:cs="宋体"/>
                <w:kern w:val="0"/>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联合体参选</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pPr>
              <w:spacing w:line="360" w:lineRule="auto"/>
              <w:ind w:firstLine="0" w:firstLineChars="0"/>
              <w:jc w:val="center"/>
              <w:rPr>
                <w:rFonts w:ascii="宋体" w:hAnsi="宋体" w:cs="宋体"/>
                <w:sz w:val="21"/>
                <w:szCs w:val="21"/>
              </w:rPr>
            </w:pPr>
            <w:r>
              <w:rPr>
                <w:rFonts w:hint="eastAsia" w:ascii="宋体" w:hAnsi="宋体" w:cs="宋体"/>
                <w:kern w:val="0"/>
                <w:sz w:val="21"/>
                <w:szCs w:val="21"/>
              </w:rPr>
              <w:t>2.1.3</w:t>
            </w:r>
          </w:p>
        </w:tc>
        <w:tc>
          <w:tcPr>
            <w:tcW w:w="1004" w:type="dxa"/>
            <w:vMerge w:val="restart"/>
            <w:vAlign w:val="center"/>
          </w:tcPr>
          <w:p>
            <w:pPr>
              <w:spacing w:line="360" w:lineRule="auto"/>
              <w:ind w:firstLine="0" w:firstLineChars="0"/>
              <w:jc w:val="center"/>
              <w:rPr>
                <w:rFonts w:ascii="宋体" w:hAnsi="宋体" w:cs="宋体"/>
                <w:sz w:val="21"/>
                <w:szCs w:val="21"/>
              </w:rPr>
            </w:pPr>
            <w:r>
              <w:rPr>
                <w:rFonts w:hint="eastAsia" w:ascii="宋体" w:hAnsi="宋体" w:cs="宋体"/>
                <w:kern w:val="0"/>
                <w:sz w:val="21"/>
                <w:szCs w:val="21"/>
              </w:rPr>
              <w:t>响应性评审标准</w:t>
            </w: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参选内容</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1. 在响应承诺函中对第三章“项目要求”内容做出整体承诺；</w:t>
            </w:r>
          </w:p>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 xml:space="preserve">2. 根据第一章“2. </w:t>
            </w:r>
            <w:r>
              <w:rPr>
                <w:rFonts w:ascii="宋体" w:hAnsi="宋体" w:cs="宋体"/>
                <w:kern w:val="0"/>
                <w:sz w:val="21"/>
                <w:szCs w:val="21"/>
              </w:rPr>
              <w:t>参选人资格要求”和第三章“项目要求”的要求规定，提供对应</w:t>
            </w:r>
            <w:r>
              <w:rPr>
                <w:rFonts w:hint="eastAsia" w:ascii="宋体" w:hAnsi="宋体" w:cs="宋体"/>
                <w:kern w:val="0"/>
                <w:sz w:val="21"/>
                <w:szCs w:val="21"/>
              </w:rPr>
              <w:t>材料</w:t>
            </w:r>
            <w:r>
              <w:rPr>
                <w:rFonts w:ascii="宋体" w:hAnsi="宋体" w:cs="宋体"/>
                <w:kern w:val="0"/>
                <w:sz w:val="21"/>
                <w:szCs w:val="21"/>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sz w:val="21"/>
                <w:szCs w:val="21"/>
              </w:rPr>
            </w:pPr>
          </w:p>
        </w:tc>
        <w:tc>
          <w:tcPr>
            <w:tcW w:w="1004" w:type="dxa"/>
            <w:vMerge w:val="continue"/>
          </w:tcPr>
          <w:p>
            <w:pPr>
              <w:spacing w:line="360" w:lineRule="auto"/>
              <w:ind w:firstLine="0" w:firstLineChars="0"/>
              <w:jc w:val="center"/>
              <w:rPr>
                <w:rFonts w:ascii="宋体" w:hAnsi="宋体" w:cs="宋体"/>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参选文件份数</w:t>
            </w:r>
          </w:p>
        </w:tc>
        <w:tc>
          <w:tcPr>
            <w:tcW w:w="6170" w:type="dxa"/>
            <w:gridSpan w:val="2"/>
            <w:vAlign w:val="center"/>
          </w:tcPr>
          <w:p>
            <w:pPr>
              <w:spacing w:line="240" w:lineRule="auto"/>
              <w:ind w:firstLine="0" w:firstLineChars="0"/>
              <w:rPr>
                <w:rFonts w:ascii="宋体" w:hAnsi="宋体" w:cs="宋体"/>
                <w:kern w:val="0"/>
                <w:sz w:val="21"/>
                <w:szCs w:val="21"/>
              </w:rPr>
            </w:pPr>
            <w:r>
              <w:rPr>
                <w:rFonts w:hint="eastAsia" w:ascii="宋体" w:hAnsi="宋体" w:cs="宋体"/>
                <w:kern w:val="0"/>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sz w:val="21"/>
                <w:szCs w:val="21"/>
              </w:rPr>
            </w:pPr>
          </w:p>
        </w:tc>
        <w:tc>
          <w:tcPr>
            <w:tcW w:w="1004" w:type="dxa"/>
            <w:vMerge w:val="continue"/>
          </w:tcPr>
          <w:p>
            <w:pPr>
              <w:spacing w:line="360" w:lineRule="auto"/>
              <w:ind w:firstLine="0" w:firstLineChars="0"/>
              <w:jc w:val="center"/>
              <w:rPr>
                <w:rFonts w:ascii="宋体" w:hAnsi="宋体" w:cs="宋体"/>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参选方案唯一</w:t>
            </w:r>
          </w:p>
        </w:tc>
        <w:tc>
          <w:tcPr>
            <w:tcW w:w="6170" w:type="dxa"/>
            <w:gridSpan w:val="2"/>
            <w:vAlign w:val="center"/>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sz w:val="21"/>
                <w:szCs w:val="21"/>
              </w:rPr>
            </w:pPr>
          </w:p>
        </w:tc>
        <w:tc>
          <w:tcPr>
            <w:tcW w:w="1004" w:type="dxa"/>
            <w:vMerge w:val="continue"/>
          </w:tcPr>
          <w:p>
            <w:pPr>
              <w:spacing w:line="360" w:lineRule="auto"/>
              <w:ind w:firstLine="0" w:firstLineChars="0"/>
              <w:jc w:val="center"/>
              <w:rPr>
                <w:rFonts w:ascii="宋体" w:hAnsi="宋体" w:cs="宋体"/>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参选报价</w:t>
            </w:r>
          </w:p>
        </w:tc>
        <w:tc>
          <w:tcPr>
            <w:tcW w:w="6170" w:type="dxa"/>
            <w:gridSpan w:val="2"/>
            <w:vAlign w:val="center"/>
          </w:tcPr>
          <w:p>
            <w:pPr>
              <w:adjustRightInd w:val="0"/>
              <w:snapToGrid w:val="0"/>
              <w:spacing w:line="360" w:lineRule="auto"/>
              <w:ind w:firstLine="0" w:firstLineChars="0"/>
              <w:rPr>
                <w:rFonts w:ascii="宋体" w:hAnsi="宋体" w:cs="宋体"/>
                <w:kern w:val="0"/>
                <w:sz w:val="21"/>
                <w:szCs w:val="21"/>
              </w:rPr>
            </w:pPr>
            <w:r>
              <w:rPr>
                <w:rFonts w:hint="eastAsia" w:ascii="宋体" w:hAnsi="宋体" w:cs="宋体"/>
                <w:kern w:val="0"/>
                <w:sz w:val="21"/>
                <w:szCs w:val="21"/>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sz w:val="21"/>
                <w:szCs w:val="21"/>
              </w:rPr>
            </w:pPr>
          </w:p>
        </w:tc>
        <w:tc>
          <w:tcPr>
            <w:tcW w:w="1004" w:type="dxa"/>
            <w:vMerge w:val="continue"/>
          </w:tcPr>
          <w:p>
            <w:pPr>
              <w:spacing w:line="360" w:lineRule="auto"/>
              <w:ind w:firstLine="0" w:firstLineChars="0"/>
              <w:jc w:val="center"/>
              <w:rPr>
                <w:rFonts w:ascii="宋体" w:hAnsi="宋体" w:cs="宋体"/>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参选有效期</w:t>
            </w:r>
          </w:p>
        </w:tc>
        <w:tc>
          <w:tcPr>
            <w:tcW w:w="6170" w:type="dxa"/>
            <w:gridSpan w:val="2"/>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sz w:val="21"/>
                <w:szCs w:val="21"/>
              </w:rPr>
            </w:pPr>
          </w:p>
        </w:tc>
        <w:tc>
          <w:tcPr>
            <w:tcW w:w="1004" w:type="dxa"/>
            <w:vMerge w:val="continue"/>
          </w:tcPr>
          <w:p>
            <w:pPr>
              <w:spacing w:line="360" w:lineRule="auto"/>
              <w:ind w:firstLine="0" w:firstLineChars="0"/>
              <w:jc w:val="center"/>
              <w:rPr>
                <w:rFonts w:ascii="宋体" w:hAnsi="宋体" w:cs="宋体"/>
                <w:sz w:val="21"/>
                <w:szCs w:val="21"/>
              </w:rPr>
            </w:pPr>
          </w:p>
        </w:tc>
        <w:tc>
          <w:tcPr>
            <w:tcW w:w="147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参选保证金</w:t>
            </w:r>
          </w:p>
        </w:tc>
        <w:tc>
          <w:tcPr>
            <w:tcW w:w="6170" w:type="dxa"/>
            <w:gridSpan w:val="2"/>
          </w:tcPr>
          <w:p>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820" w:type="dxa"/>
            <w:vMerge w:val="restart"/>
            <w:vAlign w:val="center"/>
          </w:tcPr>
          <w:p>
            <w:pPr>
              <w:spacing w:line="360" w:lineRule="auto"/>
              <w:ind w:firstLine="0" w:firstLineChars="0"/>
              <w:rPr>
                <w:rFonts w:ascii="宋体" w:hAnsi="宋体" w:cs="宋体"/>
                <w:kern w:val="0"/>
                <w:sz w:val="21"/>
                <w:szCs w:val="21"/>
              </w:rPr>
            </w:pPr>
            <w:r>
              <w:rPr>
                <w:rFonts w:hint="eastAsia" w:ascii="宋体" w:hAnsi="宋体" w:cs="宋体"/>
                <w:kern w:val="0"/>
                <w:sz w:val="21"/>
                <w:szCs w:val="21"/>
              </w:rPr>
              <w:t>2.2</w:t>
            </w:r>
          </w:p>
        </w:tc>
        <w:tc>
          <w:tcPr>
            <w:tcW w:w="1004" w:type="dxa"/>
            <w:vMerge w:val="restart"/>
            <w:vAlign w:val="center"/>
          </w:tcPr>
          <w:p>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详细评审</w:t>
            </w:r>
          </w:p>
        </w:tc>
        <w:tc>
          <w:tcPr>
            <w:tcW w:w="1470" w:type="dxa"/>
            <w:vMerge w:val="restart"/>
            <w:vAlign w:val="center"/>
          </w:tcPr>
          <w:p>
            <w:pPr>
              <w:tabs>
                <w:tab w:val="left" w:pos="1875"/>
              </w:tabs>
              <w:spacing w:line="360" w:lineRule="auto"/>
              <w:ind w:firstLine="0" w:firstLineChars="0"/>
              <w:jc w:val="center"/>
              <w:rPr>
                <w:rFonts w:ascii="宋体" w:hAnsi="宋体" w:cs="宋体"/>
                <w:kern w:val="0"/>
                <w:sz w:val="21"/>
                <w:szCs w:val="21"/>
              </w:rPr>
            </w:pPr>
            <w:r>
              <w:rPr>
                <w:rFonts w:hint="eastAsia" w:ascii="宋体" w:hAnsi="宋体" w:cs="宋体"/>
                <w:sz w:val="21"/>
                <w:szCs w:val="21"/>
              </w:rPr>
              <w:t>分值构成与评分标准</w:t>
            </w:r>
          </w:p>
          <w:p>
            <w:pPr>
              <w:tabs>
                <w:tab w:val="left" w:pos="1875"/>
              </w:tabs>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(总分1OO分)</w:t>
            </w:r>
          </w:p>
        </w:tc>
        <w:tc>
          <w:tcPr>
            <w:tcW w:w="6170" w:type="dxa"/>
            <w:gridSpan w:val="2"/>
            <w:vAlign w:val="center"/>
          </w:tcPr>
          <w:p>
            <w:pPr>
              <w:spacing w:line="240" w:lineRule="auto"/>
              <w:ind w:firstLine="420" w:firstLineChars="0"/>
              <w:jc w:val="left"/>
              <w:rPr>
                <w:rFonts w:ascii="宋体" w:hAnsi="宋体" w:cs="宋体"/>
                <w:kern w:val="0"/>
                <w:sz w:val="21"/>
                <w:szCs w:val="21"/>
              </w:rPr>
            </w:pPr>
            <w:r>
              <w:rPr>
                <w:rFonts w:hint="eastAsia" w:ascii="宋体" w:hAnsi="宋体" w:cs="宋体"/>
                <w:kern w:val="0"/>
                <w:sz w:val="21"/>
                <w:szCs w:val="21"/>
              </w:rPr>
              <w:t>参选报价（20分）</w:t>
            </w:r>
          </w:p>
          <w:p>
            <w:pPr>
              <w:spacing w:line="240" w:lineRule="auto"/>
              <w:ind w:firstLine="420" w:firstLineChars="0"/>
              <w:jc w:val="left"/>
              <w:rPr>
                <w:rFonts w:ascii="宋体" w:hAnsi="宋体" w:cs="宋体"/>
                <w:kern w:val="0"/>
                <w:sz w:val="21"/>
                <w:szCs w:val="21"/>
              </w:rPr>
            </w:pPr>
            <w:r>
              <w:rPr>
                <w:rFonts w:hint="eastAsia" w:ascii="宋体" w:hAnsi="宋体" w:cs="宋体"/>
                <w:kern w:val="0"/>
                <w:sz w:val="21"/>
                <w:szCs w:val="21"/>
              </w:rPr>
              <w:t>以参选人报价算术平均值作为基准价，基准分为20分。（有效比选商</w:t>
            </w:r>
            <w:r>
              <w:rPr>
                <w:rFonts w:ascii="宋体" w:hAnsi="宋体" w:cs="宋体"/>
                <w:kern w:val="0"/>
                <w:sz w:val="21"/>
                <w:szCs w:val="21"/>
              </w:rPr>
              <w:t>&gt;</w:t>
            </w:r>
            <w:r>
              <w:rPr>
                <w:rFonts w:hint="eastAsia" w:ascii="宋体" w:hAnsi="宋体" w:cs="宋体"/>
                <w:kern w:val="0"/>
                <w:sz w:val="21"/>
                <w:szCs w:val="21"/>
              </w:rPr>
              <w:t>=5家时，去掉一个最高价和一个最低价进行平均值计算）。</w:t>
            </w:r>
          </w:p>
          <w:p>
            <w:pPr>
              <w:spacing w:line="240" w:lineRule="auto"/>
              <w:ind w:firstLine="420" w:firstLineChars="0"/>
              <w:jc w:val="left"/>
              <w:rPr>
                <w:rFonts w:ascii="宋体" w:hAnsi="宋体" w:cs="宋体"/>
                <w:kern w:val="0"/>
                <w:sz w:val="21"/>
                <w:szCs w:val="21"/>
              </w:rPr>
            </w:pPr>
            <w:r>
              <w:rPr>
                <w:rFonts w:hint="eastAsia" w:ascii="宋体"/>
                <w:sz w:val="21"/>
                <w:szCs w:val="21"/>
              </w:rPr>
              <w:t>偏离度=（有效报价/基准价-1）*100%</w:t>
            </w:r>
          </w:p>
          <w:p>
            <w:pPr>
              <w:spacing w:line="240" w:lineRule="auto"/>
              <w:ind w:firstLine="420" w:firstLineChars="0"/>
              <w:jc w:val="left"/>
              <w:rPr>
                <w:rFonts w:ascii="宋体" w:hAnsi="宋体" w:cs="宋体"/>
                <w:kern w:val="0"/>
                <w:sz w:val="21"/>
                <w:szCs w:val="21"/>
              </w:rPr>
            </w:pPr>
            <w:r>
              <w:rPr>
                <w:rFonts w:hint="eastAsia" w:ascii="宋体" w:hAnsi="宋体" w:cs="宋体"/>
                <w:kern w:val="0"/>
                <w:sz w:val="21"/>
                <w:szCs w:val="21"/>
              </w:rPr>
              <w:t>报价向上每正偏离1%的，扣1分；</w:t>
            </w:r>
          </w:p>
          <w:p>
            <w:pPr>
              <w:spacing w:line="240" w:lineRule="auto"/>
              <w:ind w:firstLine="420" w:firstLineChars="0"/>
              <w:jc w:val="left"/>
              <w:rPr>
                <w:rFonts w:ascii="宋体" w:hAnsi="宋体" w:cs="宋体"/>
                <w:kern w:val="0"/>
                <w:sz w:val="21"/>
                <w:szCs w:val="21"/>
              </w:rPr>
            </w:pPr>
            <w:r>
              <w:rPr>
                <w:rFonts w:hint="eastAsia" w:ascii="宋体" w:hAnsi="宋体" w:cs="宋体"/>
                <w:kern w:val="0"/>
                <w:sz w:val="21"/>
                <w:szCs w:val="21"/>
              </w:rPr>
              <w:t>报价向下负偏离10%以内的，不扣分；</w:t>
            </w:r>
          </w:p>
          <w:p>
            <w:pPr>
              <w:spacing w:line="240" w:lineRule="auto"/>
              <w:ind w:firstLine="420" w:firstLineChars="0"/>
              <w:jc w:val="left"/>
              <w:rPr>
                <w:rFonts w:ascii="宋体" w:hAnsi="宋体" w:cs="宋体"/>
                <w:kern w:val="0"/>
                <w:sz w:val="21"/>
                <w:szCs w:val="21"/>
              </w:rPr>
            </w:pPr>
            <w:r>
              <w:rPr>
                <w:rFonts w:hint="eastAsia" w:ascii="宋体" w:hAnsi="宋体" w:cs="宋体"/>
                <w:kern w:val="0"/>
                <w:sz w:val="21"/>
                <w:szCs w:val="21"/>
              </w:rPr>
              <w:t>向下负偏离超过10%的，在向下负偏离10%的基础上，每多负偏离1%扣0.5分，扣完为止；</w:t>
            </w:r>
          </w:p>
          <w:p>
            <w:pPr>
              <w:spacing w:line="240" w:lineRule="auto"/>
              <w:ind w:firstLine="420" w:firstLineChars="0"/>
              <w:jc w:val="left"/>
              <w:rPr>
                <w:rFonts w:ascii="宋体" w:hAnsi="宋体" w:cs="宋体"/>
                <w:kern w:val="0"/>
                <w:sz w:val="21"/>
                <w:szCs w:val="21"/>
              </w:rPr>
            </w:pPr>
            <w:r>
              <w:rPr>
                <w:rFonts w:hint="eastAsia" w:ascii="宋体" w:hAnsi="宋体" w:cs="宋体"/>
                <w:kern w:val="0"/>
                <w:sz w:val="21"/>
                <w:szCs w:val="21"/>
              </w:rPr>
              <w:t>偏离度不足1%的不扣分。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pPr>
              <w:spacing w:line="360" w:lineRule="auto"/>
              <w:ind w:firstLine="0" w:firstLineChars="0"/>
              <w:rPr>
                <w:rFonts w:ascii="宋体" w:hAnsi="宋体" w:cs="宋体"/>
                <w:kern w:val="0"/>
                <w:sz w:val="21"/>
                <w:szCs w:val="21"/>
              </w:rPr>
            </w:pPr>
          </w:p>
        </w:tc>
        <w:tc>
          <w:tcPr>
            <w:tcW w:w="1004" w:type="dxa"/>
            <w:vMerge w:val="continue"/>
            <w:vAlign w:val="center"/>
          </w:tcPr>
          <w:p>
            <w:pPr>
              <w:spacing w:line="360" w:lineRule="auto"/>
              <w:ind w:firstLine="0" w:firstLineChars="0"/>
              <w:rPr>
                <w:rFonts w:ascii="宋体" w:hAnsi="宋体" w:cs="宋体"/>
                <w:color w:val="FF0000"/>
                <w:kern w:val="0"/>
                <w:sz w:val="21"/>
                <w:szCs w:val="21"/>
              </w:rPr>
            </w:pPr>
          </w:p>
        </w:tc>
        <w:tc>
          <w:tcPr>
            <w:tcW w:w="1470" w:type="dxa"/>
            <w:vMerge w:val="continue"/>
            <w:vAlign w:val="center"/>
          </w:tcPr>
          <w:p>
            <w:pPr>
              <w:tabs>
                <w:tab w:val="left" w:pos="1875"/>
              </w:tabs>
              <w:spacing w:line="360" w:lineRule="auto"/>
              <w:ind w:firstLine="0" w:firstLineChars="0"/>
              <w:jc w:val="center"/>
              <w:rPr>
                <w:rFonts w:ascii="宋体" w:hAnsi="宋体" w:cs="宋体"/>
                <w:color w:val="FF0000"/>
                <w:kern w:val="0"/>
                <w:sz w:val="21"/>
                <w:szCs w:val="21"/>
              </w:rPr>
            </w:pPr>
          </w:p>
        </w:tc>
        <w:tc>
          <w:tcPr>
            <w:tcW w:w="6170" w:type="dxa"/>
            <w:gridSpan w:val="2"/>
            <w:vAlign w:val="center"/>
          </w:tcPr>
          <w:p>
            <w:pPr>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商务部分（80分）</w:t>
            </w:r>
          </w:p>
          <w:p>
            <w:pPr>
              <w:spacing w:line="240" w:lineRule="auto"/>
              <w:ind w:firstLine="400"/>
              <w:rPr>
                <w:rFonts w:hint="eastAsia" w:ascii="Times New Roman" w:cs="Times New Roman"/>
                <w:sz w:val="20"/>
              </w:rPr>
            </w:pPr>
            <w:r>
              <w:rPr>
                <w:rFonts w:hint="eastAsia" w:ascii="Times New Roman" w:cs="Times New Roman"/>
                <w:sz w:val="20"/>
              </w:rPr>
              <w:t>一、公司经验资质（45分）</w:t>
            </w:r>
          </w:p>
          <w:p>
            <w:pPr>
              <w:spacing w:line="240" w:lineRule="auto"/>
              <w:ind w:firstLine="400"/>
              <w:rPr>
                <w:rFonts w:hint="eastAsia" w:ascii="Times New Roman" w:cs="Times New Roman"/>
                <w:sz w:val="20"/>
              </w:rPr>
            </w:pPr>
            <w:r>
              <w:rPr>
                <w:rFonts w:ascii="Times New Roman" w:cs="Times New Roman"/>
                <w:sz w:val="20"/>
              </w:rPr>
              <w:t>1.</w:t>
            </w:r>
            <w:r>
              <w:rPr>
                <w:rFonts w:hint="eastAsia" w:ascii="Times New Roman" w:cs="Times New Roman"/>
                <w:sz w:val="20"/>
              </w:rPr>
              <w:t>审计项目经验（</w:t>
            </w:r>
            <w:r>
              <w:rPr>
                <w:rFonts w:ascii="Times New Roman" w:cs="Times New Roman"/>
                <w:sz w:val="20"/>
              </w:rPr>
              <w:t>10</w:t>
            </w:r>
            <w:r>
              <w:rPr>
                <w:rFonts w:hint="eastAsia" w:ascii="Times New Roman" w:cs="Times New Roman"/>
                <w:sz w:val="20"/>
              </w:rPr>
              <w:t>分）。</w:t>
            </w:r>
            <w:r>
              <w:rPr>
                <w:rFonts w:ascii="Times New Roman" w:cs="Times New Roman"/>
                <w:sz w:val="20"/>
              </w:rPr>
              <w:t>202</w:t>
            </w:r>
            <w:r>
              <w:rPr>
                <w:rFonts w:hint="eastAsia" w:ascii="Times New Roman" w:cs="Times New Roman"/>
                <w:sz w:val="20"/>
              </w:rPr>
              <w:t>2年</w:t>
            </w:r>
            <w:r>
              <w:rPr>
                <w:rFonts w:ascii="Times New Roman" w:cs="Times New Roman"/>
                <w:sz w:val="20"/>
              </w:rPr>
              <w:t>1</w:t>
            </w:r>
            <w:r>
              <w:rPr>
                <w:rFonts w:hint="eastAsia" w:ascii="Times New Roman" w:cs="Times New Roman"/>
                <w:sz w:val="20"/>
              </w:rPr>
              <w:t>月</w:t>
            </w:r>
            <w:r>
              <w:rPr>
                <w:rFonts w:ascii="Times New Roman" w:cs="Times New Roman"/>
                <w:sz w:val="20"/>
              </w:rPr>
              <w:t>1</w:t>
            </w:r>
            <w:r>
              <w:rPr>
                <w:rFonts w:hint="eastAsia" w:ascii="Times New Roman" w:cs="Times New Roman"/>
                <w:sz w:val="20"/>
              </w:rPr>
              <w:t>日（合同签订时间为准）至比选截止时间止，为金融机构实施信息科技审计项目案例（仅为审计案例），2个以下均不计分。按项目个数进行排名。排名第一名</w:t>
            </w:r>
            <w:r>
              <w:rPr>
                <w:rFonts w:ascii="Times New Roman" w:cs="Times New Roman"/>
                <w:sz w:val="20"/>
              </w:rPr>
              <w:t>10</w:t>
            </w:r>
            <w:r>
              <w:rPr>
                <w:rFonts w:hint="eastAsia" w:ascii="Times New Roman" w:cs="Times New Roman"/>
                <w:sz w:val="20"/>
              </w:rPr>
              <w:t>分，第二名7分，第三名4分，第三名以后</w:t>
            </w:r>
            <w:r>
              <w:rPr>
                <w:rFonts w:ascii="Times New Roman" w:cs="Times New Roman"/>
                <w:sz w:val="20"/>
              </w:rPr>
              <w:t>2</w:t>
            </w:r>
            <w:r>
              <w:rPr>
                <w:rFonts w:hint="eastAsia" w:ascii="Times New Roman" w:cs="Times New Roman"/>
                <w:sz w:val="20"/>
              </w:rPr>
              <w:t>分。（</w:t>
            </w:r>
            <w:r>
              <w:rPr>
                <w:rFonts w:hint="eastAsia" w:cs="Times New Roman" w:asciiTheme="minorEastAsia" w:hAnsiTheme="minorEastAsia" w:eastAsiaTheme="minorEastAsia"/>
                <w:sz w:val="20"/>
              </w:rPr>
              <w:t>应该提供中标（成交）通知书（如有）、</w:t>
            </w:r>
            <w:r>
              <w:rPr>
                <w:rFonts w:asciiTheme="minorEastAsia" w:hAnsiTheme="minorEastAsia" w:eastAsiaTheme="minorEastAsia"/>
                <w:sz w:val="20"/>
                <w:szCs w:val="21"/>
              </w:rPr>
              <w:t>合同关键页复印件、合同对应的发票之一和网上税务系统查询该发票截图</w:t>
            </w:r>
            <w:r>
              <w:rPr>
                <w:rFonts w:hint="eastAsia" w:cs="Times New Roman" w:asciiTheme="minorEastAsia" w:hAnsiTheme="minorEastAsia" w:eastAsiaTheme="minorEastAsia"/>
                <w:sz w:val="20"/>
              </w:rPr>
              <w:t>复</w:t>
            </w:r>
            <w:r>
              <w:rPr>
                <w:rFonts w:hint="eastAsia" w:ascii="Times New Roman" w:cs="Times New Roman"/>
                <w:sz w:val="20"/>
              </w:rPr>
              <w:t>印件。同一单位的多个案例可多次计算。同一项目案例延续合同不重复计分。）</w:t>
            </w:r>
          </w:p>
          <w:p>
            <w:pPr>
              <w:spacing w:line="240" w:lineRule="auto"/>
              <w:ind w:firstLine="400"/>
              <w:rPr>
                <w:rFonts w:hint="eastAsia" w:ascii="Times New Roman" w:cs="Times New Roman"/>
                <w:sz w:val="20"/>
              </w:rPr>
            </w:pPr>
            <w:r>
              <w:rPr>
                <w:rFonts w:ascii="Times New Roman" w:cs="Times New Roman"/>
                <w:sz w:val="20"/>
              </w:rPr>
              <w:t xml:space="preserve">2. </w:t>
            </w:r>
            <w:r>
              <w:rPr>
                <w:rFonts w:hint="eastAsia" w:ascii="Times New Roman" w:cs="Times New Roman"/>
                <w:sz w:val="20"/>
              </w:rPr>
              <w:t>行业影响力（20分）。参与过信息科技类国内相关行业协会、国家标准制定，获得国家信息安全服务资质，根据资质证书个数和参与标准制定个数，按个数总数进行排名。排名第一名20分，第二名15分，第三名10分。第三名以后5分。（需提供证明材料）</w:t>
            </w:r>
          </w:p>
          <w:p>
            <w:pPr>
              <w:spacing w:line="240" w:lineRule="auto"/>
              <w:ind w:firstLine="400"/>
              <w:jc w:val="left"/>
              <w:rPr>
                <w:rFonts w:hint="eastAsia" w:ascii="Times New Roman" w:cs="Times New Roman"/>
                <w:sz w:val="20"/>
              </w:rPr>
            </w:pPr>
            <w:r>
              <w:rPr>
                <w:rFonts w:ascii="Times New Roman" w:cs="Times New Roman"/>
                <w:sz w:val="20"/>
              </w:rPr>
              <w:t xml:space="preserve">3. </w:t>
            </w:r>
            <w:r>
              <w:rPr>
                <w:rFonts w:hint="eastAsia" w:ascii="Times New Roman" w:cs="Times New Roman"/>
                <w:sz w:val="20"/>
              </w:rPr>
              <w:t>监管合作经验（</w:t>
            </w:r>
            <w:r>
              <w:rPr>
                <w:rFonts w:ascii="Times New Roman" w:cs="Times New Roman"/>
                <w:sz w:val="20"/>
              </w:rPr>
              <w:t>1</w:t>
            </w:r>
            <w:r>
              <w:rPr>
                <w:rFonts w:hint="eastAsia" w:ascii="Times New Roman" w:cs="Times New Roman"/>
                <w:sz w:val="20"/>
              </w:rPr>
              <w:t>5分）。包括但不限于参与国家金融监管政策的制定，现场检查等合作。提供</w:t>
            </w:r>
            <w:r>
              <w:rPr>
                <w:rFonts w:ascii="Times New Roman" w:cs="Times New Roman"/>
                <w:sz w:val="20"/>
              </w:rPr>
              <w:t>2020</w:t>
            </w:r>
            <w:r>
              <w:rPr>
                <w:rFonts w:hint="eastAsia" w:ascii="Times New Roman" w:cs="Times New Roman"/>
                <w:sz w:val="20"/>
              </w:rPr>
              <w:t>年</w:t>
            </w:r>
            <w:r>
              <w:rPr>
                <w:rFonts w:ascii="Times New Roman" w:cs="Times New Roman"/>
                <w:sz w:val="20"/>
              </w:rPr>
              <w:t>1</w:t>
            </w:r>
            <w:r>
              <w:rPr>
                <w:rFonts w:hint="eastAsia" w:ascii="Times New Roman" w:cs="Times New Roman"/>
                <w:sz w:val="20"/>
              </w:rPr>
              <w:t>月</w:t>
            </w:r>
            <w:r>
              <w:rPr>
                <w:rFonts w:ascii="Times New Roman" w:cs="Times New Roman"/>
                <w:sz w:val="20"/>
              </w:rPr>
              <w:t>1</w:t>
            </w:r>
            <w:r>
              <w:rPr>
                <w:rFonts w:hint="eastAsia" w:ascii="Times New Roman" w:cs="Times New Roman"/>
                <w:sz w:val="20"/>
              </w:rPr>
              <w:t>日至比选截止时间止，相关案例，按个数进行排名。排名第一名的</w:t>
            </w:r>
            <w:r>
              <w:rPr>
                <w:rFonts w:ascii="Times New Roman" w:cs="Times New Roman"/>
                <w:sz w:val="20"/>
              </w:rPr>
              <w:t>1</w:t>
            </w:r>
            <w:r>
              <w:rPr>
                <w:rFonts w:hint="eastAsia" w:ascii="Times New Roman" w:cs="Times New Roman"/>
                <w:sz w:val="20"/>
              </w:rPr>
              <w:t>5分，第二名10分，第三名5分，第三名以后</w:t>
            </w:r>
            <w:r>
              <w:rPr>
                <w:rFonts w:ascii="Times New Roman" w:cs="Times New Roman"/>
                <w:sz w:val="20"/>
              </w:rPr>
              <w:t>2</w:t>
            </w:r>
            <w:r>
              <w:rPr>
                <w:rFonts w:hint="eastAsia" w:ascii="Times New Roman" w:cs="Times New Roman"/>
                <w:sz w:val="20"/>
              </w:rPr>
              <w:t>分。（需提供包括但不限于政策文件编撰人员附表、</w:t>
            </w:r>
            <w:r>
              <w:rPr>
                <w:rFonts w:hint="eastAsia" w:ascii="宋体" w:hAnsi="Cambria" w:cs="宋体"/>
                <w:kern w:val="0"/>
                <w:sz w:val="20"/>
                <w:lang w:val="zh-CN"/>
              </w:rPr>
              <w:t>监管机构结项通知单等</w:t>
            </w:r>
            <w:r>
              <w:rPr>
                <w:rFonts w:hint="eastAsia" w:ascii="Times New Roman" w:cs="Times New Roman"/>
                <w:sz w:val="20"/>
              </w:rPr>
              <w:t>证明材料）</w:t>
            </w:r>
          </w:p>
          <w:p>
            <w:pPr>
              <w:spacing w:line="240" w:lineRule="auto"/>
              <w:ind w:firstLine="400"/>
              <w:rPr>
                <w:rFonts w:hint="eastAsia" w:ascii="Times New Roman" w:cs="Times New Roman"/>
                <w:sz w:val="20"/>
              </w:rPr>
            </w:pPr>
            <w:r>
              <w:rPr>
                <w:rFonts w:hint="eastAsia" w:ascii="Times New Roman" w:cs="Times New Roman"/>
                <w:sz w:val="20"/>
              </w:rPr>
              <w:t>二、项目实施方案 （20分）</w:t>
            </w:r>
          </w:p>
          <w:p>
            <w:pPr>
              <w:spacing w:line="240" w:lineRule="auto"/>
              <w:ind w:firstLine="400"/>
              <w:rPr>
                <w:rFonts w:hint="eastAsia" w:ascii="Times New Roman" w:cs="Times New Roman"/>
                <w:sz w:val="20"/>
              </w:rPr>
            </w:pPr>
            <w:r>
              <w:rPr>
                <w:rFonts w:hint="eastAsia" w:ascii="Times New Roman" w:cs="Times New Roman"/>
                <w:sz w:val="20"/>
              </w:rPr>
              <w:t>项目实施方案内容包括但不限于：对比选人需求的理解、审计工作目标、审计内容与重点、审计程序及方法、审计组织与分工、审计时间安排、审计进度和审计质量安排等。</w:t>
            </w:r>
          </w:p>
          <w:p>
            <w:pPr>
              <w:spacing w:line="240" w:lineRule="auto"/>
              <w:ind w:firstLine="400"/>
              <w:rPr>
                <w:rFonts w:hint="eastAsia" w:ascii="Times New Roman" w:cs="Times New Roman"/>
                <w:sz w:val="20"/>
              </w:rPr>
            </w:pPr>
            <w:r>
              <w:rPr>
                <w:rFonts w:hint="eastAsia" w:ascii="Times New Roman" w:cs="Times New Roman"/>
                <w:sz w:val="20"/>
              </w:rPr>
              <w:t>评委根据比选人的服务方案情况，按以下标准进行打分：</w:t>
            </w:r>
          </w:p>
          <w:p>
            <w:pPr>
              <w:spacing w:line="240" w:lineRule="auto"/>
              <w:ind w:firstLine="400"/>
              <w:rPr>
                <w:rFonts w:hint="eastAsia" w:ascii="Times New Roman" w:cs="Times New Roman"/>
                <w:sz w:val="20"/>
              </w:rPr>
            </w:pPr>
            <w:r>
              <w:rPr>
                <w:rFonts w:hint="eastAsia" w:ascii="Times New Roman" w:cs="Times New Roman"/>
                <w:sz w:val="20"/>
              </w:rPr>
              <w:t>一档（</w:t>
            </w:r>
            <w:r>
              <w:rPr>
                <w:rFonts w:ascii="Times New Roman" w:cs="Times New Roman"/>
                <w:sz w:val="20"/>
              </w:rPr>
              <w:t>0-</w:t>
            </w:r>
            <w:r>
              <w:rPr>
                <w:rFonts w:hint="eastAsia" w:ascii="Times New Roman" w:cs="Times New Roman"/>
                <w:sz w:val="20"/>
              </w:rPr>
              <w:t>6分）：实施方案制定差（方案编制要素存在缺项、审计内容不全、重点不明确，审计程序及方法、审计组织与分工、审计时间安排不合理，质量管理措施不满足项目需求，信息安全保护措施存在缺陷），不符合审计需求的；</w:t>
            </w:r>
          </w:p>
          <w:p>
            <w:pPr>
              <w:spacing w:line="240" w:lineRule="auto"/>
              <w:ind w:firstLine="400"/>
              <w:rPr>
                <w:rFonts w:hint="eastAsia" w:ascii="Times New Roman" w:cs="Times New Roman"/>
                <w:sz w:val="20"/>
              </w:rPr>
            </w:pPr>
            <w:r>
              <w:rPr>
                <w:rFonts w:hint="eastAsia" w:ascii="Times New Roman" w:cs="Times New Roman"/>
                <w:sz w:val="20"/>
              </w:rPr>
              <w:t>二档（7-13分）：实施方案制定一般（方案符合要求、编制要素完整，审计内容较全面，审计程序及方法可行，审计组织与分工、审计时间安排能符合要求，质量管理措施能一般，信息安全保护措施一般），基本符合审计需求的；</w:t>
            </w:r>
          </w:p>
          <w:p>
            <w:pPr>
              <w:spacing w:line="240" w:lineRule="auto"/>
              <w:ind w:firstLine="400"/>
              <w:jc w:val="left"/>
              <w:rPr>
                <w:rFonts w:hint="eastAsia" w:ascii="Times New Roman" w:cs="Times New Roman"/>
                <w:sz w:val="20"/>
              </w:rPr>
            </w:pPr>
            <w:r>
              <w:rPr>
                <w:rFonts w:hint="eastAsia" w:ascii="Times New Roman" w:cs="Times New Roman"/>
                <w:sz w:val="20"/>
              </w:rPr>
              <w:t>三档（14-20分）：实施方案制定好（方案符合要求、科学合理，编制要素完整周全、审计内容全面、逻辑清晰、重点突出且把握准确，审计程序有效、方法得当，审计组织与分工明确，审计时间安排合理，质量管理措施有利于项目实施、信息安全保护措施有效性高，对数字化转型、项目绩效审计方面见解到位，完全符合审计需求的。</w:t>
            </w:r>
          </w:p>
          <w:p>
            <w:pPr>
              <w:spacing w:line="240" w:lineRule="auto"/>
              <w:ind w:firstLine="400"/>
              <w:rPr>
                <w:rFonts w:hint="eastAsia" w:ascii="Times New Roman" w:cs="Times New Roman"/>
                <w:sz w:val="20"/>
              </w:rPr>
            </w:pPr>
            <w:r>
              <w:rPr>
                <w:rFonts w:hint="eastAsia" w:ascii="Times New Roman" w:cs="Times New Roman"/>
                <w:sz w:val="20"/>
              </w:rPr>
              <w:t>三、实施团队资历（1</w:t>
            </w:r>
            <w:r>
              <w:rPr>
                <w:rFonts w:ascii="Times New Roman" w:cs="Times New Roman"/>
                <w:sz w:val="20"/>
              </w:rPr>
              <w:t>5</w:t>
            </w:r>
            <w:r>
              <w:rPr>
                <w:rFonts w:hint="eastAsia" w:ascii="Times New Roman" w:cs="Times New Roman"/>
                <w:sz w:val="20"/>
              </w:rPr>
              <w:t>分）</w:t>
            </w:r>
          </w:p>
          <w:p>
            <w:pPr>
              <w:spacing w:line="240" w:lineRule="auto"/>
              <w:ind w:firstLine="400"/>
              <w:rPr>
                <w:rFonts w:hint="eastAsia" w:ascii="Times New Roman" w:cs="Times New Roman"/>
                <w:sz w:val="20"/>
              </w:rPr>
            </w:pPr>
            <w:r>
              <w:rPr>
                <w:rFonts w:ascii="Times New Roman" w:cs="Times New Roman"/>
                <w:sz w:val="20"/>
              </w:rPr>
              <w:t>1.</w:t>
            </w:r>
            <w:r>
              <w:rPr>
                <w:rFonts w:hint="eastAsia" w:ascii="Times New Roman" w:cs="Times New Roman"/>
                <w:sz w:val="20"/>
              </w:rPr>
              <w:t>项目负责人（3分）：</w:t>
            </w:r>
            <w:r>
              <w:rPr>
                <w:rFonts w:ascii="Times New Roman" w:cs="Times New Roman"/>
                <w:sz w:val="20"/>
              </w:rPr>
              <w:t xml:space="preserve"> 10</w:t>
            </w:r>
            <w:r>
              <w:rPr>
                <w:rFonts w:hint="eastAsia" w:ascii="Times New Roman" w:cs="Times New Roman"/>
                <w:sz w:val="20"/>
              </w:rPr>
              <w:t>年以上信息科技咨询、审计等相关经验，并具备至少</w:t>
            </w:r>
            <w:r>
              <w:rPr>
                <w:rFonts w:ascii="Times New Roman" w:cs="Times New Roman"/>
                <w:sz w:val="20"/>
              </w:rPr>
              <w:t>5</w:t>
            </w:r>
            <w:r>
              <w:rPr>
                <w:rFonts w:hint="eastAsia" w:ascii="Times New Roman" w:cs="Times New Roman"/>
                <w:sz w:val="20"/>
              </w:rPr>
              <w:t>个银行业信息科技审计项目负责人经验。需持有</w:t>
            </w:r>
            <w:r>
              <w:rPr>
                <w:rFonts w:ascii="Times New Roman" w:cs="Times New Roman"/>
                <w:sz w:val="20"/>
              </w:rPr>
              <w:t>CISA</w:t>
            </w:r>
            <w:r>
              <w:rPr>
                <w:rFonts w:hint="eastAsia" w:ascii="Times New Roman" w:cs="Times New Roman"/>
                <w:sz w:val="20"/>
              </w:rPr>
              <w:t>、</w:t>
            </w:r>
            <w:r>
              <w:rPr>
                <w:rFonts w:ascii="Times New Roman" w:cs="Times New Roman"/>
                <w:sz w:val="20"/>
              </w:rPr>
              <w:t>CISSP</w:t>
            </w:r>
            <w:r>
              <w:rPr>
                <w:rFonts w:hint="eastAsia" w:ascii="Times New Roman" w:cs="Times New Roman"/>
                <w:sz w:val="20"/>
              </w:rPr>
              <w:t>、</w:t>
            </w:r>
            <w:r>
              <w:rPr>
                <w:rFonts w:ascii="Times New Roman" w:cs="Times New Roman"/>
                <w:sz w:val="20"/>
              </w:rPr>
              <w:t>CIA</w:t>
            </w:r>
            <w:r>
              <w:rPr>
                <w:rFonts w:hint="eastAsia" w:ascii="Times New Roman" w:cs="Times New Roman"/>
                <w:sz w:val="20"/>
              </w:rPr>
              <w:t>、</w:t>
            </w:r>
            <w:r>
              <w:rPr>
                <w:rFonts w:ascii="Times New Roman" w:cs="Times New Roman"/>
                <w:sz w:val="20"/>
              </w:rPr>
              <w:t>PMP</w:t>
            </w:r>
            <w:r>
              <w:rPr>
                <w:rFonts w:hint="eastAsia" w:ascii="Times New Roman" w:cs="Times New Roman"/>
                <w:sz w:val="20"/>
              </w:rPr>
              <w:t>、系统分析师、系统架构师证书中的一种或多种，从工作经验、同类项目数量、持证情况三个维度进行横向比较：</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1</w:t>
            </w:r>
            <w:r>
              <w:rPr>
                <w:rFonts w:hint="eastAsia" w:ascii="Times New Roman" w:cs="Times New Roman"/>
                <w:sz w:val="20"/>
              </w:rPr>
              <w:t>）工作经验（1分）：按项目负责人从事信息科技审计相关工作年限进行排名，第一名1分，第二名0.6分，第三名0.3分，第三名以后</w:t>
            </w:r>
            <w:r>
              <w:rPr>
                <w:rFonts w:ascii="Times New Roman" w:cs="Times New Roman"/>
                <w:sz w:val="20"/>
              </w:rPr>
              <w:t>0.</w:t>
            </w:r>
            <w:r>
              <w:rPr>
                <w:rFonts w:hint="eastAsia" w:ascii="Times New Roman" w:cs="Times New Roman"/>
                <w:sz w:val="20"/>
              </w:rPr>
              <w:t>1分；</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2</w:t>
            </w:r>
            <w:r>
              <w:rPr>
                <w:rFonts w:hint="eastAsia" w:ascii="Times New Roman" w:cs="Times New Roman"/>
                <w:sz w:val="20"/>
              </w:rPr>
              <w:t>）同类项目数量（1分）：按担任项目负责人的信息科技审计、咨询或评估类实施项目数量进行排名，第一名1分，第二名0.6分，第三名0.3分，第三名以后</w:t>
            </w:r>
            <w:r>
              <w:rPr>
                <w:rFonts w:ascii="Times New Roman" w:cs="Times New Roman"/>
                <w:sz w:val="20"/>
              </w:rPr>
              <w:t>0.</w:t>
            </w:r>
            <w:r>
              <w:rPr>
                <w:rFonts w:hint="eastAsia" w:ascii="Times New Roman" w:cs="Times New Roman"/>
                <w:sz w:val="20"/>
              </w:rPr>
              <w:t>1分；</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3</w:t>
            </w:r>
            <w:r>
              <w:rPr>
                <w:rFonts w:hint="eastAsia" w:ascii="Times New Roman" w:cs="Times New Roman"/>
                <w:sz w:val="20"/>
              </w:rPr>
              <w:t>）持证情况（1分）：按持有</w:t>
            </w:r>
            <w:r>
              <w:rPr>
                <w:rFonts w:ascii="Times New Roman" w:cs="Times New Roman"/>
                <w:sz w:val="20"/>
              </w:rPr>
              <w:t>CISA</w:t>
            </w:r>
            <w:r>
              <w:rPr>
                <w:rFonts w:hint="eastAsia" w:ascii="Times New Roman" w:cs="Times New Roman"/>
                <w:sz w:val="20"/>
              </w:rPr>
              <w:t>、</w:t>
            </w:r>
            <w:r>
              <w:rPr>
                <w:rFonts w:ascii="Times New Roman" w:cs="Times New Roman"/>
                <w:sz w:val="20"/>
              </w:rPr>
              <w:t>CISSP</w:t>
            </w:r>
            <w:r>
              <w:rPr>
                <w:rFonts w:hint="eastAsia" w:ascii="Times New Roman" w:cs="Times New Roman"/>
                <w:sz w:val="20"/>
              </w:rPr>
              <w:t>、</w:t>
            </w:r>
            <w:r>
              <w:rPr>
                <w:rFonts w:ascii="Times New Roman" w:cs="Times New Roman"/>
                <w:sz w:val="20"/>
              </w:rPr>
              <w:t>CIA</w:t>
            </w:r>
            <w:r>
              <w:rPr>
                <w:rFonts w:hint="eastAsia" w:ascii="Times New Roman" w:cs="Times New Roman"/>
                <w:sz w:val="20"/>
              </w:rPr>
              <w:t>、</w:t>
            </w:r>
            <w:r>
              <w:rPr>
                <w:rFonts w:ascii="Times New Roman" w:cs="Times New Roman"/>
                <w:sz w:val="20"/>
              </w:rPr>
              <w:t>PMP</w:t>
            </w:r>
            <w:r>
              <w:rPr>
                <w:rFonts w:hint="eastAsia" w:ascii="Times New Roman" w:cs="Times New Roman"/>
                <w:sz w:val="20"/>
              </w:rPr>
              <w:t>、系统分析师、系统架构师等相关资格证书数量进行排名，第一名1分，第二名0.6分，第三名0.3分，第三名以后</w:t>
            </w:r>
            <w:r>
              <w:rPr>
                <w:rFonts w:ascii="Times New Roman" w:cs="Times New Roman"/>
                <w:sz w:val="20"/>
              </w:rPr>
              <w:t>0.</w:t>
            </w:r>
            <w:r>
              <w:rPr>
                <w:rFonts w:hint="eastAsia" w:ascii="Times New Roman" w:cs="Times New Roman"/>
                <w:sz w:val="20"/>
              </w:rPr>
              <w:t>1分。</w:t>
            </w:r>
          </w:p>
          <w:p>
            <w:pPr>
              <w:spacing w:line="240" w:lineRule="auto"/>
              <w:ind w:firstLine="400"/>
              <w:rPr>
                <w:rFonts w:hint="eastAsia" w:ascii="Times New Roman" w:cs="Times New Roman"/>
                <w:sz w:val="20"/>
              </w:rPr>
            </w:pPr>
            <w:r>
              <w:rPr>
                <w:rFonts w:ascii="Times New Roman" w:cs="Times New Roman"/>
                <w:sz w:val="20"/>
              </w:rPr>
              <w:t>2.</w:t>
            </w:r>
            <w:r>
              <w:rPr>
                <w:rFonts w:hint="eastAsia" w:ascii="Times New Roman" w:cs="Times New Roman"/>
                <w:sz w:val="20"/>
              </w:rPr>
              <w:t>驻场项目负责人情况（9分</w:t>
            </w:r>
            <w:r>
              <w:rPr>
                <w:rFonts w:ascii="Times New Roman" w:cs="Times New Roman"/>
                <w:sz w:val="20"/>
              </w:rPr>
              <w:t>)</w:t>
            </w:r>
            <w:r>
              <w:rPr>
                <w:rFonts w:hint="eastAsia" w:ascii="Times New Roman" w:cs="Times New Roman"/>
                <w:sz w:val="20"/>
              </w:rPr>
              <w:t>：</w:t>
            </w:r>
            <w:r>
              <w:rPr>
                <w:rFonts w:ascii="Times New Roman" w:cs="Times New Roman"/>
                <w:sz w:val="20"/>
              </w:rPr>
              <w:t xml:space="preserve"> 8</w:t>
            </w:r>
            <w:r>
              <w:rPr>
                <w:rFonts w:hint="eastAsia" w:ascii="Times New Roman" w:cs="Times New Roman"/>
                <w:sz w:val="20"/>
              </w:rPr>
              <w:t>年以上信息科技咨询、审计等相关经验，并具备至少</w:t>
            </w:r>
            <w:r>
              <w:rPr>
                <w:rFonts w:ascii="Times New Roman" w:cs="Times New Roman"/>
                <w:sz w:val="20"/>
              </w:rPr>
              <w:t>5</w:t>
            </w:r>
            <w:r>
              <w:rPr>
                <w:rFonts w:hint="eastAsia" w:ascii="Times New Roman" w:cs="Times New Roman"/>
                <w:sz w:val="20"/>
              </w:rPr>
              <w:t>个银行业信息科技审计项目驻场负责人经验。需持有</w:t>
            </w:r>
            <w:r>
              <w:rPr>
                <w:rFonts w:ascii="Times New Roman" w:cs="Times New Roman"/>
                <w:sz w:val="20"/>
              </w:rPr>
              <w:t>CISA</w:t>
            </w:r>
            <w:r>
              <w:rPr>
                <w:rFonts w:hint="eastAsia" w:ascii="Times New Roman" w:cs="Times New Roman"/>
                <w:sz w:val="20"/>
              </w:rPr>
              <w:t>、</w:t>
            </w:r>
            <w:r>
              <w:rPr>
                <w:rFonts w:ascii="Times New Roman" w:cs="Times New Roman"/>
                <w:sz w:val="20"/>
              </w:rPr>
              <w:t>CISSP</w:t>
            </w:r>
            <w:r>
              <w:rPr>
                <w:rFonts w:hint="eastAsia" w:ascii="Times New Roman" w:cs="Times New Roman"/>
                <w:sz w:val="20"/>
              </w:rPr>
              <w:t>、</w:t>
            </w:r>
            <w:r>
              <w:rPr>
                <w:rFonts w:ascii="Times New Roman" w:cs="Times New Roman"/>
                <w:sz w:val="20"/>
              </w:rPr>
              <w:t>CIA</w:t>
            </w:r>
            <w:r>
              <w:rPr>
                <w:rFonts w:hint="eastAsia" w:ascii="Times New Roman" w:cs="Times New Roman"/>
                <w:sz w:val="20"/>
              </w:rPr>
              <w:t>、</w:t>
            </w:r>
            <w:r>
              <w:rPr>
                <w:rFonts w:ascii="Times New Roman" w:cs="Times New Roman"/>
                <w:sz w:val="20"/>
              </w:rPr>
              <w:t>PMP</w:t>
            </w:r>
            <w:r>
              <w:rPr>
                <w:rFonts w:hint="eastAsia" w:ascii="Times New Roman" w:cs="Times New Roman"/>
                <w:sz w:val="20"/>
              </w:rPr>
              <w:t>、系统分析师、系统架构师证书中的一种或多种，从工作经验、同类项目数量、持证情况三个维度进行横向比较：</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1</w:t>
            </w:r>
            <w:r>
              <w:rPr>
                <w:rFonts w:hint="eastAsia" w:ascii="Times New Roman" w:cs="Times New Roman"/>
                <w:sz w:val="20"/>
              </w:rPr>
              <w:t>）工作经验（3分）：按驻场项目负责人从事信息科技审计相关工作年限进行排名，第一名3分，第二名2分，第三名1分，第三名以后0.5分；</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2</w:t>
            </w:r>
            <w:r>
              <w:rPr>
                <w:rFonts w:hint="eastAsia" w:ascii="Times New Roman" w:cs="Times New Roman"/>
                <w:sz w:val="20"/>
              </w:rPr>
              <w:t>）同类项目数量（3分）：按担任驻场项目负责人的信息科技审计、咨询或评估类实施项目数量进行排名，第一名3分，第二2分，第三名1分，第三名以后0.5分；</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3</w:t>
            </w:r>
            <w:r>
              <w:rPr>
                <w:rFonts w:hint="eastAsia" w:ascii="Times New Roman" w:cs="Times New Roman"/>
                <w:sz w:val="20"/>
              </w:rPr>
              <w:t>）持证情况（3分）：按持有</w:t>
            </w:r>
            <w:r>
              <w:rPr>
                <w:rFonts w:ascii="Times New Roman" w:cs="Times New Roman"/>
                <w:sz w:val="20"/>
              </w:rPr>
              <w:t>CISA</w:t>
            </w:r>
            <w:r>
              <w:rPr>
                <w:rFonts w:hint="eastAsia" w:ascii="Times New Roman" w:cs="Times New Roman"/>
                <w:sz w:val="20"/>
              </w:rPr>
              <w:t>、</w:t>
            </w:r>
            <w:r>
              <w:rPr>
                <w:rFonts w:ascii="Times New Roman" w:cs="Times New Roman"/>
                <w:sz w:val="20"/>
              </w:rPr>
              <w:t>CISSP</w:t>
            </w:r>
            <w:r>
              <w:rPr>
                <w:rFonts w:hint="eastAsia" w:ascii="Times New Roman" w:cs="Times New Roman"/>
                <w:sz w:val="20"/>
              </w:rPr>
              <w:t>、</w:t>
            </w:r>
            <w:r>
              <w:rPr>
                <w:rFonts w:ascii="Times New Roman" w:cs="Times New Roman"/>
                <w:sz w:val="20"/>
              </w:rPr>
              <w:t>CIA</w:t>
            </w:r>
            <w:r>
              <w:rPr>
                <w:rFonts w:hint="eastAsia" w:ascii="Times New Roman" w:cs="Times New Roman"/>
                <w:sz w:val="20"/>
              </w:rPr>
              <w:t>、</w:t>
            </w:r>
            <w:r>
              <w:rPr>
                <w:rFonts w:ascii="Times New Roman" w:cs="Times New Roman"/>
                <w:sz w:val="20"/>
              </w:rPr>
              <w:t>PMP</w:t>
            </w:r>
            <w:r>
              <w:rPr>
                <w:rFonts w:hint="eastAsia" w:ascii="Times New Roman" w:cs="Times New Roman"/>
                <w:sz w:val="20"/>
              </w:rPr>
              <w:t>、系统分析师、系统架构师等相关资格证书数量进行排名，第一名3分，第二名2分，第三名1分，第三名以后0.5分。</w:t>
            </w:r>
          </w:p>
          <w:p>
            <w:pPr>
              <w:spacing w:line="240" w:lineRule="auto"/>
              <w:ind w:firstLine="400"/>
              <w:rPr>
                <w:rFonts w:hint="eastAsia" w:ascii="Times New Roman" w:cs="Times New Roman"/>
                <w:sz w:val="20"/>
              </w:rPr>
            </w:pPr>
            <w:r>
              <w:rPr>
                <w:rFonts w:ascii="Times New Roman" w:cs="Times New Roman"/>
                <w:sz w:val="20"/>
              </w:rPr>
              <w:t>3.</w:t>
            </w:r>
            <w:r>
              <w:rPr>
                <w:rFonts w:hint="eastAsia" w:ascii="Times New Roman" w:cs="Times New Roman"/>
                <w:sz w:val="20"/>
              </w:rPr>
              <w:t>项目组成员情况（3分）：</w:t>
            </w:r>
            <w:r>
              <w:rPr>
                <w:rFonts w:ascii="Times New Roman" w:cs="Times New Roman"/>
                <w:sz w:val="20"/>
              </w:rPr>
              <w:t>3</w:t>
            </w:r>
            <w:r>
              <w:rPr>
                <w:rFonts w:hint="eastAsia" w:ascii="Times New Roman" w:cs="Times New Roman"/>
                <w:sz w:val="20"/>
              </w:rPr>
              <w:t>年以上信息科技咨询、审计咨询经验，并参与过至少</w:t>
            </w:r>
            <w:r>
              <w:rPr>
                <w:rFonts w:ascii="Times New Roman" w:cs="Times New Roman"/>
                <w:sz w:val="20"/>
              </w:rPr>
              <w:t>3</w:t>
            </w:r>
            <w:r>
              <w:rPr>
                <w:rFonts w:hint="eastAsia" w:ascii="Times New Roman" w:cs="Times New Roman"/>
                <w:sz w:val="20"/>
              </w:rPr>
              <w:t>个银行业信息科技审计项目。（按照同一项目组成员的平均工作经验、同类项目数量和持证情况进行计算）</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1</w:t>
            </w:r>
            <w:r>
              <w:rPr>
                <w:rFonts w:hint="eastAsia" w:ascii="Times New Roman" w:cs="Times New Roman"/>
                <w:sz w:val="20"/>
              </w:rPr>
              <w:t>）工作经验（1分）：按从事信息科技审计相关工作年限进行排名，第一名1分，第二名0.6分，第三名0.3分，第三名以后</w:t>
            </w:r>
            <w:r>
              <w:rPr>
                <w:rFonts w:ascii="Times New Roman" w:cs="Times New Roman"/>
                <w:sz w:val="20"/>
              </w:rPr>
              <w:t>0.</w:t>
            </w:r>
            <w:r>
              <w:rPr>
                <w:rFonts w:hint="eastAsia" w:ascii="Times New Roman" w:cs="Times New Roman"/>
                <w:sz w:val="20"/>
              </w:rPr>
              <w:t>1分。</w:t>
            </w:r>
          </w:p>
          <w:p>
            <w:pPr>
              <w:spacing w:line="240" w:lineRule="auto"/>
              <w:ind w:firstLine="400"/>
              <w:rPr>
                <w:rFonts w:hint="eastAsia" w:ascii="Times New Roman" w:cs="Times New Roman"/>
                <w:sz w:val="20"/>
              </w:rPr>
            </w:pPr>
            <w:r>
              <w:rPr>
                <w:rFonts w:hint="eastAsia" w:ascii="Times New Roman" w:cs="Times New Roman"/>
                <w:sz w:val="20"/>
              </w:rPr>
              <w:t>（</w:t>
            </w:r>
            <w:r>
              <w:rPr>
                <w:rFonts w:ascii="Times New Roman" w:cs="Times New Roman"/>
                <w:sz w:val="20"/>
              </w:rPr>
              <w:t>2</w:t>
            </w:r>
            <w:r>
              <w:rPr>
                <w:rFonts w:hint="eastAsia" w:ascii="Times New Roman" w:cs="Times New Roman"/>
                <w:sz w:val="20"/>
              </w:rPr>
              <w:t>）同类项目数量（1分）：按担任驻场项目骨干成员的信息科技审计、咨询或评估类实施项目数量进行排名，第一名1分，第二名0.6分，第三名0.3分，第三名以后</w:t>
            </w:r>
            <w:r>
              <w:rPr>
                <w:rFonts w:ascii="Times New Roman" w:cs="Times New Roman"/>
                <w:sz w:val="20"/>
              </w:rPr>
              <w:t>0.</w:t>
            </w:r>
            <w:r>
              <w:rPr>
                <w:rFonts w:hint="eastAsia" w:ascii="Times New Roman" w:cs="Times New Roman"/>
                <w:sz w:val="20"/>
              </w:rPr>
              <w:t>1分。</w:t>
            </w:r>
          </w:p>
          <w:p>
            <w:pPr>
              <w:spacing w:line="240" w:lineRule="auto"/>
              <w:ind w:firstLine="400"/>
              <w:rPr>
                <w:rFonts w:hint="eastAsia" w:ascii="Times New Roman" w:cs="Times New Roman"/>
                <w:b/>
                <w:sz w:val="20"/>
                <w:szCs w:val="21"/>
              </w:rPr>
            </w:pPr>
            <w:r>
              <w:rPr>
                <w:rFonts w:hint="eastAsia" w:ascii="Times New Roman" w:cs="Times New Roman"/>
                <w:sz w:val="20"/>
              </w:rPr>
              <w:t>（</w:t>
            </w:r>
            <w:r>
              <w:rPr>
                <w:rFonts w:ascii="Times New Roman" w:cs="Times New Roman"/>
                <w:sz w:val="20"/>
              </w:rPr>
              <w:t>3</w:t>
            </w:r>
            <w:r>
              <w:rPr>
                <w:rFonts w:hint="eastAsia" w:ascii="Times New Roman" w:cs="Times New Roman"/>
                <w:sz w:val="20"/>
              </w:rPr>
              <w:t>）持证情况（1分）：按持有</w:t>
            </w:r>
            <w:r>
              <w:rPr>
                <w:rFonts w:ascii="Times New Roman" w:cs="Times New Roman"/>
                <w:sz w:val="20"/>
              </w:rPr>
              <w:t>CISA</w:t>
            </w:r>
            <w:r>
              <w:rPr>
                <w:rFonts w:hint="eastAsia" w:ascii="Times New Roman" w:cs="Times New Roman"/>
                <w:sz w:val="20"/>
              </w:rPr>
              <w:t>、</w:t>
            </w:r>
            <w:r>
              <w:rPr>
                <w:rFonts w:ascii="Times New Roman" w:cs="Times New Roman"/>
                <w:sz w:val="20"/>
              </w:rPr>
              <w:t>CISSP</w:t>
            </w:r>
            <w:r>
              <w:rPr>
                <w:rFonts w:hint="eastAsia" w:ascii="Times New Roman" w:cs="Times New Roman"/>
                <w:sz w:val="20"/>
              </w:rPr>
              <w:t>、</w:t>
            </w:r>
            <w:r>
              <w:rPr>
                <w:rFonts w:ascii="Times New Roman" w:cs="Times New Roman"/>
                <w:sz w:val="20"/>
              </w:rPr>
              <w:t>CIA</w:t>
            </w:r>
            <w:r>
              <w:rPr>
                <w:rFonts w:hint="eastAsia" w:ascii="Times New Roman" w:cs="Times New Roman"/>
                <w:sz w:val="20"/>
              </w:rPr>
              <w:t>、</w:t>
            </w:r>
            <w:r>
              <w:rPr>
                <w:rFonts w:ascii="Times New Roman" w:cs="Times New Roman"/>
                <w:sz w:val="20"/>
              </w:rPr>
              <w:t>PMP</w:t>
            </w:r>
            <w:r>
              <w:rPr>
                <w:rFonts w:hint="eastAsia" w:ascii="Times New Roman" w:cs="Times New Roman"/>
                <w:sz w:val="20"/>
              </w:rPr>
              <w:t>、系统分析师、系统架构师等相关资格证书数量进行排名，第一名1分，第二名0.6分，第三名0.3分，第三名以后</w:t>
            </w:r>
            <w:r>
              <w:rPr>
                <w:rFonts w:ascii="Times New Roman" w:cs="Times New Roman"/>
                <w:sz w:val="20"/>
              </w:rPr>
              <w:t>0.</w:t>
            </w:r>
            <w:r>
              <w:rPr>
                <w:rFonts w:hint="eastAsia" w:ascii="Times New Roman" w:cs="Times New Roman"/>
                <w:sz w:val="20"/>
              </w:rPr>
              <w:t>1分。</w:t>
            </w:r>
            <w:r>
              <w:rPr>
                <w:rFonts w:hint="eastAsia" w:ascii="Times New Roman" w:cs="Times New Roman"/>
                <w:b/>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sz w:val="21"/>
                <w:szCs w:val="21"/>
              </w:rPr>
              <w:t>3</w:t>
            </w:r>
          </w:p>
        </w:tc>
        <w:tc>
          <w:tcPr>
            <w:tcW w:w="1004" w:type="dxa"/>
            <w:vAlign w:val="center"/>
          </w:tcPr>
          <w:p>
            <w:pPr>
              <w:spacing w:line="360" w:lineRule="auto"/>
              <w:ind w:firstLine="0" w:firstLineChars="0"/>
              <w:jc w:val="center"/>
              <w:rPr>
                <w:rFonts w:ascii="宋体" w:hAnsi="宋体" w:cs="宋体"/>
                <w:kern w:val="0"/>
                <w:sz w:val="21"/>
                <w:szCs w:val="21"/>
              </w:rPr>
            </w:pPr>
            <w:r>
              <w:rPr>
                <w:rFonts w:hint="eastAsia" w:ascii="宋体" w:hAnsi="宋体" w:cs="宋体"/>
                <w:sz w:val="21"/>
                <w:szCs w:val="21"/>
              </w:rPr>
              <w:t>评审程序</w:t>
            </w:r>
          </w:p>
        </w:tc>
        <w:tc>
          <w:tcPr>
            <w:tcW w:w="7640" w:type="dxa"/>
            <w:gridSpan w:val="3"/>
          </w:tcPr>
          <w:p>
            <w:pPr>
              <w:spacing w:line="360" w:lineRule="auto"/>
              <w:ind w:firstLine="0" w:firstLineChars="0"/>
              <w:rPr>
                <w:rFonts w:ascii="宋体" w:hAnsi="宋体" w:cs="宋体"/>
                <w:sz w:val="21"/>
                <w:szCs w:val="21"/>
              </w:rPr>
            </w:pPr>
            <w:r>
              <w:rPr>
                <w:rFonts w:hint="eastAsia" w:ascii="宋体" w:hAnsi="宋体" w:cs="宋体"/>
                <w:sz w:val="21"/>
                <w:szCs w:val="21"/>
              </w:rPr>
              <w:t>1.初步评审前，按本章第3.1.3项的规定对参选报价有算术性错误的进行算术性错误修正。</w:t>
            </w:r>
          </w:p>
          <w:p>
            <w:pPr>
              <w:spacing w:line="360" w:lineRule="auto"/>
              <w:ind w:firstLine="0" w:firstLineChars="0"/>
              <w:rPr>
                <w:rFonts w:ascii="宋体" w:hAnsi="宋体" w:cs="宋体"/>
                <w:sz w:val="21"/>
                <w:szCs w:val="21"/>
              </w:rPr>
            </w:pPr>
            <w:r>
              <w:rPr>
                <w:rFonts w:hint="eastAsia" w:ascii="宋体" w:hAnsi="宋体" w:cs="宋体"/>
                <w:sz w:val="21"/>
                <w:szCs w:val="21"/>
              </w:rPr>
              <w:t>2.初步评审合格的参选文件进行详细评审。</w:t>
            </w:r>
          </w:p>
          <w:p>
            <w:pPr>
              <w:spacing w:line="360" w:lineRule="auto"/>
              <w:ind w:firstLine="0" w:firstLineChars="0"/>
              <w:rPr>
                <w:rFonts w:ascii="宋体" w:hAnsi="宋体" w:cs="宋体"/>
                <w:sz w:val="21"/>
                <w:szCs w:val="21"/>
              </w:rPr>
            </w:pPr>
            <w:r>
              <w:rPr>
                <w:rFonts w:hint="eastAsia" w:ascii="宋体" w:hAnsi="宋体" w:cs="宋体"/>
                <w:sz w:val="21"/>
                <w:szCs w:val="21"/>
              </w:rPr>
              <w:t>3.评审委员会对初步评审合格的参选文件进行详细评审，主观评审部分由各专家独立评审打分，最后取平均得分，保留2位小数。</w:t>
            </w:r>
          </w:p>
          <w:p>
            <w:pPr>
              <w:spacing w:line="360" w:lineRule="auto"/>
              <w:ind w:firstLine="0" w:firstLineChars="0"/>
              <w:rPr>
                <w:rFonts w:ascii="宋体" w:hAnsi="宋体" w:cs="宋体"/>
                <w:sz w:val="21"/>
                <w:szCs w:val="21"/>
              </w:rPr>
            </w:pPr>
            <w:r>
              <w:rPr>
                <w:rFonts w:hint="eastAsia" w:ascii="宋体" w:hAnsi="宋体" w:cs="宋体"/>
                <w:sz w:val="21"/>
                <w:szCs w:val="21"/>
              </w:rPr>
              <w:t>4.根据综合得分由高至低进行排序，推荐1-3家合格的中选候选人。并依次为第一、二、三中选候选人。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824" w:type="dxa"/>
            <w:gridSpan w:val="2"/>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3.2.3</w:t>
            </w:r>
          </w:p>
        </w:tc>
        <w:tc>
          <w:tcPr>
            <w:tcW w:w="1989" w:type="dxa"/>
            <w:gridSpan w:val="2"/>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参选人得分</w:t>
            </w:r>
          </w:p>
        </w:tc>
        <w:tc>
          <w:tcPr>
            <w:tcW w:w="5651" w:type="dxa"/>
            <w:vAlign w:val="center"/>
          </w:tcPr>
          <w:p>
            <w:pPr>
              <w:spacing w:line="360" w:lineRule="auto"/>
              <w:ind w:firstLine="0" w:firstLineChars="0"/>
              <w:jc w:val="center"/>
              <w:rPr>
                <w:rFonts w:ascii="宋体" w:hAnsi="宋体" w:cs="宋体"/>
                <w:sz w:val="21"/>
                <w:szCs w:val="21"/>
              </w:rPr>
            </w:pPr>
            <w:r>
              <w:rPr>
                <w:rFonts w:hint="eastAsia" w:ascii="宋体" w:hAnsi="宋体" w:cs="宋体"/>
                <w:sz w:val="21"/>
                <w:szCs w:val="21"/>
              </w:rPr>
              <w:t>参选人得分=参选报价得分+商务部分得分</w:t>
            </w:r>
          </w:p>
        </w:tc>
      </w:tr>
      <w:bookmarkEnd w:id="73"/>
    </w:tbl>
    <w:p>
      <w:pPr>
        <w:ind w:firstLine="420"/>
        <w:rPr>
          <w:rFonts w:ascii="宋体" w:hAnsi="宋体" w:cs="宋体"/>
          <w:snapToGrid w:val="0"/>
          <w:sz w:val="21"/>
          <w:szCs w:val="21"/>
        </w:rPr>
      </w:pPr>
      <w:bookmarkStart w:id="74" w:name="_Toc636"/>
      <w:bookmarkStart w:id="75" w:name="_Toc21111"/>
      <w:r>
        <w:rPr>
          <w:rFonts w:hint="eastAsia" w:ascii="宋体" w:hAnsi="宋体" w:cs="宋体"/>
          <w:snapToGrid w:val="0"/>
          <w:sz w:val="21"/>
          <w:szCs w:val="21"/>
        </w:rPr>
        <w:br w:type="page"/>
      </w:r>
    </w:p>
    <w:p>
      <w:pPr>
        <w:pStyle w:val="4"/>
      </w:pPr>
      <w:bookmarkStart w:id="76" w:name="_Toc27234"/>
      <w:bookmarkStart w:id="77" w:name="_Toc18283"/>
      <w:bookmarkStart w:id="78" w:name="_Toc28684"/>
      <w:r>
        <w:rPr>
          <w:rFonts w:hint="eastAsia"/>
        </w:rPr>
        <w:t>1. 评审方法</w:t>
      </w:r>
      <w:bookmarkEnd w:id="74"/>
      <w:bookmarkEnd w:id="75"/>
      <w:bookmarkEnd w:id="76"/>
      <w:bookmarkEnd w:id="77"/>
      <w:bookmarkEnd w:id="78"/>
    </w:p>
    <w:p>
      <w:pPr>
        <w:ind w:firstLine="480"/>
        <w:rPr>
          <w:rFonts w:hint="eastAsia"/>
        </w:rPr>
      </w:pPr>
      <w:bookmarkStart w:id="79" w:name="_Toc224103385"/>
      <w:bookmarkStart w:id="80" w:name="_Toc287620752"/>
      <w:bookmarkStart w:id="81" w:name="_Toc330569206"/>
      <w:bookmarkStart w:id="82" w:name="_Toc200513199"/>
      <w:bookmarkStart w:id="83" w:name="_Toc377067339"/>
      <w:bookmarkStart w:id="84" w:name="_Toc376114120"/>
      <w:bookmarkStart w:id="85" w:name="_Toc440022827"/>
      <w:bookmarkStart w:id="86" w:name="_Toc287607813"/>
      <w:bookmarkStart w:id="87" w:name="_Toc377115419"/>
      <w:bookmarkStart w:id="88" w:name="_Toc407195379"/>
      <w:bookmarkStart w:id="89" w:name="_Toc277082619"/>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4"/>
      </w:pPr>
      <w:bookmarkStart w:id="90" w:name="_Toc23969"/>
      <w:bookmarkStart w:id="91" w:name="_Toc27931"/>
      <w:bookmarkStart w:id="92" w:name="_Toc2274"/>
      <w:bookmarkStart w:id="93" w:name="_Toc16716"/>
      <w:bookmarkStart w:id="94" w:name="_Toc444155968"/>
      <w:bookmarkStart w:id="95" w:name="_Toc27406"/>
      <w:bookmarkStart w:id="96" w:name="_Toc765"/>
      <w:bookmarkStart w:id="97" w:name="_Toc5950"/>
      <w:bookmarkStart w:id="98" w:name="_Toc31615"/>
      <w:r>
        <w:rPr>
          <w:rFonts w:hint="eastAsia"/>
        </w:rPr>
        <w:t>2. 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Style w:val="5"/>
        <w:rPr>
          <w:rFonts w:hint="eastAsia"/>
        </w:rPr>
      </w:pPr>
      <w:bookmarkStart w:id="99" w:name="_Toc376114121"/>
      <w:bookmarkStart w:id="100" w:name="_Toc200513200"/>
      <w:bookmarkStart w:id="101" w:name="_Toc23425"/>
      <w:bookmarkStart w:id="102" w:name="_Toc277082620"/>
      <w:bookmarkStart w:id="103" w:name="_Toc224103386"/>
      <w:bookmarkStart w:id="104" w:name="_Toc330569207"/>
      <w:bookmarkStart w:id="105" w:name="_Toc287620753"/>
      <w:bookmarkStart w:id="106" w:name="_Toc377115420"/>
      <w:bookmarkStart w:id="107" w:name="_Toc1358"/>
      <w:bookmarkStart w:id="108" w:name="_Toc7584"/>
      <w:bookmarkStart w:id="109" w:name="_Toc444155969"/>
      <w:bookmarkStart w:id="110" w:name="_Toc287607814"/>
      <w:bookmarkStart w:id="111" w:name="_Toc11839"/>
      <w:bookmarkStart w:id="112" w:name="_Toc377067340"/>
      <w:bookmarkStart w:id="113" w:name="_Toc440022828"/>
      <w:bookmarkStart w:id="114" w:name="_Toc16537"/>
      <w:bookmarkStart w:id="115" w:name="_Toc407195380"/>
      <w:bookmarkStart w:id="116" w:name="_Toc10533"/>
      <w:bookmarkStart w:id="117" w:name="_Toc21593"/>
      <w:r>
        <w:rPr>
          <w:rFonts w:hint="eastAsia"/>
        </w:rPr>
        <w:t>2.1 初步评审标准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ind w:firstLine="480"/>
        <w:rPr>
          <w:rFonts w:hint="eastAsia"/>
        </w:rPr>
      </w:pPr>
      <w:r>
        <w:rPr>
          <w:rFonts w:hint="eastAsia"/>
        </w:rPr>
        <w:t>2.1.1 资格评审标准：见评审办法前附表。</w:t>
      </w:r>
    </w:p>
    <w:p>
      <w:pPr>
        <w:ind w:firstLine="480"/>
        <w:rPr>
          <w:rFonts w:hint="eastAsia"/>
        </w:rPr>
      </w:pPr>
      <w:r>
        <w:rPr>
          <w:rFonts w:hint="eastAsia"/>
        </w:rPr>
        <w:t>2.1.2 形式评审标准：见评审办法前附表。</w:t>
      </w:r>
    </w:p>
    <w:p>
      <w:pPr>
        <w:ind w:firstLine="480"/>
        <w:rPr>
          <w:rFonts w:hint="eastAsia"/>
        </w:rPr>
      </w:pPr>
      <w:r>
        <w:rPr>
          <w:rFonts w:hint="eastAsia"/>
        </w:rPr>
        <w:t>2.1.3 响应性评审标准：见评审办法前附表。</w:t>
      </w:r>
    </w:p>
    <w:p>
      <w:pPr>
        <w:pStyle w:val="5"/>
        <w:rPr>
          <w:rFonts w:hint="eastAsia"/>
        </w:rPr>
      </w:pPr>
      <w:bookmarkStart w:id="118" w:name="_Toc20840"/>
      <w:bookmarkStart w:id="119" w:name="_Toc1387"/>
      <w:bookmarkStart w:id="120" w:name="_Toc25129"/>
      <w:bookmarkStart w:id="121" w:name="_Toc377067341"/>
      <w:bookmarkStart w:id="122" w:name="_Toc440022829"/>
      <w:bookmarkStart w:id="123" w:name="_Toc376114122"/>
      <w:bookmarkStart w:id="124" w:name="_Toc2340"/>
      <w:bookmarkStart w:id="125" w:name="_Toc407195381"/>
      <w:bookmarkStart w:id="126" w:name="_Toc330569208"/>
      <w:bookmarkStart w:id="127" w:name="_Toc287620754"/>
      <w:bookmarkStart w:id="128" w:name="_Toc287607815"/>
      <w:bookmarkStart w:id="129" w:name="_Toc277082621"/>
      <w:bookmarkStart w:id="130" w:name="_Toc444155970"/>
      <w:bookmarkStart w:id="131" w:name="_Toc23296"/>
      <w:bookmarkStart w:id="132" w:name="_Toc6503"/>
      <w:bookmarkStart w:id="133" w:name="_Toc9090"/>
      <w:bookmarkStart w:id="134" w:name="_Toc200513201"/>
      <w:bookmarkStart w:id="135" w:name="_Toc377115421"/>
      <w:bookmarkStart w:id="136" w:name="_Toc224103387"/>
      <w:r>
        <w:rPr>
          <w:rFonts w:hint="eastAsia"/>
        </w:rPr>
        <w:t>2.2 分值构成与评分标准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ind w:firstLine="480"/>
        <w:rPr>
          <w:rFonts w:hint="eastAsia"/>
        </w:rPr>
      </w:pPr>
      <w:r>
        <w:rPr>
          <w:rFonts w:hint="eastAsia"/>
        </w:rPr>
        <w:t xml:space="preserve">2.2.1 分值构成：见评审办法前附表。 </w:t>
      </w:r>
    </w:p>
    <w:p>
      <w:pPr>
        <w:ind w:firstLine="480"/>
        <w:rPr>
          <w:rFonts w:hint="eastAsia"/>
        </w:rPr>
      </w:pPr>
      <w:r>
        <w:rPr>
          <w:rFonts w:hint="eastAsia"/>
        </w:rPr>
        <w:t>2.2.2 评审基准价计算方法：见评审办法前附表。</w:t>
      </w:r>
    </w:p>
    <w:p>
      <w:pPr>
        <w:ind w:firstLine="480"/>
        <w:rPr>
          <w:rFonts w:hint="eastAsia"/>
        </w:rPr>
      </w:pPr>
      <w:r>
        <w:rPr>
          <w:rFonts w:hint="eastAsia"/>
        </w:rPr>
        <w:t>2.2.3 评分标准：</w:t>
      </w:r>
    </w:p>
    <w:p>
      <w:pPr>
        <w:ind w:firstLine="480"/>
        <w:rPr>
          <w:rFonts w:hint="eastAsia"/>
        </w:rPr>
      </w:pPr>
      <w:r>
        <w:rPr>
          <w:rFonts w:hint="eastAsia"/>
        </w:rPr>
        <w:t>（1）参选报价评分标准：见评审办法前附表；</w:t>
      </w:r>
    </w:p>
    <w:p>
      <w:pPr>
        <w:ind w:firstLine="480"/>
        <w:rPr>
          <w:rFonts w:hint="eastAsia"/>
        </w:rPr>
      </w:pPr>
      <w:r>
        <w:rPr>
          <w:rFonts w:hint="eastAsia"/>
        </w:rPr>
        <w:t>（2）商务部分评分标准：见评审办法前附表；</w:t>
      </w:r>
    </w:p>
    <w:p>
      <w:pPr>
        <w:pStyle w:val="4"/>
      </w:pPr>
      <w:bookmarkStart w:id="137" w:name="_Toc330569209"/>
      <w:bookmarkStart w:id="138" w:name="_Toc12538"/>
      <w:bookmarkStart w:id="139" w:name="_Toc15132"/>
      <w:bookmarkStart w:id="140" w:name="_Toc287620755"/>
      <w:bookmarkStart w:id="141" w:name="_Toc287607816"/>
      <w:bookmarkStart w:id="142" w:name="_Toc440022830"/>
      <w:bookmarkStart w:id="143" w:name="_Toc23633"/>
      <w:bookmarkStart w:id="144" w:name="_Toc9488"/>
      <w:bookmarkStart w:id="145" w:name="_Toc5546"/>
      <w:bookmarkStart w:id="146" w:name="_Toc8004"/>
      <w:bookmarkStart w:id="147" w:name="_Toc377115422"/>
      <w:bookmarkStart w:id="148" w:name="_Toc200513202"/>
      <w:bookmarkStart w:id="149" w:name="_Toc277082622"/>
      <w:bookmarkStart w:id="150" w:name="_Toc14353"/>
      <w:bookmarkStart w:id="151" w:name="_Toc377067342"/>
      <w:bookmarkStart w:id="152" w:name="_Toc444155971"/>
      <w:bookmarkStart w:id="153" w:name="_Toc376114123"/>
      <w:bookmarkStart w:id="154" w:name="_Toc407195382"/>
      <w:bookmarkStart w:id="155" w:name="_Toc2982"/>
      <w:bookmarkStart w:id="156" w:name="_Toc224103388"/>
      <w:r>
        <w:rPr>
          <w:rFonts w:hint="eastAsia"/>
        </w:rPr>
        <w:t>3. 评审程序</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rPr>
          <w:rFonts w:hint="eastAsia"/>
        </w:rPr>
      </w:pPr>
      <w:bookmarkStart w:id="157" w:name="_Toc200513203"/>
      <w:bookmarkStart w:id="158" w:name="_Toc13851"/>
      <w:bookmarkStart w:id="159" w:name="_Toc22279"/>
      <w:bookmarkStart w:id="160" w:name="_Toc376114124"/>
      <w:bookmarkStart w:id="161" w:name="_Toc377115423"/>
      <w:bookmarkStart w:id="162" w:name="_Toc377067343"/>
      <w:bookmarkStart w:id="163" w:name="_Toc277082623"/>
      <w:bookmarkStart w:id="164" w:name="_Toc6448"/>
      <w:bookmarkStart w:id="165" w:name="_Toc224103389"/>
      <w:bookmarkStart w:id="166" w:name="_Toc32002"/>
      <w:bookmarkStart w:id="167" w:name="_Toc407195383"/>
      <w:bookmarkStart w:id="168" w:name="_Toc287620756"/>
      <w:bookmarkStart w:id="169" w:name="_Toc19840"/>
      <w:bookmarkStart w:id="170" w:name="_Toc9683"/>
      <w:bookmarkStart w:id="171" w:name="_Toc5462"/>
      <w:bookmarkStart w:id="172" w:name="_Toc440022831"/>
      <w:bookmarkStart w:id="173" w:name="_Toc330569210"/>
      <w:bookmarkStart w:id="174" w:name="_Toc444155972"/>
      <w:bookmarkStart w:id="175" w:name="_Toc287607817"/>
      <w:r>
        <w:rPr>
          <w:rFonts w:hint="eastAsia"/>
        </w:rPr>
        <w:t>3.1 初步评审</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ind w:firstLine="480"/>
        <w:rPr>
          <w:rFonts w:hint="eastAsia"/>
        </w:rPr>
      </w:pPr>
      <w:bookmarkStart w:id="176" w:name="_Toc373172234"/>
      <w:bookmarkStart w:id="177" w:name="_Toc332380970"/>
      <w:bookmarkStart w:id="178" w:name="_Toc376114125"/>
      <w:bookmarkStart w:id="179" w:name="_Toc407195384"/>
      <w:bookmarkStart w:id="180" w:name="_Toc377115424"/>
      <w:bookmarkStart w:id="181" w:name="_Toc356484119"/>
      <w:bookmarkStart w:id="182" w:name="_Toc331232467"/>
      <w:bookmarkStart w:id="183" w:name="_Toc354387014"/>
      <w:bookmarkStart w:id="184" w:name="_Toc332028970"/>
      <w:bookmarkStart w:id="185" w:name="_Toc444155973"/>
      <w:bookmarkStart w:id="186" w:name="_Toc27164"/>
      <w:bookmarkStart w:id="187" w:name="_Toc334002333"/>
      <w:bookmarkStart w:id="188" w:name="_Toc331232649"/>
      <w:bookmarkStart w:id="189" w:name="_Toc373264792"/>
      <w:bookmarkStart w:id="190" w:name="_Toc440022832"/>
      <w:bookmarkStart w:id="191" w:name="_Toc330569211"/>
      <w:bookmarkStart w:id="192" w:name="_Toc356243677"/>
      <w:bookmarkStart w:id="193" w:name="_Toc377067344"/>
      <w:bookmarkStart w:id="194" w:name="_Toc332015984"/>
      <w:r>
        <w:rPr>
          <w:rFonts w:hint="eastAsia"/>
        </w:rPr>
        <w:t>3.1.1 评审委员会依据本章第2.1 条规定的标准对参选文件进行初步评审。有一项不符合评审标准的，作否决参选处理。</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0"/>
        <w:rPr>
          <w:rFonts w:hint="eastAsia"/>
        </w:rPr>
      </w:pPr>
      <w:r>
        <w:rPr>
          <w:rFonts w:hint="eastAsia"/>
        </w:rPr>
        <w:t>3.1.2 参选人有以下情形之一的，其参选作否决参选处理：</w:t>
      </w:r>
    </w:p>
    <w:p>
      <w:pPr>
        <w:ind w:firstLine="480"/>
        <w:rPr>
          <w:rFonts w:hint="eastAsia"/>
        </w:rPr>
      </w:pPr>
      <w:r>
        <w:rPr>
          <w:rFonts w:hint="eastAsia"/>
        </w:rPr>
        <w:t>3.1.2.1 有第二章“参选人须知”第9.条以及第11. 条规定的任何一种情形的；</w:t>
      </w:r>
    </w:p>
    <w:p>
      <w:pPr>
        <w:ind w:firstLine="480"/>
        <w:rPr>
          <w:rFonts w:hint="eastAsia"/>
        </w:rPr>
      </w:pPr>
      <w:r>
        <w:rPr>
          <w:rFonts w:hint="eastAsia"/>
        </w:rPr>
        <w:t>3.1.2.2 有串通参选、弄虚作假等其他违反相关法律、法规行为的；</w:t>
      </w:r>
    </w:p>
    <w:p>
      <w:pPr>
        <w:ind w:firstLine="480"/>
        <w:rPr>
          <w:rFonts w:hint="eastAsia"/>
        </w:rPr>
      </w:pPr>
      <w:r>
        <w:rPr>
          <w:rFonts w:hint="eastAsia"/>
        </w:rPr>
        <w:t>3.1.2.3 不按评审委员会要求澄清、说明或补正的。</w:t>
      </w:r>
    </w:p>
    <w:p>
      <w:pPr>
        <w:ind w:firstLine="480"/>
        <w:rPr>
          <w:rFonts w:hint="eastAsia"/>
        </w:rPr>
      </w:pPr>
      <w:r>
        <w:rPr>
          <w:rFonts w:hint="eastAsia"/>
        </w:rPr>
        <w:t>3.1.2.4 本参选文件约定的其它情形。</w:t>
      </w:r>
    </w:p>
    <w:p>
      <w:pPr>
        <w:ind w:firstLine="480"/>
        <w:rPr>
          <w:rFonts w:hint="eastAsia"/>
        </w:rPr>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pPr>
        <w:pStyle w:val="5"/>
        <w:rPr>
          <w:rFonts w:hint="eastAsia"/>
        </w:rPr>
      </w:pPr>
      <w:bookmarkStart w:id="195" w:name="_Toc200513204"/>
      <w:bookmarkStart w:id="196" w:name="_Toc277082624"/>
      <w:bookmarkStart w:id="197" w:name="_Toc377067345"/>
      <w:bookmarkStart w:id="198" w:name="_Toc287607818"/>
      <w:bookmarkStart w:id="199" w:name="_Toc224103390"/>
      <w:bookmarkStart w:id="200" w:name="_Toc377115425"/>
      <w:bookmarkStart w:id="201" w:name="_Toc11246"/>
      <w:bookmarkStart w:id="202" w:name="_Toc19604"/>
      <w:bookmarkStart w:id="203" w:name="_Toc10847"/>
      <w:bookmarkStart w:id="204" w:name="_Toc330569212"/>
      <w:bookmarkStart w:id="205" w:name="_Toc22848"/>
      <w:bookmarkStart w:id="206" w:name="_Toc440022833"/>
      <w:bookmarkStart w:id="207" w:name="_Toc407195385"/>
      <w:bookmarkStart w:id="208" w:name="_Toc29925"/>
      <w:bookmarkStart w:id="209" w:name="_Toc287620757"/>
      <w:bookmarkStart w:id="210" w:name="_Toc376114126"/>
      <w:bookmarkStart w:id="211" w:name="_Toc7832"/>
      <w:bookmarkStart w:id="212" w:name="_Toc444155974"/>
      <w:bookmarkStart w:id="213" w:name="_Toc22246"/>
      <w:r>
        <w:rPr>
          <w:rFonts w:hint="eastAsia"/>
        </w:rPr>
        <w:t>3.2 详细评审</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ind w:firstLine="480"/>
        <w:rPr>
          <w:rFonts w:hint="eastAsia"/>
        </w:rPr>
      </w:pPr>
      <w:r>
        <w:rPr>
          <w:rFonts w:hint="eastAsia"/>
        </w:rPr>
        <w:t>3.2.1 评审委员会按本章第2.2 条规定的量化因素和分值进行打分，并计算出综合评估得分。</w:t>
      </w:r>
    </w:p>
    <w:p>
      <w:pPr>
        <w:ind w:firstLine="480"/>
        <w:rPr>
          <w:rFonts w:hint="eastAsia"/>
        </w:rPr>
      </w:pPr>
      <w:r>
        <w:rPr>
          <w:rFonts w:hint="eastAsia"/>
        </w:rPr>
        <w:t>3.2.1.1 按本章第2.2 条规定的评审因素和分值对参选报价计算出得分；</w:t>
      </w:r>
    </w:p>
    <w:p>
      <w:pPr>
        <w:ind w:firstLine="480"/>
        <w:rPr>
          <w:rFonts w:hint="eastAsia"/>
        </w:rPr>
      </w:pPr>
      <w:r>
        <w:rPr>
          <w:rFonts w:hint="eastAsia"/>
        </w:rPr>
        <w:t>3.2.1.2 按本章第2.2 条规定的评审因素和分值对商务部分计算出得分（评审委员会统一打分）；</w:t>
      </w:r>
    </w:p>
    <w:p>
      <w:pPr>
        <w:ind w:firstLine="480"/>
        <w:rPr>
          <w:rFonts w:hint="eastAsia"/>
        </w:rPr>
      </w:pPr>
      <w:r>
        <w:rPr>
          <w:rFonts w:hint="eastAsia"/>
        </w:rPr>
        <w:t>3.2.2 评分分值计算保留小数点后两位，小数点后第三位“四舍五入”。</w:t>
      </w:r>
    </w:p>
    <w:p>
      <w:pPr>
        <w:ind w:firstLine="480"/>
        <w:rPr>
          <w:rFonts w:hint="eastAsia"/>
        </w:rPr>
      </w:pPr>
      <w:r>
        <w:rPr>
          <w:rFonts w:hint="eastAsia"/>
        </w:rPr>
        <w:t>3.2.3 参选人得分=参选报价得分+商务部分得分。</w:t>
      </w:r>
    </w:p>
    <w:p>
      <w:pPr>
        <w:pStyle w:val="5"/>
        <w:rPr>
          <w:rFonts w:hint="eastAsia"/>
        </w:rPr>
      </w:pPr>
      <w:bookmarkStart w:id="214" w:name="_Toc200513205"/>
      <w:bookmarkStart w:id="215" w:name="_Toc20948"/>
      <w:bookmarkStart w:id="216" w:name="_Toc376114127"/>
      <w:bookmarkStart w:id="217" w:name="_Toc444155975"/>
      <w:bookmarkStart w:id="218" w:name="_Toc377115426"/>
      <w:bookmarkStart w:id="219" w:name="_Toc224103391"/>
      <w:bookmarkStart w:id="220" w:name="_Toc287607819"/>
      <w:bookmarkStart w:id="221" w:name="_Toc29261"/>
      <w:bookmarkStart w:id="222" w:name="_Toc287620758"/>
      <w:bookmarkStart w:id="223" w:name="_Toc407195386"/>
      <w:bookmarkStart w:id="224" w:name="_Toc377067346"/>
      <w:bookmarkStart w:id="225" w:name="_Toc32039"/>
      <w:bookmarkStart w:id="226" w:name="_Toc277082625"/>
      <w:bookmarkStart w:id="227" w:name="_Toc18708"/>
      <w:bookmarkStart w:id="228" w:name="_Toc2542"/>
      <w:bookmarkStart w:id="229" w:name="_Toc7176"/>
      <w:bookmarkStart w:id="230" w:name="_Toc440022834"/>
      <w:bookmarkStart w:id="231" w:name="_Toc1080"/>
      <w:bookmarkStart w:id="232" w:name="_Toc330569213"/>
      <w:r>
        <w:rPr>
          <w:rFonts w:hint="eastAsia"/>
        </w:rPr>
        <w:t>3.3 参选文件的澄清和补正</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ind w:firstLine="480"/>
        <w:rPr>
          <w:rFonts w:hint="eastAsia"/>
        </w:rPr>
      </w:pPr>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pPr>
        <w:ind w:firstLine="480"/>
        <w:rPr>
          <w:rFonts w:hint="eastAsia"/>
        </w:rPr>
      </w:pPr>
      <w:r>
        <w:rPr>
          <w:rFonts w:hint="eastAsia"/>
        </w:rPr>
        <w:t>3.3.2 澄清、说明和补正不得改变参选文件的实质性内容（算术性错误修正的除外）。参选人的书面澄清、说明和补正属于参选文件的组成部分。</w:t>
      </w:r>
    </w:p>
    <w:p>
      <w:pPr>
        <w:ind w:firstLine="480"/>
        <w:rPr>
          <w:rFonts w:hint="eastAsia"/>
        </w:rPr>
      </w:pPr>
      <w:r>
        <w:rPr>
          <w:rFonts w:hint="eastAsia"/>
        </w:rPr>
        <w:t>3.3.3 评审委员会对参选人提交的澄清、说明或补正有疑问的，可以要求参选人进一步澄清、说明或补正，直至满足评审委员会的要求。</w:t>
      </w:r>
    </w:p>
    <w:p>
      <w:pPr>
        <w:pStyle w:val="5"/>
        <w:rPr>
          <w:rFonts w:hint="eastAsia"/>
        </w:rPr>
      </w:pPr>
      <w:bookmarkStart w:id="233" w:name="_Toc376114128"/>
      <w:bookmarkStart w:id="234" w:name="_Toc21450"/>
      <w:bookmarkStart w:id="235" w:name="_Toc19054"/>
      <w:bookmarkStart w:id="236" w:name="_Toc330569214"/>
      <w:bookmarkStart w:id="237" w:name="_Toc440022835"/>
      <w:bookmarkStart w:id="238" w:name="_Toc14840"/>
      <w:bookmarkStart w:id="239" w:name="_Toc407195387"/>
      <w:bookmarkStart w:id="240" w:name="_Toc30672"/>
      <w:bookmarkStart w:id="241" w:name="_Toc6310"/>
      <w:bookmarkStart w:id="242" w:name="_Toc4814"/>
      <w:bookmarkStart w:id="243" w:name="_Toc287607820"/>
      <w:bookmarkStart w:id="244" w:name="_Toc224103392"/>
      <w:bookmarkStart w:id="245" w:name="_Toc287620759"/>
      <w:bookmarkStart w:id="246" w:name="_Toc200513206"/>
      <w:bookmarkStart w:id="247" w:name="_Toc444155976"/>
      <w:bookmarkStart w:id="248" w:name="_Toc277082626"/>
      <w:bookmarkStart w:id="249" w:name="_Toc31270"/>
      <w:bookmarkStart w:id="250" w:name="_Toc377115427"/>
      <w:bookmarkStart w:id="251" w:name="_Toc377067347"/>
      <w:r>
        <w:rPr>
          <w:rFonts w:hint="eastAsia"/>
        </w:rPr>
        <w:t>3.4 评审结果</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ind w:firstLine="480"/>
        <w:rPr>
          <w:rFonts w:hint="eastAsia"/>
        </w:rPr>
      </w:pPr>
      <w:r>
        <w:rPr>
          <w:rFonts w:hint="eastAsia"/>
        </w:rPr>
        <w:t>3.4.1 评审委员会按照得分由高到低的顺序推荐中选候选人。</w:t>
      </w:r>
    </w:p>
    <w:p>
      <w:pPr>
        <w:ind w:firstLine="480"/>
        <w:rPr>
          <w:rFonts w:hint="eastAsia"/>
        </w:rPr>
      </w:pPr>
      <w:r>
        <w:rPr>
          <w:rFonts w:hint="eastAsia"/>
        </w:rPr>
        <w:t>3.4.2 评审委员会完成评审后，应当向比选人提交书面评审报告。</w:t>
      </w:r>
    </w:p>
    <w:p>
      <w:pPr>
        <w:ind w:firstLine="480"/>
        <w:rPr>
          <w:rFonts w:hint="eastAsia"/>
        </w:rPr>
      </w:pPr>
      <w:r>
        <w:rPr>
          <w:rFonts w:hint="eastAsia"/>
        </w:rPr>
        <w:t>3.4.3 有效参选不足两个的，经评审委员会判定，参选人具有相对行业竞争力的，可继续进行评审。</w:t>
      </w:r>
    </w:p>
    <w:p>
      <w:pPr>
        <w:pStyle w:val="5"/>
        <w:rPr>
          <w:rFonts w:hint="eastAsia"/>
        </w:rPr>
      </w:pPr>
      <w:r>
        <w:rPr>
          <w:rFonts w:hint="eastAsia"/>
        </w:rPr>
        <w:t>3.5 对评审委员会成员的纪律要求</w:t>
      </w:r>
    </w:p>
    <w:p>
      <w:pPr>
        <w:ind w:firstLine="480"/>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rPr>
          <w:rFonts w:hint="eastAsia"/>
        </w:rPr>
      </w:pPr>
      <w:r>
        <w:rPr>
          <w:rFonts w:hint="eastAsia"/>
        </w:rPr>
        <w:t>3.6 对与评审活动有关的工作人员的纪律要求</w:t>
      </w:r>
    </w:p>
    <w:p>
      <w:pPr>
        <w:ind w:firstLine="480"/>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widowControl/>
        <w:autoSpaceDE/>
        <w:autoSpaceDN/>
        <w:spacing w:line="240" w:lineRule="auto"/>
        <w:ind w:firstLine="0" w:firstLineChars="0"/>
        <w:jc w:val="left"/>
        <w:rPr>
          <w:rFonts w:hint="eastAsia"/>
          <w:highlight w:val="lightGray"/>
        </w:rPr>
      </w:pPr>
      <w:r>
        <w:rPr>
          <w:highlight w:val="lightGray"/>
        </w:rPr>
        <w:br w:type="page"/>
      </w:r>
    </w:p>
    <w:p>
      <w:pPr>
        <w:ind w:firstLine="480"/>
        <w:rPr>
          <w:rFonts w:hint="eastAsia"/>
          <w:highlight w:val="lightGray"/>
        </w:rPr>
      </w:pPr>
      <w:bookmarkStart w:id="252" w:name="_Toc150953074"/>
      <w:bookmarkStart w:id="253" w:name="_Toc303066034"/>
      <w:bookmarkStart w:id="254" w:name="_Toc89675170"/>
    </w:p>
    <w:p>
      <w:pPr>
        <w:pStyle w:val="3"/>
      </w:pPr>
      <w:bookmarkStart w:id="255" w:name="_Toc6341"/>
      <w:bookmarkStart w:id="256" w:name="_Toc5814"/>
      <w:r>
        <w:rPr>
          <w:rFonts w:hint="eastAsia"/>
        </w:rPr>
        <w:t>第五章 合同</w:t>
      </w:r>
      <w:r>
        <w:t>模板</w:t>
      </w:r>
      <w:bookmarkEnd w:id="252"/>
      <w:bookmarkEnd w:id="255"/>
      <w:bookmarkEnd w:id="256"/>
    </w:p>
    <w:p>
      <w:pPr>
        <w:ind w:firstLine="0" w:firstLineChars="0"/>
        <w:jc w:val="center"/>
        <w:rPr>
          <w:rFonts w:hint="eastAsia"/>
        </w:rPr>
      </w:pPr>
      <w:r>
        <w:rPr>
          <w:rFonts w:hint="eastAsia"/>
        </w:rPr>
        <w:t>（本章节的合同条款及格式仅供参考，具体以合同签订时为准）</w:t>
      </w:r>
    </w:p>
    <w:p>
      <w:pPr>
        <w:pStyle w:val="43"/>
        <w:spacing w:beforeLines="0" w:beforeAutospacing="0" w:after="0" w:afterAutospacing="0" w:line="520" w:lineRule="exact"/>
        <w:ind w:firstLine="0" w:firstLineChars="0"/>
        <w:jc w:val="center"/>
        <w:rPr>
          <w:rFonts w:ascii="Times New Roman"/>
          <w:b/>
          <w:sz w:val="44"/>
        </w:rPr>
      </w:pPr>
      <w:r>
        <w:rPr>
          <w:rFonts w:ascii="Times New Roman"/>
          <w:b/>
          <w:sz w:val="44"/>
        </w:rPr>
        <w:t>重庆三峡银行</w:t>
      </w:r>
      <w:bookmarkStart w:id="257" w:name="_Hlk363564034"/>
      <w:r>
        <w:rPr>
          <w:rFonts w:hint="eastAsia" w:ascii="Times New Roman"/>
          <w:b/>
          <w:sz w:val="44"/>
        </w:rPr>
        <w:t>2024年</w:t>
      </w:r>
      <w:r>
        <w:rPr>
          <w:rFonts w:ascii="Times New Roman"/>
          <w:b/>
          <w:sz w:val="44"/>
        </w:rPr>
        <w:t>信息科技</w:t>
      </w:r>
    </w:p>
    <w:p>
      <w:pPr>
        <w:pStyle w:val="43"/>
        <w:spacing w:beforeLines="0" w:beforeAutospacing="0" w:after="0" w:afterAutospacing="0" w:line="520" w:lineRule="exact"/>
        <w:ind w:firstLine="0" w:firstLineChars="0"/>
        <w:jc w:val="center"/>
        <w:rPr>
          <w:rFonts w:ascii="Times New Roman"/>
          <w:b/>
          <w:sz w:val="44"/>
        </w:rPr>
      </w:pPr>
      <w:r>
        <w:rPr>
          <w:rFonts w:ascii="Times New Roman"/>
          <w:b/>
          <w:sz w:val="44"/>
        </w:rPr>
        <w:t>审计项目服务</w:t>
      </w:r>
      <w:bookmarkEnd w:id="257"/>
      <w:r>
        <w:rPr>
          <w:rFonts w:ascii="Times New Roman"/>
          <w:b/>
          <w:sz w:val="44"/>
        </w:rPr>
        <w:t>合同</w:t>
      </w:r>
    </w:p>
    <w:p>
      <w:pPr>
        <w:spacing w:line="520" w:lineRule="exact"/>
        <w:ind w:firstLine="883"/>
        <w:jc w:val="center"/>
        <w:rPr>
          <w:rFonts w:hint="eastAsia"/>
          <w:b/>
          <w:sz w:val="44"/>
        </w:rPr>
      </w:pPr>
    </w:p>
    <w:p>
      <w:pPr>
        <w:spacing w:line="520" w:lineRule="exact"/>
        <w:ind w:firstLine="883"/>
        <w:rPr>
          <w:rFonts w:hint="eastAsia"/>
          <w:b/>
          <w:sz w:val="44"/>
        </w:rPr>
      </w:pPr>
    </w:p>
    <w:p>
      <w:pPr>
        <w:pStyle w:val="43"/>
        <w:spacing w:beforeLines="0" w:beforeAutospacing="0" w:after="0" w:afterAutospacing="0" w:line="520" w:lineRule="exact"/>
        <w:ind w:firstLine="0" w:firstLineChars="0"/>
        <w:jc w:val="center"/>
        <w:rPr>
          <w:rFonts w:ascii="Times New Roman"/>
          <w:b/>
          <w:sz w:val="32"/>
          <w:szCs w:val="32"/>
        </w:rPr>
      </w:pPr>
    </w:p>
    <w:p>
      <w:pPr>
        <w:pStyle w:val="43"/>
        <w:spacing w:beforeLines="0" w:beforeAutospacing="0" w:after="0" w:afterAutospacing="0" w:line="520" w:lineRule="exact"/>
        <w:ind w:firstLine="0" w:firstLineChars="0"/>
        <w:jc w:val="center"/>
        <w:rPr>
          <w:rFonts w:ascii="Times New Roman"/>
          <w:b/>
          <w:sz w:val="32"/>
          <w:szCs w:val="32"/>
        </w:rPr>
      </w:pPr>
    </w:p>
    <w:p>
      <w:pPr>
        <w:pStyle w:val="43"/>
        <w:spacing w:beforeLines="0" w:beforeAutospacing="0" w:after="0" w:afterAutospacing="0" w:line="520" w:lineRule="exact"/>
        <w:ind w:firstLine="0" w:firstLineChars="0"/>
        <w:jc w:val="center"/>
        <w:rPr>
          <w:rFonts w:ascii="Times New Roman"/>
          <w:b/>
          <w:sz w:val="32"/>
          <w:szCs w:val="32"/>
        </w:rPr>
      </w:pPr>
    </w:p>
    <w:p>
      <w:pPr>
        <w:pStyle w:val="43"/>
        <w:spacing w:beforeLines="0" w:beforeAutospacing="0" w:after="0" w:afterAutospacing="0" w:line="520" w:lineRule="exact"/>
        <w:ind w:firstLine="0" w:firstLineChars="0"/>
        <w:jc w:val="center"/>
        <w:rPr>
          <w:rFonts w:ascii="Times New Roman"/>
          <w:b/>
          <w:sz w:val="32"/>
          <w:szCs w:val="32"/>
        </w:rPr>
      </w:pPr>
    </w:p>
    <w:p>
      <w:pPr>
        <w:pStyle w:val="43"/>
        <w:spacing w:beforeLines="0" w:beforeAutospacing="0" w:after="0" w:afterAutospacing="0" w:line="520" w:lineRule="exact"/>
        <w:ind w:firstLine="0" w:firstLineChars="0"/>
        <w:jc w:val="center"/>
        <w:rPr>
          <w:rFonts w:ascii="Times New Roman"/>
          <w:b/>
          <w:sz w:val="32"/>
          <w:szCs w:val="32"/>
        </w:rPr>
      </w:pPr>
    </w:p>
    <w:p>
      <w:pPr>
        <w:pStyle w:val="43"/>
        <w:spacing w:beforeLines="0" w:beforeAutospacing="0" w:after="0" w:afterAutospacing="0" w:line="520" w:lineRule="exact"/>
        <w:ind w:left="1620" w:leftChars="675" w:firstLine="0" w:firstLineChars="0"/>
        <w:rPr>
          <w:rFonts w:ascii="Times New Roman"/>
          <w:b/>
          <w:szCs w:val="24"/>
        </w:rPr>
      </w:pPr>
      <w:r>
        <w:rPr>
          <w:rFonts w:ascii="Times New Roman"/>
          <w:b/>
          <w:szCs w:val="24"/>
        </w:rPr>
        <w:t>委托方：重庆三峡银行股份有限公司</w:t>
      </w:r>
    </w:p>
    <w:p>
      <w:pPr>
        <w:pStyle w:val="43"/>
        <w:spacing w:beforeLines="0" w:beforeAutospacing="0" w:after="0" w:afterAutospacing="0" w:line="520" w:lineRule="exact"/>
        <w:ind w:left="1620" w:leftChars="675" w:firstLine="0" w:firstLineChars="0"/>
        <w:rPr>
          <w:rFonts w:ascii="Times New Roman"/>
          <w:b/>
          <w:szCs w:val="24"/>
        </w:rPr>
      </w:pPr>
      <w:r>
        <w:rPr>
          <w:rFonts w:ascii="Times New Roman"/>
          <w:b/>
          <w:szCs w:val="24"/>
        </w:rPr>
        <w:t>受托方：XXXXXXXXXXXXXXXXXXXXXXXX</w:t>
      </w:r>
    </w:p>
    <w:p>
      <w:pPr>
        <w:pStyle w:val="43"/>
        <w:spacing w:beforeLines="0" w:beforeAutospacing="0" w:after="0" w:afterAutospacing="0" w:line="520" w:lineRule="exact"/>
        <w:ind w:left="1620" w:leftChars="675" w:firstLine="0" w:firstLineChars="0"/>
        <w:rPr>
          <w:rFonts w:ascii="Times New Roman"/>
          <w:szCs w:val="24"/>
        </w:rPr>
      </w:pPr>
      <w:r>
        <w:rPr>
          <w:rFonts w:ascii="Times New Roman"/>
          <w:b/>
          <w:szCs w:val="24"/>
        </w:rPr>
        <w:t>签订地点：重庆</w:t>
      </w:r>
    </w:p>
    <w:p>
      <w:pPr>
        <w:pStyle w:val="10"/>
        <w:tabs>
          <w:tab w:val="right" w:pos="0"/>
        </w:tabs>
        <w:spacing w:line="520" w:lineRule="exact"/>
        <w:ind w:left="480" w:right="16" w:firstLine="480"/>
        <w:rPr>
          <w:rFonts w:hint="eastAsia"/>
        </w:rPr>
      </w:pPr>
    </w:p>
    <w:p>
      <w:pPr>
        <w:spacing w:line="520" w:lineRule="exact"/>
        <w:ind w:firstLine="482"/>
        <w:rPr>
          <w:rFonts w:hint="eastAsia"/>
          <w:b/>
          <w:u w:val="single"/>
        </w:rPr>
      </w:pPr>
      <w:r>
        <w:rPr>
          <w:b/>
        </w:rPr>
        <w:br w:type="page"/>
      </w:r>
      <w:r>
        <w:rPr>
          <w:b/>
        </w:rPr>
        <w:t>甲方: 重庆三峡银行股份有限公司（以下简称“甲方”）</w:t>
      </w:r>
    </w:p>
    <w:p>
      <w:pPr>
        <w:spacing w:line="520" w:lineRule="exact"/>
        <w:ind w:firstLine="480"/>
        <w:rPr>
          <w:rFonts w:hint="eastAsia"/>
        </w:rPr>
      </w:pPr>
      <w:r>
        <w:t>法定代表人：刘江桥</w:t>
      </w:r>
    </w:p>
    <w:p>
      <w:pPr>
        <w:spacing w:line="520" w:lineRule="exact"/>
        <w:ind w:firstLine="480"/>
        <w:rPr>
          <w:rFonts w:hint="eastAsia"/>
        </w:rPr>
      </w:pPr>
      <w:r>
        <w:t>地址：重庆市渝北区嘉州路88号中渝国际都会4号写字楼</w:t>
      </w:r>
    </w:p>
    <w:p>
      <w:pPr>
        <w:spacing w:line="520" w:lineRule="exact"/>
        <w:ind w:firstLine="480"/>
        <w:rPr>
          <w:rFonts w:hint="eastAsia"/>
        </w:rPr>
      </w:pPr>
      <w:r>
        <w:t>邮政编码：401147</w:t>
      </w:r>
    </w:p>
    <w:p>
      <w:pPr>
        <w:spacing w:line="520" w:lineRule="exact"/>
        <w:ind w:firstLine="480"/>
        <w:rPr>
          <w:rFonts w:hint="eastAsia"/>
        </w:rPr>
      </w:pPr>
      <w:r>
        <w:t>联系人： 【】</w:t>
      </w:r>
    </w:p>
    <w:p>
      <w:pPr>
        <w:spacing w:line="520" w:lineRule="exact"/>
        <w:ind w:firstLine="480"/>
        <w:rPr>
          <w:rFonts w:hint="eastAsia"/>
        </w:rPr>
      </w:pPr>
      <w:r>
        <w:t>电话：【】</w:t>
      </w:r>
    </w:p>
    <w:p>
      <w:pPr>
        <w:spacing w:line="520" w:lineRule="exact"/>
        <w:ind w:firstLine="480"/>
        <w:rPr>
          <w:rFonts w:hint="eastAsia"/>
        </w:rPr>
      </w:pPr>
      <w:r>
        <w:t>电子邮箱：【】</w:t>
      </w:r>
    </w:p>
    <w:p>
      <w:pPr>
        <w:spacing w:line="520" w:lineRule="exact"/>
        <w:ind w:firstLine="480"/>
        <w:rPr>
          <w:rFonts w:hint="eastAsia"/>
        </w:rPr>
      </w:pPr>
    </w:p>
    <w:p>
      <w:pPr>
        <w:spacing w:line="520" w:lineRule="exact"/>
        <w:ind w:firstLine="480"/>
        <w:rPr>
          <w:rFonts w:hint="eastAsia"/>
        </w:rPr>
      </w:pPr>
    </w:p>
    <w:p>
      <w:pPr>
        <w:spacing w:line="520" w:lineRule="exact"/>
        <w:ind w:firstLine="480"/>
        <w:rPr>
          <w:rFonts w:hint="eastAsia"/>
        </w:rPr>
      </w:pPr>
    </w:p>
    <w:p>
      <w:pPr>
        <w:spacing w:line="520" w:lineRule="exact"/>
        <w:ind w:firstLine="480"/>
        <w:rPr>
          <w:rFonts w:hint="eastAsia"/>
        </w:rPr>
      </w:pPr>
    </w:p>
    <w:p>
      <w:pPr>
        <w:spacing w:line="520" w:lineRule="exact"/>
        <w:ind w:firstLine="480"/>
        <w:rPr>
          <w:rFonts w:hint="eastAsia"/>
        </w:rPr>
      </w:pPr>
    </w:p>
    <w:p>
      <w:pPr>
        <w:spacing w:line="520" w:lineRule="exact"/>
        <w:ind w:firstLine="482"/>
        <w:rPr>
          <w:rFonts w:hint="eastAsia"/>
          <w:b/>
        </w:rPr>
      </w:pPr>
      <w:r>
        <w:rPr>
          <w:b/>
        </w:rPr>
        <w:t>乙方: XXXXXXXXXXXXXXXXXXXXX（以下简称“乙方”）</w:t>
      </w:r>
    </w:p>
    <w:p>
      <w:pPr>
        <w:spacing w:line="520" w:lineRule="exact"/>
        <w:ind w:firstLine="480"/>
        <w:rPr>
          <w:rFonts w:hint="eastAsia"/>
        </w:rPr>
      </w:pPr>
      <w:r>
        <w:t xml:space="preserve">法定代表人： </w:t>
      </w:r>
    </w:p>
    <w:p>
      <w:pPr>
        <w:spacing w:line="520" w:lineRule="exact"/>
        <w:ind w:firstLine="480"/>
        <w:rPr>
          <w:rFonts w:hint="eastAsia"/>
        </w:rPr>
      </w:pPr>
      <w:r>
        <w:t>地址：</w:t>
      </w:r>
    </w:p>
    <w:p>
      <w:pPr>
        <w:spacing w:line="520" w:lineRule="exact"/>
        <w:ind w:firstLine="480"/>
        <w:rPr>
          <w:rFonts w:hint="eastAsia"/>
        </w:rPr>
      </w:pPr>
      <w:r>
        <w:t>邮政编码：</w:t>
      </w:r>
    </w:p>
    <w:p>
      <w:pPr>
        <w:spacing w:line="520" w:lineRule="exact"/>
        <w:ind w:firstLine="480"/>
        <w:rPr>
          <w:rFonts w:hint="eastAsia"/>
        </w:rPr>
      </w:pPr>
      <w:r>
        <w:t xml:space="preserve">开户银行： </w:t>
      </w:r>
    </w:p>
    <w:p>
      <w:pPr>
        <w:spacing w:line="520" w:lineRule="exact"/>
        <w:ind w:firstLine="480"/>
        <w:rPr>
          <w:rFonts w:hint="eastAsia"/>
        </w:rPr>
      </w:pPr>
      <w:r>
        <w:t xml:space="preserve">账号：  </w:t>
      </w:r>
    </w:p>
    <w:p>
      <w:pPr>
        <w:spacing w:line="520" w:lineRule="exact"/>
        <w:ind w:firstLine="480"/>
        <w:rPr>
          <w:rFonts w:hint="eastAsia"/>
        </w:rPr>
      </w:pPr>
      <w:r>
        <w:t>税号：</w:t>
      </w:r>
    </w:p>
    <w:p>
      <w:pPr>
        <w:spacing w:line="520" w:lineRule="exact"/>
        <w:ind w:firstLine="480"/>
        <w:rPr>
          <w:rFonts w:hint="eastAsia"/>
        </w:rPr>
      </w:pPr>
      <w:r>
        <w:t xml:space="preserve">联系人： </w:t>
      </w:r>
    </w:p>
    <w:p>
      <w:pPr>
        <w:spacing w:line="520" w:lineRule="exact"/>
        <w:ind w:firstLine="480"/>
        <w:rPr>
          <w:rFonts w:hint="eastAsia"/>
        </w:rPr>
      </w:pPr>
      <w:r>
        <w:t>电话：</w:t>
      </w:r>
    </w:p>
    <w:p>
      <w:pPr>
        <w:spacing w:line="520" w:lineRule="exact"/>
        <w:ind w:firstLine="480"/>
        <w:rPr>
          <w:rFonts w:hint="eastAsia"/>
        </w:rPr>
      </w:pPr>
      <w:r>
        <w:t>手机：</w:t>
      </w:r>
    </w:p>
    <w:p>
      <w:pPr>
        <w:spacing w:line="520" w:lineRule="exact"/>
        <w:ind w:firstLine="480"/>
        <w:rPr>
          <w:rFonts w:hint="eastAsia"/>
        </w:rPr>
      </w:pPr>
      <w:r>
        <w:t>传真：</w:t>
      </w:r>
    </w:p>
    <w:p>
      <w:pPr>
        <w:spacing w:line="520" w:lineRule="exact"/>
        <w:ind w:firstLine="480"/>
        <w:rPr>
          <w:rFonts w:hint="eastAsia"/>
          <w:lang w:val="en-GB"/>
        </w:rPr>
      </w:pPr>
      <w:r>
        <w:t>电子邮箱：</w:t>
      </w:r>
    </w:p>
    <w:p>
      <w:pPr>
        <w:pStyle w:val="11"/>
        <w:tabs>
          <w:tab w:val="left" w:pos="4872"/>
        </w:tabs>
        <w:spacing w:line="520" w:lineRule="exact"/>
        <w:ind w:left="480" w:firstLine="480"/>
        <w:rPr>
          <w:rFonts w:hint="eastAsia"/>
          <w:szCs w:val="24"/>
        </w:rPr>
      </w:pPr>
      <w:r>
        <w:br w:type="page"/>
      </w:r>
      <w:r>
        <w:rPr>
          <w:szCs w:val="24"/>
        </w:rPr>
        <w:t>甲方与乙方本着自愿、平等、互利、诚实信用的原则，通过友好协商，</w:t>
      </w:r>
      <w:r>
        <w:rPr>
          <w:rStyle w:val="44"/>
          <w:kern w:val="0"/>
          <w:szCs w:val="24"/>
        </w:rPr>
        <w:t>依据相关法律、法规的规定</w:t>
      </w:r>
      <w:r>
        <w:rPr>
          <w:szCs w:val="24"/>
        </w:rPr>
        <w:t>，就“重庆三峡银行信息科技全面审计服务项目”（下称“本项目”）服务内容达成一致，签订本协议：</w:t>
      </w:r>
    </w:p>
    <w:p>
      <w:pPr>
        <w:pStyle w:val="10"/>
        <w:tabs>
          <w:tab w:val="right" w:pos="0"/>
        </w:tabs>
        <w:spacing w:line="520" w:lineRule="exact"/>
        <w:ind w:left="480" w:right="17" w:firstLine="482"/>
        <w:rPr>
          <w:rFonts w:hint="eastAsia"/>
          <w:b/>
        </w:rPr>
      </w:pPr>
      <w:r>
        <w:rPr>
          <w:b/>
        </w:rPr>
        <w:t>第一条  服务范围</w:t>
      </w:r>
    </w:p>
    <w:p>
      <w:pPr>
        <w:pStyle w:val="11"/>
        <w:tabs>
          <w:tab w:val="left" w:pos="4872"/>
        </w:tabs>
        <w:spacing w:line="520" w:lineRule="exact"/>
        <w:ind w:left="480" w:firstLine="480"/>
        <w:rPr>
          <w:rFonts w:hint="eastAsia"/>
          <w:szCs w:val="24"/>
        </w:rPr>
      </w:pPr>
      <w:r>
        <w:rPr>
          <w:szCs w:val="24"/>
        </w:rPr>
        <w:t>1.1 服务事项：</w:t>
      </w:r>
    </w:p>
    <w:p>
      <w:pPr>
        <w:spacing w:line="520" w:lineRule="exact"/>
        <w:ind w:firstLine="960" w:firstLineChars="400"/>
        <w:rPr>
          <w:rFonts w:hint="eastAsia"/>
        </w:rPr>
      </w:pPr>
      <w:r>
        <w:t>乙方向甲方提供信息科技全面审计服务，服务的具体内容详见本合同附件1。</w:t>
      </w:r>
    </w:p>
    <w:p>
      <w:pPr>
        <w:pStyle w:val="11"/>
        <w:tabs>
          <w:tab w:val="left" w:pos="4872"/>
        </w:tabs>
        <w:spacing w:line="520" w:lineRule="exact"/>
        <w:ind w:left="480" w:firstLine="480"/>
        <w:rPr>
          <w:rFonts w:hint="eastAsia"/>
          <w:szCs w:val="24"/>
        </w:rPr>
      </w:pPr>
      <w:r>
        <w:rPr>
          <w:szCs w:val="24"/>
        </w:rPr>
        <w:t>1.2 服务履行方式：</w:t>
      </w:r>
    </w:p>
    <w:p>
      <w:pPr>
        <w:pStyle w:val="11"/>
        <w:tabs>
          <w:tab w:val="left" w:pos="4872"/>
        </w:tabs>
        <w:spacing w:line="520" w:lineRule="exact"/>
        <w:ind w:left="480" w:firstLine="480"/>
        <w:rPr>
          <w:rFonts w:hint="eastAsia"/>
          <w:szCs w:val="24"/>
        </w:rPr>
      </w:pPr>
      <w:r>
        <w:rPr>
          <w:szCs w:val="24"/>
        </w:rPr>
        <w:t>服务的履行方式详见本合同附件1。</w:t>
      </w:r>
    </w:p>
    <w:p>
      <w:pPr>
        <w:pStyle w:val="10"/>
        <w:tabs>
          <w:tab w:val="right" w:pos="0"/>
        </w:tabs>
        <w:spacing w:line="520" w:lineRule="exact"/>
        <w:ind w:left="480" w:right="17" w:firstLine="482"/>
        <w:rPr>
          <w:rFonts w:hint="eastAsia"/>
          <w:b/>
        </w:rPr>
      </w:pPr>
      <w:r>
        <w:rPr>
          <w:b/>
        </w:rPr>
        <w:t>第二条  项目实施人员</w:t>
      </w:r>
    </w:p>
    <w:p>
      <w:pPr>
        <w:topLinePunct/>
        <w:spacing w:line="360" w:lineRule="auto"/>
        <w:ind w:firstLine="480"/>
        <w:contextualSpacing/>
        <w:rPr>
          <w:rFonts w:hint="eastAsia"/>
          <w:snapToGrid w:val="0"/>
          <w:kern w:val="0"/>
        </w:rPr>
      </w:pPr>
      <w:r>
        <w:rPr>
          <w:snapToGrid w:val="0"/>
          <w:kern w:val="0"/>
        </w:rPr>
        <w:t>2.1 为了按时和按专业水准完成本项目工作，乙方应配备足够数量和级别的专业人员，并提供实施方案所示项目团队成员名单（见附件1），各成员按照实施方案规定的工作安排参与项目实施。</w:t>
      </w:r>
    </w:p>
    <w:p>
      <w:pPr>
        <w:topLinePunct/>
        <w:spacing w:line="360" w:lineRule="auto"/>
        <w:ind w:firstLine="480"/>
        <w:contextualSpacing/>
        <w:rPr>
          <w:rFonts w:hint="eastAsia"/>
          <w:snapToGrid w:val="0"/>
          <w:kern w:val="0"/>
        </w:rPr>
      </w:pPr>
      <w:r>
        <w:rPr>
          <w:snapToGrid w:val="0"/>
          <w:kern w:val="0"/>
        </w:rPr>
        <w:t>2.2 在项目实施过程中，乙方原则上不得更换项目团队核心工作人员，且乙方应确保项目团队核心人员驻场提供服务。确需更换的，乙方应提前通知甲方并经甲方同意，并配备经验（包含但不限</w:t>
      </w:r>
      <w:r>
        <w:rPr>
          <w:rFonts w:hint="eastAsia" w:cs="仿宋"/>
          <w:snapToGrid w:val="0"/>
          <w:kern w:val="0"/>
        </w:rPr>
        <w:t>科技审计</w:t>
      </w:r>
      <w:r>
        <w:rPr>
          <w:rFonts w:cs="仿宋"/>
          <w:snapToGrid w:val="0"/>
          <w:kern w:val="0"/>
        </w:rPr>
        <w:t>工作</w:t>
      </w:r>
      <w:r>
        <w:rPr>
          <w:snapToGrid w:val="0"/>
          <w:kern w:val="0"/>
        </w:rPr>
        <w:t>年限等经验）高于同等级别的人员替补，且乙方保证有关人员更换不影响项目的质量和实施进程。替换人员需通过甲方考察，否则甲方有权要求更换。</w:t>
      </w:r>
    </w:p>
    <w:p>
      <w:pPr>
        <w:topLinePunct/>
        <w:spacing w:line="360" w:lineRule="auto"/>
        <w:ind w:firstLine="480"/>
        <w:contextualSpacing/>
        <w:rPr>
          <w:rFonts w:hint="eastAsia"/>
          <w:snapToGrid w:val="0"/>
          <w:kern w:val="0"/>
          <w:u w:val="single"/>
        </w:rPr>
      </w:pPr>
      <w:r>
        <w:rPr>
          <w:snapToGrid w:val="0"/>
          <w:kern w:val="0"/>
        </w:rPr>
        <w:t>2.3 乙方不得以任何形式将本项目转包、分包给第三方</w:t>
      </w:r>
      <w:r>
        <w:rPr>
          <w:snapToGrid w:val="0"/>
          <w:kern w:val="0"/>
          <w:u w:val="single"/>
        </w:rPr>
        <w:t>。</w:t>
      </w:r>
    </w:p>
    <w:p>
      <w:pPr>
        <w:pStyle w:val="10"/>
        <w:tabs>
          <w:tab w:val="right" w:pos="0"/>
        </w:tabs>
        <w:spacing w:line="520" w:lineRule="exact"/>
        <w:ind w:left="480" w:right="17" w:firstLine="482"/>
        <w:rPr>
          <w:rFonts w:hint="eastAsia"/>
          <w:b/>
        </w:rPr>
      </w:pPr>
      <w:r>
        <w:rPr>
          <w:b/>
        </w:rPr>
        <w:t>第三条  甲方的权利和义务</w:t>
      </w:r>
    </w:p>
    <w:p>
      <w:pPr>
        <w:topLinePunct/>
        <w:spacing w:line="360" w:lineRule="auto"/>
        <w:ind w:firstLine="480"/>
        <w:contextualSpacing/>
        <w:rPr>
          <w:rFonts w:hint="eastAsia"/>
          <w:snapToGrid w:val="0"/>
          <w:kern w:val="0"/>
        </w:rPr>
      </w:pPr>
      <w:r>
        <w:rPr>
          <w:snapToGrid w:val="0"/>
          <w:kern w:val="0"/>
        </w:rPr>
        <w:t>3.1 有权要求乙方按照附件1规定的或者甲方与乙方另行协定的工作时间表完成本合同约定的服务，且有权基于合理要求随时了解乙方的工作安排和进度，并对乙方的工作及时提出意见和指示。</w:t>
      </w:r>
    </w:p>
    <w:p>
      <w:pPr>
        <w:topLinePunct/>
        <w:spacing w:line="360" w:lineRule="auto"/>
        <w:ind w:firstLine="480"/>
        <w:contextualSpacing/>
        <w:rPr>
          <w:rFonts w:hint="eastAsia"/>
          <w:snapToGrid w:val="0"/>
          <w:kern w:val="0"/>
        </w:rPr>
      </w:pPr>
      <w:r>
        <w:rPr>
          <w:snapToGrid w:val="0"/>
          <w:kern w:val="0"/>
        </w:rPr>
        <w:t>3.2 应在法律规定的范围内且根据本合同条款的规定正确使用乙方出具的交付物。</w:t>
      </w:r>
    </w:p>
    <w:p>
      <w:pPr>
        <w:topLinePunct/>
        <w:spacing w:line="360" w:lineRule="auto"/>
        <w:ind w:firstLine="480"/>
        <w:contextualSpacing/>
        <w:rPr>
          <w:rFonts w:hint="eastAsia"/>
          <w:snapToGrid w:val="0"/>
          <w:kern w:val="0"/>
        </w:rPr>
      </w:pPr>
      <w:r>
        <w:rPr>
          <w:snapToGrid w:val="0"/>
          <w:kern w:val="0"/>
        </w:rPr>
        <w:t>3.3应当充分配合乙方的服务工作，包括：</w:t>
      </w:r>
    </w:p>
    <w:p>
      <w:pPr>
        <w:topLinePunct/>
        <w:spacing w:line="360" w:lineRule="auto"/>
        <w:ind w:firstLine="480"/>
        <w:contextualSpacing/>
        <w:rPr>
          <w:rFonts w:hint="eastAsia"/>
          <w:snapToGrid w:val="0"/>
          <w:kern w:val="0"/>
        </w:rPr>
      </w:pPr>
      <w:r>
        <w:rPr>
          <w:snapToGrid w:val="0"/>
          <w:kern w:val="0"/>
        </w:rPr>
        <w:t>（1）自本合同签订后，甲方应及时或按乙方的要求向乙方提交乙方服务所需的甲方相关基础资料；</w:t>
      </w:r>
    </w:p>
    <w:p>
      <w:pPr>
        <w:topLinePunct/>
        <w:spacing w:line="360" w:lineRule="auto"/>
        <w:ind w:firstLine="480"/>
        <w:contextualSpacing/>
        <w:rPr>
          <w:rFonts w:hint="eastAsia"/>
          <w:snapToGrid w:val="0"/>
          <w:kern w:val="0"/>
        </w:rPr>
      </w:pPr>
      <w:r>
        <w:rPr>
          <w:snapToGrid w:val="0"/>
          <w:kern w:val="0"/>
        </w:rPr>
        <w:t>（2）在提供服务过程中，就乙方提出的合理的工作计划和人员要求及时做出相关安排，及时向乙方提供所需资料与信息并安排业务访谈，并迅速做出决策；</w:t>
      </w:r>
    </w:p>
    <w:p>
      <w:pPr>
        <w:topLinePunct/>
        <w:spacing w:line="360" w:lineRule="auto"/>
        <w:ind w:firstLine="480"/>
        <w:contextualSpacing/>
        <w:rPr>
          <w:rFonts w:hint="eastAsia"/>
          <w:snapToGrid w:val="0"/>
          <w:kern w:val="0"/>
        </w:rPr>
      </w:pPr>
      <w:r>
        <w:rPr>
          <w:snapToGrid w:val="0"/>
          <w:kern w:val="0"/>
        </w:rPr>
        <w:t>（3）甲方所提供的资料如有变更，应及时提供变更后的资料；</w:t>
      </w:r>
    </w:p>
    <w:p>
      <w:pPr>
        <w:topLinePunct/>
        <w:spacing w:line="360" w:lineRule="auto"/>
        <w:ind w:firstLine="480"/>
        <w:contextualSpacing/>
        <w:rPr>
          <w:rFonts w:hint="eastAsia"/>
          <w:snapToGrid w:val="0"/>
          <w:kern w:val="0"/>
        </w:rPr>
      </w:pPr>
      <w:r>
        <w:rPr>
          <w:snapToGrid w:val="0"/>
          <w:kern w:val="0"/>
        </w:rPr>
        <w:t>（4）向乙方项目实施人员提供必要的办公场所等工作支持。</w:t>
      </w:r>
    </w:p>
    <w:p>
      <w:pPr>
        <w:topLinePunct/>
        <w:spacing w:line="360" w:lineRule="auto"/>
        <w:ind w:firstLine="480"/>
        <w:contextualSpacing/>
        <w:rPr>
          <w:rFonts w:hint="eastAsia"/>
          <w:snapToGrid w:val="0"/>
          <w:kern w:val="0"/>
        </w:rPr>
      </w:pPr>
      <w:r>
        <w:rPr>
          <w:snapToGrid w:val="0"/>
          <w:kern w:val="0"/>
        </w:rPr>
        <w:t>3.4 按照本合同约定向乙方支付服务费用。</w:t>
      </w:r>
    </w:p>
    <w:p>
      <w:pPr>
        <w:topLinePunct/>
        <w:spacing w:line="360" w:lineRule="auto"/>
        <w:ind w:firstLine="480"/>
        <w:contextualSpacing/>
        <w:rPr>
          <w:rFonts w:hint="eastAsia"/>
          <w:snapToGrid w:val="0"/>
          <w:kern w:val="0"/>
        </w:rPr>
      </w:pPr>
      <w:r>
        <w:rPr>
          <w:snapToGrid w:val="0"/>
          <w:kern w:val="0"/>
        </w:rPr>
        <w:t>3.5 如甲方提供信息及其他资料存在问题，导致乙方需要对服务作较大调整，双方应进行协商，就服务范围以及服务费用调整提出解决方案。</w:t>
      </w:r>
    </w:p>
    <w:p>
      <w:pPr>
        <w:pStyle w:val="10"/>
        <w:tabs>
          <w:tab w:val="right" w:pos="0"/>
        </w:tabs>
        <w:spacing w:line="520" w:lineRule="exact"/>
        <w:ind w:left="480" w:right="17" w:firstLine="482"/>
        <w:rPr>
          <w:rFonts w:hint="eastAsia"/>
          <w:b/>
        </w:rPr>
      </w:pPr>
      <w:r>
        <w:rPr>
          <w:b/>
        </w:rPr>
        <w:t>第四条  乙方的权利和义务</w:t>
      </w:r>
    </w:p>
    <w:p>
      <w:pPr>
        <w:topLinePunct/>
        <w:spacing w:line="360" w:lineRule="auto"/>
        <w:ind w:firstLine="480"/>
        <w:contextualSpacing/>
        <w:rPr>
          <w:rFonts w:hint="eastAsia"/>
          <w:snapToGrid w:val="0"/>
          <w:kern w:val="0"/>
        </w:rPr>
      </w:pPr>
      <w:r>
        <w:rPr>
          <w:snapToGrid w:val="0"/>
          <w:kern w:val="0"/>
        </w:rPr>
        <w:t>4.1 遵守法律法规及银行业金融机构内部管理制度及规定，贯彻执行相关监管政策。</w:t>
      </w:r>
    </w:p>
    <w:p>
      <w:pPr>
        <w:topLinePunct/>
        <w:spacing w:line="360" w:lineRule="auto"/>
        <w:ind w:firstLine="480"/>
        <w:contextualSpacing/>
        <w:rPr>
          <w:rFonts w:hint="eastAsia"/>
          <w:snapToGrid w:val="0"/>
          <w:kern w:val="0"/>
        </w:rPr>
      </w:pPr>
      <w:r>
        <w:rPr>
          <w:snapToGrid w:val="0"/>
          <w:kern w:val="0"/>
        </w:rPr>
        <w:t>4.2乙方需为甲方提供持续的项目风险识别和控制措施，并按甲方要求提供公司财务分析报告、项目进度报告以及重大事项报告等。</w:t>
      </w:r>
    </w:p>
    <w:p>
      <w:pPr>
        <w:topLinePunct/>
        <w:spacing w:line="360" w:lineRule="auto"/>
        <w:ind w:firstLine="480"/>
        <w:contextualSpacing/>
        <w:rPr>
          <w:rFonts w:hint="eastAsia"/>
          <w:snapToGrid w:val="0"/>
          <w:kern w:val="0"/>
        </w:rPr>
      </w:pPr>
      <w:r>
        <w:rPr>
          <w:snapToGrid w:val="0"/>
          <w:kern w:val="0"/>
        </w:rPr>
        <w:t>4.3乙方应该适时开展风险管理评估，应该接受甲方的审核、评估以及外包检查，配合对监管意见做出相应的管理、服务等的整改。</w:t>
      </w:r>
    </w:p>
    <w:p>
      <w:pPr>
        <w:topLinePunct/>
        <w:spacing w:line="360" w:lineRule="auto"/>
        <w:ind w:firstLine="480"/>
        <w:contextualSpacing/>
        <w:rPr>
          <w:rFonts w:hint="eastAsia"/>
          <w:snapToGrid w:val="0"/>
          <w:kern w:val="0"/>
        </w:rPr>
      </w:pPr>
      <w:r>
        <w:rPr>
          <w:snapToGrid w:val="0"/>
          <w:kern w:val="0"/>
        </w:rPr>
        <w:t>4.4应当按项目计划完成工作内容说明书规定的服务，并提交项目成果。</w:t>
      </w:r>
    </w:p>
    <w:p>
      <w:pPr>
        <w:topLinePunct/>
        <w:spacing w:line="360" w:lineRule="auto"/>
        <w:ind w:firstLine="480"/>
        <w:contextualSpacing/>
        <w:rPr>
          <w:rFonts w:hint="eastAsia"/>
          <w:snapToGrid w:val="0"/>
          <w:kern w:val="0"/>
        </w:rPr>
      </w:pPr>
      <w:r>
        <w:rPr>
          <w:snapToGrid w:val="0"/>
          <w:kern w:val="0"/>
        </w:rPr>
        <w:t>4.5有义务对甲方提出的口头或书面咨询进行及时解答或提交书面咨询意见。</w:t>
      </w:r>
    </w:p>
    <w:p>
      <w:pPr>
        <w:topLinePunct/>
        <w:spacing w:line="360" w:lineRule="auto"/>
        <w:ind w:firstLine="480"/>
        <w:contextualSpacing/>
        <w:rPr>
          <w:rFonts w:hint="eastAsia"/>
          <w:snapToGrid w:val="0"/>
          <w:kern w:val="0"/>
        </w:rPr>
      </w:pPr>
      <w:r>
        <w:rPr>
          <w:snapToGrid w:val="0"/>
          <w:kern w:val="0"/>
        </w:rPr>
        <w:t>4.6按照本合同的规定准备培训资料，协助甲方组织和完成相关培训。</w:t>
      </w:r>
    </w:p>
    <w:p>
      <w:pPr>
        <w:topLinePunct/>
        <w:spacing w:line="360" w:lineRule="auto"/>
        <w:ind w:firstLine="480"/>
        <w:contextualSpacing/>
        <w:rPr>
          <w:rFonts w:hint="eastAsia"/>
          <w:snapToGrid w:val="0"/>
          <w:kern w:val="0"/>
        </w:rPr>
      </w:pPr>
      <w:r>
        <w:rPr>
          <w:snapToGrid w:val="0"/>
          <w:kern w:val="0"/>
        </w:rPr>
        <w:t>4.7应当按照甲方的合理要求，及时报告有关服务事宜的进展情况。</w:t>
      </w:r>
    </w:p>
    <w:p>
      <w:pPr>
        <w:topLinePunct/>
        <w:spacing w:line="360" w:lineRule="auto"/>
        <w:ind w:firstLine="480"/>
        <w:contextualSpacing/>
        <w:rPr>
          <w:rFonts w:hint="eastAsia"/>
          <w:snapToGrid w:val="0"/>
          <w:kern w:val="0"/>
        </w:rPr>
      </w:pPr>
      <w:r>
        <w:rPr>
          <w:snapToGrid w:val="0"/>
          <w:kern w:val="0"/>
        </w:rPr>
        <w:t xml:space="preserve">4.8保证其项目实施人员具有充分的完成其相应工作任务的专业知识和经验。 </w:t>
      </w:r>
    </w:p>
    <w:p>
      <w:pPr>
        <w:topLinePunct/>
        <w:spacing w:line="360" w:lineRule="auto"/>
        <w:ind w:firstLine="480"/>
        <w:contextualSpacing/>
        <w:rPr>
          <w:rFonts w:hint="eastAsia"/>
          <w:snapToGrid w:val="0"/>
          <w:kern w:val="0"/>
        </w:rPr>
      </w:pPr>
      <w:r>
        <w:rPr>
          <w:snapToGrid w:val="0"/>
          <w:kern w:val="0"/>
        </w:rPr>
        <w:t>4.9乙方保证遵守甲方《重庆三峡银行回避管理办法》中招录回避、任职回避、公务回避的相关要求。若发现乙方人员与甲方内部人员存在亲属关系，乙方应主动报告，并采取相应回避措施。</w:t>
      </w:r>
    </w:p>
    <w:p>
      <w:pPr>
        <w:topLinePunct/>
        <w:spacing w:line="360" w:lineRule="auto"/>
        <w:ind w:firstLine="480"/>
        <w:contextualSpacing/>
        <w:rPr>
          <w:rFonts w:hint="eastAsia"/>
          <w:snapToGrid w:val="0"/>
          <w:kern w:val="0"/>
        </w:rPr>
      </w:pPr>
      <w:r>
        <w:rPr>
          <w:snapToGrid w:val="0"/>
          <w:kern w:val="0"/>
        </w:rPr>
        <w:t>4.10乙方保证其人员无不良记录，服务商与其建立合法的雇佣关系，依法履行用工管理职责。</w:t>
      </w:r>
    </w:p>
    <w:p>
      <w:pPr>
        <w:topLinePunct/>
        <w:spacing w:line="360" w:lineRule="auto"/>
        <w:ind w:firstLine="480"/>
        <w:contextualSpacing/>
        <w:rPr>
          <w:rFonts w:hint="eastAsia"/>
          <w:snapToGrid w:val="0"/>
          <w:kern w:val="0"/>
        </w:rPr>
      </w:pPr>
      <w:r>
        <w:rPr>
          <w:snapToGrid w:val="0"/>
          <w:kern w:val="0"/>
        </w:rPr>
        <w:t>4.11乙方定期通报外包事项，及时通报外包突发性事件及解决情况。</w:t>
      </w:r>
    </w:p>
    <w:p>
      <w:pPr>
        <w:pStyle w:val="10"/>
        <w:tabs>
          <w:tab w:val="right" w:pos="0"/>
        </w:tabs>
        <w:spacing w:line="520" w:lineRule="exact"/>
        <w:ind w:left="480" w:right="17" w:firstLine="482"/>
        <w:rPr>
          <w:rFonts w:hint="eastAsia"/>
          <w:b/>
        </w:rPr>
      </w:pPr>
      <w:r>
        <w:rPr>
          <w:b/>
        </w:rPr>
        <w:t>第五条  项目成果的验收</w:t>
      </w:r>
    </w:p>
    <w:p>
      <w:pPr>
        <w:topLinePunct/>
        <w:spacing w:line="360" w:lineRule="auto"/>
        <w:ind w:firstLine="480"/>
        <w:contextualSpacing/>
        <w:rPr>
          <w:rFonts w:hint="eastAsia"/>
          <w:snapToGrid w:val="0"/>
          <w:kern w:val="0"/>
        </w:rPr>
      </w:pPr>
      <w:r>
        <w:rPr>
          <w:snapToGrid w:val="0"/>
          <w:kern w:val="0"/>
        </w:rPr>
        <w:t>5.1乙方保证以良好的态度和专业能力提供服务，并按照附件的规定向甲方交付工作成果，并向甲方就交付成果进行讲解、交流、汇报。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pPr>
        <w:topLinePunct/>
        <w:spacing w:line="360" w:lineRule="auto"/>
        <w:ind w:firstLine="480"/>
        <w:contextualSpacing/>
        <w:rPr>
          <w:rFonts w:hint="eastAsia"/>
          <w:snapToGrid w:val="0"/>
          <w:kern w:val="0"/>
        </w:rPr>
      </w:pPr>
      <w:r>
        <w:rPr>
          <w:snapToGrid w:val="0"/>
          <w:kern w:val="0"/>
        </w:rPr>
        <w:t>5.2乙方按照本合同约定完成各项服务并提交全部交付物，全部验收合格视为本项目整体验收合格。</w:t>
      </w:r>
    </w:p>
    <w:p>
      <w:pPr>
        <w:topLinePunct/>
        <w:spacing w:line="360" w:lineRule="auto"/>
        <w:ind w:firstLine="480"/>
        <w:contextualSpacing/>
        <w:rPr>
          <w:rFonts w:hint="eastAsia"/>
          <w:snapToGrid w:val="0"/>
          <w:kern w:val="0"/>
        </w:rPr>
      </w:pPr>
      <w:r>
        <w:rPr>
          <w:snapToGrid w:val="0"/>
          <w:kern w:val="0"/>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pPr>
        <w:pStyle w:val="10"/>
        <w:tabs>
          <w:tab w:val="right" w:pos="0"/>
          <w:tab w:val="left" w:pos="1418"/>
        </w:tabs>
        <w:spacing w:line="520" w:lineRule="exact"/>
        <w:ind w:left="480" w:right="17" w:firstLine="482"/>
        <w:rPr>
          <w:rFonts w:hint="eastAsia"/>
          <w:b/>
        </w:rPr>
      </w:pPr>
      <w:r>
        <w:rPr>
          <w:b/>
        </w:rPr>
        <w:t>第六条  知识产权</w:t>
      </w:r>
    </w:p>
    <w:p>
      <w:pPr>
        <w:topLinePunct/>
        <w:spacing w:line="360" w:lineRule="auto"/>
        <w:ind w:firstLine="480"/>
        <w:contextualSpacing/>
        <w:rPr>
          <w:rFonts w:hint="eastAsia"/>
          <w:snapToGrid w:val="0"/>
          <w:kern w:val="0"/>
        </w:rPr>
      </w:pPr>
      <w:r>
        <w:rPr>
          <w:snapToGrid w:val="0"/>
          <w:kern w:val="0"/>
        </w:rPr>
        <w:t>6.1本合同签署前，双方各自所有的知识产权归各自所有，不因本合同的履行而被对方取得。</w:t>
      </w:r>
    </w:p>
    <w:p>
      <w:pPr>
        <w:topLinePunct/>
        <w:spacing w:line="360" w:lineRule="auto"/>
        <w:ind w:firstLine="480"/>
        <w:contextualSpacing/>
        <w:rPr>
          <w:rFonts w:hint="eastAsia"/>
          <w:snapToGrid w:val="0"/>
          <w:kern w:val="0"/>
        </w:rPr>
      </w:pPr>
      <w:r>
        <w:rPr>
          <w:snapToGrid w:val="0"/>
          <w:kern w:val="0"/>
        </w:rPr>
        <w:t>6.2 本合同签署后，乙方按照本合同规定向甲方提交的交付物的知识产权属于甲方。</w:t>
      </w:r>
    </w:p>
    <w:p>
      <w:pPr>
        <w:topLinePunct/>
        <w:spacing w:line="360" w:lineRule="auto"/>
        <w:ind w:firstLine="480"/>
        <w:contextualSpacing/>
        <w:rPr>
          <w:rFonts w:hint="eastAsia"/>
          <w:snapToGrid w:val="0"/>
          <w:kern w:val="0"/>
        </w:rPr>
      </w:pPr>
      <w:r>
        <w:rPr>
          <w:snapToGrid w:val="0"/>
          <w:kern w:val="0"/>
        </w:rPr>
        <w:t>6.3 在遵守保密约定的前提下，乙方有权使用其在履行本合同过程中使用或开发的咨询业务常识、技能、经验、构思、概念和方法，有权为自身或他人制作与本合同项下类似的材料。</w:t>
      </w:r>
    </w:p>
    <w:p>
      <w:pPr>
        <w:topLinePunct/>
        <w:spacing w:line="360" w:lineRule="auto"/>
        <w:ind w:firstLine="480"/>
        <w:contextualSpacing/>
        <w:rPr>
          <w:rFonts w:hint="eastAsia"/>
          <w:snapToGrid w:val="0"/>
          <w:kern w:val="0"/>
        </w:rPr>
      </w:pPr>
      <w:r>
        <w:rPr>
          <w:snapToGrid w:val="0"/>
          <w:kern w:val="0"/>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pPr>
        <w:topLinePunct/>
        <w:spacing w:line="360" w:lineRule="auto"/>
        <w:ind w:firstLine="480"/>
        <w:contextualSpacing/>
        <w:rPr>
          <w:rFonts w:hint="eastAsia"/>
          <w:snapToGrid w:val="0"/>
          <w:kern w:val="0"/>
        </w:rPr>
      </w:pPr>
      <w:r>
        <w:rPr>
          <w:snapToGrid w:val="0"/>
          <w:kern w:val="0"/>
        </w:rPr>
        <w:t>6.5一经发现乙方将甲方具有知识产权的信息违规转让、销售、赠送或泄露给第三方，或者通过互联网渠道（如百度网盘、GitHub仓库等）违规公开分享，将视情节轻重情况给予中</w:t>
      </w:r>
      <w:r>
        <w:rPr>
          <w:rFonts w:hint="eastAsia"/>
          <w:snapToGrid w:val="0"/>
          <w:kern w:val="0"/>
        </w:rPr>
        <w:t>选</w:t>
      </w:r>
      <w:r>
        <w:rPr>
          <w:snapToGrid w:val="0"/>
          <w:kern w:val="0"/>
        </w:rPr>
        <w:t>方相应处罚（处罚金额不低于合同金额的10%）</w:t>
      </w:r>
    </w:p>
    <w:p>
      <w:pPr>
        <w:topLinePunct/>
        <w:spacing w:line="360" w:lineRule="auto"/>
        <w:ind w:firstLine="480"/>
        <w:contextualSpacing/>
        <w:rPr>
          <w:rFonts w:hint="eastAsia"/>
          <w:snapToGrid w:val="0"/>
          <w:kern w:val="0"/>
        </w:rPr>
      </w:pPr>
      <w:r>
        <w:rPr>
          <w:snapToGrid w:val="0"/>
          <w:kern w:val="0"/>
        </w:rPr>
        <w:t>6.6 本合同终止后，本知识产权条款持续有效。</w:t>
      </w:r>
    </w:p>
    <w:p>
      <w:pPr>
        <w:pStyle w:val="10"/>
        <w:tabs>
          <w:tab w:val="right" w:pos="0"/>
        </w:tabs>
        <w:spacing w:line="520" w:lineRule="exact"/>
        <w:ind w:left="480" w:right="17" w:firstLine="482"/>
        <w:rPr>
          <w:rFonts w:hint="eastAsia"/>
          <w:b/>
        </w:rPr>
      </w:pPr>
      <w:r>
        <w:rPr>
          <w:b/>
        </w:rPr>
        <w:t>第七条  服务费用及其支付</w:t>
      </w:r>
    </w:p>
    <w:p>
      <w:pPr>
        <w:topLinePunct/>
        <w:spacing w:line="360" w:lineRule="auto"/>
        <w:ind w:firstLine="480"/>
        <w:contextualSpacing/>
        <w:rPr>
          <w:rFonts w:hint="eastAsia"/>
        </w:rPr>
      </w:pPr>
      <w:r>
        <w:t xml:space="preserve">7.1 </w:t>
      </w:r>
      <w:r>
        <w:rPr>
          <w:snapToGrid w:val="0"/>
          <w:kern w:val="0"/>
        </w:rPr>
        <w:t>服务费</w:t>
      </w:r>
      <w:r>
        <w:t>用：</w:t>
      </w:r>
    </w:p>
    <w:p>
      <w:pPr>
        <w:topLinePunct/>
        <w:spacing w:line="360" w:lineRule="auto"/>
        <w:ind w:firstLine="480"/>
        <w:contextualSpacing/>
        <w:rPr>
          <w:rFonts w:hint="eastAsia"/>
        </w:rPr>
      </w:pPr>
      <w:r>
        <w:t>对于工作内容说明书约定的各项服务，甲方同意向乙方支付服务费用（下称“服务费用” ）。服务费用总额为：</w:t>
      </w:r>
      <w:r>
        <w:rPr>
          <w:u w:val="single"/>
        </w:rPr>
        <w:t>_       元</w:t>
      </w:r>
      <w:r>
        <w:t>（大写：___________元整）,</w:t>
      </w:r>
      <w:r>
        <w:rPr>
          <w:u w:val="single"/>
        </w:rPr>
        <w:t>其中不含税价为：_       元</w:t>
      </w:r>
      <w:r>
        <w:t>（</w:t>
      </w:r>
      <w:r>
        <w:rPr>
          <w:u w:val="single"/>
        </w:rPr>
        <w:t>大写：         整）</w:t>
      </w:r>
      <w:r>
        <w:t>，税额为</w:t>
      </w:r>
      <w:r>
        <w:rPr>
          <w:u w:val="single"/>
        </w:rPr>
        <w:t>：_       元</w:t>
      </w:r>
      <w:r>
        <w:t>（</w:t>
      </w:r>
      <w:r>
        <w:rPr>
          <w:u w:val="single"/>
        </w:rPr>
        <w:t>大写：         整）</w:t>
      </w:r>
      <w:r>
        <w:t>；不含税价格不因国家税率变化而变化，若在合同履行期间，如遇国家的税率调整，则价税合计应相应调整，以开具发票的时间为准。乙方须严格按照合同内容开具税率为</w:t>
      </w:r>
      <w:r>
        <w:rPr>
          <w:b/>
        </w:rPr>
        <w:t>6%</w:t>
      </w:r>
      <w:r>
        <w:t>的增值税专用发票。</w:t>
      </w:r>
    </w:p>
    <w:p>
      <w:pPr>
        <w:topLinePunct/>
        <w:spacing w:line="360" w:lineRule="auto"/>
        <w:ind w:firstLine="480"/>
        <w:contextualSpacing/>
        <w:rPr>
          <w:rFonts w:hint="eastAsia"/>
        </w:rPr>
      </w:pPr>
      <w:r>
        <w:t>7.2 支付</w:t>
      </w:r>
      <w:r>
        <w:rPr>
          <w:snapToGrid w:val="0"/>
          <w:kern w:val="0"/>
        </w:rPr>
        <w:t>方式</w:t>
      </w:r>
      <w:r>
        <w:t>：</w:t>
      </w:r>
    </w:p>
    <w:p>
      <w:pPr>
        <w:topLinePunct/>
        <w:spacing w:line="360" w:lineRule="auto"/>
        <w:ind w:firstLine="480"/>
        <w:contextualSpacing/>
        <w:rPr>
          <w:rFonts w:hint="eastAsia"/>
        </w:rPr>
      </w:pPr>
      <w:r>
        <w:t>甲方应按</w:t>
      </w:r>
      <w:r>
        <w:rPr>
          <w:snapToGrid w:val="0"/>
          <w:kern w:val="0"/>
        </w:rPr>
        <w:t>下列</w:t>
      </w:r>
      <w:r>
        <w:t>规定时间向乙方支付服务费用。</w:t>
      </w:r>
    </w:p>
    <w:p>
      <w:pPr>
        <w:topLinePunct/>
        <w:spacing w:line="360" w:lineRule="auto"/>
        <w:ind w:firstLine="480"/>
        <w:contextualSpacing/>
        <w:rPr>
          <w:rFonts w:hint="eastAsia"/>
        </w:rPr>
      </w:pPr>
      <w:r>
        <w:t xml:space="preserve">本合同实施款项采用分期付款： </w:t>
      </w:r>
    </w:p>
    <w:p>
      <w:pPr>
        <w:topLinePunct/>
        <w:spacing w:line="360" w:lineRule="auto"/>
        <w:ind w:firstLine="480"/>
        <w:contextualSpacing/>
        <w:rPr>
          <w:rFonts w:hint="eastAsia"/>
        </w:rPr>
      </w:pPr>
      <w:r>
        <w:t>7.2.1</w:t>
      </w:r>
      <w:r>
        <w:rPr>
          <w:rFonts w:hint="eastAsia" w:ascii="宋体" w:cs="宋体"/>
          <w:snapToGrid w:val="0"/>
          <w:kern w:val="0"/>
        </w:rPr>
        <w:t>合同生效且乙方完成审前调查，出具审计方案，</w:t>
      </w:r>
      <w:r>
        <w:t>通过甲方审核，乙方向甲方提供合法足额的增值税专用发票</w:t>
      </w:r>
      <w:r>
        <w:rPr>
          <w:rFonts w:hint="eastAsia" w:ascii="宋体" w:cs="宋体"/>
          <w:snapToGrid w:val="0"/>
          <w:kern w:val="0"/>
        </w:rPr>
        <w:t>，</w:t>
      </w:r>
      <w:r>
        <w:t xml:space="preserve">甲方收到发票并确认无误后15个工作日内，支付合同总额的30%，即 </w:t>
      </w:r>
      <w:r>
        <w:rPr>
          <w:u w:val="single"/>
        </w:rPr>
        <w:t xml:space="preserve">      元</w:t>
      </w:r>
      <w:r>
        <w:t>（大写： 元整  ）</w:t>
      </w:r>
    </w:p>
    <w:p>
      <w:pPr>
        <w:spacing w:line="360" w:lineRule="auto"/>
        <w:ind w:firstLine="480"/>
        <w:rPr>
          <w:rFonts w:hint="eastAsia" w:ascii="宋体" w:cs="宋体"/>
          <w:snapToGrid w:val="0"/>
          <w:kern w:val="0"/>
        </w:rPr>
      </w:pPr>
      <w:r>
        <w:t>7.2.2按照合同约定，</w:t>
      </w:r>
      <w:r>
        <w:rPr>
          <w:rFonts w:hint="eastAsia" w:ascii="宋体" w:cs="宋体"/>
          <w:snapToGrid w:val="0"/>
          <w:kern w:val="0"/>
        </w:rPr>
        <w:t>在项目验收合格后</w:t>
      </w:r>
      <w:r>
        <w:rPr>
          <w:rFonts w:hint="eastAsia" w:cs="宋体"/>
          <w:snapToGrid w:val="0"/>
          <w:kern w:val="0"/>
        </w:rPr>
        <w:t>10</w:t>
      </w:r>
      <w:r>
        <w:rPr>
          <w:rFonts w:hint="eastAsia" w:ascii="宋体" w:cs="宋体"/>
          <w:snapToGrid w:val="0"/>
          <w:kern w:val="0"/>
        </w:rPr>
        <w:t>个工作日内，</w:t>
      </w:r>
      <w:r>
        <w:t>乙方向甲方提供合法足额的增值税专用发票，甲方收到发票并确认无误后15个工作日内，支付合同总额的60%</w:t>
      </w:r>
      <w:r>
        <w:rPr>
          <w:rFonts w:hint="eastAsia" w:ascii="宋体" w:cs="宋体"/>
          <w:snapToGrid w:val="0"/>
          <w:kern w:val="0"/>
        </w:rPr>
        <w:t>,</w:t>
      </w:r>
      <w:r>
        <w:t xml:space="preserve">即 </w:t>
      </w:r>
      <w:r>
        <w:rPr>
          <w:u w:val="single"/>
        </w:rPr>
        <w:t xml:space="preserve">      元</w:t>
      </w:r>
      <w:r>
        <w:t>（大写： 元整  ）</w:t>
      </w:r>
    </w:p>
    <w:p>
      <w:pPr>
        <w:topLinePunct/>
        <w:spacing w:line="360" w:lineRule="auto"/>
        <w:ind w:firstLine="480"/>
        <w:contextualSpacing/>
        <w:rPr>
          <w:rFonts w:hint="eastAsia"/>
        </w:rPr>
      </w:pPr>
      <w:r>
        <w:t>7.2.3乙方</w:t>
      </w:r>
      <w:r>
        <w:rPr>
          <w:rFonts w:hint="eastAsia" w:cs="宋体"/>
          <w:snapToGrid w:val="0"/>
          <w:kern w:val="0"/>
        </w:rPr>
        <w:t>完成审计工作验收通过后满3个月后，在审计抽样范围内，未发生重大信息科技风险或该风险已风险提示</w:t>
      </w:r>
      <w:r>
        <w:t>，乙方向甲方提供合法足额的增值税专用发票，甲方收到发票并确认无误后15个工作日内，支付合同总额的10%，即</w:t>
      </w:r>
      <w:r>
        <w:rPr>
          <w:u w:val="single"/>
        </w:rPr>
        <w:t xml:space="preserve">      元</w:t>
      </w:r>
      <w:r>
        <w:t>（大写：元整 ）。</w:t>
      </w:r>
    </w:p>
    <w:p>
      <w:pPr>
        <w:pStyle w:val="10"/>
        <w:tabs>
          <w:tab w:val="right" w:pos="0"/>
        </w:tabs>
        <w:spacing w:line="520" w:lineRule="exact"/>
        <w:ind w:left="480" w:right="17" w:firstLine="482"/>
        <w:rPr>
          <w:rFonts w:hint="eastAsia"/>
          <w:b/>
        </w:rPr>
      </w:pPr>
      <w:r>
        <w:rPr>
          <w:b/>
        </w:rPr>
        <w:t>第八条  保密条款</w:t>
      </w:r>
    </w:p>
    <w:p>
      <w:pPr>
        <w:topLinePunct/>
        <w:spacing w:line="360" w:lineRule="auto"/>
        <w:ind w:firstLine="480"/>
        <w:contextualSpacing/>
        <w:rPr>
          <w:rFonts w:hint="eastAsia"/>
          <w:snapToGrid w:val="0"/>
          <w:kern w:val="0"/>
        </w:rPr>
      </w:pPr>
      <w:r>
        <w:t>8.1 本合</w:t>
      </w:r>
      <w:r>
        <w:rPr>
          <w:snapToGrid w:val="0"/>
          <w:kern w:val="0"/>
        </w:rPr>
        <w:t>同项下的所有条款。乙方外包人员入场前须与甲方签订相应诚信安全承诺书。</w:t>
      </w:r>
    </w:p>
    <w:p>
      <w:pPr>
        <w:topLinePunct/>
        <w:spacing w:line="360" w:lineRule="auto"/>
        <w:ind w:firstLine="480"/>
        <w:contextualSpacing/>
        <w:rPr>
          <w:rFonts w:hint="eastAsia"/>
          <w:snapToGrid w:val="0"/>
          <w:kern w:val="0"/>
        </w:rPr>
      </w:pPr>
      <w:r>
        <w:rPr>
          <w:snapToGrid w:val="0"/>
          <w:kern w:val="0"/>
        </w:rPr>
        <w:t>8.2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topLinePunct/>
        <w:spacing w:line="360" w:lineRule="auto"/>
        <w:ind w:firstLine="480"/>
        <w:contextualSpacing/>
        <w:rPr>
          <w:rFonts w:hint="eastAsia"/>
        </w:rPr>
      </w:pPr>
      <w:r>
        <w:rPr>
          <w:snapToGrid w:val="0"/>
          <w:kern w:val="0"/>
        </w:rPr>
        <w:t>8.3 乙方不得以甲方名义开展活动，不得将甲方数据、信息以任何形式转移、挪用或谋取</w:t>
      </w:r>
      <w:r>
        <w:t>合同约定以外的利益。</w:t>
      </w:r>
    </w:p>
    <w:p>
      <w:pPr>
        <w:topLinePunct/>
        <w:spacing w:line="360" w:lineRule="auto"/>
        <w:ind w:firstLine="480"/>
        <w:contextualSpacing/>
        <w:rPr>
          <w:rFonts w:hint="eastAsia"/>
          <w:snapToGrid w:val="0"/>
          <w:kern w:val="0"/>
        </w:rPr>
      </w:pPr>
      <w:r>
        <w:t>8.4乙方</w:t>
      </w:r>
      <w:r>
        <w:rPr>
          <w:snapToGrid w:val="0"/>
          <w:kern w:val="0"/>
        </w:rPr>
        <w:t>知道违反本条规定将给甲方客户权利以及甲方造成难以弥补的损失，为此同意承担由此产生的经济上和法律上的责任。</w:t>
      </w:r>
    </w:p>
    <w:p>
      <w:pPr>
        <w:topLinePunct/>
        <w:spacing w:line="360" w:lineRule="auto"/>
        <w:ind w:firstLine="480"/>
        <w:contextualSpacing/>
        <w:rPr>
          <w:rFonts w:hint="eastAsia"/>
          <w:snapToGrid w:val="0"/>
          <w:kern w:val="0"/>
        </w:rPr>
      </w:pPr>
      <w:r>
        <w:rPr>
          <w:snapToGrid w:val="0"/>
          <w:kern w:val="0"/>
        </w:rPr>
        <w:t>8.5 乙方承认本合同中的技术资料和技术秘密为甲方所专有，将其对乙方进行披露并不意味着任何所有权、专利权的转让。</w:t>
      </w:r>
    </w:p>
    <w:p>
      <w:pPr>
        <w:topLinePunct/>
        <w:spacing w:line="360" w:lineRule="auto"/>
        <w:ind w:firstLine="480"/>
        <w:contextualSpacing/>
        <w:rPr>
          <w:rFonts w:hint="eastAsia"/>
        </w:rPr>
      </w:pPr>
      <w:r>
        <w:rPr>
          <w:snapToGrid w:val="0"/>
          <w:kern w:val="0"/>
        </w:rPr>
        <w:t>8.6在本合同项目的研究结束并通过验收后，乙方应向甲方提供本合同项目的研究成果，包括技术规范、质量标准等相关的技术资料，或者计算机软件、文档等。</w:t>
      </w:r>
      <w:r>
        <w:t>乙方应归还甲方提供的所有技术资料或文件等，并承诺不保留任何复印件。</w:t>
      </w:r>
    </w:p>
    <w:p>
      <w:pPr>
        <w:topLinePunct/>
        <w:spacing w:line="360" w:lineRule="auto"/>
        <w:ind w:firstLine="480"/>
        <w:contextualSpacing/>
        <w:rPr>
          <w:rFonts w:hint="eastAsia"/>
          <w:snapToGrid w:val="0"/>
          <w:kern w:val="0"/>
        </w:rPr>
      </w:pPr>
      <w:r>
        <w:t>8.7乙方在</w:t>
      </w:r>
      <w:r>
        <w:rPr>
          <w:snapToGrid w:val="0"/>
          <w:kern w:val="0"/>
        </w:rPr>
        <w:t>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topLinePunct/>
        <w:spacing w:line="360" w:lineRule="auto"/>
        <w:ind w:firstLine="480"/>
        <w:contextualSpacing/>
        <w:rPr>
          <w:rFonts w:hint="eastAsia"/>
        </w:rPr>
      </w:pPr>
      <w:r>
        <w:rPr>
          <w:snapToGrid w:val="0"/>
          <w:kern w:val="0"/>
        </w:rPr>
        <w:t>8.8 除非甲方特别声明，乙方对于保密信息的保密义务为无限期保密，直至甲方宣布解密或者保密信息</w:t>
      </w:r>
      <w:r>
        <w:t>实际上已经公开。</w:t>
      </w:r>
    </w:p>
    <w:p>
      <w:pPr>
        <w:topLinePunct/>
        <w:spacing w:line="360" w:lineRule="auto"/>
        <w:ind w:firstLine="480"/>
        <w:contextualSpacing/>
        <w:rPr>
          <w:rFonts w:hint="eastAsia"/>
        </w:rPr>
      </w:pPr>
      <w:r>
        <w:t>8.9 任何一方违反本章约定均被视为违约，违约方应承担违约责任。</w:t>
      </w:r>
    </w:p>
    <w:p>
      <w:pPr>
        <w:pStyle w:val="10"/>
        <w:tabs>
          <w:tab w:val="right" w:pos="0"/>
        </w:tabs>
        <w:spacing w:line="520" w:lineRule="exact"/>
        <w:ind w:left="480" w:right="17" w:firstLine="482"/>
        <w:rPr>
          <w:rFonts w:hint="eastAsia"/>
          <w:b/>
        </w:rPr>
      </w:pPr>
      <w:r>
        <w:rPr>
          <w:b/>
        </w:rPr>
        <w:t>第九条  合同的解除和终止</w:t>
      </w:r>
    </w:p>
    <w:p>
      <w:pPr>
        <w:topLinePunct/>
        <w:spacing w:line="360" w:lineRule="auto"/>
        <w:ind w:firstLine="480"/>
        <w:contextualSpacing/>
        <w:rPr>
          <w:rFonts w:hint="eastAsia"/>
        </w:rPr>
      </w:pPr>
      <w:r>
        <w:t>9.1 如果满足以下条件，任一方在通知对方后，都可以解除本合同：</w:t>
      </w:r>
    </w:p>
    <w:p>
      <w:pPr>
        <w:topLinePunct/>
        <w:spacing w:line="360" w:lineRule="auto"/>
        <w:ind w:firstLine="480"/>
        <w:contextualSpacing/>
        <w:rPr>
          <w:rFonts w:hint="eastAsia"/>
          <w:snapToGrid w:val="0"/>
          <w:kern w:val="0"/>
        </w:rPr>
      </w:pPr>
      <w:r>
        <w:t>（1）一方</w:t>
      </w:r>
      <w:r>
        <w:rPr>
          <w:snapToGrid w:val="0"/>
          <w:kern w:val="0"/>
        </w:rPr>
        <w:t>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topLinePunct/>
        <w:spacing w:line="360" w:lineRule="auto"/>
        <w:ind w:firstLine="480"/>
        <w:contextualSpacing/>
        <w:rPr>
          <w:rFonts w:hint="eastAsia"/>
          <w:snapToGrid w:val="0"/>
          <w:kern w:val="0"/>
        </w:rPr>
      </w:pPr>
      <w:r>
        <w:rPr>
          <w:snapToGrid w:val="0"/>
          <w:kern w:val="0"/>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w:t>
      </w:r>
      <w:r>
        <w:t>讼程序时。</w:t>
      </w:r>
    </w:p>
    <w:p>
      <w:pPr>
        <w:topLinePunct/>
        <w:spacing w:line="360" w:lineRule="auto"/>
        <w:ind w:firstLine="480"/>
        <w:contextualSpacing/>
        <w:rPr>
          <w:rFonts w:hint="eastAsia"/>
        </w:rPr>
      </w:pPr>
      <w:r>
        <w:rPr>
          <w:snapToGrid w:val="0"/>
          <w:kern w:val="0"/>
        </w:rP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w:t>
      </w:r>
      <w:r>
        <w:t>归还对方。</w:t>
      </w:r>
    </w:p>
    <w:p>
      <w:pPr>
        <w:pStyle w:val="10"/>
        <w:tabs>
          <w:tab w:val="right" w:pos="0"/>
        </w:tabs>
        <w:spacing w:line="520" w:lineRule="exact"/>
        <w:ind w:left="480" w:right="17" w:firstLine="482"/>
        <w:rPr>
          <w:rFonts w:hint="eastAsia"/>
          <w:b/>
        </w:rPr>
      </w:pPr>
      <w:r>
        <w:rPr>
          <w:b/>
        </w:rPr>
        <w:t>第十条 违约责任</w:t>
      </w:r>
    </w:p>
    <w:p>
      <w:pPr>
        <w:topLinePunct/>
        <w:spacing w:line="360" w:lineRule="auto"/>
        <w:ind w:firstLine="480"/>
        <w:contextualSpacing/>
        <w:rPr>
          <w:rFonts w:hint="eastAsia"/>
          <w:snapToGrid w:val="0"/>
          <w:kern w:val="0"/>
        </w:rPr>
      </w:pPr>
      <w:r>
        <w:t>10.1 不论本合同以上条款有任何规定，若一方违约，违约方需负责赔偿对方因此遭受的</w:t>
      </w:r>
      <w:r>
        <w:rPr>
          <w:snapToGrid w:val="0"/>
          <w:kern w:val="0"/>
        </w:rPr>
        <w:t>损失并消除对非违约方名誉造成的负面影响（如有），或按照本合同规定向对方偿付违约金。对于同一个或同一种违约行为，本合同约定的损失赔偿或违约金不能重复计算。</w:t>
      </w:r>
    </w:p>
    <w:p>
      <w:pPr>
        <w:topLinePunct/>
        <w:spacing w:line="360" w:lineRule="auto"/>
        <w:ind w:firstLine="480"/>
        <w:contextualSpacing/>
        <w:rPr>
          <w:rFonts w:hint="eastAsia"/>
          <w:snapToGrid w:val="0"/>
          <w:kern w:val="0"/>
        </w:rPr>
      </w:pPr>
      <w:r>
        <w:rPr>
          <w:snapToGrid w:val="0"/>
          <w:kern w:val="0"/>
        </w:rPr>
        <w:t>10.2 违约金的计算方法如下：</w:t>
      </w:r>
    </w:p>
    <w:p>
      <w:pPr>
        <w:topLinePunct/>
        <w:spacing w:line="360" w:lineRule="auto"/>
        <w:ind w:firstLine="480"/>
        <w:contextualSpacing/>
        <w:rPr>
          <w:rFonts w:hint="eastAsia"/>
        </w:rPr>
      </w:pPr>
      <w:r>
        <w:rPr>
          <w:snapToGrid w:val="0"/>
          <w:kern w:val="0"/>
        </w:rPr>
        <w:t>（1）因甲方原因未按本合同的规定向乙方付款的，逾期超过一个月后，每逾期一日，应向</w:t>
      </w:r>
      <w:r>
        <w:t>乙方偿付欠款金额万分之五的违约金；</w:t>
      </w:r>
    </w:p>
    <w:p>
      <w:pPr>
        <w:topLinePunct/>
        <w:spacing w:line="360" w:lineRule="auto"/>
        <w:ind w:firstLine="480"/>
        <w:contextualSpacing/>
        <w:rPr>
          <w:rFonts w:hint="eastAsia"/>
          <w:snapToGrid w:val="0"/>
          <w:kern w:val="0"/>
        </w:rPr>
      </w:pPr>
      <w:r>
        <w:t>（2）如果因为乙方原因没有在按期完成项目服务工作，每逾期一天，乙方应按照相</w:t>
      </w:r>
      <w:r>
        <w:rPr>
          <w:snapToGrid w:val="0"/>
          <w:kern w:val="0"/>
        </w:rPr>
        <w:t>应服务费的万分之五向甲方支付违约金。</w:t>
      </w:r>
    </w:p>
    <w:p>
      <w:pPr>
        <w:topLinePunct/>
        <w:spacing w:line="360" w:lineRule="auto"/>
        <w:ind w:firstLine="480"/>
        <w:contextualSpacing/>
        <w:rPr>
          <w:rFonts w:hint="eastAsia"/>
        </w:rPr>
      </w:pPr>
      <w:r>
        <w:rPr>
          <w:snapToGrid w:val="0"/>
          <w:kern w:val="0"/>
        </w:rPr>
        <w:t>10.3 如果甲</w:t>
      </w:r>
      <w:r>
        <w:t>方未履行本合同规定的付款以外的义务，致使乙方无法履行相应的义务的，除项目服务期限相应顺延外，由此产生的后果由甲方承担，乙方对此免责。</w:t>
      </w:r>
    </w:p>
    <w:p>
      <w:pPr>
        <w:topLinePunct/>
        <w:spacing w:line="360" w:lineRule="auto"/>
        <w:ind w:firstLine="480"/>
        <w:contextualSpacing/>
        <w:rPr>
          <w:rFonts w:hint="eastAsia"/>
          <w:snapToGrid w:val="0"/>
          <w:kern w:val="0"/>
        </w:rPr>
      </w:pPr>
      <w:r>
        <w:t>10.4若</w:t>
      </w:r>
      <w:r>
        <w:rPr>
          <w:snapToGrid w:val="0"/>
          <w:kern w:val="0"/>
        </w:rPr>
        <w:t>乙方未能完成甲方委托的工作任务，则承担本合同总额20%的违约金，并返还甲方已支付的费用。</w:t>
      </w:r>
    </w:p>
    <w:p>
      <w:pPr>
        <w:topLinePunct/>
        <w:spacing w:line="360" w:lineRule="auto"/>
        <w:ind w:firstLine="480"/>
        <w:contextualSpacing/>
        <w:rPr>
          <w:rFonts w:hint="eastAsia"/>
          <w:snapToGrid w:val="0"/>
          <w:kern w:val="0"/>
        </w:rPr>
      </w:pPr>
      <w:r>
        <w:rPr>
          <w:snapToGrid w:val="0"/>
          <w:kern w:val="0"/>
        </w:rPr>
        <w:t>10.5乙方将甲方支付的费用用于履行合同以外的目的，甲方有权制止并要求其纠正。如因此造成本合同项目停滞、延误或失败的，乙方应当承担给甲方造成的损失赔偿责任。</w:t>
      </w:r>
    </w:p>
    <w:p>
      <w:pPr>
        <w:topLinePunct/>
        <w:spacing w:line="360" w:lineRule="auto"/>
        <w:ind w:firstLine="480"/>
        <w:contextualSpacing/>
        <w:rPr>
          <w:rFonts w:hint="eastAsia"/>
          <w:snapToGrid w:val="0"/>
          <w:kern w:val="0"/>
        </w:rPr>
      </w:pPr>
      <w:r>
        <w:rPr>
          <w:snapToGrid w:val="0"/>
          <w:kern w:val="0"/>
        </w:rPr>
        <w:t>10.6除本条及附件3《服务水平协议（SLA）》另有约定外，乙方违反本合同任一条款的，应向甲方支付合同总额5%的违约金并赔偿甲方产生的损失。</w:t>
      </w:r>
    </w:p>
    <w:p>
      <w:pPr>
        <w:topLinePunct/>
        <w:spacing w:line="360" w:lineRule="auto"/>
        <w:ind w:firstLine="480"/>
        <w:contextualSpacing/>
        <w:rPr>
          <w:rFonts w:hint="eastAsia"/>
        </w:rPr>
      </w:pPr>
      <w:r>
        <w:rPr>
          <w:snapToGrid w:val="0"/>
          <w:kern w:val="0"/>
        </w:rPr>
        <w:t>10.7本合同</w:t>
      </w:r>
      <w:r>
        <w:t>项下乙方应支付的违约金、赔偿金等，甲方均有权从应支付给乙方的款项中优先扣除，若有不足，乙方应另行筹措资金补足。</w:t>
      </w:r>
    </w:p>
    <w:p>
      <w:pPr>
        <w:pStyle w:val="10"/>
        <w:tabs>
          <w:tab w:val="right" w:pos="0"/>
        </w:tabs>
        <w:spacing w:line="520" w:lineRule="exact"/>
        <w:ind w:left="480" w:right="16" w:firstLine="482"/>
        <w:rPr>
          <w:rFonts w:hint="eastAsia"/>
          <w:b/>
        </w:rPr>
      </w:pPr>
      <w:r>
        <w:rPr>
          <w:b/>
        </w:rPr>
        <w:t>第十一条  不可抗力</w:t>
      </w:r>
    </w:p>
    <w:p>
      <w:pPr>
        <w:topLinePunct/>
        <w:spacing w:line="360" w:lineRule="auto"/>
        <w:ind w:firstLine="480"/>
        <w:contextualSpacing/>
        <w:rPr>
          <w:rFonts w:hint="eastAsia"/>
          <w:snapToGrid w:val="0"/>
          <w:kern w:val="0"/>
        </w:rPr>
      </w:pPr>
      <w:r>
        <w:rPr>
          <w:kern w:val="0"/>
        </w:rPr>
        <w:t xml:space="preserve">11.1 </w:t>
      </w:r>
      <w:r>
        <w:rPr>
          <w:snapToGrid w:val="0"/>
          <w:kern w:val="0"/>
        </w:rPr>
        <w:t>不可抗力是指本合同生效后，发生不能预见并且对其发生和后果不能防止或避免的事件，如地震、台风、水灾、火灾、战争、传染病等，致使直接影响本合同的履行或不能按约定的条件履行。</w:t>
      </w:r>
    </w:p>
    <w:p>
      <w:pPr>
        <w:topLinePunct/>
        <w:spacing w:line="360" w:lineRule="auto"/>
        <w:ind w:firstLine="480"/>
        <w:contextualSpacing/>
        <w:rPr>
          <w:rFonts w:hint="eastAsia"/>
          <w:snapToGrid w:val="0"/>
          <w:kern w:val="0"/>
        </w:rPr>
      </w:pPr>
      <w:r>
        <w:rPr>
          <w:snapToGrid w:val="0"/>
          <w:kern w:val="0"/>
        </w:rPr>
        <w:t>11.2 发生不可抗力的一方应立即通知对方，并在十五天内提供不可抗力的详情及将有关证明文件送交对方。</w:t>
      </w:r>
    </w:p>
    <w:p>
      <w:pPr>
        <w:topLinePunct/>
        <w:spacing w:line="360" w:lineRule="auto"/>
        <w:ind w:firstLine="480"/>
        <w:contextualSpacing/>
        <w:rPr>
          <w:rFonts w:hint="eastAsia"/>
          <w:snapToGrid w:val="0"/>
          <w:kern w:val="0"/>
        </w:rPr>
      </w:pPr>
      <w:r>
        <w:rPr>
          <w:snapToGrid w:val="0"/>
          <w:kern w:val="0"/>
        </w:rPr>
        <w:t>11.3 发生不可抗力事件时，甲乙双方应协商以寻找一个合理的解决方法，并尽一切努力减轻不可抗力产生的后果。</w:t>
      </w:r>
    </w:p>
    <w:p>
      <w:pPr>
        <w:topLinePunct/>
        <w:spacing w:line="360" w:lineRule="auto"/>
        <w:ind w:firstLine="480"/>
        <w:contextualSpacing/>
        <w:rPr>
          <w:rFonts w:hint="eastAsia"/>
        </w:rPr>
      </w:pPr>
      <w:r>
        <w:rPr>
          <w:snapToGrid w:val="0"/>
          <w:kern w:val="0"/>
        </w:rPr>
        <w:t>11.4 如不可抗力事件持续三十天时，甲乙双方应友好协商解决本合同是否继续履行或终</w:t>
      </w:r>
      <w:r>
        <w:t>止的问题。</w:t>
      </w:r>
    </w:p>
    <w:p>
      <w:pPr>
        <w:pStyle w:val="10"/>
        <w:tabs>
          <w:tab w:val="right" w:pos="0"/>
        </w:tabs>
        <w:spacing w:line="520" w:lineRule="exact"/>
        <w:ind w:left="480" w:right="17" w:firstLine="482"/>
        <w:rPr>
          <w:rFonts w:hint="eastAsia"/>
          <w:b/>
        </w:rPr>
      </w:pPr>
      <w:r>
        <w:rPr>
          <w:b/>
        </w:rPr>
        <w:t>第十二条  争议解决</w:t>
      </w:r>
    </w:p>
    <w:p>
      <w:pPr>
        <w:topLinePunct/>
        <w:spacing w:line="360" w:lineRule="auto"/>
        <w:ind w:firstLine="480"/>
        <w:contextualSpacing/>
        <w:rPr>
          <w:rFonts w:hint="eastAsia"/>
        </w:rPr>
      </w:pPr>
      <w:r>
        <w:t>本合同的</w:t>
      </w:r>
      <w:r>
        <w:rPr>
          <w:snapToGrid w:val="0"/>
          <w:kern w:val="0"/>
        </w:rPr>
        <w:t>解释、效力、履行及其他事项，均适用中华人民共和国法律、法规，如无法律、法规规定，适用有关行政管理部门规章。本合同履行中双方发生任何争议，应协商解决，协商不成的，任何一方均可向本合同首部载明的甲方地址所在地有</w:t>
      </w:r>
      <w:r>
        <w:rPr>
          <w:lang w:val="zh-CN"/>
        </w:rPr>
        <w:t>管辖权的人民法院起诉</w:t>
      </w:r>
      <w:r>
        <w:t>。</w:t>
      </w:r>
    </w:p>
    <w:p>
      <w:pPr>
        <w:pStyle w:val="10"/>
        <w:tabs>
          <w:tab w:val="right" w:pos="0"/>
        </w:tabs>
        <w:spacing w:line="520" w:lineRule="exact"/>
        <w:ind w:left="480" w:right="17" w:firstLine="482"/>
        <w:rPr>
          <w:rFonts w:hint="eastAsia"/>
          <w:b/>
        </w:rPr>
      </w:pPr>
      <w:r>
        <w:rPr>
          <w:b/>
        </w:rPr>
        <w:t>第十三条 通知与送达</w:t>
      </w:r>
    </w:p>
    <w:p>
      <w:pPr>
        <w:topLinePunct/>
        <w:spacing w:line="360" w:lineRule="auto"/>
        <w:ind w:firstLine="480"/>
        <w:contextualSpacing/>
        <w:rPr>
          <w:rFonts w:hint="eastAsia"/>
        </w:rPr>
      </w:pPr>
      <w: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topLinePunct/>
        <w:spacing w:line="360" w:lineRule="auto"/>
        <w:ind w:firstLine="480"/>
        <w:contextualSpacing/>
        <w:rPr>
          <w:rFonts w:hint="eastAsia"/>
        </w:rPr>
      </w:pPr>
      <w:r>
        <w:t>发生纠纷的，本合同首部载明的地址为司法送达地址，法院、仲裁机构等有权</w:t>
      </w:r>
      <w:r>
        <w:rPr>
          <w:snapToGrid w:val="0"/>
          <w:kern w:val="0"/>
        </w:rPr>
        <w:t>机关</w:t>
      </w:r>
      <w:r>
        <w:t>依照前述地址邮寄的传票、证据、通知、裁定、判决等诉讼（仲裁）文书及执行阶段法律文书资料，无论是否签收，均视为送达，当事人承担法律责任。</w:t>
      </w:r>
    </w:p>
    <w:p>
      <w:pPr>
        <w:pStyle w:val="10"/>
        <w:tabs>
          <w:tab w:val="right" w:pos="0"/>
        </w:tabs>
        <w:spacing w:line="520" w:lineRule="exact"/>
        <w:ind w:left="480" w:right="17" w:firstLine="482"/>
        <w:rPr>
          <w:rFonts w:hint="eastAsia"/>
          <w:b/>
        </w:rPr>
      </w:pPr>
      <w:r>
        <w:rPr>
          <w:b/>
        </w:rPr>
        <w:t>第十四条  合同的补充和变更</w:t>
      </w:r>
    </w:p>
    <w:p>
      <w:pPr>
        <w:topLinePunct/>
        <w:spacing w:line="360" w:lineRule="auto"/>
        <w:ind w:firstLine="480"/>
        <w:contextualSpacing/>
        <w:rPr>
          <w:rFonts w:hint="eastAsia"/>
        </w:rPr>
      </w:pPr>
      <w:r>
        <w:t>14.1 本合同的未尽事宜，由甲乙双方友好协商，以签署补充协议约定。</w:t>
      </w:r>
    </w:p>
    <w:p>
      <w:pPr>
        <w:topLinePunct/>
        <w:spacing w:line="360" w:lineRule="auto"/>
        <w:ind w:firstLine="480"/>
        <w:contextualSpacing/>
        <w:rPr>
          <w:rFonts w:hint="eastAsia"/>
        </w:rPr>
      </w:pPr>
      <w:r>
        <w:t xml:space="preserve">14.2 </w:t>
      </w:r>
      <w:r>
        <w:rPr>
          <w:snapToGrid w:val="0"/>
          <w:kern w:val="0"/>
        </w:rPr>
        <w:t>双方</w:t>
      </w:r>
      <w:r>
        <w:t>协商一致可以对本合同进行变更。双方就变更以书面形式确认后，变更即可生效。变更后的条款替代本合同原有条款，构成本合同不可分割的一部分。</w:t>
      </w:r>
    </w:p>
    <w:p>
      <w:pPr>
        <w:pStyle w:val="10"/>
        <w:tabs>
          <w:tab w:val="right" w:pos="0"/>
        </w:tabs>
        <w:spacing w:line="520" w:lineRule="exact"/>
        <w:ind w:left="480" w:right="17" w:firstLine="482"/>
        <w:rPr>
          <w:rFonts w:hint="eastAsia"/>
          <w:b/>
        </w:rPr>
      </w:pPr>
      <w:r>
        <w:rPr>
          <w:b/>
        </w:rPr>
        <w:t>第十五条  合同的生效</w:t>
      </w:r>
    </w:p>
    <w:p>
      <w:pPr>
        <w:topLinePunct/>
        <w:spacing w:line="360" w:lineRule="auto"/>
        <w:ind w:firstLine="480"/>
        <w:contextualSpacing/>
        <w:rPr>
          <w:rFonts w:hint="eastAsia"/>
        </w:rPr>
      </w:pPr>
      <w:r>
        <w:t>甲乙双方对本合同及其全部附件内容达成一致并加盖公章后生效。</w:t>
      </w:r>
    </w:p>
    <w:p>
      <w:pPr>
        <w:pStyle w:val="10"/>
        <w:tabs>
          <w:tab w:val="right" w:pos="0"/>
        </w:tabs>
        <w:spacing w:line="520" w:lineRule="exact"/>
        <w:ind w:left="480" w:right="17" w:firstLine="482"/>
        <w:rPr>
          <w:rFonts w:hint="eastAsia"/>
          <w:b/>
        </w:rPr>
      </w:pPr>
      <w:r>
        <w:rPr>
          <w:b/>
        </w:rPr>
        <w:t>第十六条  合同附件</w:t>
      </w:r>
    </w:p>
    <w:p>
      <w:pPr>
        <w:topLinePunct/>
        <w:spacing w:line="360" w:lineRule="auto"/>
        <w:ind w:firstLine="480"/>
        <w:contextualSpacing/>
        <w:rPr>
          <w:rFonts w:hint="eastAsia"/>
        </w:rPr>
      </w:pPr>
      <w:r>
        <w:t>本合同的</w:t>
      </w:r>
      <w:r>
        <w:rPr>
          <w:snapToGrid w:val="0"/>
          <w:kern w:val="0"/>
        </w:rPr>
        <w:t>附件</w:t>
      </w:r>
      <w:r>
        <w:t>与合同正本具有同等法律效力，主合同与附件如有冲突，以主合同为准。本合同附件如下：</w:t>
      </w:r>
    </w:p>
    <w:p>
      <w:pPr>
        <w:spacing w:line="520" w:lineRule="exact"/>
        <w:ind w:firstLine="480"/>
        <w:rPr>
          <w:rFonts w:hint="eastAsia"/>
        </w:rPr>
      </w:pPr>
      <w:r>
        <w:t>附件1：工作说明书</w:t>
      </w:r>
    </w:p>
    <w:p>
      <w:pPr>
        <w:spacing w:line="520" w:lineRule="exact"/>
        <w:ind w:firstLine="480"/>
        <w:rPr>
          <w:rFonts w:hint="eastAsia"/>
        </w:rPr>
      </w:pPr>
      <w:r>
        <w:t>附件2：项目最终验收表</w:t>
      </w:r>
    </w:p>
    <w:p>
      <w:pPr>
        <w:pStyle w:val="10"/>
        <w:tabs>
          <w:tab w:val="right" w:pos="0"/>
        </w:tabs>
        <w:spacing w:line="520" w:lineRule="exact"/>
        <w:ind w:left="480" w:right="17" w:firstLine="482"/>
        <w:rPr>
          <w:rFonts w:hint="eastAsia"/>
          <w:b/>
        </w:rPr>
      </w:pPr>
      <w:r>
        <w:rPr>
          <w:b/>
        </w:rPr>
        <w:t>第十七条  其它</w:t>
      </w:r>
    </w:p>
    <w:p>
      <w:pPr>
        <w:topLinePunct/>
        <w:spacing w:line="360" w:lineRule="auto"/>
        <w:ind w:firstLine="480"/>
        <w:contextualSpacing/>
        <w:rPr>
          <w:rFonts w:hint="eastAsia"/>
        </w:rPr>
      </w:pPr>
      <w:r>
        <w:t>17.1 未经另一方的事先书面同意，任何一方不得将在本合同项下的部分或全部义务进行转让、分许可、分包。</w:t>
      </w:r>
    </w:p>
    <w:p>
      <w:pPr>
        <w:topLinePunct/>
        <w:spacing w:line="360" w:lineRule="auto"/>
        <w:ind w:firstLine="480"/>
        <w:contextualSpacing/>
        <w:rPr>
          <w:rFonts w:hint="eastAsia"/>
        </w:rPr>
      </w:pPr>
      <w:r>
        <w:t xml:space="preserve">17.2 </w:t>
      </w:r>
      <w:r>
        <w:rPr>
          <w:snapToGrid w:val="0"/>
          <w:kern w:val="0"/>
        </w:rPr>
        <w:t>双方</w:t>
      </w:r>
      <w:r>
        <w:t>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pPr>
        <w:topLinePunct/>
        <w:spacing w:line="360" w:lineRule="auto"/>
        <w:ind w:firstLine="480"/>
        <w:contextualSpacing/>
        <w:rPr>
          <w:rFonts w:hint="eastAsia"/>
        </w:rPr>
      </w:pPr>
      <w:r>
        <w:t>17.3 本合同一式肆份，双方各持贰份，具有同等法律效力。</w:t>
      </w:r>
    </w:p>
    <w:p>
      <w:pPr>
        <w:topLinePunct/>
        <w:spacing w:line="360" w:lineRule="auto"/>
        <w:ind w:firstLine="480"/>
        <w:contextualSpacing/>
        <w:rPr>
          <w:rFonts w:hint="eastAsia"/>
        </w:rPr>
      </w:pPr>
      <w:r>
        <w:t>（以下无正文）</w:t>
      </w:r>
    </w:p>
    <w:p>
      <w:pPr>
        <w:spacing w:line="520" w:lineRule="exact"/>
        <w:ind w:right="-288" w:firstLine="482"/>
        <w:rPr>
          <w:rFonts w:hint="eastAsia"/>
          <w:b/>
          <w:snapToGrid w:val="0"/>
        </w:rPr>
      </w:pPr>
      <w:r>
        <w:rPr>
          <w:b/>
        </w:rPr>
        <w:br w:type="page"/>
      </w:r>
      <w:r>
        <w:rPr>
          <w:b/>
        </w:rPr>
        <w:t>（本页无正文，为编号XXXXXXXX《XXX合同》的签署页）</w:t>
      </w:r>
    </w:p>
    <w:p>
      <w:pPr>
        <w:spacing w:line="520" w:lineRule="exact"/>
        <w:ind w:right="-288" w:firstLine="482"/>
        <w:rPr>
          <w:rFonts w:hint="eastAsia"/>
          <w:b/>
          <w:snapToGrid w:val="0"/>
        </w:rPr>
      </w:pPr>
      <w:r>
        <w:rPr>
          <w:b/>
          <w:snapToGrid w:val="0"/>
        </w:rPr>
        <w:t>甲方：重庆三峡银行股份有限公司         乙方：XXXXXXXXX</w:t>
      </w:r>
    </w:p>
    <w:p>
      <w:pPr>
        <w:spacing w:line="520" w:lineRule="exact"/>
        <w:ind w:right="-288" w:firstLine="482"/>
        <w:rPr>
          <w:rFonts w:hint="eastAsia"/>
          <w:b/>
          <w:snapToGrid w:val="0"/>
        </w:rPr>
      </w:pPr>
    </w:p>
    <w:p>
      <w:pPr>
        <w:spacing w:line="520" w:lineRule="exact"/>
        <w:ind w:right="-429" w:firstLine="480"/>
        <w:rPr>
          <w:rFonts w:hint="eastAsia"/>
          <w:snapToGrid w:val="0"/>
          <w:u w:val="single"/>
        </w:rPr>
      </w:pPr>
      <w:r>
        <w:rPr>
          <w:snapToGrid w:val="0"/>
        </w:rPr>
        <w:t xml:space="preserve"> (盖章)：_____________                （盖章）：</w:t>
      </w:r>
    </w:p>
    <w:p>
      <w:pPr>
        <w:spacing w:line="520" w:lineRule="exact"/>
        <w:ind w:right="-429" w:firstLine="480"/>
        <w:rPr>
          <w:rFonts w:hint="eastAsia"/>
          <w:snapToGrid w:val="0"/>
          <w:u w:val="single"/>
        </w:rPr>
      </w:pPr>
    </w:p>
    <w:p>
      <w:pPr>
        <w:spacing w:line="520" w:lineRule="exact"/>
        <w:ind w:right="-429" w:firstLine="480"/>
        <w:rPr>
          <w:rFonts w:hint="eastAsia"/>
          <w:snapToGrid w:val="0"/>
        </w:rPr>
      </w:pPr>
      <w:r>
        <w:rPr>
          <w:snapToGrid w:val="0"/>
        </w:rPr>
        <w:t>日期：                                 日期：</w:t>
      </w:r>
    </w:p>
    <w:p>
      <w:pPr>
        <w:pStyle w:val="17"/>
        <w:spacing w:before="0" w:after="0" w:line="520" w:lineRule="exact"/>
        <w:ind w:firstLine="482"/>
        <w:jc w:val="left"/>
        <w:outlineLvl w:val="9"/>
        <w:rPr>
          <w:snapToGrid w:val="0"/>
          <w:color w:val="auto"/>
          <w:sz w:val="24"/>
          <w:szCs w:val="24"/>
        </w:rPr>
      </w:pPr>
      <w:r>
        <w:rPr>
          <w:snapToGrid w:val="0"/>
          <w:sz w:val="24"/>
          <w:szCs w:val="24"/>
        </w:rPr>
        <w:br w:type="page"/>
      </w:r>
      <w:r>
        <w:rPr>
          <w:snapToGrid w:val="0"/>
          <w:color w:val="auto"/>
          <w:sz w:val="24"/>
          <w:szCs w:val="24"/>
        </w:rPr>
        <w:t>附件1</w:t>
      </w:r>
    </w:p>
    <w:p>
      <w:pPr>
        <w:pStyle w:val="17"/>
        <w:spacing w:before="0" w:after="0" w:line="520" w:lineRule="exact"/>
        <w:ind w:firstLine="482"/>
        <w:outlineLvl w:val="9"/>
        <w:rPr>
          <w:snapToGrid w:val="0"/>
          <w:color w:val="auto"/>
          <w:sz w:val="24"/>
          <w:szCs w:val="24"/>
        </w:rPr>
      </w:pPr>
      <w:r>
        <w:rPr>
          <w:snapToGrid w:val="0"/>
          <w:color w:val="auto"/>
          <w:sz w:val="24"/>
          <w:szCs w:val="24"/>
        </w:rPr>
        <w:t>工作说明书</w:t>
      </w:r>
    </w:p>
    <w:p>
      <w:pPr>
        <w:ind w:firstLine="480"/>
        <w:rPr>
          <w:rFonts w:hint="eastAsia"/>
        </w:rPr>
      </w:pPr>
      <w:r>
        <w:rPr>
          <w:szCs w:val="30"/>
        </w:rPr>
        <w:t>第一条 项目实施要求</w:t>
      </w:r>
    </w:p>
    <w:p>
      <w:pPr>
        <w:ind w:firstLine="480"/>
        <w:rPr>
          <w:rFonts w:hint="eastAsia"/>
        </w:rPr>
      </w:pPr>
      <w:r>
        <w:t>1.1 审计目的</w:t>
      </w:r>
    </w:p>
    <w:p>
      <w:pPr>
        <w:ind w:firstLine="480"/>
        <w:rPr>
          <w:rFonts w:hint="eastAsia"/>
        </w:rPr>
      </w:pPr>
      <w:r>
        <w:t>通过完成本次审计，充分识别和评估信息科技风险，评价控制措施效果，加强和规范我行信息科技内部控制，提高信息科技管理水平和风险防控能力，确保信息系统可用性、安全性、完整性、有效性，促使我行信息科技规划和建设与我行战略规划保持一致，更好地支撑我行业务发展。</w:t>
      </w:r>
    </w:p>
    <w:p>
      <w:pPr>
        <w:ind w:firstLine="480"/>
        <w:rPr>
          <w:rFonts w:hint="eastAsia"/>
        </w:rPr>
      </w:pPr>
      <w:r>
        <w:t>1.2 审计依据</w:t>
      </w:r>
    </w:p>
    <w:p>
      <w:pPr>
        <w:ind w:firstLine="480"/>
        <w:rPr>
          <w:rFonts w:hint="eastAsia"/>
        </w:rPr>
      </w:pPr>
      <w:r>
        <w:t>依据包括外部法律法规、监管文件、我行内部现有制度规范以及国内外信息科技风险管理最佳实践和行业标准，开展信息科技审计。</w:t>
      </w:r>
    </w:p>
    <w:p>
      <w:pPr>
        <w:ind w:firstLine="480"/>
        <w:rPr>
          <w:rFonts w:hint="eastAsia"/>
        </w:rPr>
      </w:pPr>
      <w:r>
        <w:t>1.3 工作范围及内容</w:t>
      </w:r>
    </w:p>
    <w:p>
      <w:pPr>
        <w:ind w:firstLine="480"/>
        <w:rPr>
          <w:rFonts w:hint="eastAsia"/>
        </w:rPr>
      </w:pPr>
      <w:r>
        <w:t>本次审计项目的主要范围主要包括但不限于：</w:t>
      </w:r>
    </w:p>
    <w:p>
      <w:pPr>
        <w:ind w:firstLine="480"/>
        <w:rPr>
          <w:rFonts w:asciiTheme="minorEastAsia" w:hAnsiTheme="minorEastAsia" w:eastAsiaTheme="minorEastAsia"/>
          <w:b/>
          <w:bCs/>
          <w:szCs w:val="24"/>
        </w:rPr>
      </w:pPr>
      <w:r>
        <w:t>1.3.1</w:t>
      </w:r>
      <w:r>
        <w:rPr>
          <w:rFonts w:hint="eastAsia" w:cs="宋体" w:asciiTheme="minorEastAsia" w:hAnsiTheme="minorEastAsia" w:eastAsiaTheme="minorEastAsia"/>
          <w:bCs/>
          <w:kern w:val="0"/>
          <w:szCs w:val="24"/>
        </w:rPr>
        <w:t>对信息科技风险管理现状进行审计，主要包含信息科技治理、信息科技风险管理、信息安全、信息系统开发测试和维护、信息科技运行、业务连续性管理、外包管理、内外部审计等八大领域和新技术应用风险。</w:t>
      </w:r>
    </w:p>
    <w:p>
      <w:pPr>
        <w:ind w:firstLine="480"/>
        <w:rPr>
          <w:rFonts w:asciiTheme="minorEastAsia" w:hAnsiTheme="minorEastAsia" w:eastAsiaTheme="minorEastAsia"/>
          <w:b/>
          <w:bCs/>
          <w:szCs w:val="24"/>
        </w:rPr>
      </w:pPr>
      <w:r>
        <w:rPr>
          <w:szCs w:val="21"/>
        </w:rPr>
        <w:t xml:space="preserve">1.3.2 </w:t>
      </w:r>
      <w:r>
        <w:rPr>
          <w:rFonts w:hint="eastAsia" w:cs="宋体" w:asciiTheme="minorEastAsia" w:hAnsiTheme="minorEastAsia" w:eastAsiaTheme="minorEastAsia"/>
          <w:bCs/>
          <w:kern w:val="0"/>
          <w:szCs w:val="24"/>
        </w:rPr>
        <w:t>重点关注数据安全。需对开发测试场景中的数据安全管理情况、运维场景中访问数据库能够接触客户信息的规范情况、业务营销人员在营销分析和经营管理过程中采集、访问客户信息和重要数据的管理情况、对外交互数据的管理情况、隐私合规情况进行审计。选择包括制卡、支付等</w:t>
      </w:r>
      <w:r>
        <w:rPr>
          <w:rFonts w:cs="Times New Roman" w:asciiTheme="minorEastAsia" w:hAnsiTheme="minorEastAsia" w:eastAsiaTheme="minorEastAsia"/>
          <w:bCs/>
          <w:kern w:val="0"/>
          <w:szCs w:val="24"/>
        </w:rPr>
        <w:t>3-5</w:t>
      </w:r>
      <w:r>
        <w:rPr>
          <w:rFonts w:hint="eastAsia" w:cs="宋体" w:asciiTheme="minorEastAsia" w:hAnsiTheme="minorEastAsia" w:eastAsiaTheme="minorEastAsia"/>
          <w:bCs/>
          <w:kern w:val="0"/>
          <w:szCs w:val="24"/>
        </w:rPr>
        <w:t>个具体业务，从信息的采集、使用与变更、传递与共享、保管等方面对业务流程中的个人信息保护工作的合规性和安全性开展审计。</w:t>
      </w:r>
    </w:p>
    <w:p>
      <w:pPr>
        <w:ind w:firstLine="480"/>
        <w:rPr>
          <w:rFonts w:asciiTheme="minorEastAsia" w:hAnsiTheme="minorEastAsia" w:eastAsiaTheme="minorEastAsia"/>
          <w:b/>
          <w:bCs/>
          <w:szCs w:val="24"/>
        </w:rPr>
      </w:pPr>
      <w:r>
        <w:rPr>
          <w:szCs w:val="21"/>
        </w:rPr>
        <w:t xml:space="preserve">1.3.3 </w:t>
      </w:r>
      <w:r>
        <w:rPr>
          <w:rFonts w:hint="eastAsia" w:cs="宋体" w:asciiTheme="minorEastAsia" w:hAnsiTheme="minorEastAsia" w:eastAsiaTheme="minorEastAsia"/>
          <w:bCs/>
          <w:kern w:val="0"/>
          <w:szCs w:val="24"/>
        </w:rPr>
        <w:t>重点关注网络安全。需对网络安全的管理活动进行审计，对网络安全架构、事态感知、漏洞与加固管理、入侵检测与监控情况进行审计。</w:t>
      </w:r>
    </w:p>
    <w:p>
      <w:pPr>
        <w:ind w:firstLine="480"/>
        <w:rPr>
          <w:rFonts w:asciiTheme="minorEastAsia" w:hAnsiTheme="minorEastAsia" w:eastAsiaTheme="minorEastAsia"/>
          <w:b/>
          <w:bCs/>
          <w:szCs w:val="24"/>
        </w:rPr>
      </w:pPr>
      <w:r>
        <w:rPr>
          <w:szCs w:val="21"/>
        </w:rPr>
        <w:t xml:space="preserve">1.3.4 </w:t>
      </w:r>
      <w:r>
        <w:rPr>
          <w:rFonts w:hint="eastAsia" w:cs="宋体" w:asciiTheme="minorEastAsia" w:hAnsiTheme="minorEastAsia" w:eastAsiaTheme="minorEastAsia"/>
          <w:bCs/>
          <w:kern w:val="0"/>
          <w:szCs w:val="24"/>
        </w:rPr>
        <w:t>重点关注业务连续性管理。对我行业务影响分析、业务连续性计划、业务连续性资源建设、应急监控报告与处置、业务连续性演练、持续改进与监督等方面进行审计。</w:t>
      </w:r>
    </w:p>
    <w:p>
      <w:pPr>
        <w:ind w:firstLine="480"/>
        <w:rPr>
          <w:rFonts w:asciiTheme="minorEastAsia" w:hAnsiTheme="minorEastAsia" w:eastAsiaTheme="minorEastAsia"/>
          <w:b/>
          <w:bCs/>
          <w:szCs w:val="24"/>
        </w:rPr>
      </w:pPr>
      <w:r>
        <w:rPr>
          <w:szCs w:val="21"/>
        </w:rPr>
        <w:t xml:space="preserve">1.3.5 </w:t>
      </w:r>
      <w:r>
        <w:rPr>
          <w:rFonts w:hint="eastAsia" w:cs="宋体" w:asciiTheme="minorEastAsia" w:hAnsiTheme="minorEastAsia" w:eastAsiaTheme="minorEastAsia"/>
          <w:bCs/>
          <w:kern w:val="0"/>
          <w:szCs w:val="24"/>
        </w:rPr>
        <w:t>重点关注架构管理。对我行信息科技运维和研发管理架构、技术架构（不限于基础设施层、应用层、中间件层、安全层、数据层）的架构规划、建设和执行等方面进行审计。</w:t>
      </w:r>
    </w:p>
    <w:p>
      <w:pPr>
        <w:ind w:firstLine="480"/>
        <w:rPr>
          <w:rFonts w:asciiTheme="minorEastAsia" w:hAnsiTheme="minorEastAsia" w:eastAsiaTheme="minorEastAsia"/>
          <w:b/>
          <w:bCs/>
          <w:szCs w:val="24"/>
        </w:rPr>
      </w:pPr>
      <w:r>
        <w:rPr>
          <w:szCs w:val="21"/>
        </w:rPr>
        <w:t xml:space="preserve">1.3.6 </w:t>
      </w:r>
      <w:r>
        <w:rPr>
          <w:rFonts w:hint="eastAsia" w:cs="宋体" w:asciiTheme="minorEastAsia" w:hAnsiTheme="minorEastAsia" w:eastAsiaTheme="minorEastAsia"/>
          <w:bCs/>
          <w:kern w:val="0"/>
          <w:szCs w:val="24"/>
          <w:lang w:val="en-GB"/>
        </w:rPr>
        <w:t>对数字化建设项目绩效进行评价。根据我行数字化能力现状，对数字化投入的经济性、科学性和项目建设效益进行评价。重要从信息科技项目的质量管理、合规管理、投入规模、项目效益等方面开展评价工作。</w:t>
      </w:r>
    </w:p>
    <w:p>
      <w:pPr>
        <w:ind w:firstLine="480"/>
        <w:rPr>
          <w:rFonts w:asciiTheme="minorEastAsia" w:hAnsiTheme="minorEastAsia" w:eastAsiaTheme="minorEastAsia"/>
          <w:b/>
          <w:bCs/>
          <w:szCs w:val="24"/>
        </w:rPr>
      </w:pPr>
      <w:r>
        <w:rPr>
          <w:szCs w:val="21"/>
        </w:rPr>
        <w:t xml:space="preserve">1.3.7 </w:t>
      </w:r>
      <w:r>
        <w:rPr>
          <w:rFonts w:hint="eastAsia" w:cs="宋体" w:asciiTheme="minorEastAsia" w:hAnsiTheme="minorEastAsia" w:eastAsiaTheme="minorEastAsia"/>
          <w:bCs/>
          <w:kern w:val="0"/>
          <w:szCs w:val="24"/>
          <w:lang w:val="en-GB"/>
        </w:rPr>
        <w:t>监督被审计对象的整改情况。对于无效或不完善的整改措施，应提供整改解决方案。在项目报告完成后的六个月内监督审计整改完成情况。</w:t>
      </w:r>
    </w:p>
    <w:p>
      <w:pPr>
        <w:ind w:firstLine="480"/>
        <w:rPr>
          <w:rFonts w:hint="eastAsia"/>
        </w:rPr>
      </w:pPr>
      <w:r>
        <w:t xml:space="preserve">第二条 </w:t>
      </w:r>
      <w:r>
        <w:rPr>
          <w:rFonts w:hint="eastAsia"/>
        </w:rPr>
        <w:t>本项目需提交相关文档</w:t>
      </w:r>
      <w:r>
        <w:t>及成果管理</w:t>
      </w:r>
    </w:p>
    <w:p>
      <w:pPr>
        <w:ind w:firstLine="480"/>
        <w:rPr>
          <w:rFonts w:hint="eastAsia"/>
        </w:rPr>
      </w:pPr>
      <w:r>
        <w:t>2.1</w:t>
      </w:r>
      <w:r>
        <w:rPr>
          <w:rFonts w:hint="eastAsia"/>
        </w:rPr>
        <w:t xml:space="preserve"> 出具审计报告，包括信息科技全面审计报告、业务连续性管理专项审计报告、数字化转型评价报告。</w:t>
      </w:r>
    </w:p>
    <w:p>
      <w:pPr>
        <w:ind w:firstLine="480"/>
        <w:rPr>
          <w:rFonts w:hint="eastAsia"/>
        </w:rPr>
      </w:pPr>
      <w:r>
        <w:t>2.</w:t>
      </w:r>
      <w:r>
        <w:rPr>
          <w:rFonts w:hint="eastAsia"/>
        </w:rPr>
        <w:t>2 开展项目过程产生的文档，包括但不限于项目执行方案、过程调阅资料、工作底稿、情况记录、访谈提纲及纪要、问题台账、事实确认书、管理建议书等。</w:t>
      </w:r>
    </w:p>
    <w:p>
      <w:pPr>
        <w:ind w:firstLine="480"/>
        <w:rPr>
          <w:rFonts w:hint="eastAsia"/>
        </w:rPr>
      </w:pPr>
      <w:r>
        <w:rPr>
          <w:rFonts w:hint="eastAsia"/>
        </w:rPr>
        <w:t xml:space="preserve">2.3 </w:t>
      </w:r>
      <w:r>
        <w:t>乙方</w:t>
      </w:r>
      <w:r>
        <w:rPr>
          <w:rFonts w:hint="eastAsia"/>
        </w:rPr>
        <w:t>在项目实施阶段及交付完成后均应对我行的制度、流程及相关查阅文档内容进行严格保密。</w:t>
      </w:r>
    </w:p>
    <w:p>
      <w:pPr>
        <w:ind w:firstLine="480"/>
        <w:rPr>
          <w:rFonts w:hint="eastAsia"/>
        </w:rPr>
      </w:pPr>
      <w:r>
        <w:rPr>
          <w:rFonts w:hint="eastAsia"/>
        </w:rPr>
        <w:t xml:space="preserve">2.4 </w:t>
      </w:r>
      <w:r>
        <w:t>乙方</w:t>
      </w:r>
      <w:r>
        <w:rPr>
          <w:rFonts w:hint="eastAsia"/>
        </w:rPr>
        <w:t>的项目交付成果应能真实、全面、准确、完整反映我行当前风险管理现状，交付文档应符合本次项目要求并遵照我行相关档案格式要求，提供包括但不限于项目过程文档资料、审计（评价）报告、工作底稿、情况记录、问题台账等。同时，项目实施过程中采取的工具、方法及标准，应于项目结束后转交我行，并提供相应的人员培训。</w:t>
      </w:r>
    </w:p>
    <w:p>
      <w:pPr>
        <w:ind w:firstLine="480"/>
        <w:rPr>
          <w:rFonts w:hint="eastAsia"/>
        </w:rPr>
      </w:pPr>
      <w:r>
        <w:t>第三条 人员要求及管理</w:t>
      </w:r>
    </w:p>
    <w:p>
      <w:pPr>
        <w:ind w:firstLine="480"/>
        <w:rPr>
          <w:rFonts w:hint="eastAsia"/>
        </w:rPr>
      </w:pPr>
      <w:r>
        <w:t>3.1 人员要求</w:t>
      </w:r>
    </w:p>
    <w:p>
      <w:pPr>
        <w:ind w:firstLine="480"/>
        <w:rPr>
          <w:rFonts w:hint="eastAsia"/>
        </w:rPr>
      </w:pPr>
      <w:r>
        <w:t>本项目实施团队应具备相应专业技术能力和相关项目的管理实施经验，乙方人员资质要求如下：</w:t>
      </w:r>
    </w:p>
    <w:p>
      <w:pPr>
        <w:ind w:firstLine="480"/>
        <w:rPr>
          <w:rFonts w:hint="eastAsia"/>
        </w:rPr>
      </w:pPr>
      <w:r>
        <w:t>3.1.1 项目负责人：</w:t>
      </w:r>
      <w:r>
        <w:rPr>
          <w:rFonts w:hint="eastAsia"/>
        </w:rPr>
        <w:t>负责项目总体方向把握，</w:t>
      </w:r>
      <w:r>
        <w:t>具有</w:t>
      </w:r>
      <w:r>
        <w:rPr>
          <w:rFonts w:hint="eastAsia"/>
        </w:rPr>
        <w:t>与</w:t>
      </w:r>
      <w:r>
        <w:t>甲方</w:t>
      </w:r>
      <w:r>
        <w:rPr>
          <w:rFonts w:hint="eastAsia"/>
        </w:rPr>
        <w:t>“行长级”、其他参与方高层沟通与协调</w:t>
      </w:r>
      <w:r>
        <w:t>、</w:t>
      </w:r>
      <w:r>
        <w:rPr>
          <w:rFonts w:hint="eastAsia"/>
        </w:rPr>
        <w:t>参与项目重大决策事项的能力。</w:t>
      </w:r>
      <w:r>
        <w:t>1</w:t>
      </w:r>
      <w:r>
        <w:rPr>
          <w:rFonts w:hint="eastAsia"/>
        </w:rPr>
        <w:t>0</w:t>
      </w:r>
      <w:r>
        <w:t>年以上信息科技</w:t>
      </w:r>
      <w:r>
        <w:rPr>
          <w:rFonts w:hint="eastAsia"/>
        </w:rPr>
        <w:t>咨询</w:t>
      </w:r>
      <w:r>
        <w:t>、审计等相关经验，并具备至少5个银行业</w:t>
      </w:r>
      <w:r>
        <w:rPr>
          <w:rFonts w:hint="eastAsia"/>
        </w:rPr>
        <w:t>信息科技</w:t>
      </w:r>
      <w:r>
        <w:t>审计项目负责人经验。</w:t>
      </w:r>
    </w:p>
    <w:p>
      <w:pPr>
        <w:ind w:firstLine="480"/>
        <w:rPr>
          <w:rFonts w:hint="eastAsia"/>
        </w:rPr>
      </w:pPr>
      <w:r>
        <w:t xml:space="preserve">3.1.2 </w:t>
      </w:r>
      <w:r>
        <w:rPr>
          <w:rFonts w:hint="eastAsia"/>
        </w:rPr>
        <w:t>驻场</w:t>
      </w:r>
      <w:r>
        <w:t>负责人：8年以上信息科技咨询、审计等相关经验，并具备至少</w:t>
      </w:r>
      <w:r>
        <w:rPr>
          <w:rFonts w:hint="eastAsia"/>
        </w:rPr>
        <w:t>5</w:t>
      </w:r>
      <w:r>
        <w:t>个银行业</w:t>
      </w:r>
      <w:r>
        <w:rPr>
          <w:rFonts w:hint="eastAsia"/>
        </w:rPr>
        <w:t>信息科技</w:t>
      </w:r>
      <w:r>
        <w:t>审计项目经理经验。</w:t>
      </w:r>
    </w:p>
    <w:p>
      <w:pPr>
        <w:ind w:firstLine="480"/>
        <w:rPr>
          <w:rFonts w:hint="eastAsia"/>
        </w:rPr>
      </w:pPr>
      <w:r>
        <w:t>3.1.3 骨干成员：3年以上信息科技咨询、审计咨询经验，并参与过至少</w:t>
      </w:r>
      <w:r>
        <w:rPr>
          <w:rFonts w:hint="eastAsia"/>
        </w:rPr>
        <w:t>3</w:t>
      </w:r>
      <w:r>
        <w:t>个银行业</w:t>
      </w:r>
      <w:r>
        <w:rPr>
          <w:rFonts w:hint="eastAsia"/>
        </w:rPr>
        <w:t>信息科技</w:t>
      </w:r>
      <w:r>
        <w:t>审计项目。</w:t>
      </w:r>
    </w:p>
    <w:p>
      <w:pPr>
        <w:ind w:firstLine="480"/>
        <w:rPr>
          <w:rFonts w:hint="eastAsia"/>
        </w:rPr>
      </w:pPr>
      <w:r>
        <w:t>3.</w:t>
      </w:r>
      <w:r>
        <w:rPr>
          <w:szCs w:val="30"/>
        </w:rPr>
        <w:t>1.4 应配备项目各角色（如：项目负责人、</w:t>
      </w:r>
      <w:r>
        <w:rPr>
          <w:rFonts w:hint="eastAsia"/>
          <w:szCs w:val="30"/>
        </w:rPr>
        <w:t>驻场</w:t>
      </w:r>
      <w:r>
        <w:rPr>
          <w:szCs w:val="30"/>
        </w:rPr>
        <w:t>负责人、骨干成员等）的备用人员，备用人员经验需高于实施团队人员。</w:t>
      </w:r>
    </w:p>
    <w:p>
      <w:pPr>
        <w:ind w:firstLine="480"/>
        <w:rPr>
          <w:rFonts w:hint="eastAsia"/>
        </w:rPr>
      </w:pPr>
      <w:r>
        <w:t>3.2 人员管理</w:t>
      </w:r>
    </w:p>
    <w:p>
      <w:pPr>
        <w:ind w:firstLine="480"/>
        <w:rPr>
          <w:rFonts w:hint="eastAsia"/>
        </w:rPr>
      </w:pPr>
      <w:r>
        <w:t>3.2.1 乙方未征得甲方书面同意的情况下不得更换项目组成员。项目组成员因中途离职等不可抗拒的原因无法继续实施项目时，经甲方书面同意后，由备用人员接替原项目成员工作，并于5个工作日内到岗。</w:t>
      </w:r>
    </w:p>
    <w:p>
      <w:pPr>
        <w:ind w:firstLine="480"/>
        <w:rPr>
          <w:rFonts w:hint="eastAsia"/>
        </w:rPr>
      </w:pPr>
      <w:r>
        <w:t>3.2.2 所有成员必须为乙方单位员工，乙方项目组成员须提供近半年公司为其缴纳社保的证明材料，不得外包其他单位员工。</w:t>
      </w:r>
    </w:p>
    <w:p>
      <w:pPr>
        <w:pStyle w:val="17"/>
        <w:spacing w:before="0" w:after="0" w:line="520" w:lineRule="exact"/>
        <w:ind w:firstLine="482"/>
        <w:jc w:val="both"/>
        <w:outlineLvl w:val="9"/>
        <w:rPr>
          <w:rFonts w:hint="eastAsia" w:ascii="Cambria Math" w:hAnsi="Cambria Math"/>
          <w:color w:val="auto"/>
          <w:sz w:val="24"/>
          <w:szCs w:val="32"/>
        </w:rPr>
      </w:pPr>
      <w:r>
        <w:rPr>
          <w:rFonts w:ascii="Cambria Math" w:hAnsi="Cambria Math"/>
          <w:color w:val="auto"/>
          <w:sz w:val="24"/>
          <w:szCs w:val="32"/>
        </w:rPr>
        <w:t>第四条 其他</w:t>
      </w:r>
    </w:p>
    <w:p>
      <w:pPr>
        <w:ind w:firstLine="480"/>
        <w:rPr>
          <w:rFonts w:hint="eastAsia"/>
        </w:rPr>
      </w:pPr>
      <w:r>
        <w:t>乙方需</w:t>
      </w:r>
      <w:r>
        <w:rPr>
          <w:rFonts w:hint="eastAsia"/>
        </w:rPr>
        <w:t>参照</w:t>
      </w:r>
      <w:r>
        <w:t>甲方的相关管理制度及规定，具体如下：</w:t>
      </w:r>
    </w:p>
    <w:p>
      <w:pPr>
        <w:ind w:firstLine="480"/>
        <w:rPr>
          <w:rFonts w:hint="eastAsia"/>
        </w:rPr>
      </w:pPr>
      <w:r>
        <w:t>4.1 会议制度</w:t>
      </w:r>
    </w:p>
    <w:p>
      <w:pPr>
        <w:ind w:firstLine="480"/>
        <w:rPr>
          <w:rFonts w:hint="eastAsia"/>
        </w:rPr>
      </w:pPr>
      <w:r>
        <w:t>原则上，项目组每周一次例会，就本周工作的完成内容、质量、问题、风险及下周主要工作、工作重点等内容进行汇报和讨论。在项目的每一个重大里程碑节点上，需召开阶段评审会，评审本阶段的工作成果，并由参与评审的相关人员决定是否具备进入下一项目阶段的条件。</w:t>
      </w:r>
    </w:p>
    <w:p>
      <w:pPr>
        <w:ind w:firstLine="480"/>
        <w:rPr>
          <w:rFonts w:hint="eastAsia"/>
        </w:rPr>
      </w:pPr>
      <w:r>
        <w:t>在项目实施过程中，乙方需配合甲方召开</w:t>
      </w:r>
      <w:r>
        <w:rPr>
          <w:rFonts w:hint="eastAsia"/>
        </w:rPr>
        <w:t>相关</w:t>
      </w:r>
      <w:r>
        <w:t>会议。</w:t>
      </w:r>
    </w:p>
    <w:p>
      <w:pPr>
        <w:ind w:firstLine="480"/>
        <w:rPr>
          <w:rFonts w:hint="eastAsia"/>
        </w:rPr>
      </w:pPr>
      <w:r>
        <w:t>4.2 进度管理</w:t>
      </w:r>
    </w:p>
    <w:p>
      <w:pPr>
        <w:ind w:firstLine="480"/>
        <w:rPr>
          <w:rFonts w:hint="eastAsia"/>
        </w:rPr>
      </w:pPr>
      <w:r>
        <w:t>乙方项目经理为进度管理的直接责任人。项目经理应及时制定本项目各个阶段的任务分解，并根据项目资源情况和甲方需求，制定合理的项目计划。在项目进入下一个阶段前，项目经理需提前细化下一个阶段的项目执行计划。项目计划制定完成后，项目经理负责控制项目进度按照计划执行。项目经理需对项目进行绩效审查和偏差分析，判断项目进度的当前状态，并对引起项目进度变更的因素施加影响。</w:t>
      </w:r>
    </w:p>
    <w:p>
      <w:pPr>
        <w:ind w:firstLine="480"/>
        <w:rPr>
          <w:rFonts w:hint="eastAsia"/>
        </w:rPr>
      </w:pPr>
      <w:r>
        <w:t>4.3 关键节点的汇报</w:t>
      </w:r>
    </w:p>
    <w:p>
      <w:pPr>
        <w:ind w:firstLine="480"/>
        <w:rPr>
          <w:rFonts w:hint="eastAsia"/>
        </w:rPr>
      </w:pPr>
      <w:r>
        <w:t>在项目实施过程中，遇重大审计发现或重要事项时，乙方须配合甲方及时向相关管理层进行全面、准确的汇报，不得隐瞒或遗漏关键信息。</w:t>
      </w:r>
    </w:p>
    <w:p>
      <w:pPr>
        <w:ind w:firstLine="480"/>
        <w:rPr>
          <w:rFonts w:hint="eastAsia"/>
        </w:rPr>
      </w:pPr>
      <w:r>
        <w:t>4.4 乙方在项目实施过程中，需按照甲方项目管理规范提供相应文档（所有提交文档必须为中文）。</w:t>
      </w:r>
    </w:p>
    <w:p>
      <w:pPr>
        <w:ind w:firstLine="480"/>
        <w:rPr>
          <w:rFonts w:hint="eastAsia"/>
        </w:rPr>
      </w:pPr>
      <w:r>
        <w:t>4.5</w:t>
      </w:r>
      <w:r>
        <w:rPr>
          <w:rFonts w:hint="eastAsia"/>
        </w:rPr>
        <w:t>服务期间，</w:t>
      </w:r>
      <w:r>
        <w:t>乙方</w:t>
      </w:r>
      <w:r>
        <w:rPr>
          <w:rFonts w:hint="eastAsia"/>
        </w:rPr>
        <w:t>应确保项目管理模式的严谨、质量保障体系的完善、项目团队成员的稳定以保障项目成果质量。同时做好项目周期内知识转移和培训工作，并于</w:t>
      </w:r>
      <w:r>
        <w:t>审计报告交付后</w:t>
      </w:r>
      <w:r>
        <w:rPr>
          <w:rFonts w:hint="eastAsia"/>
        </w:rPr>
        <w:t>提供不少于6个月的管理咨询服务。</w:t>
      </w:r>
    </w:p>
    <w:p>
      <w:pPr>
        <w:spacing w:line="360" w:lineRule="auto"/>
        <w:ind w:firstLine="424" w:firstLineChars="177"/>
        <w:rPr>
          <w:rFonts w:hint="eastAsia"/>
          <w:b/>
        </w:rPr>
      </w:pPr>
      <w:r>
        <w:rPr>
          <w:snapToGrid w:val="0"/>
          <w:color w:val="FF0000"/>
        </w:rPr>
        <w:br w:type="page"/>
      </w:r>
      <w:r>
        <w:rPr>
          <w:b/>
          <w:snapToGrid w:val="0"/>
        </w:rPr>
        <w:t>附件2</w:t>
      </w:r>
    </w:p>
    <w:p>
      <w:pPr>
        <w:pStyle w:val="17"/>
        <w:spacing w:before="0" w:after="0" w:line="520" w:lineRule="exact"/>
        <w:ind w:firstLine="482"/>
        <w:outlineLvl w:val="9"/>
        <w:rPr>
          <w:snapToGrid w:val="0"/>
          <w:color w:val="auto"/>
          <w:sz w:val="24"/>
          <w:szCs w:val="24"/>
        </w:rPr>
      </w:pPr>
      <w:r>
        <w:rPr>
          <w:snapToGrid w:val="0"/>
          <w:color w:val="auto"/>
          <w:sz w:val="24"/>
          <w:szCs w:val="24"/>
        </w:rPr>
        <w:t>项目最终验收表</w:t>
      </w:r>
    </w:p>
    <w:tbl>
      <w:tblPr>
        <w:tblStyle w:val="19"/>
        <w:tblW w:w="9498" w:type="dxa"/>
        <w:tblInd w:w="-459" w:type="dxa"/>
        <w:tblLayout w:type="fixed"/>
        <w:tblCellMar>
          <w:top w:w="0" w:type="dxa"/>
          <w:left w:w="108" w:type="dxa"/>
          <w:bottom w:w="0" w:type="dxa"/>
          <w:right w:w="108" w:type="dxa"/>
        </w:tblCellMar>
      </w:tblPr>
      <w:tblGrid>
        <w:gridCol w:w="1416"/>
        <w:gridCol w:w="2696"/>
        <w:gridCol w:w="643"/>
        <w:gridCol w:w="1906"/>
        <w:gridCol w:w="2837"/>
      </w:tblGrid>
      <w:tr>
        <w:tblPrEx>
          <w:tblCellMar>
            <w:top w:w="0" w:type="dxa"/>
            <w:left w:w="108" w:type="dxa"/>
            <w:bottom w:w="0" w:type="dxa"/>
            <w:right w:w="108" w:type="dxa"/>
          </w:tblCellMar>
        </w:tblPrEx>
        <w:trPr>
          <w:trHeight w:val="118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rPr>
            </w:pPr>
            <w:r>
              <w:t>项目名称</w:t>
            </w:r>
          </w:p>
        </w:tc>
        <w:tc>
          <w:tcPr>
            <w:tcW w:w="808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r>
              <w:t>信息科技审计项目</w:t>
            </w:r>
          </w:p>
        </w:tc>
      </w:tr>
      <w:tr>
        <w:tblPrEx>
          <w:tblCellMar>
            <w:top w:w="0" w:type="dxa"/>
            <w:left w:w="108" w:type="dxa"/>
            <w:bottom w:w="0" w:type="dxa"/>
            <w:right w:w="108" w:type="dxa"/>
          </w:tblCellMar>
        </w:tblPrEx>
        <w:trPr>
          <w:trHeight w:val="84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rPr>
            </w:pPr>
            <w:r>
              <w:t>服务提供商</w:t>
            </w:r>
          </w:p>
        </w:tc>
        <w:tc>
          <w:tcPr>
            <w:tcW w:w="8082"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ind w:firstLine="0" w:firstLineChars="0"/>
              <w:rPr>
                <w:rFonts w:hint="eastAsia"/>
              </w:rPr>
            </w:pPr>
          </w:p>
        </w:tc>
      </w:tr>
      <w:tr>
        <w:tblPrEx>
          <w:tblCellMar>
            <w:top w:w="0" w:type="dxa"/>
            <w:left w:w="108" w:type="dxa"/>
            <w:bottom w:w="0" w:type="dxa"/>
            <w:right w:w="108" w:type="dxa"/>
          </w:tblCellMar>
        </w:tblPrEx>
        <w:trPr>
          <w:trHeight w:val="88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r>
              <w:t>验收时间</w:t>
            </w:r>
          </w:p>
        </w:tc>
        <w:tc>
          <w:tcPr>
            <w:tcW w:w="808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p>
        </w:tc>
      </w:tr>
      <w:tr>
        <w:tblPrEx>
          <w:tblCellMar>
            <w:top w:w="0" w:type="dxa"/>
            <w:left w:w="108" w:type="dxa"/>
            <w:bottom w:w="0" w:type="dxa"/>
            <w:right w:w="108" w:type="dxa"/>
          </w:tblCellMar>
        </w:tblPrEx>
        <w:trPr>
          <w:trHeight w:val="829"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r>
              <w:t>验收地点</w:t>
            </w:r>
          </w:p>
        </w:tc>
        <w:tc>
          <w:tcPr>
            <w:tcW w:w="26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r>
              <w:t>项目经理</w:t>
            </w:r>
          </w:p>
        </w:tc>
        <w:tc>
          <w:tcPr>
            <w:tcW w:w="2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p>
        </w:tc>
      </w:tr>
      <w:tr>
        <w:tblPrEx>
          <w:tblCellMar>
            <w:top w:w="0" w:type="dxa"/>
            <w:left w:w="108" w:type="dxa"/>
            <w:bottom w:w="0" w:type="dxa"/>
            <w:right w:w="108" w:type="dxa"/>
          </w:tblCellMar>
        </w:tblPrEx>
        <w:trPr>
          <w:trHeight w:val="146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rPr>
            </w:pPr>
            <w:r>
              <w:t>是否实现项目目标</w:t>
            </w:r>
          </w:p>
        </w:tc>
        <w:tc>
          <w:tcPr>
            <w:tcW w:w="26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r>
              <w:t>□是     □否</w:t>
            </w:r>
          </w:p>
        </w:tc>
        <w:tc>
          <w:tcPr>
            <w:tcW w:w="254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r>
              <w:t>交付物是否齐全</w:t>
            </w:r>
          </w:p>
        </w:tc>
        <w:tc>
          <w:tcPr>
            <w:tcW w:w="2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r>
              <w:t>□是     □否</w:t>
            </w:r>
          </w:p>
        </w:tc>
      </w:tr>
      <w:tr>
        <w:tblPrEx>
          <w:tblCellMar>
            <w:top w:w="0" w:type="dxa"/>
            <w:left w:w="108" w:type="dxa"/>
            <w:bottom w:w="0" w:type="dxa"/>
            <w:right w:w="108" w:type="dxa"/>
          </w:tblCellMar>
        </w:tblPrEx>
        <w:trPr>
          <w:trHeight w:val="146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rPr>
            </w:pPr>
            <w:r>
              <w:t>有无遗留</w:t>
            </w:r>
          </w:p>
          <w:p>
            <w:pPr>
              <w:spacing w:line="360" w:lineRule="auto"/>
              <w:ind w:firstLine="0" w:firstLineChars="0"/>
              <w:jc w:val="center"/>
              <w:rPr>
                <w:rFonts w:hint="eastAsia"/>
              </w:rPr>
            </w:pPr>
            <w:r>
              <w:t>问题</w:t>
            </w:r>
          </w:p>
        </w:tc>
        <w:tc>
          <w:tcPr>
            <w:tcW w:w="808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p>
        </w:tc>
      </w:tr>
      <w:tr>
        <w:tblPrEx>
          <w:tblCellMar>
            <w:top w:w="0" w:type="dxa"/>
            <w:left w:w="108" w:type="dxa"/>
            <w:bottom w:w="0" w:type="dxa"/>
            <w:right w:w="108" w:type="dxa"/>
          </w:tblCellMar>
        </w:tblPrEx>
        <w:trPr>
          <w:trHeight w:val="2477"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rPr>
            </w:pPr>
            <w:r>
              <w:t>最终验收评审结论</w:t>
            </w:r>
          </w:p>
        </w:tc>
        <w:tc>
          <w:tcPr>
            <w:tcW w:w="808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rPr>
            </w:pPr>
          </w:p>
        </w:tc>
      </w:tr>
      <w:tr>
        <w:tblPrEx>
          <w:tblCellMar>
            <w:top w:w="0" w:type="dxa"/>
            <w:left w:w="108" w:type="dxa"/>
            <w:bottom w:w="0" w:type="dxa"/>
            <w:right w:w="108" w:type="dxa"/>
          </w:tblCellMar>
        </w:tblPrEx>
        <w:trPr>
          <w:trHeight w:val="2204" w:hRule="atLeast"/>
        </w:trPr>
        <w:tc>
          <w:tcPr>
            <w:tcW w:w="4755" w:type="dxa"/>
            <w:gridSpan w:val="3"/>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hint="eastAsia"/>
              </w:rPr>
            </w:pPr>
          </w:p>
          <w:p>
            <w:pPr>
              <w:spacing w:line="360" w:lineRule="auto"/>
              <w:ind w:firstLine="0" w:firstLineChars="0"/>
              <w:rPr>
                <w:rFonts w:hint="eastAsia"/>
              </w:rPr>
            </w:pPr>
            <w:r>
              <w:t>参验人员：</w:t>
            </w:r>
          </w:p>
          <w:p>
            <w:pPr>
              <w:spacing w:line="360" w:lineRule="auto"/>
              <w:ind w:firstLine="0" w:firstLineChars="0"/>
              <w:rPr>
                <w:rFonts w:hint="eastAsia"/>
              </w:rPr>
            </w:pPr>
          </w:p>
          <w:p>
            <w:pPr>
              <w:spacing w:line="360" w:lineRule="auto"/>
              <w:ind w:firstLine="0" w:firstLineChars="0"/>
              <w:rPr>
                <w:rFonts w:hint="eastAsia"/>
              </w:rPr>
            </w:pPr>
          </w:p>
          <w:p>
            <w:pPr>
              <w:spacing w:line="360" w:lineRule="auto"/>
              <w:ind w:firstLine="0" w:firstLineChars="0"/>
              <w:rPr>
                <w:rFonts w:hint="eastAsia"/>
              </w:rPr>
            </w:pPr>
            <w:r>
              <w:t xml:space="preserve">                      年  月  日</w:t>
            </w:r>
          </w:p>
        </w:tc>
        <w:tc>
          <w:tcPr>
            <w:tcW w:w="4743" w:type="dxa"/>
            <w:gridSpan w:val="2"/>
            <w:tcBorders>
              <w:top w:val="single" w:color="auto" w:sz="4" w:space="0"/>
              <w:left w:val="single" w:color="auto" w:sz="4" w:space="0"/>
              <w:bottom w:val="single" w:color="auto" w:sz="4" w:space="0"/>
              <w:right w:val="single" w:color="auto" w:sz="4" w:space="0"/>
            </w:tcBorders>
          </w:tcPr>
          <w:p>
            <w:pPr>
              <w:widowControl/>
              <w:spacing w:line="360" w:lineRule="auto"/>
              <w:ind w:firstLine="0" w:firstLineChars="0"/>
              <w:rPr>
                <w:rFonts w:hint="eastAsia"/>
              </w:rPr>
            </w:pPr>
          </w:p>
          <w:p>
            <w:pPr>
              <w:widowControl/>
              <w:spacing w:line="360" w:lineRule="auto"/>
              <w:ind w:firstLine="0" w:firstLineChars="0"/>
              <w:rPr>
                <w:rFonts w:hint="eastAsia"/>
              </w:rPr>
            </w:pPr>
            <w:r>
              <w:t>部门负责人：</w:t>
            </w:r>
          </w:p>
          <w:p>
            <w:pPr>
              <w:widowControl/>
              <w:spacing w:line="360" w:lineRule="auto"/>
              <w:ind w:firstLine="0" w:firstLineChars="0"/>
              <w:rPr>
                <w:rFonts w:hint="eastAsia"/>
              </w:rPr>
            </w:pPr>
          </w:p>
          <w:p>
            <w:pPr>
              <w:widowControl/>
              <w:spacing w:line="360" w:lineRule="auto"/>
              <w:ind w:firstLine="0" w:firstLineChars="0"/>
              <w:rPr>
                <w:rFonts w:hint="eastAsia"/>
              </w:rPr>
            </w:pPr>
          </w:p>
          <w:p>
            <w:pPr>
              <w:widowControl/>
              <w:spacing w:line="360" w:lineRule="auto"/>
              <w:ind w:firstLine="0" w:firstLineChars="0"/>
              <w:rPr>
                <w:rFonts w:hint="eastAsia"/>
              </w:rPr>
            </w:pPr>
          </w:p>
          <w:p>
            <w:pPr>
              <w:spacing w:line="360" w:lineRule="auto"/>
              <w:ind w:firstLine="0" w:firstLineChars="0"/>
              <w:rPr>
                <w:rFonts w:hint="eastAsia"/>
              </w:rPr>
            </w:pPr>
            <w:r>
              <w:t>年  月  日</w:t>
            </w:r>
          </w:p>
        </w:tc>
      </w:tr>
    </w:tbl>
    <w:p>
      <w:pPr>
        <w:pStyle w:val="17"/>
        <w:spacing w:before="0" w:after="0" w:line="520" w:lineRule="exact"/>
        <w:ind w:firstLine="482"/>
        <w:jc w:val="left"/>
        <w:outlineLvl w:val="9"/>
      </w:pPr>
      <w:r>
        <w:rPr>
          <w:snapToGrid w:val="0"/>
          <w:color w:val="auto"/>
          <w:sz w:val="24"/>
          <w:szCs w:val="24"/>
        </w:rPr>
        <w:br w:type="page"/>
      </w:r>
    </w:p>
    <w:p>
      <w:pPr>
        <w:pStyle w:val="3"/>
      </w:pPr>
      <w:bookmarkStart w:id="258" w:name="_Toc16831"/>
      <w:bookmarkStart w:id="259" w:name="_Toc7021"/>
      <w:r>
        <w:rPr>
          <w:rFonts w:hint="eastAsia"/>
        </w:rPr>
        <w:t>第六章 参选文件</w:t>
      </w:r>
      <w:bookmarkEnd w:id="253"/>
      <w:bookmarkEnd w:id="254"/>
      <w:bookmarkStart w:id="260" w:name="_Toc303066035"/>
      <w:r>
        <w:rPr>
          <w:rFonts w:hint="eastAsia"/>
        </w:rPr>
        <w:t>格式</w:t>
      </w:r>
      <w:bookmarkEnd w:id="258"/>
      <w:bookmarkEnd w:id="259"/>
    </w:p>
    <w:bookmarkEnd w:id="260"/>
    <w:p>
      <w:pPr>
        <w:tabs>
          <w:tab w:val="left" w:pos="6516"/>
        </w:tabs>
        <w:adjustRightInd w:val="0"/>
        <w:snapToGrid w:val="0"/>
        <w:spacing w:line="360" w:lineRule="auto"/>
        <w:ind w:firstLine="0" w:firstLineChars="0"/>
        <w:jc w:val="center"/>
        <w:rPr>
          <w:rFonts w:ascii="宋体" w:hAnsi="宋体"/>
          <w:b/>
          <w:kern w:val="0"/>
          <w:u w:val="single"/>
        </w:rPr>
      </w:pP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2024年信息科技审计项目</w:t>
      </w:r>
    </w:p>
    <w:p>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pPr>
        <w:tabs>
          <w:tab w:val="left" w:pos="3600"/>
          <w:tab w:val="left" w:pos="4480"/>
          <w:tab w:val="left" w:pos="5360"/>
        </w:tabs>
        <w:adjustRightInd w:val="0"/>
        <w:snapToGrid w:val="0"/>
        <w:spacing w:line="360" w:lineRule="auto"/>
        <w:ind w:firstLine="0" w:firstLineChars="0"/>
        <w:jc w:val="center"/>
        <w:rPr>
          <w:rFonts w:ascii="宋体" w:hAnsi="宋体"/>
          <w:b/>
          <w:kern w:val="0"/>
          <w:sz w:val="84"/>
        </w:rPr>
      </w:pPr>
      <w:r>
        <w:rPr>
          <w:rFonts w:hint="eastAsia" w:ascii="宋体" w:hAnsi="宋体"/>
          <w:b/>
          <w:kern w:val="0"/>
          <w:sz w:val="84"/>
        </w:rPr>
        <w:t>参  选  文  件</w:t>
      </w:r>
    </w:p>
    <w:p>
      <w:pPr>
        <w:adjustRightInd w:val="0"/>
        <w:snapToGrid w:val="0"/>
        <w:spacing w:line="360" w:lineRule="auto"/>
        <w:ind w:firstLine="0" w:firstLineChars="0"/>
        <w:jc w:val="center"/>
        <w:rPr>
          <w:rFonts w:ascii="宋体" w:hAnsi="宋体"/>
          <w:kern w:val="0"/>
          <w:sz w:val="16"/>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spacing w:line="360" w:lineRule="auto"/>
        <w:ind w:firstLine="0" w:firstLineChars="0"/>
        <w:jc w:val="center"/>
        <w:rPr>
          <w:rFonts w:hint="eastAsia"/>
        </w:rPr>
      </w:pPr>
      <w:r>
        <w:rPr>
          <w:rFonts w:hint="eastAsia"/>
        </w:rPr>
        <w:t>参选人：（盖单位公章）</w:t>
      </w:r>
    </w:p>
    <w:p>
      <w:pPr>
        <w:spacing w:line="360" w:lineRule="auto"/>
        <w:ind w:firstLine="0" w:firstLineChars="0"/>
        <w:jc w:val="center"/>
        <w:rPr>
          <w:rFonts w:hint="eastAsia"/>
        </w:rPr>
      </w:pPr>
      <w:r>
        <w:rPr>
          <w:rFonts w:hint="eastAsia" w:ascii="宋体"/>
          <w:snapToGrid w:val="0"/>
          <w:kern w:val="0"/>
        </w:rPr>
        <w:t>法定代表人</w:t>
      </w:r>
      <w:r>
        <w:rPr>
          <w:rFonts w:hint="eastAsia"/>
        </w:rPr>
        <w:t>/其委托代理人：（签字或盖章）</w:t>
      </w:r>
    </w:p>
    <w:p>
      <w:pPr>
        <w:spacing w:line="360" w:lineRule="auto"/>
        <w:ind w:firstLine="0" w:firstLineChars="0"/>
        <w:jc w:val="center"/>
        <w:rPr>
          <w:rFonts w:hint="eastAsia"/>
        </w:rPr>
      </w:pPr>
      <w:r>
        <w:rPr>
          <w:rFonts w:hint="eastAsia"/>
        </w:rPr>
        <w:t>年     月     日</w:t>
      </w:r>
    </w:p>
    <w:p>
      <w:pPr>
        <w:tabs>
          <w:tab w:val="left" w:pos="3280"/>
          <w:tab w:val="left" w:pos="4680"/>
          <w:tab w:val="left" w:pos="6080"/>
        </w:tabs>
        <w:adjustRightInd w:val="0"/>
        <w:snapToGrid w:val="0"/>
        <w:spacing w:line="360" w:lineRule="auto"/>
        <w:ind w:firstLine="0" w:firstLineChars="0"/>
        <w:jc w:val="center"/>
        <w:rPr>
          <w:rFonts w:ascii="宋体" w:hAnsi="宋体"/>
          <w:b/>
          <w:kern w:val="0"/>
        </w:rPr>
      </w:pPr>
    </w:p>
    <w:p>
      <w:pPr>
        <w:tabs>
          <w:tab w:val="left" w:pos="6300"/>
        </w:tabs>
        <w:snapToGrid w:val="0"/>
        <w:spacing w:line="360" w:lineRule="auto"/>
        <w:ind w:firstLine="0" w:firstLineChars="0"/>
        <w:jc w:val="center"/>
        <w:rPr>
          <w:rFonts w:ascii="宋体" w:hAnsi="宋体"/>
          <w:snapToGrid w:val="0"/>
          <w:kern w:val="0"/>
          <w:szCs w:val="28"/>
        </w:rPr>
      </w:pPr>
    </w:p>
    <w:p>
      <w:pPr>
        <w:tabs>
          <w:tab w:val="left" w:pos="6300"/>
        </w:tabs>
        <w:snapToGrid w:val="0"/>
        <w:spacing w:line="360" w:lineRule="auto"/>
        <w:ind w:firstLine="0" w:firstLineChars="0"/>
        <w:jc w:val="center"/>
        <w:rPr>
          <w:rFonts w:ascii="宋体" w:hAnsi="宋体"/>
          <w:snapToGrid w:val="0"/>
          <w:kern w:val="0"/>
          <w:szCs w:val="28"/>
        </w:rPr>
      </w:pPr>
    </w:p>
    <w:p>
      <w:pPr>
        <w:tabs>
          <w:tab w:val="left" w:pos="6300"/>
        </w:tabs>
        <w:snapToGrid w:val="0"/>
        <w:spacing w:line="360" w:lineRule="auto"/>
        <w:ind w:firstLine="0" w:firstLineChars="0"/>
        <w:jc w:val="center"/>
        <w:rPr>
          <w:rFonts w:ascii="宋体" w:hAnsi="宋体"/>
          <w:snapToGrid w:val="0"/>
          <w:kern w:val="0"/>
          <w:szCs w:val="28"/>
        </w:rPr>
        <w:sectPr>
          <w:footerReference r:id="rId11" w:type="default"/>
          <w:pgSz w:w="11906" w:h="16838"/>
          <w:pgMar w:top="1440" w:right="1800" w:bottom="1440" w:left="1800" w:header="851" w:footer="992" w:gutter="0"/>
          <w:pgNumType w:start="1"/>
          <w:cols w:space="720" w:num="1"/>
          <w:docGrid w:type="lines" w:linePitch="312" w:charSpace="0"/>
        </w:sectPr>
      </w:pPr>
    </w:p>
    <w:p>
      <w:pPr>
        <w:tabs>
          <w:tab w:val="left" w:pos="6300"/>
        </w:tabs>
        <w:snapToGrid w:val="0"/>
        <w:spacing w:line="360" w:lineRule="auto"/>
        <w:ind w:firstLine="0" w:firstLineChars="0"/>
        <w:jc w:val="center"/>
        <w:outlineLvl w:val="1"/>
        <w:rPr>
          <w:rFonts w:hint="eastAsia" w:ascii="宋体"/>
          <w:b/>
          <w:snapToGrid w:val="0"/>
          <w:kern w:val="0"/>
          <w:sz w:val="36"/>
          <w:szCs w:val="28"/>
        </w:rPr>
      </w:pPr>
      <w:r>
        <w:rPr>
          <w:rFonts w:hint="eastAsia" w:ascii="宋体"/>
          <w:b/>
          <w:snapToGrid w:val="0"/>
          <w:kern w:val="0"/>
          <w:sz w:val="36"/>
          <w:szCs w:val="28"/>
        </w:rPr>
        <w:t>目  录</w:t>
      </w:r>
    </w:p>
    <w:p>
      <w:pPr>
        <w:ind w:firstLine="480"/>
        <w:rPr>
          <w:rFonts w:hint="eastAsia"/>
        </w:rPr>
      </w:pPr>
      <w:r>
        <w:rPr>
          <w:rFonts w:hint="eastAsia"/>
        </w:rPr>
        <w:t>一、参选函</w:t>
      </w:r>
    </w:p>
    <w:p>
      <w:pPr>
        <w:ind w:firstLine="480"/>
        <w:rPr>
          <w:rFonts w:hint="eastAsia"/>
        </w:rPr>
      </w:pPr>
      <w:r>
        <w:rPr>
          <w:rFonts w:hint="eastAsia"/>
        </w:rPr>
        <w:t>二、报价一览表</w:t>
      </w:r>
    </w:p>
    <w:p>
      <w:pPr>
        <w:ind w:firstLine="480"/>
        <w:rPr>
          <w:rFonts w:hint="eastAsia"/>
        </w:rPr>
      </w:pPr>
      <w:r>
        <w:rPr>
          <w:rFonts w:hint="eastAsia"/>
        </w:rPr>
        <w:t>三、资格性文件</w:t>
      </w:r>
    </w:p>
    <w:p>
      <w:pPr>
        <w:ind w:firstLine="480"/>
        <w:rPr>
          <w:rFonts w:hint="eastAsia"/>
        </w:rPr>
      </w:pPr>
      <w:r>
        <w:t>（一）参选人基本情况介绍，资质证明等</w:t>
      </w:r>
    </w:p>
    <w:p>
      <w:pPr>
        <w:ind w:firstLine="480"/>
        <w:rPr>
          <w:rFonts w:hint="eastAsia"/>
        </w:rPr>
      </w:pPr>
      <w:r>
        <w:t>（二）法定代表人身份证明及授权委托书</w:t>
      </w:r>
    </w:p>
    <w:p>
      <w:pPr>
        <w:ind w:firstLine="480"/>
        <w:rPr>
          <w:rFonts w:hint="eastAsia"/>
        </w:rPr>
      </w:pPr>
      <w:r>
        <w:rPr>
          <w:rFonts w:hint="eastAsia"/>
        </w:rPr>
        <w:t>（三）书面声明</w:t>
      </w:r>
    </w:p>
    <w:p>
      <w:pPr>
        <w:ind w:firstLine="480"/>
        <w:rPr>
          <w:rFonts w:hint="eastAsia"/>
        </w:rPr>
      </w:pPr>
      <w:r>
        <w:t>（</w:t>
      </w:r>
      <w:r>
        <w:rPr>
          <w:rFonts w:hint="eastAsia"/>
        </w:rPr>
        <w:t>四</w:t>
      </w:r>
      <w:r>
        <w:t>）中国执行信息公开网截图</w:t>
      </w:r>
    </w:p>
    <w:p>
      <w:pPr>
        <w:ind w:firstLine="480"/>
        <w:rPr>
          <w:rFonts w:hint="eastAsia"/>
        </w:rPr>
      </w:pPr>
      <w:r>
        <w:rPr>
          <w:rFonts w:hint="eastAsia"/>
          <w:lang w:val="zh-CN"/>
        </w:rPr>
        <w:t>（</w:t>
      </w:r>
      <w:r>
        <w:rPr>
          <w:rFonts w:hint="eastAsia"/>
        </w:rPr>
        <w:t>五</w:t>
      </w:r>
      <w:r>
        <w:rPr>
          <w:rFonts w:hint="eastAsia"/>
          <w:lang w:val="zh-CN"/>
        </w:rPr>
        <w:t>）项目案例</w:t>
      </w:r>
      <w:r>
        <w:rPr>
          <w:rFonts w:hint="eastAsia"/>
        </w:rPr>
        <w:t>和业绩证明文件复印件</w:t>
      </w:r>
    </w:p>
    <w:p>
      <w:pPr>
        <w:ind w:firstLine="480"/>
        <w:rPr>
          <w:rFonts w:hint="eastAsia"/>
        </w:rPr>
      </w:pPr>
      <w:r>
        <w:rPr>
          <w:rFonts w:hint="eastAsia"/>
        </w:rPr>
        <w:t>四、响应承诺函</w:t>
      </w:r>
    </w:p>
    <w:p>
      <w:pPr>
        <w:ind w:firstLine="480"/>
        <w:rPr>
          <w:rFonts w:hint="eastAsia"/>
        </w:rPr>
      </w:pPr>
      <w:r>
        <w:rPr>
          <w:rFonts w:hint="eastAsia"/>
        </w:rPr>
        <w:t>五、参选保证金</w:t>
      </w:r>
    </w:p>
    <w:p>
      <w:pPr>
        <w:ind w:firstLine="480"/>
        <w:rPr>
          <w:rFonts w:hint="eastAsia"/>
        </w:rPr>
      </w:pPr>
      <w:r>
        <w:rPr>
          <w:rFonts w:hint="eastAsia"/>
        </w:rPr>
        <w:t>六、项目组成员</w:t>
      </w:r>
      <w:r>
        <w:t>名单、简历、证书和案例</w:t>
      </w:r>
      <w:r>
        <w:rPr>
          <w:rFonts w:hint="eastAsia"/>
        </w:rPr>
        <w:t>等</w:t>
      </w:r>
    </w:p>
    <w:p>
      <w:pPr>
        <w:ind w:firstLine="480"/>
        <w:rPr>
          <w:rFonts w:hint="eastAsia"/>
        </w:rPr>
      </w:pPr>
      <w:r>
        <w:rPr>
          <w:rFonts w:hint="eastAsia"/>
        </w:rPr>
        <w:t>七、</w:t>
      </w:r>
      <w:r>
        <w:t>服务连续性预案</w:t>
      </w:r>
    </w:p>
    <w:p>
      <w:pPr>
        <w:ind w:firstLine="480"/>
        <w:rPr>
          <w:rFonts w:hint="eastAsia"/>
        </w:rPr>
      </w:pPr>
      <w:r>
        <w:rPr>
          <w:rFonts w:hint="eastAsia"/>
        </w:rPr>
        <w:t>八、项目实施方案</w:t>
      </w:r>
    </w:p>
    <w:p>
      <w:pPr>
        <w:ind w:firstLine="480"/>
        <w:rPr>
          <w:rFonts w:hint="eastAsia"/>
        </w:rPr>
      </w:pPr>
      <w:r>
        <w:rPr>
          <w:rFonts w:hint="eastAsia"/>
        </w:rPr>
        <w:t>九、其他（如有）</w:t>
      </w:r>
    </w:p>
    <w:p>
      <w:pPr>
        <w:spacing w:line="360" w:lineRule="auto"/>
        <w:ind w:firstLine="480"/>
        <w:rPr>
          <w:rFonts w:ascii="宋体" w:hAnsi="宋体" w:cs="宋体"/>
        </w:rPr>
      </w:pPr>
    </w:p>
    <w:p>
      <w:pPr>
        <w:spacing w:line="360" w:lineRule="auto"/>
        <w:ind w:firstLine="480"/>
        <w:rPr>
          <w:rFonts w:ascii="宋体" w:hAnsi="宋体" w:cs="宋体"/>
        </w:rPr>
      </w:pPr>
    </w:p>
    <w:p>
      <w:pPr>
        <w:spacing w:line="360" w:lineRule="auto"/>
        <w:ind w:firstLine="0" w:firstLineChars="0"/>
        <w:jc w:val="center"/>
        <w:outlineLvl w:val="1"/>
        <w:rPr>
          <w:rStyle w:val="29"/>
          <w:rFonts w:hint="eastAsia"/>
        </w:rPr>
      </w:pPr>
      <w:r>
        <w:rPr>
          <w:rFonts w:hint="eastAsia" w:ascii="宋体" w:hAnsi="宋体" w:cs="宋体"/>
        </w:rPr>
        <w:br w:type="page"/>
      </w:r>
      <w:r>
        <w:rPr>
          <w:rStyle w:val="29"/>
          <w:rFonts w:hint="eastAsia"/>
        </w:rPr>
        <w:t>一、参选函</w:t>
      </w:r>
    </w:p>
    <w:p>
      <w:pPr>
        <w:tabs>
          <w:tab w:val="left" w:pos="6300"/>
        </w:tabs>
        <w:snapToGrid w:val="0"/>
        <w:spacing w:line="360" w:lineRule="auto"/>
        <w:ind w:right="-34" w:rightChars="-14" w:firstLine="480"/>
        <w:rPr>
          <w:rFonts w:hint="eastAsia" w:ascii="宋体"/>
          <w:snapToGrid w:val="0"/>
          <w:kern w:val="0"/>
          <w:szCs w:val="24"/>
          <w:u w:val="single"/>
        </w:rPr>
      </w:pP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u w:val="single"/>
        </w:rPr>
        <w:t>重庆三峡银行股份有限公司</w:t>
      </w:r>
      <w:r>
        <w:rPr>
          <w:rFonts w:hint="eastAsia" w:ascii="宋体"/>
          <w:snapToGrid w:val="0"/>
          <w:kern w:val="0"/>
          <w:szCs w:val="24"/>
        </w:rPr>
        <w:t>：</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我方收到___________________比选文件，经详细研究，决定参加该比选项目的</w:t>
      </w:r>
      <w:r>
        <w:rPr>
          <w:rFonts w:hint="eastAsia" w:ascii="宋体" w:cs="Cambria"/>
          <w:snapToGrid w:val="0"/>
          <w:kern w:val="0"/>
          <w:szCs w:val="24"/>
        </w:rPr>
        <w:t>参选</w:t>
      </w:r>
      <w:r>
        <w:rPr>
          <w:rFonts w:hint="eastAsia" w:ascii="宋体"/>
          <w:snapToGrid w:val="0"/>
          <w:kern w:val="0"/>
          <w:szCs w:val="24"/>
        </w:rPr>
        <w:t>。</w:t>
      </w:r>
    </w:p>
    <w:p>
      <w:pPr>
        <w:tabs>
          <w:tab w:val="left" w:pos="6300"/>
        </w:tabs>
        <w:snapToGrid w:val="0"/>
        <w:spacing w:line="360" w:lineRule="auto"/>
        <w:ind w:right="-34" w:rightChars="-14" w:firstLine="573" w:firstLineChars="0"/>
        <w:rPr>
          <w:rFonts w:hint="eastAsia" w:ascii="宋体"/>
          <w:snapToGrid w:val="0"/>
          <w:kern w:val="0"/>
          <w:szCs w:val="24"/>
          <w:u w:val="single"/>
        </w:rPr>
      </w:pPr>
      <w:r>
        <w:rPr>
          <w:rFonts w:hint="eastAsia" w:ascii="宋体"/>
          <w:snapToGrid w:val="0"/>
          <w:kern w:val="0"/>
          <w:szCs w:val="24"/>
        </w:rPr>
        <w:t>1、愿意按照比选文件中的一切要求，以人民币小写：，人民币大写：的</w:t>
      </w:r>
      <w:r>
        <w:rPr>
          <w:rFonts w:hint="eastAsia" w:ascii="宋体" w:cs="Cambria"/>
          <w:snapToGrid w:val="0"/>
          <w:kern w:val="0"/>
          <w:szCs w:val="24"/>
        </w:rPr>
        <w:t>参选</w:t>
      </w:r>
      <w:r>
        <w:rPr>
          <w:rFonts w:hint="eastAsia" w:ascii="宋体"/>
          <w:snapToGrid w:val="0"/>
          <w:kern w:val="0"/>
          <w:szCs w:val="24"/>
        </w:rPr>
        <w:t>总价（含税）承担和完成本项目。</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2、我方现提交的</w:t>
      </w:r>
      <w:r>
        <w:rPr>
          <w:rFonts w:hint="eastAsia" w:ascii="宋体" w:cs="Cambria"/>
          <w:snapToGrid w:val="0"/>
          <w:kern w:val="0"/>
          <w:szCs w:val="24"/>
        </w:rPr>
        <w:t>参选</w:t>
      </w:r>
      <w:r>
        <w:rPr>
          <w:rFonts w:hint="eastAsia" w:ascii="宋体"/>
          <w:snapToGrid w:val="0"/>
          <w:kern w:val="0"/>
          <w:szCs w:val="24"/>
        </w:rPr>
        <w:t>文件为：</w:t>
      </w:r>
      <w:r>
        <w:rPr>
          <w:rFonts w:hint="eastAsia" w:ascii="宋体" w:cs="Cambria"/>
          <w:snapToGrid w:val="0"/>
          <w:kern w:val="0"/>
          <w:szCs w:val="24"/>
        </w:rPr>
        <w:t>参选</w:t>
      </w:r>
      <w:r>
        <w:rPr>
          <w:rFonts w:hint="eastAsia" w:ascii="宋体"/>
          <w:snapToGrid w:val="0"/>
          <w:kern w:val="0"/>
          <w:szCs w:val="24"/>
        </w:rPr>
        <w:t>文件正本一份，副本一份，电子文件一份。</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3、如果我方</w:t>
      </w:r>
      <w:r>
        <w:rPr>
          <w:rFonts w:hint="eastAsia" w:ascii="宋体" w:cs="Cambria"/>
          <w:snapToGrid w:val="0"/>
          <w:kern w:val="0"/>
          <w:szCs w:val="24"/>
        </w:rPr>
        <w:t>参选</w:t>
      </w:r>
      <w:r>
        <w:rPr>
          <w:rFonts w:hint="eastAsia" w:ascii="宋体"/>
          <w:snapToGrid w:val="0"/>
          <w:kern w:val="0"/>
          <w:szCs w:val="24"/>
        </w:rPr>
        <w:t>文件被接受，我方将履行比选文件中规定的各项要求，按相关法律法规和合同约定条款承担我方的责任。</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4、我方愿意提供比选文件中要求的所有资料，并对其真实性负责。</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5、我方理解最低价格不是中选的唯一条件。</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6、</w:t>
      </w:r>
      <w:r>
        <w:rPr>
          <w:rFonts w:hint="eastAsia" w:ascii="宋体" w:cs="Cambria"/>
          <w:snapToGrid w:val="0"/>
          <w:kern w:val="0"/>
          <w:szCs w:val="24"/>
        </w:rPr>
        <w:t>参选</w:t>
      </w:r>
      <w:r>
        <w:rPr>
          <w:rFonts w:hint="eastAsia" w:ascii="宋体"/>
          <w:snapToGrid w:val="0"/>
          <w:kern w:val="0"/>
          <w:szCs w:val="24"/>
        </w:rPr>
        <w:t>有效期为</w:t>
      </w:r>
      <w:r>
        <w:rPr>
          <w:rFonts w:hint="eastAsia" w:ascii="宋体" w:cs="Cambria"/>
          <w:snapToGrid w:val="0"/>
          <w:kern w:val="0"/>
          <w:szCs w:val="24"/>
        </w:rPr>
        <w:t>比选</w:t>
      </w:r>
      <w:r>
        <w:rPr>
          <w:rFonts w:hint="eastAsia" w:ascii="宋体"/>
          <w:snapToGrid w:val="0"/>
          <w:kern w:val="0"/>
          <w:szCs w:val="24"/>
        </w:rPr>
        <w:t>截止日期后90天内。</w:t>
      </w:r>
    </w:p>
    <w:p>
      <w:pPr>
        <w:tabs>
          <w:tab w:val="left" w:pos="6300"/>
        </w:tabs>
        <w:snapToGrid w:val="0"/>
        <w:spacing w:line="360" w:lineRule="auto"/>
        <w:ind w:right="-34" w:rightChars="-14" w:firstLine="573" w:firstLineChars="0"/>
        <w:rPr>
          <w:rFonts w:hint="eastAsia" w:ascii="宋体"/>
          <w:snapToGrid w:val="0"/>
          <w:kern w:val="0"/>
          <w:szCs w:val="24"/>
        </w:rPr>
      </w:pPr>
      <w:r>
        <w:rPr>
          <w:rFonts w:hint="eastAsia" w:ascii="宋体"/>
          <w:snapToGrid w:val="0"/>
          <w:kern w:val="0"/>
          <w:szCs w:val="24"/>
        </w:rPr>
        <w:t>7、若我方中选，我方开具税率为______%的增值税专用发票；</w:t>
      </w:r>
    </w:p>
    <w:p>
      <w:pPr>
        <w:tabs>
          <w:tab w:val="left" w:pos="6300"/>
        </w:tabs>
        <w:snapToGrid w:val="0"/>
        <w:spacing w:line="360" w:lineRule="auto"/>
        <w:ind w:right="-34" w:rightChars="-14" w:firstLine="480"/>
        <w:rPr>
          <w:rFonts w:hint="eastAsia" w:ascii="宋体"/>
          <w:snapToGrid w:val="0"/>
          <w:kern w:val="0"/>
          <w:szCs w:val="24"/>
        </w:rPr>
      </w:pPr>
    </w:p>
    <w:p>
      <w:pPr>
        <w:tabs>
          <w:tab w:val="left" w:pos="6300"/>
        </w:tabs>
        <w:snapToGrid w:val="0"/>
        <w:spacing w:line="360" w:lineRule="auto"/>
        <w:ind w:right="-34" w:rightChars="-14" w:firstLine="480"/>
        <w:rPr>
          <w:rFonts w:hint="eastAsia" w:ascii="宋体"/>
          <w:snapToGrid w:val="0"/>
          <w:kern w:val="0"/>
          <w:szCs w:val="24"/>
        </w:rPr>
      </w:pPr>
      <w:r>
        <w:rPr>
          <w:rFonts w:hint="eastAsia" w:ascii="宋体" w:cs="Cambria"/>
          <w:snapToGrid w:val="0"/>
          <w:kern w:val="0"/>
          <w:szCs w:val="24"/>
        </w:rPr>
        <w:t>参选</w:t>
      </w:r>
      <w:r>
        <w:rPr>
          <w:rFonts w:hint="eastAsia" w:ascii="宋体"/>
          <w:snapToGrid w:val="0"/>
          <w:kern w:val="0"/>
          <w:szCs w:val="24"/>
        </w:rPr>
        <w:t>人（公章）：</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 xml:space="preserve">地址：  </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电话：                           传真：</w:t>
      </w:r>
    </w:p>
    <w:p>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 xml:space="preserve">网址：                         </w:t>
      </w:r>
    </w:p>
    <w:p>
      <w:pPr>
        <w:tabs>
          <w:tab w:val="left" w:pos="6300"/>
        </w:tabs>
        <w:snapToGrid w:val="0"/>
        <w:spacing w:line="360" w:lineRule="auto"/>
        <w:ind w:right="-34" w:rightChars="-14" w:firstLine="6540" w:firstLineChars="2725"/>
        <w:rPr>
          <w:rFonts w:hint="eastAsia" w:ascii="宋体"/>
          <w:snapToGrid w:val="0"/>
          <w:kern w:val="0"/>
          <w:szCs w:val="24"/>
        </w:rPr>
      </w:pPr>
    </w:p>
    <w:p>
      <w:pPr>
        <w:tabs>
          <w:tab w:val="left" w:pos="6300"/>
        </w:tabs>
        <w:snapToGrid w:val="0"/>
        <w:spacing w:line="360" w:lineRule="auto"/>
        <w:ind w:right="-34" w:rightChars="-14" w:firstLine="5400" w:firstLineChars="2250"/>
        <w:rPr>
          <w:rFonts w:hint="eastAsia" w:ascii="宋体"/>
          <w:snapToGrid w:val="0"/>
          <w:kern w:val="0"/>
          <w:szCs w:val="24"/>
        </w:rPr>
      </w:pPr>
      <w:r>
        <w:rPr>
          <w:rFonts w:hint="eastAsia" w:ascii="宋体"/>
          <w:snapToGrid w:val="0"/>
          <w:kern w:val="0"/>
          <w:szCs w:val="24"/>
        </w:rPr>
        <w:t>年     月     日</w:t>
      </w:r>
    </w:p>
    <w:p>
      <w:pPr>
        <w:widowControl/>
        <w:spacing w:line="360" w:lineRule="auto"/>
        <w:ind w:firstLine="480"/>
        <w:jc w:val="left"/>
        <w:rPr>
          <w:rFonts w:hint="eastAsia" w:ascii="宋体"/>
          <w:snapToGrid w:val="0"/>
          <w:kern w:val="0"/>
          <w:szCs w:val="24"/>
        </w:rPr>
      </w:pPr>
    </w:p>
    <w:p>
      <w:pPr>
        <w:tabs>
          <w:tab w:val="left" w:pos="6300"/>
        </w:tabs>
        <w:snapToGrid w:val="0"/>
        <w:spacing w:line="360" w:lineRule="auto"/>
        <w:ind w:firstLine="480"/>
        <w:rPr>
          <w:rFonts w:hint="eastAsia" w:ascii="宋体"/>
          <w:snapToGrid w:val="0"/>
          <w:kern w:val="0"/>
          <w:szCs w:val="24"/>
        </w:rPr>
      </w:pPr>
    </w:p>
    <w:p>
      <w:pPr>
        <w:widowControl/>
        <w:spacing w:line="360" w:lineRule="auto"/>
        <w:ind w:firstLine="480"/>
        <w:jc w:val="left"/>
        <w:rPr>
          <w:rFonts w:hint="eastAsia" w:ascii="宋体"/>
          <w:snapToGrid w:val="0"/>
          <w:kern w:val="0"/>
          <w:szCs w:val="24"/>
        </w:rPr>
      </w:pPr>
    </w:p>
    <w:p>
      <w:pPr>
        <w:widowControl/>
        <w:spacing w:line="360" w:lineRule="auto"/>
        <w:ind w:firstLine="480"/>
        <w:jc w:val="left"/>
        <w:rPr>
          <w:rFonts w:hint="eastAsia" w:ascii="宋体"/>
          <w:snapToGrid w:val="0"/>
          <w:kern w:val="0"/>
          <w:szCs w:val="24"/>
        </w:rPr>
      </w:pPr>
    </w:p>
    <w:p>
      <w:pPr>
        <w:snapToGrid w:val="0"/>
        <w:spacing w:line="360" w:lineRule="auto"/>
        <w:ind w:firstLine="0" w:firstLineChars="0"/>
        <w:rPr>
          <w:rFonts w:hint="eastAsia" w:ascii="宋体"/>
          <w:snapToGrid w:val="0"/>
          <w:kern w:val="0"/>
          <w:szCs w:val="24"/>
        </w:rPr>
      </w:pPr>
      <w:r>
        <w:rPr>
          <w:rFonts w:hint="eastAsia"/>
          <w:kern w:val="0"/>
        </w:rPr>
        <w:br w:type="page"/>
      </w:r>
    </w:p>
    <w:p>
      <w:pPr>
        <w:spacing w:line="360" w:lineRule="auto"/>
        <w:ind w:firstLine="0" w:firstLineChars="0"/>
        <w:jc w:val="center"/>
        <w:outlineLvl w:val="1"/>
        <w:rPr>
          <w:rStyle w:val="29"/>
          <w:rFonts w:hint="eastAsia"/>
        </w:rPr>
      </w:pPr>
      <w:r>
        <w:rPr>
          <w:rStyle w:val="29"/>
        </w:rPr>
        <w:t>二、</w:t>
      </w:r>
      <w:r>
        <w:rPr>
          <w:rStyle w:val="29"/>
          <w:rFonts w:hint="eastAsia"/>
        </w:rPr>
        <w:t>报价一览表</w:t>
      </w:r>
    </w:p>
    <w:p>
      <w:pPr>
        <w:spacing w:line="360" w:lineRule="auto"/>
        <w:ind w:right="-34" w:rightChars="-14" w:firstLine="480"/>
        <w:rPr>
          <w:rFonts w:ascii="Times New Roman" w:hAnsi="Times New Roman"/>
          <w:szCs w:val="28"/>
        </w:rPr>
      </w:pPr>
      <w:bookmarkStart w:id="261" w:name="_Hlk59456849"/>
    </w:p>
    <w:tbl>
      <w:tblPr>
        <w:tblStyle w:val="19"/>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cs="Cambria"/>
                <w:snapToGrid w:val="0"/>
                <w:kern w:val="0"/>
                <w:szCs w:val="24"/>
              </w:rPr>
              <w:t>参选</w:t>
            </w:r>
            <w:r>
              <w:rPr>
                <w:rFonts w:hint="eastAsia" w:ascii="宋体" w:hAnsi="宋体"/>
                <w:snapToGrid w:val="0"/>
                <w:kern w:val="0"/>
                <w:szCs w:val="24"/>
              </w:rPr>
              <w:t>人全称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比选项目名称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cs="Cambria"/>
                <w:sz w:val="21"/>
                <w:szCs w:val="21"/>
              </w:rPr>
            </w:pPr>
            <w:r>
              <w:rPr>
                <w:rFonts w:hint="eastAsia" w:ascii="宋体" w:hAnsi="宋体" w:cs="Cambria"/>
                <w:snapToGrid w:val="0"/>
                <w:color w:val="000000" w:themeColor="text1"/>
                <w:kern w:val="0"/>
                <w:sz w:val="21"/>
                <w:szCs w:val="21"/>
                <w14:textFill>
                  <w14:solidFill>
                    <w14:schemeClr w14:val="tx1"/>
                  </w14:solidFill>
                </w14:textFill>
              </w:rPr>
              <w:t>重庆三峡银行2024年信息科技审计项目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szCs w:val="24"/>
              </w:rPr>
              <w:t>参选</w:t>
            </w:r>
            <w:r>
              <w:rPr>
                <w:rFonts w:hint="eastAsia" w:ascii="宋体" w:hAnsi="宋体"/>
                <w:szCs w:val="24"/>
              </w:rPr>
              <w:t>报价（含税）</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Times New Roman" w:hAnsi="Times New Roman"/>
                <w:snapToGrid w:val="0"/>
                <w:kern w:val="0"/>
                <w:szCs w:val="24"/>
              </w:rPr>
            </w:pPr>
            <w:r>
              <w:rPr>
                <w:rFonts w:ascii="Times New Roman" w:hAnsi="Times New Roman"/>
                <w:snapToGrid w:val="0"/>
                <w:kern w:val="0"/>
                <w:szCs w:val="24"/>
              </w:rPr>
              <w:t>小写</w:t>
            </w:r>
            <w:r>
              <w:rPr>
                <w:rFonts w:hint="eastAsia" w:ascii="Times New Roman" w:hAnsi="Times New Roman"/>
                <w:snapToGrid w:val="0"/>
                <w:kern w:val="0"/>
                <w:szCs w:val="24"/>
              </w:rPr>
              <w:t xml:space="preserve">：            </w:t>
            </w:r>
            <w:r>
              <w:rPr>
                <w:rFonts w:ascii="Times New Roman" w:hAnsi="Times New Roman"/>
                <w:snapToGrid w:val="0"/>
                <w:kern w:val="0"/>
                <w:szCs w:val="24"/>
              </w:rPr>
              <w:t>人民币</w:t>
            </w:r>
          </w:p>
          <w:p>
            <w:pPr>
              <w:autoSpaceDE/>
              <w:autoSpaceDN/>
              <w:spacing w:line="360" w:lineRule="auto"/>
              <w:ind w:firstLine="480"/>
              <w:rPr>
                <w:rFonts w:ascii="宋体" w:hAnsi="宋体"/>
                <w:szCs w:val="24"/>
              </w:rPr>
            </w:pPr>
            <w:r>
              <w:rPr>
                <w:rFonts w:hint="eastAsia" w:ascii="Times New Roman" w:hAnsi="Times New Roman"/>
                <w:snapToGrid w:val="0"/>
                <w:kern w:val="0"/>
                <w:szCs w:val="24"/>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zCs w:val="24"/>
              </w:rPr>
            </w:pPr>
            <w:r>
              <w:rPr>
                <w:rFonts w:hint="eastAsia" w:ascii="宋体" w:hAnsi="宋体"/>
                <w:szCs w:val="24"/>
              </w:rPr>
              <w:t>税率为%的增值税专用发票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rPr>
                <w:rFonts w:ascii="宋体" w:hAnsi="宋体" w:cs="Times New Roman"/>
                <w:snapToGrid w:val="0"/>
                <w:kern w:val="0"/>
                <w:szCs w:val="24"/>
              </w:rPr>
            </w:pPr>
          </w:p>
          <w:p>
            <w:pPr>
              <w:autoSpaceDE/>
              <w:autoSpaceDN/>
              <w:spacing w:line="360" w:lineRule="auto"/>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zCs w:val="28"/>
        </w:rPr>
      </w:pPr>
      <w:r>
        <w:rPr>
          <w:rFonts w:hint="eastAsia" w:ascii="Times New Roman" w:hAnsi="Times New Roman"/>
          <w:szCs w:val="28"/>
        </w:rPr>
        <w:t>注：上述税率为推荐税率，因国家政策产生的特殊情况除外，若有税收优惠请附相关凭证。若遇国家税率调整，则保持不含税价不变，重新计算含税价格。</w:t>
      </w:r>
    </w:p>
    <w:bookmarkEnd w:id="261"/>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napToGrid w:val="0"/>
          <w:kern w:val="0"/>
          <w:szCs w:val="24"/>
        </w:rPr>
      </w:pPr>
      <w:r>
        <w:rPr>
          <w:rFonts w:hint="eastAsia" w:ascii="Times New Roman" w:hAnsi="Times New Roman" w:cs="等线 Light"/>
          <w:snapToGrid w:val="0"/>
          <w:kern w:val="0"/>
          <w:szCs w:val="24"/>
        </w:rPr>
        <w:t>参选</w:t>
      </w:r>
      <w:r>
        <w:rPr>
          <w:rFonts w:hint="eastAsia" w:ascii="Times New Roman" w:hAnsi="Times New Roman"/>
          <w:snapToGrid w:val="0"/>
          <w:kern w:val="0"/>
          <w:szCs w:val="24"/>
        </w:rPr>
        <w:t>人：                            法人授权代表：</w:t>
      </w:r>
    </w:p>
    <w:p>
      <w:pPr>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  （公章）                               （签字或盖章）</w:t>
      </w:r>
    </w:p>
    <w:p>
      <w:pPr>
        <w:spacing w:line="360" w:lineRule="auto"/>
        <w:ind w:right="-34" w:rightChars="-14" w:firstLine="480"/>
        <w:jc w:val="right"/>
        <w:rPr>
          <w:rFonts w:ascii="Times New Roman" w:hAnsi="Times New Roman"/>
          <w:snapToGrid w:val="0"/>
          <w:kern w:val="0"/>
          <w:szCs w:val="24"/>
        </w:rPr>
      </w:pPr>
      <w:r>
        <w:rPr>
          <w:rFonts w:hint="eastAsia" w:ascii="Times New Roman" w:hAnsi="Times New Roman"/>
          <w:snapToGrid w:val="0"/>
          <w:kern w:val="0"/>
          <w:szCs w:val="24"/>
        </w:rPr>
        <w:t xml:space="preserve">                                     年     月     日</w:t>
      </w:r>
    </w:p>
    <w:p>
      <w:pPr>
        <w:snapToGrid w:val="0"/>
        <w:spacing w:line="360" w:lineRule="auto"/>
        <w:ind w:firstLine="480"/>
        <w:rPr>
          <w:rFonts w:ascii="Times New Roman" w:hAnsi="Times New Roman"/>
          <w:snapToGrid w:val="0"/>
          <w:kern w:val="0"/>
          <w:szCs w:val="24"/>
        </w:rPr>
      </w:pPr>
    </w:p>
    <w:p>
      <w:pPr>
        <w:snapToGrid w:val="0"/>
        <w:spacing w:line="360" w:lineRule="auto"/>
        <w:ind w:firstLine="480"/>
        <w:rPr>
          <w:rFonts w:ascii="Times New Roman" w:hAnsi="Times New Roman"/>
          <w:snapToGrid w:val="0"/>
          <w:kern w:val="0"/>
          <w:szCs w:val="24"/>
        </w:rPr>
      </w:pPr>
    </w:p>
    <w:p>
      <w:pPr>
        <w:snapToGrid w:val="0"/>
        <w:spacing w:line="360" w:lineRule="auto"/>
        <w:ind w:firstLine="480"/>
        <w:rPr>
          <w:rFonts w:ascii="Times New Roman" w:hAnsi="Times New Roman"/>
          <w:snapToGrid w:val="0"/>
          <w:kern w:val="0"/>
          <w:szCs w:val="24"/>
        </w:rPr>
      </w:pPr>
      <w:r>
        <w:rPr>
          <w:rFonts w:hint="eastAsia" w:ascii="Times New Roman" w:hAnsi="Times New Roman"/>
          <w:snapToGrid w:val="0"/>
          <w:kern w:val="0"/>
          <w:szCs w:val="24"/>
        </w:rPr>
        <w:t>有关说明：</w:t>
      </w:r>
    </w:p>
    <w:p>
      <w:pPr>
        <w:snapToGrid w:val="0"/>
        <w:spacing w:line="360" w:lineRule="auto"/>
        <w:ind w:firstLine="480"/>
        <w:jc w:val="left"/>
        <w:rPr>
          <w:rFonts w:ascii="Times New Roman" w:hAnsi="Times New Roman"/>
          <w:snapToGrid w:val="0"/>
          <w:kern w:val="0"/>
          <w:szCs w:val="24"/>
        </w:rPr>
      </w:pPr>
      <w:r>
        <w:rPr>
          <w:rFonts w:hint="eastAsia" w:ascii="Times New Roman" w:hAnsi="Times New Roman"/>
          <w:snapToGrid w:val="0"/>
          <w:kern w:val="0"/>
          <w:szCs w:val="24"/>
        </w:rPr>
        <w:t>报价一览表在开标大会上当众宣读，务必填写清楚，准确无误。表格可扩展。</w:t>
      </w:r>
    </w:p>
    <w:p>
      <w:pPr>
        <w:tabs>
          <w:tab w:val="left" w:pos="6300"/>
        </w:tabs>
        <w:snapToGrid w:val="0"/>
        <w:spacing w:line="360" w:lineRule="auto"/>
        <w:ind w:right="480" w:firstLine="480"/>
        <w:jc w:val="right"/>
        <w:rPr>
          <w:rFonts w:hint="eastAsia" w:ascii="宋体"/>
        </w:rPr>
      </w:pPr>
      <w:r>
        <w:rPr>
          <w:rFonts w:hint="eastAsia" w:ascii="Times New Roman" w:hAnsi="Times New Roman"/>
          <w:snapToGrid w:val="0"/>
          <w:kern w:val="0"/>
          <w:szCs w:val="24"/>
        </w:rPr>
        <w:t>本次报价包含上述维护期，比选人不再另行支付该维护期内维护费用。</w:t>
      </w:r>
    </w:p>
    <w:p>
      <w:pPr>
        <w:widowControl/>
        <w:ind w:firstLine="0" w:firstLineChars="0"/>
        <w:jc w:val="left"/>
        <w:rPr>
          <w:rFonts w:hint="eastAsia"/>
        </w:rPr>
        <w:sectPr>
          <w:pgSz w:w="11906" w:h="16838"/>
          <w:pgMar w:top="1440" w:right="1800" w:bottom="1440" w:left="1800" w:header="851" w:footer="992" w:gutter="0"/>
          <w:cols w:space="720" w:num="1"/>
          <w:docGrid w:type="lines" w:linePitch="312" w:charSpace="0"/>
        </w:sectPr>
      </w:pPr>
    </w:p>
    <w:p>
      <w:pPr>
        <w:pStyle w:val="30"/>
      </w:pPr>
      <w:r>
        <w:t>三、资格性文件</w:t>
      </w:r>
    </w:p>
    <w:p>
      <w:pPr>
        <w:pStyle w:val="31"/>
        <w:rPr>
          <w:rFonts w:hint="eastAsia"/>
        </w:rPr>
      </w:pPr>
      <w:r>
        <w:t>（一）参选人基本情况介绍，资质证明等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参选人名称</w:t>
            </w:r>
          </w:p>
        </w:tc>
        <w:tc>
          <w:tcPr>
            <w:tcW w:w="7114" w:type="dxa"/>
            <w:gridSpan w:val="8"/>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邮政编码</w:t>
            </w:r>
          </w:p>
        </w:tc>
        <w:tc>
          <w:tcPr>
            <w:tcW w:w="1657" w:type="dxa"/>
            <w:gridSpan w:val="3"/>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ind w:firstLine="0" w:firstLineChars="0"/>
              <w:jc w:val="center"/>
              <w:rPr>
                <w:rFonts w:hint="eastAsia" w:ascii="宋体"/>
                <w:sz w:val="22"/>
                <w:szCs w:val="24"/>
              </w:rPr>
            </w:pPr>
            <w:r>
              <w:rPr>
                <w:rFonts w:hint="eastAsia" w:ascii="宋体"/>
                <w:sz w:val="22"/>
                <w:szCs w:val="24"/>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电话</w:t>
            </w:r>
          </w:p>
        </w:tc>
        <w:tc>
          <w:tcPr>
            <w:tcW w:w="1657" w:type="dxa"/>
            <w:gridSpan w:val="3"/>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spacing w:line="360" w:lineRule="auto"/>
              <w:ind w:firstLine="0" w:firstLineChars="0"/>
              <w:rPr>
                <w:rFonts w:hint="eastAsia"/>
              </w:rPr>
            </w:pP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网址</w:t>
            </w:r>
          </w:p>
        </w:tc>
        <w:tc>
          <w:tcPr>
            <w:tcW w:w="1657" w:type="dxa"/>
            <w:gridSpan w:val="3"/>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组织结构</w:t>
            </w:r>
          </w:p>
        </w:tc>
        <w:tc>
          <w:tcPr>
            <w:tcW w:w="7114" w:type="dxa"/>
            <w:gridSpan w:val="8"/>
            <w:vAlign w:val="center"/>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法定代表人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电话</w:t>
            </w:r>
          </w:p>
        </w:tc>
        <w:tc>
          <w:tcPr>
            <w:tcW w:w="758" w:type="dxa"/>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电话</w:t>
            </w:r>
          </w:p>
        </w:tc>
        <w:tc>
          <w:tcPr>
            <w:tcW w:w="758" w:type="dxa"/>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4234" w:type="dxa"/>
            <w:gridSpan w:val="6"/>
          </w:tcPr>
          <w:p>
            <w:pPr>
              <w:spacing w:line="360" w:lineRule="auto"/>
              <w:ind w:firstLine="0" w:firstLineChars="0"/>
              <w:jc w:val="center"/>
              <w:rPr>
                <w:rFonts w:hint="eastAsia" w:ascii="宋体"/>
                <w:sz w:val="22"/>
                <w:szCs w:val="24"/>
              </w:rPr>
            </w:pPr>
            <w:r>
              <w:rPr>
                <w:rFonts w:hint="eastAsia" w:ascii="宋体"/>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项目经理</w:t>
            </w:r>
          </w:p>
        </w:tc>
        <w:tc>
          <w:tcPr>
            <w:tcW w:w="1481" w:type="dxa"/>
            <w:gridSpan w:val="2"/>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高级职称人员</w:t>
            </w:r>
          </w:p>
        </w:tc>
        <w:tc>
          <w:tcPr>
            <w:tcW w:w="1481" w:type="dxa"/>
            <w:gridSpan w:val="2"/>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中级职称人员</w:t>
            </w:r>
          </w:p>
        </w:tc>
        <w:tc>
          <w:tcPr>
            <w:tcW w:w="1481" w:type="dxa"/>
            <w:gridSpan w:val="2"/>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初级职称人员</w:t>
            </w:r>
          </w:p>
        </w:tc>
        <w:tc>
          <w:tcPr>
            <w:tcW w:w="1481" w:type="dxa"/>
            <w:gridSpan w:val="2"/>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sz w:val="22"/>
                <w:szCs w:val="24"/>
              </w:rPr>
            </w:pPr>
            <w:r>
              <w:rPr>
                <w:rFonts w:hint="eastAsia" w:ascii="宋体"/>
                <w:sz w:val="22"/>
                <w:szCs w:val="24"/>
              </w:rPr>
              <w:t>技工</w:t>
            </w:r>
          </w:p>
        </w:tc>
        <w:tc>
          <w:tcPr>
            <w:tcW w:w="1481" w:type="dxa"/>
            <w:gridSpan w:val="2"/>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经营范围</w:t>
            </w:r>
          </w:p>
        </w:tc>
        <w:tc>
          <w:tcPr>
            <w:tcW w:w="7114" w:type="dxa"/>
            <w:gridSpan w:val="8"/>
          </w:tcPr>
          <w:p>
            <w:pPr>
              <w:spacing w:line="360" w:lineRule="auto"/>
              <w:ind w:firstLine="0" w:firstLineChars="0"/>
              <w:jc w:val="center"/>
              <w:rPr>
                <w:rFonts w:hint="eastAsia"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firstLineChars="0"/>
              <w:jc w:val="center"/>
              <w:rPr>
                <w:rFonts w:hint="eastAsia" w:ascii="宋体"/>
                <w:sz w:val="22"/>
                <w:szCs w:val="24"/>
              </w:rPr>
            </w:pPr>
            <w:r>
              <w:rPr>
                <w:rFonts w:hint="eastAsia" w:ascii="宋体"/>
                <w:sz w:val="22"/>
                <w:szCs w:val="24"/>
              </w:rPr>
              <w:t>备注</w:t>
            </w:r>
          </w:p>
        </w:tc>
        <w:tc>
          <w:tcPr>
            <w:tcW w:w="7114" w:type="dxa"/>
            <w:gridSpan w:val="8"/>
          </w:tcPr>
          <w:p>
            <w:pPr>
              <w:spacing w:line="360" w:lineRule="auto"/>
              <w:ind w:firstLine="0" w:firstLineChars="0"/>
              <w:jc w:val="center"/>
              <w:rPr>
                <w:rFonts w:hint="eastAsia" w:ascii="宋体"/>
                <w:sz w:val="22"/>
                <w:szCs w:val="24"/>
              </w:rPr>
            </w:pPr>
          </w:p>
        </w:tc>
      </w:tr>
    </w:tbl>
    <w:p>
      <w:pPr>
        <w:widowControl/>
        <w:spacing w:line="360" w:lineRule="auto"/>
        <w:ind w:firstLine="400"/>
        <w:jc w:val="left"/>
        <w:rPr>
          <w:rFonts w:hint="eastAsia" w:ascii="宋体"/>
          <w:sz w:val="20"/>
          <w:szCs w:val="21"/>
        </w:rPr>
        <w:sectPr>
          <w:pgSz w:w="11906" w:h="16838"/>
          <w:pgMar w:top="1440" w:right="1800" w:bottom="1440" w:left="1800" w:header="851" w:footer="992" w:gutter="0"/>
          <w:cols w:space="720" w:num="1"/>
          <w:docGrid w:type="lines" w:linePitch="312" w:charSpace="0"/>
        </w:sectPr>
      </w:pPr>
      <w:r>
        <w:rPr>
          <w:rFonts w:hint="eastAsia" w:ascii="宋体"/>
          <w:sz w:val="20"/>
          <w:szCs w:val="21"/>
        </w:rPr>
        <w:t>注：附营业执照（副本）、</w:t>
      </w:r>
      <w:r>
        <w:rPr>
          <w:rFonts w:hint="eastAsia" w:ascii="宋体" w:hAnsi="宋体"/>
          <w:sz w:val="20"/>
          <w:szCs w:val="21"/>
        </w:rPr>
        <w:t>总公司授权委托书、</w:t>
      </w:r>
      <w:r>
        <w:rPr>
          <w:rFonts w:hint="eastAsia" w:ascii="宋体"/>
          <w:sz w:val="20"/>
          <w:szCs w:val="21"/>
        </w:rPr>
        <w:t>资质证明复印件等。</w:t>
      </w:r>
    </w:p>
    <w:p>
      <w:pPr>
        <w:pStyle w:val="31"/>
        <w:rPr>
          <w:rFonts w:hint="eastAsia"/>
        </w:rPr>
      </w:pPr>
      <w:bookmarkStart w:id="262" w:name="_Toc478053903"/>
      <w:bookmarkStart w:id="263" w:name="_Toc472780356"/>
      <w:bookmarkStart w:id="264" w:name="_Toc478054435"/>
      <w:bookmarkStart w:id="265" w:name="_Toc378234770"/>
      <w:bookmarkStart w:id="266" w:name="_Toc378234584"/>
      <w:r>
        <w:t>（二）法定代表人身份证明及授权委托书</w:t>
      </w:r>
      <w:bookmarkEnd w:id="262"/>
      <w:bookmarkEnd w:id="263"/>
      <w:bookmarkEnd w:id="264"/>
      <w:bookmarkEnd w:id="265"/>
      <w:bookmarkEnd w:id="266"/>
    </w:p>
    <w:p>
      <w:pPr>
        <w:pStyle w:val="32"/>
        <w:rPr>
          <w:rFonts w:hint="default"/>
        </w:rPr>
      </w:pPr>
      <w:r>
        <w:t>法定代表人身份证明书</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项目名称：</w:t>
      </w:r>
      <w:r>
        <w:rPr>
          <w:rFonts w:hint="eastAsia" w:ascii="宋体"/>
          <w:snapToGrid w:val="0"/>
          <w:kern w:val="0"/>
          <w:u w:val="single"/>
        </w:rPr>
        <w:t>____________________</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致：</w:t>
      </w:r>
      <w:r>
        <w:rPr>
          <w:rFonts w:hint="eastAsia" w:ascii="宋体"/>
          <w:snapToGrid w:val="0"/>
          <w:kern w:val="0"/>
          <w:u w:val="single"/>
        </w:rPr>
        <w:t xml:space="preserve"> 重庆三峡银行股份有限公司  </w:t>
      </w:r>
      <w:r>
        <w:rPr>
          <w:rFonts w:hint="eastAsia" w:ascii="宋体"/>
          <w:snapToGrid w:val="0"/>
          <w:kern w:val="0"/>
        </w:rPr>
        <w:t>：</w:t>
      </w:r>
    </w:p>
    <w:p>
      <w:pPr>
        <w:tabs>
          <w:tab w:val="left" w:pos="6300"/>
        </w:tabs>
        <w:snapToGrid w:val="0"/>
        <w:spacing w:line="360" w:lineRule="auto"/>
        <w:ind w:firstLine="480"/>
        <w:rPr>
          <w:rFonts w:hint="eastAsia" w:ascii="宋体"/>
          <w:snapToGrid w:val="0"/>
          <w:kern w:val="0"/>
        </w:rPr>
      </w:pPr>
      <w:r>
        <w:rPr>
          <w:rFonts w:hint="eastAsia" w:ascii="宋体"/>
          <w:snapToGrid w:val="0"/>
          <w:kern w:val="0"/>
        </w:rPr>
        <w:t>（</w:t>
      </w:r>
      <w:r>
        <w:rPr>
          <w:rFonts w:hint="eastAsia" w:ascii="宋体" w:cs="Cambria"/>
          <w:snapToGrid w:val="0"/>
          <w:kern w:val="0"/>
          <w:szCs w:val="24"/>
        </w:rPr>
        <w:t>参选</w:t>
      </w:r>
      <w:r>
        <w:rPr>
          <w:rFonts w:hint="eastAsia" w:ascii="宋体"/>
          <w:snapToGrid w:val="0"/>
          <w:kern w:val="0"/>
        </w:rPr>
        <w:t>人法定代表人姓名）在（参选人名称）任（职务名称）职务，是（参</w:t>
      </w:r>
      <w:r>
        <w:rPr>
          <w:rFonts w:hint="eastAsia" w:ascii="宋体" w:cs="Cambria"/>
          <w:snapToGrid w:val="0"/>
          <w:kern w:val="0"/>
          <w:szCs w:val="24"/>
        </w:rPr>
        <w:t>选</w:t>
      </w:r>
      <w:r>
        <w:rPr>
          <w:rFonts w:hint="eastAsia" w:ascii="宋体"/>
          <w:snapToGrid w:val="0"/>
          <w:kern w:val="0"/>
        </w:rPr>
        <w:t>人名称）的法定代表人。</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特此证明。</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6000" w:firstLineChars="2500"/>
        <w:rPr>
          <w:rFonts w:hint="eastAsia" w:ascii="宋体"/>
          <w:snapToGrid w:val="0"/>
          <w:kern w:val="0"/>
        </w:rPr>
      </w:pPr>
      <w:r>
        <w:rPr>
          <w:rFonts w:hint="eastAsia" w:ascii="宋体"/>
          <w:snapToGrid w:val="0"/>
          <w:kern w:val="0"/>
        </w:rPr>
        <w:t>参选人：</w:t>
      </w:r>
    </w:p>
    <w:p>
      <w:pPr>
        <w:tabs>
          <w:tab w:val="left" w:pos="6300"/>
        </w:tabs>
        <w:snapToGrid w:val="0"/>
        <w:spacing w:line="360" w:lineRule="auto"/>
        <w:ind w:firstLine="5760" w:firstLineChars="2400"/>
        <w:rPr>
          <w:rFonts w:hint="eastAsia" w:ascii="宋体"/>
          <w:snapToGrid w:val="0"/>
          <w:kern w:val="0"/>
        </w:rPr>
      </w:pPr>
      <w:r>
        <w:rPr>
          <w:rFonts w:hint="eastAsia" w:ascii="宋体"/>
          <w:snapToGrid w:val="0"/>
          <w:kern w:val="0"/>
        </w:rPr>
        <w:t>（</w:t>
      </w:r>
      <w:r>
        <w:rPr>
          <w:rFonts w:hint="eastAsia" w:ascii="宋体" w:cs="Cambria"/>
          <w:snapToGrid w:val="0"/>
          <w:kern w:val="0"/>
          <w:szCs w:val="24"/>
        </w:rPr>
        <w:t>参选</w:t>
      </w:r>
      <w:r>
        <w:rPr>
          <w:rFonts w:hint="eastAsia" w:ascii="宋体"/>
          <w:snapToGrid w:val="0"/>
          <w:kern w:val="0"/>
        </w:rPr>
        <w:t>人公章）</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 xml:space="preserve">                                             年   月   日</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（附：法定代表人身份证正反面复印件）</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p>
    <w:p>
      <w:pPr>
        <w:ind w:firstLine="480"/>
        <w:jc w:val="center"/>
        <w:rPr>
          <w:rStyle w:val="33"/>
          <w:rFonts w:hint="default"/>
        </w:rPr>
      </w:pPr>
      <w:r>
        <w:rPr>
          <w:rFonts w:hint="eastAsia"/>
          <w:snapToGrid w:val="0"/>
          <w:kern w:val="0"/>
        </w:rPr>
        <w:br w:type="column"/>
      </w:r>
      <w:r>
        <w:rPr>
          <w:rStyle w:val="33"/>
          <w:rFonts w:hint="default"/>
        </w:rPr>
        <w:t>法定代表人授权委托书</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szCs w:val="28"/>
        </w:rPr>
        <w:t>项目名称</w:t>
      </w:r>
      <w:r>
        <w:rPr>
          <w:rFonts w:hint="eastAsia" w:ascii="宋体"/>
          <w:snapToGrid w:val="0"/>
          <w:kern w:val="0"/>
        </w:rPr>
        <w:t>：</w:t>
      </w:r>
      <w:r>
        <w:rPr>
          <w:rFonts w:hint="eastAsia" w:ascii="宋体"/>
          <w:snapToGrid w:val="0"/>
          <w:kern w:val="0"/>
          <w:szCs w:val="24"/>
          <w:u w:val="single"/>
        </w:rPr>
        <w:t>___________________</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致：</w:t>
      </w:r>
      <w:r>
        <w:rPr>
          <w:rFonts w:hint="eastAsia" w:ascii="宋体"/>
          <w:snapToGrid w:val="0"/>
          <w:kern w:val="0"/>
          <w:u w:val="single"/>
        </w:rPr>
        <w:t>重庆三峡银行股份有限公司</w:t>
      </w:r>
      <w:r>
        <w:rPr>
          <w:rFonts w:hint="eastAsia" w:ascii="宋体"/>
          <w:snapToGrid w:val="0"/>
          <w:kern w:val="0"/>
        </w:rPr>
        <w:t>：</w:t>
      </w:r>
    </w:p>
    <w:p>
      <w:pPr>
        <w:tabs>
          <w:tab w:val="left" w:pos="6300"/>
        </w:tabs>
        <w:snapToGrid w:val="0"/>
        <w:spacing w:line="360" w:lineRule="auto"/>
        <w:ind w:firstLine="480"/>
        <w:rPr>
          <w:rFonts w:hint="eastAsia" w:ascii="宋体"/>
          <w:snapToGrid w:val="0"/>
          <w:kern w:val="0"/>
        </w:rPr>
      </w:pPr>
      <w:r>
        <w:rPr>
          <w:rFonts w:hint="eastAsia" w:ascii="宋体"/>
          <w:snapToGrid w:val="0"/>
          <w:kern w:val="0"/>
        </w:rPr>
        <w:t>（</w:t>
      </w:r>
      <w:r>
        <w:rPr>
          <w:rFonts w:hint="eastAsia" w:ascii="宋体" w:cs="Cambria"/>
          <w:snapToGrid w:val="0"/>
          <w:kern w:val="0"/>
          <w:szCs w:val="24"/>
        </w:rPr>
        <w:t>参选</w:t>
      </w:r>
      <w:r>
        <w:rPr>
          <w:rFonts w:hint="eastAsia" w:ascii="宋体"/>
          <w:snapToGrid w:val="0"/>
          <w:kern w:val="0"/>
        </w:rPr>
        <w:t>人法定代表人名称）是（</w:t>
      </w:r>
      <w:r>
        <w:rPr>
          <w:rFonts w:hint="eastAsia" w:ascii="宋体" w:cs="Cambria"/>
          <w:snapToGrid w:val="0"/>
          <w:kern w:val="0"/>
          <w:szCs w:val="24"/>
        </w:rPr>
        <w:t>参选</w:t>
      </w:r>
      <w:r>
        <w:rPr>
          <w:rFonts w:hint="eastAsia" w:ascii="宋体"/>
          <w:snapToGrid w:val="0"/>
          <w:kern w:val="0"/>
        </w:rPr>
        <w:t>人名称）的法定代表人，特授权（被授权人姓名及身份证代码）代表我单位全权办理上述项目的</w:t>
      </w:r>
      <w:r>
        <w:rPr>
          <w:rFonts w:hint="eastAsia" w:ascii="宋体" w:cs="Cambria"/>
          <w:snapToGrid w:val="0"/>
          <w:kern w:val="0"/>
          <w:szCs w:val="24"/>
        </w:rPr>
        <w:t>参选</w:t>
      </w:r>
      <w:r>
        <w:rPr>
          <w:rFonts w:hint="eastAsia" w:ascii="宋体"/>
          <w:snapToGrid w:val="0"/>
          <w:kern w:val="0"/>
        </w:rPr>
        <w:t>、谈判、签约等具体工作，并签署全部有关文件、协议及合同。</w:t>
      </w:r>
    </w:p>
    <w:p>
      <w:pPr>
        <w:tabs>
          <w:tab w:val="left" w:pos="6300"/>
        </w:tabs>
        <w:snapToGrid w:val="0"/>
        <w:spacing w:line="360" w:lineRule="auto"/>
        <w:ind w:firstLine="480"/>
        <w:rPr>
          <w:rFonts w:hint="eastAsia" w:ascii="宋体"/>
          <w:snapToGrid w:val="0"/>
          <w:kern w:val="0"/>
        </w:rPr>
      </w:pPr>
      <w:r>
        <w:rPr>
          <w:rFonts w:hint="eastAsia" w:ascii="宋体"/>
          <w:snapToGrid w:val="0"/>
          <w:kern w:val="0"/>
        </w:rPr>
        <w:t>我单位对被授权人的签字负全部责任。</w:t>
      </w:r>
    </w:p>
    <w:p>
      <w:pPr>
        <w:tabs>
          <w:tab w:val="left" w:pos="6300"/>
        </w:tabs>
        <w:snapToGrid w:val="0"/>
        <w:spacing w:line="360" w:lineRule="auto"/>
        <w:ind w:firstLine="480"/>
        <w:rPr>
          <w:rFonts w:hint="eastAsia" w:ascii="宋体"/>
          <w:snapToGrid w:val="0"/>
          <w:kern w:val="0"/>
        </w:rPr>
      </w:pPr>
      <w:r>
        <w:rPr>
          <w:rFonts w:hint="eastAsia" w:ascii="宋体"/>
          <w:snapToGrid w:val="0"/>
          <w:kern w:val="0"/>
        </w:rPr>
        <w:t>在撤消授权的书面通知以前，本授权书一直有效。被授权人在授权书有效期内签署的所有文件不因授权的撤消而失效。</w:t>
      </w:r>
    </w:p>
    <w:p>
      <w:pPr>
        <w:tabs>
          <w:tab w:val="left" w:pos="6300"/>
        </w:tabs>
        <w:snapToGrid w:val="0"/>
        <w:spacing w:line="360" w:lineRule="auto"/>
        <w:ind w:firstLine="480"/>
        <w:rPr>
          <w:rFonts w:hint="eastAsia" w:ascii="宋体"/>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kern w:val="0"/>
              </w:rPr>
            </w:pPr>
            <w:r>
              <w:rPr>
                <w:rFonts w:hint="eastAsia" w:ascii="宋体"/>
                <w:snapToGrid w:val="0"/>
                <w:kern w:val="0"/>
              </w:rPr>
              <w:t>被授权人</w:t>
            </w:r>
          </w:p>
        </w:tc>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kern w:val="0"/>
              </w:rPr>
            </w:pPr>
            <w:r>
              <w:rPr>
                <w:rFonts w:hint="eastAsia" w:ascii="宋体" w:cs="Cambria"/>
                <w:snapToGrid w:val="0"/>
                <w:kern w:val="0"/>
                <w:szCs w:val="24"/>
              </w:rPr>
              <w:t>参选</w:t>
            </w:r>
            <w:r>
              <w:rPr>
                <w:rFonts w:hint="eastAsia" w:ascii="宋体"/>
                <w:snapToGrid w:val="0"/>
                <w:kern w:val="0"/>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kern w:val="0"/>
              </w:rPr>
            </w:pPr>
            <w:r>
              <w:rPr>
                <w:rFonts w:hint="eastAsia" w:ascii="宋体"/>
                <w:snapToGrid w:val="0"/>
                <w:kern w:val="0"/>
                <w:szCs w:val="28"/>
              </w:rPr>
              <w:t>（签字或盖章）</w:t>
            </w:r>
          </w:p>
        </w:tc>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kern w:val="0"/>
              </w:rPr>
            </w:pPr>
            <w:r>
              <w:rPr>
                <w:rFonts w:hint="eastAsia" w:ascii="宋体"/>
                <w:snapToGrid w:val="0"/>
                <w:kern w:val="0"/>
                <w:szCs w:val="28"/>
              </w:rPr>
              <w:t>（签字或盖章）</w:t>
            </w:r>
          </w:p>
        </w:tc>
      </w:tr>
    </w:tbl>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szCs w:val="28"/>
        </w:rPr>
      </w:pP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（附：被授权人身份证正反面复印件）</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right="480" w:firstLine="480"/>
        <w:jc w:val="right"/>
        <w:rPr>
          <w:rFonts w:hint="eastAsia" w:ascii="宋体"/>
          <w:snapToGrid w:val="0"/>
          <w:kern w:val="0"/>
        </w:rPr>
      </w:pPr>
      <w:r>
        <w:rPr>
          <w:rFonts w:hint="eastAsia" w:ascii="宋体"/>
          <w:snapToGrid w:val="0"/>
          <w:kern w:val="0"/>
        </w:rPr>
        <w:t>（</w:t>
      </w:r>
      <w:r>
        <w:rPr>
          <w:rFonts w:hint="eastAsia" w:ascii="宋体" w:cs="Cambria"/>
          <w:snapToGrid w:val="0"/>
          <w:kern w:val="0"/>
          <w:szCs w:val="24"/>
        </w:rPr>
        <w:t>参选</w:t>
      </w:r>
      <w:r>
        <w:rPr>
          <w:rFonts w:hint="eastAsia" w:ascii="宋体"/>
          <w:snapToGrid w:val="0"/>
          <w:kern w:val="0"/>
        </w:rPr>
        <w:t>人公章）</w:t>
      </w:r>
    </w:p>
    <w:p>
      <w:pPr>
        <w:tabs>
          <w:tab w:val="left" w:pos="6300"/>
        </w:tabs>
        <w:snapToGrid w:val="0"/>
        <w:spacing w:line="360" w:lineRule="auto"/>
        <w:ind w:right="480" w:firstLine="480"/>
        <w:jc w:val="right"/>
        <w:rPr>
          <w:rFonts w:hint="eastAsia" w:ascii="宋体"/>
          <w:snapToGrid w:val="0"/>
          <w:kern w:val="0"/>
        </w:rPr>
      </w:pPr>
      <w:r>
        <w:rPr>
          <w:rFonts w:hint="eastAsia" w:ascii="宋体"/>
          <w:snapToGrid w:val="0"/>
          <w:kern w:val="0"/>
        </w:rPr>
        <w:t>年   月   日</w:t>
      </w:r>
    </w:p>
    <w:p>
      <w:pPr>
        <w:tabs>
          <w:tab w:val="left" w:pos="6300"/>
        </w:tabs>
        <w:snapToGrid w:val="0"/>
        <w:spacing w:line="360" w:lineRule="auto"/>
        <w:ind w:firstLine="480"/>
        <w:rPr>
          <w:rFonts w:hint="eastAsia" w:ascii="宋体"/>
          <w:snapToGrid w:val="0"/>
          <w:kern w:val="0"/>
        </w:rPr>
      </w:pPr>
    </w:p>
    <w:p>
      <w:pPr>
        <w:tabs>
          <w:tab w:val="left" w:pos="6300"/>
        </w:tabs>
        <w:snapToGrid w:val="0"/>
        <w:spacing w:line="360" w:lineRule="auto"/>
        <w:ind w:firstLine="480"/>
        <w:rPr>
          <w:rFonts w:hint="eastAsia" w:ascii="宋体"/>
          <w:snapToGrid w:val="0"/>
          <w:kern w:val="0"/>
        </w:rPr>
      </w:pPr>
      <w:r>
        <w:rPr>
          <w:rFonts w:hint="eastAsia" w:ascii="宋体"/>
          <w:snapToGrid w:val="0"/>
          <w:kern w:val="0"/>
        </w:rPr>
        <w:t>注：1.若为法定代表人办理并签署参选文件的，不提供此文件。</w:t>
      </w:r>
    </w:p>
    <w:p>
      <w:pPr>
        <w:tabs>
          <w:tab w:val="left" w:pos="6300"/>
        </w:tabs>
        <w:snapToGrid w:val="0"/>
        <w:spacing w:line="360" w:lineRule="auto"/>
        <w:ind w:firstLine="480"/>
        <w:rPr>
          <w:rFonts w:hint="eastAsia" w:ascii="宋体"/>
          <w:snapToGrid w:val="0"/>
          <w:kern w:val="0"/>
        </w:rPr>
      </w:pPr>
      <w:r>
        <w:rPr>
          <w:rFonts w:hint="eastAsia" w:ascii="宋体"/>
          <w:snapToGrid w:val="0"/>
          <w:kern w:val="0"/>
        </w:rPr>
        <w:t>2.若为联合体参选的，法定代表人授权委托书由联合体主办方（主体）出具。</w:t>
      </w:r>
    </w:p>
    <w:p>
      <w:pPr>
        <w:ind w:firstLine="0" w:firstLineChars="0"/>
        <w:rPr>
          <w:rFonts w:hint="eastAsia"/>
        </w:rPr>
        <w:sectPr>
          <w:pgSz w:w="11906" w:h="16838"/>
          <w:pgMar w:top="1440" w:right="1800" w:bottom="1440" w:left="1800" w:header="851" w:footer="992" w:gutter="0"/>
          <w:cols w:space="720" w:num="1"/>
          <w:docGrid w:type="lines" w:linePitch="312" w:charSpace="0"/>
        </w:sectPr>
      </w:pPr>
    </w:p>
    <w:p>
      <w:pPr>
        <w:pStyle w:val="31"/>
        <w:rPr>
          <w:rFonts w:hint="eastAsia"/>
        </w:rPr>
      </w:pPr>
      <w:r>
        <w:rPr>
          <w:rFonts w:hint="eastAsia"/>
        </w:rPr>
        <w:t>（三）书面声明</w:t>
      </w:r>
    </w:p>
    <w:p>
      <w:pPr>
        <w:tabs>
          <w:tab w:val="left" w:pos="6300"/>
        </w:tabs>
        <w:snapToGrid w:val="0"/>
        <w:spacing w:line="360" w:lineRule="auto"/>
        <w:ind w:firstLine="480"/>
        <w:rPr>
          <w:rFonts w:hint="eastAsia" w:ascii="宋体"/>
        </w:rPr>
      </w:pPr>
    </w:p>
    <w:p>
      <w:pPr>
        <w:tabs>
          <w:tab w:val="left" w:pos="6300"/>
        </w:tabs>
        <w:snapToGrid w:val="0"/>
        <w:spacing w:line="360" w:lineRule="auto"/>
        <w:ind w:firstLine="480"/>
        <w:rPr>
          <w:rFonts w:hint="eastAsia" w:ascii="宋体"/>
        </w:rPr>
      </w:pPr>
      <w:r>
        <w:rPr>
          <w:rFonts w:hint="eastAsia" w:ascii="宋体"/>
          <w:szCs w:val="28"/>
        </w:rPr>
        <w:t>项目名称</w:t>
      </w:r>
      <w:r>
        <w:rPr>
          <w:rFonts w:hint="eastAsia" w:ascii="宋体"/>
        </w:rPr>
        <w:t>：</w:t>
      </w:r>
      <w:r>
        <w:rPr>
          <w:rFonts w:hint="eastAsia" w:ascii="宋体"/>
          <w:snapToGrid w:val="0"/>
          <w:kern w:val="0"/>
          <w:szCs w:val="24"/>
          <w:u w:val="single"/>
        </w:rPr>
        <w:t>__________________</w:t>
      </w:r>
    </w:p>
    <w:p>
      <w:pPr>
        <w:tabs>
          <w:tab w:val="left" w:pos="6300"/>
        </w:tabs>
        <w:snapToGrid w:val="0"/>
        <w:spacing w:line="360" w:lineRule="auto"/>
        <w:ind w:firstLine="480"/>
        <w:rPr>
          <w:rFonts w:hint="eastAsia" w:ascii="宋体"/>
        </w:rPr>
      </w:pPr>
    </w:p>
    <w:p>
      <w:pPr>
        <w:tabs>
          <w:tab w:val="left" w:pos="6300"/>
        </w:tabs>
        <w:snapToGrid w:val="0"/>
        <w:spacing w:line="360" w:lineRule="auto"/>
        <w:ind w:firstLine="480"/>
        <w:rPr>
          <w:rFonts w:hint="eastAsia" w:ascii="宋体"/>
        </w:rPr>
      </w:pPr>
      <w:r>
        <w:rPr>
          <w:rFonts w:hint="eastAsia" w:ascii="宋体"/>
        </w:rPr>
        <w:t>致：</w:t>
      </w:r>
      <w:r>
        <w:rPr>
          <w:rFonts w:hint="eastAsia" w:ascii="宋体"/>
          <w:snapToGrid w:val="0"/>
          <w:kern w:val="0"/>
          <w:u w:val="single"/>
        </w:rPr>
        <w:t>重庆三峡银行股份有限公司</w:t>
      </w:r>
      <w:r>
        <w:rPr>
          <w:rFonts w:hint="eastAsia" w:ascii="宋体"/>
        </w:rPr>
        <w:t>：</w:t>
      </w:r>
    </w:p>
    <w:p>
      <w:pPr>
        <w:tabs>
          <w:tab w:val="left" w:pos="6300"/>
        </w:tabs>
        <w:snapToGrid w:val="0"/>
        <w:spacing w:line="360" w:lineRule="auto"/>
        <w:ind w:firstLine="480"/>
        <w:rPr>
          <w:rFonts w:hint="eastAsia" w:ascii="宋体"/>
        </w:rPr>
      </w:pPr>
      <w:r>
        <w:rPr>
          <w:rFonts w:hint="eastAsia" w:ascii="宋体"/>
        </w:rPr>
        <w:t>（</w:t>
      </w:r>
      <w:r>
        <w:rPr>
          <w:rFonts w:hint="eastAsia" w:ascii="宋体" w:cs="等线 Light"/>
          <w:snapToGrid w:val="0"/>
          <w:kern w:val="0"/>
          <w:szCs w:val="24"/>
        </w:rPr>
        <w:t>参选</w:t>
      </w:r>
      <w:r>
        <w:rPr>
          <w:rFonts w:hint="eastAsia" w:ascii="宋体"/>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kern w:val="0"/>
          <w:szCs w:val="24"/>
        </w:rPr>
        <w:t>参选</w:t>
      </w:r>
      <w:r>
        <w:rPr>
          <w:rFonts w:hint="eastAsia" w:ascii="宋体"/>
        </w:rPr>
        <w:t>人资格条件；</w:t>
      </w:r>
      <w:r>
        <w:rPr>
          <w:rFonts w:hint="eastAsia" w:ascii="宋体" w:hAnsi="宋体" w:cs="Cambria"/>
          <w:szCs w:val="24"/>
        </w:rPr>
        <w:t>我公司本次如若中选，中选后不会对项目进行转包</w:t>
      </w:r>
      <w:r>
        <w:rPr>
          <w:rFonts w:hint="eastAsia" w:ascii="宋体"/>
        </w:rPr>
        <w:t>。我方对以上声明负全部法律责任。</w:t>
      </w:r>
    </w:p>
    <w:p>
      <w:pPr>
        <w:tabs>
          <w:tab w:val="left" w:pos="6300"/>
        </w:tabs>
        <w:snapToGrid w:val="0"/>
        <w:spacing w:line="360" w:lineRule="auto"/>
        <w:ind w:firstLine="480"/>
        <w:rPr>
          <w:rFonts w:hint="eastAsia" w:ascii="宋体"/>
        </w:rPr>
      </w:pPr>
      <w:r>
        <w:rPr>
          <w:rFonts w:hint="eastAsia" w:ascii="宋体"/>
        </w:rPr>
        <w:t>特此声明。</w:t>
      </w:r>
    </w:p>
    <w:p>
      <w:pPr>
        <w:tabs>
          <w:tab w:val="left" w:pos="6300"/>
        </w:tabs>
        <w:snapToGrid w:val="0"/>
        <w:spacing w:line="360" w:lineRule="auto"/>
        <w:ind w:firstLine="480"/>
        <w:rPr>
          <w:rFonts w:hint="eastAsia" w:ascii="宋体"/>
        </w:rPr>
      </w:pPr>
    </w:p>
    <w:p>
      <w:pPr>
        <w:tabs>
          <w:tab w:val="left" w:pos="6300"/>
        </w:tabs>
        <w:snapToGrid w:val="0"/>
        <w:spacing w:line="360" w:lineRule="auto"/>
        <w:ind w:firstLine="480"/>
        <w:rPr>
          <w:rFonts w:hint="eastAsia" w:ascii="宋体"/>
        </w:rPr>
      </w:pPr>
    </w:p>
    <w:p>
      <w:pPr>
        <w:tabs>
          <w:tab w:val="left" w:pos="6300"/>
        </w:tabs>
        <w:snapToGrid w:val="0"/>
        <w:spacing w:line="360" w:lineRule="auto"/>
        <w:ind w:firstLine="480"/>
        <w:rPr>
          <w:rFonts w:hint="eastAsia" w:ascii="宋体"/>
        </w:rPr>
      </w:pPr>
    </w:p>
    <w:p>
      <w:pPr>
        <w:tabs>
          <w:tab w:val="left" w:pos="6300"/>
        </w:tabs>
        <w:snapToGrid w:val="0"/>
        <w:spacing w:line="360" w:lineRule="auto"/>
        <w:ind w:right="424" w:firstLine="480"/>
        <w:jc w:val="right"/>
        <w:rPr>
          <w:rFonts w:hint="eastAsia" w:ascii="宋体"/>
        </w:rPr>
      </w:pPr>
      <w:r>
        <w:rPr>
          <w:rFonts w:hint="eastAsia" w:ascii="宋体"/>
        </w:rPr>
        <w:t>（</w:t>
      </w:r>
      <w:r>
        <w:rPr>
          <w:rFonts w:hint="eastAsia" w:ascii="宋体" w:cs="等线 Light"/>
          <w:snapToGrid w:val="0"/>
          <w:kern w:val="0"/>
          <w:szCs w:val="24"/>
        </w:rPr>
        <w:t>参选</w:t>
      </w:r>
      <w:r>
        <w:rPr>
          <w:rFonts w:hint="eastAsia" w:ascii="宋体"/>
        </w:rPr>
        <w:t>人公章）</w:t>
      </w:r>
    </w:p>
    <w:p>
      <w:pPr>
        <w:tabs>
          <w:tab w:val="left" w:pos="6300"/>
        </w:tabs>
        <w:snapToGrid w:val="0"/>
        <w:spacing w:line="360" w:lineRule="auto"/>
        <w:ind w:right="480" w:firstLine="480"/>
        <w:jc w:val="right"/>
        <w:rPr>
          <w:rFonts w:hint="eastAsia" w:ascii="宋体"/>
        </w:rPr>
      </w:pPr>
      <w:r>
        <w:rPr>
          <w:rFonts w:hint="eastAsia" w:ascii="宋体"/>
        </w:rPr>
        <w:t>年   月   日</w:t>
      </w:r>
    </w:p>
    <w:p>
      <w:pPr>
        <w:spacing w:line="360" w:lineRule="auto"/>
        <w:ind w:firstLine="480"/>
        <w:jc w:val="left"/>
        <w:rPr>
          <w:rFonts w:hint="eastAsia" w:ascii="宋体" w:cs="等线 Light"/>
          <w:snapToGrid w:val="0"/>
          <w:kern w:val="0"/>
          <w:szCs w:val="24"/>
        </w:rPr>
      </w:pPr>
    </w:p>
    <w:p>
      <w:pPr>
        <w:spacing w:line="360" w:lineRule="auto"/>
        <w:ind w:firstLine="480"/>
        <w:jc w:val="left"/>
        <w:rPr>
          <w:rFonts w:hint="eastAsia" w:ascii="宋体" w:cs="等线 Light"/>
          <w:snapToGrid w:val="0"/>
          <w:kern w:val="0"/>
          <w:szCs w:val="24"/>
        </w:rPr>
      </w:pPr>
    </w:p>
    <w:p>
      <w:pPr>
        <w:spacing w:line="360" w:lineRule="auto"/>
        <w:ind w:firstLine="480"/>
        <w:jc w:val="left"/>
        <w:rPr>
          <w:rFonts w:hint="eastAsia" w:ascii="宋体" w:cs="等线 Light"/>
          <w:snapToGrid w:val="0"/>
          <w:kern w:val="0"/>
          <w:szCs w:val="24"/>
        </w:rPr>
      </w:pPr>
    </w:p>
    <w:p>
      <w:pPr>
        <w:spacing w:line="360" w:lineRule="auto"/>
        <w:ind w:firstLine="480"/>
        <w:jc w:val="left"/>
        <w:rPr>
          <w:rFonts w:hint="eastAsia" w:ascii="宋体" w:cs="等线 Light"/>
          <w:snapToGrid w:val="0"/>
          <w:kern w:val="0"/>
          <w:szCs w:val="24"/>
        </w:rPr>
      </w:pPr>
    </w:p>
    <w:p>
      <w:pPr>
        <w:spacing w:line="360" w:lineRule="auto"/>
        <w:ind w:firstLine="480"/>
        <w:jc w:val="left"/>
        <w:rPr>
          <w:rFonts w:hint="eastAsia" w:ascii="宋体" w:cs="等线 Light"/>
          <w:snapToGrid w:val="0"/>
          <w:kern w:val="0"/>
          <w:szCs w:val="24"/>
        </w:rPr>
      </w:pPr>
    </w:p>
    <w:p>
      <w:pPr>
        <w:spacing w:line="360" w:lineRule="auto"/>
        <w:ind w:firstLine="480"/>
        <w:jc w:val="left"/>
        <w:rPr>
          <w:rFonts w:hint="eastAsia" w:ascii="宋体" w:cs="等线 Light"/>
          <w:snapToGrid w:val="0"/>
          <w:kern w:val="0"/>
          <w:szCs w:val="24"/>
        </w:rPr>
      </w:pPr>
    </w:p>
    <w:p>
      <w:pPr>
        <w:spacing w:line="360" w:lineRule="auto"/>
        <w:ind w:firstLine="480"/>
        <w:jc w:val="left"/>
        <w:rPr>
          <w:rFonts w:hint="eastAsia" w:ascii="宋体" w:cs="等线 Light"/>
          <w:snapToGrid w:val="0"/>
          <w:kern w:val="0"/>
          <w:szCs w:val="24"/>
        </w:rPr>
      </w:pPr>
    </w:p>
    <w:p>
      <w:pPr>
        <w:ind w:firstLine="480"/>
        <w:rPr>
          <w:rFonts w:hint="eastAsia"/>
          <w:b/>
          <w:bCs/>
        </w:rPr>
      </w:pPr>
      <w:r>
        <w:rPr>
          <w:rFonts w:hint="eastAsia"/>
          <w:kern w:val="0"/>
        </w:rPr>
        <w:br w:type="page"/>
      </w:r>
    </w:p>
    <w:p>
      <w:pPr>
        <w:pStyle w:val="31"/>
        <w:rPr>
          <w:rFonts w:hint="eastAsia"/>
        </w:rPr>
      </w:pPr>
      <w:r>
        <w:t>（</w:t>
      </w:r>
      <w:r>
        <w:rPr>
          <w:rFonts w:hint="eastAsia"/>
        </w:rPr>
        <w:t>四</w:t>
      </w:r>
      <w:r>
        <w:t>）中国执行信息公开网截图</w:t>
      </w: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r>
        <w:rPr>
          <w:rFonts w:hint="eastAsia"/>
        </w:rPr>
        <w:br w:type="page"/>
      </w:r>
    </w:p>
    <w:p>
      <w:pPr>
        <w:pStyle w:val="31"/>
        <w:rPr>
          <w:rFonts w:hint="eastAsia"/>
        </w:rPr>
      </w:pPr>
      <w:r>
        <w:rPr>
          <w:rFonts w:hint="eastAsia"/>
          <w:lang w:val="zh-CN"/>
        </w:rPr>
        <w:t>（</w:t>
      </w:r>
      <w:r>
        <w:rPr>
          <w:rFonts w:hint="eastAsia"/>
        </w:rPr>
        <w:t>五</w:t>
      </w:r>
      <w:r>
        <w:rPr>
          <w:rFonts w:hint="eastAsia"/>
          <w:lang w:val="zh-CN"/>
        </w:rPr>
        <w:t>）项目案例</w:t>
      </w:r>
      <w:r>
        <w:rPr>
          <w:rFonts w:hint="eastAsia"/>
        </w:rPr>
        <w:t>和业绩证明文件复印件</w:t>
      </w:r>
    </w:p>
    <w:p>
      <w:pPr>
        <w:pStyle w:val="2"/>
        <w:ind w:firstLine="480"/>
        <w:rPr>
          <w:rFonts w:hint="eastAsia"/>
        </w:rPr>
      </w:pPr>
      <w:r>
        <w:br w:type="page"/>
      </w:r>
    </w:p>
    <w:p>
      <w:pPr>
        <w:ind w:firstLine="400"/>
        <w:rPr>
          <w:rFonts w:hint="eastAsia" w:ascii="Times New Roman" w:cs="Times New Roman"/>
          <w:sz w:val="20"/>
        </w:rPr>
      </w:pPr>
    </w:p>
    <w:p>
      <w:pPr>
        <w:pStyle w:val="30"/>
      </w:pPr>
      <w:r>
        <w:t>四、响应承诺函</w:t>
      </w:r>
    </w:p>
    <w:p>
      <w:pPr>
        <w:ind w:firstLine="480"/>
        <w:rPr>
          <w:rFonts w:hint="eastAsia"/>
        </w:rPr>
      </w:pPr>
      <w:r>
        <w:rPr>
          <w:rFonts w:hint="eastAsia"/>
        </w:rPr>
        <w:t>根据第三章“项目要求”内容，做出整体承诺，格式自理。</w:t>
      </w:r>
    </w:p>
    <w:p>
      <w:pPr>
        <w:ind w:firstLine="480"/>
        <w:rPr>
          <w:rFonts w:hint="eastAsia"/>
        </w:rPr>
      </w:pPr>
    </w:p>
    <w:p>
      <w:pPr>
        <w:ind w:firstLine="480"/>
        <w:rPr>
          <w:rFonts w:hint="eastAsia"/>
        </w:rPr>
        <w:sectPr>
          <w:pgSz w:w="11906" w:h="16838"/>
          <w:pgMar w:top="1440" w:right="1800" w:bottom="1440" w:left="1800" w:header="851" w:footer="992" w:gutter="0"/>
          <w:cols w:space="720" w:num="1"/>
          <w:docGrid w:type="lines" w:linePitch="312" w:charSpace="0"/>
        </w:sectPr>
      </w:pPr>
    </w:p>
    <w:p>
      <w:pPr>
        <w:pStyle w:val="30"/>
      </w:pPr>
      <w:r>
        <w:t>五、参选保证金</w:t>
      </w: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spacing w:line="360" w:lineRule="auto"/>
        <w:ind w:firstLine="480"/>
        <w:rPr>
          <w:rFonts w:hint="eastAsia" w:ascii="宋体" w:cs="等线 Light"/>
        </w:rPr>
      </w:pPr>
    </w:p>
    <w:p>
      <w:pPr>
        <w:adjustRightInd w:val="0"/>
        <w:snapToGrid w:val="0"/>
        <w:spacing w:line="360" w:lineRule="auto"/>
        <w:ind w:firstLine="480"/>
        <w:jc w:val="left"/>
        <w:rPr>
          <w:rFonts w:hint="eastAsia" w:ascii="宋体"/>
          <w:kern w:val="0"/>
        </w:rPr>
      </w:pPr>
      <w:r>
        <w:rPr>
          <w:rFonts w:hint="eastAsia" w:ascii="宋体"/>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ANztUAAAAIAQAADwAAAAAA&#10;AAABACAAAAAiAAAAZHJzL2Rvd25yZXYueG1sUEsBAhQAFAAAAAgAh07iQB+PUEPdAQAApwMAAA4A&#10;AAAAAAAAAQAgAAAAJAEAAGRycy9lMm9Eb2MueG1sUEsFBgAAAAAGAAYAWQEAAHMF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480"/>
        <w:rPr>
          <w:rFonts w:hint="eastAsia" w:ascii="宋体"/>
          <w:snapToGrid w:val="0"/>
          <w:kern w:val="0"/>
        </w:rPr>
      </w:pPr>
      <w:r>
        <w:rPr>
          <w:rFonts w:hint="eastAsia" w:ascii="宋体"/>
          <w:snapToGrid w:val="0"/>
          <w:kern w:val="0"/>
        </w:rPr>
        <w:t>注：附</w:t>
      </w:r>
      <w:r>
        <w:rPr>
          <w:rFonts w:hint="eastAsia" w:ascii="宋体" w:cs="等线 Light"/>
          <w:snapToGrid w:val="0"/>
          <w:kern w:val="0"/>
          <w:szCs w:val="24"/>
        </w:rPr>
        <w:t>参选</w:t>
      </w:r>
      <w:r>
        <w:rPr>
          <w:rFonts w:hint="eastAsia" w:ascii="宋体"/>
          <w:snapToGrid w:val="0"/>
          <w:kern w:val="0"/>
        </w:rPr>
        <w:t>保证金交款凭据复印件</w:t>
      </w:r>
    </w:p>
    <w:p>
      <w:pPr>
        <w:spacing w:line="360" w:lineRule="auto"/>
        <w:ind w:firstLine="420"/>
        <w:rPr>
          <w:rFonts w:hint="eastAsia" w:ascii="宋体" w:cs="等线 Light"/>
          <w:sz w:val="21"/>
          <w:szCs w:val="21"/>
        </w:rPr>
      </w:pPr>
    </w:p>
    <w:p>
      <w:pPr>
        <w:spacing w:line="360" w:lineRule="auto"/>
        <w:ind w:firstLine="480"/>
        <w:rPr>
          <w:rFonts w:hint="eastAsia" w:ascii="宋体" w:cs="等线 Light"/>
          <w:szCs w:val="21"/>
        </w:rPr>
        <w:sectPr>
          <w:pgSz w:w="11906" w:h="16838"/>
          <w:pgMar w:top="1440" w:right="1800" w:bottom="1440" w:left="1800" w:header="851" w:footer="992" w:gutter="0"/>
          <w:cols w:space="720" w:num="1"/>
          <w:docGrid w:type="lines" w:linePitch="312" w:charSpace="0"/>
        </w:sectPr>
      </w:pPr>
    </w:p>
    <w:p>
      <w:pPr>
        <w:pStyle w:val="30"/>
      </w:pPr>
      <w:r>
        <w:t>六、项目组成员名单、简历、证书和案例等</w:t>
      </w:r>
    </w:p>
    <w:p>
      <w:pPr>
        <w:ind w:firstLine="480"/>
        <w:rPr>
          <w:rFonts w:hint="eastAsia"/>
        </w:rPr>
      </w:pPr>
    </w:p>
    <w:p>
      <w:pPr>
        <w:ind w:firstLine="480"/>
        <w:rPr>
          <w:rFonts w:hint="eastAsia"/>
        </w:rPr>
      </w:pPr>
    </w:p>
    <w:p>
      <w:pPr>
        <w:ind w:firstLine="480"/>
        <w:rPr>
          <w:rFonts w:hint="eastAsia"/>
        </w:rPr>
      </w:pPr>
    </w:p>
    <w:p>
      <w:pPr>
        <w:ind w:firstLine="480"/>
        <w:rPr>
          <w:rFonts w:hint="eastAsia"/>
        </w:rPr>
        <w:sectPr>
          <w:pgSz w:w="11906" w:h="16838"/>
          <w:pgMar w:top="1440" w:right="1800" w:bottom="1440" w:left="1800" w:header="851" w:footer="992" w:gutter="0"/>
          <w:cols w:space="720" w:num="1"/>
          <w:docGrid w:type="lines" w:linePitch="312" w:charSpace="0"/>
        </w:sectPr>
      </w:pPr>
    </w:p>
    <w:p>
      <w:pPr>
        <w:pStyle w:val="30"/>
      </w:pPr>
      <w:r>
        <w:t>七、服务连续性预案</w:t>
      </w:r>
    </w:p>
    <w:p>
      <w:pPr>
        <w:ind w:firstLine="480"/>
        <w:rPr>
          <w:rFonts w:hint="eastAsia"/>
        </w:rPr>
      </w:pPr>
    </w:p>
    <w:p>
      <w:pPr>
        <w:ind w:firstLine="480"/>
        <w:rPr>
          <w:rFonts w:hint="eastAsia"/>
        </w:rPr>
        <w:sectPr>
          <w:pgSz w:w="11906" w:h="16838"/>
          <w:pgMar w:top="1440" w:right="1800" w:bottom="1440" w:left="1800" w:header="851" w:footer="992" w:gutter="0"/>
          <w:cols w:space="720" w:num="1"/>
          <w:docGrid w:type="lines" w:linePitch="312" w:charSpace="0"/>
        </w:sectPr>
      </w:pPr>
    </w:p>
    <w:p>
      <w:pPr>
        <w:pStyle w:val="30"/>
      </w:pPr>
      <w:r>
        <w:t>八、项目实施方案</w:t>
      </w:r>
    </w:p>
    <w:p>
      <w:pPr>
        <w:tabs>
          <w:tab w:val="left" w:pos="6300"/>
        </w:tabs>
        <w:snapToGrid w:val="0"/>
        <w:spacing w:line="360" w:lineRule="auto"/>
        <w:ind w:firstLine="480"/>
        <w:jc w:val="center"/>
        <w:rPr>
          <w:rFonts w:hint="eastAsia" w:ascii="宋体"/>
          <w:snapToGrid w:val="0"/>
          <w:kern w:val="0"/>
          <w:szCs w:val="24"/>
        </w:rPr>
      </w:pPr>
      <w:r>
        <w:rPr>
          <w:rFonts w:hint="eastAsia" w:ascii="宋体"/>
          <w:snapToGrid w:val="0"/>
          <w:kern w:val="0"/>
          <w:szCs w:val="24"/>
        </w:rPr>
        <w:t>（实施方案包括履行合同的时间计划、提交资料、人员安排、审计质量控制等）</w:t>
      </w:r>
    </w:p>
    <w:p>
      <w:pPr>
        <w:ind w:firstLine="480"/>
        <w:rPr>
          <w:rFonts w:hint="eastAsia"/>
        </w:rPr>
      </w:pPr>
      <w:r>
        <w:rPr>
          <w:kern w:val="0"/>
        </w:rPr>
        <w:br w:type="page"/>
      </w:r>
    </w:p>
    <w:p>
      <w:pPr>
        <w:pStyle w:val="30"/>
      </w:pPr>
      <w:r>
        <w:t>九、其他（如有）</w:t>
      </w:r>
    </w:p>
    <w:p>
      <w:pPr>
        <w:ind w:firstLine="480"/>
        <w:rPr>
          <w:rFonts w:hint="eastAsia"/>
        </w:rPr>
      </w:pPr>
    </w:p>
    <w:p>
      <w:pPr>
        <w:ind w:firstLine="48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ind w:firstLine="360"/>
                            <w:rPr>
                              <w:rFonts w:hint="eastAsia"/>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ind w:firstLine="360"/>
                      <w:rPr>
                        <w:rFonts w:hint="eastAsia"/>
                      </w:rPr>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4A1AA6"/>
    <w:rsid w:val="000271EA"/>
    <w:rsid w:val="000308CD"/>
    <w:rsid w:val="000B5AED"/>
    <w:rsid w:val="000D0285"/>
    <w:rsid w:val="000D0784"/>
    <w:rsid w:val="000E19E8"/>
    <w:rsid w:val="000E3AF7"/>
    <w:rsid w:val="0011400C"/>
    <w:rsid w:val="00127444"/>
    <w:rsid w:val="00131019"/>
    <w:rsid w:val="001523D3"/>
    <w:rsid w:val="00166636"/>
    <w:rsid w:val="00197F72"/>
    <w:rsid w:val="001B68D2"/>
    <w:rsid w:val="001C6411"/>
    <w:rsid w:val="002346FA"/>
    <w:rsid w:val="002418C3"/>
    <w:rsid w:val="00272D92"/>
    <w:rsid w:val="0029565B"/>
    <w:rsid w:val="002A4FA4"/>
    <w:rsid w:val="002F2FB4"/>
    <w:rsid w:val="002F7558"/>
    <w:rsid w:val="00315005"/>
    <w:rsid w:val="00351160"/>
    <w:rsid w:val="00362F5B"/>
    <w:rsid w:val="00366AD9"/>
    <w:rsid w:val="003832EE"/>
    <w:rsid w:val="003962F5"/>
    <w:rsid w:val="004253FA"/>
    <w:rsid w:val="00492616"/>
    <w:rsid w:val="004A1AA6"/>
    <w:rsid w:val="004B5751"/>
    <w:rsid w:val="004C3E28"/>
    <w:rsid w:val="00580305"/>
    <w:rsid w:val="00596EA4"/>
    <w:rsid w:val="005B2E29"/>
    <w:rsid w:val="005D73F2"/>
    <w:rsid w:val="005E71EC"/>
    <w:rsid w:val="005F590F"/>
    <w:rsid w:val="006017FF"/>
    <w:rsid w:val="00617A84"/>
    <w:rsid w:val="00635618"/>
    <w:rsid w:val="00647A0A"/>
    <w:rsid w:val="006A28AB"/>
    <w:rsid w:val="006B282E"/>
    <w:rsid w:val="006D25FB"/>
    <w:rsid w:val="007011EA"/>
    <w:rsid w:val="00706D59"/>
    <w:rsid w:val="007071AC"/>
    <w:rsid w:val="007567CA"/>
    <w:rsid w:val="00772FB0"/>
    <w:rsid w:val="00773721"/>
    <w:rsid w:val="0077712B"/>
    <w:rsid w:val="00783E1C"/>
    <w:rsid w:val="007C75DB"/>
    <w:rsid w:val="007D4F16"/>
    <w:rsid w:val="008014D1"/>
    <w:rsid w:val="00847A13"/>
    <w:rsid w:val="008773D9"/>
    <w:rsid w:val="0088467B"/>
    <w:rsid w:val="0089279D"/>
    <w:rsid w:val="008B0F29"/>
    <w:rsid w:val="008E1B97"/>
    <w:rsid w:val="008F4BF0"/>
    <w:rsid w:val="00902F8D"/>
    <w:rsid w:val="00910CB8"/>
    <w:rsid w:val="00922C18"/>
    <w:rsid w:val="009760CD"/>
    <w:rsid w:val="00982C2A"/>
    <w:rsid w:val="009C127E"/>
    <w:rsid w:val="00A36563"/>
    <w:rsid w:val="00A468C5"/>
    <w:rsid w:val="00A56099"/>
    <w:rsid w:val="00A60477"/>
    <w:rsid w:val="00A64E12"/>
    <w:rsid w:val="00A7648C"/>
    <w:rsid w:val="00AA3CCA"/>
    <w:rsid w:val="00AC3C24"/>
    <w:rsid w:val="00AD7AE4"/>
    <w:rsid w:val="00AF2DF0"/>
    <w:rsid w:val="00AF3138"/>
    <w:rsid w:val="00B12AFC"/>
    <w:rsid w:val="00B14F12"/>
    <w:rsid w:val="00B16872"/>
    <w:rsid w:val="00BB7E83"/>
    <w:rsid w:val="00C06F32"/>
    <w:rsid w:val="00C62478"/>
    <w:rsid w:val="00C64BDD"/>
    <w:rsid w:val="00C82C4D"/>
    <w:rsid w:val="00CD7F6D"/>
    <w:rsid w:val="00CE6D56"/>
    <w:rsid w:val="00CE7987"/>
    <w:rsid w:val="00CF5FBE"/>
    <w:rsid w:val="00D122AD"/>
    <w:rsid w:val="00D3113C"/>
    <w:rsid w:val="00D41773"/>
    <w:rsid w:val="00D42849"/>
    <w:rsid w:val="00D666D3"/>
    <w:rsid w:val="00D96B30"/>
    <w:rsid w:val="00D97C72"/>
    <w:rsid w:val="00DA15D2"/>
    <w:rsid w:val="00E16DD5"/>
    <w:rsid w:val="00E35FD6"/>
    <w:rsid w:val="00E54B62"/>
    <w:rsid w:val="00E902D2"/>
    <w:rsid w:val="00F0669E"/>
    <w:rsid w:val="00F16FEB"/>
    <w:rsid w:val="00F336F8"/>
    <w:rsid w:val="00F351DC"/>
    <w:rsid w:val="00F51322"/>
    <w:rsid w:val="00F67069"/>
    <w:rsid w:val="00F7577F"/>
    <w:rsid w:val="00F85583"/>
    <w:rsid w:val="00FB1D43"/>
    <w:rsid w:val="00FB21BE"/>
    <w:rsid w:val="01FF5632"/>
    <w:rsid w:val="05151950"/>
    <w:rsid w:val="071A2D33"/>
    <w:rsid w:val="08F5187C"/>
    <w:rsid w:val="097B701A"/>
    <w:rsid w:val="098A626F"/>
    <w:rsid w:val="09D65B51"/>
    <w:rsid w:val="0A0F696E"/>
    <w:rsid w:val="0A1D6F10"/>
    <w:rsid w:val="0BEF7DA3"/>
    <w:rsid w:val="0C6620D4"/>
    <w:rsid w:val="0C9040A9"/>
    <w:rsid w:val="0F0104EA"/>
    <w:rsid w:val="1106526A"/>
    <w:rsid w:val="12DA0C7B"/>
    <w:rsid w:val="134A09A8"/>
    <w:rsid w:val="14151B4C"/>
    <w:rsid w:val="151B77D8"/>
    <w:rsid w:val="1856573C"/>
    <w:rsid w:val="191A3BF7"/>
    <w:rsid w:val="1A815081"/>
    <w:rsid w:val="1ADC6D40"/>
    <w:rsid w:val="1FED61F0"/>
    <w:rsid w:val="21F23CE0"/>
    <w:rsid w:val="2316025C"/>
    <w:rsid w:val="286A05D7"/>
    <w:rsid w:val="287C121A"/>
    <w:rsid w:val="29E4746D"/>
    <w:rsid w:val="2BB27B17"/>
    <w:rsid w:val="2C531B32"/>
    <w:rsid w:val="2C642975"/>
    <w:rsid w:val="2F1471D4"/>
    <w:rsid w:val="32886A95"/>
    <w:rsid w:val="32B77AC3"/>
    <w:rsid w:val="32D912FC"/>
    <w:rsid w:val="36332EE8"/>
    <w:rsid w:val="37A93866"/>
    <w:rsid w:val="3AEE244B"/>
    <w:rsid w:val="3D8E770A"/>
    <w:rsid w:val="3E6350CC"/>
    <w:rsid w:val="402F4DFA"/>
    <w:rsid w:val="403D2B15"/>
    <w:rsid w:val="40D04C44"/>
    <w:rsid w:val="458A4B1F"/>
    <w:rsid w:val="45CE2DED"/>
    <w:rsid w:val="473D70ED"/>
    <w:rsid w:val="47B009B8"/>
    <w:rsid w:val="48C77A88"/>
    <w:rsid w:val="4A3B1213"/>
    <w:rsid w:val="504D7229"/>
    <w:rsid w:val="52402F8A"/>
    <w:rsid w:val="5264103C"/>
    <w:rsid w:val="537F5EDF"/>
    <w:rsid w:val="57185A58"/>
    <w:rsid w:val="573A3C7D"/>
    <w:rsid w:val="57AF5C8A"/>
    <w:rsid w:val="590548CC"/>
    <w:rsid w:val="5CA5038F"/>
    <w:rsid w:val="5CC15DC4"/>
    <w:rsid w:val="5F166FCB"/>
    <w:rsid w:val="61B766FB"/>
    <w:rsid w:val="61D33991"/>
    <w:rsid w:val="62612C54"/>
    <w:rsid w:val="632B625F"/>
    <w:rsid w:val="63350368"/>
    <w:rsid w:val="63E17BEF"/>
    <w:rsid w:val="696D1EDE"/>
    <w:rsid w:val="6AA945AE"/>
    <w:rsid w:val="6ADC548C"/>
    <w:rsid w:val="6B574143"/>
    <w:rsid w:val="6DC06D29"/>
    <w:rsid w:val="6E2A5C30"/>
    <w:rsid w:val="6FDF7997"/>
    <w:rsid w:val="71381023"/>
    <w:rsid w:val="7173590B"/>
    <w:rsid w:val="727576DB"/>
    <w:rsid w:val="74081181"/>
    <w:rsid w:val="740D5D2E"/>
    <w:rsid w:val="75200194"/>
    <w:rsid w:val="755F7D8C"/>
    <w:rsid w:val="762961F2"/>
    <w:rsid w:val="78F54622"/>
    <w:rsid w:val="7A9E122A"/>
    <w:rsid w:val="7CEC5581"/>
    <w:rsid w:val="7EDD7B33"/>
    <w:rsid w:val="7F4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25"/>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26"/>
    <w:autoRedefine/>
    <w:unhideWhenUsed/>
    <w:qFormat/>
    <w:uiPriority w:val="9"/>
    <w:pPr>
      <w:ind w:firstLine="0" w:firstLineChars="0"/>
      <w:outlineLvl w:val="1"/>
    </w:pPr>
    <w:rPr>
      <w:rFonts w:ascii="宋体" w:hAnsi="宋体" w:cstheme="majorBidi"/>
      <w:b/>
      <w:bCs/>
      <w:snapToGrid w:val="0"/>
      <w:szCs w:val="24"/>
    </w:rPr>
  </w:style>
  <w:style w:type="paragraph" w:styleId="5">
    <w:name w:val="heading 3"/>
    <w:basedOn w:val="1"/>
    <w:next w:val="1"/>
    <w:link w:val="27"/>
    <w:autoRedefine/>
    <w:unhideWhenUsed/>
    <w:qFormat/>
    <w:uiPriority w:val="9"/>
    <w:pPr>
      <w:ind w:firstLine="480"/>
      <w:outlineLvl w:val="2"/>
    </w:pPr>
    <w:rPr>
      <w:bCs/>
      <w:szCs w:val="32"/>
    </w:rPr>
  </w:style>
  <w:style w:type="paragraph" w:styleId="6">
    <w:name w:val="heading 4"/>
    <w:basedOn w:val="1"/>
    <w:next w:val="1"/>
    <w:link w:val="24"/>
    <w:autoRedefine/>
    <w:qFormat/>
    <w:uiPriority w:val="0"/>
    <w:pPr>
      <w:outlineLvl w:val="3"/>
    </w:pPr>
    <w:rPr>
      <w:rFonts w:ascii="Calibri Light" w:hAnsi="Calibri Light" w:cs="Times New Roman"/>
      <w:bCs/>
      <w:szCs w:val="28"/>
    </w:rPr>
  </w:style>
  <w:style w:type="paragraph" w:styleId="7">
    <w:name w:val="heading 5"/>
    <w:basedOn w:val="1"/>
    <w:next w:val="1"/>
    <w:link w:val="29"/>
    <w:autoRedefine/>
    <w:unhideWhenUsed/>
    <w:qFormat/>
    <w:uiPriority w:val="0"/>
    <w:pPr>
      <w:spacing w:line="360" w:lineRule="auto"/>
      <w:ind w:firstLine="0" w:firstLineChars="0"/>
      <w:jc w:val="center"/>
      <w:outlineLvl w:val="4"/>
    </w:pPr>
    <w:rPr>
      <w:b/>
      <w:sz w:val="28"/>
    </w:rPr>
  </w:style>
  <w:style w:type="paragraph" w:styleId="8">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before="100" w:beforeAutospacing="1" w:after="120"/>
    </w:pPr>
  </w:style>
  <w:style w:type="paragraph" w:styleId="9">
    <w:name w:val="annotation text"/>
    <w:basedOn w:val="1"/>
    <w:autoRedefine/>
    <w:qFormat/>
    <w:uiPriority w:val="0"/>
    <w:pPr>
      <w:jc w:val="left"/>
    </w:pPr>
  </w:style>
  <w:style w:type="paragraph" w:styleId="10">
    <w:name w:val="Body Text Indent"/>
    <w:basedOn w:val="1"/>
    <w:link w:val="40"/>
    <w:qFormat/>
    <w:uiPriority w:val="0"/>
    <w:pPr>
      <w:spacing w:after="120"/>
      <w:ind w:left="420" w:leftChars="200"/>
    </w:pPr>
  </w:style>
  <w:style w:type="paragraph" w:styleId="11">
    <w:name w:val="Body Text Indent 2"/>
    <w:basedOn w:val="1"/>
    <w:link w:val="41"/>
    <w:qFormat/>
    <w:uiPriority w:val="0"/>
    <w:pPr>
      <w:spacing w:after="120" w:line="480" w:lineRule="auto"/>
      <w:ind w:left="420" w:leftChars="200"/>
    </w:pPr>
  </w:style>
  <w:style w:type="paragraph" w:styleId="12">
    <w:name w:val="Balloon Text"/>
    <w:basedOn w:val="1"/>
    <w:link w:val="39"/>
    <w:qFormat/>
    <w:uiPriority w:val="0"/>
    <w:pPr>
      <w:spacing w:line="240" w:lineRule="auto"/>
    </w:pPr>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autoRedefine/>
    <w:qFormat/>
    <w:uiPriority w:val="0"/>
  </w:style>
  <w:style w:type="paragraph" w:styleId="16">
    <w:name w:val="Subtitle"/>
    <w:basedOn w:val="1"/>
    <w:autoRedefine/>
    <w:qFormat/>
    <w:uiPriority w:val="0"/>
    <w:pPr>
      <w:spacing w:before="240" w:after="60" w:line="312" w:lineRule="auto"/>
      <w:jc w:val="center"/>
      <w:outlineLvl w:val="1"/>
    </w:pPr>
    <w:rPr>
      <w:rFonts w:ascii="Arial" w:hAnsi="Arial"/>
      <w:b/>
      <w:kern w:val="28"/>
      <w:sz w:val="32"/>
    </w:rPr>
  </w:style>
  <w:style w:type="paragraph" w:styleId="17">
    <w:name w:val="Title"/>
    <w:basedOn w:val="1"/>
    <w:next w:val="18"/>
    <w:link w:val="42"/>
    <w:qFormat/>
    <w:uiPriority w:val="0"/>
    <w:pPr>
      <w:adjustRightInd w:val="0"/>
      <w:snapToGrid w:val="0"/>
      <w:spacing w:before="240" w:after="60"/>
      <w:ind w:firstLine="200"/>
      <w:jc w:val="center"/>
      <w:outlineLvl w:val="0"/>
    </w:pPr>
    <w:rPr>
      <w:rFonts w:ascii="Arial" w:hAnsi="Arial"/>
      <w:b/>
      <w:color w:val="FF0000"/>
      <w:sz w:val="32"/>
    </w:rPr>
  </w:style>
  <w:style w:type="paragraph" w:styleId="18">
    <w:name w:val="List Paragraph"/>
    <w:basedOn w:val="1"/>
    <w:semiHidden/>
    <w:unhideWhenUsed/>
    <w:qFormat/>
    <w:uiPriority w:val="99"/>
    <w:pPr>
      <w:ind w:firstLine="420"/>
    </w:p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bCs/>
    </w:rPr>
  </w:style>
  <w:style w:type="character" w:styleId="23">
    <w:name w:val="annotation reference"/>
    <w:basedOn w:val="21"/>
    <w:qFormat/>
    <w:uiPriority w:val="0"/>
    <w:rPr>
      <w:sz w:val="21"/>
      <w:szCs w:val="21"/>
    </w:rPr>
  </w:style>
  <w:style w:type="character" w:customStyle="1" w:styleId="24">
    <w:name w:val="标题 4 Char"/>
    <w:link w:val="6"/>
    <w:autoRedefine/>
    <w:qFormat/>
    <w:uiPriority w:val="0"/>
    <w:rPr>
      <w:rFonts w:ascii="Calibri Light" w:hAnsi="Calibri Light" w:eastAsia="宋体" w:cs="Times New Roman"/>
      <w:bCs/>
      <w:szCs w:val="28"/>
    </w:rPr>
  </w:style>
  <w:style w:type="character" w:customStyle="1" w:styleId="25">
    <w:name w:val="标题 1 Char"/>
    <w:basedOn w:val="21"/>
    <w:link w:val="3"/>
    <w:autoRedefine/>
    <w:qFormat/>
    <w:uiPriority w:val="0"/>
    <w:rPr>
      <w:rFonts w:ascii="宋体" w:hAnsi="宋体" w:eastAsia="宋体" w:cs="等线 Light"/>
      <w:b/>
      <w:snapToGrid w:val="0"/>
      <w:kern w:val="0"/>
      <w:sz w:val="44"/>
      <w:szCs w:val="44"/>
    </w:rPr>
  </w:style>
  <w:style w:type="character" w:customStyle="1" w:styleId="26">
    <w:name w:val="标题 2 Char"/>
    <w:basedOn w:val="21"/>
    <w:link w:val="4"/>
    <w:autoRedefine/>
    <w:qFormat/>
    <w:uiPriority w:val="9"/>
    <w:rPr>
      <w:rFonts w:ascii="宋体" w:hAnsi="宋体" w:cstheme="majorBidi"/>
      <w:b/>
      <w:bCs/>
      <w:snapToGrid w:val="0"/>
      <w:szCs w:val="24"/>
    </w:rPr>
  </w:style>
  <w:style w:type="character" w:customStyle="1" w:styleId="27">
    <w:name w:val="标题 3 Char"/>
    <w:basedOn w:val="21"/>
    <w:link w:val="5"/>
    <w:autoRedefine/>
    <w:qFormat/>
    <w:uiPriority w:val="9"/>
    <w:rPr>
      <w:rFonts w:ascii="Cambria Math" w:hAnsi="Cambria Math" w:cs="Cambria Math"/>
      <w:bCs/>
      <w:kern w:val="2"/>
      <w:sz w:val="24"/>
      <w:szCs w:val="32"/>
    </w:rPr>
  </w:style>
  <w:style w:type="table" w:customStyle="1" w:styleId="28">
    <w:name w:val="网格型5"/>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标题 5 Char"/>
    <w:link w:val="7"/>
    <w:autoRedefine/>
    <w:qFormat/>
    <w:uiPriority w:val="0"/>
    <w:rPr>
      <w:rFonts w:eastAsia="宋体"/>
      <w:b/>
      <w:sz w:val="28"/>
    </w:rPr>
  </w:style>
  <w:style w:type="paragraph" w:customStyle="1" w:styleId="30">
    <w:name w:val="参选文件格式1"/>
    <w:basedOn w:val="1"/>
    <w:next w:val="1"/>
    <w:link w:val="34"/>
    <w:autoRedefine/>
    <w:qFormat/>
    <w:uiPriority w:val="0"/>
    <w:pPr>
      <w:spacing w:line="360" w:lineRule="auto"/>
      <w:ind w:firstLine="0" w:firstLineChars="0"/>
      <w:jc w:val="center"/>
      <w:outlineLvl w:val="1"/>
    </w:pPr>
    <w:rPr>
      <w:rFonts w:hint="eastAsia"/>
      <w:b/>
      <w:sz w:val="28"/>
    </w:rPr>
  </w:style>
  <w:style w:type="paragraph" w:customStyle="1" w:styleId="31">
    <w:name w:val="参选文件格式2"/>
    <w:basedOn w:val="1"/>
    <w:next w:val="1"/>
    <w:link w:val="35"/>
    <w:autoRedefine/>
    <w:qFormat/>
    <w:uiPriority w:val="0"/>
    <w:pPr>
      <w:ind w:firstLine="0" w:firstLineChars="0"/>
      <w:jc w:val="center"/>
      <w:outlineLvl w:val="2"/>
    </w:pPr>
    <w:rPr>
      <w:bCs/>
      <w:szCs w:val="32"/>
    </w:rPr>
  </w:style>
  <w:style w:type="paragraph" w:customStyle="1" w:styleId="32">
    <w:name w:val="参选文件格式3"/>
    <w:basedOn w:val="1"/>
    <w:link w:val="33"/>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3">
    <w:name w:val="参选文件格式3 Char"/>
    <w:link w:val="32"/>
    <w:autoRedefine/>
    <w:qFormat/>
    <w:uiPriority w:val="0"/>
    <w:rPr>
      <w:rFonts w:hint="eastAsia" w:ascii="宋体" w:hAnsi="宋体" w:eastAsia="宋体"/>
      <w:b/>
      <w:snapToGrid w:val="0"/>
      <w:kern w:val="0"/>
      <w:u w:val="none"/>
    </w:rPr>
  </w:style>
  <w:style w:type="character" w:customStyle="1" w:styleId="34">
    <w:name w:val="参选文件格式1 Char"/>
    <w:link w:val="30"/>
    <w:autoRedefine/>
    <w:qFormat/>
    <w:uiPriority w:val="0"/>
    <w:rPr>
      <w:rFonts w:hint="eastAsia" w:eastAsia="宋体"/>
      <w:b/>
      <w:sz w:val="28"/>
    </w:rPr>
  </w:style>
  <w:style w:type="character" w:customStyle="1" w:styleId="35">
    <w:name w:val="参选文件格式2 Char"/>
    <w:link w:val="31"/>
    <w:autoRedefine/>
    <w:qFormat/>
    <w:uiPriority w:val="0"/>
    <w:rPr>
      <w:rFonts w:eastAsia="宋体"/>
      <w:bCs/>
      <w:szCs w:val="32"/>
    </w:rPr>
  </w:style>
  <w:style w:type="character" w:customStyle="1" w:styleId="36">
    <w:name w:val="font11"/>
    <w:basedOn w:val="21"/>
    <w:autoRedefine/>
    <w:qFormat/>
    <w:uiPriority w:val="0"/>
    <w:rPr>
      <w:rFonts w:hint="eastAsia" w:ascii="宋体" w:hAnsi="宋体" w:eastAsia="宋体" w:cs="宋体"/>
      <w:b/>
      <w:bCs/>
      <w:color w:val="000000"/>
      <w:sz w:val="21"/>
      <w:szCs w:val="21"/>
      <w:u w:val="none"/>
    </w:rPr>
  </w:style>
  <w:style w:type="character" w:customStyle="1" w:styleId="37">
    <w:name w:val="font21"/>
    <w:basedOn w:val="21"/>
    <w:autoRedefine/>
    <w:qFormat/>
    <w:uiPriority w:val="0"/>
    <w:rPr>
      <w:rFonts w:hint="eastAsia" w:ascii="宋体" w:hAnsi="宋体" w:eastAsia="宋体" w:cs="宋体"/>
      <w:color w:val="000000"/>
      <w:sz w:val="21"/>
      <w:szCs w:val="21"/>
      <w:u w:val="none"/>
    </w:rPr>
  </w:style>
  <w:style w:type="character" w:customStyle="1" w:styleId="38">
    <w:name w:val="font31"/>
    <w:basedOn w:val="21"/>
    <w:autoRedefine/>
    <w:qFormat/>
    <w:uiPriority w:val="0"/>
    <w:rPr>
      <w:rFonts w:hint="eastAsia" w:ascii="宋体" w:hAnsi="宋体" w:eastAsia="宋体" w:cs="宋体"/>
      <w:color w:val="FF0000"/>
      <w:sz w:val="21"/>
      <w:szCs w:val="21"/>
      <w:u w:val="none"/>
    </w:rPr>
  </w:style>
  <w:style w:type="character" w:customStyle="1" w:styleId="39">
    <w:name w:val="批注框文本 Char"/>
    <w:basedOn w:val="21"/>
    <w:link w:val="12"/>
    <w:qFormat/>
    <w:uiPriority w:val="0"/>
    <w:rPr>
      <w:rFonts w:ascii="Cambria Math" w:hAnsi="Cambria Math" w:cs="Cambria Math"/>
      <w:kern w:val="2"/>
      <w:sz w:val="18"/>
      <w:szCs w:val="18"/>
    </w:rPr>
  </w:style>
  <w:style w:type="character" w:customStyle="1" w:styleId="40">
    <w:name w:val="正文文本缩进 Char"/>
    <w:basedOn w:val="21"/>
    <w:link w:val="10"/>
    <w:qFormat/>
    <w:uiPriority w:val="0"/>
    <w:rPr>
      <w:rFonts w:ascii="Cambria Math" w:hAnsi="Cambria Math" w:cs="Cambria Math"/>
      <w:kern w:val="2"/>
      <w:sz w:val="24"/>
    </w:rPr>
  </w:style>
  <w:style w:type="character" w:customStyle="1" w:styleId="41">
    <w:name w:val="正文文本缩进 2 Char"/>
    <w:basedOn w:val="21"/>
    <w:link w:val="11"/>
    <w:qFormat/>
    <w:uiPriority w:val="0"/>
    <w:rPr>
      <w:rFonts w:ascii="Cambria Math" w:hAnsi="Cambria Math" w:cs="Cambria Math"/>
      <w:kern w:val="2"/>
      <w:sz w:val="24"/>
    </w:rPr>
  </w:style>
  <w:style w:type="character" w:customStyle="1" w:styleId="42">
    <w:name w:val="标题 Char"/>
    <w:basedOn w:val="21"/>
    <w:link w:val="17"/>
    <w:qFormat/>
    <w:uiPriority w:val="0"/>
    <w:rPr>
      <w:rFonts w:ascii="Arial" w:hAnsi="Arial" w:cs="Cambria Math"/>
      <w:b/>
      <w:color w:val="FF0000"/>
      <w:kern w:val="2"/>
      <w:sz w:val="32"/>
    </w:rPr>
  </w:style>
  <w:style w:type="paragraph" w:customStyle="1" w:styleId="43">
    <w:name w:val="a14"/>
    <w:basedOn w:val="1"/>
    <w:autoRedefine/>
    <w:qFormat/>
    <w:uiPriority w:val="0"/>
    <w:pPr>
      <w:widowControl/>
      <w:adjustRightInd w:val="0"/>
      <w:snapToGrid w:val="0"/>
      <w:spacing w:beforeLines="50" w:beforeAutospacing="1" w:after="100" w:afterAutospacing="1" w:line="300" w:lineRule="atLeast"/>
      <w:ind w:firstLine="200"/>
      <w:jc w:val="left"/>
    </w:pPr>
    <w:rPr>
      <w:rFonts w:ascii="宋体" w:hAnsi="Times New Roman" w:cs="Times New Roman"/>
      <w:color w:val="000000"/>
      <w:kern w:val="0"/>
      <w:szCs w:val="21"/>
    </w:rPr>
  </w:style>
  <w:style w:type="character" w:customStyle="1" w:styleId="44">
    <w:name w:val="font_text_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5E0DB-394A-48E1-BAA4-6F28931CA44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61</Pages>
  <Words>23073</Words>
  <Characters>24693</Characters>
  <Lines>190</Lines>
  <Paragraphs>53</Paragraphs>
  <TotalTime>26</TotalTime>
  <ScaleCrop>false</ScaleCrop>
  <LinksUpToDate>false</LinksUpToDate>
  <CharactersWithSpaces>25532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2024-06-17T08:32:00Z</dcterms:created>
  <dc:creator>admin</dc:creator>
  <cp:lastModifiedBy>交易中心-罗</cp:lastModifiedBy>
  <cp:lastPrinted>2024-06-12T02:52:00Z</cp:lastPrinted>
  <dcterms:modified xsi:type="dcterms:W3CDTF">2024-06-24T02:16:51Z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5F9965E54D68488693A1C8FA2183B981_13</vt:lpwstr>
  </property>
</Properties>
</file>