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spacing w:line="360" w:lineRule="auto"/>
        <w:ind w:firstLine="0" w:firstLineChars="0"/>
        <w:rPr>
          <w:color w:val="auto"/>
          <w:highlight w:val="none"/>
        </w:rPr>
      </w:pPr>
    </w:p>
    <w:p>
      <w:pPr>
        <w:spacing w:line="360" w:lineRule="auto"/>
        <w:ind w:firstLine="0" w:firstLineChars="0"/>
        <w:rPr>
          <w:rFonts w:ascii="宋体" w:hAnsi="宋体" w:cs="Cambria"/>
          <w:b/>
          <w:snapToGrid w:val="0"/>
          <w:color w:val="auto"/>
          <w:kern w:val="0"/>
          <w:sz w:val="52"/>
          <w:szCs w:val="84"/>
          <w:highlight w:val="none"/>
        </w:rPr>
      </w:pPr>
    </w:p>
    <w:p>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u w:val="none"/>
        </w:rPr>
        <w:t>数据安全风险评估</w:t>
      </w:r>
      <w:r>
        <w:rPr>
          <w:rFonts w:hint="eastAsia" w:ascii="Times New Roman" w:hAnsi="Times New Roman" w:cs="Times New Roman"/>
          <w:b/>
          <w:snapToGrid w:val="0"/>
          <w:color w:val="auto"/>
          <w:kern w:val="0"/>
          <w:sz w:val="48"/>
          <w:szCs w:val="84"/>
          <w:highlight w:val="none"/>
        </w:rPr>
        <w:t>项目</w:t>
      </w:r>
    </w:p>
    <w:p>
      <w:pPr>
        <w:spacing w:line="360" w:lineRule="auto"/>
        <w:ind w:firstLine="0" w:firstLineChars="0"/>
        <w:jc w:val="left"/>
        <w:rPr>
          <w:rFonts w:ascii="Times New Roman" w:hAnsi="Times New Roman" w:cs="Times New Roman"/>
          <w:snapToGrid w:val="0"/>
          <w:color w:val="auto"/>
          <w:kern w:val="0"/>
          <w:sz w:val="18"/>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left"/>
        <w:rPr>
          <w:rFonts w:ascii="Times New Roman" w:hAnsi="Times New Roman" w:cs="Times New Roman"/>
          <w:snapToGrid w:val="0"/>
          <w:color w:val="auto"/>
          <w:kern w:val="0"/>
          <w:sz w:val="20"/>
          <w:highlight w:val="none"/>
        </w:rPr>
      </w:pPr>
    </w:p>
    <w:p>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pPr>
        <w:spacing w:line="360" w:lineRule="auto"/>
        <w:ind w:firstLine="0" w:firstLineChars="0"/>
        <w:jc w:val="center"/>
        <w:rPr>
          <w:rFonts w:ascii="Times New Roman" w:hAnsi="Times New Roman" w:cs="Times New Roman"/>
          <w:b/>
          <w:snapToGrid w:val="0"/>
          <w:color w:val="auto"/>
          <w:kern w:val="0"/>
          <w:szCs w:val="28"/>
          <w:highlight w:val="none"/>
        </w:rPr>
      </w:pPr>
    </w:p>
    <w:p>
      <w:pPr>
        <w:spacing w:line="360" w:lineRule="auto"/>
        <w:ind w:firstLine="0" w:firstLineChars="0"/>
        <w:jc w:val="center"/>
        <w:rPr>
          <w:rFonts w:ascii="Times New Roman" w:hAnsi="Times New Roman" w:cs="Times New Roman"/>
          <w:b/>
          <w:snapToGrid w:val="0"/>
          <w:color w:val="auto"/>
          <w:kern w:val="0"/>
          <w:szCs w:val="28"/>
          <w:highlight w:val="none"/>
        </w:rPr>
      </w:pPr>
    </w:p>
    <w:p>
      <w:pPr>
        <w:spacing w:line="360" w:lineRule="auto"/>
        <w:ind w:firstLine="0" w:firstLineChars="0"/>
        <w:jc w:val="center"/>
        <w:rPr>
          <w:rFonts w:ascii="Times New Roman" w:hAnsi="Times New Roman" w:cs="Times New Roman"/>
          <w:b/>
          <w:snapToGrid w:val="0"/>
          <w:color w:val="auto"/>
          <w:kern w:val="0"/>
          <w:szCs w:val="28"/>
          <w:highlight w:val="none"/>
        </w:rPr>
      </w:pPr>
    </w:p>
    <w:p>
      <w:pPr>
        <w:ind w:firstLine="0" w:firstLineChars="0"/>
        <w:rPr>
          <w:color w:val="auto"/>
          <w:highlight w:val="none"/>
        </w:rPr>
      </w:pPr>
    </w:p>
    <w:p>
      <w:pPr>
        <w:pStyle w:val="2"/>
        <w:ind w:firstLine="480"/>
        <w:rPr>
          <w:color w:val="auto"/>
          <w:highlight w:val="none"/>
        </w:rPr>
      </w:pPr>
    </w:p>
    <w:p>
      <w:pPr>
        <w:ind w:firstLine="480"/>
        <w:rPr>
          <w:color w:val="auto"/>
          <w:highlight w:val="none"/>
        </w:rPr>
      </w:pPr>
    </w:p>
    <w:p>
      <w:pPr>
        <w:ind w:firstLine="480"/>
        <w:rPr>
          <w:color w:val="auto"/>
          <w:highlight w:val="none"/>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eastAsia="zh-CN"/>
              </w:rPr>
              <w:t>公</w:t>
            </w:r>
            <w:r>
              <w:rPr>
                <w:rFonts w:hint="eastAsia" w:ascii="Times New Roman" w:hAnsi="Times New Roman" w:cs="Times New Roman"/>
                <w:bCs/>
                <w:snapToGrid w:val="0"/>
                <w:color w:val="auto"/>
                <w:kern w:val="0"/>
                <w:szCs w:val="24"/>
                <w:highlight w:val="none"/>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rPr>
              <w:t xml:space="preserve"> </w:t>
            </w:r>
            <w:r>
              <w:rPr>
                <w:rFonts w:hint="eastAsia" w:ascii="Times New Roman" w:hAnsi="Times New Roman" w:cs="Times New Roman"/>
                <w:b/>
                <w:snapToGrid w:val="0"/>
                <w:color w:val="auto"/>
                <w:kern w:val="0"/>
                <w:sz w:val="30"/>
                <w:szCs w:val="30"/>
                <w:highlight w:val="none"/>
                <w:lang w:val="en-US" w:eastAsia="zh-CN"/>
              </w:rPr>
              <w:t>7</w:t>
            </w:r>
            <w:r>
              <w:rPr>
                <w:rFonts w:hint="eastAsia" w:ascii="Times New Roman" w:hAnsi="Times New Roman" w:cs="Times New Roman"/>
                <w:b/>
                <w:snapToGrid w:val="0"/>
                <w:color w:val="auto"/>
                <w:kern w:val="0"/>
                <w:sz w:val="30"/>
                <w:szCs w:val="30"/>
                <w:highlight w:val="none"/>
              </w:rPr>
              <w:t xml:space="preserve"> </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rPr>
            </w:pPr>
          </w:p>
        </w:tc>
      </w:tr>
    </w:tbl>
    <w:p>
      <w:pPr>
        <w:ind w:firstLine="480"/>
        <w:rPr>
          <w:color w:val="auto"/>
          <w:highlight w:val="none"/>
        </w:rPr>
      </w:pPr>
    </w:p>
    <w:p>
      <w:pPr>
        <w:ind w:firstLine="480"/>
        <w:rPr>
          <w:color w:val="auto"/>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pPr>
        <w:snapToGrid w:val="0"/>
        <w:spacing w:line="360" w:lineRule="auto"/>
        <w:ind w:firstLine="0" w:firstLineChars="0"/>
        <w:jc w:val="center"/>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pPr>
        <w:pStyle w:val="10"/>
        <w:tabs>
          <w:tab w:val="right" w:leader="dot" w:pos="8306"/>
        </w:tabs>
        <w:rPr>
          <w:color w:val="auto"/>
          <w:highlight w:val="none"/>
        </w:rPr>
      </w:pPr>
      <w:r>
        <w:rPr>
          <w:rFonts w:ascii="宋体" w:hAnsi="宋体"/>
          <w:snapToGrid w:val="0"/>
          <w:color w:val="auto"/>
          <w:kern w:val="0"/>
          <w:szCs w:val="24"/>
          <w:highlight w:val="none"/>
        </w:rPr>
        <w:fldChar w:fldCharType="begin"/>
      </w:r>
      <w:r>
        <w:rPr>
          <w:rFonts w:hint="eastAsia" w:ascii="宋体" w:hAnsi="宋体"/>
          <w:snapToGrid w:val="0"/>
          <w:color w:val="auto"/>
          <w:kern w:val="0"/>
          <w:szCs w:val="24"/>
          <w:highlight w:val="none"/>
        </w:rPr>
        <w:instrText xml:space="preserve">TOC \o "1-1" \h \z \u</w:instrText>
      </w:r>
      <w:r>
        <w:rPr>
          <w:rFonts w:ascii="宋体" w:hAnsi="宋体"/>
          <w:snapToGrid w:val="0"/>
          <w:color w:val="auto"/>
          <w:kern w:val="0"/>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_Toc1135842284 </w:instrText>
      </w:r>
      <w:r>
        <w:rPr>
          <w:rFonts w:ascii="宋体" w:hAnsi="宋体"/>
          <w:snapToGrid w:val="0"/>
          <w:color w:val="auto"/>
          <w:kern w:val="0"/>
          <w:szCs w:val="24"/>
          <w:highlight w:val="none"/>
        </w:rPr>
        <w:fldChar w:fldCharType="separate"/>
      </w:r>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比选公告</w:t>
      </w:r>
      <w:r>
        <w:rPr>
          <w:color w:val="auto"/>
          <w:highlight w:val="none"/>
        </w:rPr>
        <w:tab/>
      </w:r>
      <w:r>
        <w:rPr>
          <w:color w:val="auto"/>
          <w:highlight w:val="none"/>
        </w:rPr>
        <w:fldChar w:fldCharType="begin"/>
      </w:r>
      <w:r>
        <w:rPr>
          <w:color w:val="auto"/>
          <w:highlight w:val="none"/>
        </w:rPr>
        <w:instrText xml:space="preserve"> PAGEREF _Toc1135842284 \h </w:instrText>
      </w:r>
      <w:r>
        <w:rPr>
          <w:color w:val="auto"/>
          <w:highlight w:val="none"/>
        </w:rPr>
        <w:fldChar w:fldCharType="separate"/>
      </w:r>
      <w:r>
        <w:rPr>
          <w:color w:val="auto"/>
          <w:highlight w:val="none"/>
        </w:rPr>
        <w:t>1</w:t>
      </w:r>
      <w:r>
        <w:rPr>
          <w:color w:val="auto"/>
          <w:highlight w:val="none"/>
        </w:rPr>
        <w:fldChar w:fldCharType="end"/>
      </w:r>
      <w:r>
        <w:rPr>
          <w:rFonts w:ascii="宋体" w:hAnsi="宋体"/>
          <w:snapToGrid w:val="0"/>
          <w:color w:val="auto"/>
          <w:kern w:val="0"/>
          <w:szCs w:val="24"/>
          <w:highlight w:val="none"/>
        </w:rPr>
        <w:fldChar w:fldCharType="end"/>
      </w:r>
    </w:p>
    <w:p>
      <w:pPr>
        <w:pStyle w:val="10"/>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_Toc906781575 </w:instrText>
      </w:r>
      <w:r>
        <w:rPr>
          <w:rFonts w:ascii="宋体" w:hAnsi="宋体"/>
          <w:snapToGrid w:val="0"/>
          <w:color w:val="auto"/>
          <w:kern w:val="0"/>
          <w:szCs w:val="24"/>
          <w:highlight w:val="none"/>
        </w:rPr>
        <w:fldChar w:fldCharType="separate"/>
      </w:r>
      <w:r>
        <w:rPr>
          <w:rFonts w:hint="eastAsia"/>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_Toc906781575 \h </w:instrText>
      </w:r>
      <w:r>
        <w:rPr>
          <w:color w:val="auto"/>
          <w:highlight w:val="none"/>
        </w:rPr>
        <w:fldChar w:fldCharType="separate"/>
      </w:r>
      <w:r>
        <w:rPr>
          <w:color w:val="auto"/>
          <w:highlight w:val="none"/>
        </w:rPr>
        <w:t>6</w:t>
      </w:r>
      <w:r>
        <w:rPr>
          <w:color w:val="auto"/>
          <w:highlight w:val="none"/>
        </w:rPr>
        <w:fldChar w:fldCharType="end"/>
      </w:r>
      <w:r>
        <w:rPr>
          <w:rFonts w:ascii="宋体" w:hAnsi="宋体"/>
          <w:snapToGrid w:val="0"/>
          <w:color w:val="auto"/>
          <w:kern w:val="0"/>
          <w:szCs w:val="24"/>
          <w:highlight w:val="none"/>
        </w:rPr>
        <w:fldChar w:fldCharType="end"/>
      </w:r>
    </w:p>
    <w:p>
      <w:pPr>
        <w:pStyle w:val="10"/>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_Toc477269443 </w:instrText>
      </w:r>
      <w:r>
        <w:rPr>
          <w:rFonts w:ascii="宋体" w:hAnsi="宋体"/>
          <w:snapToGrid w:val="0"/>
          <w:color w:val="auto"/>
          <w:kern w:val="0"/>
          <w:szCs w:val="24"/>
          <w:highlight w:val="none"/>
        </w:rPr>
        <w:fldChar w:fldCharType="separate"/>
      </w:r>
      <w:r>
        <w:rPr>
          <w:rFonts w:hint="eastAsia"/>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_Toc477269443 \h </w:instrText>
      </w:r>
      <w:r>
        <w:rPr>
          <w:color w:val="auto"/>
          <w:highlight w:val="none"/>
        </w:rPr>
        <w:fldChar w:fldCharType="separate"/>
      </w:r>
      <w:r>
        <w:rPr>
          <w:color w:val="auto"/>
          <w:highlight w:val="none"/>
        </w:rPr>
        <w:t>15</w:t>
      </w:r>
      <w:r>
        <w:rPr>
          <w:color w:val="auto"/>
          <w:highlight w:val="none"/>
        </w:rPr>
        <w:fldChar w:fldCharType="end"/>
      </w:r>
      <w:r>
        <w:rPr>
          <w:rFonts w:ascii="宋体" w:hAnsi="宋体"/>
          <w:snapToGrid w:val="0"/>
          <w:color w:val="auto"/>
          <w:kern w:val="0"/>
          <w:szCs w:val="24"/>
          <w:highlight w:val="none"/>
        </w:rPr>
        <w:fldChar w:fldCharType="end"/>
      </w:r>
    </w:p>
    <w:p>
      <w:pPr>
        <w:pStyle w:val="10"/>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_Toc103556420 </w:instrText>
      </w:r>
      <w:r>
        <w:rPr>
          <w:rFonts w:ascii="宋体" w:hAnsi="宋体"/>
          <w:snapToGrid w:val="0"/>
          <w:color w:val="auto"/>
          <w:kern w:val="0"/>
          <w:szCs w:val="24"/>
          <w:highlight w:val="none"/>
        </w:rPr>
        <w:fldChar w:fldCharType="separate"/>
      </w:r>
      <w:r>
        <w:rPr>
          <w:rFonts w:hint="eastAsia"/>
          <w:color w:val="auto"/>
          <w:highlight w:val="none"/>
        </w:rPr>
        <w:t>第四章 评审办法（综合评估法）</w:t>
      </w:r>
      <w:r>
        <w:rPr>
          <w:color w:val="auto"/>
          <w:highlight w:val="none"/>
        </w:rPr>
        <w:tab/>
      </w:r>
      <w:r>
        <w:rPr>
          <w:color w:val="auto"/>
          <w:highlight w:val="none"/>
        </w:rPr>
        <w:fldChar w:fldCharType="begin"/>
      </w:r>
      <w:r>
        <w:rPr>
          <w:color w:val="auto"/>
          <w:highlight w:val="none"/>
        </w:rPr>
        <w:instrText xml:space="preserve"> PAGEREF _Toc103556420 \h </w:instrText>
      </w:r>
      <w:r>
        <w:rPr>
          <w:color w:val="auto"/>
          <w:highlight w:val="none"/>
        </w:rPr>
        <w:fldChar w:fldCharType="separate"/>
      </w:r>
      <w:r>
        <w:rPr>
          <w:color w:val="auto"/>
          <w:highlight w:val="none"/>
        </w:rPr>
        <w:t>20</w:t>
      </w:r>
      <w:r>
        <w:rPr>
          <w:color w:val="auto"/>
          <w:highlight w:val="none"/>
        </w:rPr>
        <w:fldChar w:fldCharType="end"/>
      </w:r>
      <w:r>
        <w:rPr>
          <w:rFonts w:ascii="宋体" w:hAnsi="宋体"/>
          <w:snapToGrid w:val="0"/>
          <w:color w:val="auto"/>
          <w:kern w:val="0"/>
          <w:szCs w:val="24"/>
          <w:highlight w:val="none"/>
        </w:rPr>
        <w:fldChar w:fldCharType="end"/>
      </w:r>
    </w:p>
    <w:p>
      <w:pPr>
        <w:pStyle w:val="10"/>
        <w:tabs>
          <w:tab w:val="right" w:leader="dot" w:pos="8306"/>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_Toc1672934706 </w:instrText>
      </w:r>
      <w:r>
        <w:rPr>
          <w:rFonts w:ascii="宋体" w:hAnsi="宋体"/>
          <w:snapToGrid w:val="0"/>
          <w:color w:val="auto"/>
          <w:kern w:val="0"/>
          <w:szCs w:val="24"/>
          <w:highlight w:val="none"/>
        </w:rPr>
        <w:fldChar w:fldCharType="separate"/>
      </w:r>
      <w:r>
        <w:rPr>
          <w:rFonts w:hint="eastAsia"/>
          <w:color w:val="auto"/>
          <w:highlight w:val="none"/>
        </w:rPr>
        <w:t>第</w:t>
      </w:r>
      <w:r>
        <w:rPr>
          <w:rFonts w:hint="eastAsia"/>
          <w:color w:val="auto"/>
          <w:highlight w:val="none"/>
          <w:lang w:eastAsia="zh-CN"/>
        </w:rPr>
        <w:t>五</w:t>
      </w:r>
      <w:r>
        <w:rPr>
          <w:rFonts w:hint="eastAsia"/>
          <w:color w:val="auto"/>
          <w:highlight w:val="none"/>
        </w:rPr>
        <w:t>章 参选文件格式</w:t>
      </w:r>
      <w:r>
        <w:rPr>
          <w:color w:val="auto"/>
          <w:highlight w:val="none"/>
        </w:rPr>
        <w:tab/>
      </w:r>
      <w:r>
        <w:rPr>
          <w:color w:val="auto"/>
          <w:highlight w:val="none"/>
        </w:rPr>
        <w:fldChar w:fldCharType="begin"/>
      </w:r>
      <w:r>
        <w:rPr>
          <w:color w:val="auto"/>
          <w:highlight w:val="none"/>
        </w:rPr>
        <w:instrText xml:space="preserve"> PAGEREF _Toc1672934706 \h </w:instrText>
      </w:r>
      <w:r>
        <w:rPr>
          <w:color w:val="auto"/>
          <w:highlight w:val="none"/>
        </w:rPr>
        <w:fldChar w:fldCharType="separate"/>
      </w:r>
      <w:r>
        <w:rPr>
          <w:color w:val="auto"/>
          <w:highlight w:val="none"/>
        </w:rPr>
        <w:t>27</w:t>
      </w:r>
      <w:r>
        <w:rPr>
          <w:color w:val="auto"/>
          <w:highlight w:val="none"/>
        </w:rPr>
        <w:fldChar w:fldCharType="end"/>
      </w:r>
      <w:r>
        <w:rPr>
          <w:rFonts w:ascii="宋体" w:hAnsi="宋体"/>
          <w:snapToGrid w:val="0"/>
          <w:color w:val="auto"/>
          <w:kern w:val="0"/>
          <w:szCs w:val="24"/>
          <w:highlight w:val="none"/>
        </w:rPr>
        <w:fldChar w:fldCharType="end"/>
      </w:r>
    </w:p>
    <w:p>
      <w:pPr>
        <w:widowControl/>
        <w:ind w:firstLine="480"/>
        <w:jc w:val="left"/>
        <w:rPr>
          <w:rFonts w:ascii="宋体" w:hAnsi="宋体"/>
          <w:snapToGrid w:val="0"/>
          <w:color w:val="auto"/>
          <w:kern w:val="0"/>
          <w:szCs w:val="24"/>
          <w:highlight w:val="none"/>
        </w:rPr>
      </w:pPr>
      <w:r>
        <w:rPr>
          <w:rFonts w:ascii="宋体" w:hAnsi="宋体"/>
          <w:snapToGrid w:val="0"/>
          <w:color w:val="auto"/>
          <w:kern w:val="0"/>
          <w:szCs w:val="24"/>
          <w:highlight w:val="none"/>
        </w:rPr>
        <w:fldChar w:fldCharType="end"/>
      </w:r>
    </w:p>
    <w:p>
      <w:pPr>
        <w:widowControl/>
        <w:ind w:firstLine="480"/>
        <w:jc w:val="left"/>
        <w:rPr>
          <w:rFonts w:ascii="宋体" w:hAnsi="宋体"/>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pPr>
        <w:pStyle w:val="3"/>
        <w:jc w:val="center"/>
        <w:rPr>
          <w:rFonts w:hint="eastAsia"/>
          <w:color w:val="auto"/>
          <w:highlight w:val="none"/>
        </w:rPr>
      </w:pPr>
      <w:bookmarkStart w:id="0" w:name="_Toc440628903"/>
      <w:bookmarkStart w:id="1" w:name="_Toc6745"/>
      <w:bookmarkStart w:id="2" w:name="_Toc1135842284"/>
      <w:bookmarkStart w:id="3" w:name="_Toc678"/>
      <w:bookmarkStart w:id="4" w:name="_Toc469574661"/>
      <w:r>
        <w:rPr>
          <w:rFonts w:hint="eastAsia"/>
          <w:color w:val="auto"/>
          <w:highlight w:val="none"/>
        </w:rPr>
        <w:t>第一章</w:t>
      </w:r>
      <w:bookmarkEnd w:id="0"/>
      <w:r>
        <w:rPr>
          <w:rFonts w:hint="eastAsia"/>
          <w:color w:val="auto"/>
          <w:highlight w:val="none"/>
          <w:lang w:val="en-US" w:eastAsia="zh-CN"/>
        </w:rPr>
        <w:t xml:space="preserve"> </w:t>
      </w:r>
      <w:r>
        <w:rPr>
          <w:rFonts w:hint="eastAsia"/>
          <w:color w:val="auto"/>
          <w:highlight w:val="none"/>
        </w:rPr>
        <w:t>比选公告</w:t>
      </w:r>
      <w:bookmarkEnd w:id="1"/>
      <w:bookmarkEnd w:id="2"/>
      <w:bookmarkEnd w:id="3"/>
      <w:bookmarkEnd w:id="4"/>
    </w:p>
    <w:p>
      <w:pPr>
        <w:ind w:firstLine="0" w:firstLineChars="0"/>
        <w:jc w:val="center"/>
        <w:outlineLvl w:val="1"/>
        <w:rPr>
          <w:color w:val="auto"/>
          <w:sz w:val="44"/>
          <w:szCs w:val="32"/>
          <w:highlight w:val="none"/>
        </w:rPr>
      </w:pPr>
      <w:r>
        <w:rPr>
          <w:rFonts w:hint="eastAsia"/>
          <w:color w:val="auto"/>
          <w:sz w:val="44"/>
          <w:szCs w:val="44"/>
          <w:highlight w:val="none"/>
          <w:lang w:eastAsia="zh-CN"/>
        </w:rPr>
        <w:t>重庆三峡银行</w:t>
      </w:r>
      <w:r>
        <w:rPr>
          <w:rFonts w:hint="eastAsia"/>
          <w:color w:val="auto"/>
          <w:sz w:val="44"/>
          <w:szCs w:val="32"/>
          <w:highlight w:val="none"/>
          <w:u w:val="none"/>
        </w:rPr>
        <w:t>数据安全风险评估</w:t>
      </w:r>
      <w:r>
        <w:rPr>
          <w:rFonts w:hint="eastAsia"/>
          <w:color w:val="auto"/>
          <w:sz w:val="44"/>
          <w:szCs w:val="32"/>
          <w:highlight w:val="none"/>
          <w:u w:val="none"/>
          <w:lang w:eastAsia="zh-CN"/>
        </w:rPr>
        <w:t>项目</w:t>
      </w:r>
      <w:r>
        <w:rPr>
          <w:rFonts w:hint="eastAsia"/>
          <w:color w:val="auto"/>
          <w:sz w:val="44"/>
          <w:szCs w:val="32"/>
          <w:highlight w:val="none"/>
        </w:rPr>
        <w:t>比选公告</w:t>
      </w:r>
    </w:p>
    <w:p>
      <w:pPr>
        <w:ind w:firstLine="480"/>
        <w:rPr>
          <w:color w:val="auto"/>
          <w:highlight w:val="none"/>
        </w:rPr>
      </w:pPr>
      <w:bookmarkStart w:id="5" w:name="_Toc89675127"/>
      <w:bookmarkStart w:id="6" w:name="_Toc55379218"/>
      <w:r>
        <w:rPr>
          <w:rFonts w:hint="eastAsia"/>
          <w:color w:val="auto"/>
          <w:highlight w:val="none"/>
        </w:rPr>
        <w:t>重庆市数据安全工作协调机制办公室下发《关于发布“重庆市数据安全第三方评估机构”的通知》，通知要求相关单位认真梳理本单位数据规模、精度等情况，按照数据分类分级标准规范确定数据等级，重要数据、核心数据每年开展数据安全风险评估，并将评估情况报本行业主管部门或者市数据安全工作协调机制办公室，重庆三峡银行按照通知要求计划开展数据安全风险评估工作。现对</w:t>
      </w:r>
      <w:r>
        <w:rPr>
          <w:rFonts w:hint="eastAsia" w:ascii="宋体" w:cs="Cambria"/>
          <w:snapToGrid w:val="0"/>
          <w:color w:val="auto"/>
          <w:kern w:val="0"/>
          <w:szCs w:val="24"/>
          <w:highlight w:val="none"/>
        </w:rPr>
        <w:t>重庆三峡银行</w:t>
      </w:r>
      <w:r>
        <w:rPr>
          <w:rFonts w:hint="eastAsia" w:ascii="宋体" w:cs="Cambria"/>
          <w:snapToGrid w:val="0"/>
          <w:color w:val="auto"/>
          <w:kern w:val="0"/>
          <w:sz w:val="24"/>
          <w:szCs w:val="24"/>
          <w:highlight w:val="none"/>
          <w:u w:val="none"/>
        </w:rPr>
        <w:t>数据安全风险评估</w:t>
      </w:r>
      <w:r>
        <w:rPr>
          <w:rFonts w:hint="eastAsia" w:ascii="宋体" w:cs="Cambria"/>
          <w:snapToGrid w:val="0"/>
          <w:color w:val="auto"/>
          <w:kern w:val="0"/>
          <w:szCs w:val="24"/>
          <w:highlight w:val="none"/>
        </w:rPr>
        <w:t>项目</w:t>
      </w:r>
      <w:r>
        <w:rPr>
          <w:rFonts w:hint="eastAsia"/>
          <w:color w:val="auto"/>
          <w:highlight w:val="none"/>
        </w:rPr>
        <w:t>进行公开比选，</w:t>
      </w:r>
      <w:r>
        <w:rPr>
          <w:color w:val="auto"/>
          <w:highlight w:val="none"/>
        </w:rPr>
        <w:t>特邀请有</w:t>
      </w:r>
      <w:bookmarkStart w:id="7" w:name="_Hlk59455120"/>
      <w:r>
        <w:rPr>
          <w:color w:val="auto"/>
          <w:highlight w:val="none"/>
        </w:rPr>
        <w:t>意向</w:t>
      </w:r>
      <w:bookmarkEnd w:id="7"/>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pPr>
        <w:pStyle w:val="4"/>
        <w:rPr>
          <w:color w:val="auto"/>
          <w:highlight w:val="none"/>
        </w:rPr>
      </w:pPr>
      <w:r>
        <w:rPr>
          <w:rFonts w:hint="eastAsia"/>
          <w:color w:val="auto"/>
          <w:highlight w:val="none"/>
        </w:rPr>
        <w:t>1. 比选项目内容</w:t>
      </w:r>
      <w:bookmarkEnd w:id="5"/>
      <w:bookmarkEnd w:id="6"/>
    </w:p>
    <w:tbl>
      <w:tblPr>
        <w:tblStyle w:val="1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序号</w:t>
            </w:r>
          </w:p>
        </w:tc>
        <w:tc>
          <w:tcPr>
            <w:tcW w:w="2826" w:type="dxa"/>
            <w:vAlign w:val="center"/>
          </w:tcPr>
          <w:p>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项目名称</w:t>
            </w:r>
          </w:p>
        </w:tc>
        <w:tc>
          <w:tcPr>
            <w:tcW w:w="1646" w:type="dxa"/>
            <w:vAlign w:val="center"/>
          </w:tcPr>
          <w:p>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最高限价</w:t>
            </w:r>
          </w:p>
        </w:tc>
        <w:tc>
          <w:tcPr>
            <w:tcW w:w="1798" w:type="dxa"/>
            <w:vAlign w:val="center"/>
          </w:tcPr>
          <w:p>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中选人数量</w:t>
            </w:r>
          </w:p>
        </w:tc>
        <w:tc>
          <w:tcPr>
            <w:tcW w:w="1798" w:type="dxa"/>
            <w:vAlign w:val="center"/>
          </w:tcPr>
          <w:p>
            <w:pPr>
              <w:spacing w:line="360" w:lineRule="auto"/>
              <w:ind w:firstLine="0" w:firstLineChars="0"/>
              <w:jc w:val="center"/>
              <w:rPr>
                <w:rFonts w:ascii="宋体" w:hAnsi="宋体" w:cs="Cambria"/>
                <w:b/>
                <w:snapToGrid w:val="0"/>
                <w:color w:val="auto"/>
                <w:kern w:val="0"/>
                <w:sz w:val="21"/>
                <w:szCs w:val="21"/>
                <w:highlight w:val="none"/>
              </w:rPr>
            </w:pPr>
            <w:r>
              <w:rPr>
                <w:rFonts w:hint="eastAsia" w:ascii="宋体" w:hAnsi="宋体" w:cs="Cambria"/>
                <w:b/>
                <w:snapToGrid w:val="0"/>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1</w:t>
            </w:r>
          </w:p>
        </w:tc>
        <w:tc>
          <w:tcPr>
            <w:tcW w:w="2826" w:type="dxa"/>
            <w:vAlign w:val="center"/>
          </w:tcPr>
          <w:p>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lang w:val="en-US" w:eastAsia="zh-CN"/>
              </w:rPr>
              <w:t>重庆三峡银行</w:t>
            </w:r>
            <w:r>
              <w:rPr>
                <w:rFonts w:hint="eastAsia" w:ascii="宋体" w:hAnsi="宋体" w:cs="Cambria"/>
                <w:snapToGrid w:val="0"/>
                <w:color w:val="auto"/>
                <w:kern w:val="0"/>
                <w:sz w:val="21"/>
                <w:szCs w:val="21"/>
                <w:highlight w:val="none"/>
              </w:rPr>
              <w:t>数据安全风险评估项目</w:t>
            </w:r>
          </w:p>
        </w:tc>
        <w:tc>
          <w:tcPr>
            <w:tcW w:w="1646" w:type="dxa"/>
            <w:vAlign w:val="center"/>
          </w:tcPr>
          <w:p>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350000元</w:t>
            </w:r>
          </w:p>
        </w:tc>
        <w:tc>
          <w:tcPr>
            <w:tcW w:w="1798" w:type="dxa"/>
            <w:vAlign w:val="center"/>
          </w:tcPr>
          <w:p>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1名</w:t>
            </w:r>
          </w:p>
        </w:tc>
        <w:tc>
          <w:tcPr>
            <w:tcW w:w="1798" w:type="dxa"/>
            <w:vAlign w:val="center"/>
          </w:tcPr>
          <w:p>
            <w:pPr>
              <w:spacing w:line="360" w:lineRule="auto"/>
              <w:ind w:firstLine="0" w:firstLineChars="0"/>
              <w:jc w:val="center"/>
              <w:rPr>
                <w:rFonts w:hint="default" w:ascii="宋体" w:hAnsi="宋体" w:eastAsia="宋体" w:cs="Cambria"/>
                <w:snapToGrid w:val="0"/>
                <w:color w:val="auto"/>
                <w:kern w:val="0"/>
                <w:sz w:val="21"/>
                <w:szCs w:val="21"/>
                <w:highlight w:val="none"/>
                <w:lang w:val="en-US" w:eastAsia="zh-CN"/>
              </w:rPr>
            </w:pPr>
            <w:r>
              <w:rPr>
                <w:rFonts w:hint="eastAsia" w:ascii="宋体" w:hAnsi="宋体" w:cs="Cambria"/>
                <w:snapToGrid w:val="0"/>
                <w:color w:val="auto"/>
                <w:kern w:val="0"/>
                <w:sz w:val="21"/>
                <w:szCs w:val="21"/>
                <w:highlight w:val="none"/>
                <w:lang w:val="en-US" w:eastAsia="zh-CN"/>
              </w:rPr>
              <w:t>含税价</w:t>
            </w:r>
          </w:p>
        </w:tc>
      </w:tr>
    </w:tbl>
    <w:p>
      <w:pPr>
        <w:pStyle w:val="4"/>
        <w:rPr>
          <w:color w:val="auto"/>
          <w:highlight w:val="none"/>
        </w:rPr>
      </w:pPr>
      <w:bookmarkStart w:id="8" w:name="_Toc297817088"/>
      <w:bookmarkStart w:id="9" w:name="_Toc55379219"/>
      <w:bookmarkStart w:id="10" w:name="_Toc89675128"/>
      <w:bookmarkStart w:id="11" w:name="_Toc288224935"/>
      <w:bookmarkStart w:id="12" w:name="_Toc469574664"/>
      <w:r>
        <w:rPr>
          <w:rFonts w:hint="eastAsia"/>
          <w:color w:val="auto"/>
          <w:highlight w:val="none"/>
        </w:rPr>
        <w:t>2. 参选人资格要求</w:t>
      </w:r>
      <w:bookmarkEnd w:id="8"/>
      <w:bookmarkEnd w:id="9"/>
      <w:bookmarkEnd w:id="10"/>
      <w:bookmarkEnd w:id="11"/>
      <w:bookmarkEnd w:id="12"/>
    </w:p>
    <w:p>
      <w:pPr>
        <w:ind w:firstLine="480"/>
        <w:rPr>
          <w:rFonts w:hint="eastAsia" w:ascii="Times New Roman" w:hAnsi="Times New Roman"/>
          <w:color w:val="auto"/>
          <w:highlight w:val="none"/>
        </w:rPr>
      </w:pPr>
      <w:bookmarkStart w:id="13" w:name="_Hlk55488870"/>
      <w:r>
        <w:rPr>
          <w:rFonts w:hint="eastAsia"/>
          <w:color w:val="auto"/>
          <w:highlight w:val="none"/>
        </w:rPr>
        <w:t>2.1 具有独立承担民事责任的能力</w:t>
      </w:r>
      <w:r>
        <w:rPr>
          <w:rFonts w:hint="eastAsia"/>
          <w:color w:val="auto"/>
          <w:highlight w:val="none"/>
          <w:lang w:eastAsia="zh-CN"/>
        </w:rPr>
        <w:t>。</w:t>
      </w:r>
      <w:r>
        <w:rPr>
          <w:rFonts w:hint="eastAsia" w:ascii="Times New Roman" w:hAnsi="Times New Roman"/>
          <w:color w:val="auto"/>
          <w:highlight w:val="none"/>
        </w:rPr>
        <w:t>【提供参选人有效营业执照（副本）或事业单位法人证书（副本）或个体工商户营业执照或有效的自然人身份证明；参选人法定代表人身份证明和法定代表人授权代表委托书。】</w:t>
      </w:r>
    </w:p>
    <w:p>
      <w:pPr>
        <w:ind w:firstLine="480"/>
        <w:rPr>
          <w:color w:val="auto"/>
          <w:highlight w:val="none"/>
        </w:rPr>
      </w:pPr>
      <w:r>
        <w:rPr>
          <w:rFonts w:hint="eastAsia" w:ascii="Times New Roman" w:hAnsi="Times New Roman"/>
          <w:color w:val="auto"/>
          <w:highlight w:val="none"/>
        </w:rPr>
        <w:t>注：若为法定代表人办理并签署参选文件的，不提供授权代表委托书。</w:t>
      </w:r>
    </w:p>
    <w:p>
      <w:pPr>
        <w:ind w:firstLine="480"/>
        <w:rPr>
          <w:color w:val="auto"/>
          <w:highlight w:val="none"/>
        </w:rPr>
      </w:pPr>
      <w:r>
        <w:rPr>
          <w:rFonts w:hint="eastAsia"/>
          <w:color w:val="auto"/>
          <w:highlight w:val="none"/>
        </w:rPr>
        <w:t>2.2 具有良好的商业信誉和健全的财务会计制度【提供书面声明】；</w:t>
      </w:r>
    </w:p>
    <w:p>
      <w:pPr>
        <w:ind w:firstLine="480"/>
        <w:rPr>
          <w:color w:val="auto"/>
          <w:highlight w:val="none"/>
        </w:rPr>
      </w:pPr>
      <w:r>
        <w:rPr>
          <w:rFonts w:hint="eastAsia"/>
          <w:color w:val="auto"/>
          <w:highlight w:val="none"/>
        </w:rPr>
        <w:t>2.3 具有履行合同所必需的设备和专业技术能力【提供书面声明】；</w:t>
      </w:r>
    </w:p>
    <w:p>
      <w:pPr>
        <w:ind w:firstLine="480"/>
        <w:rPr>
          <w:color w:val="auto"/>
          <w:highlight w:val="none"/>
        </w:rPr>
      </w:pPr>
      <w:r>
        <w:rPr>
          <w:rFonts w:hint="eastAsia"/>
          <w:color w:val="auto"/>
          <w:highlight w:val="none"/>
        </w:rPr>
        <w:t>2.4 有依法缴纳税收和社会保障金的良好记录【提供书面声明】；</w:t>
      </w:r>
    </w:p>
    <w:p>
      <w:pPr>
        <w:ind w:firstLine="480"/>
        <w:rPr>
          <w:color w:val="auto"/>
          <w:highlight w:val="none"/>
        </w:rPr>
      </w:pPr>
      <w:r>
        <w:rPr>
          <w:rFonts w:hint="eastAsia"/>
          <w:color w:val="auto"/>
          <w:highlight w:val="none"/>
        </w:rPr>
        <w:t>2.5 三年内在经营活动中没有重大违法记录【提供书面声明】；</w:t>
      </w:r>
    </w:p>
    <w:p>
      <w:pPr>
        <w:ind w:firstLine="480"/>
        <w:rPr>
          <w:color w:val="auto"/>
          <w:highlight w:val="none"/>
        </w:rPr>
      </w:pPr>
      <w:r>
        <w:rPr>
          <w:rFonts w:hint="eastAsia"/>
          <w:color w:val="auto"/>
          <w:highlight w:val="none"/>
        </w:rPr>
        <w:t>2.6 法人及法定代表人没有被人民法院列为失信被执行人名单【提供中国执行信息公开网截图并加盖单位鲜章】；</w:t>
      </w:r>
    </w:p>
    <w:p>
      <w:pPr>
        <w:ind w:firstLine="480"/>
        <w:rPr>
          <w:color w:val="auto"/>
          <w:highlight w:val="none"/>
        </w:rPr>
      </w:pPr>
      <w:r>
        <w:rPr>
          <w:rFonts w:hint="eastAsia"/>
          <w:color w:val="auto"/>
          <w:highlight w:val="none"/>
        </w:rPr>
        <w:t>2.7 本项目不允许任何形式的转包【提供书面声明】。</w:t>
      </w:r>
    </w:p>
    <w:p>
      <w:pPr>
        <w:ind w:firstLine="480"/>
        <w:rPr>
          <w:color w:val="auto"/>
          <w:highlight w:val="none"/>
        </w:rPr>
      </w:pPr>
      <w:r>
        <w:rPr>
          <w:rFonts w:hint="eastAsia"/>
          <w:color w:val="auto"/>
          <w:highlight w:val="none"/>
        </w:rPr>
        <w:t>2.8 本次</w:t>
      </w:r>
      <w:r>
        <w:rPr>
          <w:rFonts w:hint="eastAsia"/>
          <w:color w:val="auto"/>
          <w:highlight w:val="none"/>
          <w:lang w:eastAsia="zh-CN"/>
        </w:rPr>
        <w:t>比选</w:t>
      </w:r>
      <w:r>
        <w:rPr>
          <w:rFonts w:hint="eastAsia"/>
          <w:color w:val="auto"/>
          <w:highlight w:val="none"/>
        </w:rPr>
        <w:t>不接受联合体参选。</w:t>
      </w:r>
    </w:p>
    <w:p>
      <w:pPr>
        <w:ind w:firstLine="480"/>
        <w:rPr>
          <w:rFonts w:hint="default" w:eastAsia="宋体"/>
          <w:color w:val="auto"/>
          <w:highlight w:val="none"/>
          <w:lang w:val="en-US" w:eastAsia="zh-CN"/>
        </w:rPr>
      </w:pPr>
      <w:r>
        <w:rPr>
          <w:rFonts w:hint="eastAsia"/>
          <w:color w:val="auto"/>
          <w:highlight w:val="none"/>
        </w:rPr>
        <w:t>2.9 参选人必须是《重庆市数据安全工作协调机制办公室关于发布“重庆市数据安全第三方评估机构”的通知》中的数据安全第三方评估机构。</w:t>
      </w:r>
      <w:r>
        <w:rPr>
          <w:rFonts w:hint="eastAsia"/>
          <w:color w:val="auto"/>
          <w:highlight w:val="none"/>
          <w:lang w:val="en-US" w:eastAsia="zh-CN"/>
        </w:rPr>
        <w:t>机构清单如下表所示：</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ind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序号</w:t>
            </w:r>
          </w:p>
        </w:tc>
        <w:tc>
          <w:tcPr>
            <w:tcW w:w="7578" w:type="dxa"/>
          </w:tcPr>
          <w:p>
            <w:pPr>
              <w:ind w:firstLine="0" w:firstLineChars="0"/>
              <w:rPr>
                <w:rFonts w:hint="default" w:eastAsia="宋体"/>
                <w:color w:val="auto"/>
                <w:highlight w:val="none"/>
                <w:vertAlign w:val="baseline"/>
                <w:lang w:val="en-US" w:eastAsia="zh-CN"/>
              </w:rPr>
            </w:pPr>
            <w:r>
              <w:rPr>
                <w:rFonts w:hint="eastAsia"/>
                <w:color w:val="auto"/>
                <w:highlight w:val="none"/>
                <w:vertAlign w:val="baseline"/>
                <w:lang w:val="en-US" w:eastAsia="zh-CN"/>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ind w:firstLine="0" w:firstLineChars="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7578" w:type="dxa"/>
          </w:tcPr>
          <w:p>
            <w:pPr>
              <w:ind w:firstLine="0" w:firstLineChars="0"/>
              <w:rPr>
                <w:rFonts w:hint="default" w:eastAsia="宋体"/>
                <w:color w:val="auto"/>
                <w:highlight w:val="none"/>
                <w:vertAlign w:val="baseline"/>
                <w:lang w:val="en-US" w:eastAsia="zh-CN"/>
              </w:rPr>
            </w:pPr>
            <w:r>
              <w:rPr>
                <w:rFonts w:hint="eastAsia"/>
                <w:color w:val="auto"/>
                <w:highlight w:val="none"/>
                <w:vertAlign w:val="baseline"/>
                <w:lang w:val="en-US" w:eastAsia="zh-CN"/>
              </w:rPr>
              <w:t>重庆市信息通信咨询设计院有限公司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ind w:firstLine="0" w:firstLineChars="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7578" w:type="dxa"/>
          </w:tcPr>
          <w:p>
            <w:pPr>
              <w:ind w:firstLine="0" w:firstLineChars="0"/>
              <w:rPr>
                <w:rFonts w:hint="eastAsia"/>
                <w:color w:val="auto"/>
                <w:highlight w:val="none"/>
                <w:vertAlign w:val="baseline"/>
              </w:rPr>
            </w:pPr>
            <w:r>
              <w:rPr>
                <w:rFonts w:hint="eastAsia"/>
                <w:color w:val="auto"/>
                <w:highlight w:val="none"/>
                <w:vertAlign w:val="baseline"/>
              </w:rPr>
              <w:t>重庆市工业信息安全发展研究中心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ind w:firstLine="0" w:firstLineChars="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7578" w:type="dxa"/>
          </w:tcPr>
          <w:p>
            <w:pPr>
              <w:ind w:firstLine="0" w:firstLineChars="0"/>
              <w:rPr>
                <w:rFonts w:hint="eastAsia"/>
                <w:color w:val="auto"/>
                <w:highlight w:val="none"/>
                <w:vertAlign w:val="baseline"/>
              </w:rPr>
            </w:pPr>
            <w:r>
              <w:rPr>
                <w:rFonts w:hint="eastAsia"/>
                <w:color w:val="auto"/>
                <w:highlight w:val="none"/>
                <w:vertAlign w:val="baseline"/>
              </w:rPr>
              <w:t>重庆信息通信研究院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ind w:firstLine="0" w:firstLineChars="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4</w:t>
            </w:r>
          </w:p>
        </w:tc>
        <w:tc>
          <w:tcPr>
            <w:tcW w:w="7578" w:type="dxa"/>
          </w:tcPr>
          <w:p>
            <w:pPr>
              <w:ind w:firstLine="0" w:firstLineChars="0"/>
              <w:rPr>
                <w:rFonts w:hint="eastAsia"/>
                <w:color w:val="auto"/>
                <w:highlight w:val="none"/>
                <w:vertAlign w:val="baseline"/>
              </w:rPr>
            </w:pPr>
            <w:r>
              <w:rPr>
                <w:rFonts w:hint="eastAsia"/>
                <w:color w:val="auto"/>
                <w:highlight w:val="none"/>
                <w:vertAlign w:val="baseline"/>
              </w:rPr>
              <w:t>重庆赛宝工业技术研究院有限公司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ind w:firstLine="0" w:firstLineChars="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7578" w:type="dxa"/>
          </w:tcPr>
          <w:p>
            <w:pPr>
              <w:ind w:firstLine="0" w:firstLineChars="0"/>
              <w:rPr>
                <w:rFonts w:hint="eastAsia"/>
                <w:color w:val="auto"/>
                <w:highlight w:val="none"/>
                <w:vertAlign w:val="baseline"/>
              </w:rPr>
            </w:pPr>
            <w:r>
              <w:rPr>
                <w:rFonts w:hint="eastAsia"/>
                <w:color w:val="auto"/>
                <w:highlight w:val="none"/>
                <w:vertAlign w:val="baseline"/>
              </w:rPr>
              <w:t>北京天融信网络安全技术有限公司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tcPr>
          <w:p>
            <w:pPr>
              <w:ind w:firstLine="0" w:firstLineChars="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6</w:t>
            </w:r>
          </w:p>
        </w:tc>
        <w:tc>
          <w:tcPr>
            <w:tcW w:w="7578" w:type="dxa"/>
          </w:tcPr>
          <w:p>
            <w:pPr>
              <w:ind w:firstLine="0" w:firstLineChars="0"/>
              <w:rPr>
                <w:rFonts w:hint="eastAsia"/>
                <w:color w:val="auto"/>
                <w:highlight w:val="none"/>
                <w:vertAlign w:val="baseline"/>
              </w:rPr>
            </w:pPr>
            <w:r>
              <w:rPr>
                <w:rFonts w:hint="eastAsia"/>
                <w:color w:val="auto"/>
                <w:highlight w:val="none"/>
                <w:vertAlign w:val="baseline"/>
                <w:lang w:val="en-US" w:eastAsia="zh-CN"/>
              </w:rPr>
              <w:t>杭州安恒信息技术股份有限公司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top"/>
          </w:tcPr>
          <w:p>
            <w:pPr>
              <w:ind w:firstLine="0" w:firstLineChars="0"/>
              <w:jc w:val="center"/>
              <w:rPr>
                <w:rFonts w:hint="default" w:ascii="Cambria Math" w:hAnsi="Cambria Math" w:eastAsia="宋体" w:cs="Cambria Math"/>
                <w:color w:val="auto"/>
                <w:kern w:val="2"/>
                <w:sz w:val="24"/>
                <w:highlight w:val="none"/>
                <w:vertAlign w:val="baseline"/>
                <w:lang w:val="en-US" w:eastAsia="zh-CN" w:bidi="ar-SA"/>
              </w:rPr>
            </w:pPr>
            <w:r>
              <w:rPr>
                <w:rFonts w:hint="eastAsia"/>
                <w:color w:val="auto"/>
                <w:highlight w:val="none"/>
                <w:vertAlign w:val="baseline"/>
                <w:lang w:val="en-US" w:eastAsia="zh-CN"/>
              </w:rPr>
              <w:t>7</w:t>
            </w:r>
          </w:p>
        </w:tc>
        <w:tc>
          <w:tcPr>
            <w:tcW w:w="7578" w:type="dxa"/>
            <w:vAlign w:val="top"/>
          </w:tcPr>
          <w:p>
            <w:pPr>
              <w:ind w:firstLine="0" w:firstLineChars="0"/>
              <w:rPr>
                <w:rFonts w:hint="eastAsia" w:ascii="Cambria Math" w:hAnsi="Cambria Math" w:eastAsia="宋体" w:cs="Cambria Math"/>
                <w:color w:val="auto"/>
                <w:kern w:val="2"/>
                <w:sz w:val="24"/>
                <w:highlight w:val="none"/>
                <w:vertAlign w:val="baseline"/>
                <w:lang w:val="en-US" w:eastAsia="zh-CN" w:bidi="ar-SA"/>
              </w:rPr>
            </w:pPr>
            <w:r>
              <w:rPr>
                <w:rFonts w:hint="eastAsia"/>
                <w:color w:val="auto"/>
                <w:highlight w:val="none"/>
                <w:vertAlign w:val="baseline"/>
              </w:rPr>
              <w:t>重庆贝特计算机系统工程有限公司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ind w:firstLine="0" w:firstLineChars="0"/>
              <w:jc w:val="center"/>
              <w:rPr>
                <w:rFonts w:hint="eastAsia" w:ascii="Cambria Math" w:hAnsi="Cambria Math" w:eastAsia="宋体" w:cs="Cambria Math"/>
                <w:color w:val="auto"/>
                <w:kern w:val="2"/>
                <w:sz w:val="24"/>
                <w:highlight w:val="none"/>
                <w:vertAlign w:val="baseline"/>
                <w:lang w:val="en-US" w:eastAsia="zh-CN" w:bidi="ar-SA"/>
              </w:rPr>
            </w:pPr>
            <w:r>
              <w:rPr>
                <w:rFonts w:hint="eastAsia"/>
                <w:color w:val="auto"/>
                <w:highlight w:val="none"/>
                <w:vertAlign w:val="baseline"/>
                <w:lang w:val="en-US" w:eastAsia="zh-CN"/>
              </w:rPr>
              <w:t>8</w:t>
            </w:r>
          </w:p>
        </w:tc>
        <w:tc>
          <w:tcPr>
            <w:tcW w:w="0" w:type="auto"/>
            <w:vAlign w:val="top"/>
          </w:tcPr>
          <w:p>
            <w:pPr>
              <w:ind w:firstLine="0" w:firstLineChars="0"/>
              <w:rPr>
                <w:rFonts w:hint="eastAsia" w:ascii="Cambria Math" w:hAnsi="Cambria Math" w:eastAsia="宋体" w:cs="Cambria Math"/>
                <w:color w:val="auto"/>
                <w:kern w:val="2"/>
                <w:sz w:val="24"/>
                <w:highlight w:val="none"/>
                <w:vertAlign w:val="baseline"/>
                <w:lang w:val="en-US" w:eastAsia="zh-CN" w:bidi="ar-SA"/>
              </w:rPr>
            </w:pPr>
            <w:r>
              <w:rPr>
                <w:rFonts w:hint="eastAsia"/>
                <w:color w:val="auto"/>
                <w:highlight w:val="none"/>
                <w:vertAlign w:val="baseline"/>
              </w:rPr>
              <w:t>重庆若可网络安全测评技术有限公司</w:t>
            </w:r>
          </w:p>
        </w:tc>
      </w:tr>
    </w:tbl>
    <w:p>
      <w:pPr>
        <w:ind w:firstLine="480"/>
        <w:rPr>
          <w:rFonts w:hint="eastAsia"/>
          <w:color w:val="auto"/>
          <w:highlight w:val="none"/>
        </w:rPr>
      </w:pPr>
      <w:r>
        <w:rPr>
          <w:rFonts w:hint="eastAsia"/>
          <w:color w:val="auto"/>
          <w:highlight w:val="none"/>
        </w:rPr>
        <w:t>注:以上证明文件若比选人存疑，参选人需提供原件备查，参选文件中须附相关证明文件复印件并逐页加盖公章。</w:t>
      </w:r>
    </w:p>
    <w:p>
      <w:pPr>
        <w:ind w:firstLine="48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p>
    <w:bookmarkEnd w:id="13"/>
    <w:p>
      <w:pPr>
        <w:pStyle w:val="4"/>
        <w:rPr>
          <w:color w:val="auto"/>
          <w:highlight w:val="none"/>
        </w:rPr>
      </w:pPr>
      <w:bookmarkStart w:id="14" w:name="_Toc55379220"/>
      <w:bookmarkStart w:id="15" w:name="_Toc89675130"/>
      <w:bookmarkStart w:id="16" w:name="_Toc297817090"/>
      <w:bookmarkStart w:id="17" w:name="_Toc469574667"/>
      <w:r>
        <w:rPr>
          <w:rFonts w:hint="eastAsia"/>
          <w:color w:val="auto"/>
          <w:highlight w:val="none"/>
        </w:rPr>
        <w:t>3. 比选文件的获取</w:t>
      </w:r>
      <w:bookmarkEnd w:id="14"/>
    </w:p>
    <w:p>
      <w:pPr>
        <w:ind w:firstLine="480"/>
        <w:rPr>
          <w:color w:val="auto"/>
          <w:highlight w:val="none"/>
        </w:rPr>
      </w:pPr>
      <w:r>
        <w:rPr>
          <w:rFonts w:hint="eastAsia"/>
          <w:color w:val="auto"/>
          <w:highlight w:val="none"/>
        </w:rPr>
        <w:t>3.1 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5</w:t>
      </w:r>
      <w:r>
        <w:rPr>
          <w:rFonts w:hint="eastAsia"/>
          <w:color w:val="auto"/>
          <w:highlight w:val="none"/>
        </w:rPr>
        <w:t>日到</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22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分（北京时间），在重庆市公共资源交易网（www.cqggzy.com）下载比选文件。</w:t>
      </w:r>
    </w:p>
    <w:p>
      <w:pPr>
        <w:ind w:firstLine="480"/>
        <w:rPr>
          <w:color w:val="auto"/>
          <w:highlight w:val="none"/>
        </w:rPr>
      </w:pPr>
      <w:r>
        <w:rPr>
          <w:rFonts w:hint="eastAsia"/>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7</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pPr>
        <w:ind w:firstLine="480"/>
        <w:rPr>
          <w:color w:val="auto"/>
          <w:highlight w:val="none"/>
        </w:rPr>
      </w:pPr>
      <w:r>
        <w:rPr>
          <w:rFonts w:hint="eastAsia"/>
          <w:color w:val="auto"/>
          <w:highlight w:val="none"/>
        </w:rPr>
        <w:t>3.3 比选人在认为有必要对参选人所提问题进行答复或对比选文件进行补充时，将于比选截止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4"/>
        <w:rPr>
          <w:color w:val="auto"/>
          <w:highlight w:val="none"/>
        </w:rPr>
      </w:pPr>
      <w:bookmarkStart w:id="18" w:name="_Toc55379221"/>
      <w:r>
        <w:rPr>
          <w:rFonts w:hint="eastAsia"/>
          <w:color w:val="auto"/>
          <w:highlight w:val="none"/>
        </w:rPr>
        <w:t>4. 参选保证金的递交</w:t>
      </w:r>
      <w:bookmarkEnd w:id="15"/>
      <w:bookmarkEnd w:id="16"/>
      <w:bookmarkEnd w:id="17"/>
      <w:bookmarkEnd w:id="18"/>
    </w:p>
    <w:p>
      <w:pPr>
        <w:ind w:firstLine="480"/>
        <w:rPr>
          <w:color w:val="auto"/>
          <w:highlight w:val="none"/>
        </w:rPr>
      </w:pPr>
      <w:bookmarkStart w:id="19" w:name="_Toc89675131"/>
      <w:bookmarkStart w:id="20" w:name="_Toc55379222"/>
      <w:bookmarkStart w:id="21" w:name="_Toc469574668"/>
      <w:bookmarkStart w:id="22" w:name="_Toc297817091"/>
      <w:r>
        <w:rPr>
          <w:rFonts w:hint="eastAsia"/>
          <w:color w:val="auto"/>
          <w:highlight w:val="none"/>
        </w:rPr>
        <w:t>4.1 参选保证金的金额：</w:t>
      </w:r>
      <w:r>
        <w:rPr>
          <w:rFonts w:hint="eastAsia"/>
          <w:b/>
          <w:bCs/>
          <w:color w:val="auto"/>
          <w:highlight w:val="none"/>
          <w:u w:val="single"/>
        </w:rPr>
        <w:t xml:space="preserve">7000 </w:t>
      </w:r>
      <w:r>
        <w:rPr>
          <w:rFonts w:hint="eastAsia"/>
          <w:b/>
          <w:bCs/>
          <w:color w:val="auto"/>
          <w:highlight w:val="none"/>
        </w:rPr>
        <w:t>元整（大写：</w:t>
      </w:r>
      <w:r>
        <w:rPr>
          <w:rFonts w:hint="eastAsia"/>
          <w:b/>
          <w:bCs/>
          <w:color w:val="auto"/>
          <w:highlight w:val="none"/>
          <w:u w:val="single"/>
        </w:rPr>
        <w:t>柒仟</w:t>
      </w:r>
      <w:r>
        <w:rPr>
          <w:rFonts w:hint="eastAsia"/>
          <w:b/>
          <w:bCs/>
          <w:color w:val="auto"/>
          <w:highlight w:val="none"/>
          <w:u w:val="single"/>
          <w:lang w:val="en-US" w:eastAsia="zh-CN"/>
        </w:rPr>
        <w:t>元</w:t>
      </w:r>
      <w:r>
        <w:rPr>
          <w:rFonts w:hint="eastAsia"/>
          <w:b/>
          <w:bCs/>
          <w:color w:val="auto"/>
          <w:highlight w:val="none"/>
          <w:u w:val="single"/>
        </w:rPr>
        <w:t>整</w:t>
      </w:r>
      <w:r>
        <w:rPr>
          <w:rFonts w:hint="eastAsia"/>
          <w:b/>
          <w:bCs/>
          <w:color w:val="auto"/>
          <w:highlight w:val="none"/>
        </w:rPr>
        <w:t>）</w:t>
      </w:r>
      <w:r>
        <w:rPr>
          <w:rFonts w:hint="eastAsia"/>
          <w:color w:val="auto"/>
          <w:highlight w:val="none"/>
        </w:rPr>
        <w:t>。</w:t>
      </w:r>
    </w:p>
    <w:p>
      <w:pPr>
        <w:ind w:firstLine="480"/>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pPr>
        <w:ind w:firstLine="482"/>
        <w:rPr>
          <w:color w:val="auto"/>
          <w:highlight w:val="none"/>
        </w:rPr>
      </w:pPr>
      <w:r>
        <w:rPr>
          <w:rFonts w:hint="eastAsia"/>
          <w:b/>
          <w:bCs/>
          <w:color w:val="auto"/>
          <w:highlight w:val="none"/>
        </w:rPr>
        <w:t>参选人必须在付款凭证备注栏中注明项目简称。可简写成：</w:t>
      </w:r>
      <w:r>
        <w:rPr>
          <w:rFonts w:hint="eastAsia"/>
          <w:b/>
          <w:bCs/>
          <w:color w:val="auto"/>
          <w:highlight w:val="none"/>
          <w:u w:val="single"/>
        </w:rPr>
        <w:t>数据安全风险评估</w:t>
      </w:r>
      <w:r>
        <w:rPr>
          <w:rFonts w:hint="eastAsia"/>
          <w:b/>
          <w:bCs/>
          <w:color w:val="auto"/>
          <w:highlight w:val="none"/>
        </w:rPr>
        <w:t>项目。</w:t>
      </w:r>
    </w:p>
    <w:p>
      <w:pPr>
        <w:ind w:firstLine="480"/>
        <w:rPr>
          <w:color w:val="auto"/>
          <w:highlight w:val="none"/>
        </w:rPr>
      </w:pPr>
      <w:r>
        <w:rPr>
          <w:rFonts w:hint="eastAsia"/>
          <w:color w:val="auto"/>
          <w:highlight w:val="none"/>
        </w:rPr>
        <w:t>4.3 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22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pPr>
        <w:ind w:firstLine="480"/>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pPr>
        <w:ind w:firstLine="48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pPr>
        <w:ind w:firstLine="480"/>
        <w:rPr>
          <w:color w:val="auto"/>
          <w:highlight w:val="none"/>
        </w:rPr>
      </w:pPr>
      <w:r>
        <w:rPr>
          <w:rFonts w:hint="eastAsia"/>
          <w:color w:val="auto"/>
          <w:highlight w:val="none"/>
        </w:rPr>
        <w:t>参选保证金以重庆市公共资源交易中心比选现场展示的保证金交纳情况为准。</w:t>
      </w:r>
    </w:p>
    <w:bookmarkEnd w:id="19"/>
    <w:bookmarkEnd w:id="20"/>
    <w:bookmarkEnd w:id="21"/>
    <w:bookmarkEnd w:id="22"/>
    <w:p>
      <w:pPr>
        <w:pStyle w:val="4"/>
        <w:rPr>
          <w:color w:val="auto"/>
          <w:highlight w:val="none"/>
        </w:rPr>
      </w:pPr>
      <w:r>
        <w:rPr>
          <w:rFonts w:hint="eastAsia"/>
          <w:color w:val="auto"/>
          <w:highlight w:val="none"/>
        </w:rPr>
        <w:t>5. 参选文件的递交</w:t>
      </w:r>
    </w:p>
    <w:p>
      <w:pPr>
        <w:ind w:firstLine="480"/>
        <w:rPr>
          <w:color w:val="auto"/>
          <w:highlight w:val="none"/>
        </w:rPr>
      </w:pPr>
      <w:bookmarkStart w:id="23" w:name="_Toc55379223"/>
      <w:bookmarkStart w:id="24" w:name="_Toc469574669"/>
      <w:bookmarkStart w:id="25" w:name="_Toc89675132"/>
      <w:r>
        <w:rPr>
          <w:rFonts w:hint="eastAsia"/>
          <w:color w:val="auto"/>
          <w:highlight w:val="none"/>
        </w:rPr>
        <w:t>5.1 参选文件现场递交的开始时间为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22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分(北京时间)。递交截止时间为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7</w:t>
      </w:r>
      <w:r>
        <w:rPr>
          <w:rFonts w:hint="eastAsia"/>
          <w:color w:val="auto"/>
          <w:highlight w:val="none"/>
        </w:rPr>
        <w:t>月</w:t>
      </w:r>
      <w:r>
        <w:rPr>
          <w:rFonts w:hint="eastAsia"/>
          <w:color w:val="auto"/>
          <w:highlight w:val="none"/>
          <w:u w:val="single"/>
          <w:lang w:val="en-US" w:eastAsia="zh-CN"/>
        </w:rPr>
        <w:t>22</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pPr>
        <w:ind w:firstLine="480"/>
        <w:rPr>
          <w:color w:val="auto"/>
          <w:highlight w:val="none"/>
        </w:rPr>
      </w:pPr>
      <w:r>
        <w:rPr>
          <w:rFonts w:hint="eastAsia"/>
          <w:color w:val="auto"/>
          <w:highlight w:val="none"/>
        </w:rPr>
        <w:t>5.2 递交地点为</w:t>
      </w:r>
      <w:r>
        <w:rPr>
          <w:rFonts w:hint="eastAsia" w:ascii="Times New Roman" w:hAnsi="Times New Roman"/>
          <w:color w:val="auto"/>
          <w:highlight w:val="none"/>
        </w:rPr>
        <w:t>重庆市渝北区青枫</w:t>
      </w:r>
      <w:bookmarkStart w:id="276" w:name="_GoBack"/>
      <w:bookmarkEnd w:id="276"/>
      <w:r>
        <w:rPr>
          <w:rFonts w:hint="eastAsia" w:ascii="Times New Roman" w:hAnsi="Times New Roman"/>
          <w:color w:val="auto"/>
          <w:highlight w:val="none"/>
        </w:rPr>
        <w:t>北路6号渝兴广场B10栋</w:t>
      </w:r>
      <w:r>
        <w:rPr>
          <w:rFonts w:hint="eastAsia"/>
          <w:color w:val="auto"/>
          <w:highlight w:val="none"/>
        </w:rPr>
        <w:t>重庆市公共资源交易中心开标区（具体请登陆重庆市公共资源交易网（www.cqggzy.com）查询或递交文件当日见交易中心大厅电子显示屏）。</w:t>
      </w:r>
    </w:p>
    <w:p>
      <w:pPr>
        <w:ind w:firstLine="480"/>
        <w:rPr>
          <w:color w:val="auto"/>
          <w:highlight w:val="none"/>
        </w:rPr>
      </w:pPr>
      <w:r>
        <w:rPr>
          <w:rFonts w:hint="eastAsia"/>
          <w:color w:val="auto"/>
          <w:highlight w:val="none"/>
        </w:rPr>
        <w:t>5.3 逾期送达的参选文件，不予接收。</w:t>
      </w:r>
    </w:p>
    <w:p>
      <w:pPr>
        <w:pStyle w:val="4"/>
        <w:rPr>
          <w:color w:val="auto"/>
          <w:highlight w:val="none"/>
        </w:rPr>
      </w:pPr>
      <w:r>
        <w:rPr>
          <w:rFonts w:hint="eastAsia"/>
          <w:color w:val="auto"/>
          <w:highlight w:val="none"/>
        </w:rPr>
        <w:t>6. 发布公告的媒介</w:t>
      </w:r>
      <w:bookmarkEnd w:id="23"/>
      <w:bookmarkEnd w:id="24"/>
      <w:bookmarkEnd w:id="25"/>
    </w:p>
    <w:p>
      <w:pPr>
        <w:ind w:firstLine="480"/>
        <w:rPr>
          <w:color w:val="auto"/>
          <w:highlight w:val="none"/>
        </w:rPr>
      </w:pPr>
      <w:bookmarkStart w:id="26" w:name="_Toc469574670"/>
      <w:bookmarkStart w:id="27" w:name="_Toc55379224"/>
      <w:bookmarkStart w:id="28" w:name="_Toc89675133"/>
      <w:bookmarkStart w:id="29" w:name="_Toc250565211"/>
      <w:r>
        <w:rPr>
          <w:rFonts w:hint="eastAsia"/>
          <w:color w:val="auto"/>
          <w:highlight w:val="none"/>
        </w:rPr>
        <w:t>本次比选公告同时在《重庆市公共资源交易网（www.cqggzy.com）》《重庆三峡银行官网（https://www.ccqtgb.com）》和《中国比选参选公共服务平台（http://www.cebpubservice.com）》上发布。</w:t>
      </w:r>
    </w:p>
    <w:p>
      <w:pPr>
        <w:pStyle w:val="4"/>
        <w:rPr>
          <w:rFonts w:hint="eastAsia"/>
          <w:color w:val="auto"/>
          <w:highlight w:val="none"/>
        </w:rPr>
      </w:pPr>
      <w:r>
        <w:rPr>
          <w:rFonts w:hint="eastAsia"/>
          <w:color w:val="auto"/>
          <w:highlight w:val="none"/>
        </w:rPr>
        <w:t>7. 联系方式</w:t>
      </w:r>
      <w:bookmarkEnd w:id="26"/>
      <w:bookmarkEnd w:id="27"/>
      <w:bookmarkEnd w:id="28"/>
      <w:bookmarkEnd w:id="29"/>
    </w:p>
    <w:tbl>
      <w:tblPr>
        <w:tblStyle w:val="15"/>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tblPrEx>
          <w:tblCellMar>
            <w:top w:w="0" w:type="dxa"/>
            <w:left w:w="108" w:type="dxa"/>
            <w:bottom w:w="0" w:type="dxa"/>
            <w:right w:w="108" w:type="dxa"/>
          </w:tblCellMar>
        </w:tblPrEx>
        <w:trPr>
          <w:trHeight w:val="113" w:hRule="atLeast"/>
        </w:trPr>
        <w:tc>
          <w:tcPr>
            <w:tcW w:w="8423" w:type="dxa"/>
            <w:gridSpan w:val="2"/>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项目需求咨询</w:t>
            </w:r>
          </w:p>
        </w:tc>
      </w:tr>
      <w:tr>
        <w:tblPrEx>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1"/>
                <w:szCs w:val="21"/>
                <w:highlight w:val="none"/>
              </w:rPr>
              <w:t>王领飞</w:t>
            </w:r>
          </w:p>
        </w:tc>
        <w:tc>
          <w:tcPr>
            <w:tcW w:w="5333"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cs="宋体"/>
                <w:color w:val="auto"/>
                <w:sz w:val="21"/>
                <w:szCs w:val="21"/>
                <w:highlight w:val="none"/>
              </w:rPr>
              <w:t>023-88890298</w:t>
            </w:r>
          </w:p>
        </w:tc>
      </w:tr>
      <w:tr>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项目流程咨询</w:t>
            </w:r>
          </w:p>
        </w:tc>
      </w:tr>
      <w:tr>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平台服务机构：重庆联合产权交易所集团股份有限公司</w:t>
            </w:r>
          </w:p>
        </w:tc>
      </w:tr>
      <w:tr>
        <w:tblPrEx>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平台联系人：</w:t>
            </w:r>
            <w:r>
              <w:rPr>
                <w:rFonts w:hint="eastAsia" w:ascii="宋体" w:hAnsi="宋体" w:eastAsia="宋体" w:cs="宋体"/>
                <w:color w:val="auto"/>
                <w:sz w:val="24"/>
                <w:szCs w:val="24"/>
                <w:highlight w:val="none"/>
                <w:lang w:eastAsia="zh-CN"/>
              </w:rPr>
              <w:t>张</w:t>
            </w:r>
            <w:r>
              <w:rPr>
                <w:rFonts w:hint="eastAsia" w:ascii="宋体" w:hAnsi="宋体" w:eastAsia="宋体" w:cs="宋体"/>
                <w:color w:val="auto"/>
                <w:sz w:val="24"/>
                <w:szCs w:val="24"/>
                <w:highlight w:val="none"/>
              </w:rPr>
              <w:t>老师</w:t>
            </w:r>
          </w:p>
        </w:tc>
        <w:tc>
          <w:tcPr>
            <w:tcW w:w="5333"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联系方式：023-63621694</w:t>
            </w:r>
          </w:p>
        </w:tc>
      </w:tr>
      <w:tr>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比选人联系方式</w:t>
            </w:r>
          </w:p>
        </w:tc>
      </w:tr>
      <w:tr>
        <w:tblPrEx>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联系人：敬希</w:t>
            </w:r>
          </w:p>
        </w:tc>
        <w:tc>
          <w:tcPr>
            <w:tcW w:w="5333"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联系方式：023-88890395</w:t>
            </w:r>
          </w:p>
        </w:tc>
      </w:tr>
      <w:tr>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比选人地址：重庆市渝北区嘉州路88号中渝国际都会4号写字楼21层</w:t>
            </w:r>
          </w:p>
        </w:tc>
      </w:tr>
    </w:tbl>
    <w:p/>
    <w:p>
      <w:pPr>
        <w:ind w:firstLine="480"/>
        <w:rPr>
          <w:color w:val="auto"/>
          <w:highlight w:val="none"/>
        </w:rPr>
      </w:pPr>
    </w:p>
    <w:p>
      <w:pPr>
        <w:spacing w:line="240" w:lineRule="auto"/>
        <w:ind w:firstLine="0" w:firstLineChars="0"/>
        <w:jc w:val="right"/>
        <w:rPr>
          <w:color w:val="auto"/>
          <w:highlight w:val="none"/>
        </w:rPr>
      </w:pPr>
      <w:r>
        <w:rPr>
          <w:rFonts w:hint="eastAsia"/>
          <w:color w:val="auto"/>
          <w:highlight w:val="none"/>
        </w:rPr>
        <w:t>重庆三峡银行股份有限公司</w:t>
      </w:r>
    </w:p>
    <w:p>
      <w:pPr>
        <w:ind w:firstLine="480"/>
        <w:jc w:val="right"/>
        <w:rPr>
          <w:color w:val="auto"/>
          <w:highlight w:val="none"/>
        </w:rPr>
      </w:pP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7</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p>
    <w:p>
      <w:pPr>
        <w:ind w:firstLine="480"/>
        <w:rPr>
          <w:color w:val="auto"/>
          <w:highlight w:val="none"/>
        </w:rPr>
      </w:pPr>
      <w:r>
        <w:rPr>
          <w:color w:val="auto"/>
          <w:highlight w:val="none"/>
        </w:rPr>
        <w:br w:type="page"/>
      </w:r>
    </w:p>
    <w:p>
      <w:pPr>
        <w:pStyle w:val="3"/>
        <w:rPr>
          <w:color w:val="auto"/>
          <w:highlight w:val="none"/>
        </w:rPr>
      </w:pPr>
      <w:bookmarkStart w:id="30" w:name="_Toc906781575"/>
      <w:bookmarkStart w:id="31" w:name="_Toc303066033"/>
      <w:bookmarkStart w:id="32" w:name="_Toc89675159"/>
      <w:bookmarkStart w:id="33" w:name="_Toc27630"/>
      <w:r>
        <w:rPr>
          <w:rFonts w:hint="eastAsia"/>
          <w:color w:val="auto"/>
          <w:highlight w:val="none"/>
        </w:rPr>
        <w:t>第二章 参选人须知</w:t>
      </w:r>
      <w:bookmarkEnd w:id="30"/>
      <w:bookmarkEnd w:id="31"/>
      <w:bookmarkEnd w:id="32"/>
      <w:bookmarkEnd w:id="33"/>
    </w:p>
    <w:p>
      <w:pPr>
        <w:pStyle w:val="4"/>
        <w:rPr>
          <w:color w:val="auto"/>
          <w:highlight w:val="none"/>
        </w:rPr>
      </w:pPr>
      <w:bookmarkStart w:id="34" w:name="_Toc89675160"/>
      <w:r>
        <w:rPr>
          <w:rFonts w:hint="eastAsia"/>
          <w:color w:val="auto"/>
          <w:highlight w:val="none"/>
        </w:rPr>
        <w:t>1. 项目信息</w:t>
      </w:r>
    </w:p>
    <w:p>
      <w:pPr>
        <w:pStyle w:val="5"/>
        <w:ind w:firstLine="482"/>
        <w:rPr>
          <w:color w:val="auto"/>
          <w:highlight w:val="none"/>
        </w:rPr>
      </w:pPr>
      <w:r>
        <w:rPr>
          <w:rFonts w:hint="eastAsia"/>
          <w:color w:val="auto"/>
          <w:highlight w:val="none"/>
        </w:rPr>
        <w:t>1.1 比选人</w:t>
      </w:r>
    </w:p>
    <w:p>
      <w:pPr>
        <w:ind w:firstLine="480"/>
        <w:rPr>
          <w:color w:val="auto"/>
          <w:highlight w:val="none"/>
        </w:rPr>
      </w:pPr>
      <w:r>
        <w:rPr>
          <w:color w:val="auto"/>
          <w:highlight w:val="none"/>
        </w:rPr>
        <w:t>重庆三峡银行股份有限公司</w:t>
      </w:r>
      <w:r>
        <w:rPr>
          <w:rFonts w:hint="eastAsia"/>
          <w:color w:val="auto"/>
          <w:highlight w:val="none"/>
        </w:rPr>
        <w:t>。</w:t>
      </w:r>
    </w:p>
    <w:p>
      <w:pPr>
        <w:pStyle w:val="5"/>
        <w:ind w:firstLine="482"/>
        <w:rPr>
          <w:color w:val="auto"/>
          <w:highlight w:val="none"/>
        </w:rPr>
      </w:pPr>
      <w:r>
        <w:rPr>
          <w:rFonts w:hint="eastAsia"/>
          <w:color w:val="auto"/>
          <w:highlight w:val="none"/>
        </w:rPr>
        <w:t>1.2 最高限价</w:t>
      </w:r>
    </w:p>
    <w:p>
      <w:pPr>
        <w:ind w:firstLine="480"/>
        <w:rPr>
          <w:color w:val="auto"/>
          <w:highlight w:val="none"/>
        </w:rPr>
      </w:pPr>
      <w:r>
        <w:rPr>
          <w:rFonts w:hint="eastAsia"/>
          <w:color w:val="auto"/>
          <w:highlight w:val="none"/>
        </w:rPr>
        <w:t>本项目最高限价为：</w:t>
      </w:r>
      <w:r>
        <w:rPr>
          <w:rFonts w:hint="eastAsia"/>
          <w:color w:val="auto"/>
          <w:highlight w:val="none"/>
          <w:u w:val="single"/>
        </w:rPr>
        <w:t>350000元</w:t>
      </w:r>
      <w:r>
        <w:rPr>
          <w:rFonts w:hint="eastAsia"/>
          <w:color w:val="auto"/>
          <w:highlight w:val="none"/>
        </w:rPr>
        <w:t>（人民币大写：</w:t>
      </w:r>
      <w:r>
        <w:rPr>
          <w:rFonts w:hint="eastAsia"/>
          <w:color w:val="auto"/>
          <w:highlight w:val="none"/>
          <w:u w:val="single"/>
        </w:rPr>
        <w:t>叁拾伍万</w:t>
      </w:r>
      <w:r>
        <w:rPr>
          <w:rFonts w:hint="eastAsia"/>
          <w:color w:val="auto"/>
          <w:highlight w:val="none"/>
          <w:u w:val="single"/>
          <w:lang w:val="en-US" w:eastAsia="zh-CN"/>
        </w:rPr>
        <w:t>元</w:t>
      </w:r>
      <w:r>
        <w:rPr>
          <w:rFonts w:hint="eastAsia"/>
          <w:b w:val="0"/>
          <w:bCs w:val="0"/>
          <w:color w:val="auto"/>
          <w:highlight w:val="none"/>
          <w:u w:val="single"/>
        </w:rPr>
        <w:t>整</w:t>
      </w:r>
      <w:r>
        <w:rPr>
          <w:rFonts w:hint="eastAsia"/>
          <w:color w:val="auto"/>
          <w:highlight w:val="none"/>
        </w:rPr>
        <w:t>）。</w:t>
      </w:r>
    </w:p>
    <w:p>
      <w:pPr>
        <w:pStyle w:val="5"/>
        <w:ind w:firstLine="482"/>
        <w:rPr>
          <w:color w:val="auto"/>
          <w:highlight w:val="none"/>
        </w:rPr>
      </w:pPr>
      <w:r>
        <w:rPr>
          <w:rFonts w:hint="eastAsia"/>
          <w:color w:val="auto"/>
          <w:highlight w:val="none"/>
        </w:rPr>
        <w:t>1.3 项目概况</w:t>
      </w:r>
    </w:p>
    <w:bookmarkEnd w:id="34"/>
    <w:p>
      <w:pPr>
        <w:ind w:firstLine="480"/>
        <w:rPr>
          <w:color w:val="auto"/>
          <w:highlight w:val="none"/>
        </w:rPr>
      </w:pPr>
      <w:bookmarkStart w:id="35" w:name="_Toc89675161"/>
      <w:r>
        <w:rPr>
          <w:rFonts w:hint="eastAsia"/>
          <w:color w:val="auto"/>
          <w:highlight w:val="none"/>
        </w:rPr>
        <w:t>数据安全风险评估是对数据资产价值、合规性、潜在威胁、脆弱性环节、已采取的防护安全等进行监测，分析和判断数据安全事件发生的概率以及可能造成的损失，并采取有针对性的处置措施和提出数据安全风险管控措施。</w:t>
      </w:r>
    </w:p>
    <w:p>
      <w:pPr>
        <w:ind w:firstLine="480"/>
        <w:rPr>
          <w:color w:val="auto"/>
          <w:highlight w:val="none"/>
        </w:rPr>
      </w:pPr>
      <w:r>
        <w:rPr>
          <w:rFonts w:hint="eastAsia"/>
          <w:color w:val="auto"/>
          <w:highlight w:val="none"/>
        </w:rPr>
        <w:t>为满足国家数据安全法律法规，以及金融行业监管数据安全标准规范的合规性要求，本行拟开展数据安全风险评估工作，识别在数据安全管理、数据技术防护，以及数据处理等活动中存在的安全风险，并及时采取措施进行整改，以便更好地保护内部重要数据、</w:t>
      </w:r>
      <w:r>
        <w:rPr>
          <w:rFonts w:hint="eastAsia"/>
          <w:color w:val="auto"/>
          <w:highlight w:val="none"/>
          <w:lang w:val="en-US" w:eastAsia="zh-CN"/>
        </w:rPr>
        <w:t>核心</w:t>
      </w:r>
      <w:r>
        <w:rPr>
          <w:rFonts w:hint="eastAsia"/>
          <w:color w:val="auto"/>
          <w:highlight w:val="none"/>
        </w:rPr>
        <w:t>数据的安全性，以及加强应对外部风险的能力。</w:t>
      </w:r>
    </w:p>
    <w:p>
      <w:pPr>
        <w:pStyle w:val="5"/>
        <w:ind w:firstLine="482"/>
        <w:rPr>
          <w:color w:val="auto"/>
          <w:highlight w:val="none"/>
        </w:rPr>
      </w:pPr>
      <w:r>
        <w:rPr>
          <w:rFonts w:hint="eastAsia"/>
          <w:color w:val="auto"/>
          <w:highlight w:val="none"/>
        </w:rPr>
        <w:t>1.4 项目目标</w:t>
      </w:r>
    </w:p>
    <w:p>
      <w:pPr>
        <w:ind w:firstLine="480"/>
        <w:rPr>
          <w:color w:val="auto"/>
          <w:highlight w:val="none"/>
        </w:rPr>
      </w:pPr>
      <w:r>
        <w:rPr>
          <w:rFonts w:hint="eastAsia"/>
          <w:color w:val="auto"/>
          <w:highlight w:val="none"/>
        </w:rPr>
        <w:t>本评估工作主要目标，一是满足重庆市数据安全工作协调机制办公室的要求，对重要数据、核心数据每年开展数据安全风险评估，通过对数据全生命周期各个环节进行综合分析，识别潜在的安全风险，以便及时采取措施加以防范；</w:t>
      </w:r>
      <w:r>
        <w:rPr>
          <w:rFonts w:hint="eastAsia"/>
          <w:color w:val="auto"/>
          <w:highlight w:val="none"/>
          <w:lang w:val="en-US" w:eastAsia="zh-CN"/>
        </w:rPr>
        <w:t>二</w:t>
      </w:r>
      <w:r>
        <w:rPr>
          <w:rFonts w:hint="eastAsia"/>
          <w:color w:val="auto"/>
          <w:highlight w:val="none"/>
        </w:rPr>
        <w:t>是完善数据安全管理体系，数据安全风险评估的结果将为本行制定科学的数据安全策略提供决策依据，提高数据安全的整体水平</w:t>
      </w:r>
      <w:r>
        <w:rPr>
          <w:rFonts w:hint="eastAsia"/>
          <w:color w:val="auto"/>
          <w:highlight w:val="none"/>
          <w:lang w:eastAsia="zh-CN"/>
        </w:rPr>
        <w:t>；</w:t>
      </w:r>
      <w:r>
        <w:rPr>
          <w:rFonts w:hint="eastAsia"/>
          <w:color w:val="auto"/>
          <w:highlight w:val="none"/>
          <w:lang w:val="en-US" w:eastAsia="zh-CN"/>
        </w:rPr>
        <w:t>三</w:t>
      </w:r>
      <w:r>
        <w:rPr>
          <w:rFonts w:hint="eastAsia"/>
          <w:color w:val="auto"/>
          <w:highlight w:val="none"/>
        </w:rPr>
        <w:t>是开展数据安全培训，提升全行数据安全意识。</w:t>
      </w:r>
    </w:p>
    <w:p>
      <w:pPr>
        <w:pStyle w:val="4"/>
        <w:rPr>
          <w:color w:val="auto"/>
          <w:highlight w:val="none"/>
        </w:rPr>
      </w:pPr>
      <w:r>
        <w:rPr>
          <w:rFonts w:hint="eastAsia"/>
          <w:color w:val="auto"/>
          <w:highlight w:val="none"/>
        </w:rPr>
        <w:t xml:space="preserve">2. </w:t>
      </w:r>
      <w:r>
        <w:rPr>
          <w:color w:val="auto"/>
          <w:highlight w:val="none"/>
        </w:rPr>
        <w:t>参选</w:t>
      </w:r>
      <w:r>
        <w:rPr>
          <w:rFonts w:hint="eastAsia"/>
          <w:color w:val="auto"/>
          <w:highlight w:val="none"/>
        </w:rPr>
        <w:t>人</w:t>
      </w:r>
      <w:bookmarkEnd w:id="35"/>
    </w:p>
    <w:p>
      <w:pPr>
        <w:ind w:firstLine="480"/>
        <w:outlineLvl w:val="2"/>
        <w:rPr>
          <w:color w:val="auto"/>
          <w:highlight w:val="none"/>
        </w:rPr>
      </w:pPr>
      <w:r>
        <w:rPr>
          <w:rFonts w:hint="eastAsia"/>
          <w:color w:val="auto"/>
          <w:highlight w:val="none"/>
        </w:rPr>
        <w:t>2.1 合格参选人条件</w:t>
      </w:r>
    </w:p>
    <w:p>
      <w:pPr>
        <w:ind w:firstLine="480"/>
        <w:rPr>
          <w:color w:val="auto"/>
          <w:highlight w:val="none"/>
        </w:rPr>
      </w:pPr>
      <w:r>
        <w:rPr>
          <w:rFonts w:hint="eastAsia"/>
          <w:color w:val="auto"/>
          <w:highlight w:val="none"/>
        </w:rPr>
        <w:t>合格参选人应完全符合比选文件第一章中规定的参选人资格条件，并对比选文件作出实质性响应。</w:t>
      </w:r>
    </w:p>
    <w:p>
      <w:pPr>
        <w:ind w:firstLine="480"/>
        <w:outlineLvl w:val="2"/>
        <w:rPr>
          <w:color w:val="auto"/>
          <w:highlight w:val="none"/>
        </w:rPr>
      </w:pPr>
      <w:r>
        <w:rPr>
          <w:rFonts w:hint="eastAsia"/>
          <w:color w:val="auto"/>
          <w:highlight w:val="none"/>
        </w:rPr>
        <w:t>2.2 参选人的风险</w:t>
      </w:r>
    </w:p>
    <w:p>
      <w:pPr>
        <w:ind w:firstLine="48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pPr>
        <w:pStyle w:val="4"/>
        <w:rPr>
          <w:color w:val="auto"/>
          <w:highlight w:val="none"/>
        </w:rPr>
      </w:pPr>
      <w:bookmarkStart w:id="36" w:name="_Toc89675162"/>
      <w:r>
        <w:rPr>
          <w:rFonts w:hint="eastAsia"/>
          <w:color w:val="auto"/>
          <w:highlight w:val="none"/>
        </w:rPr>
        <w:t>3. 比选文件</w:t>
      </w:r>
      <w:bookmarkEnd w:id="36"/>
    </w:p>
    <w:p>
      <w:pPr>
        <w:ind w:firstLine="480"/>
        <w:rPr>
          <w:color w:val="auto"/>
          <w:highlight w:val="none"/>
        </w:rPr>
      </w:pPr>
      <w:r>
        <w:rPr>
          <w:rFonts w:hint="eastAsia"/>
          <w:color w:val="auto"/>
          <w:highlight w:val="none"/>
        </w:rPr>
        <w:t>比选文件是参选人编制参选文件的依据，是评审委员会评判依据和标准。比选文件也是比选人与中选人签订合同的基础。</w:t>
      </w:r>
    </w:p>
    <w:p>
      <w:pPr>
        <w:ind w:firstLine="480"/>
        <w:rPr>
          <w:color w:val="auto"/>
          <w:highlight w:val="none"/>
        </w:rPr>
      </w:pPr>
      <w:r>
        <w:rPr>
          <w:rFonts w:hint="eastAsia"/>
          <w:color w:val="auto"/>
          <w:highlight w:val="none"/>
        </w:rPr>
        <w:t>本行对比选文件所作的一切有效的书面通知、修改及补充，都是比选文件不可分割的部分。</w:t>
      </w:r>
    </w:p>
    <w:p>
      <w:pPr>
        <w:pStyle w:val="4"/>
        <w:rPr>
          <w:color w:val="auto"/>
          <w:highlight w:val="none"/>
        </w:rPr>
      </w:pPr>
      <w:bookmarkStart w:id="37" w:name="_Toc89675163"/>
      <w:r>
        <w:rPr>
          <w:rFonts w:hint="eastAsia"/>
          <w:color w:val="auto"/>
          <w:highlight w:val="none"/>
        </w:rPr>
        <w:t xml:space="preserve">4. </w:t>
      </w:r>
      <w:r>
        <w:rPr>
          <w:color w:val="auto"/>
          <w:highlight w:val="none"/>
        </w:rPr>
        <w:t>参选</w:t>
      </w:r>
      <w:bookmarkEnd w:id="37"/>
    </w:p>
    <w:p>
      <w:pPr>
        <w:ind w:firstLine="480"/>
        <w:rPr>
          <w:color w:val="auto"/>
          <w:highlight w:val="none"/>
        </w:rPr>
      </w:pPr>
      <w:r>
        <w:rPr>
          <w:rFonts w:hint="eastAsia"/>
          <w:color w:val="auto"/>
          <w:highlight w:val="none"/>
        </w:rPr>
        <w:t>参选人应当按照比选文件的要求编制参选文件，并对比选文件提出的要求和条件作出实质性响应。</w:t>
      </w:r>
    </w:p>
    <w:p>
      <w:pPr>
        <w:pStyle w:val="5"/>
        <w:ind w:firstLine="482"/>
        <w:rPr>
          <w:color w:val="auto"/>
          <w:highlight w:val="none"/>
        </w:rPr>
      </w:pPr>
      <w:r>
        <w:rPr>
          <w:rFonts w:hint="eastAsia"/>
          <w:color w:val="auto"/>
          <w:highlight w:val="none"/>
        </w:rPr>
        <w:t>4.1 参选文件组成</w:t>
      </w:r>
    </w:p>
    <w:p>
      <w:pPr>
        <w:ind w:firstLine="480"/>
        <w:rPr>
          <w:color w:val="auto"/>
          <w:highlight w:val="none"/>
        </w:rPr>
      </w:pPr>
      <w:r>
        <w:rPr>
          <w:rFonts w:hint="eastAsia"/>
          <w:color w:val="auto"/>
          <w:highlight w:val="none"/>
        </w:rPr>
        <w:t>参选文件由参选人所作的一切有效补充、修改和承诺等文件组成，参选人应按照第</w:t>
      </w:r>
      <w:r>
        <w:rPr>
          <w:rFonts w:hint="eastAsia"/>
          <w:color w:val="auto"/>
          <w:highlight w:val="none"/>
          <w:lang w:val="en-US" w:eastAsia="zh-CN"/>
        </w:rPr>
        <w:t>五</w:t>
      </w:r>
      <w:r>
        <w:rPr>
          <w:rFonts w:hint="eastAsia"/>
          <w:color w:val="auto"/>
          <w:highlight w:val="none"/>
        </w:rPr>
        <w:t>章“参选文件格式”规定的目录顺序组织编写和装订，否则有可能影响参选人的参选文件评审。</w:t>
      </w:r>
    </w:p>
    <w:p>
      <w:pPr>
        <w:pStyle w:val="5"/>
        <w:ind w:firstLine="482"/>
        <w:rPr>
          <w:color w:val="auto"/>
          <w:highlight w:val="none"/>
        </w:rPr>
      </w:pPr>
      <w:r>
        <w:rPr>
          <w:rFonts w:hint="eastAsia"/>
          <w:color w:val="auto"/>
          <w:highlight w:val="none"/>
        </w:rPr>
        <w:t>4.2 联合参选</w:t>
      </w:r>
    </w:p>
    <w:p>
      <w:pPr>
        <w:ind w:firstLine="480"/>
        <w:rPr>
          <w:color w:val="auto"/>
          <w:highlight w:val="none"/>
        </w:rPr>
      </w:pPr>
      <w:r>
        <w:rPr>
          <w:rFonts w:hint="eastAsia"/>
          <w:color w:val="auto"/>
          <w:highlight w:val="none"/>
        </w:rPr>
        <w:t>本比选项目不接受联合参选</w:t>
      </w:r>
    </w:p>
    <w:p>
      <w:pPr>
        <w:pStyle w:val="5"/>
        <w:ind w:firstLine="482"/>
        <w:rPr>
          <w:color w:val="auto"/>
          <w:highlight w:val="none"/>
        </w:rPr>
      </w:pPr>
      <w:r>
        <w:rPr>
          <w:rFonts w:hint="eastAsia"/>
          <w:color w:val="auto"/>
          <w:highlight w:val="none"/>
        </w:rPr>
        <w:t>4.3 参选有效期</w:t>
      </w:r>
    </w:p>
    <w:p>
      <w:pPr>
        <w:ind w:firstLine="480"/>
        <w:rPr>
          <w:color w:val="auto"/>
          <w:highlight w:val="none"/>
        </w:rPr>
      </w:pPr>
      <w:r>
        <w:rPr>
          <w:rFonts w:hint="eastAsia"/>
          <w:color w:val="auto"/>
          <w:highlight w:val="none"/>
        </w:rPr>
        <w:t>参选有效期为参选截止日期后90天内。</w:t>
      </w:r>
    </w:p>
    <w:p>
      <w:pPr>
        <w:pStyle w:val="5"/>
        <w:ind w:firstLine="482"/>
        <w:rPr>
          <w:color w:val="auto"/>
          <w:highlight w:val="none"/>
        </w:rPr>
      </w:pPr>
      <w:r>
        <w:rPr>
          <w:rFonts w:hint="eastAsia"/>
          <w:color w:val="auto"/>
          <w:highlight w:val="none"/>
        </w:rPr>
        <w:t>4.4 参选保证金</w:t>
      </w:r>
    </w:p>
    <w:p>
      <w:pPr>
        <w:ind w:firstLine="480"/>
        <w:rPr>
          <w:color w:val="auto"/>
          <w:highlight w:val="none"/>
        </w:rPr>
      </w:pPr>
      <w:r>
        <w:rPr>
          <w:rFonts w:hint="eastAsia"/>
          <w:color w:val="auto"/>
          <w:highlight w:val="none"/>
        </w:rPr>
        <w:t>4.4.1 参选人应在参选截止时间前，按比选文件第一章规定向比选人缴纳参选保证金。</w:t>
      </w:r>
    </w:p>
    <w:p>
      <w:pPr>
        <w:ind w:firstLine="480"/>
        <w:rPr>
          <w:color w:val="auto"/>
          <w:highlight w:val="none"/>
        </w:rPr>
      </w:pPr>
      <w:r>
        <w:rPr>
          <w:rFonts w:hint="eastAsia"/>
          <w:color w:val="auto"/>
          <w:highlight w:val="none"/>
        </w:rPr>
        <w:t>4.4.2 参选保证金为参选的有效约束条件。</w:t>
      </w:r>
    </w:p>
    <w:p>
      <w:pPr>
        <w:ind w:firstLine="480"/>
        <w:rPr>
          <w:color w:val="auto"/>
          <w:highlight w:val="none"/>
        </w:rPr>
      </w:pPr>
      <w:r>
        <w:rPr>
          <w:rFonts w:hint="eastAsia"/>
          <w:color w:val="auto"/>
          <w:highlight w:val="none"/>
        </w:rPr>
        <w:t>4.4.3 参选保证金有效期与参选文件有效期一致。</w:t>
      </w:r>
    </w:p>
    <w:p>
      <w:pPr>
        <w:ind w:firstLine="480"/>
        <w:rPr>
          <w:color w:val="auto"/>
          <w:highlight w:val="none"/>
        </w:rPr>
      </w:pPr>
      <w:r>
        <w:rPr>
          <w:rFonts w:hint="eastAsia"/>
          <w:color w:val="auto"/>
          <w:highlight w:val="none"/>
        </w:rPr>
        <w:t>4.4.4 参选保证金币种应与参选报价币种相同。</w:t>
      </w:r>
    </w:p>
    <w:p>
      <w:pPr>
        <w:ind w:firstLine="480"/>
        <w:rPr>
          <w:color w:val="auto"/>
          <w:highlight w:val="none"/>
        </w:rPr>
      </w:pPr>
      <w:r>
        <w:rPr>
          <w:rFonts w:hint="eastAsia"/>
          <w:color w:val="auto"/>
          <w:highlight w:val="none"/>
        </w:rPr>
        <w:t>4.4.5 参选保证金的退还：</w:t>
      </w:r>
    </w:p>
    <w:p>
      <w:pPr>
        <w:ind w:firstLine="48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ind w:firstLine="48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ind w:firstLine="48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pPr>
        <w:ind w:firstLine="480"/>
        <w:rPr>
          <w:color w:val="auto"/>
          <w:highlight w:val="none"/>
        </w:rPr>
      </w:pPr>
      <w:r>
        <w:rPr>
          <w:rFonts w:hint="eastAsia"/>
          <w:color w:val="auto"/>
          <w:highlight w:val="none"/>
        </w:rPr>
        <w:t>4.4.6 参选人有下列情形之一的，参选保证金将不予退还：</w:t>
      </w:r>
    </w:p>
    <w:p>
      <w:pPr>
        <w:ind w:firstLine="480"/>
        <w:rPr>
          <w:color w:val="auto"/>
          <w:highlight w:val="none"/>
        </w:rPr>
      </w:pPr>
      <w:r>
        <w:rPr>
          <w:rFonts w:hint="eastAsia"/>
          <w:color w:val="auto"/>
          <w:highlight w:val="none"/>
        </w:rPr>
        <w:t>4.4.6.1 参选人在参选有效期内撤销参选文件的；</w:t>
      </w:r>
    </w:p>
    <w:p>
      <w:pPr>
        <w:ind w:firstLine="480"/>
        <w:rPr>
          <w:color w:val="auto"/>
          <w:highlight w:val="none"/>
        </w:rPr>
      </w:pPr>
      <w:r>
        <w:rPr>
          <w:rFonts w:hint="eastAsia"/>
          <w:color w:val="auto"/>
          <w:highlight w:val="none"/>
        </w:rPr>
        <w:t>4.4.6.2 参选人在参选过程中弄虚作假，提供虚假材料的；</w:t>
      </w:r>
    </w:p>
    <w:p>
      <w:pPr>
        <w:ind w:firstLine="480"/>
        <w:rPr>
          <w:color w:val="auto"/>
          <w:highlight w:val="none"/>
        </w:rPr>
      </w:pPr>
      <w:r>
        <w:rPr>
          <w:rFonts w:hint="eastAsia"/>
          <w:color w:val="auto"/>
          <w:highlight w:val="none"/>
        </w:rPr>
        <w:t>4.4.6.3 中选人无正当理由不与比选人签订合同的；</w:t>
      </w:r>
    </w:p>
    <w:p>
      <w:pPr>
        <w:ind w:firstLine="480"/>
        <w:rPr>
          <w:color w:val="auto"/>
          <w:highlight w:val="none"/>
        </w:rPr>
      </w:pPr>
      <w:r>
        <w:rPr>
          <w:rFonts w:hint="eastAsia"/>
          <w:color w:val="auto"/>
          <w:highlight w:val="none"/>
        </w:rPr>
        <w:t>4.4.6.4 中选人将中选项目转让给他人或者在参选文件中未说明且未经比选单位同意，将中选项目分包给他人的；</w:t>
      </w:r>
    </w:p>
    <w:p>
      <w:pPr>
        <w:ind w:firstLine="480"/>
        <w:rPr>
          <w:color w:val="auto"/>
          <w:highlight w:val="none"/>
        </w:rPr>
      </w:pPr>
      <w:r>
        <w:rPr>
          <w:rFonts w:hint="eastAsia"/>
          <w:color w:val="auto"/>
          <w:highlight w:val="none"/>
        </w:rPr>
        <w:t>4.4.6.5 中选人拒绝履行合同义务的；</w:t>
      </w:r>
    </w:p>
    <w:p>
      <w:pPr>
        <w:ind w:firstLine="480"/>
        <w:rPr>
          <w:color w:val="auto"/>
          <w:highlight w:val="none"/>
        </w:rPr>
      </w:pPr>
      <w:r>
        <w:rPr>
          <w:rFonts w:hint="eastAsia"/>
          <w:color w:val="auto"/>
          <w:highlight w:val="none"/>
        </w:rPr>
        <w:t>4.4.6.6 其他严重扰乱比选程序的；</w:t>
      </w:r>
    </w:p>
    <w:p>
      <w:pPr>
        <w:pStyle w:val="5"/>
        <w:ind w:firstLine="482"/>
        <w:rPr>
          <w:color w:val="auto"/>
          <w:highlight w:val="none"/>
        </w:rPr>
      </w:pPr>
      <w:r>
        <w:rPr>
          <w:rFonts w:hint="eastAsia"/>
          <w:color w:val="auto"/>
          <w:highlight w:val="none"/>
        </w:rPr>
        <w:t>4.5 参选文件的份数和签署</w:t>
      </w:r>
    </w:p>
    <w:p>
      <w:pPr>
        <w:ind w:firstLine="480"/>
        <w:rPr>
          <w:color w:val="auto"/>
          <w:highlight w:val="none"/>
        </w:rPr>
      </w:pPr>
      <w:r>
        <w:rPr>
          <w:rFonts w:hint="eastAsia"/>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并单独装入信封中密封，并在信封表面加盖鲜章（公章）。</w:t>
      </w:r>
    </w:p>
    <w:p>
      <w:pPr>
        <w:ind w:firstLine="480"/>
        <w:rPr>
          <w:color w:val="auto"/>
          <w:highlight w:val="none"/>
        </w:rPr>
      </w:pPr>
      <w:r>
        <w:rPr>
          <w:rFonts w:hint="eastAsia"/>
          <w:color w:val="auto"/>
          <w:highlight w:val="none"/>
        </w:rPr>
        <w:t>4.5.2 参选文件正本中，每一页均应由参选人加盖公章，其中规定格式的文件应当按要求签名和加盖参选人公章。</w:t>
      </w:r>
    </w:p>
    <w:p>
      <w:pPr>
        <w:ind w:firstLine="480"/>
        <w:rPr>
          <w:color w:val="auto"/>
          <w:highlight w:val="none"/>
        </w:rPr>
      </w:pPr>
      <w:r>
        <w:rPr>
          <w:rFonts w:hint="eastAsia"/>
          <w:color w:val="auto"/>
          <w:highlight w:val="none"/>
        </w:rPr>
        <w:t>4.5.3 若参选人对参选文件的错处作必要修改，则应在修改处加盖参选人公章或由法人或法人授权代表签字确认。</w:t>
      </w:r>
    </w:p>
    <w:p>
      <w:pPr>
        <w:ind w:firstLine="480"/>
        <w:rPr>
          <w:color w:val="auto"/>
          <w:highlight w:val="none"/>
        </w:rPr>
      </w:pPr>
      <w:r>
        <w:rPr>
          <w:rFonts w:hint="eastAsia"/>
          <w:color w:val="auto"/>
          <w:highlight w:val="none"/>
        </w:rPr>
        <w:t>4.5.4 电报、电话、邮寄、传真形式的参选文件概不接受。</w:t>
      </w:r>
    </w:p>
    <w:p>
      <w:pPr>
        <w:pStyle w:val="5"/>
        <w:ind w:firstLine="482"/>
        <w:rPr>
          <w:color w:val="auto"/>
          <w:highlight w:val="none"/>
        </w:rPr>
      </w:pPr>
      <w:r>
        <w:rPr>
          <w:rFonts w:hint="eastAsia"/>
          <w:color w:val="auto"/>
          <w:highlight w:val="none"/>
        </w:rPr>
        <w:t>4.6 参选文件的密封与标记</w:t>
      </w:r>
    </w:p>
    <w:p>
      <w:pPr>
        <w:ind w:firstLine="48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pPr>
        <w:ind w:firstLine="480"/>
        <w:rPr>
          <w:color w:val="auto"/>
          <w:highlight w:val="none"/>
        </w:rPr>
      </w:pPr>
      <w:r>
        <w:rPr>
          <w:rFonts w:hint="eastAsia"/>
          <w:color w:val="auto"/>
          <w:highlight w:val="none"/>
        </w:rPr>
        <w:t>如果未按上述规定进行密封和标记，则其参选将作为无效参选处理。</w:t>
      </w:r>
    </w:p>
    <w:p>
      <w:pPr>
        <w:pStyle w:val="5"/>
        <w:ind w:firstLine="482"/>
        <w:rPr>
          <w:color w:val="auto"/>
          <w:highlight w:val="none"/>
        </w:rPr>
      </w:pPr>
      <w:r>
        <w:rPr>
          <w:rFonts w:hint="eastAsia"/>
          <w:color w:val="auto"/>
          <w:highlight w:val="none"/>
        </w:rPr>
        <w:t>4.7 参选报价</w:t>
      </w:r>
    </w:p>
    <w:p>
      <w:pPr>
        <w:ind w:firstLine="480"/>
        <w:rPr>
          <w:color w:val="auto"/>
          <w:highlight w:val="none"/>
        </w:rPr>
      </w:pPr>
      <w:r>
        <w:rPr>
          <w:rFonts w:hint="eastAsia"/>
          <w:color w:val="auto"/>
          <w:highlight w:val="none"/>
        </w:rPr>
        <w:t>4.7.1 参选人应严格按照</w:t>
      </w:r>
      <w:r>
        <w:rPr>
          <w:rFonts w:hint="eastAsia" w:ascii="Times New Roman" w:hAnsi="Times New Roman" w:cs="Times New Roman"/>
          <w:color w:val="auto"/>
          <w:highlight w:val="none"/>
        </w:rPr>
        <w:t>第三章的要求及</w:t>
      </w:r>
      <w:r>
        <w:rPr>
          <w:rFonts w:hint="eastAsia"/>
          <w:color w:val="auto"/>
          <w:highlight w:val="none"/>
        </w:rPr>
        <w:t>“参选文件格式”填写报价。</w:t>
      </w:r>
    </w:p>
    <w:p>
      <w:pPr>
        <w:ind w:firstLine="480"/>
        <w:rPr>
          <w:color w:val="auto"/>
          <w:highlight w:val="none"/>
        </w:rPr>
      </w:pPr>
      <w:r>
        <w:rPr>
          <w:rFonts w:hint="eastAsia"/>
          <w:color w:val="auto"/>
          <w:highlight w:val="none"/>
        </w:rPr>
        <w:t>4.7.2 参选人的报价为一次性报价，即在参选有效期内参选价格固定不变。</w:t>
      </w:r>
    </w:p>
    <w:p>
      <w:pPr>
        <w:ind w:firstLine="480"/>
        <w:rPr>
          <w:rFonts w:hint="eastAsia"/>
          <w:color w:val="auto"/>
          <w:highlight w:val="none"/>
        </w:rPr>
      </w:pPr>
      <w:r>
        <w:rPr>
          <w:rFonts w:hint="eastAsia"/>
          <w:color w:val="auto"/>
          <w:highlight w:val="none"/>
        </w:rPr>
        <w:t>4.7.3 本项目只接受一个参选报价，有选择的或有条件的参选将不予接受。</w:t>
      </w:r>
    </w:p>
    <w:p>
      <w:pPr>
        <w:ind w:firstLine="480"/>
        <w:rPr>
          <w:rFonts w:hint="eastAsia" w:eastAsia="宋体"/>
          <w:color w:val="auto"/>
          <w:highlight w:val="none"/>
          <w:lang w:val="en-US" w:eastAsia="zh-CN"/>
        </w:rPr>
      </w:pPr>
      <w:r>
        <w:rPr>
          <w:rFonts w:hint="eastAsia"/>
          <w:color w:val="auto"/>
          <w:highlight w:val="none"/>
          <w:lang w:val="en-US" w:eastAsia="zh-CN"/>
        </w:rPr>
        <w:t>4.7.4 参选报价不得超过最高限价。</w:t>
      </w:r>
    </w:p>
    <w:p>
      <w:pPr>
        <w:pStyle w:val="5"/>
        <w:ind w:firstLine="482"/>
        <w:rPr>
          <w:color w:val="auto"/>
          <w:highlight w:val="none"/>
        </w:rPr>
      </w:pPr>
      <w:r>
        <w:rPr>
          <w:rFonts w:hint="eastAsia"/>
          <w:color w:val="auto"/>
          <w:highlight w:val="none"/>
        </w:rPr>
        <w:t>4.8 修正错误</w:t>
      </w:r>
    </w:p>
    <w:p>
      <w:pPr>
        <w:ind w:firstLine="480"/>
        <w:rPr>
          <w:color w:val="auto"/>
          <w:highlight w:val="none"/>
        </w:rPr>
      </w:pPr>
      <w:r>
        <w:rPr>
          <w:rFonts w:hint="eastAsia"/>
          <w:color w:val="auto"/>
          <w:highlight w:val="none"/>
        </w:rPr>
        <w:t>若参选文件出现计算或表达上的错误，修正错误的原则如下：</w:t>
      </w:r>
    </w:p>
    <w:p>
      <w:pPr>
        <w:ind w:firstLine="480"/>
        <w:rPr>
          <w:color w:val="auto"/>
          <w:highlight w:val="none"/>
        </w:rPr>
      </w:pPr>
      <w:r>
        <w:rPr>
          <w:rFonts w:hint="eastAsia"/>
          <w:color w:val="auto"/>
          <w:highlight w:val="none"/>
        </w:rPr>
        <w:t>4.8.1 参选文件的大写金额和小写金额不一致的，以大写金额为准；</w:t>
      </w:r>
    </w:p>
    <w:p>
      <w:pPr>
        <w:ind w:firstLine="480"/>
        <w:rPr>
          <w:color w:val="auto"/>
          <w:highlight w:val="none"/>
        </w:rPr>
      </w:pPr>
      <w:r>
        <w:rPr>
          <w:rFonts w:hint="eastAsia"/>
          <w:color w:val="auto"/>
          <w:highlight w:val="none"/>
        </w:rPr>
        <w:t>4.8.2 总价金额与按单价汇总金额不一致的，以单价金额计算结果为准；</w:t>
      </w:r>
    </w:p>
    <w:p>
      <w:pPr>
        <w:ind w:firstLine="480"/>
        <w:rPr>
          <w:color w:val="auto"/>
          <w:highlight w:val="none"/>
        </w:rPr>
      </w:pPr>
      <w:r>
        <w:rPr>
          <w:rFonts w:hint="eastAsia"/>
          <w:color w:val="auto"/>
          <w:highlight w:val="none"/>
        </w:rPr>
        <w:t>4.8.3 单价金额小数点有明显错位的，应以总价为准，并修正单价；</w:t>
      </w:r>
    </w:p>
    <w:p>
      <w:pPr>
        <w:ind w:firstLine="480"/>
        <w:rPr>
          <w:color w:val="auto"/>
          <w:highlight w:val="none"/>
        </w:rPr>
      </w:pPr>
      <w:r>
        <w:rPr>
          <w:rFonts w:hint="eastAsia"/>
          <w:color w:val="auto"/>
          <w:highlight w:val="none"/>
        </w:rPr>
        <w:t>4.8.4 对不同文字文本参选文件的解释发生异议的，以中文文本为准。</w:t>
      </w:r>
    </w:p>
    <w:p>
      <w:pPr>
        <w:ind w:firstLine="480"/>
        <w:rPr>
          <w:color w:val="auto"/>
          <w:highlight w:val="none"/>
        </w:rPr>
      </w:pPr>
      <w:r>
        <w:rPr>
          <w:rFonts w:hint="eastAsia"/>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4"/>
        <w:rPr>
          <w:color w:val="auto"/>
          <w:highlight w:val="none"/>
        </w:rPr>
      </w:pPr>
      <w:bookmarkStart w:id="38" w:name="_Toc89675166"/>
      <w:r>
        <w:rPr>
          <w:rFonts w:hint="eastAsia"/>
          <w:color w:val="auto"/>
          <w:highlight w:val="none"/>
        </w:rPr>
        <w:t>5. 比选程序</w:t>
      </w:r>
    </w:p>
    <w:p>
      <w:pPr>
        <w:ind w:firstLine="480"/>
        <w:rPr>
          <w:color w:val="auto"/>
          <w:highlight w:val="none"/>
        </w:rPr>
      </w:pPr>
      <w:r>
        <w:rPr>
          <w:rFonts w:hint="eastAsia"/>
          <w:color w:val="auto"/>
          <w:highlight w:val="none"/>
        </w:rPr>
        <w:t>主持人按下列程序进行比选：</w:t>
      </w:r>
    </w:p>
    <w:p>
      <w:pPr>
        <w:ind w:firstLine="480"/>
        <w:rPr>
          <w:color w:val="auto"/>
          <w:highlight w:val="none"/>
        </w:rPr>
      </w:pPr>
      <w:r>
        <w:rPr>
          <w:rFonts w:hint="eastAsia"/>
          <w:color w:val="auto"/>
          <w:highlight w:val="none"/>
        </w:rPr>
        <w:t>5.1 宣布比选纪律；</w:t>
      </w:r>
    </w:p>
    <w:p>
      <w:pPr>
        <w:ind w:firstLine="480"/>
        <w:rPr>
          <w:color w:val="auto"/>
          <w:highlight w:val="none"/>
        </w:rPr>
      </w:pPr>
      <w:r>
        <w:rPr>
          <w:rFonts w:hint="eastAsia"/>
          <w:color w:val="auto"/>
          <w:highlight w:val="none"/>
        </w:rPr>
        <w:t>5.2 宣布比选人、唱标人、记录人、监督人等有关人员姓名；</w:t>
      </w:r>
    </w:p>
    <w:p>
      <w:pPr>
        <w:ind w:firstLine="480"/>
        <w:rPr>
          <w:color w:val="auto"/>
          <w:highlight w:val="none"/>
        </w:rPr>
      </w:pPr>
      <w:r>
        <w:rPr>
          <w:rFonts w:hint="eastAsia"/>
          <w:color w:val="auto"/>
          <w:highlight w:val="none"/>
        </w:rPr>
        <w:t>5.3 公布在比选截止时间前递交参选文件的参选人名称，并点名确认参选人是否派人到场；</w:t>
      </w:r>
    </w:p>
    <w:p>
      <w:pPr>
        <w:ind w:firstLine="480"/>
        <w:rPr>
          <w:color w:val="auto"/>
          <w:highlight w:val="none"/>
        </w:rPr>
      </w:pPr>
      <w:r>
        <w:rPr>
          <w:rFonts w:hint="eastAsia"/>
          <w:color w:val="auto"/>
          <w:highlight w:val="none"/>
        </w:rPr>
        <w:t>5.4 展示参选保证金，参选保证金缴款不全或有误的，则记录在案交由评审委员会评审；</w:t>
      </w:r>
    </w:p>
    <w:p>
      <w:pPr>
        <w:ind w:firstLine="480"/>
        <w:rPr>
          <w:color w:val="auto"/>
          <w:highlight w:val="none"/>
        </w:rPr>
      </w:pPr>
      <w:r>
        <w:rPr>
          <w:rFonts w:hint="eastAsia"/>
          <w:color w:val="auto"/>
          <w:highlight w:val="none"/>
        </w:rPr>
        <w:t>5.5 封装情况检查：参选人或者其推选的代表检查各参选文件的封装情况并确认；</w:t>
      </w:r>
    </w:p>
    <w:p>
      <w:pPr>
        <w:ind w:firstLine="480"/>
        <w:rPr>
          <w:color w:val="auto"/>
          <w:highlight w:val="none"/>
        </w:rPr>
      </w:pPr>
      <w:r>
        <w:rPr>
          <w:rFonts w:hint="eastAsia"/>
          <w:color w:val="auto"/>
          <w:highlight w:val="none"/>
        </w:rPr>
        <w:t>5.6 设有最高限价的，公布最高限价；</w:t>
      </w:r>
    </w:p>
    <w:p>
      <w:pPr>
        <w:ind w:firstLine="480"/>
        <w:rPr>
          <w:color w:val="auto"/>
          <w:highlight w:val="none"/>
        </w:rPr>
      </w:pPr>
      <w:r>
        <w:rPr>
          <w:rFonts w:hint="eastAsia"/>
          <w:color w:val="auto"/>
          <w:highlight w:val="none"/>
        </w:rPr>
        <w:t>5.7 开启参选文件；</w:t>
      </w:r>
    </w:p>
    <w:p>
      <w:pPr>
        <w:ind w:firstLine="480"/>
        <w:rPr>
          <w:color w:val="auto"/>
          <w:highlight w:val="none"/>
        </w:rPr>
      </w:pPr>
      <w:r>
        <w:rPr>
          <w:rFonts w:hint="eastAsia"/>
          <w:color w:val="auto"/>
          <w:highlight w:val="none"/>
        </w:rPr>
        <w:t>5.8 比选人代表、参选人代表、监督人、记录人等有关人员在比选记录上签字确认；</w:t>
      </w:r>
    </w:p>
    <w:p>
      <w:pPr>
        <w:ind w:firstLine="480"/>
        <w:rPr>
          <w:color w:val="auto"/>
          <w:highlight w:val="none"/>
        </w:rPr>
      </w:pPr>
      <w:r>
        <w:rPr>
          <w:rFonts w:hint="eastAsia"/>
          <w:color w:val="auto"/>
          <w:highlight w:val="none"/>
        </w:rPr>
        <w:t>5.9 比选结束。</w:t>
      </w:r>
    </w:p>
    <w:p>
      <w:pPr>
        <w:pStyle w:val="4"/>
        <w:rPr>
          <w:color w:val="auto"/>
          <w:highlight w:val="none"/>
        </w:rPr>
      </w:pPr>
      <w:r>
        <w:rPr>
          <w:rFonts w:hint="eastAsia"/>
          <w:color w:val="auto"/>
          <w:highlight w:val="none"/>
        </w:rPr>
        <w:t>6. 评审</w:t>
      </w:r>
    </w:p>
    <w:p>
      <w:pPr>
        <w:ind w:firstLine="480"/>
        <w:rPr>
          <w:color w:val="auto"/>
          <w:highlight w:val="none"/>
        </w:rPr>
      </w:pPr>
      <w:r>
        <w:rPr>
          <w:rFonts w:hint="eastAsia"/>
          <w:color w:val="auto"/>
          <w:highlight w:val="none"/>
        </w:rPr>
        <w:t>见第四章内容。</w:t>
      </w:r>
    </w:p>
    <w:p>
      <w:pPr>
        <w:pStyle w:val="4"/>
        <w:rPr>
          <w:color w:val="auto"/>
          <w:highlight w:val="none"/>
        </w:rPr>
      </w:pPr>
      <w:r>
        <w:rPr>
          <w:rFonts w:hint="eastAsia"/>
          <w:color w:val="auto"/>
          <w:highlight w:val="none"/>
        </w:rPr>
        <w:t>7. 定</w:t>
      </w:r>
      <w:r>
        <w:rPr>
          <w:color w:val="auto"/>
          <w:highlight w:val="none"/>
        </w:rPr>
        <w:t>选</w:t>
      </w:r>
      <w:bookmarkEnd w:id="38"/>
    </w:p>
    <w:p>
      <w:pPr>
        <w:ind w:firstLine="480"/>
        <w:rPr>
          <w:color w:val="auto"/>
          <w:highlight w:val="none"/>
        </w:rPr>
      </w:pPr>
      <w:r>
        <w:rPr>
          <w:rFonts w:hint="eastAsia"/>
          <w:color w:val="auto"/>
          <w:highlight w:val="none"/>
        </w:rPr>
        <w:t>7.1 定选原则</w:t>
      </w:r>
    </w:p>
    <w:p>
      <w:pPr>
        <w:ind w:firstLine="480"/>
        <w:rPr>
          <w:color w:val="auto"/>
          <w:highlight w:val="none"/>
        </w:rPr>
      </w:pPr>
      <w:r>
        <w:rPr>
          <w:rFonts w:hint="eastAsia"/>
          <w:color w:val="auto"/>
          <w:highlight w:val="none"/>
        </w:rPr>
        <w:t>比选人按照评审报告中推荐的中选候选人排名顺序确定中选人，如中选人因不可抗力或者自身原因不能履行合同的，比选人可以确定依次其后的候选人为中选人，以此类推。</w:t>
      </w:r>
    </w:p>
    <w:p>
      <w:pPr>
        <w:ind w:firstLine="480"/>
        <w:rPr>
          <w:color w:val="auto"/>
          <w:highlight w:val="none"/>
        </w:rPr>
      </w:pPr>
      <w:r>
        <w:rPr>
          <w:rFonts w:hint="eastAsia"/>
          <w:color w:val="auto"/>
          <w:highlight w:val="none"/>
        </w:rPr>
        <w:t>7.2 不承诺最低价格中选。</w:t>
      </w:r>
    </w:p>
    <w:p>
      <w:pPr>
        <w:ind w:firstLine="480"/>
        <w:rPr>
          <w:color w:val="auto"/>
          <w:highlight w:val="none"/>
        </w:rPr>
      </w:pPr>
      <w:r>
        <w:rPr>
          <w:rFonts w:hint="eastAsia"/>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4"/>
        <w:rPr>
          <w:color w:val="auto"/>
          <w:highlight w:val="none"/>
        </w:rPr>
      </w:pPr>
      <w:bookmarkStart w:id="39" w:name="_Toc89675168"/>
      <w:bookmarkStart w:id="40" w:name="_Toc12245"/>
      <w:r>
        <w:rPr>
          <w:rFonts w:hint="eastAsia"/>
          <w:color w:val="auto"/>
          <w:highlight w:val="none"/>
        </w:rPr>
        <w:t>8. 签订合同</w:t>
      </w:r>
      <w:bookmarkEnd w:id="39"/>
      <w:bookmarkEnd w:id="40"/>
    </w:p>
    <w:p>
      <w:pPr>
        <w:ind w:firstLine="480"/>
        <w:rPr>
          <w:color w:val="auto"/>
          <w:highlight w:val="none"/>
        </w:rPr>
      </w:pPr>
      <w:r>
        <w:rPr>
          <w:rFonts w:hint="eastAsia"/>
          <w:color w:val="auto"/>
          <w:highlight w:val="none"/>
        </w:rPr>
        <w:t>8.1 比选人指定的使用单位将在自中选通知发出之日起15日内，依据比选文件和中选人参选文件的约定，按照比选人内部流程与中选人签订书面合同。所签订的合同不得对比选文件和中选人参选文件作实质性修改。</w:t>
      </w:r>
    </w:p>
    <w:p>
      <w:pPr>
        <w:ind w:firstLine="480"/>
        <w:rPr>
          <w:color w:val="auto"/>
          <w:highlight w:val="none"/>
        </w:rPr>
      </w:pPr>
      <w:r>
        <w:rPr>
          <w:rFonts w:hint="eastAsia"/>
          <w:color w:val="auto"/>
          <w:highlight w:val="none"/>
        </w:rPr>
        <w:t>8.2 比选文件、中选人的参选文件及澄清文件等，均为签订合同的依据。</w:t>
      </w:r>
    </w:p>
    <w:p>
      <w:pPr>
        <w:ind w:firstLine="480"/>
        <w:rPr>
          <w:color w:val="auto"/>
          <w:highlight w:val="none"/>
        </w:rPr>
      </w:pPr>
      <w:r>
        <w:rPr>
          <w:rFonts w:hint="eastAsia"/>
          <w:color w:val="auto"/>
          <w:highlight w:val="none"/>
        </w:rPr>
        <w:t>8.3 合同生效条款由供需双方约定，法律、行政法规规定应当办理批准、登记等手续后生效的合同，依照其规定。</w:t>
      </w:r>
    </w:p>
    <w:p>
      <w:pPr>
        <w:ind w:firstLine="480"/>
        <w:rPr>
          <w:color w:val="auto"/>
          <w:highlight w:val="none"/>
        </w:rPr>
      </w:pPr>
      <w:r>
        <w:rPr>
          <w:rFonts w:hint="eastAsia"/>
          <w:color w:val="auto"/>
          <w:highlight w:val="none"/>
        </w:rPr>
        <w:t>8.4 签订合同后，若中选人无法按要求履约，比选人可以废除中选人资格，并可选择按照中选候选人顺位与下一候选人签订合同。</w:t>
      </w:r>
    </w:p>
    <w:p>
      <w:pPr>
        <w:ind w:firstLine="480"/>
        <w:rPr>
          <w:color w:val="auto"/>
          <w:highlight w:val="none"/>
        </w:rPr>
      </w:pPr>
      <w:r>
        <w:rPr>
          <w:rFonts w:hint="eastAsia"/>
          <w:color w:val="auto"/>
          <w:highlight w:val="none"/>
        </w:rPr>
        <w:t>8.5 该项目不允许任何形式的转包。</w:t>
      </w:r>
    </w:p>
    <w:p>
      <w:pPr>
        <w:pStyle w:val="4"/>
        <w:rPr>
          <w:color w:val="auto"/>
          <w:highlight w:val="none"/>
        </w:rPr>
      </w:pPr>
      <w:r>
        <w:rPr>
          <w:rFonts w:hint="eastAsia"/>
          <w:color w:val="auto"/>
          <w:highlight w:val="none"/>
        </w:rPr>
        <w:t>9. 纪律与要求</w:t>
      </w:r>
    </w:p>
    <w:p>
      <w:pPr>
        <w:ind w:firstLine="48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pPr>
        <w:ind w:firstLine="480"/>
        <w:rPr>
          <w:color w:val="auto"/>
          <w:highlight w:val="none"/>
        </w:rPr>
      </w:pPr>
      <w:r>
        <w:rPr>
          <w:rFonts w:hint="eastAsia"/>
          <w:color w:val="auto"/>
          <w:highlight w:val="none"/>
        </w:rPr>
        <w:t>9.1 有下列情形之一的，属于参选人相互串通参选：</w:t>
      </w:r>
    </w:p>
    <w:p>
      <w:pPr>
        <w:ind w:firstLine="480"/>
        <w:rPr>
          <w:color w:val="auto"/>
          <w:highlight w:val="none"/>
        </w:rPr>
      </w:pPr>
      <w:r>
        <w:rPr>
          <w:rFonts w:hint="eastAsia"/>
          <w:color w:val="auto"/>
          <w:highlight w:val="none"/>
        </w:rPr>
        <w:t>9.1.1 参选人之间协商参选报价等参选文件的实质性内容；</w:t>
      </w:r>
    </w:p>
    <w:p>
      <w:pPr>
        <w:ind w:firstLine="480"/>
        <w:rPr>
          <w:color w:val="auto"/>
          <w:highlight w:val="none"/>
        </w:rPr>
      </w:pPr>
      <w:r>
        <w:rPr>
          <w:rFonts w:hint="eastAsia"/>
          <w:color w:val="auto"/>
          <w:highlight w:val="none"/>
        </w:rPr>
        <w:t>9.1.2 参选人之间约定中选人；</w:t>
      </w:r>
    </w:p>
    <w:p>
      <w:pPr>
        <w:ind w:firstLine="480"/>
        <w:rPr>
          <w:color w:val="auto"/>
          <w:highlight w:val="none"/>
        </w:rPr>
      </w:pPr>
      <w:r>
        <w:rPr>
          <w:rFonts w:hint="eastAsia"/>
          <w:color w:val="auto"/>
          <w:highlight w:val="none"/>
        </w:rPr>
        <w:t>9.1.3 参选人之间约定部分参选人放弃参选或者中选；</w:t>
      </w:r>
    </w:p>
    <w:p>
      <w:pPr>
        <w:ind w:firstLine="480"/>
        <w:rPr>
          <w:color w:val="auto"/>
          <w:highlight w:val="none"/>
        </w:rPr>
      </w:pPr>
      <w:r>
        <w:rPr>
          <w:rFonts w:hint="eastAsia"/>
          <w:color w:val="auto"/>
          <w:highlight w:val="none"/>
        </w:rPr>
        <w:t>9.1.4 属于同一集团、协会、商会等组织成员的参选人按照该组织要求协同参选；</w:t>
      </w:r>
    </w:p>
    <w:p>
      <w:pPr>
        <w:ind w:firstLine="480"/>
        <w:rPr>
          <w:color w:val="auto"/>
          <w:highlight w:val="none"/>
        </w:rPr>
      </w:pPr>
      <w:r>
        <w:rPr>
          <w:rFonts w:hint="eastAsia"/>
          <w:color w:val="auto"/>
          <w:highlight w:val="none"/>
        </w:rPr>
        <w:t>9.1.5 参选人之间为谋取中选或者排斥特定参选人而采取的其他联合行动。</w:t>
      </w:r>
    </w:p>
    <w:p>
      <w:pPr>
        <w:ind w:firstLine="480"/>
        <w:rPr>
          <w:color w:val="auto"/>
          <w:highlight w:val="none"/>
        </w:rPr>
      </w:pPr>
      <w:r>
        <w:rPr>
          <w:rFonts w:hint="eastAsia"/>
          <w:color w:val="auto"/>
          <w:highlight w:val="none"/>
        </w:rPr>
        <w:t>9.2 有下列情形之一的，视为参选人相互串通参选：</w:t>
      </w:r>
    </w:p>
    <w:p>
      <w:pPr>
        <w:ind w:firstLine="480"/>
        <w:rPr>
          <w:color w:val="auto"/>
          <w:highlight w:val="none"/>
        </w:rPr>
      </w:pPr>
      <w:r>
        <w:rPr>
          <w:rFonts w:hint="eastAsia"/>
          <w:color w:val="auto"/>
          <w:highlight w:val="none"/>
        </w:rPr>
        <w:t>9.2.1 不同参选人的参选文件由同一单位或者个人编制；</w:t>
      </w:r>
    </w:p>
    <w:p>
      <w:pPr>
        <w:ind w:firstLine="480"/>
        <w:rPr>
          <w:color w:val="auto"/>
          <w:highlight w:val="none"/>
        </w:rPr>
      </w:pPr>
      <w:r>
        <w:rPr>
          <w:rFonts w:hint="eastAsia"/>
          <w:color w:val="auto"/>
          <w:highlight w:val="none"/>
        </w:rPr>
        <w:t>9.2.2 不同参选人委托同一单位或者个人办理参选事宜；</w:t>
      </w:r>
    </w:p>
    <w:p>
      <w:pPr>
        <w:ind w:firstLine="480"/>
        <w:rPr>
          <w:color w:val="auto"/>
          <w:highlight w:val="none"/>
        </w:rPr>
      </w:pPr>
      <w:r>
        <w:rPr>
          <w:rFonts w:hint="eastAsia"/>
          <w:color w:val="auto"/>
          <w:highlight w:val="none"/>
        </w:rPr>
        <w:t>9.2.3 不同参选人的参选文件载明的项目管理成员为同一人；</w:t>
      </w:r>
    </w:p>
    <w:p>
      <w:pPr>
        <w:ind w:firstLine="480"/>
        <w:rPr>
          <w:color w:val="auto"/>
          <w:highlight w:val="none"/>
        </w:rPr>
      </w:pPr>
      <w:r>
        <w:rPr>
          <w:rFonts w:hint="eastAsia"/>
          <w:color w:val="auto"/>
          <w:highlight w:val="none"/>
        </w:rPr>
        <w:t>9.2.4 不同参选人的参选文件相互混装；</w:t>
      </w:r>
    </w:p>
    <w:p>
      <w:pPr>
        <w:ind w:firstLine="480"/>
        <w:rPr>
          <w:color w:val="auto"/>
          <w:highlight w:val="none"/>
        </w:rPr>
      </w:pPr>
      <w:r>
        <w:rPr>
          <w:rFonts w:hint="eastAsia"/>
          <w:color w:val="auto"/>
          <w:highlight w:val="none"/>
        </w:rPr>
        <w:t>9.2.5 不同参选人的参选保证金从同一单位或者个人的账户转出。</w:t>
      </w:r>
    </w:p>
    <w:p>
      <w:pPr>
        <w:ind w:firstLine="480"/>
        <w:rPr>
          <w:color w:val="auto"/>
          <w:highlight w:val="none"/>
        </w:rPr>
      </w:pPr>
      <w:r>
        <w:rPr>
          <w:rFonts w:hint="eastAsia"/>
          <w:color w:val="auto"/>
          <w:highlight w:val="none"/>
        </w:rPr>
        <w:t>9.3 使用通过受让或者租借等方式获取的资格、资质证书参选的，属于以他人名义参选。</w:t>
      </w:r>
    </w:p>
    <w:p>
      <w:pPr>
        <w:ind w:firstLine="480"/>
        <w:rPr>
          <w:color w:val="auto"/>
          <w:highlight w:val="none"/>
        </w:rPr>
      </w:pPr>
      <w:r>
        <w:rPr>
          <w:rFonts w:hint="eastAsia"/>
          <w:color w:val="auto"/>
          <w:highlight w:val="none"/>
        </w:rPr>
        <w:t>9.4 参选人有下列情形之一的，属于弄虚作假的行为：</w:t>
      </w:r>
    </w:p>
    <w:p>
      <w:pPr>
        <w:ind w:firstLine="480"/>
        <w:rPr>
          <w:color w:val="auto"/>
          <w:highlight w:val="none"/>
        </w:rPr>
      </w:pPr>
      <w:r>
        <w:rPr>
          <w:rFonts w:hint="eastAsia"/>
          <w:color w:val="auto"/>
          <w:highlight w:val="none"/>
        </w:rPr>
        <w:t>9.4.1 使用伪造、变造的许可证件；</w:t>
      </w:r>
    </w:p>
    <w:p>
      <w:pPr>
        <w:ind w:firstLine="480"/>
        <w:rPr>
          <w:color w:val="auto"/>
          <w:highlight w:val="none"/>
        </w:rPr>
      </w:pPr>
      <w:r>
        <w:rPr>
          <w:rFonts w:hint="eastAsia"/>
          <w:color w:val="auto"/>
          <w:highlight w:val="none"/>
        </w:rPr>
        <w:t>9.4.2 提供虚假的财务状况或者虚假业绩；</w:t>
      </w:r>
    </w:p>
    <w:p>
      <w:pPr>
        <w:ind w:firstLine="480"/>
        <w:rPr>
          <w:color w:val="auto"/>
          <w:highlight w:val="none"/>
        </w:rPr>
      </w:pPr>
      <w:r>
        <w:rPr>
          <w:rFonts w:hint="eastAsia"/>
          <w:color w:val="auto"/>
          <w:highlight w:val="none"/>
        </w:rPr>
        <w:t>9.4.3 提供虚假的项目负责人或者主要技术人员简历、劳动关系证明；</w:t>
      </w:r>
    </w:p>
    <w:p>
      <w:pPr>
        <w:ind w:firstLine="480"/>
        <w:rPr>
          <w:color w:val="auto"/>
          <w:highlight w:val="none"/>
        </w:rPr>
      </w:pPr>
      <w:r>
        <w:rPr>
          <w:rFonts w:hint="eastAsia"/>
          <w:color w:val="auto"/>
          <w:highlight w:val="none"/>
        </w:rPr>
        <w:t>9.4.4 提供虚假的信用状况；</w:t>
      </w:r>
    </w:p>
    <w:p>
      <w:pPr>
        <w:ind w:firstLine="480"/>
        <w:rPr>
          <w:color w:val="auto"/>
          <w:highlight w:val="none"/>
        </w:rPr>
      </w:pPr>
      <w:r>
        <w:rPr>
          <w:rFonts w:hint="eastAsia"/>
          <w:color w:val="auto"/>
          <w:highlight w:val="none"/>
        </w:rPr>
        <w:t>9.4.5 其它弄虚作假的行为。</w:t>
      </w:r>
    </w:p>
    <w:p>
      <w:pPr>
        <w:ind w:firstLine="480"/>
        <w:rPr>
          <w:color w:val="auto"/>
          <w:highlight w:val="none"/>
        </w:rPr>
      </w:pPr>
      <w:r>
        <w:rPr>
          <w:rFonts w:hint="eastAsia"/>
          <w:color w:val="auto"/>
          <w:highlight w:val="none"/>
        </w:rPr>
        <w:t>针对以上情况，比选人有权没收参选人的参选保证金，并保留进一步追究由此带来损失的权利。</w:t>
      </w:r>
    </w:p>
    <w:p>
      <w:pPr>
        <w:pStyle w:val="4"/>
        <w:rPr>
          <w:color w:val="auto"/>
          <w:highlight w:val="none"/>
        </w:rPr>
      </w:pPr>
      <w:bookmarkStart w:id="41" w:name="_Toc89675169"/>
      <w:r>
        <w:rPr>
          <w:rFonts w:hint="eastAsia"/>
          <w:color w:val="auto"/>
          <w:highlight w:val="none"/>
        </w:rPr>
        <w:t>10. 提问、质疑、投诉</w:t>
      </w:r>
    </w:p>
    <w:p>
      <w:pPr>
        <w:ind w:firstLine="480"/>
        <w:rPr>
          <w:color w:val="auto"/>
          <w:highlight w:val="none"/>
        </w:rPr>
      </w:pPr>
      <w:r>
        <w:rPr>
          <w:rFonts w:hint="eastAsia"/>
          <w:color w:val="auto"/>
          <w:highlight w:val="none"/>
        </w:rPr>
        <w:t>10.1 补遗内容可能影响参选文件编制的，须在比选截止时间3日前发布，发布时间至比选截止时间不足3日的，须相应延后比选截止时间。</w:t>
      </w:r>
    </w:p>
    <w:p>
      <w:pPr>
        <w:ind w:firstLine="480"/>
        <w:rPr>
          <w:color w:val="auto"/>
          <w:highlight w:val="none"/>
        </w:rPr>
      </w:pPr>
      <w:r>
        <w:rPr>
          <w:rFonts w:hint="eastAsia"/>
          <w:color w:val="auto"/>
          <w:highlight w:val="none"/>
        </w:rPr>
        <w:t>10.2 参选人对比选文件和答疑补遗有质疑的，应当在比选截止时间3日前，以书面形式通知比选人。比选人将答复内容以补遗的形式发布。</w:t>
      </w:r>
    </w:p>
    <w:p>
      <w:pPr>
        <w:ind w:firstLine="480"/>
        <w:rPr>
          <w:color w:val="auto"/>
          <w:highlight w:val="none"/>
        </w:rPr>
      </w:pPr>
      <w:r>
        <w:rPr>
          <w:rFonts w:hint="eastAsia"/>
          <w:color w:val="auto"/>
          <w:highlight w:val="none"/>
        </w:rPr>
        <w:t>10.3 参选人对公示的中选结果有质疑，参选人需在公示期内以书面形式向比选人提出质疑。本行在公示截止日期前负责书面答复。</w:t>
      </w:r>
    </w:p>
    <w:p>
      <w:pPr>
        <w:ind w:firstLine="480"/>
        <w:rPr>
          <w:color w:val="auto"/>
          <w:highlight w:val="none"/>
        </w:rPr>
      </w:pPr>
      <w:r>
        <w:rPr>
          <w:rFonts w:hint="eastAsia"/>
          <w:color w:val="auto"/>
          <w:highlight w:val="none"/>
        </w:rPr>
        <w:t>10.4 参选人对比选人的答复不满意或者有质疑，可向本行纪检监察部投诉。</w:t>
      </w:r>
    </w:p>
    <w:p>
      <w:pPr>
        <w:ind w:firstLine="480"/>
        <w:rPr>
          <w:color w:val="auto"/>
          <w:highlight w:val="none"/>
        </w:rPr>
      </w:pPr>
      <w:r>
        <w:rPr>
          <w:rFonts w:hint="eastAsia"/>
          <w:color w:val="auto"/>
          <w:highlight w:val="none"/>
        </w:rPr>
        <w:t>采购质疑邮箱：</w:t>
      </w:r>
      <w:r>
        <w:rPr>
          <w:color w:val="auto"/>
          <w:highlight w:val="none"/>
        </w:rPr>
        <w:t>sx.jcb@ccqtgb.com</w:t>
      </w:r>
    </w:p>
    <w:p>
      <w:pPr>
        <w:ind w:firstLine="480"/>
        <w:rPr>
          <w:color w:val="auto"/>
          <w:highlight w:val="none"/>
        </w:rPr>
      </w:pPr>
      <w:r>
        <w:rPr>
          <w:rFonts w:hint="eastAsia"/>
          <w:color w:val="auto"/>
          <w:highlight w:val="none"/>
        </w:rPr>
        <w:t>采购投诉邮箱：</w:t>
      </w:r>
      <w:bookmarkStart w:id="42" w:name="_Hlk74215856"/>
      <w:r>
        <w:rPr>
          <w:rFonts w:hint="eastAsia" w:ascii="宋体"/>
          <w:snapToGrid w:val="0"/>
          <w:color w:val="auto"/>
          <w:kern w:val="0"/>
          <w:szCs w:val="24"/>
          <w:highlight w:val="none"/>
        </w:rPr>
        <w:t>sxyhjjz@</w:t>
      </w:r>
      <w:r>
        <w:rPr>
          <w:rFonts w:ascii="宋体"/>
          <w:snapToGrid w:val="0"/>
          <w:color w:val="auto"/>
          <w:kern w:val="0"/>
          <w:szCs w:val="24"/>
          <w:highlight w:val="none"/>
        </w:rPr>
        <w:t>ccqtgb</w:t>
      </w:r>
      <w:r>
        <w:rPr>
          <w:rFonts w:hint="eastAsia" w:ascii="宋体"/>
          <w:snapToGrid w:val="0"/>
          <w:color w:val="auto"/>
          <w:kern w:val="0"/>
          <w:szCs w:val="24"/>
          <w:highlight w:val="none"/>
        </w:rPr>
        <w:t>.com</w:t>
      </w:r>
      <w:bookmarkEnd w:id="42"/>
    </w:p>
    <w:p>
      <w:pPr>
        <w:pStyle w:val="4"/>
        <w:rPr>
          <w:color w:val="auto"/>
          <w:highlight w:val="none"/>
        </w:rPr>
      </w:pPr>
      <w:bookmarkStart w:id="43" w:name="_Toc440628924"/>
      <w:bookmarkStart w:id="44" w:name="_Toc15059431"/>
      <w:bookmarkStart w:id="45" w:name="_Toc275199618"/>
      <w:bookmarkStart w:id="46" w:name="_Toc89675157"/>
      <w:bookmarkStart w:id="47" w:name="_Toc11439"/>
      <w:r>
        <w:rPr>
          <w:rFonts w:hint="eastAsia"/>
          <w:color w:val="auto"/>
          <w:highlight w:val="none"/>
        </w:rPr>
        <w:t>11. 无效参选条款</w:t>
      </w:r>
      <w:bookmarkEnd w:id="43"/>
      <w:bookmarkEnd w:id="44"/>
      <w:bookmarkEnd w:id="45"/>
      <w:bookmarkEnd w:id="46"/>
      <w:bookmarkEnd w:id="47"/>
    </w:p>
    <w:p>
      <w:pPr>
        <w:ind w:firstLine="480"/>
        <w:rPr>
          <w:color w:val="auto"/>
          <w:highlight w:val="none"/>
        </w:rPr>
      </w:pPr>
      <w:r>
        <w:rPr>
          <w:rFonts w:hint="eastAsia"/>
          <w:color w:val="auto"/>
          <w:highlight w:val="none"/>
        </w:rPr>
        <w:t>参选人或其参选文件出现下列情况之一者，应为无效参选：</w:t>
      </w:r>
    </w:p>
    <w:p>
      <w:pPr>
        <w:ind w:firstLine="480"/>
        <w:rPr>
          <w:color w:val="auto"/>
          <w:highlight w:val="none"/>
        </w:rPr>
      </w:pPr>
      <w:r>
        <w:rPr>
          <w:rFonts w:hint="eastAsia"/>
          <w:color w:val="auto"/>
          <w:highlight w:val="none"/>
        </w:rPr>
        <w:t xml:space="preserve">11.1 </w:t>
      </w:r>
      <w:r>
        <w:rPr>
          <w:color w:val="auto"/>
          <w:highlight w:val="none"/>
        </w:rPr>
        <w:t>参选人未按比选文件规定提交足额参选保证金的</w:t>
      </w:r>
      <w:r>
        <w:rPr>
          <w:rFonts w:hint="eastAsia"/>
          <w:color w:val="auto"/>
          <w:highlight w:val="none"/>
        </w:rPr>
        <w:t>。</w:t>
      </w:r>
    </w:p>
    <w:p>
      <w:pPr>
        <w:ind w:firstLine="480"/>
        <w:rPr>
          <w:color w:val="auto"/>
          <w:highlight w:val="none"/>
        </w:rPr>
      </w:pPr>
      <w:r>
        <w:rPr>
          <w:rFonts w:hint="eastAsia"/>
          <w:color w:val="auto"/>
          <w:highlight w:val="none"/>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pPr>
        <w:ind w:firstLine="480"/>
        <w:rPr>
          <w:color w:val="auto"/>
          <w:highlight w:val="none"/>
        </w:rPr>
      </w:pPr>
      <w:r>
        <w:rPr>
          <w:rFonts w:hint="eastAsia"/>
          <w:color w:val="auto"/>
          <w:highlight w:val="none"/>
        </w:rPr>
        <w:t>11.3 参选人超出其营业执照或事业单位法人证书上经营范围（业务范围）参选的。</w:t>
      </w:r>
    </w:p>
    <w:p>
      <w:pPr>
        <w:ind w:firstLine="480"/>
        <w:rPr>
          <w:color w:val="auto"/>
          <w:highlight w:val="none"/>
        </w:rPr>
      </w:pPr>
      <w:r>
        <w:rPr>
          <w:rFonts w:hint="eastAsia"/>
          <w:color w:val="auto"/>
          <w:highlight w:val="none"/>
        </w:rPr>
        <w:t>11.4 单位负责人为同一人或者存在直接控股、管理关系的不同参选人，不得参加同一合同项下的采购活动。</w:t>
      </w:r>
    </w:p>
    <w:p>
      <w:pPr>
        <w:ind w:firstLine="480"/>
        <w:rPr>
          <w:color w:val="auto"/>
          <w:highlight w:val="none"/>
        </w:rPr>
      </w:pPr>
      <w:r>
        <w:rPr>
          <w:rFonts w:hint="eastAsia"/>
          <w:color w:val="auto"/>
          <w:highlight w:val="none"/>
        </w:rPr>
        <w:t xml:space="preserve">11.5 </w:t>
      </w:r>
      <w:r>
        <w:rPr>
          <w:color w:val="auto"/>
          <w:highlight w:val="none"/>
        </w:rPr>
        <w:t>同一分包的软件，制造商参与参选，再委托代理商参与参选的</w:t>
      </w:r>
      <w:r>
        <w:rPr>
          <w:rFonts w:hint="eastAsia"/>
          <w:color w:val="auto"/>
          <w:highlight w:val="none"/>
        </w:rPr>
        <w:t>。</w:t>
      </w:r>
    </w:p>
    <w:p>
      <w:pPr>
        <w:ind w:firstLine="480"/>
        <w:rPr>
          <w:color w:val="auto"/>
          <w:highlight w:val="none"/>
        </w:rPr>
      </w:pPr>
      <w:r>
        <w:rPr>
          <w:rFonts w:hint="eastAsia"/>
          <w:color w:val="auto"/>
          <w:highlight w:val="none"/>
        </w:rPr>
        <w:t xml:space="preserve">11.6 </w:t>
      </w:r>
      <w:r>
        <w:rPr>
          <w:color w:val="auto"/>
          <w:highlight w:val="none"/>
        </w:rPr>
        <w:t>参选文件不满足比选文件第</w:t>
      </w:r>
      <w:r>
        <w:rPr>
          <w:rFonts w:hint="eastAsia"/>
          <w:color w:val="auto"/>
          <w:highlight w:val="none"/>
          <w:lang w:val="en-US" w:eastAsia="zh-CN"/>
        </w:rPr>
        <w:t>五</w:t>
      </w:r>
      <w:r>
        <w:rPr>
          <w:color w:val="auto"/>
          <w:highlight w:val="none"/>
        </w:rPr>
        <w:t>章参选文件格式中所规定签字、盖章的</w:t>
      </w:r>
      <w:r>
        <w:rPr>
          <w:rFonts w:hint="eastAsia"/>
          <w:color w:val="auto"/>
          <w:highlight w:val="none"/>
        </w:rPr>
        <w:t>。</w:t>
      </w:r>
    </w:p>
    <w:p>
      <w:pPr>
        <w:ind w:firstLine="480"/>
        <w:rPr>
          <w:color w:val="auto"/>
          <w:highlight w:val="none"/>
        </w:rPr>
      </w:pPr>
      <w:r>
        <w:rPr>
          <w:rFonts w:hint="eastAsia"/>
          <w:color w:val="auto"/>
          <w:highlight w:val="none"/>
        </w:rPr>
        <w:t xml:space="preserve">11.7 </w:t>
      </w:r>
      <w:r>
        <w:rPr>
          <w:color w:val="auto"/>
          <w:highlight w:val="none"/>
        </w:rPr>
        <w:t>参选文件出现多个参选方案或参选报价的</w:t>
      </w:r>
      <w:r>
        <w:rPr>
          <w:rFonts w:hint="eastAsia"/>
          <w:color w:val="auto"/>
          <w:highlight w:val="none"/>
        </w:rPr>
        <w:t>。</w:t>
      </w:r>
    </w:p>
    <w:p>
      <w:pPr>
        <w:ind w:firstLine="480"/>
        <w:rPr>
          <w:color w:val="auto"/>
          <w:highlight w:val="none"/>
        </w:rPr>
      </w:pPr>
      <w:r>
        <w:rPr>
          <w:rFonts w:hint="eastAsia"/>
          <w:color w:val="auto"/>
          <w:highlight w:val="none"/>
        </w:rPr>
        <w:t xml:space="preserve">11.8 </w:t>
      </w:r>
      <w:r>
        <w:rPr>
          <w:color w:val="auto"/>
          <w:highlight w:val="none"/>
        </w:rPr>
        <w:t>参选报价超出最高限价的</w:t>
      </w:r>
      <w:r>
        <w:rPr>
          <w:rFonts w:hint="eastAsia"/>
          <w:color w:val="auto"/>
          <w:highlight w:val="none"/>
        </w:rPr>
        <w:t>。</w:t>
      </w:r>
    </w:p>
    <w:p>
      <w:pPr>
        <w:ind w:firstLine="480"/>
        <w:rPr>
          <w:color w:val="auto"/>
          <w:highlight w:val="none"/>
        </w:rPr>
      </w:pPr>
      <w:r>
        <w:rPr>
          <w:rFonts w:hint="eastAsia"/>
          <w:color w:val="auto"/>
          <w:highlight w:val="none"/>
        </w:rPr>
        <w:t xml:space="preserve">11.9 </w:t>
      </w:r>
      <w:r>
        <w:rPr>
          <w:color w:val="auto"/>
          <w:highlight w:val="none"/>
        </w:rPr>
        <w:t>参选文件含有违反国家法律、法规的内容，或附有比选人不能接受的条件的。</w:t>
      </w:r>
    </w:p>
    <w:p>
      <w:pPr>
        <w:ind w:firstLine="480"/>
        <w:rPr>
          <w:color w:val="auto"/>
          <w:highlight w:val="none"/>
        </w:rPr>
      </w:pPr>
      <w:r>
        <w:rPr>
          <w:rFonts w:hint="eastAsia"/>
          <w:color w:val="auto"/>
          <w:highlight w:val="none"/>
        </w:rPr>
        <w:t>11.10 出现影响比选公正的违法、违规行为的。</w:t>
      </w:r>
    </w:p>
    <w:p>
      <w:pPr>
        <w:ind w:firstLine="480"/>
        <w:rPr>
          <w:color w:val="auto"/>
          <w:highlight w:val="none"/>
        </w:rPr>
      </w:pPr>
      <w:r>
        <w:rPr>
          <w:rFonts w:hint="eastAsia"/>
          <w:color w:val="auto"/>
          <w:highlight w:val="none"/>
        </w:rPr>
        <w:t>11.11 与比选人、评审专家、其他参选人恶意串通。</w:t>
      </w:r>
    </w:p>
    <w:p>
      <w:pPr>
        <w:ind w:firstLine="480"/>
        <w:rPr>
          <w:color w:val="auto"/>
          <w:highlight w:val="none"/>
        </w:rPr>
      </w:pPr>
      <w:r>
        <w:rPr>
          <w:rFonts w:hint="eastAsia"/>
          <w:color w:val="auto"/>
          <w:highlight w:val="none"/>
        </w:rPr>
        <w:t>11.12 参选法人发生合并、分立、破产等重大变化后，不再具备比选要求的资格条件的。</w:t>
      </w:r>
    </w:p>
    <w:p>
      <w:pPr>
        <w:ind w:firstLine="480"/>
        <w:rPr>
          <w:color w:val="auto"/>
          <w:highlight w:val="none"/>
        </w:rPr>
      </w:pPr>
      <w:r>
        <w:rPr>
          <w:rFonts w:hint="eastAsia"/>
          <w:color w:val="auto"/>
          <w:highlight w:val="none"/>
        </w:rPr>
        <w:t>11.13 提供虚假材料谋取中选资格的。</w:t>
      </w:r>
    </w:p>
    <w:p>
      <w:pPr>
        <w:ind w:firstLine="480"/>
        <w:rPr>
          <w:color w:val="auto"/>
          <w:highlight w:val="none"/>
        </w:rPr>
      </w:pPr>
      <w:r>
        <w:rPr>
          <w:rFonts w:hint="eastAsia"/>
          <w:color w:val="auto"/>
          <w:highlight w:val="none"/>
        </w:rPr>
        <w:t>11.14 参选文件含有比选人不能接受的附件条件的。</w:t>
      </w:r>
    </w:p>
    <w:p>
      <w:pPr>
        <w:pStyle w:val="4"/>
        <w:rPr>
          <w:color w:val="auto"/>
          <w:highlight w:val="none"/>
        </w:rPr>
      </w:pPr>
      <w:r>
        <w:rPr>
          <w:rFonts w:hint="eastAsia"/>
          <w:color w:val="auto"/>
          <w:highlight w:val="none"/>
        </w:rPr>
        <w:t>12. 比选失败情形</w:t>
      </w:r>
    </w:p>
    <w:p>
      <w:pPr>
        <w:snapToGrid w:val="0"/>
        <w:ind w:firstLine="480"/>
        <w:rPr>
          <w:color w:val="auto"/>
          <w:highlight w:val="none"/>
        </w:rPr>
      </w:pPr>
      <w:r>
        <w:rPr>
          <w:rFonts w:hint="eastAsia"/>
          <w:color w:val="auto"/>
          <w:highlight w:val="none"/>
        </w:rPr>
        <w:t>出现以下情形本次比选失败：</w:t>
      </w:r>
    </w:p>
    <w:p>
      <w:pPr>
        <w:snapToGrid w:val="0"/>
        <w:ind w:firstLine="480"/>
        <w:rPr>
          <w:color w:val="auto"/>
          <w:highlight w:val="none"/>
        </w:rPr>
      </w:pPr>
      <w:r>
        <w:rPr>
          <w:rFonts w:hint="eastAsia"/>
          <w:color w:val="auto"/>
          <w:highlight w:val="none"/>
        </w:rPr>
        <w:t>12.1 比选截止时间止，参选人少于2个的。</w:t>
      </w:r>
    </w:p>
    <w:p>
      <w:pPr>
        <w:ind w:firstLine="480"/>
        <w:rPr>
          <w:color w:val="auto"/>
          <w:highlight w:val="none"/>
        </w:rPr>
      </w:pPr>
      <w:r>
        <w:rPr>
          <w:rFonts w:hint="eastAsia"/>
          <w:color w:val="auto"/>
          <w:highlight w:val="none"/>
        </w:rPr>
        <w:t>12.2 经评审委员会评审后否决所有参选的。</w:t>
      </w:r>
    </w:p>
    <w:p>
      <w:pPr>
        <w:pStyle w:val="4"/>
        <w:rPr>
          <w:color w:val="auto"/>
          <w:highlight w:val="none"/>
        </w:rPr>
      </w:pPr>
      <w:r>
        <w:rPr>
          <w:rFonts w:hint="eastAsia"/>
          <w:color w:val="auto"/>
          <w:highlight w:val="none"/>
        </w:rPr>
        <w:t>13. 终止</w:t>
      </w:r>
      <w:r>
        <w:rPr>
          <w:color w:val="auto"/>
          <w:highlight w:val="none"/>
        </w:rPr>
        <w:t>比选</w:t>
      </w:r>
      <w:bookmarkEnd w:id="41"/>
    </w:p>
    <w:p>
      <w:pPr>
        <w:ind w:firstLine="480"/>
        <w:rPr>
          <w:color w:val="auto"/>
          <w:highlight w:val="none"/>
        </w:rPr>
      </w:pPr>
      <w:r>
        <w:rPr>
          <w:rFonts w:hint="eastAsia"/>
          <w:color w:val="auto"/>
          <w:highlight w:val="none"/>
        </w:rPr>
        <w:t>13.1 因情况发生变化或其他原因造成该项目取消的，本次比选自动终止，双方互不承担责任，比选人无息退还参选保证金。</w:t>
      </w:r>
    </w:p>
    <w:p>
      <w:pPr>
        <w:ind w:firstLine="480"/>
        <w:rPr>
          <w:color w:val="auto"/>
          <w:highlight w:val="none"/>
        </w:rPr>
      </w:pPr>
      <w:r>
        <w:rPr>
          <w:rFonts w:hint="eastAsia"/>
          <w:color w:val="auto"/>
          <w:highlight w:val="none"/>
        </w:rPr>
        <w:t>13.2 签订合同之前，比选人发现中选候选人经营、财务状况发生较大变化或存在违法行为，比选人认为可能影响其履约能力的，比选人可废除中选人或中选候选人资格。</w:t>
      </w:r>
    </w:p>
    <w:p>
      <w:pPr>
        <w:pStyle w:val="4"/>
        <w:rPr>
          <w:color w:val="auto"/>
          <w:highlight w:val="none"/>
        </w:rPr>
      </w:pPr>
      <w:r>
        <w:rPr>
          <w:rFonts w:hint="eastAsia"/>
          <w:color w:val="auto"/>
          <w:highlight w:val="none"/>
        </w:rPr>
        <w:t xml:space="preserve">14. </w:t>
      </w:r>
      <w:r>
        <w:rPr>
          <w:color w:val="auto"/>
          <w:highlight w:val="none"/>
        </w:rPr>
        <w:t>参选</w:t>
      </w:r>
      <w:r>
        <w:rPr>
          <w:rFonts w:hint="eastAsia"/>
          <w:color w:val="auto"/>
          <w:highlight w:val="none"/>
        </w:rPr>
        <w:t>费用</w:t>
      </w:r>
    </w:p>
    <w:p>
      <w:pPr>
        <w:ind w:firstLine="480"/>
        <w:rPr>
          <w:color w:val="auto"/>
          <w:highlight w:val="none"/>
        </w:rPr>
      </w:pPr>
      <w:r>
        <w:rPr>
          <w:rFonts w:hint="eastAsia"/>
          <w:color w:val="auto"/>
          <w:highlight w:val="none"/>
        </w:rPr>
        <w:t>参选人参与本比选项目时，一切与参选有关的费用均由参选人自理。</w:t>
      </w:r>
    </w:p>
    <w:p>
      <w:pPr>
        <w:ind w:firstLine="480"/>
        <w:rPr>
          <w:color w:val="auto"/>
          <w:highlight w:val="none"/>
        </w:rPr>
      </w:pPr>
      <w:r>
        <w:rPr>
          <w:rFonts w:hint="eastAsia"/>
          <w:color w:val="auto"/>
          <w:highlight w:val="none"/>
        </w:rPr>
        <w:t>本项目平台服务费为</w:t>
      </w:r>
      <w:r>
        <w:rPr>
          <w:rFonts w:hint="eastAsia"/>
          <w:color w:val="auto"/>
          <w:highlight w:val="none"/>
          <w:u w:val="single"/>
          <w:lang w:val="en-US" w:eastAsia="zh-CN"/>
        </w:rPr>
        <w:t>8000</w:t>
      </w:r>
      <w:r>
        <w:rPr>
          <w:rFonts w:hint="eastAsia"/>
          <w:color w:val="auto"/>
          <w:highlight w:val="none"/>
        </w:rPr>
        <w:t>元，由中选人向重庆联合产权交易所集团股份有限公司支付。中选人应在领取中选通知书时一次性缴纳，请各参选人综合考虑进行报价。</w:t>
      </w:r>
    </w:p>
    <w:p>
      <w:pPr>
        <w:widowControl/>
        <w:ind w:firstLine="480"/>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pPr>
        <w:pStyle w:val="3"/>
        <w:rPr>
          <w:color w:val="auto"/>
          <w:highlight w:val="none"/>
        </w:rPr>
      </w:pPr>
      <w:bookmarkStart w:id="48" w:name="_Toc11825"/>
      <w:bookmarkStart w:id="49" w:name="_Toc477269443"/>
      <w:r>
        <w:rPr>
          <w:rFonts w:hint="eastAsia"/>
          <w:color w:val="auto"/>
          <w:highlight w:val="none"/>
        </w:rPr>
        <w:t>第三章 项目要求</w:t>
      </w:r>
      <w:bookmarkEnd w:id="48"/>
      <w:bookmarkEnd w:id="49"/>
    </w:p>
    <w:p>
      <w:pPr>
        <w:pStyle w:val="4"/>
        <w:numPr>
          <w:ilvl w:val="0"/>
          <w:numId w:val="1"/>
        </w:numPr>
        <w:rPr>
          <w:color w:val="auto"/>
          <w:highlight w:val="none"/>
        </w:rPr>
      </w:pPr>
      <w:r>
        <w:rPr>
          <w:rFonts w:hint="eastAsia"/>
          <w:color w:val="auto"/>
          <w:highlight w:val="none"/>
        </w:rPr>
        <w:t>总体要求</w:t>
      </w:r>
    </w:p>
    <w:p>
      <w:pPr>
        <w:numPr>
          <w:ilvl w:val="255"/>
          <w:numId w:val="0"/>
        </w:numPr>
        <w:autoSpaceDE/>
        <w:autoSpaceDN/>
        <w:ind w:firstLine="480"/>
        <w:rPr>
          <w:color w:val="auto"/>
          <w:highlight w:val="none"/>
        </w:rPr>
      </w:pPr>
      <w:r>
        <w:rPr>
          <w:rFonts w:hint="eastAsia"/>
          <w:color w:val="auto"/>
          <w:highlight w:val="none"/>
        </w:rPr>
        <w:t>一是根据重庆市数据安全风险评估要求，对</w:t>
      </w:r>
      <w:r>
        <w:rPr>
          <w:rFonts w:hint="eastAsia"/>
          <w:color w:val="auto"/>
          <w:highlight w:val="none"/>
          <w:lang w:val="en-US" w:eastAsia="zh-CN"/>
        </w:rPr>
        <w:t>核心数据与重要数据</w:t>
      </w:r>
      <w:r>
        <w:rPr>
          <w:rFonts w:hint="eastAsia"/>
          <w:color w:val="auto"/>
          <w:highlight w:val="none"/>
        </w:rPr>
        <w:t>进行综合分析，发现潜在的安全风险和漏洞，以便及时采取措施加以防范；二是通过数据安全评估，发现我行短板，同时对标评估标准进行数据安全能力提升；三是开展数据安全培训，提升全行数据安全意识。</w:t>
      </w:r>
    </w:p>
    <w:p>
      <w:pPr>
        <w:pStyle w:val="4"/>
        <w:numPr>
          <w:ilvl w:val="0"/>
          <w:numId w:val="1"/>
        </w:numPr>
        <w:rPr>
          <w:color w:val="auto"/>
          <w:highlight w:val="none"/>
        </w:rPr>
      </w:pPr>
      <w:r>
        <w:rPr>
          <w:rFonts w:hint="eastAsia"/>
          <w:color w:val="auto"/>
          <w:highlight w:val="none"/>
        </w:rPr>
        <w:t>详细要求</w:t>
      </w:r>
    </w:p>
    <w:p>
      <w:pPr>
        <w:numPr>
          <w:ilvl w:val="255"/>
          <w:numId w:val="0"/>
        </w:numPr>
        <w:ind w:firstLine="480"/>
        <w:outlineLvl w:val="2"/>
        <w:rPr>
          <w:color w:val="auto"/>
          <w:highlight w:val="none"/>
        </w:rPr>
      </w:pPr>
      <w:r>
        <w:rPr>
          <w:rFonts w:hint="eastAsia"/>
          <w:color w:val="auto"/>
          <w:highlight w:val="none"/>
        </w:rPr>
        <w:t>2.1数据安全风险评估</w:t>
      </w:r>
    </w:p>
    <w:p>
      <w:pPr>
        <w:numPr>
          <w:ilvl w:val="255"/>
          <w:numId w:val="0"/>
        </w:numPr>
        <w:ind w:firstLine="480"/>
        <w:rPr>
          <w:color w:val="auto"/>
          <w:highlight w:val="none"/>
        </w:rPr>
      </w:pPr>
      <w:r>
        <w:rPr>
          <w:rFonts w:hint="eastAsia"/>
          <w:color w:val="auto"/>
          <w:highlight w:val="none"/>
        </w:rPr>
        <w:t>本项目数据安全风险评估内容须与国家及重庆市要求的数据安全风险评估规范等相关标准要求一致。</w:t>
      </w:r>
      <w:r>
        <w:rPr>
          <w:rFonts w:hint="eastAsia"/>
          <w:color w:val="auto"/>
          <w:highlight w:val="none"/>
          <w:lang w:eastAsia="zh-CN"/>
        </w:rPr>
        <w:t>参选人</w:t>
      </w:r>
      <w:r>
        <w:rPr>
          <w:rFonts w:hint="eastAsia"/>
          <w:color w:val="auto"/>
          <w:highlight w:val="none"/>
        </w:rPr>
        <w:t>评估人员应依据评估目的和评估内容，选取、实施特定评估操作的方式方法。为顺利达成评估目标,</w:t>
      </w:r>
      <w:r>
        <w:rPr>
          <w:rFonts w:hint="eastAsia"/>
          <w:color w:val="auto"/>
          <w:highlight w:val="none"/>
          <w:lang w:eastAsia="zh-CN"/>
        </w:rPr>
        <w:t>参选</w:t>
      </w:r>
      <w:r>
        <w:rPr>
          <w:rFonts w:hint="eastAsia"/>
          <w:color w:val="auto"/>
          <w:highlight w:val="none"/>
        </w:rPr>
        <w:t>人应具有丰富的数据安全风险评估经验，为整改完善工作提供技术支撑。数据安全风险评估包括但不限于以下内容:</w:t>
      </w:r>
    </w:p>
    <w:p>
      <w:pPr>
        <w:numPr>
          <w:ilvl w:val="0"/>
          <w:numId w:val="2"/>
        </w:numPr>
        <w:ind w:firstLine="480"/>
        <w:rPr>
          <w:color w:val="auto"/>
          <w:highlight w:val="none"/>
        </w:rPr>
      </w:pPr>
      <w:r>
        <w:rPr>
          <w:rFonts w:hint="eastAsia"/>
          <w:color w:val="auto"/>
          <w:highlight w:val="none"/>
        </w:rPr>
        <w:t>数据安全管理:针对数据安全管理制度、安全组织机构、分类分级管理、合作外包管理、安全威胁和应急管理、开发运维管理、云数据安全等方面识别数据安全管理风险；</w:t>
      </w:r>
    </w:p>
    <w:p>
      <w:pPr>
        <w:numPr>
          <w:ilvl w:val="255"/>
          <w:numId w:val="0"/>
        </w:numPr>
        <w:ind w:firstLine="480"/>
        <w:rPr>
          <w:color w:val="auto"/>
          <w:highlight w:val="none"/>
        </w:rPr>
      </w:pPr>
      <w:r>
        <w:rPr>
          <w:rFonts w:hint="eastAsia"/>
          <w:color w:val="auto"/>
          <w:highlight w:val="none"/>
        </w:rPr>
        <w:t>(2)数据处理活动安全:开展数据收集安全风险识别、数据存储安全风险识别、 数据传输安全风险识别、数据使用和加工安全风险识别、数据提供安全风险识别、数据公开安全风险识别、数据删除安全风险识别、其他数据处理活动安全风险识别。</w:t>
      </w:r>
    </w:p>
    <w:p>
      <w:pPr>
        <w:numPr>
          <w:ilvl w:val="255"/>
          <w:numId w:val="0"/>
        </w:numPr>
        <w:ind w:firstLine="480"/>
        <w:rPr>
          <w:color w:val="auto"/>
          <w:highlight w:val="none"/>
        </w:rPr>
      </w:pPr>
      <w:r>
        <w:rPr>
          <w:rFonts w:hint="eastAsia"/>
          <w:color w:val="auto"/>
          <w:highlight w:val="none"/>
        </w:rPr>
        <w:t>(3)数据安全技术:针对网络安全防护、身份鉴别与访问控制、检测预警、数据脱敏、数据防泄漏、数据接口安全、数据备份与恢复、安全审计等方面识别数据安全技术风险等。</w:t>
      </w:r>
    </w:p>
    <w:p>
      <w:pPr>
        <w:numPr>
          <w:ilvl w:val="255"/>
          <w:numId w:val="0"/>
        </w:numPr>
        <w:ind w:firstLine="480"/>
        <w:rPr>
          <w:rFonts w:hint="eastAsia"/>
          <w:color w:val="auto"/>
          <w:highlight w:val="none"/>
        </w:rPr>
      </w:pPr>
      <w:r>
        <w:rPr>
          <w:rFonts w:hint="eastAsia"/>
          <w:color w:val="auto"/>
          <w:highlight w:val="none"/>
        </w:rPr>
        <w:t>(4)个人信息保护:如被评估范围涉及个人信息处理，还应从个人信息处理基本原则、个人信息告知同意、个人信息处理、敏感个人信息处理、个人信息主体权利、个人信息安全义务、个人信息投诉举报、大型网络平台个人信息保护等方面识别个人信息保护风险。</w:t>
      </w:r>
    </w:p>
    <w:p>
      <w:pPr>
        <w:autoSpaceDE/>
        <w:autoSpaceDN/>
        <w:ind w:firstLine="480"/>
        <w:rPr>
          <w:rFonts w:hint="eastAsia" w:eastAsia="宋体"/>
          <w:color w:val="auto"/>
          <w:highlight w:val="none"/>
          <w:lang w:val="en-US" w:eastAsia="zh-CN"/>
        </w:rPr>
      </w:pPr>
      <w:r>
        <w:rPr>
          <w:rFonts w:hint="eastAsia"/>
          <w:color w:val="auto"/>
          <w:highlight w:val="none"/>
        </w:rPr>
        <w:t>数据安全风险</w:t>
      </w:r>
      <w:r>
        <w:rPr>
          <w:rFonts w:hint="eastAsia"/>
          <w:color w:val="auto"/>
          <w:highlight w:val="none"/>
          <w:lang w:val="en-US" w:eastAsia="zh-CN"/>
        </w:rPr>
        <w:t>评估开展前需提供评估方法与评估内容，方法与内容的参考依据可为已发布或拟发布的国家标准、行业标准或监管政策等，该内容需在</w:t>
      </w:r>
      <w:r>
        <w:rPr>
          <w:rFonts w:hint="eastAsia"/>
          <w:color w:val="auto"/>
          <w:highlight w:val="none"/>
        </w:rPr>
        <w:t>项目实施方案</w:t>
      </w:r>
      <w:r>
        <w:rPr>
          <w:rFonts w:hint="eastAsia"/>
          <w:color w:val="auto"/>
          <w:highlight w:val="none"/>
          <w:lang w:val="en-US" w:eastAsia="zh-CN"/>
        </w:rPr>
        <w:t>中体现。评估完成后交付</w:t>
      </w:r>
      <w:r>
        <w:rPr>
          <w:rFonts w:hint="eastAsia" w:ascii="Cambria Math" w:hAnsi="Cambria Math" w:eastAsia="宋体" w:cs="Cambria Math"/>
          <w:color w:val="auto"/>
          <w:sz w:val="24"/>
          <w:szCs w:val="20"/>
          <w:highlight w:val="none"/>
          <w:lang w:val="en-US" w:eastAsia="zh-CN"/>
        </w:rPr>
        <w:t>《信息调研原始记录表》、</w:t>
      </w:r>
      <w:r>
        <w:rPr>
          <w:rFonts w:hint="eastAsia" w:ascii="Cambria Math" w:hAnsi="Cambria Math" w:eastAsia="宋体" w:cs="Cambria Math"/>
          <w:color w:val="auto"/>
          <w:sz w:val="24"/>
          <w:szCs w:val="20"/>
          <w:highlight w:val="none"/>
        </w:rPr>
        <w:t>《数据安全风险清单》</w:t>
      </w:r>
      <w:r>
        <w:rPr>
          <w:rFonts w:hint="eastAsia" w:ascii="Cambria Math" w:hAnsi="Cambria Math" w:eastAsia="宋体" w:cs="Cambria Math"/>
          <w:color w:val="auto"/>
          <w:sz w:val="24"/>
          <w:szCs w:val="20"/>
          <w:highlight w:val="none"/>
          <w:lang w:eastAsia="zh-CN"/>
        </w:rPr>
        <w:t>、</w:t>
      </w:r>
      <w:r>
        <w:rPr>
          <w:rFonts w:hint="eastAsia"/>
          <w:color w:val="auto"/>
          <w:highlight w:val="none"/>
          <w:lang w:val="en-US" w:eastAsia="zh-CN"/>
        </w:rPr>
        <w:t>《数据安全风险评估报告》、</w:t>
      </w:r>
      <w:r>
        <w:rPr>
          <w:rFonts w:hint="eastAsia" w:ascii="Cambria Math" w:hAnsi="Cambria Math" w:eastAsia="宋体" w:cs="Cambria Math"/>
          <w:color w:val="auto"/>
          <w:sz w:val="24"/>
          <w:szCs w:val="20"/>
          <w:highlight w:val="none"/>
        </w:rPr>
        <w:t>《数据安全风险处置建议书》</w:t>
      </w:r>
      <w:r>
        <w:rPr>
          <w:rFonts w:hint="eastAsia"/>
          <w:color w:val="auto"/>
          <w:highlight w:val="none"/>
          <w:lang w:val="en-US" w:eastAsia="zh-CN"/>
        </w:rPr>
        <w:t>。</w:t>
      </w:r>
    </w:p>
    <w:p>
      <w:pPr>
        <w:numPr>
          <w:ilvl w:val="255"/>
          <w:numId w:val="0"/>
        </w:numPr>
        <w:ind w:firstLine="480" w:firstLineChars="200"/>
        <w:outlineLvl w:val="2"/>
        <w:rPr>
          <w:color w:val="auto"/>
          <w:highlight w:val="none"/>
        </w:rPr>
      </w:pPr>
      <w:r>
        <w:rPr>
          <w:rFonts w:hint="eastAsia"/>
          <w:color w:val="auto"/>
          <w:highlight w:val="none"/>
        </w:rPr>
        <w:t>2.2数据安全能力提升</w:t>
      </w:r>
    </w:p>
    <w:p>
      <w:pPr>
        <w:autoSpaceDE/>
        <w:autoSpaceDN/>
        <w:ind w:firstLine="480"/>
        <w:rPr>
          <w:color w:val="auto"/>
          <w:highlight w:val="none"/>
        </w:rPr>
      </w:pPr>
      <w:r>
        <w:rPr>
          <w:rFonts w:hint="eastAsia"/>
          <w:color w:val="auto"/>
          <w:highlight w:val="none"/>
        </w:rPr>
        <w:t>进行数据安全风险评估后，通过制定并执行有效的安全控制措施，保障我行的数据安全，维护业务正常运行，同时确保</w:t>
      </w:r>
      <w:r>
        <w:rPr>
          <w:rFonts w:hint="eastAsia"/>
          <w:color w:val="auto"/>
          <w:highlight w:val="none"/>
          <w:lang w:val="en-US" w:eastAsia="zh-CN"/>
        </w:rPr>
        <w:t>我行数据安全保护</w:t>
      </w:r>
      <w:r>
        <w:rPr>
          <w:rFonts w:hint="eastAsia"/>
          <w:color w:val="auto"/>
          <w:highlight w:val="none"/>
        </w:rPr>
        <w:t>遵循相关的法律法规和行业准则，降低数据安全事件对组织造成的负面影响，数据安全能力提升包括但不限于以下内容:</w:t>
      </w:r>
    </w:p>
    <w:p>
      <w:pPr>
        <w:ind w:firstLine="480"/>
        <w:rPr>
          <w:color w:val="auto"/>
          <w:highlight w:val="none"/>
        </w:rPr>
      </w:pPr>
      <w:r>
        <w:rPr>
          <w:rFonts w:hint="eastAsia"/>
          <w:color w:val="auto"/>
          <w:highlight w:val="none"/>
        </w:rPr>
        <w:t>（1）制定对策方面：根据风险评估结果，制定和优化相应的安全策略、流程和控制措施，包括但不限于数据加密、访问控制、审计跟踪、备份恢复、灾难恢复等方面的策略。</w:t>
      </w:r>
    </w:p>
    <w:p>
      <w:pPr>
        <w:ind w:firstLine="480"/>
        <w:rPr>
          <w:rFonts w:hint="default" w:eastAsia="宋体"/>
          <w:color w:val="auto"/>
          <w:highlight w:val="none"/>
          <w:lang w:val="en-US" w:eastAsia="zh-CN"/>
        </w:rPr>
      </w:pPr>
      <w:r>
        <w:rPr>
          <w:rFonts w:hint="eastAsia"/>
          <w:color w:val="auto"/>
          <w:highlight w:val="none"/>
        </w:rPr>
        <w:t>（2）合规遵从方面：确保业务系统与数据处理活动符合国家法律法规、行业标准及企业内部规章制度对数据安全的要求。</w:t>
      </w:r>
    </w:p>
    <w:p>
      <w:pPr>
        <w:ind w:firstLine="480"/>
        <w:rPr>
          <w:rFonts w:hint="eastAsia"/>
          <w:color w:val="auto"/>
          <w:highlight w:val="none"/>
        </w:rPr>
      </w:pPr>
      <w:r>
        <w:rPr>
          <w:rFonts w:hint="eastAsia"/>
          <w:color w:val="auto"/>
          <w:highlight w:val="none"/>
        </w:rPr>
        <w:t>（3）提高防护能力方面：通过风险评估优化资源配置，提高业务系统对数据安全威胁的防护能力和应对速度，减少数据泄露、损毁、篡改等安全事件发生的概率。</w:t>
      </w:r>
    </w:p>
    <w:p>
      <w:pPr>
        <w:ind w:firstLine="480"/>
        <w:rPr>
          <w:rFonts w:hint="default" w:eastAsia="宋体"/>
          <w:color w:val="auto"/>
          <w:highlight w:val="none"/>
          <w:lang w:val="en-US" w:eastAsia="zh-CN"/>
        </w:rPr>
      </w:pPr>
      <w:r>
        <w:rPr>
          <w:rFonts w:hint="eastAsia"/>
          <w:color w:val="auto"/>
          <w:highlight w:val="none"/>
          <w:lang w:val="en-US" w:eastAsia="zh-CN"/>
        </w:rPr>
        <w:t>根据实际情况，开展数据安全能力提升，例如根据实际制度缺失情况进行制度补全，交付数据安全应急预案等文档。数据安全能力提升完成后，应根据提升内容开展复评，并根据变动内容再次交付《数据安全风险评估报告》。</w:t>
      </w:r>
    </w:p>
    <w:p>
      <w:pPr>
        <w:ind w:firstLine="480"/>
        <w:outlineLvl w:val="2"/>
        <w:rPr>
          <w:color w:val="auto"/>
          <w:highlight w:val="none"/>
        </w:rPr>
      </w:pPr>
      <w:r>
        <w:rPr>
          <w:rFonts w:hint="eastAsia"/>
          <w:color w:val="auto"/>
          <w:highlight w:val="none"/>
        </w:rPr>
        <w:t>2.3数据安全培训</w:t>
      </w:r>
    </w:p>
    <w:p>
      <w:pPr>
        <w:numPr>
          <w:ilvl w:val="255"/>
          <w:numId w:val="0"/>
        </w:numPr>
        <w:ind w:firstLine="480"/>
        <w:rPr>
          <w:color w:val="auto"/>
          <w:highlight w:val="none"/>
        </w:rPr>
      </w:pPr>
      <w:r>
        <w:rPr>
          <w:rFonts w:hint="eastAsia"/>
          <w:color w:val="auto"/>
          <w:highlight w:val="none"/>
        </w:rPr>
        <w:t>数据安全培训包括教育培训与考试测评两个方面。教育培训内容包括但不限于以下内容：(1)数据安全基础知识：数据安全的定义、重要性、基本原则等；(2)数据安全法律法规：国内外相关法律法规、政策解读；(3)数据安全风险识别与防范：常见的数据安全风险、防范措施等；(4)数据安全操作规范：日常数据安全操作流程、注意事项等；(5)数据安全应急处理：应急响应流程、处置措施等。教育培训方式与时间</w:t>
      </w:r>
      <w:r>
        <w:rPr>
          <w:rFonts w:hint="eastAsia" w:ascii="Cambria Math" w:hAnsi="Cambria Math" w:eastAsia="宋体" w:cs="Cambria Math"/>
          <w:color w:val="auto"/>
          <w:sz w:val="24"/>
          <w:szCs w:val="21"/>
          <w:highlight w:val="none"/>
          <w:shd w:val="clear" w:color="auto" w:fill="auto"/>
        </w:rPr>
        <w:t>：结合线上与线下方式，</w:t>
      </w:r>
      <w:r>
        <w:rPr>
          <w:rFonts w:hint="eastAsia" w:cs="Cambria Math"/>
          <w:color w:val="auto"/>
          <w:sz w:val="24"/>
          <w:szCs w:val="21"/>
          <w:highlight w:val="none"/>
          <w:shd w:val="clear" w:color="auto" w:fill="auto"/>
          <w:lang w:val="en-US" w:eastAsia="zh-CN"/>
        </w:rPr>
        <w:t>培训次数不少于2次，总体</w:t>
      </w:r>
      <w:r>
        <w:rPr>
          <w:rFonts w:hint="eastAsia"/>
          <w:color w:val="auto"/>
          <w:highlight w:val="none"/>
        </w:rPr>
        <w:t>培训时间不少于</w:t>
      </w:r>
      <w:r>
        <w:rPr>
          <w:rFonts w:hint="eastAsia"/>
          <w:color w:val="auto"/>
          <w:highlight w:val="none"/>
          <w:lang w:val="en-US" w:eastAsia="zh-CN"/>
        </w:rPr>
        <w:t>1</w:t>
      </w:r>
      <w:r>
        <w:rPr>
          <w:rFonts w:hint="eastAsia"/>
          <w:color w:val="auto"/>
          <w:highlight w:val="none"/>
        </w:rPr>
        <w:t>天</w:t>
      </w:r>
      <w:r>
        <w:rPr>
          <w:rFonts w:hint="eastAsia" w:ascii="Cambria Math" w:hAnsi="Cambria Math" w:eastAsia="宋体" w:cs="Cambria Math"/>
          <w:color w:val="auto"/>
          <w:sz w:val="24"/>
          <w:szCs w:val="21"/>
          <w:highlight w:val="none"/>
          <w:shd w:val="clear" w:color="auto" w:fill="auto"/>
        </w:rPr>
        <w:t>。</w:t>
      </w:r>
      <w:r>
        <w:rPr>
          <w:rFonts w:hint="eastAsia"/>
          <w:color w:val="auto"/>
          <w:highlight w:val="none"/>
        </w:rPr>
        <w:t>考试测评：为确保参与数据安全意识培训的员工掌握培训内容，</w:t>
      </w:r>
      <w:r>
        <w:rPr>
          <w:rFonts w:hint="eastAsia"/>
          <w:color w:val="auto"/>
          <w:highlight w:val="none"/>
          <w:lang w:val="en-US" w:eastAsia="zh-CN"/>
        </w:rPr>
        <w:t>参选人</w:t>
      </w:r>
      <w:r>
        <w:rPr>
          <w:rFonts w:hint="eastAsia"/>
          <w:color w:val="auto"/>
          <w:highlight w:val="none"/>
        </w:rPr>
        <w:t>需设计考试测评内容。</w:t>
      </w:r>
    </w:p>
    <w:p>
      <w:pPr>
        <w:ind w:firstLine="480"/>
        <w:outlineLvl w:val="2"/>
        <w:rPr>
          <w:color w:val="auto"/>
          <w:highlight w:val="none"/>
        </w:rPr>
      </w:pPr>
      <w:r>
        <w:rPr>
          <w:rFonts w:hint="eastAsia"/>
          <w:color w:val="auto"/>
          <w:highlight w:val="none"/>
        </w:rPr>
        <w:t>2.4 实施人员要求</w:t>
      </w:r>
    </w:p>
    <w:p>
      <w:pPr>
        <w:ind w:firstLine="480"/>
        <w:rPr>
          <w:rFonts w:hint="eastAsia" w:eastAsia="宋体"/>
          <w:color w:val="auto"/>
          <w:highlight w:val="none"/>
          <w:lang w:val="en-US" w:eastAsia="zh-CN"/>
        </w:rPr>
      </w:pPr>
      <w:r>
        <w:rPr>
          <w:rFonts w:hint="eastAsia"/>
          <w:color w:val="auto"/>
          <w:highlight w:val="none"/>
          <w:lang w:val="en-US" w:eastAsia="zh-CN"/>
        </w:rPr>
        <w:t xml:space="preserve">2.4.1 </w:t>
      </w:r>
      <w:r>
        <w:rPr>
          <w:rFonts w:hint="eastAsia"/>
          <w:color w:val="auto"/>
          <w:highlight w:val="none"/>
          <w:lang w:eastAsia="zh-CN"/>
        </w:rPr>
        <w:t>参选人</w:t>
      </w:r>
      <w:r>
        <w:rPr>
          <w:color w:val="auto"/>
          <w:highlight w:val="none"/>
        </w:rPr>
        <w:t>需提供完整的项目人力资源方案，包括但不限于：在项目各阶段投入的人力情况，如人员在本项目中担任的角色、姓名、评估师资质、工作量等；</w:t>
      </w:r>
    </w:p>
    <w:p>
      <w:pPr>
        <w:ind w:firstLine="480"/>
        <w:rPr>
          <w:rFonts w:hint="eastAsia"/>
          <w:color w:val="auto"/>
          <w:highlight w:val="none"/>
          <w:lang w:val="en-US" w:eastAsia="zh-CN"/>
        </w:rPr>
      </w:pPr>
      <w:r>
        <w:rPr>
          <w:rFonts w:hint="eastAsia"/>
          <w:color w:val="auto"/>
          <w:highlight w:val="none"/>
          <w:lang w:val="en-US" w:eastAsia="zh-CN"/>
        </w:rPr>
        <w:t xml:space="preserve">2.4.2 </w:t>
      </w:r>
      <w:r>
        <w:rPr>
          <w:rFonts w:hint="eastAsia"/>
          <w:color w:val="auto"/>
          <w:highlight w:val="none"/>
          <w:lang w:eastAsia="zh-CN"/>
        </w:rPr>
        <w:t>参选人</w:t>
      </w:r>
      <w:r>
        <w:rPr>
          <w:color w:val="auto"/>
          <w:highlight w:val="none"/>
        </w:rPr>
        <w:t>需提供项目经理及项目主要成员的简历，包括但不限于：姓名、年龄、学历、专业、目前在公司担任的职务、工作经历等。</w:t>
      </w:r>
    </w:p>
    <w:p>
      <w:pPr>
        <w:ind w:firstLine="480"/>
        <w:rPr>
          <w:rFonts w:hint="eastAsia" w:eastAsia="宋体"/>
          <w:color w:val="auto"/>
          <w:highlight w:val="none"/>
          <w:lang w:val="en-US" w:eastAsia="zh-CN"/>
        </w:rPr>
      </w:pPr>
      <w:r>
        <w:rPr>
          <w:rFonts w:hint="eastAsia"/>
          <w:color w:val="auto"/>
          <w:highlight w:val="none"/>
          <w:lang w:val="en-US" w:eastAsia="zh-CN"/>
        </w:rPr>
        <w:t>2.4.3 参选人应制定项目建设工作整体计划表，</w:t>
      </w:r>
      <w:r>
        <w:rPr>
          <w:color w:val="auto"/>
          <w:highlight w:val="none"/>
        </w:rPr>
        <w:t>基于项目建设工作整体计划表，明确项目实施团队成员个人工作时间、现场驻场实施时间</w:t>
      </w:r>
      <w:r>
        <w:rPr>
          <w:rFonts w:hint="eastAsia"/>
          <w:color w:val="auto"/>
          <w:highlight w:val="none"/>
          <w:lang w:eastAsia="zh-CN"/>
        </w:rPr>
        <w:t>。</w:t>
      </w:r>
    </w:p>
    <w:p>
      <w:pPr>
        <w:numPr>
          <w:ilvl w:val="255"/>
          <w:numId w:val="0"/>
        </w:numPr>
        <w:ind w:firstLine="480"/>
        <w:rPr>
          <w:color w:val="auto"/>
          <w:highlight w:val="none"/>
        </w:rPr>
      </w:pPr>
      <w:r>
        <w:rPr>
          <w:rFonts w:hint="eastAsia"/>
          <w:color w:val="auto"/>
          <w:highlight w:val="none"/>
          <w:lang w:val="en-US" w:eastAsia="zh-CN"/>
        </w:rPr>
        <w:t xml:space="preserve">2.4.4 </w:t>
      </w:r>
      <w:r>
        <w:rPr>
          <w:rFonts w:hint="eastAsia"/>
          <w:color w:val="auto"/>
          <w:highlight w:val="none"/>
          <w:lang w:eastAsia="zh-CN"/>
        </w:rPr>
        <w:t>参选人应承诺</w:t>
      </w:r>
      <w:r>
        <w:rPr>
          <w:color w:val="auto"/>
          <w:highlight w:val="none"/>
        </w:rPr>
        <w:t>本项目提供不少于</w:t>
      </w:r>
      <w:r>
        <w:rPr>
          <w:rFonts w:hint="eastAsia"/>
          <w:color w:val="auto"/>
          <w:highlight w:val="none"/>
          <w:lang w:val="en-US" w:eastAsia="zh-CN"/>
        </w:rPr>
        <w:t>2</w:t>
      </w:r>
      <w:r>
        <w:rPr>
          <w:color w:val="auto"/>
          <w:highlight w:val="none"/>
        </w:rPr>
        <w:t>人的实施人员，且应提供不低于合计</w:t>
      </w:r>
      <w:r>
        <w:rPr>
          <w:rFonts w:hint="eastAsia"/>
          <w:color w:val="auto"/>
          <w:highlight w:val="none"/>
          <w:lang w:val="en-US" w:eastAsia="zh-CN"/>
        </w:rPr>
        <w:t>60</w:t>
      </w:r>
      <w:r>
        <w:rPr>
          <w:color w:val="auto"/>
          <w:highlight w:val="none"/>
        </w:rPr>
        <w:t>人天的现场驻场实施工作时间</w:t>
      </w:r>
      <w:r>
        <w:rPr>
          <w:rFonts w:hint="eastAsia"/>
          <w:color w:val="auto"/>
          <w:highlight w:val="none"/>
          <w:lang w:eastAsia="zh-CN"/>
        </w:rPr>
        <w:t>；</w:t>
      </w:r>
      <w:r>
        <w:rPr>
          <w:color w:val="auto"/>
          <w:highlight w:val="none"/>
        </w:rPr>
        <w:t>在项目实施过程中，</w:t>
      </w:r>
      <w:r>
        <w:rPr>
          <w:rFonts w:hint="eastAsia"/>
          <w:color w:val="auto"/>
          <w:highlight w:val="none"/>
          <w:lang w:eastAsia="zh-CN"/>
        </w:rPr>
        <w:t>比选人</w:t>
      </w:r>
      <w:r>
        <w:rPr>
          <w:color w:val="auto"/>
          <w:highlight w:val="none"/>
        </w:rPr>
        <w:t>有权要求对不符合项目建设要求的成员进行替换</w:t>
      </w:r>
      <w:r>
        <w:rPr>
          <w:rFonts w:hint="eastAsia"/>
          <w:color w:val="auto"/>
          <w:highlight w:val="none"/>
          <w:lang w:eastAsia="zh-CN"/>
        </w:rPr>
        <w:t>，</w:t>
      </w:r>
      <w:r>
        <w:rPr>
          <w:color w:val="auto"/>
          <w:highlight w:val="none"/>
        </w:rPr>
        <w:t>对于现场评估阶段，非计划内的休假要提前一周通知</w:t>
      </w:r>
      <w:r>
        <w:rPr>
          <w:rFonts w:hint="eastAsia"/>
          <w:color w:val="auto"/>
          <w:highlight w:val="none"/>
          <w:lang w:eastAsia="zh-CN"/>
        </w:rPr>
        <w:t>比选人</w:t>
      </w:r>
      <w:r>
        <w:rPr>
          <w:color w:val="auto"/>
          <w:highlight w:val="none"/>
        </w:rPr>
        <w:t>，并取得</w:t>
      </w:r>
      <w:r>
        <w:rPr>
          <w:rFonts w:hint="eastAsia"/>
          <w:color w:val="auto"/>
          <w:highlight w:val="none"/>
          <w:lang w:eastAsia="zh-CN"/>
        </w:rPr>
        <w:t>比选人</w:t>
      </w:r>
      <w:r>
        <w:rPr>
          <w:color w:val="auto"/>
          <w:highlight w:val="none"/>
        </w:rPr>
        <w:t>的同意；</w:t>
      </w:r>
      <w:r>
        <w:rPr>
          <w:rFonts w:hint="eastAsia"/>
          <w:color w:val="auto"/>
          <w:highlight w:val="none"/>
          <w:lang w:eastAsia="zh-CN"/>
        </w:rPr>
        <w:t>比选人</w:t>
      </w:r>
      <w:r>
        <w:rPr>
          <w:color w:val="auto"/>
          <w:highlight w:val="none"/>
        </w:rPr>
        <w:t>将对项目经理和核心成员的稳定性和出勤率进行考核，考核不达标的将调整付款进度或扣减一定款项。</w:t>
      </w:r>
    </w:p>
    <w:p>
      <w:pPr>
        <w:numPr>
          <w:ilvl w:val="255"/>
          <w:numId w:val="0"/>
        </w:numPr>
        <w:ind w:firstLine="48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提供：1、人力资源方案，方案应包含项目组成员简历、项目建设工作整体计划表等内容；2、在响应承诺函中单独对第三章2.4.4条做出承诺。</w:t>
      </w:r>
      <w:r>
        <w:rPr>
          <w:rFonts w:hint="eastAsia"/>
          <w:color w:val="auto"/>
          <w:highlight w:val="none"/>
          <w:lang w:eastAsia="zh-CN"/>
        </w:rPr>
        <w:t>】</w:t>
      </w:r>
    </w:p>
    <w:p>
      <w:pPr>
        <w:pStyle w:val="4"/>
        <w:rPr>
          <w:color w:val="auto"/>
          <w:highlight w:val="none"/>
        </w:rPr>
      </w:pPr>
      <w:bookmarkStart w:id="50" w:name="_Toc89675144"/>
      <w:bookmarkStart w:id="51" w:name="_Toc15059418"/>
      <w:r>
        <w:rPr>
          <w:rFonts w:hint="eastAsia"/>
          <w:color w:val="auto"/>
          <w:highlight w:val="none"/>
        </w:rPr>
        <w:t>3. 实施周期、地点</w:t>
      </w:r>
      <w:bookmarkEnd w:id="50"/>
      <w:bookmarkEnd w:id="51"/>
    </w:p>
    <w:p>
      <w:pPr>
        <w:pStyle w:val="5"/>
        <w:ind w:firstLine="482"/>
        <w:rPr>
          <w:color w:val="auto"/>
          <w:highlight w:val="none"/>
        </w:rPr>
      </w:pPr>
      <w:bookmarkStart w:id="52" w:name="_Toc89675146"/>
      <w:bookmarkStart w:id="53" w:name="_Toc15059420"/>
      <w:bookmarkStart w:id="54" w:name="_Toc440628915"/>
      <w:bookmarkStart w:id="55" w:name="_Toc387826347"/>
      <w:bookmarkStart w:id="56" w:name="_Toc432254881"/>
      <w:bookmarkStart w:id="57" w:name="_Toc1125"/>
      <w:r>
        <w:rPr>
          <w:rFonts w:hint="eastAsia"/>
          <w:color w:val="auto"/>
          <w:highlight w:val="none"/>
        </w:rPr>
        <w:t>3.1 交付时间</w:t>
      </w:r>
    </w:p>
    <w:p>
      <w:pPr>
        <w:ind w:firstLine="480"/>
        <w:rPr>
          <w:color w:val="auto"/>
          <w:highlight w:val="none"/>
        </w:rPr>
      </w:pPr>
      <w:r>
        <w:rPr>
          <w:rFonts w:hint="eastAsia"/>
          <w:color w:val="auto"/>
          <w:highlight w:val="none"/>
        </w:rPr>
        <w:t>签订合同后2个月内完成数据安全风险评估项目的实施工作。</w:t>
      </w:r>
    </w:p>
    <w:p>
      <w:pPr>
        <w:pStyle w:val="5"/>
        <w:ind w:firstLine="482"/>
        <w:rPr>
          <w:color w:val="auto"/>
          <w:highlight w:val="none"/>
        </w:rPr>
      </w:pPr>
      <w:r>
        <w:rPr>
          <w:rFonts w:hint="eastAsia"/>
          <w:color w:val="auto"/>
          <w:highlight w:val="none"/>
        </w:rPr>
        <w:t>3.2 实施及交付地点</w:t>
      </w:r>
    </w:p>
    <w:p>
      <w:pPr>
        <w:ind w:firstLine="480"/>
        <w:rPr>
          <w:color w:val="auto"/>
          <w:highlight w:val="none"/>
        </w:rPr>
      </w:pPr>
      <w:r>
        <w:rPr>
          <w:rFonts w:hint="eastAsia"/>
          <w:color w:val="auto"/>
          <w:highlight w:val="none"/>
        </w:rPr>
        <w:t>重庆市。</w:t>
      </w:r>
    </w:p>
    <w:p>
      <w:pPr>
        <w:pStyle w:val="4"/>
        <w:rPr>
          <w:color w:val="auto"/>
          <w:highlight w:val="none"/>
        </w:rPr>
      </w:pPr>
      <w:r>
        <w:rPr>
          <w:rFonts w:hint="eastAsia"/>
          <w:color w:val="auto"/>
          <w:highlight w:val="none"/>
        </w:rPr>
        <w:t>4. 服务连续性预案</w:t>
      </w:r>
    </w:p>
    <w:p>
      <w:pPr>
        <w:ind w:firstLine="480"/>
        <w:rPr>
          <w:color w:val="auto"/>
          <w:highlight w:val="none"/>
        </w:rPr>
      </w:pPr>
      <w:r>
        <w:rPr>
          <w:rFonts w:hint="eastAsia"/>
          <w:color w:val="auto"/>
          <w:highlight w:val="none"/>
        </w:rPr>
        <w:t>在本次比选中，参选人应在参选文件中提供服务连续性预案供比选人查看，服务连续性预案应考虑供应链风险产生的影响。【提供服务连续性预案】</w:t>
      </w:r>
    </w:p>
    <w:p>
      <w:pPr>
        <w:pStyle w:val="4"/>
        <w:rPr>
          <w:color w:val="auto"/>
          <w:highlight w:val="none"/>
        </w:rPr>
      </w:pPr>
      <w:r>
        <w:rPr>
          <w:rFonts w:hint="eastAsia"/>
          <w:color w:val="auto"/>
          <w:highlight w:val="none"/>
        </w:rPr>
        <w:t>5. 项目实施方案</w:t>
      </w:r>
    </w:p>
    <w:p>
      <w:pPr>
        <w:ind w:firstLine="480"/>
        <w:rPr>
          <w:rFonts w:hint="eastAsia"/>
          <w:color w:val="auto"/>
          <w:highlight w:val="none"/>
        </w:rPr>
      </w:pPr>
      <w:r>
        <w:rPr>
          <w:rFonts w:hint="eastAsia"/>
          <w:color w:val="auto"/>
          <w:highlight w:val="none"/>
        </w:rPr>
        <w:t>在本次比选中，参选人应在参选文件中提供项目实施方案供比选人查看，方案应包括履行合同的时间计划、提交资料、人员安排等内容。【提供项目实施方案】</w:t>
      </w:r>
    </w:p>
    <w:p>
      <w:pPr>
        <w:pStyle w:val="4"/>
        <w:rPr>
          <w:rFonts w:hint="eastAsia" w:ascii="宋体" w:hAnsi="宋体" w:eastAsia="宋体"/>
          <w:color w:val="auto"/>
          <w:highlight w:val="none"/>
          <w:lang w:val="en-US" w:eastAsia="zh-CN"/>
        </w:rPr>
      </w:pPr>
      <w:r>
        <w:rPr>
          <w:rFonts w:hint="eastAsia" w:ascii="宋体" w:hAnsi="宋体" w:eastAsia="宋体" w:cstheme="majorBidi"/>
          <w:b/>
          <w:bCs/>
          <w:snapToGrid w:val="0"/>
          <w:color w:val="auto"/>
          <w:kern w:val="2"/>
          <w:sz w:val="24"/>
          <w:szCs w:val="24"/>
          <w:highlight w:val="none"/>
          <w:lang w:val="en-US" w:eastAsia="zh-CN" w:bidi="ar-SA"/>
        </w:rPr>
        <w:t>6</w:t>
      </w:r>
      <w:r>
        <w:rPr>
          <w:rFonts w:hint="eastAsia" w:ascii="宋体" w:hAnsi="宋体" w:eastAsia="宋体"/>
          <w:color w:val="auto"/>
          <w:highlight w:val="none"/>
          <w:lang w:val="en-US" w:eastAsia="zh-CN"/>
        </w:rPr>
        <w:t>.项目需求理解方案</w:t>
      </w:r>
    </w:p>
    <w:p>
      <w:pPr>
        <w:ind w:firstLine="480"/>
        <w:rPr>
          <w:rFonts w:hint="eastAsia" w:eastAsia="宋体"/>
          <w:color w:val="auto"/>
          <w:highlight w:val="none"/>
        </w:rPr>
      </w:pPr>
      <w:r>
        <w:rPr>
          <w:rFonts w:hint="eastAsia" w:eastAsia="宋体"/>
          <w:color w:val="auto"/>
          <w:highlight w:val="none"/>
        </w:rPr>
        <w:t>在本次比选中，参选人应在参选文件中提供项目需求理解方案，方案</w:t>
      </w:r>
      <w:r>
        <w:rPr>
          <w:rFonts w:hint="eastAsia" w:eastAsia="宋体"/>
          <w:color w:val="auto"/>
          <w:highlight w:val="none"/>
          <w:lang w:eastAsia="zh-CN"/>
        </w:rPr>
        <w:t>应</w:t>
      </w:r>
      <w:r>
        <w:rPr>
          <w:rFonts w:hint="eastAsia" w:eastAsia="宋体"/>
          <w:color w:val="auto"/>
          <w:highlight w:val="none"/>
        </w:rPr>
        <w:t>对</w:t>
      </w:r>
      <w:r>
        <w:rPr>
          <w:rFonts w:hint="eastAsia" w:eastAsia="宋体"/>
          <w:color w:val="auto"/>
          <w:highlight w:val="none"/>
          <w:lang w:eastAsia="zh-CN"/>
        </w:rPr>
        <w:t>本章</w:t>
      </w:r>
      <w:r>
        <w:rPr>
          <w:rFonts w:hint="eastAsia" w:eastAsia="宋体"/>
          <w:color w:val="auto"/>
          <w:highlight w:val="none"/>
        </w:rPr>
        <w:t>项目</w:t>
      </w:r>
      <w:r>
        <w:rPr>
          <w:rFonts w:hint="eastAsia" w:eastAsia="宋体"/>
          <w:color w:val="auto"/>
          <w:highlight w:val="none"/>
          <w:lang w:eastAsia="zh-CN"/>
        </w:rPr>
        <w:t>要求</w:t>
      </w:r>
      <w:r>
        <w:rPr>
          <w:rFonts w:hint="eastAsia" w:eastAsia="宋体"/>
          <w:color w:val="auto"/>
          <w:highlight w:val="none"/>
        </w:rPr>
        <w:t>理解准确，并对项目目标进行合理分析和恰当分解。</w:t>
      </w:r>
      <w:r>
        <w:rPr>
          <w:rFonts w:hint="eastAsia"/>
          <w:color w:val="auto"/>
          <w:highlight w:val="none"/>
        </w:rPr>
        <w:t>【提供项目</w:t>
      </w:r>
      <w:r>
        <w:rPr>
          <w:rFonts w:hint="eastAsia"/>
          <w:color w:val="auto"/>
          <w:highlight w:val="none"/>
          <w:lang w:eastAsia="zh-CN"/>
        </w:rPr>
        <w:t>需求理解</w:t>
      </w:r>
      <w:r>
        <w:rPr>
          <w:rFonts w:hint="eastAsia"/>
          <w:color w:val="auto"/>
          <w:highlight w:val="none"/>
        </w:rPr>
        <w:t>方案】</w:t>
      </w:r>
    </w:p>
    <w:p>
      <w:pPr>
        <w:numPr>
          <w:ilvl w:val="-1"/>
          <w:numId w:val="0"/>
        </w:numPr>
        <w:ind w:firstLine="0" w:firstLineChars="0"/>
        <w:outlineLvl w:val="1"/>
        <w:rPr>
          <w:rFonts w:hint="eastAsia" w:ascii="宋体" w:hAnsi="宋体" w:eastAsia="宋体" w:cstheme="majorBidi"/>
          <w:b/>
          <w:bCs/>
          <w:snapToGrid w:val="0"/>
          <w:color w:val="auto"/>
          <w:kern w:val="2"/>
          <w:sz w:val="24"/>
          <w:szCs w:val="24"/>
          <w:highlight w:val="none"/>
          <w:lang w:val="en-US" w:eastAsia="zh-CN" w:bidi="ar-SA"/>
        </w:rPr>
      </w:pPr>
      <w:r>
        <w:rPr>
          <w:rFonts w:hint="eastAsia" w:ascii="宋体" w:hAnsi="宋体" w:eastAsia="宋体" w:cstheme="majorBidi"/>
          <w:b/>
          <w:bCs/>
          <w:snapToGrid w:val="0"/>
          <w:color w:val="auto"/>
          <w:kern w:val="2"/>
          <w:sz w:val="24"/>
          <w:szCs w:val="24"/>
          <w:highlight w:val="none"/>
          <w:lang w:val="en-US" w:eastAsia="zh-CN" w:bidi="ar-SA"/>
        </w:rPr>
        <w:t>7. 售后服务质保方案</w:t>
      </w:r>
    </w:p>
    <w:p>
      <w:pPr>
        <w:numPr>
          <w:ilvl w:val="-1"/>
          <w:numId w:val="0"/>
        </w:numPr>
        <w:ind w:firstLine="480"/>
        <w:rPr>
          <w:rFonts w:hint="default"/>
          <w:color w:val="auto"/>
          <w:highlight w:val="none"/>
          <w:lang w:val="en-US" w:eastAsia="zh-CN"/>
        </w:rPr>
      </w:pPr>
      <w:r>
        <w:rPr>
          <w:rFonts w:hint="eastAsia"/>
          <w:color w:val="auto"/>
          <w:highlight w:val="none"/>
        </w:rPr>
        <w:t>在本次比选中，参选人应在参选文件中提供</w:t>
      </w:r>
      <w:r>
        <w:rPr>
          <w:rFonts w:hint="eastAsia"/>
          <w:color w:val="auto"/>
          <w:highlight w:val="none"/>
          <w:lang w:eastAsia="zh-CN"/>
        </w:rPr>
        <w:t>售后</w:t>
      </w:r>
      <w:r>
        <w:rPr>
          <w:rFonts w:hint="eastAsia"/>
          <w:color w:val="auto"/>
          <w:highlight w:val="none"/>
          <w:lang w:val="en-US" w:eastAsia="zh-CN"/>
        </w:rPr>
        <w:t>服务质保方案</w:t>
      </w:r>
      <w:r>
        <w:rPr>
          <w:rFonts w:hint="eastAsia"/>
          <w:color w:val="auto"/>
          <w:highlight w:val="none"/>
        </w:rPr>
        <w:t>供比选人查看，方案应包括包括</w:t>
      </w:r>
      <w:r>
        <w:rPr>
          <w:rFonts w:hint="eastAsia"/>
          <w:color w:val="auto"/>
          <w:highlight w:val="none"/>
          <w:lang w:val="en-US" w:eastAsia="zh-CN"/>
        </w:rPr>
        <w:t>服务</w:t>
      </w:r>
      <w:r>
        <w:rPr>
          <w:rFonts w:hint="eastAsia" w:ascii="Cambria Math" w:hAnsi="Cambria Math" w:eastAsia="宋体" w:cs="Cambria Math"/>
          <w:i w:val="0"/>
          <w:iCs w:val="0"/>
          <w:caps w:val="0"/>
          <w:color w:val="auto"/>
          <w:spacing w:val="0"/>
          <w:sz w:val="24"/>
          <w:szCs w:val="20"/>
          <w:highlight w:val="none"/>
          <w:shd w:val="clear" w:fill="auto"/>
        </w:rPr>
        <w:t>质保期限</w:t>
      </w:r>
      <w:r>
        <w:rPr>
          <w:rFonts w:hint="eastAsia" w:ascii="Cambria Math" w:hAnsi="Cambria Math" w:cs="Cambria Math"/>
          <w:i w:val="0"/>
          <w:iCs w:val="0"/>
          <w:caps w:val="0"/>
          <w:color w:val="auto"/>
          <w:spacing w:val="0"/>
          <w:sz w:val="24"/>
          <w:szCs w:val="20"/>
          <w:highlight w:val="none"/>
          <w:shd w:val="clear" w:fill="auto"/>
          <w:lang w:eastAsia="zh-CN"/>
        </w:rPr>
        <w:t>、</w:t>
      </w:r>
      <w:r>
        <w:rPr>
          <w:rFonts w:hint="eastAsia" w:ascii="Cambria Math" w:hAnsi="Cambria Math" w:eastAsia="宋体" w:cs="Cambria Math"/>
          <w:i w:val="0"/>
          <w:iCs w:val="0"/>
          <w:caps w:val="0"/>
          <w:color w:val="auto"/>
          <w:spacing w:val="0"/>
          <w:sz w:val="24"/>
          <w:szCs w:val="20"/>
          <w:highlight w:val="none"/>
          <w:shd w:val="clear" w:fill="auto"/>
        </w:rPr>
        <w:t>服务响应</w:t>
      </w:r>
      <w:r>
        <w:rPr>
          <w:rFonts w:hint="eastAsia" w:cs="Cambria Math"/>
          <w:i w:val="0"/>
          <w:iCs w:val="0"/>
          <w:caps w:val="0"/>
          <w:color w:val="auto"/>
          <w:spacing w:val="0"/>
          <w:sz w:val="24"/>
          <w:szCs w:val="20"/>
          <w:highlight w:val="none"/>
          <w:shd w:val="clear"/>
          <w:lang w:val="en-US" w:eastAsia="zh-CN"/>
        </w:rPr>
        <w:t>速度</w:t>
      </w:r>
      <w:r>
        <w:rPr>
          <w:rFonts w:hint="eastAsia" w:ascii="Cambria Math" w:hAnsi="Cambria Math" w:cs="Cambria Math"/>
          <w:i w:val="0"/>
          <w:iCs w:val="0"/>
          <w:caps w:val="0"/>
          <w:color w:val="auto"/>
          <w:spacing w:val="0"/>
          <w:sz w:val="24"/>
          <w:szCs w:val="20"/>
          <w:highlight w:val="none"/>
          <w:shd w:val="clear" w:fill="auto"/>
          <w:lang w:eastAsia="zh-CN"/>
        </w:rPr>
        <w:t>、</w:t>
      </w:r>
      <w:r>
        <w:rPr>
          <w:rFonts w:hint="eastAsia" w:ascii="Cambria Math" w:hAnsi="Cambria Math" w:eastAsia="宋体" w:cs="Cambria Math"/>
          <w:i w:val="0"/>
          <w:iCs w:val="0"/>
          <w:caps w:val="0"/>
          <w:color w:val="auto"/>
          <w:spacing w:val="0"/>
          <w:sz w:val="24"/>
          <w:szCs w:val="20"/>
          <w:highlight w:val="none"/>
          <w:shd w:val="clear" w:fill="auto"/>
        </w:rPr>
        <w:t>售后服务内容</w:t>
      </w:r>
      <w:r>
        <w:rPr>
          <w:rFonts w:hint="eastAsia" w:ascii="Cambria Math" w:hAnsi="Cambria Math" w:cs="Cambria Math"/>
          <w:i w:val="0"/>
          <w:iCs w:val="0"/>
          <w:caps w:val="0"/>
          <w:color w:val="auto"/>
          <w:spacing w:val="0"/>
          <w:sz w:val="24"/>
          <w:szCs w:val="20"/>
          <w:highlight w:val="none"/>
          <w:shd w:val="clear" w:fill="auto"/>
          <w:lang w:val="en-US" w:eastAsia="zh-CN"/>
        </w:rPr>
        <w:t>等内容</w:t>
      </w:r>
      <w:r>
        <w:rPr>
          <w:rFonts w:hint="eastAsia" w:cs="Cambria Math"/>
          <w:i w:val="0"/>
          <w:iCs w:val="0"/>
          <w:caps w:val="0"/>
          <w:color w:val="auto"/>
          <w:spacing w:val="0"/>
          <w:sz w:val="24"/>
          <w:szCs w:val="20"/>
          <w:highlight w:val="none"/>
          <w:shd w:val="clear"/>
          <w:lang w:val="en-US" w:eastAsia="zh-CN"/>
        </w:rPr>
        <w:t>，其中服务</w:t>
      </w:r>
      <w:r>
        <w:rPr>
          <w:rFonts w:hint="eastAsia" w:ascii="Cambria Math" w:hAnsi="Cambria Math" w:eastAsia="宋体" w:cs="Cambria Math"/>
          <w:i w:val="0"/>
          <w:iCs w:val="0"/>
          <w:caps w:val="0"/>
          <w:color w:val="auto"/>
          <w:spacing w:val="0"/>
          <w:sz w:val="24"/>
          <w:szCs w:val="20"/>
          <w:highlight w:val="none"/>
          <w:shd w:val="clear"/>
        </w:rPr>
        <w:t>质保期限</w:t>
      </w:r>
      <w:r>
        <w:rPr>
          <w:rFonts w:hint="eastAsia" w:cs="Cambria Math"/>
          <w:i w:val="0"/>
          <w:iCs w:val="0"/>
          <w:caps w:val="0"/>
          <w:color w:val="auto"/>
          <w:spacing w:val="0"/>
          <w:sz w:val="24"/>
          <w:szCs w:val="20"/>
          <w:highlight w:val="none"/>
          <w:shd w:val="clear"/>
          <w:lang w:val="en-US" w:eastAsia="zh-CN"/>
        </w:rPr>
        <w:t>不低于1个自然年，售后服务内容包括但不限服务</w:t>
      </w:r>
      <w:r>
        <w:rPr>
          <w:rFonts w:hint="eastAsia" w:ascii="Cambria Math" w:hAnsi="Cambria Math" w:eastAsia="宋体" w:cs="Cambria Math"/>
          <w:i w:val="0"/>
          <w:iCs w:val="0"/>
          <w:caps w:val="0"/>
          <w:color w:val="auto"/>
          <w:spacing w:val="0"/>
          <w:sz w:val="24"/>
          <w:szCs w:val="20"/>
          <w:highlight w:val="none"/>
          <w:shd w:val="clear"/>
        </w:rPr>
        <w:t>质保期限</w:t>
      </w:r>
      <w:r>
        <w:rPr>
          <w:rFonts w:hint="eastAsia" w:cs="Cambria Math"/>
          <w:i w:val="0"/>
          <w:iCs w:val="0"/>
          <w:caps w:val="0"/>
          <w:color w:val="auto"/>
          <w:spacing w:val="0"/>
          <w:sz w:val="24"/>
          <w:szCs w:val="20"/>
          <w:highlight w:val="none"/>
          <w:shd w:val="clear"/>
          <w:lang w:val="en-US" w:eastAsia="zh-CN"/>
        </w:rPr>
        <w:t>中内外部检查发现的数据安全风险问题解决。</w:t>
      </w:r>
      <w:r>
        <w:rPr>
          <w:rFonts w:hint="eastAsia"/>
          <w:color w:val="auto"/>
          <w:highlight w:val="none"/>
        </w:rPr>
        <w:t>【</w:t>
      </w:r>
      <w:r>
        <w:rPr>
          <w:rFonts w:hint="eastAsia"/>
          <w:color w:val="auto"/>
          <w:highlight w:val="none"/>
          <w:lang w:val="en-US" w:eastAsia="zh-CN"/>
        </w:rPr>
        <w:t>提供</w:t>
      </w:r>
      <w:r>
        <w:rPr>
          <w:rFonts w:hint="eastAsia"/>
          <w:color w:val="auto"/>
          <w:highlight w:val="none"/>
        </w:rPr>
        <w:t>售后服务质保</w:t>
      </w:r>
      <w:r>
        <w:rPr>
          <w:rFonts w:hint="eastAsia"/>
          <w:color w:val="auto"/>
          <w:highlight w:val="none"/>
          <w:lang w:eastAsia="zh-CN"/>
        </w:rPr>
        <w:t>方案】</w:t>
      </w:r>
    </w:p>
    <w:bookmarkEnd w:id="52"/>
    <w:bookmarkEnd w:id="53"/>
    <w:p>
      <w:pPr>
        <w:pStyle w:val="4"/>
        <w:numPr>
          <w:ilvl w:val="255"/>
          <w:numId w:val="0"/>
        </w:numPr>
        <w:rPr>
          <w:color w:val="auto"/>
          <w:highlight w:val="none"/>
        </w:rPr>
      </w:pPr>
      <w:bookmarkStart w:id="58" w:name="_Toc15059422"/>
      <w:bookmarkStart w:id="59" w:name="_Toc89675148"/>
      <w:r>
        <w:rPr>
          <w:rFonts w:hint="eastAsia"/>
          <w:color w:val="auto"/>
          <w:highlight w:val="none"/>
          <w:lang w:val="en-US" w:eastAsia="zh-CN"/>
        </w:rPr>
        <w:t>8</w:t>
      </w:r>
      <w:r>
        <w:rPr>
          <w:rFonts w:hint="eastAsia"/>
          <w:color w:val="auto"/>
          <w:highlight w:val="none"/>
        </w:rPr>
        <w:t>.付款方式</w:t>
      </w:r>
      <w:bookmarkEnd w:id="58"/>
      <w:bookmarkEnd w:id="59"/>
    </w:p>
    <w:p>
      <w:pPr>
        <w:ind w:firstLine="480"/>
        <w:rPr>
          <w:color w:val="auto"/>
          <w:highlight w:val="none"/>
        </w:rPr>
      </w:pPr>
      <w:r>
        <w:rPr>
          <w:rFonts w:hint="eastAsia"/>
          <w:color w:val="auto"/>
          <w:highlight w:val="none"/>
        </w:rPr>
        <w:t>项目完成经甲方验收且收到乙方发票后30个工作日内，</w:t>
      </w:r>
      <w:r>
        <w:rPr>
          <w:rFonts w:hint="eastAsia"/>
          <w:color w:val="auto"/>
          <w:highlight w:val="none"/>
          <w:lang w:val="en-US" w:eastAsia="zh-CN"/>
        </w:rPr>
        <w:t>甲方</w:t>
      </w:r>
      <w:r>
        <w:rPr>
          <w:rFonts w:hint="eastAsia"/>
          <w:color w:val="auto"/>
          <w:highlight w:val="none"/>
        </w:rPr>
        <w:t>支付合同总价的</w:t>
      </w:r>
      <w:r>
        <w:rPr>
          <w:rFonts w:hint="eastAsia"/>
          <w:color w:val="auto"/>
          <w:highlight w:val="none"/>
          <w:lang w:val="en-US" w:eastAsia="zh-CN"/>
        </w:rPr>
        <w:t>100</w:t>
      </w:r>
      <w:r>
        <w:rPr>
          <w:rFonts w:hint="eastAsia"/>
          <w:color w:val="auto"/>
          <w:highlight w:val="none"/>
        </w:rPr>
        <w:t>%</w:t>
      </w:r>
      <w:r>
        <w:rPr>
          <w:rFonts w:hint="eastAsia"/>
          <w:color w:val="auto"/>
          <w:highlight w:val="none"/>
          <w:lang w:val="en-US" w:eastAsia="zh-CN"/>
        </w:rPr>
        <w:t>给中选人。</w:t>
      </w:r>
    </w:p>
    <w:p>
      <w:pPr>
        <w:pStyle w:val="4"/>
        <w:rPr>
          <w:color w:val="auto"/>
          <w:highlight w:val="none"/>
        </w:rPr>
      </w:pPr>
      <w:bookmarkStart w:id="60" w:name="_Toc89675150"/>
      <w:bookmarkStart w:id="61" w:name="_Toc15059424"/>
      <w:r>
        <w:rPr>
          <w:rFonts w:hint="eastAsia"/>
          <w:color w:val="auto"/>
          <w:highlight w:val="none"/>
          <w:lang w:val="en-US" w:eastAsia="zh-CN"/>
        </w:rPr>
        <w:t>9</w:t>
      </w:r>
      <w:r>
        <w:rPr>
          <w:rFonts w:hint="eastAsia"/>
          <w:color w:val="auto"/>
          <w:highlight w:val="none"/>
        </w:rPr>
        <w:t>. 保密条款</w:t>
      </w:r>
      <w:bookmarkEnd w:id="54"/>
      <w:bookmarkEnd w:id="55"/>
      <w:bookmarkEnd w:id="56"/>
      <w:bookmarkEnd w:id="57"/>
      <w:bookmarkEnd w:id="60"/>
      <w:bookmarkEnd w:id="61"/>
    </w:p>
    <w:p>
      <w:pPr>
        <w:pStyle w:val="5"/>
        <w:ind w:firstLine="482"/>
        <w:rPr>
          <w:color w:val="auto"/>
          <w:highlight w:val="none"/>
        </w:rPr>
      </w:pPr>
      <w:r>
        <w:rPr>
          <w:rFonts w:hint="eastAsia"/>
          <w:color w:val="auto"/>
          <w:highlight w:val="none"/>
          <w:lang w:val="en-US" w:eastAsia="zh-CN"/>
        </w:rPr>
        <w:t>9</w:t>
      </w:r>
      <w:r>
        <w:rPr>
          <w:rFonts w:hint="eastAsia"/>
          <w:color w:val="auto"/>
          <w:highlight w:val="none"/>
        </w:rPr>
        <w:t>.1 保密范围</w:t>
      </w:r>
    </w:p>
    <w:p>
      <w:pPr>
        <w:ind w:firstLine="480"/>
        <w:rPr>
          <w:color w:val="auto"/>
          <w:highlight w:val="none"/>
        </w:rPr>
      </w:pPr>
      <w:r>
        <w:rPr>
          <w:rFonts w:hint="eastAsia"/>
          <w:color w:val="auto"/>
          <w:highlight w:val="none"/>
        </w:rPr>
        <w:t>中选人在实施过程中接触到的比选人知识产权、经营信息等。</w:t>
      </w:r>
    </w:p>
    <w:p>
      <w:pPr>
        <w:pStyle w:val="5"/>
        <w:ind w:firstLine="482"/>
        <w:rPr>
          <w:color w:val="auto"/>
          <w:highlight w:val="none"/>
        </w:rPr>
      </w:pPr>
      <w:r>
        <w:rPr>
          <w:rFonts w:hint="eastAsia"/>
          <w:color w:val="auto"/>
          <w:highlight w:val="none"/>
          <w:lang w:val="en-US" w:eastAsia="zh-CN"/>
        </w:rPr>
        <w:t>9</w:t>
      </w:r>
      <w:r>
        <w:rPr>
          <w:rFonts w:hint="eastAsia"/>
          <w:color w:val="auto"/>
          <w:highlight w:val="none"/>
        </w:rPr>
        <w:t>.2 保密责任</w:t>
      </w:r>
    </w:p>
    <w:p>
      <w:pPr>
        <w:ind w:firstLine="480"/>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pPr>
        <w:pStyle w:val="4"/>
        <w:rPr>
          <w:color w:val="auto"/>
          <w:highlight w:val="none"/>
        </w:rPr>
      </w:pPr>
      <w:r>
        <w:rPr>
          <w:rFonts w:hint="eastAsia"/>
          <w:color w:val="auto"/>
          <w:highlight w:val="none"/>
          <w:lang w:val="en-US" w:eastAsia="zh-CN"/>
        </w:rPr>
        <w:t>10</w:t>
      </w:r>
      <w:r>
        <w:rPr>
          <w:rFonts w:hint="eastAsia"/>
          <w:color w:val="auto"/>
          <w:highlight w:val="none"/>
        </w:rPr>
        <w:t>. 报价要求</w:t>
      </w:r>
    </w:p>
    <w:p>
      <w:pPr>
        <w:ind w:firstLine="480"/>
        <w:rPr>
          <w:color w:val="auto"/>
          <w:highlight w:val="none"/>
        </w:rPr>
      </w:pPr>
      <w:r>
        <w:rPr>
          <w:rFonts w:hint="eastAsia"/>
          <w:color w:val="auto"/>
          <w:highlight w:val="none"/>
        </w:rPr>
        <w:t>参选人应严格按照《参选文件格式》的“报价一览表”的格式认真填写。</w:t>
      </w:r>
    </w:p>
    <w:p>
      <w:pPr>
        <w:pStyle w:val="4"/>
        <w:rPr>
          <w:color w:val="auto"/>
          <w:highlight w:val="none"/>
        </w:rPr>
      </w:pPr>
      <w:bookmarkStart w:id="62" w:name="_Toc89675152"/>
      <w:bookmarkStart w:id="63" w:name="_Toc15059426"/>
      <w:r>
        <w:rPr>
          <w:rFonts w:hint="eastAsia"/>
          <w:color w:val="auto"/>
          <w:highlight w:val="none"/>
          <w:lang w:val="en-US" w:eastAsia="zh-CN"/>
        </w:rPr>
        <w:t>11</w:t>
      </w:r>
      <w:r>
        <w:rPr>
          <w:rFonts w:hint="eastAsia"/>
          <w:color w:val="auto"/>
          <w:highlight w:val="none"/>
        </w:rPr>
        <w:t>. 知识产权</w:t>
      </w:r>
      <w:bookmarkEnd w:id="62"/>
      <w:bookmarkEnd w:id="63"/>
    </w:p>
    <w:p>
      <w:pPr>
        <w:ind w:firstLine="480"/>
        <w:rPr>
          <w:color w:val="auto"/>
          <w:highlight w:val="none"/>
        </w:rPr>
      </w:pPr>
      <w:r>
        <w:rPr>
          <w:rFonts w:hint="eastAsia"/>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4"/>
        <w:rPr>
          <w:color w:val="auto"/>
          <w:highlight w:val="none"/>
        </w:rPr>
      </w:pPr>
      <w:bookmarkStart w:id="64" w:name="_Toc15059427"/>
      <w:bookmarkStart w:id="65" w:name="_Toc89675153"/>
      <w:r>
        <w:rPr>
          <w:rFonts w:hint="eastAsia"/>
          <w:color w:val="auto"/>
          <w:highlight w:val="none"/>
        </w:rPr>
        <w:t>1</w:t>
      </w:r>
      <w:r>
        <w:rPr>
          <w:rFonts w:hint="eastAsia"/>
          <w:color w:val="auto"/>
          <w:highlight w:val="none"/>
          <w:lang w:val="en-US" w:eastAsia="zh-CN"/>
        </w:rPr>
        <w:t>2</w:t>
      </w:r>
      <w:r>
        <w:rPr>
          <w:rFonts w:hint="eastAsia"/>
          <w:color w:val="auto"/>
          <w:highlight w:val="none"/>
        </w:rPr>
        <w:t>. 其他</w:t>
      </w:r>
      <w:bookmarkEnd w:id="64"/>
      <w:bookmarkEnd w:id="65"/>
    </w:p>
    <w:p>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.1 参选人必须在参选文件中对</w:t>
      </w:r>
      <w:r>
        <w:rPr>
          <w:rFonts w:hint="eastAsia" w:ascii="Times New Roman" w:hAnsi="Times New Roman"/>
          <w:color w:val="auto"/>
          <w:highlight w:val="none"/>
        </w:rPr>
        <w:t>本章</w:t>
      </w:r>
      <w:r>
        <w:rPr>
          <w:rFonts w:hint="eastAsia" w:ascii="Times New Roman" w:hAnsi="Times New Roman"/>
          <w:color w:val="auto"/>
          <w:highlight w:val="none"/>
          <w:lang w:val="en-US" w:eastAsia="zh-CN"/>
        </w:rPr>
        <w:t>要求</w:t>
      </w:r>
      <w:r>
        <w:rPr>
          <w:rFonts w:hint="eastAsia" w:ascii="Times New Roman" w:hAnsi="Times New Roman"/>
          <w:color w:val="auto"/>
          <w:highlight w:val="none"/>
        </w:rPr>
        <w:t>内容做出</w:t>
      </w:r>
      <w:r>
        <w:rPr>
          <w:rFonts w:hint="eastAsia" w:ascii="Times New Roman" w:hAnsi="Times New Roman"/>
          <w:color w:val="auto"/>
          <w:highlight w:val="none"/>
          <w:lang w:val="en-US" w:eastAsia="zh-CN"/>
        </w:rPr>
        <w:t>整体书面</w:t>
      </w:r>
      <w:r>
        <w:rPr>
          <w:rFonts w:hint="eastAsia" w:ascii="Times New Roman" w:hAnsi="Times New Roman"/>
          <w:color w:val="auto"/>
          <w:highlight w:val="none"/>
        </w:rPr>
        <w:t>承诺</w:t>
      </w:r>
      <w:r>
        <w:rPr>
          <w:rFonts w:hint="eastAsia" w:ascii="Times New Roman" w:hAnsi="Times New Roman"/>
          <w:color w:val="auto"/>
          <w:highlight w:val="none"/>
          <w:lang w:eastAsia="zh-CN"/>
        </w:rPr>
        <w:t>，承诺内容必须达到比选文件要求</w:t>
      </w:r>
      <w:r>
        <w:rPr>
          <w:rFonts w:hint="eastAsia"/>
          <w:color w:val="auto"/>
          <w:highlight w:val="none"/>
        </w:rPr>
        <w:t>。</w:t>
      </w:r>
    </w:p>
    <w:p>
      <w:pPr>
        <w:ind w:firstLine="480"/>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.2</w:t>
      </w:r>
      <w:r>
        <w:rPr>
          <w:rFonts w:hint="eastAsia"/>
          <w:color w:val="auto"/>
          <w:highlight w:val="none"/>
          <w:lang w:val="en-US" w:eastAsia="zh-CN"/>
        </w:rPr>
        <w:t xml:space="preserve"> </w:t>
      </w:r>
      <w:r>
        <w:rPr>
          <w:rFonts w:hint="eastAsia" w:ascii="Times New Roman" w:hAnsi="Times New Roman"/>
          <w:color w:val="auto"/>
          <w:highlight w:val="none"/>
        </w:rPr>
        <w:t>参选人应根据本章内容和要求，提供对应</w:t>
      </w:r>
      <w:r>
        <w:rPr>
          <w:rFonts w:ascii="Times New Roman" w:hAnsi="Times New Roman"/>
          <w:color w:val="auto"/>
          <w:highlight w:val="none"/>
        </w:rPr>
        <w:t>材料</w:t>
      </w:r>
      <w:r>
        <w:rPr>
          <w:rFonts w:hint="eastAsia" w:ascii="Times New Roman" w:hAnsi="Times New Roman"/>
          <w:color w:val="auto"/>
          <w:highlight w:val="none"/>
        </w:rPr>
        <w:t>，内容齐全，无遗漏。</w:t>
      </w:r>
    </w:p>
    <w:p>
      <w:pPr>
        <w:ind w:firstLine="480"/>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其他未尽事宜由供需双方在合同中详细约定。</w:t>
      </w:r>
    </w:p>
    <w:p>
      <w:pPr>
        <w:snapToGrid w:val="0"/>
        <w:spacing w:line="360" w:lineRule="auto"/>
        <w:ind w:firstLine="480"/>
        <w:rPr>
          <w:rFonts w:ascii="宋体" w:cs="宋体"/>
          <w:snapToGrid w:val="0"/>
          <w:color w:val="auto"/>
          <w:kern w:val="0"/>
          <w:szCs w:val="24"/>
          <w:highlight w:val="none"/>
        </w:rPr>
      </w:pPr>
    </w:p>
    <w:p>
      <w:pPr>
        <w:snapToGrid w:val="0"/>
        <w:spacing w:line="360" w:lineRule="auto"/>
        <w:ind w:firstLine="480"/>
        <w:rPr>
          <w:rFonts w:ascii="宋体" w:cs="宋体"/>
          <w:snapToGrid w:val="0"/>
          <w:color w:val="auto"/>
          <w:kern w:val="0"/>
          <w:szCs w:val="24"/>
          <w:highlight w:val="none"/>
        </w:rPr>
      </w:pPr>
      <w:r>
        <w:rPr>
          <w:rFonts w:hint="eastAsia" w:ascii="宋体" w:cs="宋体"/>
          <w:snapToGrid w:val="0"/>
          <w:color w:val="auto"/>
          <w:kern w:val="0"/>
          <w:szCs w:val="24"/>
          <w:highlight w:val="none"/>
        </w:rPr>
        <w:br w:type="page"/>
      </w:r>
    </w:p>
    <w:p>
      <w:pPr>
        <w:pStyle w:val="3"/>
        <w:rPr>
          <w:color w:val="auto"/>
          <w:highlight w:val="none"/>
        </w:rPr>
      </w:pPr>
      <w:bookmarkStart w:id="66" w:name="_Toc29189"/>
      <w:bookmarkStart w:id="67" w:name="_Toc24542"/>
      <w:bookmarkStart w:id="68" w:name="_Toc103556420"/>
      <w:r>
        <w:rPr>
          <w:rFonts w:hint="eastAsia"/>
          <w:color w:val="auto"/>
          <w:highlight w:val="none"/>
        </w:rPr>
        <w:t>第四章 评审办法（综合评估法）</w:t>
      </w:r>
      <w:bookmarkEnd w:id="66"/>
      <w:bookmarkEnd w:id="67"/>
      <w:bookmarkEnd w:id="68"/>
    </w:p>
    <w:p>
      <w:pPr>
        <w:ind w:firstLine="482"/>
        <w:rPr>
          <w:b/>
          <w:bCs/>
          <w:color w:val="auto"/>
          <w:highlight w:val="none"/>
        </w:rPr>
      </w:pPr>
      <w:bookmarkStart w:id="69" w:name="_Toc2028"/>
      <w:bookmarkStart w:id="70" w:name="_Toc27076"/>
      <w:bookmarkStart w:id="71" w:name="_Toc14810"/>
      <w:bookmarkStart w:id="72" w:name="_Toc11471"/>
      <w:r>
        <w:rPr>
          <w:rFonts w:hint="eastAsia"/>
          <w:b/>
          <w:bCs/>
          <w:color w:val="auto"/>
          <w:highlight w:val="none"/>
        </w:rPr>
        <w:t>评审办法前附表</w:t>
      </w:r>
      <w:bookmarkEnd w:id="69"/>
      <w:bookmarkEnd w:id="70"/>
      <w:bookmarkEnd w:id="71"/>
      <w:bookmarkEnd w:id="72"/>
    </w:p>
    <w:p>
      <w:pPr>
        <w:spacing w:line="360" w:lineRule="auto"/>
        <w:ind w:firstLine="480"/>
        <w:rPr>
          <w:color w:val="auto"/>
          <w:highlight w:val="none"/>
        </w:rPr>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firstLineChars="0"/>
              <w:jc w:val="center"/>
              <w:rPr>
                <w:rFonts w:ascii="宋体" w:hAnsi="宋体" w:cs="宋体"/>
                <w:b/>
                <w:color w:val="auto"/>
                <w:kern w:val="0"/>
                <w:sz w:val="21"/>
                <w:szCs w:val="21"/>
                <w:highlight w:val="none"/>
              </w:rPr>
            </w:pPr>
            <w:bookmarkStart w:id="73" w:name="CQZH1_07"/>
            <w:r>
              <w:rPr>
                <w:rFonts w:hint="eastAsia" w:ascii="宋体" w:hAnsi="宋体" w:cs="宋体"/>
                <w:b/>
                <w:color w:val="auto"/>
                <w:kern w:val="0"/>
                <w:sz w:val="21"/>
                <w:szCs w:val="21"/>
                <w:highlight w:val="none"/>
              </w:rPr>
              <w:t>条款号</w:t>
            </w:r>
          </w:p>
        </w:tc>
        <w:tc>
          <w:tcPr>
            <w:tcW w:w="1482" w:type="dxa"/>
            <w:vAlign w:val="center"/>
          </w:tcPr>
          <w:p>
            <w:pPr>
              <w:spacing w:line="360" w:lineRule="auto"/>
              <w:ind w:firstLine="0" w:firstLineChars="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162" w:type="dxa"/>
            <w:gridSpan w:val="3"/>
            <w:vAlign w:val="center"/>
          </w:tcPr>
          <w:p>
            <w:pPr>
              <w:spacing w:line="360" w:lineRule="auto"/>
              <w:ind w:firstLine="0" w:firstLineChars="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1</w:t>
            </w:r>
          </w:p>
        </w:tc>
        <w:tc>
          <w:tcPr>
            <w:tcW w:w="1482" w:type="dxa"/>
            <w:vAlign w:val="center"/>
          </w:tcPr>
          <w:p>
            <w:pPr>
              <w:spacing w:line="360" w:lineRule="auto"/>
              <w:ind w:firstLine="0" w:firstLineChars="0"/>
              <w:jc w:val="center"/>
              <w:rPr>
                <w:rFonts w:ascii="宋体" w:hAnsi="宋体"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vAlign w:val="center"/>
          </w:tcPr>
          <w:p>
            <w:pPr>
              <w:spacing w:line="360" w:lineRule="auto"/>
              <w:ind w:firstLine="0" w:firstLineChars="0"/>
              <w:jc w:val="left"/>
              <w:rPr>
                <w:rFonts w:ascii="宋体" w:hAnsi="宋体" w:cs="宋体"/>
                <w:b/>
                <w:color w:val="auto"/>
                <w:kern w:val="0"/>
                <w:sz w:val="21"/>
                <w:szCs w:val="21"/>
                <w:highlight w:val="none"/>
              </w:rPr>
            </w:pPr>
            <w:r>
              <w:rPr>
                <w:rFonts w:hint="eastAsia" w:ascii="宋体" w:hAnsi="宋体" w:cs="Times New Roman"/>
                <w:color w:val="auto"/>
                <w:kern w:val="0"/>
                <w:sz w:val="21"/>
                <w:szCs w:val="24"/>
                <w:highlight w:val="none"/>
              </w:rPr>
              <w:t>本次评审采用综合评估法。评审委员会按照评审办法前附表第2.2 条规定的评分标准进行打分，初步评审合格的参选人中，按得分由高到低顺序推荐3名中选候选人，但参选报价低于其成本的除外。综合评分相等时，以参选报价低的优先；参选报价也相等的，由评审委员会按照</w:t>
            </w:r>
            <w:r>
              <w:rPr>
                <w:rFonts w:hint="eastAsia" w:ascii="宋体" w:hAnsi="宋体" w:cs="宋体"/>
                <w:color w:val="auto"/>
                <w:kern w:val="0"/>
                <w:sz w:val="21"/>
                <w:szCs w:val="21"/>
                <w:highlight w:val="none"/>
                <w:lang w:val="en-US" w:eastAsia="zh-CN"/>
              </w:rPr>
              <w:t>企业实力得分</w:t>
            </w:r>
            <w:r>
              <w:rPr>
                <w:rFonts w:hint="eastAsia" w:ascii="宋体" w:hAnsi="宋体" w:cs="Times New Roman"/>
                <w:color w:val="auto"/>
                <w:kern w:val="0"/>
                <w:sz w:val="21"/>
                <w:szCs w:val="24"/>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2.1</w:t>
            </w:r>
          </w:p>
        </w:tc>
        <w:tc>
          <w:tcPr>
            <w:tcW w:w="1482" w:type="dxa"/>
            <w:vAlign w:val="center"/>
          </w:tcPr>
          <w:p>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初步评审标准</w:t>
            </w:r>
          </w:p>
        </w:tc>
        <w:tc>
          <w:tcPr>
            <w:tcW w:w="7162" w:type="dxa"/>
            <w:gridSpan w:val="3"/>
            <w:vAlign w:val="center"/>
          </w:tcPr>
          <w:p>
            <w:pPr>
              <w:spacing w:line="360" w:lineRule="auto"/>
              <w:ind w:firstLine="0" w:firstLineChars="0"/>
              <w:jc w:val="left"/>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所有参选单位</w:t>
            </w:r>
            <w:r>
              <w:rPr>
                <w:rFonts w:hint="eastAsia" w:ascii="宋体" w:hAnsi="宋体" w:cs="Times New Roman"/>
                <w:color w:val="auto"/>
                <w:spacing w:val="4"/>
                <w:kern w:val="0"/>
                <w:sz w:val="21"/>
                <w:szCs w:val="21"/>
                <w:highlight w:val="none"/>
              </w:rPr>
              <w:t>进行</w:t>
            </w:r>
            <w:r>
              <w:rPr>
                <w:rFonts w:hint="eastAsia" w:ascii="宋体" w:hAnsi="宋体" w:cs="Times New Roman"/>
                <w:color w:val="auto"/>
                <w:kern w:val="0"/>
                <w:sz w:val="21"/>
                <w:szCs w:val="24"/>
                <w:highlight w:val="none"/>
              </w:rPr>
              <w:t>初步评审</w:t>
            </w:r>
            <w:r>
              <w:rPr>
                <w:rFonts w:hint="eastAsia" w:ascii="宋体" w:hAnsi="宋体" w:cs="Times New Roman"/>
                <w:color w:val="auto"/>
                <w:spacing w:val="4"/>
                <w:kern w:val="0"/>
                <w:sz w:val="21"/>
                <w:szCs w:val="21"/>
                <w:highlight w:val="none"/>
              </w:rPr>
              <w:t>。</w:t>
            </w:r>
            <w:r>
              <w:rPr>
                <w:rFonts w:hint="eastAsia" w:ascii="宋体" w:hAnsi="宋体" w:cs="Times New Roman"/>
                <w:color w:val="auto"/>
                <w:kern w:val="0"/>
                <w:sz w:val="21"/>
                <w:szCs w:val="24"/>
                <w:highlight w:val="none"/>
              </w:rPr>
              <w:t>初步评审</w:t>
            </w:r>
            <w:r>
              <w:rPr>
                <w:rFonts w:hint="eastAsia" w:ascii="宋体" w:hAnsi="宋体" w:cs="Times New Roman"/>
                <w:color w:val="auto"/>
                <w:spacing w:val="4"/>
                <w:kern w:val="0"/>
                <w:sz w:val="21"/>
                <w:szCs w:val="21"/>
                <w:highlight w:val="none"/>
              </w:rPr>
              <w:t>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color w:val="auto"/>
                <w:kern w:val="0"/>
                <w:sz w:val="21"/>
                <w:szCs w:val="21"/>
                <w:highlight w:val="none"/>
              </w:rPr>
              <w:t>2.1.1</w:t>
            </w:r>
          </w:p>
        </w:tc>
        <w:tc>
          <w:tcPr>
            <w:tcW w:w="1482" w:type="dxa"/>
            <w:vAlign w:val="center"/>
          </w:tcPr>
          <w:p>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资格评审标准</w:t>
            </w:r>
          </w:p>
        </w:tc>
        <w:tc>
          <w:tcPr>
            <w:tcW w:w="1686" w:type="dxa"/>
            <w:gridSpan w:val="2"/>
            <w:vAlign w:val="center"/>
          </w:tcPr>
          <w:p>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资格条件要求</w:t>
            </w:r>
          </w:p>
        </w:tc>
        <w:tc>
          <w:tcPr>
            <w:tcW w:w="5476" w:type="dxa"/>
            <w:vAlign w:val="center"/>
          </w:tcPr>
          <w:p>
            <w:pPr>
              <w:spacing w:line="360" w:lineRule="auto"/>
              <w:ind w:firstLine="0" w:firstLineChars="0"/>
              <w:jc w:val="left"/>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1482" w:type="dxa"/>
            <w:vMerge w:val="restart"/>
            <w:vAlign w:val="center"/>
          </w:tcPr>
          <w:p>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形式评审标准</w:t>
            </w: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参选人名称</w:t>
            </w:r>
          </w:p>
        </w:tc>
        <w:tc>
          <w:tcPr>
            <w:tcW w:w="5476" w:type="dxa"/>
            <w:vAlign w:val="center"/>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参选文件的签字盖章</w:t>
            </w:r>
          </w:p>
        </w:tc>
        <w:tc>
          <w:tcPr>
            <w:tcW w:w="5476" w:type="dxa"/>
            <w:vAlign w:val="center"/>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参选文件的密封</w:t>
            </w:r>
          </w:p>
        </w:tc>
        <w:tc>
          <w:tcPr>
            <w:tcW w:w="5476" w:type="dxa"/>
            <w:vAlign w:val="center"/>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820" w:type="dxa"/>
            <w:vMerge w:val="continue"/>
            <w:vAlign w:val="center"/>
          </w:tcPr>
          <w:p>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参选文件格式</w:t>
            </w:r>
          </w:p>
        </w:tc>
        <w:tc>
          <w:tcPr>
            <w:tcW w:w="5476" w:type="dxa"/>
            <w:vAlign w:val="center"/>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五</w:t>
            </w:r>
            <w:r>
              <w:rPr>
                <w:rFonts w:hint="eastAsia" w:ascii="宋体" w:hAnsi="宋体" w:cs="宋体"/>
                <w:color w:val="auto"/>
                <w:kern w:val="0"/>
                <w:sz w:val="21"/>
                <w:szCs w:val="21"/>
                <w:highlight w:val="none"/>
              </w:rPr>
              <w:t>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参选文件组成</w:t>
            </w:r>
          </w:p>
        </w:tc>
        <w:tc>
          <w:tcPr>
            <w:tcW w:w="5476" w:type="dxa"/>
            <w:vAlign w:val="center"/>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符合第二章“参选人须知”4.1 条规定，</w:t>
            </w:r>
            <w:r>
              <w:rPr>
                <w:rFonts w:hint="eastAsia" w:ascii="宋体" w:cs="宋体"/>
                <w:color w:val="auto"/>
                <w:kern w:val="0"/>
                <w:sz w:val="20"/>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联合体参选</w:t>
            </w:r>
          </w:p>
        </w:tc>
        <w:tc>
          <w:tcPr>
            <w:tcW w:w="5476" w:type="dxa"/>
            <w:vAlign w:val="center"/>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2.1.3</w:t>
            </w:r>
          </w:p>
        </w:tc>
        <w:tc>
          <w:tcPr>
            <w:tcW w:w="1482" w:type="dxa"/>
            <w:vMerge w:val="restart"/>
            <w:vAlign w:val="center"/>
          </w:tcPr>
          <w:p>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响应性评审标准</w:t>
            </w: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参选内容</w:t>
            </w:r>
          </w:p>
        </w:tc>
        <w:tc>
          <w:tcPr>
            <w:tcW w:w="5476" w:type="dxa"/>
            <w:vAlign w:val="center"/>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 在响应承诺函中对第三章“项目要求”</w:t>
            </w:r>
            <w:r>
              <w:rPr>
                <w:rFonts w:hint="eastAsia" w:ascii="宋体" w:hAnsi="宋体" w:cs="宋体"/>
                <w:color w:val="auto"/>
                <w:kern w:val="0"/>
                <w:sz w:val="21"/>
                <w:szCs w:val="21"/>
                <w:highlight w:val="none"/>
                <w:lang w:val="en-US" w:eastAsia="zh-CN"/>
              </w:rPr>
              <w:t>做出整体承诺</w:t>
            </w:r>
            <w:r>
              <w:rPr>
                <w:rFonts w:hint="eastAsia" w:ascii="宋体" w:hAnsi="宋体" w:cs="宋体"/>
                <w:color w:val="auto"/>
                <w:kern w:val="0"/>
                <w:sz w:val="21"/>
                <w:szCs w:val="21"/>
                <w:highlight w:val="none"/>
              </w:rPr>
              <w:t>；</w:t>
            </w:r>
          </w:p>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2. 根据第一章“2. </w:t>
            </w:r>
            <w:r>
              <w:rPr>
                <w:rFonts w:ascii="宋体" w:hAnsi="宋体" w:cs="宋体"/>
                <w:color w:val="auto"/>
                <w:kern w:val="0"/>
                <w:sz w:val="21"/>
                <w:szCs w:val="21"/>
                <w:highlight w:val="none"/>
              </w:rPr>
              <w:t>参选人资格要求”和第三章“项目要求”的规定，提供对应</w:t>
            </w:r>
            <w:r>
              <w:rPr>
                <w:rFonts w:hint="eastAsia" w:ascii="宋体" w:hAnsi="宋体" w:cs="宋体"/>
                <w:color w:val="auto"/>
                <w:kern w:val="0"/>
                <w:sz w:val="21"/>
                <w:szCs w:val="21"/>
                <w:highlight w:val="none"/>
                <w:lang w:eastAsia="zh-CN"/>
              </w:rPr>
              <w:t>材料</w:t>
            </w:r>
            <w:r>
              <w:rPr>
                <w:rFonts w:ascii="宋体" w:hAnsi="宋体" w:cs="宋体"/>
                <w:color w:val="auto"/>
                <w:kern w:val="0"/>
                <w:sz w:val="21"/>
                <w:szCs w:val="21"/>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color w:val="auto"/>
                <w:sz w:val="21"/>
                <w:szCs w:val="21"/>
                <w:highlight w:val="none"/>
              </w:rPr>
            </w:pPr>
          </w:p>
        </w:tc>
        <w:tc>
          <w:tcPr>
            <w:tcW w:w="1482" w:type="dxa"/>
            <w:vMerge w:val="continue"/>
          </w:tcPr>
          <w:p>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参选文件份数</w:t>
            </w:r>
          </w:p>
        </w:tc>
        <w:tc>
          <w:tcPr>
            <w:tcW w:w="5476" w:type="dxa"/>
            <w:vAlign w:val="center"/>
          </w:tcPr>
          <w:p>
            <w:pPr>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color w:val="auto"/>
                <w:sz w:val="21"/>
                <w:szCs w:val="21"/>
                <w:highlight w:val="none"/>
              </w:rPr>
            </w:pPr>
          </w:p>
        </w:tc>
        <w:tc>
          <w:tcPr>
            <w:tcW w:w="1482" w:type="dxa"/>
            <w:vMerge w:val="continue"/>
          </w:tcPr>
          <w:p>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参选方案唯一</w:t>
            </w:r>
          </w:p>
        </w:tc>
        <w:tc>
          <w:tcPr>
            <w:tcW w:w="5476" w:type="dxa"/>
            <w:vAlign w:val="center"/>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color w:val="auto"/>
                <w:sz w:val="21"/>
                <w:szCs w:val="21"/>
                <w:highlight w:val="none"/>
              </w:rPr>
            </w:pPr>
          </w:p>
        </w:tc>
        <w:tc>
          <w:tcPr>
            <w:tcW w:w="1482" w:type="dxa"/>
            <w:vMerge w:val="continue"/>
          </w:tcPr>
          <w:p>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参选报价</w:t>
            </w:r>
          </w:p>
        </w:tc>
        <w:tc>
          <w:tcPr>
            <w:tcW w:w="5476" w:type="dxa"/>
            <w:vAlign w:val="center"/>
          </w:tcPr>
          <w:p>
            <w:pPr>
              <w:adjustRightInd w:val="0"/>
              <w:snapToGrid w:val="0"/>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color w:val="auto"/>
                <w:sz w:val="21"/>
                <w:szCs w:val="21"/>
                <w:highlight w:val="none"/>
              </w:rPr>
            </w:pPr>
          </w:p>
        </w:tc>
        <w:tc>
          <w:tcPr>
            <w:tcW w:w="1482" w:type="dxa"/>
            <w:vMerge w:val="continue"/>
          </w:tcPr>
          <w:p>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参选有效期</w:t>
            </w:r>
          </w:p>
        </w:tc>
        <w:tc>
          <w:tcPr>
            <w:tcW w:w="5476" w:type="dxa"/>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spacing w:line="360" w:lineRule="auto"/>
              <w:ind w:firstLine="0" w:firstLineChars="0"/>
              <w:jc w:val="center"/>
              <w:rPr>
                <w:rFonts w:ascii="宋体" w:hAnsi="宋体" w:cs="宋体"/>
                <w:color w:val="auto"/>
                <w:sz w:val="21"/>
                <w:szCs w:val="21"/>
                <w:highlight w:val="none"/>
              </w:rPr>
            </w:pPr>
          </w:p>
        </w:tc>
        <w:tc>
          <w:tcPr>
            <w:tcW w:w="1482" w:type="dxa"/>
            <w:vMerge w:val="continue"/>
          </w:tcPr>
          <w:p>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参选保证金</w:t>
            </w:r>
          </w:p>
        </w:tc>
        <w:tc>
          <w:tcPr>
            <w:tcW w:w="5476" w:type="dxa"/>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pPr>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482" w:type="dxa"/>
            <w:vMerge w:val="restart"/>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详细评审</w:t>
            </w:r>
          </w:p>
        </w:tc>
        <w:tc>
          <w:tcPr>
            <w:tcW w:w="1686" w:type="dxa"/>
            <w:gridSpan w:val="2"/>
            <w:vMerge w:val="restart"/>
            <w:vAlign w:val="center"/>
          </w:tcPr>
          <w:p>
            <w:pPr>
              <w:tabs>
                <w:tab w:val="left" w:pos="1875"/>
              </w:tabs>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分值构成与评分标准</w:t>
            </w:r>
          </w:p>
          <w:p>
            <w:pPr>
              <w:tabs>
                <w:tab w:val="left" w:pos="1875"/>
              </w:tabs>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(总分1OO分)</w:t>
            </w:r>
          </w:p>
        </w:tc>
        <w:tc>
          <w:tcPr>
            <w:tcW w:w="5476" w:type="dxa"/>
            <w:vAlign w:val="center"/>
          </w:tcPr>
          <w:p>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一、</w:t>
            </w:r>
            <w:r>
              <w:rPr>
                <w:rFonts w:hint="eastAsia" w:ascii="宋体" w:hAnsi="宋体" w:cs="宋体"/>
                <w:color w:val="auto"/>
                <w:kern w:val="0"/>
                <w:sz w:val="21"/>
                <w:szCs w:val="21"/>
                <w:highlight w:val="none"/>
              </w:rPr>
              <w:t>参选报价（</w:t>
            </w:r>
            <w:r>
              <w:rPr>
                <w:rFonts w:hint="eastAsia" w:ascii="宋体" w:hAnsi="宋体" w:cs="宋体"/>
                <w:color w:val="auto"/>
                <w:kern w:val="0"/>
                <w:sz w:val="21"/>
                <w:szCs w:val="21"/>
                <w:highlight w:val="none"/>
                <w:lang w:eastAsia="zh-CN"/>
              </w:rPr>
              <w:t>5</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分）评分规则：</w:t>
            </w:r>
          </w:p>
          <w:p>
            <w:pPr>
              <w:spacing w:line="360" w:lineRule="auto"/>
              <w:ind w:firstLine="0" w:firstLineChars="0"/>
              <w:jc w:val="left"/>
              <w:rPr>
                <w:rFonts w:hint="eastAsia" w:ascii="宋体" w:hAnsi="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eastAsia="zh-CN"/>
                <w14:textFill>
                  <w14:solidFill>
                    <w14:schemeClr w14:val="tx1"/>
                  </w14:solidFill>
                </w14:textFill>
              </w:rPr>
              <w:t>所有初步评审合格的参选人</w:t>
            </w:r>
            <w:r>
              <w:rPr>
                <w:rFonts w:hint="eastAsia" w:ascii="宋体" w:hAnsi="宋体" w:cs="宋体"/>
                <w:color w:val="000000" w:themeColor="text1"/>
                <w:kern w:val="0"/>
                <w:sz w:val="21"/>
                <w:szCs w:val="21"/>
                <w:highlight w:val="none"/>
                <w14:textFill>
                  <w14:solidFill>
                    <w14:schemeClr w14:val="tx1"/>
                  </w14:solidFill>
                </w14:textFill>
              </w:rPr>
              <w:t>最低有效报价为评审基准价，报价等于评审基准价的得满分50分</w:t>
            </w:r>
            <w:r>
              <w:rPr>
                <w:rFonts w:hint="eastAsia" w:ascii="宋体" w:hAnsi="宋体" w:cs="宋体"/>
                <w:color w:val="000000" w:themeColor="text1"/>
                <w:kern w:val="0"/>
                <w:sz w:val="21"/>
                <w:szCs w:val="21"/>
                <w:highlight w:val="none"/>
                <w:lang w:eastAsia="zh-CN"/>
                <w14:textFill>
                  <w14:solidFill>
                    <w14:schemeClr w14:val="tx1"/>
                  </w14:solidFill>
                </w14:textFill>
              </w:rPr>
              <w:t>；</w:t>
            </w:r>
          </w:p>
          <w:p>
            <w:pPr>
              <w:spacing w:line="360" w:lineRule="auto"/>
              <w:ind w:firstLine="0" w:firstLineChars="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2.计算各有效报价与评标基准价的偏离度。偏离度=（有效报价/评标基准价-1）*100%；</w:t>
            </w:r>
          </w:p>
          <w:p>
            <w:pPr>
              <w:spacing w:line="360" w:lineRule="auto"/>
              <w:ind w:firstLine="0" w:firstLineChars="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3.报价向上每正偏离1%的，扣</w:t>
            </w:r>
            <w:r>
              <w:rPr>
                <w:rFonts w:hint="eastAsia" w:ascii="宋体" w:hAnsi="宋体" w:cs="宋体"/>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cs="宋体"/>
                <w:color w:val="000000" w:themeColor="text1"/>
                <w:kern w:val="0"/>
                <w:sz w:val="21"/>
                <w:szCs w:val="21"/>
                <w:highlight w:val="none"/>
                <w:lang w:eastAsia="zh-CN"/>
                <w14:textFill>
                  <w14:solidFill>
                    <w14:schemeClr w14:val="tx1"/>
                  </w14:solidFill>
                </w14:textFill>
              </w:rPr>
              <w:t>，扣完为止；</w:t>
            </w:r>
          </w:p>
          <w:p>
            <w:pPr>
              <w:spacing w:line="360" w:lineRule="auto"/>
              <w:ind w:firstLine="0" w:firstLineChars="0"/>
              <w:jc w:val="left"/>
              <w:rPr>
                <w:rFonts w:hint="eastAsia" w:ascii="宋体" w:hAnsi="宋体" w:cs="宋体"/>
                <w:color w:val="auto"/>
                <w:kern w:val="0"/>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偏离度不足1%的不扣分。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820" w:type="dxa"/>
            <w:vMerge w:val="continue"/>
            <w:vAlign w:val="center"/>
          </w:tcPr>
          <w:p>
            <w:pPr>
              <w:spacing w:line="360" w:lineRule="auto"/>
              <w:ind w:firstLine="0" w:firstLineChars="0"/>
              <w:rPr>
                <w:rFonts w:ascii="宋体" w:hAnsi="宋体" w:cs="宋体"/>
                <w:color w:val="auto"/>
                <w:kern w:val="0"/>
                <w:sz w:val="21"/>
                <w:szCs w:val="21"/>
                <w:highlight w:val="none"/>
              </w:rPr>
            </w:pPr>
          </w:p>
        </w:tc>
        <w:tc>
          <w:tcPr>
            <w:tcW w:w="1482" w:type="dxa"/>
            <w:vMerge w:val="continue"/>
            <w:vAlign w:val="center"/>
          </w:tcPr>
          <w:p>
            <w:pPr>
              <w:spacing w:line="360" w:lineRule="auto"/>
              <w:ind w:firstLine="0" w:firstLineChars="0"/>
              <w:rPr>
                <w:rFonts w:ascii="宋体" w:hAnsi="宋体" w:cs="宋体"/>
                <w:color w:val="auto"/>
                <w:kern w:val="0"/>
                <w:sz w:val="21"/>
                <w:szCs w:val="21"/>
                <w:highlight w:val="none"/>
              </w:rPr>
            </w:pPr>
          </w:p>
        </w:tc>
        <w:tc>
          <w:tcPr>
            <w:tcW w:w="1686" w:type="dxa"/>
            <w:gridSpan w:val="2"/>
            <w:vMerge w:val="continue"/>
            <w:vAlign w:val="center"/>
          </w:tcPr>
          <w:p>
            <w:pPr>
              <w:tabs>
                <w:tab w:val="left" w:pos="1875"/>
              </w:tabs>
              <w:spacing w:line="360" w:lineRule="auto"/>
              <w:ind w:firstLine="0" w:firstLineChars="0"/>
              <w:jc w:val="center"/>
              <w:rPr>
                <w:rFonts w:ascii="宋体" w:hAnsi="宋体" w:cs="宋体"/>
                <w:color w:val="auto"/>
                <w:kern w:val="0"/>
                <w:sz w:val="21"/>
                <w:szCs w:val="21"/>
                <w:highlight w:val="none"/>
              </w:rPr>
            </w:pPr>
          </w:p>
        </w:tc>
        <w:tc>
          <w:tcPr>
            <w:tcW w:w="5476" w:type="dxa"/>
            <w:vAlign w:val="center"/>
          </w:tcPr>
          <w:p>
            <w:pPr>
              <w:spacing w:line="360" w:lineRule="auto"/>
              <w:ind w:firstLine="0"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二、企业实力</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分）评分规则：</w:t>
            </w:r>
          </w:p>
          <w:p>
            <w:pPr>
              <w:spacing w:line="360" w:lineRule="auto"/>
              <w:ind w:firstLine="0" w:firstLineChars="0"/>
              <w:jc w:val="left"/>
              <w:rPr>
                <w:rFonts w:hint="default" w:ascii="宋体" w:hAnsi="宋体" w:cs="宋体"/>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1.</w:t>
            </w:r>
            <w:r>
              <w:rPr>
                <w:rFonts w:hint="eastAsia" w:cs="宋体" w:asciiTheme="minorEastAsia" w:hAnsiTheme="minorEastAsia" w:eastAsiaTheme="minorEastAsia"/>
                <w:color w:val="auto"/>
                <w:kern w:val="0"/>
                <w:sz w:val="21"/>
                <w:szCs w:val="21"/>
                <w:highlight w:val="none"/>
              </w:rPr>
              <w:t>项目实施团队资质</w:t>
            </w:r>
            <w:r>
              <w:rPr>
                <w:rFonts w:hint="eastAsia" w:cs="宋体" w:asciiTheme="minorEastAsia" w:hAnsiTheme="minorEastAsia" w:eastAsiaTheme="minorEastAsia"/>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lang w:val="en-US" w:eastAsia="zh-CN"/>
              </w:rPr>
              <w:t>14分）</w:t>
            </w:r>
          </w:p>
          <w:p>
            <w:pPr>
              <w:spacing w:line="360" w:lineRule="auto"/>
              <w:ind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rPr>
              <w:t>①</w:t>
            </w:r>
            <w:r>
              <w:rPr>
                <w:rFonts w:hint="eastAsia" w:ascii="宋体" w:hAnsi="宋体" w:cs="宋体"/>
                <w:color w:val="auto"/>
                <w:kern w:val="0"/>
                <w:sz w:val="21"/>
                <w:szCs w:val="21"/>
                <w:highlight w:val="none"/>
                <w:lang w:val="en-US" w:eastAsia="zh-CN"/>
              </w:rPr>
              <w:t>项目经理</w:t>
            </w:r>
            <w:r>
              <w:rPr>
                <w:rFonts w:hint="eastAsia" w:ascii="宋体" w:hAnsi="宋体" w:eastAsia="宋体" w:cs="宋体"/>
                <w:color w:val="auto"/>
                <w:kern w:val="0"/>
                <w:sz w:val="21"/>
                <w:szCs w:val="21"/>
                <w:highlight w:val="none"/>
              </w:rPr>
              <w:t>经验</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6分）</w:t>
            </w:r>
          </w:p>
          <w:p>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负责本项目的</w:t>
            </w:r>
            <w:r>
              <w:rPr>
                <w:rFonts w:hint="eastAsia" w:ascii="宋体" w:hAnsi="宋体" w:cs="宋体"/>
                <w:color w:val="auto"/>
                <w:kern w:val="0"/>
                <w:sz w:val="21"/>
                <w:szCs w:val="21"/>
                <w:highlight w:val="none"/>
                <w:lang w:val="en-US" w:eastAsia="zh-CN"/>
              </w:rPr>
              <w:t>项目经理</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应具备数据安全风险</w:t>
            </w:r>
            <w:r>
              <w:rPr>
                <w:rFonts w:hint="eastAsia" w:ascii="宋体" w:hAnsi="宋体" w:eastAsia="宋体" w:cs="宋体"/>
                <w:color w:val="auto"/>
                <w:kern w:val="0"/>
                <w:sz w:val="21"/>
                <w:szCs w:val="21"/>
                <w:highlight w:val="none"/>
              </w:rPr>
              <w:t>评估</w:t>
            </w:r>
            <w:r>
              <w:rPr>
                <w:rFonts w:hint="eastAsia" w:ascii="宋体" w:hAnsi="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经验</w:t>
            </w:r>
            <w:r>
              <w:rPr>
                <w:rFonts w:hint="eastAsia" w:ascii="宋体" w:hAnsi="宋体" w:cs="宋体"/>
                <w:color w:val="auto"/>
                <w:kern w:val="0"/>
                <w:sz w:val="21"/>
                <w:szCs w:val="21"/>
                <w:highlight w:val="none"/>
                <w:lang w:eastAsia="zh-CN"/>
              </w:rPr>
              <w:t>，</w:t>
            </w:r>
            <w:r>
              <w:rPr>
                <w:rFonts w:hint="eastAsia" w:cs="宋体" w:asciiTheme="minorEastAsia" w:hAnsiTheme="minorEastAsia" w:eastAsiaTheme="minorEastAsia"/>
                <w:color w:val="auto"/>
                <w:kern w:val="0"/>
                <w:sz w:val="21"/>
                <w:szCs w:val="21"/>
                <w:highlight w:val="none"/>
              </w:rPr>
              <w:t>每</w:t>
            </w:r>
            <w:r>
              <w:rPr>
                <w:rFonts w:hint="eastAsia" w:cs="宋体" w:asciiTheme="minorEastAsia" w:hAnsiTheme="minorEastAsia" w:eastAsiaTheme="minorEastAsia"/>
                <w:color w:val="auto"/>
                <w:kern w:val="0"/>
                <w:sz w:val="21"/>
                <w:szCs w:val="21"/>
                <w:highlight w:val="none"/>
                <w:lang w:val="en-US" w:eastAsia="zh-CN"/>
              </w:rPr>
              <w:t>提供</w:t>
            </w:r>
            <w:r>
              <w:rPr>
                <w:rFonts w:hint="eastAsia" w:cs="宋体" w:asciiTheme="minorEastAsia" w:hAnsiTheme="minorEastAsia" w:eastAsiaTheme="minorEastAsia"/>
                <w:color w:val="auto"/>
                <w:kern w:val="0"/>
                <w:sz w:val="21"/>
                <w:szCs w:val="21"/>
                <w:highlight w:val="none"/>
              </w:rPr>
              <w:t>一个项目案例可得</w:t>
            </w:r>
            <w:r>
              <w:rPr>
                <w:rFonts w:hint="eastAsia" w:cs="宋体" w:asciiTheme="minorEastAsia" w:hAnsiTheme="minorEastAsia" w:eastAsiaTheme="minorEastAsia"/>
                <w:color w:val="auto"/>
                <w:kern w:val="0"/>
                <w:sz w:val="21"/>
                <w:szCs w:val="21"/>
                <w:highlight w:val="none"/>
                <w:lang w:val="en-US" w:eastAsia="zh-CN"/>
              </w:rPr>
              <w:t>2</w:t>
            </w:r>
            <w:r>
              <w:rPr>
                <w:rFonts w:hint="eastAsia" w:cs="宋体" w:asciiTheme="minorEastAsia" w:hAnsiTheme="minorEastAsia" w:eastAsiaTheme="minorEastAsia"/>
                <w:color w:val="auto"/>
                <w:kern w:val="0"/>
                <w:sz w:val="21"/>
                <w:szCs w:val="21"/>
                <w:highlight w:val="none"/>
              </w:rPr>
              <w:t>分，最高不超过</w:t>
            </w:r>
            <w:r>
              <w:rPr>
                <w:rFonts w:hint="eastAsia" w:cs="宋体" w:asciiTheme="minorEastAsia" w:hAnsiTheme="minorEastAsia" w:eastAsiaTheme="minorEastAsia"/>
                <w:color w:val="auto"/>
                <w:kern w:val="0"/>
                <w:sz w:val="21"/>
                <w:szCs w:val="21"/>
                <w:highlight w:val="none"/>
                <w:lang w:val="en-US" w:eastAsia="zh-CN"/>
              </w:rPr>
              <w:t>6</w:t>
            </w:r>
            <w:r>
              <w:rPr>
                <w:rFonts w:hint="eastAsia" w:cs="宋体" w:asciiTheme="minorEastAsia" w:hAnsiTheme="minorEastAsia" w:eastAsiaTheme="minorEastAsia"/>
                <w:color w:val="auto"/>
                <w:kern w:val="0"/>
                <w:sz w:val="21"/>
                <w:szCs w:val="21"/>
                <w:highlight w:val="none"/>
              </w:rPr>
              <w:t>分</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（提供相关证明资料，不提供不得分）</w:t>
            </w:r>
          </w:p>
          <w:p>
            <w:pPr>
              <w:spacing w:line="360" w:lineRule="auto"/>
              <w:ind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w:t>
            </w:r>
            <w:r>
              <w:rPr>
                <w:rFonts w:hint="eastAsia" w:ascii="宋体" w:hAnsi="宋体" w:cs="宋体"/>
                <w:color w:val="auto"/>
                <w:kern w:val="0"/>
                <w:sz w:val="21"/>
                <w:szCs w:val="21"/>
                <w:highlight w:val="none"/>
                <w:lang w:val="en-US" w:eastAsia="zh-CN"/>
              </w:rPr>
              <w:t>项目实施团队经验（8分）</w:t>
            </w:r>
          </w:p>
          <w:p>
            <w:pPr>
              <w:spacing w:line="360" w:lineRule="auto"/>
              <w:ind w:firstLine="0" w:firstLineChars="0"/>
              <w:jc w:val="left"/>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参与本</w:t>
            </w:r>
            <w:r>
              <w:rPr>
                <w:rFonts w:hint="eastAsia" w:ascii="宋体" w:hAnsi="宋体" w:eastAsia="宋体" w:cs="宋体"/>
                <w:color w:val="auto"/>
                <w:kern w:val="0"/>
                <w:sz w:val="21"/>
                <w:szCs w:val="21"/>
                <w:highlight w:val="none"/>
              </w:rPr>
              <w:t>项目的</w:t>
            </w:r>
            <w:r>
              <w:rPr>
                <w:rFonts w:hint="eastAsia" w:ascii="宋体" w:hAnsi="宋体" w:eastAsia="宋体" w:cs="宋体"/>
                <w:color w:val="auto"/>
                <w:kern w:val="0"/>
                <w:sz w:val="21"/>
                <w:szCs w:val="21"/>
                <w:highlight w:val="none"/>
                <w:lang w:val="en-US" w:eastAsia="zh-CN"/>
              </w:rPr>
              <w:t>评估</w:t>
            </w:r>
            <w:r>
              <w:rPr>
                <w:rFonts w:hint="eastAsia" w:ascii="宋体" w:hAnsi="宋体" w:eastAsia="宋体" w:cs="宋体"/>
                <w:color w:val="auto"/>
                <w:kern w:val="0"/>
                <w:sz w:val="21"/>
                <w:szCs w:val="21"/>
                <w:highlight w:val="none"/>
              </w:rPr>
              <w:t>师，能提供</w:t>
            </w:r>
            <w:r>
              <w:rPr>
                <w:rFonts w:hint="default" w:ascii="宋体" w:hAnsi="宋体" w:eastAsia="宋体" w:cs="Times New Roman"/>
                <w:color w:val="auto"/>
                <w:sz w:val="21"/>
                <w:szCs w:val="21"/>
                <w:highlight w:val="none"/>
                <w:lang w:val="en-US" w:eastAsia="zh-CN"/>
              </w:rPr>
              <w:t>网络</w:t>
            </w:r>
            <w:r>
              <w:rPr>
                <w:rFonts w:hint="eastAsia" w:ascii="宋体" w:hAnsi="宋体" w:cs="Times New Roman"/>
                <w:color w:val="auto"/>
                <w:sz w:val="21"/>
                <w:szCs w:val="21"/>
                <w:highlight w:val="none"/>
                <w:lang w:val="en-US" w:eastAsia="zh-CN"/>
              </w:rPr>
              <w:t>、</w:t>
            </w:r>
            <w:r>
              <w:rPr>
                <w:rFonts w:hint="default" w:ascii="宋体" w:hAnsi="宋体" w:cs="Times New Roman"/>
                <w:color w:val="auto"/>
                <w:sz w:val="21"/>
                <w:szCs w:val="21"/>
                <w:highlight w:val="none"/>
                <w:lang w:val="en-US" w:eastAsia="zh-CN"/>
              </w:rPr>
              <w:t>数据或</w:t>
            </w:r>
            <w:r>
              <w:rPr>
                <w:rFonts w:hint="default" w:ascii="宋体" w:hAnsi="宋体" w:eastAsia="宋体" w:cs="Times New Roman"/>
                <w:color w:val="auto"/>
                <w:sz w:val="21"/>
                <w:szCs w:val="21"/>
                <w:highlight w:val="none"/>
                <w:lang w:val="en-US" w:eastAsia="zh-CN"/>
              </w:rPr>
              <w:t>信息</w:t>
            </w:r>
            <w:r>
              <w:rPr>
                <w:rFonts w:hint="eastAsia" w:ascii="宋体" w:hAnsi="宋体" w:eastAsia="宋体" w:cs="宋体"/>
                <w:color w:val="auto"/>
                <w:kern w:val="0"/>
                <w:sz w:val="21"/>
                <w:szCs w:val="21"/>
                <w:highlight w:val="none"/>
                <w:lang w:val="en-US" w:eastAsia="zh-CN"/>
              </w:rPr>
              <w:t>安全</w:t>
            </w:r>
            <w:r>
              <w:rPr>
                <w:rFonts w:hint="eastAsia" w:ascii="宋体" w:hAnsi="宋体" w:eastAsia="宋体" w:cs="宋体"/>
                <w:color w:val="auto"/>
                <w:kern w:val="0"/>
                <w:sz w:val="21"/>
                <w:szCs w:val="21"/>
                <w:highlight w:val="none"/>
              </w:rPr>
              <w:t>领域相关专业证书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含</w:t>
            </w:r>
            <w:r>
              <w:rPr>
                <w:rFonts w:hint="eastAsia" w:ascii="宋体" w:hAnsi="宋体" w:eastAsia="宋体" w:cs="宋体"/>
                <w:color w:val="auto"/>
                <w:kern w:val="0"/>
                <w:sz w:val="21"/>
                <w:szCs w:val="21"/>
                <w:highlight w:val="none"/>
                <w:lang w:val="en-US" w:eastAsia="zh-CN"/>
              </w:rPr>
              <w:t>注册信息安全专业人员</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CISP</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r>
              <w:rPr>
                <w:rStyle w:val="17"/>
                <w:rFonts w:hint="eastAsia" w:ascii="宋体" w:hAnsi="宋体" w:eastAsia="宋体" w:cs="宋体"/>
                <w:i w:val="0"/>
                <w:iCs w:val="0"/>
                <w:caps w:val="0"/>
                <w:color w:val="auto"/>
                <w:spacing w:val="0"/>
                <w:kern w:val="0"/>
                <w:sz w:val="21"/>
                <w:szCs w:val="21"/>
                <w:highlight w:val="none"/>
                <w:shd w:val="clear" w:fill="FFFFFF"/>
              </w:rPr>
              <w:t>国际注册信息安全专业人员</w:t>
            </w:r>
            <w:r>
              <w:rPr>
                <w:rStyle w:val="17"/>
                <w:rFonts w:hint="eastAsia" w:ascii="宋体" w:hAnsi="宋体" w:eastAsia="宋体" w:cs="宋体"/>
                <w:i w:val="0"/>
                <w:iCs w:val="0"/>
                <w:caps w:val="0"/>
                <w:color w:val="auto"/>
                <w:spacing w:val="0"/>
                <w:kern w:val="0"/>
                <w:sz w:val="21"/>
                <w:szCs w:val="21"/>
                <w:highlight w:val="none"/>
                <w:shd w:val="clear" w:fill="FFFFFF"/>
                <w:lang w:eastAsia="zh-CN"/>
              </w:rPr>
              <w:t>（</w:t>
            </w:r>
            <w:r>
              <w:rPr>
                <w:rStyle w:val="17"/>
                <w:rFonts w:hint="eastAsia" w:ascii="宋体" w:hAnsi="宋体" w:eastAsia="宋体" w:cs="宋体"/>
                <w:i w:val="0"/>
                <w:iCs w:val="0"/>
                <w:caps w:val="0"/>
                <w:color w:val="auto"/>
                <w:spacing w:val="0"/>
                <w:kern w:val="0"/>
                <w:sz w:val="21"/>
                <w:szCs w:val="21"/>
                <w:highlight w:val="none"/>
                <w:shd w:val="clear" w:fill="FFFFFF"/>
              </w:rPr>
              <w:t>CISSP</w:t>
            </w:r>
            <w:r>
              <w:rPr>
                <w:rStyle w:val="17"/>
                <w:rFonts w:hint="eastAsia" w:ascii="宋体" w:hAnsi="宋体" w:cs="宋体"/>
                <w:i w:val="0"/>
                <w:iCs w:val="0"/>
                <w:caps w:val="0"/>
                <w:color w:val="auto"/>
                <w:spacing w:val="0"/>
                <w:kern w:val="0"/>
                <w:sz w:val="21"/>
                <w:szCs w:val="21"/>
                <w:highlight w:val="none"/>
                <w:shd w:val="clear" w:fill="FFFFFF"/>
                <w:lang w:eastAsia="zh-CN"/>
              </w:rPr>
              <w:t>）</w:t>
            </w:r>
            <w:r>
              <w:rPr>
                <w:rFonts w:hint="eastAsia" w:ascii="宋体" w:hAnsi="宋体" w:cs="宋体"/>
                <w:color w:val="auto"/>
                <w:kern w:val="0"/>
                <w:sz w:val="21"/>
                <w:szCs w:val="21"/>
                <w:highlight w:val="none"/>
                <w:lang w:eastAsia="zh-CN"/>
              </w:rPr>
              <w:t>、</w:t>
            </w:r>
            <w:r>
              <w:rPr>
                <w:rStyle w:val="17"/>
                <w:rFonts w:hint="eastAsia" w:ascii="宋体" w:hAnsi="宋体" w:eastAsia="宋体" w:cs="宋体"/>
                <w:i w:val="0"/>
                <w:iCs w:val="0"/>
                <w:caps w:val="0"/>
                <w:color w:val="auto"/>
                <w:spacing w:val="0"/>
                <w:kern w:val="0"/>
                <w:sz w:val="21"/>
                <w:szCs w:val="21"/>
                <w:highlight w:val="none"/>
                <w:shd w:val="clear" w:fill="FFFFFF"/>
              </w:rPr>
              <w:t>国际注册信息系统审计师</w:t>
            </w:r>
            <w:r>
              <w:rPr>
                <w:rStyle w:val="17"/>
                <w:rFonts w:hint="eastAsia" w:ascii="宋体" w:hAnsi="宋体" w:eastAsia="宋体" w:cs="宋体"/>
                <w:i w:val="0"/>
                <w:iCs w:val="0"/>
                <w:caps w:val="0"/>
                <w:color w:val="auto"/>
                <w:spacing w:val="0"/>
                <w:kern w:val="0"/>
                <w:sz w:val="21"/>
                <w:szCs w:val="21"/>
                <w:highlight w:val="none"/>
                <w:shd w:val="clear" w:fill="FFFFFF"/>
                <w:lang w:eastAsia="zh-CN"/>
              </w:rPr>
              <w:t>（</w:t>
            </w:r>
            <w:r>
              <w:rPr>
                <w:rStyle w:val="17"/>
                <w:rFonts w:hint="eastAsia" w:ascii="宋体" w:hAnsi="宋体" w:eastAsia="宋体" w:cs="宋体"/>
                <w:i w:val="0"/>
                <w:iCs w:val="0"/>
                <w:caps w:val="0"/>
                <w:color w:val="auto"/>
                <w:spacing w:val="0"/>
                <w:kern w:val="0"/>
                <w:sz w:val="21"/>
                <w:szCs w:val="21"/>
                <w:highlight w:val="none"/>
                <w:shd w:val="clear" w:fill="FFFFFF"/>
              </w:rPr>
              <w:t>CISA</w:t>
            </w:r>
            <w:r>
              <w:rPr>
                <w:rStyle w:val="17"/>
                <w:rFonts w:hint="eastAsia" w:ascii="宋体" w:hAnsi="宋体" w:cs="宋体"/>
                <w:i w:val="0"/>
                <w:iCs w:val="0"/>
                <w:caps w:val="0"/>
                <w:color w:val="auto"/>
                <w:spacing w:val="0"/>
                <w:kern w:val="0"/>
                <w:sz w:val="21"/>
                <w:szCs w:val="21"/>
                <w:highlight w:val="none"/>
                <w:shd w:val="clear" w:fill="FFFFFF"/>
                <w:lang w:eastAsia="zh-CN"/>
              </w:rPr>
              <w:t>）</w:t>
            </w:r>
            <w:r>
              <w:rPr>
                <w:rFonts w:hint="eastAsia" w:ascii="宋体" w:hAnsi="宋体" w:cs="宋体"/>
                <w:color w:val="auto"/>
                <w:kern w:val="0"/>
                <w:sz w:val="21"/>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fill="auto"/>
              </w:rPr>
              <w:t>数据安全评估师（CCRC-DSA）</w:t>
            </w:r>
            <w:r>
              <w:rPr>
                <w:rFonts w:hint="eastAsia" w:ascii="宋体" w:hAnsi="宋体" w:eastAsia="宋体" w:cs="宋体"/>
                <w:i w:val="0"/>
                <w:iCs w:val="0"/>
                <w:caps w:val="0"/>
                <w:color w:val="auto"/>
                <w:spacing w:val="0"/>
                <w:kern w:val="0"/>
                <w:sz w:val="21"/>
                <w:szCs w:val="21"/>
                <w:highlight w:val="none"/>
                <w:shd w:val="clear"/>
                <w:lang w:eastAsia="zh-CN"/>
              </w:rPr>
              <w:t>、</w:t>
            </w:r>
            <w:r>
              <w:rPr>
                <w:rFonts w:hint="eastAsia" w:ascii="宋体" w:hAnsi="宋体" w:eastAsia="宋体" w:cs="宋体"/>
                <w:i w:val="0"/>
                <w:iCs w:val="0"/>
                <w:caps w:val="0"/>
                <w:color w:val="auto"/>
                <w:spacing w:val="0"/>
                <w:kern w:val="0"/>
                <w:sz w:val="21"/>
                <w:szCs w:val="21"/>
                <w:highlight w:val="none"/>
              </w:rPr>
              <w:t>数据安全官（CCRC-DSO）</w:t>
            </w:r>
            <w:r>
              <w:rPr>
                <w:rFonts w:hint="eastAsia" w:ascii="宋体" w:hAnsi="宋体" w:eastAsia="宋体" w:cs="宋体"/>
                <w:color w:val="auto"/>
                <w:kern w:val="0"/>
                <w:sz w:val="21"/>
                <w:szCs w:val="21"/>
                <w:highlight w:val="none"/>
              </w:rPr>
              <w:t>，每提供1项得1分，最高得</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分（提供相关证明资料，不提供不得分）</w:t>
            </w:r>
            <w:r>
              <w:rPr>
                <w:rFonts w:hint="eastAsia" w:ascii="宋体" w:hAnsi="宋体" w:eastAsia="宋体" w:cs="宋体"/>
                <w:color w:val="auto"/>
                <w:kern w:val="0"/>
                <w:sz w:val="21"/>
                <w:szCs w:val="21"/>
                <w:highlight w:val="none"/>
                <w:lang w:eastAsia="zh-CN"/>
              </w:rPr>
              <w:t>。</w:t>
            </w:r>
          </w:p>
          <w:p>
            <w:pPr>
              <w:spacing w:line="360" w:lineRule="auto"/>
              <w:ind w:firstLine="0" w:firstLineChars="0"/>
              <w:jc w:val="left"/>
              <w:rPr>
                <w:rFonts w:hint="default" w:ascii="宋体" w:hAnsi="宋体" w:cs="宋体"/>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2.实施案例（6分）</w:t>
            </w:r>
          </w:p>
          <w:p>
            <w:pPr>
              <w:spacing w:line="360" w:lineRule="auto"/>
              <w:ind w:firstLine="0" w:firstLineChars="0"/>
              <w:jc w:val="left"/>
              <w:rPr>
                <w:rFonts w:hint="eastAsia" w:ascii="宋体" w:eastAsia="宋体" w:cs="宋体"/>
                <w:color w:val="auto"/>
                <w:kern w:val="0"/>
                <w:sz w:val="21"/>
                <w:highlight w:val="none"/>
                <w:lang w:val="en-US" w:eastAsia="zh-CN"/>
              </w:rPr>
            </w:pPr>
            <w:r>
              <w:rPr>
                <w:rFonts w:hint="eastAsia" w:ascii="宋体" w:hAnsi="宋体" w:cs="宋体"/>
                <w:color w:val="auto"/>
                <w:kern w:val="0"/>
                <w:sz w:val="21"/>
                <w:szCs w:val="21"/>
                <w:highlight w:val="none"/>
                <w:lang w:val="en-US" w:eastAsia="zh-CN"/>
              </w:rPr>
              <w:t>参选</w:t>
            </w:r>
            <w:r>
              <w:rPr>
                <w:rFonts w:hint="eastAsia" w:ascii="宋体" w:hAnsi="宋体" w:cs="宋体"/>
                <w:color w:val="auto"/>
                <w:kern w:val="0"/>
                <w:sz w:val="21"/>
                <w:szCs w:val="21"/>
                <w:highlight w:val="none"/>
              </w:rPr>
              <w:t>人在2021年</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月1日至</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截止日（具体以合同签订时间为准）具有</w:t>
            </w:r>
            <w:r>
              <w:rPr>
                <w:rFonts w:hint="eastAsia" w:ascii="宋体" w:hAnsi="宋体" w:cs="宋体"/>
                <w:color w:val="auto"/>
                <w:kern w:val="0"/>
                <w:sz w:val="21"/>
                <w:szCs w:val="21"/>
                <w:highlight w:val="none"/>
                <w:lang w:val="en-US" w:eastAsia="zh-CN"/>
              </w:rPr>
              <w:t>重庆市</w:t>
            </w:r>
            <w:r>
              <w:rPr>
                <w:rFonts w:hint="eastAsia" w:ascii="宋体" w:hAnsi="宋体" w:cs="宋体"/>
                <w:color w:val="auto"/>
                <w:kern w:val="0"/>
                <w:sz w:val="21"/>
                <w:szCs w:val="21"/>
                <w:highlight w:val="none"/>
              </w:rPr>
              <w:t>数据安全风险评估类</w:t>
            </w:r>
            <w:r>
              <w:rPr>
                <w:rFonts w:hint="eastAsia" w:ascii="宋体" w:hAnsi="宋体" w:cs="宋体"/>
                <w:color w:val="auto"/>
                <w:kern w:val="0"/>
                <w:sz w:val="21"/>
                <w:szCs w:val="21"/>
                <w:highlight w:val="none"/>
                <w:lang w:val="en-US" w:eastAsia="zh-CN"/>
              </w:rPr>
              <w:t>案例</w:t>
            </w:r>
            <w:r>
              <w:rPr>
                <w:rFonts w:hint="eastAsia" w:ascii="宋体" w:hAnsi="宋体" w:cs="宋体"/>
                <w:color w:val="auto"/>
                <w:kern w:val="0"/>
                <w:sz w:val="21"/>
                <w:szCs w:val="21"/>
                <w:highlight w:val="none"/>
              </w:rPr>
              <w:t>。每提供一个</w:t>
            </w:r>
            <w:r>
              <w:rPr>
                <w:rFonts w:hint="eastAsia" w:ascii="宋体" w:hAnsi="宋体" w:cs="宋体"/>
                <w:color w:val="auto"/>
                <w:kern w:val="0"/>
                <w:sz w:val="21"/>
                <w:szCs w:val="21"/>
                <w:highlight w:val="none"/>
                <w:lang w:val="en-US" w:eastAsia="zh-CN"/>
              </w:rPr>
              <w:t>案例</w:t>
            </w:r>
            <w:r>
              <w:rPr>
                <w:rFonts w:hint="eastAsia" w:ascii="宋体" w:hAnsi="宋体" w:cs="宋体"/>
                <w:color w:val="auto"/>
                <w:kern w:val="0"/>
                <w:sz w:val="21"/>
                <w:szCs w:val="21"/>
                <w:highlight w:val="none"/>
              </w:rPr>
              <w:t>合同得2分，最多得</w:t>
            </w:r>
            <w:r>
              <w:rPr>
                <w:rFonts w:hint="eastAsia" w:ascii="宋体" w:hAnsi="宋体" w:cs="宋体"/>
                <w:color w:val="auto"/>
                <w:kern w:val="0"/>
                <w:sz w:val="21"/>
                <w:szCs w:val="21"/>
                <w:highlight w:val="none"/>
                <w:lang w:eastAsia="zh-CN"/>
              </w:rPr>
              <w:t>6</w:t>
            </w:r>
            <w:r>
              <w:rPr>
                <w:rFonts w:hint="eastAsia" w:ascii="宋体" w:hAnsi="宋体" w:cs="宋体"/>
                <w:color w:val="auto"/>
                <w:kern w:val="0"/>
                <w:sz w:val="21"/>
                <w:szCs w:val="21"/>
                <w:highlight w:val="none"/>
              </w:rPr>
              <w:t>分。</w:t>
            </w:r>
            <w:r>
              <w:rPr>
                <w:rFonts w:hint="eastAsia" w:ascii="宋体" w:cs="宋体"/>
                <w:color w:val="auto"/>
                <w:kern w:val="0"/>
                <w:sz w:val="21"/>
                <w:highlight w:val="none"/>
              </w:rPr>
              <w:t>说明：计分按有效案例的最高得分计分，不重复计分</w:t>
            </w:r>
            <w:r>
              <w:rPr>
                <w:rFonts w:hint="eastAsia" w:ascii="宋体" w:cs="宋体"/>
                <w:color w:val="auto"/>
                <w:kern w:val="0"/>
                <w:sz w:val="21"/>
                <w:highlight w:val="none"/>
                <w:lang w:eastAsia="zh-CN"/>
              </w:rPr>
              <w:t>。</w:t>
            </w:r>
          </w:p>
          <w:p>
            <w:pPr>
              <w:spacing w:line="360" w:lineRule="auto"/>
              <w:ind w:firstLine="0" w:firstLineChars="0"/>
              <w:jc w:val="left"/>
              <w:rPr>
                <w:rFonts w:ascii="宋体" w:hAnsi="宋体" w:cs="宋体"/>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提供项目简介和案例合同复印件并加盖参选人公章，案例时间以合同签订时间为准；若合同内容不能完整体现相关内容，可再补充提供由合同中的甲方出具的相关证明材料复印件加盖参选人公章作为辅证；或合同中内容经评选委员会认定其实质性工作内容与上述相关关键字相符，均视为有效案例</w:t>
            </w:r>
            <w:r>
              <w:rPr>
                <w:rFonts w:hint="eastAsia" w:cs="宋体" w:asciiTheme="minorEastAsia" w:hAnsiTheme="minorEastAsia" w:eastAsiaTheme="minorEastAsia"/>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20" w:type="dxa"/>
            <w:vMerge w:val="continue"/>
            <w:vAlign w:val="center"/>
          </w:tcPr>
          <w:p>
            <w:pPr>
              <w:spacing w:line="360" w:lineRule="auto"/>
              <w:ind w:firstLine="0" w:firstLineChars="0"/>
              <w:jc w:val="left"/>
              <w:rPr>
                <w:color w:val="auto"/>
                <w:highlight w:val="none"/>
              </w:rPr>
            </w:pPr>
          </w:p>
        </w:tc>
        <w:tc>
          <w:tcPr>
            <w:tcW w:w="1482" w:type="dxa"/>
            <w:vMerge w:val="continue"/>
            <w:vAlign w:val="center"/>
          </w:tcPr>
          <w:p>
            <w:pPr>
              <w:spacing w:line="360" w:lineRule="auto"/>
              <w:ind w:firstLine="0" w:firstLineChars="0"/>
              <w:jc w:val="left"/>
              <w:rPr>
                <w:color w:val="auto"/>
                <w:highlight w:val="none"/>
              </w:rPr>
            </w:pPr>
          </w:p>
        </w:tc>
        <w:tc>
          <w:tcPr>
            <w:tcW w:w="1686" w:type="dxa"/>
            <w:gridSpan w:val="2"/>
            <w:vMerge w:val="continue"/>
            <w:vAlign w:val="center"/>
          </w:tcPr>
          <w:p>
            <w:pPr>
              <w:spacing w:line="360" w:lineRule="auto"/>
              <w:ind w:firstLine="0" w:firstLineChars="0"/>
              <w:jc w:val="left"/>
              <w:rPr>
                <w:color w:val="auto"/>
                <w:highlight w:val="none"/>
              </w:rPr>
            </w:pPr>
          </w:p>
        </w:tc>
        <w:tc>
          <w:tcPr>
            <w:tcW w:w="5476" w:type="dxa"/>
            <w:vAlign w:val="center"/>
          </w:tcPr>
          <w:p>
            <w:pPr>
              <w:autoSpaceDE/>
              <w:autoSpaceDN/>
              <w:spacing w:line="360" w:lineRule="auto"/>
              <w:ind w:firstLine="0" w:firstLineChars="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三、技术</w:t>
            </w:r>
            <w:r>
              <w:rPr>
                <w:rFonts w:hint="eastAsia" w:ascii="宋体" w:hAnsi="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15</w:t>
            </w:r>
            <w:r>
              <w:rPr>
                <w:rFonts w:hint="eastAsia" w:ascii="宋体" w:hAnsi="宋体" w:cs="宋体"/>
                <w:b w:val="0"/>
                <w:bCs w:val="0"/>
                <w:color w:val="auto"/>
                <w:sz w:val="21"/>
                <w:szCs w:val="21"/>
                <w:highlight w:val="none"/>
              </w:rPr>
              <w:t>分）评分规则：</w:t>
            </w:r>
          </w:p>
          <w:p>
            <w:pPr>
              <w:widowControl/>
              <w:autoSpaceDE/>
              <w:autoSpaceDN/>
              <w:spacing w:line="360" w:lineRule="auto"/>
              <w:ind w:firstLine="0" w:firstLineChars="0"/>
              <w:jc w:val="left"/>
              <w:rPr>
                <w:rFonts w:ascii="宋体" w:cs="宋体"/>
                <w:color w:val="auto"/>
                <w:kern w:val="0"/>
                <w:sz w:val="21"/>
                <w:highlight w:val="none"/>
              </w:rPr>
            </w:pPr>
            <w:r>
              <w:rPr>
                <w:rFonts w:hint="eastAsia" w:ascii="宋体" w:cs="宋体"/>
                <w:color w:val="auto"/>
                <w:kern w:val="0"/>
                <w:sz w:val="21"/>
                <w:highlight w:val="none"/>
              </w:rPr>
              <w:t>1.需求理解（</w:t>
            </w:r>
            <w:r>
              <w:rPr>
                <w:rFonts w:hint="eastAsia" w:ascii="宋体" w:cs="宋体"/>
                <w:color w:val="auto"/>
                <w:kern w:val="0"/>
                <w:sz w:val="21"/>
                <w:highlight w:val="none"/>
                <w:lang w:val="en-US" w:eastAsia="zh-CN"/>
              </w:rPr>
              <w:t>5</w:t>
            </w:r>
            <w:r>
              <w:rPr>
                <w:rFonts w:hint="eastAsia" w:ascii="宋体" w:cs="宋体"/>
                <w:color w:val="auto"/>
                <w:kern w:val="0"/>
                <w:sz w:val="21"/>
                <w:highlight w:val="none"/>
              </w:rPr>
              <w:t>分）</w:t>
            </w:r>
          </w:p>
          <w:p>
            <w:pPr>
              <w:widowControl/>
              <w:autoSpaceDE/>
              <w:autoSpaceDN/>
              <w:spacing w:line="360" w:lineRule="auto"/>
              <w:ind w:firstLine="0" w:firstLineChars="0"/>
              <w:jc w:val="left"/>
              <w:rPr>
                <w:rFonts w:hint="eastAsia" w:ascii="宋体" w:eastAsia="宋体" w:cs="宋体"/>
                <w:color w:val="auto"/>
                <w:kern w:val="0"/>
                <w:sz w:val="21"/>
                <w:highlight w:val="none"/>
                <w:lang w:eastAsia="zh-CN"/>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人</w:t>
            </w:r>
            <w:r>
              <w:rPr>
                <w:rFonts w:hint="eastAsia" w:ascii="宋体" w:cs="宋体"/>
                <w:color w:val="auto"/>
                <w:kern w:val="0"/>
                <w:sz w:val="21"/>
                <w:highlight w:val="none"/>
              </w:rPr>
              <w:t>提供项目需求理解方案，方案对项目需求的理解准确，并能对项目目标进行合理分析和恰当分解。</w:t>
            </w:r>
          </w:p>
          <w:p>
            <w:pPr>
              <w:widowControl/>
              <w:autoSpaceDE/>
              <w:autoSpaceDN/>
              <w:spacing w:line="360" w:lineRule="auto"/>
              <w:ind w:firstLine="0" w:firstLineChars="0"/>
              <w:jc w:val="left"/>
              <w:rPr>
                <w:rFonts w:hint="eastAsia" w:ascii="宋体" w:cs="宋体"/>
                <w:color w:val="auto"/>
                <w:kern w:val="0"/>
                <w:sz w:val="21"/>
                <w:highlight w:val="none"/>
              </w:rPr>
            </w:pPr>
            <w:r>
              <w:rPr>
                <w:rFonts w:hint="eastAsia" w:ascii="宋体" w:cs="宋体"/>
                <w:color w:val="auto"/>
                <w:kern w:val="0"/>
                <w:sz w:val="21"/>
                <w:highlight w:val="none"/>
              </w:rPr>
              <w:t>以上内容，由</w:t>
            </w:r>
            <w:r>
              <w:rPr>
                <w:rFonts w:hint="eastAsia" w:ascii="宋体" w:cs="宋体"/>
                <w:color w:val="auto"/>
                <w:kern w:val="0"/>
                <w:sz w:val="21"/>
                <w:highlight w:val="none"/>
                <w:lang w:val="en-US" w:eastAsia="zh-CN"/>
              </w:rPr>
              <w:t>评审委员会</w:t>
            </w:r>
            <w:r>
              <w:rPr>
                <w:rFonts w:hint="eastAsia" w:ascii="宋体" w:cs="宋体"/>
                <w:color w:val="auto"/>
                <w:kern w:val="0"/>
                <w:sz w:val="21"/>
                <w:highlight w:val="none"/>
              </w:rPr>
              <w:t>横向比较后打分：优秀，得</w:t>
            </w:r>
            <w:r>
              <w:rPr>
                <w:rFonts w:hint="eastAsia" w:ascii="宋体" w:cs="宋体"/>
                <w:color w:val="auto"/>
                <w:kern w:val="0"/>
                <w:sz w:val="21"/>
                <w:highlight w:val="none"/>
                <w:lang w:val="en-US" w:eastAsia="zh-CN"/>
              </w:rPr>
              <w:t>5</w:t>
            </w:r>
            <w:r>
              <w:rPr>
                <w:rFonts w:hint="eastAsia" w:ascii="宋体" w:cs="宋体"/>
                <w:color w:val="auto"/>
                <w:kern w:val="0"/>
                <w:sz w:val="21"/>
                <w:highlight w:val="none"/>
              </w:rPr>
              <w:t>分；较好，得</w:t>
            </w:r>
            <w:r>
              <w:rPr>
                <w:rFonts w:hint="eastAsia" w:ascii="宋体" w:cs="宋体"/>
                <w:color w:val="auto"/>
                <w:kern w:val="0"/>
                <w:sz w:val="21"/>
                <w:highlight w:val="none"/>
                <w:lang w:val="en-US" w:eastAsia="zh-CN"/>
              </w:rPr>
              <w:t>3-4</w:t>
            </w:r>
            <w:r>
              <w:rPr>
                <w:rFonts w:hint="eastAsia" w:ascii="宋体" w:cs="宋体"/>
                <w:color w:val="auto"/>
                <w:kern w:val="0"/>
                <w:sz w:val="21"/>
                <w:highlight w:val="none"/>
              </w:rPr>
              <w:t>分；一般，得</w:t>
            </w:r>
            <w:r>
              <w:rPr>
                <w:rFonts w:hint="eastAsia" w:ascii="宋体" w:cs="宋体"/>
                <w:color w:val="auto"/>
                <w:kern w:val="0"/>
                <w:sz w:val="21"/>
                <w:highlight w:val="none"/>
                <w:lang w:val="en-US" w:eastAsia="zh-CN"/>
              </w:rPr>
              <w:t>2</w:t>
            </w:r>
            <w:r>
              <w:rPr>
                <w:rFonts w:hint="eastAsia" w:ascii="宋体" w:cs="宋体"/>
                <w:color w:val="auto"/>
                <w:kern w:val="0"/>
                <w:sz w:val="21"/>
                <w:highlight w:val="none"/>
              </w:rPr>
              <w:t>分</w:t>
            </w:r>
            <w:r>
              <w:rPr>
                <w:rFonts w:hint="eastAsia" w:ascii="宋体" w:cs="宋体"/>
                <w:color w:val="auto"/>
                <w:kern w:val="0"/>
                <w:sz w:val="21"/>
                <w:highlight w:val="none"/>
                <w:lang w:val="en-US" w:eastAsia="zh-CN"/>
              </w:rPr>
              <w:t>;较差，</w:t>
            </w:r>
            <w:r>
              <w:rPr>
                <w:rFonts w:hint="eastAsia" w:ascii="宋体" w:cs="宋体"/>
                <w:color w:val="auto"/>
                <w:kern w:val="0"/>
                <w:sz w:val="21"/>
                <w:highlight w:val="none"/>
              </w:rPr>
              <w:t>得</w:t>
            </w:r>
            <w:r>
              <w:rPr>
                <w:rFonts w:hint="eastAsia" w:ascii="宋体" w:cs="宋体"/>
                <w:color w:val="auto"/>
                <w:kern w:val="0"/>
                <w:sz w:val="21"/>
                <w:highlight w:val="none"/>
                <w:lang w:val="en-US" w:eastAsia="zh-CN"/>
              </w:rPr>
              <w:t>1</w:t>
            </w:r>
            <w:r>
              <w:rPr>
                <w:rFonts w:hint="eastAsia" w:ascii="宋体" w:cs="宋体"/>
                <w:color w:val="auto"/>
                <w:kern w:val="0"/>
                <w:sz w:val="21"/>
                <w:highlight w:val="none"/>
              </w:rPr>
              <w:t>分。</w:t>
            </w:r>
          </w:p>
          <w:p>
            <w:pPr>
              <w:widowControl/>
              <w:autoSpaceDE/>
              <w:autoSpaceDN/>
              <w:spacing w:line="360" w:lineRule="auto"/>
              <w:ind w:firstLine="0" w:firstLineChars="0"/>
              <w:jc w:val="left"/>
              <w:rPr>
                <w:rFonts w:hint="eastAsia" w:ascii="宋体" w:cs="宋体"/>
                <w:color w:val="auto"/>
                <w:kern w:val="0"/>
                <w:sz w:val="21"/>
                <w:highlight w:val="none"/>
              </w:rPr>
            </w:pPr>
            <w:r>
              <w:rPr>
                <w:rFonts w:hint="eastAsia" w:ascii="宋体" w:cs="宋体"/>
                <w:color w:val="auto"/>
                <w:kern w:val="0"/>
                <w:sz w:val="21"/>
                <w:highlight w:val="none"/>
              </w:rPr>
              <w:t>2.项目实施方案（</w:t>
            </w:r>
            <w:r>
              <w:rPr>
                <w:rFonts w:hint="eastAsia" w:ascii="宋体" w:cs="宋体"/>
                <w:color w:val="auto"/>
                <w:kern w:val="0"/>
                <w:sz w:val="21"/>
                <w:highlight w:val="none"/>
                <w:lang w:val="en-US" w:eastAsia="zh-CN"/>
              </w:rPr>
              <w:t>10</w:t>
            </w:r>
            <w:r>
              <w:rPr>
                <w:rFonts w:hint="eastAsia" w:ascii="宋体" w:cs="宋体"/>
                <w:color w:val="auto"/>
                <w:kern w:val="0"/>
                <w:sz w:val="21"/>
                <w:highlight w:val="none"/>
              </w:rPr>
              <w:t>分）</w:t>
            </w:r>
          </w:p>
          <w:p>
            <w:pPr>
              <w:autoSpaceDE/>
              <w:autoSpaceDN/>
              <w:spacing w:line="360" w:lineRule="auto"/>
              <w:ind w:firstLine="0" w:firstLineChars="0"/>
              <w:jc w:val="left"/>
              <w:rPr>
                <w:rFonts w:hint="eastAsia" w:ascii="宋体" w:eastAsia="宋体" w:cs="宋体"/>
                <w:color w:val="auto"/>
                <w:kern w:val="0"/>
                <w:sz w:val="21"/>
                <w:highlight w:val="none"/>
                <w:lang w:eastAsia="zh-CN"/>
              </w:rPr>
            </w:pPr>
            <w:r>
              <w:rPr>
                <w:rFonts w:ascii="宋体" w:cs="宋体"/>
                <w:color w:val="auto"/>
                <w:kern w:val="0"/>
                <w:sz w:val="21"/>
                <w:highlight w:val="none"/>
              </w:rPr>
              <w:t>项目实施方案（含项目培训）可执行性强，内容专业详实，研发体系深化落地内容思路清晰，实施周期安排合理。</w:t>
            </w:r>
          </w:p>
          <w:p>
            <w:pPr>
              <w:autoSpaceDE/>
              <w:autoSpaceDN/>
              <w:spacing w:line="360" w:lineRule="auto"/>
              <w:ind w:firstLine="0" w:firstLineChars="0"/>
              <w:jc w:val="left"/>
              <w:rPr>
                <w:rFonts w:hint="eastAsia" w:ascii="宋体" w:eastAsia="宋体" w:cs="宋体"/>
                <w:color w:val="auto"/>
                <w:kern w:val="0"/>
                <w:sz w:val="21"/>
                <w:highlight w:val="none"/>
                <w:lang w:eastAsia="zh-CN"/>
              </w:rPr>
            </w:pPr>
            <w:r>
              <w:rPr>
                <w:rFonts w:ascii="宋体" w:cs="宋体"/>
                <w:color w:val="auto"/>
                <w:kern w:val="0"/>
                <w:sz w:val="21"/>
                <w:highlight w:val="none"/>
              </w:rPr>
              <w:t>方案中的项目计划（含项目培训）部分安排充分，对实现目标、项目约定、交付成果等提供可行的实施计划，对项目计划中各项任务的安排工作人员、实施方式（现场或远程）等描述清晰</w:t>
            </w:r>
          </w:p>
          <w:p>
            <w:pPr>
              <w:autoSpaceDE/>
              <w:autoSpaceDN/>
              <w:spacing w:line="360" w:lineRule="auto"/>
              <w:ind w:firstLine="0" w:firstLineChars="0"/>
              <w:rPr>
                <w:rFonts w:hint="eastAsia" w:ascii="宋体" w:cs="宋体"/>
                <w:color w:val="auto"/>
                <w:kern w:val="0"/>
                <w:sz w:val="21"/>
                <w:highlight w:val="none"/>
              </w:rPr>
            </w:pPr>
            <w:r>
              <w:rPr>
                <w:rFonts w:ascii="宋体" w:cs="宋体"/>
                <w:color w:val="auto"/>
                <w:kern w:val="0"/>
                <w:sz w:val="21"/>
                <w:highlight w:val="none"/>
              </w:rPr>
              <w:t>以上内容，由</w:t>
            </w:r>
            <w:r>
              <w:rPr>
                <w:rFonts w:hint="eastAsia" w:ascii="宋体" w:cs="宋体"/>
                <w:color w:val="auto"/>
                <w:kern w:val="0"/>
                <w:sz w:val="21"/>
                <w:highlight w:val="none"/>
                <w:lang w:val="en-US" w:eastAsia="zh-CN"/>
              </w:rPr>
              <w:t>评审委员会</w:t>
            </w:r>
            <w:r>
              <w:rPr>
                <w:rFonts w:ascii="宋体" w:cs="宋体"/>
                <w:color w:val="auto"/>
                <w:kern w:val="0"/>
                <w:sz w:val="21"/>
                <w:highlight w:val="none"/>
              </w:rPr>
              <w:t>横向比较后打分：</w:t>
            </w:r>
            <w:r>
              <w:rPr>
                <w:rFonts w:hint="eastAsia" w:ascii="宋体" w:cs="宋体"/>
                <w:color w:val="auto"/>
                <w:kern w:val="0"/>
                <w:sz w:val="21"/>
                <w:highlight w:val="none"/>
              </w:rPr>
              <w:t>优秀，得</w:t>
            </w:r>
            <w:r>
              <w:rPr>
                <w:rFonts w:hint="eastAsia" w:ascii="宋体" w:cs="宋体"/>
                <w:color w:val="auto"/>
                <w:kern w:val="0"/>
                <w:sz w:val="21"/>
                <w:highlight w:val="none"/>
                <w:lang w:val="en-US" w:eastAsia="zh-CN"/>
              </w:rPr>
              <w:t>9</w:t>
            </w:r>
            <w:r>
              <w:rPr>
                <w:rFonts w:hint="eastAsia" w:ascii="宋体" w:cs="宋体"/>
                <w:color w:val="auto"/>
                <w:kern w:val="0"/>
                <w:sz w:val="21"/>
                <w:highlight w:val="none"/>
              </w:rPr>
              <w:t>-</w:t>
            </w:r>
            <w:r>
              <w:rPr>
                <w:rFonts w:hint="eastAsia" w:ascii="宋体" w:cs="宋体"/>
                <w:color w:val="auto"/>
                <w:kern w:val="0"/>
                <w:sz w:val="21"/>
                <w:highlight w:val="none"/>
                <w:lang w:val="en-US" w:eastAsia="zh-CN"/>
              </w:rPr>
              <w:t>10</w:t>
            </w:r>
            <w:r>
              <w:rPr>
                <w:rFonts w:hint="eastAsia" w:ascii="宋体" w:cs="宋体"/>
                <w:color w:val="auto"/>
                <w:kern w:val="0"/>
                <w:sz w:val="21"/>
                <w:highlight w:val="none"/>
              </w:rPr>
              <w:t>分；较好，得</w:t>
            </w:r>
            <w:r>
              <w:rPr>
                <w:rFonts w:hint="eastAsia" w:ascii="宋体" w:cs="宋体"/>
                <w:color w:val="auto"/>
                <w:kern w:val="0"/>
                <w:sz w:val="21"/>
                <w:highlight w:val="none"/>
                <w:lang w:val="en-US" w:eastAsia="zh-CN"/>
              </w:rPr>
              <w:t>6</w:t>
            </w:r>
            <w:r>
              <w:rPr>
                <w:rFonts w:hint="eastAsia" w:ascii="宋体" w:cs="宋体"/>
                <w:color w:val="auto"/>
                <w:kern w:val="0"/>
                <w:sz w:val="21"/>
                <w:highlight w:val="none"/>
              </w:rPr>
              <w:t>-</w:t>
            </w:r>
            <w:r>
              <w:rPr>
                <w:rFonts w:hint="eastAsia" w:ascii="宋体" w:cs="宋体"/>
                <w:color w:val="auto"/>
                <w:kern w:val="0"/>
                <w:sz w:val="21"/>
                <w:highlight w:val="none"/>
                <w:lang w:val="en-US" w:eastAsia="zh-CN"/>
              </w:rPr>
              <w:t>8</w:t>
            </w:r>
            <w:r>
              <w:rPr>
                <w:rFonts w:hint="eastAsia" w:ascii="宋体" w:cs="宋体"/>
                <w:color w:val="auto"/>
                <w:kern w:val="0"/>
                <w:sz w:val="21"/>
                <w:highlight w:val="none"/>
              </w:rPr>
              <w:t>分；一般，得</w:t>
            </w:r>
            <w:r>
              <w:rPr>
                <w:rFonts w:hint="eastAsia" w:ascii="宋体" w:cs="宋体"/>
                <w:color w:val="auto"/>
                <w:kern w:val="0"/>
                <w:sz w:val="21"/>
                <w:highlight w:val="none"/>
                <w:lang w:val="en-US" w:eastAsia="zh-CN"/>
              </w:rPr>
              <w:t>3</w:t>
            </w:r>
            <w:r>
              <w:rPr>
                <w:rFonts w:hint="eastAsia" w:ascii="宋体" w:cs="宋体"/>
                <w:color w:val="auto"/>
                <w:kern w:val="0"/>
                <w:sz w:val="21"/>
                <w:highlight w:val="none"/>
              </w:rPr>
              <w:t>-</w:t>
            </w:r>
            <w:r>
              <w:rPr>
                <w:rFonts w:hint="eastAsia" w:ascii="宋体" w:cs="宋体"/>
                <w:color w:val="auto"/>
                <w:kern w:val="0"/>
                <w:sz w:val="21"/>
                <w:highlight w:val="none"/>
                <w:lang w:val="en-US" w:eastAsia="zh-CN"/>
              </w:rPr>
              <w:t>5</w:t>
            </w:r>
            <w:r>
              <w:rPr>
                <w:rFonts w:hint="eastAsia" w:ascii="宋体" w:cs="宋体"/>
                <w:color w:val="auto"/>
                <w:kern w:val="0"/>
                <w:sz w:val="21"/>
                <w:highlight w:val="none"/>
              </w:rPr>
              <w:t>分</w:t>
            </w:r>
            <w:r>
              <w:rPr>
                <w:rFonts w:hint="eastAsia" w:ascii="宋体" w:cs="宋体"/>
                <w:color w:val="auto"/>
                <w:kern w:val="0"/>
                <w:sz w:val="21"/>
                <w:highlight w:val="none"/>
                <w:lang w:val="en-US" w:eastAsia="zh-CN"/>
              </w:rPr>
              <w:t>;较差，</w:t>
            </w:r>
            <w:r>
              <w:rPr>
                <w:rFonts w:hint="eastAsia" w:ascii="宋体" w:cs="宋体"/>
                <w:color w:val="auto"/>
                <w:kern w:val="0"/>
                <w:sz w:val="21"/>
                <w:highlight w:val="none"/>
              </w:rPr>
              <w:t>得0-</w:t>
            </w:r>
            <w:r>
              <w:rPr>
                <w:rFonts w:hint="eastAsia" w:ascii="宋体" w:cs="宋体"/>
                <w:color w:val="auto"/>
                <w:kern w:val="0"/>
                <w:sz w:val="21"/>
                <w:highlight w:val="none"/>
                <w:lang w:val="en-US" w:eastAsia="zh-CN"/>
              </w:rPr>
              <w:t>2</w:t>
            </w:r>
            <w:r>
              <w:rPr>
                <w:rFonts w:hint="eastAsia" w:ascii="宋体" w:cs="宋体"/>
                <w:color w:val="auto"/>
                <w:kern w:val="0"/>
                <w:sz w:val="21"/>
                <w:highlight w:val="none"/>
              </w:rPr>
              <w:t>分。</w:t>
            </w:r>
          </w:p>
          <w:p>
            <w:pPr>
              <w:autoSpaceDE/>
              <w:autoSpaceDN/>
              <w:spacing w:line="360" w:lineRule="auto"/>
              <w:ind w:firstLine="0" w:firstLineChars="0"/>
              <w:jc w:val="left"/>
              <w:rPr>
                <w:rFonts w:ascii="宋体" w:hAnsi="宋体" w:cs="宋体"/>
                <w:b w:val="0"/>
                <w:bCs w:val="0"/>
                <w:color w:val="auto"/>
                <w:kern w:val="0"/>
                <w:sz w:val="21"/>
                <w:szCs w:val="21"/>
                <w:highlight w:val="none"/>
              </w:rPr>
            </w:pPr>
            <w:r>
              <w:rPr>
                <w:rFonts w:hint="eastAsia" w:ascii="宋体" w:cs="宋体"/>
                <w:color w:val="auto"/>
                <w:kern w:val="0"/>
                <w:sz w:val="21"/>
                <w:highlight w:val="none"/>
                <w:lang w:eastAsia="zh-CN"/>
              </w:rPr>
              <w:t>注：提供项目实施方案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20" w:type="dxa"/>
            <w:vMerge w:val="continue"/>
            <w:vAlign w:val="center"/>
          </w:tcPr>
          <w:p>
            <w:pPr>
              <w:spacing w:line="360" w:lineRule="auto"/>
              <w:ind w:firstLine="0" w:firstLineChars="0"/>
              <w:jc w:val="left"/>
              <w:rPr>
                <w:color w:val="auto"/>
                <w:highlight w:val="none"/>
              </w:rPr>
            </w:pPr>
          </w:p>
        </w:tc>
        <w:tc>
          <w:tcPr>
            <w:tcW w:w="1482" w:type="dxa"/>
            <w:vMerge w:val="continue"/>
            <w:vAlign w:val="center"/>
          </w:tcPr>
          <w:p>
            <w:pPr>
              <w:spacing w:line="360" w:lineRule="auto"/>
              <w:ind w:firstLine="0" w:firstLineChars="0"/>
              <w:jc w:val="left"/>
              <w:rPr>
                <w:color w:val="auto"/>
                <w:highlight w:val="none"/>
              </w:rPr>
            </w:pPr>
          </w:p>
        </w:tc>
        <w:tc>
          <w:tcPr>
            <w:tcW w:w="1686" w:type="dxa"/>
            <w:gridSpan w:val="2"/>
            <w:vMerge w:val="continue"/>
            <w:vAlign w:val="center"/>
          </w:tcPr>
          <w:p>
            <w:pPr>
              <w:spacing w:line="360" w:lineRule="auto"/>
              <w:ind w:firstLine="0" w:firstLineChars="0"/>
              <w:jc w:val="left"/>
              <w:rPr>
                <w:color w:val="auto"/>
                <w:highlight w:val="none"/>
              </w:rPr>
            </w:pPr>
          </w:p>
        </w:tc>
        <w:tc>
          <w:tcPr>
            <w:tcW w:w="5476" w:type="dxa"/>
            <w:vAlign w:val="center"/>
          </w:tcPr>
          <w:p>
            <w:pPr>
              <w:widowControl/>
              <w:autoSpaceDE/>
              <w:autoSpaceDN/>
              <w:spacing w:line="360" w:lineRule="auto"/>
              <w:ind w:firstLine="0" w:firstLineChars="0"/>
              <w:jc w:val="left"/>
              <w:rPr>
                <w:rFonts w:hint="eastAsia" w:ascii="宋体" w:cs="宋体"/>
                <w:color w:val="auto"/>
                <w:kern w:val="0"/>
                <w:sz w:val="21"/>
                <w:highlight w:val="none"/>
              </w:rPr>
            </w:pPr>
            <w:r>
              <w:rPr>
                <w:rFonts w:hint="eastAsia" w:ascii="宋体" w:cs="宋体"/>
                <w:color w:val="auto"/>
                <w:kern w:val="0"/>
                <w:sz w:val="21"/>
                <w:highlight w:val="none"/>
                <w:lang w:eastAsia="zh-CN"/>
              </w:rPr>
              <w:t>四、</w:t>
            </w:r>
            <w:r>
              <w:rPr>
                <w:rFonts w:hint="eastAsia" w:ascii="宋体" w:cs="宋体"/>
                <w:color w:val="auto"/>
                <w:kern w:val="0"/>
                <w:sz w:val="21"/>
                <w:highlight w:val="none"/>
              </w:rPr>
              <w:t>企业服务承诺</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cs="宋体"/>
                <w:b w:val="0"/>
                <w:bCs w:val="0"/>
                <w:color w:val="auto"/>
                <w:sz w:val="21"/>
                <w:szCs w:val="21"/>
                <w:highlight w:val="none"/>
              </w:rPr>
              <w:t>分）评分规则：</w:t>
            </w:r>
          </w:p>
          <w:p>
            <w:pPr>
              <w:widowControl/>
              <w:autoSpaceDE/>
              <w:autoSpaceDN/>
              <w:spacing w:line="360" w:lineRule="auto"/>
              <w:ind w:firstLine="0" w:firstLineChars="0"/>
              <w:jc w:val="left"/>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1.项目投入时间承诺（5分）</w:t>
            </w:r>
          </w:p>
          <w:p>
            <w:pPr>
              <w:widowControl/>
              <w:autoSpaceDE/>
              <w:autoSpaceDN/>
              <w:spacing w:line="360" w:lineRule="auto"/>
              <w:ind w:firstLine="0" w:firstLineChars="0"/>
              <w:jc w:val="left"/>
              <w:rPr>
                <w:color w:val="auto"/>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人拟投入本项目的服务团队人员应提供合计不低于</w:t>
            </w:r>
            <w:r>
              <w:rPr>
                <w:rFonts w:hint="eastAsia" w:ascii="宋体" w:hAnsi="宋体" w:cs="宋体"/>
                <w:color w:val="auto"/>
                <w:kern w:val="0"/>
                <w:sz w:val="21"/>
                <w:szCs w:val="21"/>
                <w:highlight w:val="none"/>
                <w:lang w:val="en-US" w:eastAsia="zh-CN"/>
              </w:rPr>
              <w:t>60</w:t>
            </w:r>
            <w:r>
              <w:rPr>
                <w:rFonts w:hint="eastAsia" w:ascii="宋体" w:hAnsi="宋体" w:cs="宋体"/>
                <w:color w:val="auto"/>
                <w:kern w:val="0"/>
                <w:sz w:val="21"/>
                <w:szCs w:val="21"/>
                <w:highlight w:val="none"/>
              </w:rPr>
              <w:t>人天的现场驻场实施工作时间，在满足上述要求的基础上，</w:t>
            </w:r>
            <w:r>
              <w:rPr>
                <w:rFonts w:hint="eastAsia" w:cs="宋体" w:asciiTheme="minorEastAsia" w:hAnsiTheme="minorEastAsia" w:eastAsiaTheme="minorEastAsia"/>
                <w:color w:val="auto"/>
                <w:kern w:val="0"/>
                <w:sz w:val="21"/>
                <w:szCs w:val="21"/>
                <w:highlight w:val="none"/>
              </w:rPr>
              <w:t>每增加1</w:t>
            </w:r>
            <w:r>
              <w:rPr>
                <w:rFonts w:hint="eastAsia" w:cs="宋体" w:asciiTheme="minorEastAsia" w:hAnsiTheme="minorEastAsia" w:eastAsiaTheme="minorEastAsia"/>
                <w:color w:val="auto"/>
                <w:kern w:val="0"/>
                <w:sz w:val="21"/>
                <w:szCs w:val="21"/>
                <w:highlight w:val="none"/>
                <w:lang w:val="en-US" w:eastAsia="zh-CN"/>
              </w:rPr>
              <w:t>人</w:t>
            </w:r>
            <w:r>
              <w:rPr>
                <w:rFonts w:hint="eastAsia" w:cs="宋体" w:asciiTheme="minorEastAsia" w:hAnsiTheme="minorEastAsia" w:eastAsiaTheme="minorEastAsia"/>
                <w:color w:val="auto"/>
                <w:kern w:val="0"/>
                <w:sz w:val="21"/>
                <w:szCs w:val="21"/>
                <w:highlight w:val="none"/>
              </w:rPr>
              <w:t>天，</w:t>
            </w:r>
            <w:r>
              <w:rPr>
                <w:rFonts w:hint="eastAsia" w:cs="宋体" w:asciiTheme="minorEastAsia" w:hAnsiTheme="minorEastAsia" w:eastAsiaTheme="minorEastAsia"/>
                <w:color w:val="auto"/>
                <w:kern w:val="0"/>
                <w:sz w:val="21"/>
                <w:szCs w:val="21"/>
                <w:highlight w:val="none"/>
                <w:lang w:val="en-US" w:eastAsia="zh-CN"/>
              </w:rPr>
              <w:t>得</w:t>
            </w:r>
            <w:r>
              <w:rPr>
                <w:rFonts w:hint="eastAsia" w:cs="宋体" w:asciiTheme="minorEastAsia" w:hAnsiTheme="minorEastAsia" w:eastAsiaTheme="minorEastAsia"/>
                <w:color w:val="auto"/>
                <w:kern w:val="0"/>
                <w:sz w:val="21"/>
                <w:szCs w:val="21"/>
                <w:highlight w:val="none"/>
              </w:rPr>
              <w:t>0.</w:t>
            </w:r>
            <w:r>
              <w:rPr>
                <w:rFonts w:hint="eastAsia" w:cs="宋体" w:asciiTheme="minorEastAsia" w:hAnsiTheme="minorEastAsia" w:eastAsiaTheme="minorEastAsia"/>
                <w:color w:val="auto"/>
                <w:kern w:val="0"/>
                <w:sz w:val="21"/>
                <w:szCs w:val="21"/>
                <w:highlight w:val="none"/>
                <w:lang w:val="en-US" w:eastAsia="zh-CN"/>
              </w:rPr>
              <w:t>2</w:t>
            </w:r>
            <w:r>
              <w:rPr>
                <w:rFonts w:hint="eastAsia" w:cs="宋体" w:asciiTheme="minorEastAsia" w:hAnsiTheme="minorEastAsia" w:eastAsiaTheme="minorEastAsia"/>
                <w:color w:val="auto"/>
                <w:kern w:val="0"/>
                <w:sz w:val="21"/>
                <w:szCs w:val="21"/>
                <w:highlight w:val="none"/>
              </w:rPr>
              <w:t>分，最高得</w:t>
            </w:r>
            <w:r>
              <w:rPr>
                <w:rFonts w:hint="eastAsia" w:cs="宋体" w:asciiTheme="minorEastAsia" w:hAnsiTheme="minorEastAsia" w:eastAsiaTheme="minorEastAsia"/>
                <w:color w:val="auto"/>
                <w:kern w:val="0"/>
                <w:sz w:val="21"/>
                <w:szCs w:val="21"/>
                <w:highlight w:val="none"/>
                <w:lang w:val="en-US" w:eastAsia="zh-CN"/>
              </w:rPr>
              <w:t>5</w:t>
            </w:r>
            <w:r>
              <w:rPr>
                <w:rFonts w:hint="eastAsia" w:cs="宋体" w:asciiTheme="minorEastAsia" w:hAnsiTheme="minorEastAsia" w:eastAsiaTheme="minorEastAsia"/>
                <w:color w:val="auto"/>
                <w:kern w:val="0"/>
                <w:sz w:val="21"/>
                <w:szCs w:val="21"/>
                <w:highlight w:val="none"/>
              </w:rPr>
              <w:t>分</w:t>
            </w:r>
            <w:r>
              <w:rPr>
                <w:rFonts w:hint="eastAsia" w:ascii="宋体" w:hAnsi="宋体" w:cs="宋体"/>
                <w:color w:val="auto"/>
                <w:kern w:val="0"/>
                <w:sz w:val="21"/>
                <w:szCs w:val="21"/>
                <w:highlight w:val="none"/>
              </w:rPr>
              <w:t>。未满足最低现场驻场实施时间要求的，不得分。</w:t>
            </w:r>
          </w:p>
          <w:p>
            <w:pPr>
              <w:widowControl/>
              <w:autoSpaceDE/>
              <w:autoSpaceDN/>
              <w:spacing w:line="360" w:lineRule="auto"/>
              <w:ind w:firstLine="0"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注：</w:t>
            </w:r>
            <w:r>
              <w:rPr>
                <w:rFonts w:hint="eastAsia" w:ascii="宋体" w:hAnsi="宋体" w:cs="宋体"/>
                <w:color w:val="auto"/>
                <w:kern w:val="0"/>
                <w:sz w:val="21"/>
                <w:szCs w:val="21"/>
                <w:highlight w:val="none"/>
              </w:rPr>
              <w:t>项目拟投入的人员的现场驻场实施时间需在本项目实施方案中进行体现。</w:t>
            </w:r>
          </w:p>
          <w:p>
            <w:pPr>
              <w:widowControl/>
              <w:autoSpaceDE/>
              <w:autoSpaceDN/>
              <w:spacing w:line="360" w:lineRule="auto"/>
              <w:ind w:firstLine="0" w:firstLineChars="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2.售后服务质保方案（5分）</w:t>
            </w:r>
          </w:p>
          <w:p>
            <w:pPr>
              <w:widowControl/>
              <w:autoSpaceDE/>
              <w:autoSpaceDN/>
              <w:spacing w:line="360" w:lineRule="auto"/>
              <w:ind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人</w:t>
            </w:r>
            <w:r>
              <w:rPr>
                <w:rFonts w:hint="eastAsia" w:ascii="宋体" w:cs="宋体"/>
                <w:color w:val="auto"/>
                <w:kern w:val="0"/>
                <w:sz w:val="21"/>
                <w:highlight w:val="none"/>
              </w:rPr>
              <w:t>提供</w:t>
            </w:r>
            <w:r>
              <w:rPr>
                <w:rFonts w:hint="eastAsia" w:ascii="宋体" w:hAnsi="宋体" w:cs="宋体"/>
                <w:color w:val="auto"/>
                <w:kern w:val="0"/>
                <w:sz w:val="21"/>
                <w:szCs w:val="21"/>
                <w:highlight w:val="none"/>
                <w:lang w:val="en-US" w:eastAsia="zh-CN"/>
              </w:rPr>
              <w:t>售后质保方案服务响应速度快、售后服务内容齐全、服务</w:t>
            </w:r>
            <w:r>
              <w:rPr>
                <w:rFonts w:hint="eastAsia" w:ascii="宋体" w:hAnsi="宋体" w:eastAsia="宋体" w:cs="宋体"/>
                <w:i w:val="0"/>
                <w:iCs w:val="0"/>
                <w:caps w:val="0"/>
                <w:color w:val="auto"/>
                <w:spacing w:val="0"/>
                <w:kern w:val="0"/>
                <w:sz w:val="21"/>
                <w:szCs w:val="21"/>
                <w:highlight w:val="none"/>
                <w:shd w:val="clear"/>
              </w:rPr>
              <w:t>质保期限</w:t>
            </w:r>
            <w:r>
              <w:rPr>
                <w:rFonts w:hint="eastAsia" w:ascii="宋体" w:hAnsi="宋体" w:cs="宋体"/>
                <w:i w:val="0"/>
                <w:iCs w:val="0"/>
                <w:caps w:val="0"/>
                <w:color w:val="auto"/>
                <w:spacing w:val="0"/>
                <w:kern w:val="0"/>
                <w:sz w:val="21"/>
                <w:szCs w:val="21"/>
                <w:highlight w:val="none"/>
                <w:shd w:val="clear"/>
                <w:lang w:val="en-US" w:eastAsia="zh-CN"/>
              </w:rPr>
              <w:t>满足基本要求。</w:t>
            </w:r>
          </w:p>
          <w:p>
            <w:pPr>
              <w:widowControl/>
              <w:autoSpaceDE/>
              <w:autoSpaceDN/>
              <w:spacing w:line="360" w:lineRule="auto"/>
              <w:ind w:firstLine="0" w:firstLineChars="0"/>
              <w:jc w:val="left"/>
              <w:rPr>
                <w:rFonts w:hint="eastAsia" w:ascii="宋体" w:cs="宋体"/>
                <w:color w:val="auto"/>
                <w:kern w:val="0"/>
                <w:sz w:val="21"/>
                <w:highlight w:val="none"/>
              </w:rPr>
            </w:pPr>
            <w:r>
              <w:rPr>
                <w:rFonts w:hint="eastAsia" w:ascii="宋体" w:cs="宋体"/>
                <w:color w:val="auto"/>
                <w:kern w:val="0"/>
                <w:sz w:val="21"/>
                <w:highlight w:val="none"/>
              </w:rPr>
              <w:t>以上内容，由</w:t>
            </w:r>
            <w:r>
              <w:rPr>
                <w:rFonts w:hint="eastAsia" w:ascii="宋体" w:cs="宋体"/>
                <w:color w:val="auto"/>
                <w:kern w:val="0"/>
                <w:sz w:val="21"/>
                <w:highlight w:val="none"/>
                <w:lang w:val="en-US" w:eastAsia="zh-CN"/>
              </w:rPr>
              <w:t>评审委员会</w:t>
            </w:r>
            <w:r>
              <w:rPr>
                <w:rFonts w:hint="eastAsia" w:ascii="宋体" w:cs="宋体"/>
                <w:color w:val="auto"/>
                <w:kern w:val="0"/>
                <w:sz w:val="21"/>
                <w:highlight w:val="none"/>
              </w:rPr>
              <w:t>横向比较后打分：优秀，得</w:t>
            </w:r>
            <w:r>
              <w:rPr>
                <w:rFonts w:hint="eastAsia" w:ascii="宋体" w:cs="宋体"/>
                <w:color w:val="auto"/>
                <w:kern w:val="0"/>
                <w:sz w:val="21"/>
                <w:highlight w:val="none"/>
                <w:lang w:val="en-US" w:eastAsia="zh-CN"/>
              </w:rPr>
              <w:t>5</w:t>
            </w:r>
            <w:r>
              <w:rPr>
                <w:rFonts w:hint="eastAsia" w:ascii="宋体" w:cs="宋体"/>
                <w:color w:val="auto"/>
                <w:kern w:val="0"/>
                <w:sz w:val="21"/>
                <w:highlight w:val="none"/>
              </w:rPr>
              <w:t>分；较好，得</w:t>
            </w:r>
            <w:r>
              <w:rPr>
                <w:rFonts w:hint="eastAsia" w:ascii="宋体" w:cs="宋体"/>
                <w:color w:val="auto"/>
                <w:kern w:val="0"/>
                <w:sz w:val="21"/>
                <w:highlight w:val="none"/>
                <w:lang w:val="en-US" w:eastAsia="zh-CN"/>
              </w:rPr>
              <w:t>3-4</w:t>
            </w:r>
            <w:r>
              <w:rPr>
                <w:rFonts w:hint="eastAsia" w:ascii="宋体" w:cs="宋体"/>
                <w:color w:val="auto"/>
                <w:kern w:val="0"/>
                <w:sz w:val="21"/>
                <w:highlight w:val="none"/>
              </w:rPr>
              <w:t>分；一般，得</w:t>
            </w:r>
            <w:r>
              <w:rPr>
                <w:rFonts w:hint="eastAsia" w:ascii="宋体" w:cs="宋体"/>
                <w:color w:val="auto"/>
                <w:kern w:val="0"/>
                <w:sz w:val="21"/>
                <w:highlight w:val="none"/>
                <w:lang w:val="en-US" w:eastAsia="zh-CN"/>
              </w:rPr>
              <w:t>2</w:t>
            </w:r>
            <w:r>
              <w:rPr>
                <w:rFonts w:hint="eastAsia" w:ascii="宋体" w:cs="宋体"/>
                <w:color w:val="auto"/>
                <w:kern w:val="0"/>
                <w:sz w:val="21"/>
                <w:highlight w:val="none"/>
              </w:rPr>
              <w:t>分</w:t>
            </w:r>
            <w:r>
              <w:rPr>
                <w:rFonts w:hint="eastAsia" w:ascii="宋体" w:cs="宋体"/>
                <w:color w:val="auto"/>
                <w:kern w:val="0"/>
                <w:sz w:val="21"/>
                <w:highlight w:val="none"/>
                <w:lang w:val="en-US" w:eastAsia="zh-CN"/>
              </w:rPr>
              <w:t>;较差，</w:t>
            </w:r>
            <w:r>
              <w:rPr>
                <w:rFonts w:hint="eastAsia" w:ascii="宋体" w:cs="宋体"/>
                <w:color w:val="auto"/>
                <w:kern w:val="0"/>
                <w:sz w:val="21"/>
                <w:highlight w:val="none"/>
              </w:rPr>
              <w:t>得</w:t>
            </w:r>
            <w:r>
              <w:rPr>
                <w:rFonts w:hint="eastAsia" w:ascii="宋体" w:cs="宋体"/>
                <w:color w:val="auto"/>
                <w:kern w:val="0"/>
                <w:sz w:val="21"/>
                <w:highlight w:val="none"/>
                <w:lang w:val="en-US" w:eastAsia="zh-CN"/>
              </w:rPr>
              <w:t>1</w:t>
            </w:r>
            <w:r>
              <w:rPr>
                <w:rFonts w:hint="eastAsia" w:ascii="宋体" w:cs="宋体"/>
                <w:color w:val="auto"/>
                <w:kern w:val="0"/>
                <w:sz w:val="21"/>
                <w:highlight w:val="none"/>
              </w:rPr>
              <w:t>分。</w:t>
            </w:r>
          </w:p>
          <w:p>
            <w:pPr>
              <w:pStyle w:val="2"/>
              <w:widowControl/>
              <w:autoSpaceDE/>
              <w:autoSpaceDN/>
              <w:spacing w:before="0" w:beforeAutospacing="0" w:after="0" w:line="360" w:lineRule="auto"/>
              <w:ind w:firstLine="0" w:firstLineChars="0"/>
              <w:rPr>
                <w:rFonts w:hint="eastAsia" w:eastAsia="宋体"/>
                <w:color w:val="auto"/>
                <w:highlight w:val="none"/>
                <w:lang w:eastAsia="zh-CN"/>
              </w:rPr>
            </w:pPr>
            <w:r>
              <w:rPr>
                <w:rFonts w:hint="eastAsia" w:ascii="宋体" w:cs="宋体"/>
                <w:color w:val="auto"/>
                <w:kern w:val="0"/>
                <w:sz w:val="21"/>
                <w:highlight w:val="none"/>
                <w:lang w:eastAsia="zh-CN"/>
              </w:rPr>
              <w:t>注：提供售后服务质保方案</w:t>
            </w:r>
          </w:p>
          <w:p>
            <w:pPr>
              <w:widowControl/>
              <w:autoSpaceDE/>
              <w:autoSpaceDN/>
              <w:spacing w:line="360" w:lineRule="auto"/>
              <w:ind w:firstLine="0" w:firstLineChars="0"/>
              <w:jc w:val="left"/>
              <w:rPr>
                <w:rFonts w:hint="eastAsia" w:ascii="宋体" w:cs="宋体"/>
                <w:color w:val="auto"/>
                <w:kern w:val="0"/>
                <w:sz w:val="21"/>
                <w:highlight w:val="none"/>
              </w:rPr>
            </w:pPr>
            <w:r>
              <w:rPr>
                <w:rFonts w:hint="eastAsia" w:ascii="宋体" w:cs="宋体"/>
                <w:color w:val="auto"/>
                <w:kern w:val="0"/>
                <w:sz w:val="21"/>
                <w:highlight w:val="none"/>
                <w:lang w:val="en-US" w:eastAsia="zh-CN"/>
              </w:rPr>
              <w:t>3.</w:t>
            </w:r>
            <w:r>
              <w:rPr>
                <w:rFonts w:hint="eastAsia" w:ascii="宋体" w:cs="宋体"/>
                <w:color w:val="auto"/>
                <w:kern w:val="0"/>
                <w:sz w:val="21"/>
                <w:highlight w:val="none"/>
              </w:rPr>
              <w:t>增值服务</w:t>
            </w:r>
            <w:r>
              <w:rPr>
                <w:rFonts w:hint="eastAsia" w:ascii="宋体" w:cs="宋体"/>
                <w:color w:val="auto"/>
                <w:kern w:val="0"/>
                <w:sz w:val="21"/>
                <w:highlight w:val="none"/>
                <w:lang w:val="en-US" w:eastAsia="zh-CN"/>
              </w:rPr>
              <w:t>承诺</w:t>
            </w:r>
            <w:r>
              <w:rPr>
                <w:rFonts w:hint="eastAsia" w:ascii="宋体" w:cs="宋体"/>
                <w:color w:val="auto"/>
                <w:kern w:val="0"/>
                <w:sz w:val="21"/>
                <w:highlight w:val="none"/>
              </w:rPr>
              <w:t>（</w:t>
            </w:r>
            <w:r>
              <w:rPr>
                <w:rFonts w:hint="eastAsia" w:ascii="宋体" w:cs="宋体"/>
                <w:color w:val="auto"/>
                <w:kern w:val="0"/>
                <w:sz w:val="21"/>
                <w:highlight w:val="none"/>
                <w:lang w:val="en-US" w:eastAsia="zh-CN"/>
              </w:rPr>
              <w:t>5</w:t>
            </w:r>
            <w:r>
              <w:rPr>
                <w:rFonts w:hint="eastAsia" w:ascii="宋体" w:cs="宋体"/>
                <w:color w:val="auto"/>
                <w:kern w:val="0"/>
                <w:sz w:val="21"/>
                <w:highlight w:val="none"/>
              </w:rPr>
              <w:t>分）</w:t>
            </w:r>
          </w:p>
          <w:p>
            <w:pPr>
              <w:widowControl/>
              <w:autoSpaceDE/>
              <w:autoSpaceDN/>
              <w:spacing w:line="36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人</w:t>
            </w:r>
            <w:r>
              <w:rPr>
                <w:rFonts w:hint="eastAsia" w:ascii="宋体" w:cs="宋体"/>
                <w:color w:val="auto"/>
                <w:kern w:val="0"/>
                <w:sz w:val="21"/>
                <w:highlight w:val="none"/>
              </w:rPr>
              <w:t>能提供本比选培训范围外的其他增值服务，满足</w:t>
            </w:r>
            <w:r>
              <w:rPr>
                <w:rFonts w:hint="eastAsia" w:ascii="宋体" w:cs="宋体"/>
                <w:color w:val="auto"/>
                <w:kern w:val="0"/>
                <w:sz w:val="21"/>
                <w:highlight w:val="none"/>
                <w:lang w:val="en-US" w:eastAsia="zh-CN"/>
              </w:rPr>
              <w:t>数据安全</w:t>
            </w:r>
            <w:r>
              <w:rPr>
                <w:rFonts w:hint="eastAsia" w:ascii="宋体" w:cs="宋体"/>
                <w:color w:val="auto"/>
                <w:kern w:val="0"/>
                <w:sz w:val="21"/>
                <w:highlight w:val="none"/>
              </w:rPr>
              <w:t>工作相关性，</w:t>
            </w:r>
            <w:r>
              <w:rPr>
                <w:rFonts w:hint="eastAsia" w:ascii="宋体" w:cs="宋体"/>
                <w:color w:val="auto"/>
                <w:kern w:val="0"/>
                <w:sz w:val="21"/>
                <w:highlight w:val="none"/>
                <w:lang w:val="en-US" w:eastAsia="zh-CN"/>
              </w:rPr>
              <w:t>例如承诺辅助</w:t>
            </w:r>
            <w:r>
              <w:rPr>
                <w:rFonts w:hint="eastAsia" w:ascii="宋体" w:hAnsi="Cambria Math" w:eastAsia="宋体" w:cs="宋体"/>
                <w:i w:val="0"/>
                <w:iCs w:val="0"/>
                <w:caps w:val="0"/>
                <w:color w:val="auto"/>
                <w:spacing w:val="0"/>
                <w:kern w:val="0"/>
                <w:sz w:val="21"/>
                <w:szCs w:val="20"/>
                <w:highlight w:val="none"/>
                <w:shd w:val="clear" w:fill="auto"/>
              </w:rPr>
              <w:t>获取</w:t>
            </w:r>
            <w:r>
              <w:rPr>
                <w:rFonts w:hint="eastAsia" w:ascii="宋体" w:cs="宋体"/>
                <w:i w:val="0"/>
                <w:iCs w:val="0"/>
                <w:caps w:val="0"/>
                <w:color w:val="auto"/>
                <w:spacing w:val="0"/>
                <w:kern w:val="0"/>
                <w:sz w:val="21"/>
                <w:szCs w:val="20"/>
                <w:highlight w:val="none"/>
                <w:shd w:val="clear" w:fill="auto"/>
                <w:lang w:val="en-US" w:eastAsia="zh-CN"/>
              </w:rPr>
              <w:t>1项</w:t>
            </w:r>
            <w:r>
              <w:rPr>
                <w:rFonts w:hint="eastAsia" w:ascii="宋体" w:hAnsi="Cambria Math" w:eastAsia="宋体" w:cs="宋体"/>
                <w:i w:val="0"/>
                <w:iCs w:val="0"/>
                <w:caps w:val="0"/>
                <w:color w:val="auto"/>
                <w:spacing w:val="0"/>
                <w:kern w:val="0"/>
                <w:sz w:val="21"/>
                <w:szCs w:val="20"/>
                <w:highlight w:val="none"/>
                <w:shd w:val="clear" w:fill="auto"/>
              </w:rPr>
              <w:t>外部荣誉奖项</w:t>
            </w:r>
            <w:r>
              <w:rPr>
                <w:rFonts w:hint="eastAsia" w:ascii="宋体" w:cs="宋体"/>
                <w:i w:val="0"/>
                <w:iCs w:val="0"/>
                <w:caps w:val="0"/>
                <w:color w:val="auto"/>
                <w:spacing w:val="0"/>
                <w:kern w:val="0"/>
                <w:sz w:val="21"/>
                <w:szCs w:val="20"/>
                <w:highlight w:val="none"/>
                <w:shd w:val="clear"/>
                <w:lang w:eastAsia="zh-CN"/>
              </w:rPr>
              <w:t>。</w:t>
            </w:r>
          </w:p>
          <w:p>
            <w:pPr>
              <w:widowControl/>
              <w:autoSpaceDE/>
              <w:autoSpaceDN/>
              <w:spacing w:line="360" w:lineRule="auto"/>
              <w:ind w:firstLine="0" w:firstLineChars="0"/>
              <w:jc w:val="left"/>
              <w:rPr>
                <w:rFonts w:hint="eastAsia" w:ascii="宋体" w:cs="宋体"/>
                <w:color w:val="auto"/>
                <w:kern w:val="0"/>
                <w:sz w:val="21"/>
                <w:highlight w:val="none"/>
              </w:rPr>
            </w:pPr>
            <w:r>
              <w:rPr>
                <w:rFonts w:hint="eastAsia" w:ascii="宋体" w:cs="宋体"/>
                <w:color w:val="auto"/>
                <w:kern w:val="0"/>
                <w:sz w:val="21"/>
                <w:highlight w:val="none"/>
              </w:rPr>
              <w:t>以上内容，由</w:t>
            </w:r>
            <w:r>
              <w:rPr>
                <w:rFonts w:hint="eastAsia" w:ascii="宋体" w:cs="宋体"/>
                <w:color w:val="auto"/>
                <w:kern w:val="0"/>
                <w:sz w:val="21"/>
                <w:highlight w:val="none"/>
                <w:lang w:val="en-US" w:eastAsia="zh-CN"/>
              </w:rPr>
              <w:t>评审委员会</w:t>
            </w:r>
            <w:r>
              <w:rPr>
                <w:rFonts w:hint="eastAsia" w:ascii="宋体" w:cs="宋体"/>
                <w:color w:val="auto"/>
                <w:kern w:val="0"/>
                <w:sz w:val="21"/>
                <w:highlight w:val="none"/>
              </w:rPr>
              <w:t>横向比较后打分：优秀，得</w:t>
            </w:r>
            <w:r>
              <w:rPr>
                <w:rFonts w:hint="eastAsia" w:ascii="宋体" w:cs="宋体"/>
                <w:color w:val="auto"/>
                <w:kern w:val="0"/>
                <w:sz w:val="21"/>
                <w:highlight w:val="none"/>
                <w:lang w:val="en-US" w:eastAsia="zh-CN"/>
              </w:rPr>
              <w:t>5</w:t>
            </w:r>
            <w:r>
              <w:rPr>
                <w:rFonts w:hint="eastAsia" w:ascii="宋体" w:cs="宋体"/>
                <w:color w:val="auto"/>
                <w:kern w:val="0"/>
                <w:sz w:val="21"/>
                <w:highlight w:val="none"/>
              </w:rPr>
              <w:t>分；较好，得</w:t>
            </w:r>
            <w:r>
              <w:rPr>
                <w:rFonts w:hint="eastAsia" w:ascii="宋体" w:cs="宋体"/>
                <w:color w:val="auto"/>
                <w:kern w:val="0"/>
                <w:sz w:val="21"/>
                <w:highlight w:val="none"/>
                <w:lang w:val="en-US" w:eastAsia="zh-CN"/>
              </w:rPr>
              <w:t>3-4</w:t>
            </w:r>
            <w:r>
              <w:rPr>
                <w:rFonts w:hint="eastAsia" w:ascii="宋体" w:cs="宋体"/>
                <w:color w:val="auto"/>
                <w:kern w:val="0"/>
                <w:sz w:val="21"/>
                <w:highlight w:val="none"/>
              </w:rPr>
              <w:t>分；一般，得</w:t>
            </w:r>
            <w:r>
              <w:rPr>
                <w:rFonts w:hint="eastAsia" w:ascii="宋体" w:cs="宋体"/>
                <w:color w:val="auto"/>
                <w:kern w:val="0"/>
                <w:sz w:val="21"/>
                <w:highlight w:val="none"/>
                <w:lang w:val="en-US" w:eastAsia="zh-CN"/>
              </w:rPr>
              <w:t>2</w:t>
            </w:r>
            <w:r>
              <w:rPr>
                <w:rFonts w:hint="eastAsia" w:ascii="宋体" w:cs="宋体"/>
                <w:color w:val="auto"/>
                <w:kern w:val="0"/>
                <w:sz w:val="21"/>
                <w:highlight w:val="none"/>
              </w:rPr>
              <w:t>分</w:t>
            </w:r>
            <w:r>
              <w:rPr>
                <w:rFonts w:hint="eastAsia" w:ascii="宋体" w:cs="宋体"/>
                <w:color w:val="auto"/>
                <w:kern w:val="0"/>
                <w:sz w:val="21"/>
                <w:highlight w:val="none"/>
                <w:lang w:val="en-US" w:eastAsia="zh-CN"/>
              </w:rPr>
              <w:t>;较差，</w:t>
            </w:r>
            <w:r>
              <w:rPr>
                <w:rFonts w:hint="eastAsia" w:ascii="宋体" w:cs="宋体"/>
                <w:color w:val="auto"/>
                <w:kern w:val="0"/>
                <w:sz w:val="21"/>
                <w:highlight w:val="none"/>
              </w:rPr>
              <w:t>得</w:t>
            </w:r>
            <w:r>
              <w:rPr>
                <w:rFonts w:hint="eastAsia" w:ascii="宋体" w:cs="宋体"/>
                <w:color w:val="auto"/>
                <w:kern w:val="0"/>
                <w:sz w:val="21"/>
                <w:highlight w:val="none"/>
                <w:lang w:val="en-US" w:eastAsia="zh-CN"/>
              </w:rPr>
              <w:t>1</w:t>
            </w:r>
            <w:r>
              <w:rPr>
                <w:rFonts w:hint="eastAsia" w:ascii="宋体" w:cs="宋体"/>
                <w:color w:val="auto"/>
                <w:kern w:val="0"/>
                <w:sz w:val="21"/>
                <w:highlight w:val="none"/>
              </w:rPr>
              <w:t>分</w:t>
            </w:r>
            <w:r>
              <w:rPr>
                <w:rFonts w:hint="eastAsia" w:ascii="宋体" w:cs="宋体"/>
                <w:color w:val="auto"/>
                <w:kern w:val="0"/>
                <w:sz w:val="21"/>
                <w:highlight w:val="none"/>
                <w:lang w:eastAsia="zh-CN"/>
              </w:rPr>
              <w:t>，不提供的不得分。</w:t>
            </w:r>
          </w:p>
          <w:p>
            <w:pPr>
              <w:widowControl/>
              <w:autoSpaceDE/>
              <w:autoSpaceDN/>
              <w:spacing w:line="360" w:lineRule="auto"/>
              <w:ind w:firstLine="0" w:firstLineChars="0"/>
              <w:jc w:val="left"/>
              <w:rPr>
                <w:rFonts w:hint="eastAsia" w:ascii="宋体" w:cs="宋体"/>
                <w:color w:val="auto"/>
                <w:kern w:val="0"/>
                <w:sz w:val="21"/>
                <w:highlight w:val="none"/>
              </w:rPr>
            </w:pPr>
            <w:r>
              <w:rPr>
                <w:rFonts w:hint="eastAsia" w:ascii="宋体" w:hAnsi="宋体" w:cs="宋体"/>
                <w:color w:val="auto"/>
                <w:kern w:val="0"/>
                <w:sz w:val="21"/>
                <w:szCs w:val="21"/>
                <w:highlight w:val="none"/>
                <w:lang w:eastAsia="zh-CN"/>
              </w:rPr>
              <w:t>注：</w:t>
            </w:r>
            <w:r>
              <w:rPr>
                <w:rFonts w:hint="eastAsia" w:ascii="宋体" w:hAnsi="宋体" w:cs="宋体"/>
                <w:color w:val="auto"/>
                <w:kern w:val="0"/>
                <w:sz w:val="21"/>
                <w:szCs w:val="21"/>
                <w:highlight w:val="none"/>
              </w:rPr>
              <w:t>项目</w:t>
            </w:r>
            <w:r>
              <w:rPr>
                <w:rFonts w:hint="eastAsia" w:ascii="宋体" w:cs="宋体"/>
                <w:color w:val="auto"/>
                <w:kern w:val="0"/>
                <w:sz w:val="21"/>
                <w:highlight w:val="none"/>
              </w:rPr>
              <w:t>增值服务</w:t>
            </w:r>
            <w:r>
              <w:rPr>
                <w:rFonts w:hint="eastAsia" w:ascii="宋体" w:cs="宋体"/>
                <w:color w:val="auto"/>
                <w:kern w:val="0"/>
                <w:sz w:val="21"/>
                <w:highlight w:val="none"/>
                <w:lang w:val="en-US" w:eastAsia="zh-CN"/>
              </w:rPr>
              <w:t>承诺</w:t>
            </w:r>
            <w:r>
              <w:rPr>
                <w:rFonts w:hint="eastAsia" w:ascii="宋体" w:hAnsi="宋体" w:cs="宋体"/>
                <w:color w:val="auto"/>
                <w:kern w:val="0"/>
                <w:sz w:val="21"/>
                <w:szCs w:val="21"/>
                <w:highlight w:val="none"/>
              </w:rPr>
              <w:t>需在本项目实施方案中进行体现。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3</w:t>
            </w:r>
          </w:p>
        </w:tc>
        <w:tc>
          <w:tcPr>
            <w:tcW w:w="1482" w:type="dxa"/>
            <w:vAlign w:val="center"/>
          </w:tcPr>
          <w:p>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评审程序</w:t>
            </w:r>
          </w:p>
        </w:tc>
        <w:tc>
          <w:tcPr>
            <w:tcW w:w="7162" w:type="dxa"/>
            <w:gridSpan w:val="3"/>
          </w:tcPr>
          <w:p>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1.初步评审前，按本章第3.1.3项的规定对参选报价有算术性错误的进行算术性错误修正。</w:t>
            </w:r>
          </w:p>
          <w:p>
            <w:pPr>
              <w:spacing w:line="360" w:lineRule="auto"/>
              <w:ind w:firstLine="0" w:firstLineChars="0"/>
              <w:jc w:val="left"/>
              <w:rPr>
                <w:rFonts w:hint="eastAsia" w:ascii="宋体" w:cs="Times New Roman"/>
                <w:bCs/>
                <w:color w:val="auto"/>
                <w:kern w:val="0"/>
                <w:sz w:val="21"/>
                <w:szCs w:val="21"/>
                <w:highlight w:val="none"/>
              </w:rPr>
            </w:pPr>
            <w:r>
              <w:rPr>
                <w:rFonts w:ascii="宋体" w:cs="Times New Roman"/>
                <w:bCs/>
                <w:color w:val="auto"/>
                <w:kern w:val="0"/>
                <w:sz w:val="21"/>
                <w:szCs w:val="21"/>
                <w:highlight w:val="none"/>
              </w:rPr>
              <w:t>2</w:t>
            </w:r>
            <w:r>
              <w:rPr>
                <w:rFonts w:hint="eastAsia" w:ascii="宋体" w:cs="Times New Roman"/>
                <w:bCs/>
                <w:color w:val="auto"/>
                <w:kern w:val="0"/>
                <w:sz w:val="21"/>
                <w:szCs w:val="21"/>
                <w:highlight w:val="none"/>
              </w:rPr>
              <w:t>.评审委员会对参选文件进行初步评审。</w:t>
            </w:r>
          </w:p>
          <w:p>
            <w:pPr>
              <w:spacing w:line="360" w:lineRule="auto"/>
              <w:ind w:firstLine="0" w:firstLineChars="0"/>
              <w:jc w:val="left"/>
              <w:rPr>
                <w:rFonts w:hint="eastAsia" w:ascii="宋体" w:cs="Times New Roman"/>
                <w:bCs/>
                <w:color w:val="auto"/>
                <w:kern w:val="0"/>
                <w:sz w:val="21"/>
                <w:szCs w:val="21"/>
                <w:highlight w:val="none"/>
              </w:rPr>
            </w:pPr>
            <w:r>
              <w:rPr>
                <w:rFonts w:ascii="宋体" w:cs="Times New Roman"/>
                <w:bCs/>
                <w:color w:val="auto"/>
                <w:kern w:val="0"/>
                <w:sz w:val="21"/>
                <w:szCs w:val="21"/>
                <w:highlight w:val="none"/>
              </w:rPr>
              <w:t>3</w:t>
            </w:r>
            <w:r>
              <w:rPr>
                <w:rFonts w:hint="eastAsia" w:ascii="宋体" w:cs="Times New Roman"/>
                <w:bCs/>
                <w:color w:val="auto"/>
                <w:kern w:val="0"/>
                <w:sz w:val="21"/>
                <w:szCs w:val="21"/>
                <w:highlight w:val="none"/>
              </w:rPr>
              <w:t>.评审委员会对初步评审合格的参选文件进行详细评审，主观评审部分由各专家独立评审打分，最后取平均得分，保留2位小数。</w:t>
            </w:r>
          </w:p>
          <w:p>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.根据综合得分由高至低进行排序，推荐1-3家合格的中选候选人。并依次为第一、二、三中选候选人。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3.2.3</w:t>
            </w:r>
          </w:p>
        </w:tc>
        <w:tc>
          <w:tcPr>
            <w:tcW w:w="1511" w:type="dxa"/>
            <w:vAlign w:val="center"/>
          </w:tcPr>
          <w:p>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参选人得分</w:t>
            </w:r>
          </w:p>
        </w:tc>
        <w:tc>
          <w:tcPr>
            <w:tcW w:w="5651" w:type="dxa"/>
            <w:gridSpan w:val="2"/>
            <w:vAlign w:val="center"/>
          </w:tcPr>
          <w:p>
            <w:pPr>
              <w:spacing w:line="36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参选人得分=参选报价得分+</w:t>
            </w:r>
            <w:r>
              <w:rPr>
                <w:rFonts w:hint="eastAsia" w:ascii="宋体" w:hAnsi="宋体" w:cs="宋体"/>
                <w:color w:val="auto"/>
                <w:kern w:val="0"/>
                <w:sz w:val="21"/>
                <w:szCs w:val="21"/>
                <w:highlight w:val="none"/>
                <w:lang w:val="en-US" w:eastAsia="zh-CN"/>
              </w:rPr>
              <w:t>企业实力</w:t>
            </w:r>
            <w:r>
              <w:rPr>
                <w:rFonts w:hint="eastAsia" w:ascii="宋体" w:hAnsi="宋体" w:cs="宋体"/>
                <w:color w:val="auto"/>
                <w:sz w:val="21"/>
                <w:szCs w:val="21"/>
                <w:highlight w:val="none"/>
              </w:rPr>
              <w:t>得分</w:t>
            </w:r>
            <w:r>
              <w:rPr>
                <w:rFonts w:hint="eastAsia" w:ascii="宋体" w:hAnsi="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得分+</w:t>
            </w:r>
            <w:r>
              <w:rPr>
                <w:rFonts w:hint="eastAsia" w:ascii="宋体" w:cs="宋体"/>
                <w:color w:val="auto"/>
                <w:kern w:val="0"/>
                <w:sz w:val="21"/>
                <w:highlight w:val="none"/>
              </w:rPr>
              <w:t>企业服务承诺</w:t>
            </w:r>
            <w:r>
              <w:rPr>
                <w:rFonts w:hint="eastAsia" w:ascii="宋体" w:cs="宋体"/>
                <w:color w:val="auto"/>
                <w:kern w:val="0"/>
                <w:sz w:val="21"/>
                <w:highlight w:val="none"/>
                <w:lang w:val="en-US" w:eastAsia="zh-CN"/>
              </w:rPr>
              <w:t>得分</w:t>
            </w:r>
          </w:p>
        </w:tc>
      </w:tr>
      <w:bookmarkEnd w:id="73"/>
    </w:tbl>
    <w:p>
      <w:pPr>
        <w:ind w:firstLine="420"/>
        <w:rPr>
          <w:rFonts w:ascii="宋体" w:hAnsi="宋体" w:cs="宋体"/>
          <w:snapToGrid w:val="0"/>
          <w:color w:val="auto"/>
          <w:sz w:val="21"/>
          <w:szCs w:val="21"/>
          <w:highlight w:val="none"/>
        </w:rPr>
      </w:pPr>
      <w:bookmarkStart w:id="74" w:name="_Toc636"/>
      <w:bookmarkStart w:id="75" w:name="_Toc21111"/>
      <w:r>
        <w:rPr>
          <w:rFonts w:hint="eastAsia" w:ascii="宋体" w:hAnsi="宋体" w:cs="宋体"/>
          <w:snapToGrid w:val="0"/>
          <w:color w:val="auto"/>
          <w:sz w:val="21"/>
          <w:szCs w:val="21"/>
          <w:highlight w:val="none"/>
        </w:rPr>
        <w:br w:type="page"/>
      </w:r>
    </w:p>
    <w:p>
      <w:pPr>
        <w:pStyle w:val="4"/>
        <w:rPr>
          <w:color w:val="auto"/>
          <w:highlight w:val="none"/>
        </w:rPr>
      </w:pPr>
      <w:bookmarkStart w:id="76" w:name="_Toc28684"/>
      <w:bookmarkStart w:id="77" w:name="_Toc27234"/>
      <w:bookmarkStart w:id="78" w:name="_Toc18283"/>
      <w:r>
        <w:rPr>
          <w:rFonts w:hint="eastAsia"/>
          <w:color w:val="auto"/>
          <w:highlight w:val="none"/>
        </w:rPr>
        <w:t>1. 评审方法</w:t>
      </w:r>
      <w:bookmarkEnd w:id="74"/>
      <w:bookmarkEnd w:id="75"/>
      <w:bookmarkEnd w:id="76"/>
      <w:bookmarkEnd w:id="77"/>
      <w:bookmarkEnd w:id="78"/>
    </w:p>
    <w:p>
      <w:pPr>
        <w:ind w:firstLine="480"/>
        <w:rPr>
          <w:color w:val="auto"/>
          <w:highlight w:val="none"/>
        </w:rPr>
      </w:pPr>
      <w:bookmarkStart w:id="79" w:name="_Toc277082619"/>
      <w:bookmarkStart w:id="80" w:name="_Toc287607813"/>
      <w:bookmarkStart w:id="81" w:name="_Toc376114120"/>
      <w:bookmarkStart w:id="82" w:name="_Toc407195379"/>
      <w:bookmarkStart w:id="83" w:name="_Toc287620752"/>
      <w:bookmarkStart w:id="84" w:name="_Toc377067339"/>
      <w:bookmarkStart w:id="85" w:name="_Toc377115419"/>
      <w:bookmarkStart w:id="86" w:name="_Toc200513199"/>
      <w:bookmarkStart w:id="87" w:name="_Toc440022827"/>
      <w:bookmarkStart w:id="88" w:name="_Toc224103385"/>
      <w:bookmarkStart w:id="89" w:name="_Toc330569206"/>
      <w:r>
        <w:rPr>
          <w:rFonts w:hint="eastAsia"/>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pPr>
        <w:pStyle w:val="4"/>
        <w:rPr>
          <w:color w:val="auto"/>
          <w:highlight w:val="none"/>
        </w:rPr>
      </w:pPr>
      <w:bookmarkStart w:id="90" w:name="_Toc5950"/>
      <w:bookmarkStart w:id="91" w:name="_Toc31615"/>
      <w:bookmarkStart w:id="92" w:name="_Toc27931"/>
      <w:bookmarkStart w:id="93" w:name="_Toc23969"/>
      <w:bookmarkStart w:id="94" w:name="_Toc2274"/>
      <w:bookmarkStart w:id="95" w:name="_Toc16716"/>
      <w:bookmarkStart w:id="96" w:name="_Toc444155968"/>
      <w:bookmarkStart w:id="97" w:name="_Toc765"/>
      <w:bookmarkStart w:id="98" w:name="_Toc27406"/>
      <w:r>
        <w:rPr>
          <w:rFonts w:hint="eastAsia"/>
          <w:color w:val="auto"/>
          <w:highlight w:val="none"/>
        </w:rPr>
        <w:t>2. 评审标准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pStyle w:val="5"/>
        <w:ind w:firstLine="482"/>
        <w:rPr>
          <w:color w:val="auto"/>
          <w:highlight w:val="none"/>
        </w:rPr>
      </w:pPr>
      <w:bookmarkStart w:id="99" w:name="_Toc1358"/>
      <w:bookmarkStart w:id="100" w:name="_Toc23425"/>
      <w:bookmarkStart w:id="101" w:name="_Toc21593"/>
      <w:bookmarkStart w:id="102" w:name="_Toc224103386"/>
      <w:bookmarkStart w:id="103" w:name="_Toc444155969"/>
      <w:bookmarkStart w:id="104" w:name="_Toc377067340"/>
      <w:bookmarkStart w:id="105" w:name="_Toc11839"/>
      <w:bookmarkStart w:id="106" w:name="_Toc277082620"/>
      <w:bookmarkStart w:id="107" w:name="_Toc407195380"/>
      <w:bookmarkStart w:id="108" w:name="_Toc287607814"/>
      <w:bookmarkStart w:id="109" w:name="_Toc376114121"/>
      <w:bookmarkStart w:id="110" w:name="_Toc377115420"/>
      <w:bookmarkStart w:id="111" w:name="_Toc330569207"/>
      <w:bookmarkStart w:id="112" w:name="_Toc16537"/>
      <w:bookmarkStart w:id="113" w:name="_Toc200513200"/>
      <w:bookmarkStart w:id="114" w:name="_Toc287620753"/>
      <w:bookmarkStart w:id="115" w:name="_Toc10533"/>
      <w:bookmarkStart w:id="116" w:name="_Toc440022828"/>
      <w:bookmarkStart w:id="117" w:name="_Toc7584"/>
      <w:r>
        <w:rPr>
          <w:rFonts w:hint="eastAsia"/>
          <w:color w:val="auto"/>
          <w:highlight w:val="none"/>
        </w:rPr>
        <w:t>2.1 初步评审标准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ind w:firstLine="480"/>
        <w:rPr>
          <w:color w:val="auto"/>
          <w:highlight w:val="none"/>
        </w:rPr>
      </w:pPr>
      <w:r>
        <w:rPr>
          <w:rFonts w:hint="eastAsia"/>
          <w:color w:val="auto"/>
          <w:highlight w:val="none"/>
        </w:rPr>
        <w:t>2.1.1 资格评审标准：见评审办法前附表。</w:t>
      </w:r>
    </w:p>
    <w:p>
      <w:pPr>
        <w:ind w:firstLine="480"/>
        <w:rPr>
          <w:color w:val="auto"/>
          <w:highlight w:val="none"/>
        </w:rPr>
      </w:pPr>
      <w:r>
        <w:rPr>
          <w:rFonts w:hint="eastAsia"/>
          <w:color w:val="auto"/>
          <w:highlight w:val="none"/>
        </w:rPr>
        <w:t>2.1.2 形式评审标准：见评审办法前附表。</w:t>
      </w:r>
    </w:p>
    <w:p>
      <w:pPr>
        <w:ind w:firstLine="480"/>
        <w:rPr>
          <w:color w:val="auto"/>
          <w:highlight w:val="none"/>
        </w:rPr>
      </w:pPr>
      <w:r>
        <w:rPr>
          <w:rFonts w:hint="eastAsia"/>
          <w:color w:val="auto"/>
          <w:highlight w:val="none"/>
        </w:rPr>
        <w:t>2.1.3 响应性评审标准：见评审办法前附表。</w:t>
      </w:r>
    </w:p>
    <w:p>
      <w:pPr>
        <w:pStyle w:val="5"/>
        <w:ind w:firstLine="482"/>
        <w:rPr>
          <w:color w:val="auto"/>
          <w:highlight w:val="none"/>
        </w:rPr>
      </w:pPr>
      <w:bookmarkStart w:id="118" w:name="_Toc1387"/>
      <w:bookmarkStart w:id="119" w:name="_Toc224103387"/>
      <w:bookmarkStart w:id="120" w:name="_Toc6503"/>
      <w:bookmarkStart w:id="121" w:name="_Toc330569208"/>
      <w:bookmarkStart w:id="122" w:name="_Toc20840"/>
      <w:bookmarkStart w:id="123" w:name="_Toc2340"/>
      <w:bookmarkStart w:id="124" w:name="_Toc9090"/>
      <w:bookmarkStart w:id="125" w:name="_Toc440022829"/>
      <w:bookmarkStart w:id="126" w:name="_Toc25129"/>
      <w:bookmarkStart w:id="127" w:name="_Toc407195381"/>
      <w:bookmarkStart w:id="128" w:name="_Toc287607815"/>
      <w:bookmarkStart w:id="129" w:name="_Toc444155970"/>
      <w:bookmarkStart w:id="130" w:name="_Toc377115421"/>
      <w:bookmarkStart w:id="131" w:name="_Toc277082621"/>
      <w:bookmarkStart w:id="132" w:name="_Toc287620754"/>
      <w:bookmarkStart w:id="133" w:name="_Toc200513201"/>
      <w:bookmarkStart w:id="134" w:name="_Toc376114122"/>
      <w:bookmarkStart w:id="135" w:name="_Toc23296"/>
      <w:bookmarkStart w:id="136" w:name="_Toc377067341"/>
      <w:r>
        <w:rPr>
          <w:rFonts w:hint="eastAsia"/>
          <w:color w:val="auto"/>
          <w:highlight w:val="none"/>
        </w:rPr>
        <w:t>2.2 分值构成与评分标准</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ind w:firstLine="480"/>
        <w:rPr>
          <w:color w:val="auto"/>
          <w:highlight w:val="none"/>
        </w:rPr>
      </w:pPr>
      <w:r>
        <w:rPr>
          <w:rFonts w:hint="eastAsia"/>
          <w:color w:val="auto"/>
          <w:highlight w:val="none"/>
        </w:rPr>
        <w:t xml:space="preserve">2.2.1 分值构成：见评审办法前附表。 </w:t>
      </w:r>
    </w:p>
    <w:p>
      <w:pPr>
        <w:ind w:firstLine="480"/>
        <w:rPr>
          <w:color w:val="auto"/>
          <w:highlight w:val="none"/>
        </w:rPr>
      </w:pPr>
      <w:r>
        <w:rPr>
          <w:rFonts w:hint="eastAsia"/>
          <w:color w:val="auto"/>
          <w:highlight w:val="none"/>
        </w:rPr>
        <w:t>2.2.2 评审基准价计算方法：见评审办法前附表。</w:t>
      </w:r>
    </w:p>
    <w:p>
      <w:pPr>
        <w:ind w:firstLine="480"/>
        <w:rPr>
          <w:color w:val="auto"/>
          <w:highlight w:val="none"/>
        </w:rPr>
      </w:pPr>
      <w:r>
        <w:rPr>
          <w:rFonts w:hint="eastAsia"/>
          <w:color w:val="auto"/>
          <w:highlight w:val="none"/>
        </w:rPr>
        <w:t>2.2.3 评分标准：</w:t>
      </w:r>
    </w:p>
    <w:p>
      <w:pPr>
        <w:ind w:firstLine="480"/>
        <w:rPr>
          <w:color w:val="auto"/>
          <w:highlight w:val="none"/>
        </w:rPr>
      </w:pPr>
      <w:r>
        <w:rPr>
          <w:rFonts w:hint="eastAsia"/>
          <w:color w:val="auto"/>
          <w:highlight w:val="none"/>
        </w:rPr>
        <w:t>（1）参选报价评分标准：见评审办法前附表；</w:t>
      </w:r>
    </w:p>
    <w:p>
      <w:pPr>
        <w:ind w:firstLine="480"/>
        <w:rPr>
          <w:color w:val="auto"/>
          <w:highlight w:val="none"/>
        </w:rPr>
      </w:pPr>
      <w:r>
        <w:rPr>
          <w:rFonts w:hint="eastAsia"/>
          <w:color w:val="auto"/>
          <w:highlight w:val="none"/>
        </w:rPr>
        <w:t>（2）商务部分评分标准：见评审办法前附表；</w:t>
      </w:r>
    </w:p>
    <w:p>
      <w:pPr>
        <w:pStyle w:val="4"/>
        <w:ind w:firstLine="420"/>
        <w:rPr>
          <w:color w:val="auto"/>
          <w:highlight w:val="none"/>
        </w:rPr>
      </w:pPr>
      <w:bookmarkStart w:id="137" w:name="_Toc2982"/>
      <w:bookmarkStart w:id="138" w:name="_Toc407195382"/>
      <w:bookmarkStart w:id="139" w:name="_Toc287620755"/>
      <w:bookmarkStart w:id="140" w:name="_Toc23633"/>
      <w:bookmarkStart w:id="141" w:name="_Toc377115422"/>
      <w:bookmarkStart w:id="142" w:name="_Toc224103388"/>
      <w:bookmarkStart w:id="143" w:name="_Toc444155971"/>
      <w:bookmarkStart w:id="144" w:name="_Toc200513202"/>
      <w:bookmarkStart w:id="145" w:name="_Toc287607816"/>
      <w:bookmarkStart w:id="146" w:name="_Toc9488"/>
      <w:bookmarkStart w:id="147" w:name="_Toc376114123"/>
      <w:bookmarkStart w:id="148" w:name="_Toc8004"/>
      <w:bookmarkStart w:id="149" w:name="_Toc14353"/>
      <w:bookmarkStart w:id="150" w:name="_Toc330569209"/>
      <w:bookmarkStart w:id="151" w:name="_Toc277082622"/>
      <w:bookmarkStart w:id="152" w:name="_Toc12538"/>
      <w:bookmarkStart w:id="153" w:name="_Toc440022830"/>
      <w:bookmarkStart w:id="154" w:name="_Toc5546"/>
      <w:bookmarkStart w:id="155" w:name="_Toc377067342"/>
      <w:bookmarkStart w:id="156" w:name="_Toc15132"/>
      <w:r>
        <w:rPr>
          <w:rFonts w:hint="eastAsia"/>
          <w:color w:val="auto"/>
          <w:highlight w:val="none"/>
        </w:rPr>
        <w:t>3. 评审程序</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ind w:firstLine="482"/>
        <w:rPr>
          <w:color w:val="auto"/>
          <w:highlight w:val="none"/>
        </w:rPr>
      </w:pPr>
      <w:bookmarkStart w:id="157" w:name="_Toc407195383"/>
      <w:bookmarkStart w:id="158" w:name="_Toc377067343"/>
      <w:bookmarkStart w:id="159" w:name="_Toc9683"/>
      <w:bookmarkStart w:id="160" w:name="_Toc5462"/>
      <w:bookmarkStart w:id="161" w:name="_Toc376114124"/>
      <w:bookmarkStart w:id="162" w:name="_Toc13851"/>
      <w:bookmarkStart w:id="163" w:name="_Toc330569210"/>
      <w:bookmarkStart w:id="164" w:name="_Toc6448"/>
      <w:bookmarkStart w:id="165" w:name="_Toc22279"/>
      <w:bookmarkStart w:id="166" w:name="_Toc224103389"/>
      <w:bookmarkStart w:id="167" w:name="_Toc19840"/>
      <w:bookmarkStart w:id="168" w:name="_Toc287620756"/>
      <w:bookmarkStart w:id="169" w:name="_Toc440022831"/>
      <w:bookmarkStart w:id="170" w:name="_Toc277082623"/>
      <w:bookmarkStart w:id="171" w:name="_Toc444155972"/>
      <w:bookmarkStart w:id="172" w:name="_Toc32002"/>
      <w:bookmarkStart w:id="173" w:name="_Toc287607817"/>
      <w:bookmarkStart w:id="174" w:name="_Toc200513203"/>
      <w:bookmarkStart w:id="175" w:name="_Toc377115423"/>
      <w:r>
        <w:rPr>
          <w:rFonts w:hint="eastAsia"/>
          <w:color w:val="auto"/>
          <w:highlight w:val="none"/>
        </w:rPr>
        <w:t>3.1 初步评审</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ind w:firstLine="480"/>
        <w:rPr>
          <w:color w:val="auto"/>
          <w:highlight w:val="none"/>
        </w:rPr>
      </w:pPr>
      <w:bookmarkStart w:id="176" w:name="_Toc332380970"/>
      <w:bookmarkStart w:id="177" w:name="_Toc376114125"/>
      <w:bookmarkStart w:id="178" w:name="_Toc407195384"/>
      <w:bookmarkStart w:id="179" w:name="_Toc373172234"/>
      <w:bookmarkStart w:id="180" w:name="_Toc356484119"/>
      <w:bookmarkStart w:id="181" w:name="_Toc27164"/>
      <w:bookmarkStart w:id="182" w:name="_Toc356243677"/>
      <w:bookmarkStart w:id="183" w:name="_Toc331232649"/>
      <w:bookmarkStart w:id="184" w:name="_Toc373264792"/>
      <w:bookmarkStart w:id="185" w:name="_Toc440022832"/>
      <w:bookmarkStart w:id="186" w:name="_Toc330569211"/>
      <w:bookmarkStart w:id="187" w:name="_Toc332028970"/>
      <w:bookmarkStart w:id="188" w:name="_Toc444155973"/>
      <w:bookmarkStart w:id="189" w:name="_Toc331232467"/>
      <w:bookmarkStart w:id="190" w:name="_Toc377115424"/>
      <w:bookmarkStart w:id="191" w:name="_Toc334002333"/>
      <w:bookmarkStart w:id="192" w:name="_Toc354387014"/>
      <w:bookmarkStart w:id="193" w:name="_Toc377067344"/>
      <w:bookmarkStart w:id="194" w:name="_Toc332015984"/>
      <w:r>
        <w:rPr>
          <w:rFonts w:hint="eastAsia"/>
          <w:color w:val="auto"/>
          <w:highlight w:val="none"/>
        </w:rPr>
        <w:t>3.1.1 评审委员会依据本章第2.1 条规定的标准对参选文件进行初步评审。有一项不符合评审标准的，作否决参选处理。</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0"/>
        <w:rPr>
          <w:color w:val="auto"/>
          <w:highlight w:val="none"/>
        </w:rPr>
      </w:pPr>
      <w:r>
        <w:rPr>
          <w:rFonts w:hint="eastAsia"/>
          <w:color w:val="auto"/>
          <w:highlight w:val="none"/>
        </w:rPr>
        <w:t>3.1.2 参选人有以下情形之一的，其参选作否决参选处理：</w:t>
      </w:r>
    </w:p>
    <w:p>
      <w:pPr>
        <w:ind w:firstLine="480"/>
        <w:rPr>
          <w:color w:val="auto"/>
          <w:highlight w:val="none"/>
        </w:rPr>
      </w:pPr>
      <w:r>
        <w:rPr>
          <w:rFonts w:hint="eastAsia"/>
          <w:color w:val="auto"/>
          <w:highlight w:val="none"/>
        </w:rPr>
        <w:t>3.1.2.1 有第二章“参选人须知”第9.条以及第11. 条规定的任何一种情形的；</w:t>
      </w:r>
    </w:p>
    <w:p>
      <w:pPr>
        <w:ind w:firstLine="480"/>
        <w:rPr>
          <w:color w:val="auto"/>
          <w:highlight w:val="none"/>
        </w:rPr>
      </w:pPr>
      <w:r>
        <w:rPr>
          <w:rFonts w:hint="eastAsia"/>
          <w:color w:val="auto"/>
          <w:highlight w:val="none"/>
        </w:rPr>
        <w:t>3.1.2.2 有串通参选、弄虚作假等其他违反相关法律、法规行为的；</w:t>
      </w:r>
    </w:p>
    <w:p>
      <w:pPr>
        <w:ind w:firstLine="480"/>
        <w:rPr>
          <w:color w:val="auto"/>
          <w:highlight w:val="none"/>
        </w:rPr>
      </w:pPr>
      <w:r>
        <w:rPr>
          <w:rFonts w:hint="eastAsia"/>
          <w:color w:val="auto"/>
          <w:highlight w:val="none"/>
        </w:rPr>
        <w:t>3.1.2.3 不按评审委员会要求澄清、说明或补正的。</w:t>
      </w:r>
    </w:p>
    <w:p>
      <w:pPr>
        <w:ind w:firstLine="480"/>
        <w:rPr>
          <w:color w:val="auto"/>
          <w:highlight w:val="none"/>
        </w:rPr>
      </w:pPr>
      <w:r>
        <w:rPr>
          <w:rFonts w:hint="eastAsia"/>
          <w:color w:val="auto"/>
          <w:highlight w:val="none"/>
        </w:rPr>
        <w:t>3.1.2.4 本参选文件约定的其它情形。</w:t>
      </w:r>
    </w:p>
    <w:p>
      <w:pPr>
        <w:ind w:firstLine="480"/>
        <w:rPr>
          <w:color w:val="auto"/>
          <w:highlight w:val="none"/>
        </w:rPr>
      </w:pPr>
      <w:r>
        <w:rPr>
          <w:rFonts w:hint="eastAsia"/>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4.8 条。</w:t>
      </w:r>
    </w:p>
    <w:p>
      <w:pPr>
        <w:pStyle w:val="5"/>
        <w:ind w:firstLine="482"/>
        <w:rPr>
          <w:color w:val="auto"/>
          <w:highlight w:val="none"/>
        </w:rPr>
      </w:pPr>
      <w:bookmarkStart w:id="195" w:name="_Toc22848"/>
      <w:bookmarkStart w:id="196" w:name="_Toc444155974"/>
      <w:bookmarkStart w:id="197" w:name="_Toc287607818"/>
      <w:bookmarkStart w:id="198" w:name="_Toc376114126"/>
      <w:bookmarkStart w:id="199" w:name="_Toc330569212"/>
      <w:bookmarkStart w:id="200" w:name="_Toc19604"/>
      <w:bookmarkStart w:id="201" w:name="_Toc11246"/>
      <w:bookmarkStart w:id="202" w:name="_Toc277082624"/>
      <w:bookmarkStart w:id="203" w:name="_Toc10847"/>
      <w:bookmarkStart w:id="204" w:name="_Toc287620757"/>
      <w:bookmarkStart w:id="205" w:name="_Toc7832"/>
      <w:bookmarkStart w:id="206" w:name="_Toc407195385"/>
      <w:bookmarkStart w:id="207" w:name="_Toc200513204"/>
      <w:bookmarkStart w:id="208" w:name="_Toc377115425"/>
      <w:bookmarkStart w:id="209" w:name="_Toc29925"/>
      <w:bookmarkStart w:id="210" w:name="_Toc440022833"/>
      <w:bookmarkStart w:id="211" w:name="_Toc22246"/>
      <w:bookmarkStart w:id="212" w:name="_Toc377067345"/>
      <w:bookmarkStart w:id="213" w:name="_Toc224103390"/>
      <w:r>
        <w:rPr>
          <w:rFonts w:hint="eastAsia"/>
          <w:color w:val="auto"/>
          <w:highlight w:val="none"/>
        </w:rPr>
        <w:t>3.2 详细评审</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ind w:firstLine="480"/>
        <w:rPr>
          <w:color w:val="auto"/>
          <w:highlight w:val="none"/>
        </w:rPr>
      </w:pPr>
      <w:r>
        <w:rPr>
          <w:rFonts w:hint="eastAsia"/>
          <w:color w:val="auto"/>
          <w:highlight w:val="none"/>
        </w:rPr>
        <w:t>3.2.1 评审委员会按本章第2.2 条规定的量化因素和分值进行打分，并计算出综合评估得分。</w:t>
      </w:r>
    </w:p>
    <w:p>
      <w:pPr>
        <w:ind w:firstLine="480"/>
        <w:rPr>
          <w:color w:val="auto"/>
          <w:highlight w:val="none"/>
        </w:rPr>
      </w:pPr>
      <w:r>
        <w:rPr>
          <w:rFonts w:hint="eastAsia"/>
          <w:color w:val="auto"/>
          <w:highlight w:val="none"/>
        </w:rPr>
        <w:t>3.2.1.1 按本章第2.2 条规定的评审因素和分值对参选报价计算出得分；</w:t>
      </w:r>
    </w:p>
    <w:p>
      <w:pPr>
        <w:ind w:firstLine="480"/>
        <w:rPr>
          <w:color w:val="auto"/>
          <w:highlight w:val="none"/>
        </w:rPr>
      </w:pPr>
      <w:r>
        <w:rPr>
          <w:rFonts w:hint="eastAsia"/>
          <w:color w:val="auto"/>
          <w:highlight w:val="none"/>
        </w:rPr>
        <w:t>3.2.1.2 按本章第2.2 条规定的评审因素和分值对商务部分计算出得分（评审委员会统一打分）；</w:t>
      </w:r>
    </w:p>
    <w:p>
      <w:pPr>
        <w:ind w:firstLine="480"/>
        <w:rPr>
          <w:color w:val="auto"/>
          <w:highlight w:val="none"/>
        </w:rPr>
      </w:pPr>
      <w:r>
        <w:rPr>
          <w:rFonts w:hint="eastAsia"/>
          <w:color w:val="auto"/>
          <w:highlight w:val="none"/>
        </w:rPr>
        <w:t>3.2.2 评分分值计算保留小数点后两位，小数点后第三位“四舍五入”。</w:t>
      </w:r>
    </w:p>
    <w:p>
      <w:pPr>
        <w:ind w:firstLine="480"/>
        <w:rPr>
          <w:color w:val="auto"/>
          <w:highlight w:val="none"/>
        </w:rPr>
      </w:pPr>
      <w:r>
        <w:rPr>
          <w:rFonts w:hint="eastAsia"/>
          <w:color w:val="auto"/>
          <w:highlight w:val="none"/>
        </w:rPr>
        <w:t>3.2.3 参选人得分=参选报价得分+商务部分得分。</w:t>
      </w:r>
    </w:p>
    <w:p>
      <w:pPr>
        <w:pStyle w:val="5"/>
        <w:ind w:firstLine="482"/>
        <w:rPr>
          <w:color w:val="auto"/>
          <w:highlight w:val="none"/>
        </w:rPr>
      </w:pPr>
      <w:bookmarkStart w:id="214" w:name="_Toc29261"/>
      <w:bookmarkStart w:id="215" w:name="_Toc2542"/>
      <w:bookmarkStart w:id="216" w:name="_Toc407195386"/>
      <w:bookmarkStart w:id="217" w:name="_Toc287620758"/>
      <w:bookmarkStart w:id="218" w:name="_Toc32039"/>
      <w:bookmarkStart w:id="219" w:name="_Toc18708"/>
      <w:bookmarkStart w:id="220" w:name="_Toc224103391"/>
      <w:bookmarkStart w:id="221" w:name="_Toc1080"/>
      <w:bookmarkStart w:id="222" w:name="_Toc200513205"/>
      <w:bookmarkStart w:id="223" w:name="_Toc20948"/>
      <w:bookmarkStart w:id="224" w:name="_Toc277082625"/>
      <w:bookmarkStart w:id="225" w:name="_Toc376114127"/>
      <w:bookmarkStart w:id="226" w:name="_Toc444155975"/>
      <w:bookmarkStart w:id="227" w:name="_Toc287607819"/>
      <w:bookmarkStart w:id="228" w:name="_Toc7176"/>
      <w:bookmarkStart w:id="229" w:name="_Toc377067346"/>
      <w:bookmarkStart w:id="230" w:name="_Toc440022834"/>
      <w:bookmarkStart w:id="231" w:name="_Toc377115426"/>
      <w:bookmarkStart w:id="232" w:name="_Toc330569213"/>
      <w:r>
        <w:rPr>
          <w:rFonts w:hint="eastAsia"/>
          <w:color w:val="auto"/>
          <w:highlight w:val="none"/>
        </w:rPr>
        <w:t>3.3 参选文件的澄清和补正</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ind w:firstLine="480"/>
        <w:rPr>
          <w:color w:val="auto"/>
          <w:highlight w:val="none"/>
        </w:rPr>
      </w:pPr>
      <w:r>
        <w:rPr>
          <w:rFonts w:hint="eastAsia"/>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pPr>
        <w:ind w:firstLine="480"/>
        <w:rPr>
          <w:color w:val="auto"/>
          <w:highlight w:val="none"/>
        </w:rPr>
      </w:pPr>
      <w:r>
        <w:rPr>
          <w:rFonts w:hint="eastAsia"/>
          <w:color w:val="auto"/>
          <w:highlight w:val="none"/>
        </w:rPr>
        <w:t>3.3.2 澄清、说明和补正不得改变参选文件的实质性内容（算术性错误修正的除外）。参选人的书面澄清、说明和补正属于参选文件的组成部分。</w:t>
      </w:r>
    </w:p>
    <w:p>
      <w:pPr>
        <w:ind w:firstLine="480"/>
        <w:rPr>
          <w:color w:val="auto"/>
          <w:highlight w:val="none"/>
        </w:rPr>
      </w:pPr>
      <w:r>
        <w:rPr>
          <w:rFonts w:hint="eastAsia"/>
          <w:color w:val="auto"/>
          <w:highlight w:val="none"/>
        </w:rPr>
        <w:t>3.3.3 评审委员会对参选人提交的澄清、说明或补正有疑问的，可以要求参选人进一步澄清、说明或补正，直至满足评审委员会的要求。</w:t>
      </w:r>
    </w:p>
    <w:p>
      <w:pPr>
        <w:pStyle w:val="5"/>
        <w:ind w:firstLine="482"/>
        <w:rPr>
          <w:color w:val="auto"/>
          <w:highlight w:val="none"/>
        </w:rPr>
      </w:pPr>
      <w:bookmarkStart w:id="233" w:name="_Toc330569214"/>
      <w:bookmarkStart w:id="234" w:name="_Toc440022835"/>
      <w:bookmarkStart w:id="235" w:name="_Toc407195387"/>
      <w:bookmarkStart w:id="236" w:name="_Toc21450"/>
      <w:bookmarkStart w:id="237" w:name="_Toc377115427"/>
      <w:bookmarkStart w:id="238" w:name="_Toc19054"/>
      <w:bookmarkStart w:id="239" w:name="_Toc14840"/>
      <w:bookmarkStart w:id="240" w:name="_Toc444155976"/>
      <w:bookmarkStart w:id="241" w:name="_Toc30672"/>
      <w:bookmarkStart w:id="242" w:name="_Toc287620759"/>
      <w:bookmarkStart w:id="243" w:name="_Toc31270"/>
      <w:bookmarkStart w:id="244" w:name="_Toc287607820"/>
      <w:bookmarkStart w:id="245" w:name="_Toc377067347"/>
      <w:bookmarkStart w:id="246" w:name="_Toc6310"/>
      <w:bookmarkStart w:id="247" w:name="_Toc376114128"/>
      <w:bookmarkStart w:id="248" w:name="_Toc224103392"/>
      <w:bookmarkStart w:id="249" w:name="_Toc4814"/>
      <w:bookmarkStart w:id="250" w:name="_Toc277082626"/>
      <w:bookmarkStart w:id="251" w:name="_Toc200513206"/>
      <w:r>
        <w:rPr>
          <w:rFonts w:hint="eastAsia"/>
          <w:color w:val="auto"/>
          <w:highlight w:val="none"/>
        </w:rPr>
        <w:t>3.4 评审结果</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ind w:firstLine="480"/>
        <w:rPr>
          <w:color w:val="auto"/>
          <w:highlight w:val="none"/>
        </w:rPr>
      </w:pPr>
      <w:r>
        <w:rPr>
          <w:rFonts w:hint="eastAsia"/>
          <w:color w:val="auto"/>
          <w:highlight w:val="none"/>
        </w:rPr>
        <w:t>3.4.1 评审委员会按照得分由高到低的顺序推荐中选候选人。</w:t>
      </w:r>
    </w:p>
    <w:p>
      <w:pPr>
        <w:ind w:firstLine="480"/>
        <w:rPr>
          <w:color w:val="auto"/>
          <w:highlight w:val="none"/>
        </w:rPr>
      </w:pPr>
      <w:r>
        <w:rPr>
          <w:rFonts w:hint="eastAsia"/>
          <w:color w:val="auto"/>
          <w:highlight w:val="none"/>
        </w:rPr>
        <w:t>3.4.2 评审委员会完成评审后，应当向比选人提交书面评审报告。</w:t>
      </w:r>
    </w:p>
    <w:p>
      <w:pPr>
        <w:ind w:firstLine="480"/>
        <w:rPr>
          <w:color w:val="auto"/>
          <w:highlight w:val="none"/>
        </w:rPr>
      </w:pPr>
      <w:r>
        <w:rPr>
          <w:rFonts w:hint="eastAsia"/>
          <w:color w:val="auto"/>
          <w:highlight w:val="none"/>
        </w:rPr>
        <w:t>3.4.3 有效参选不足两个的，经评审委员会判定，参选人具有相对行业竞争力的，可继续进行评审。</w:t>
      </w:r>
    </w:p>
    <w:p>
      <w:pPr>
        <w:pStyle w:val="5"/>
        <w:ind w:firstLine="482"/>
        <w:rPr>
          <w:color w:val="auto"/>
          <w:highlight w:val="none"/>
        </w:rPr>
      </w:pPr>
      <w:r>
        <w:rPr>
          <w:rFonts w:hint="eastAsia"/>
          <w:color w:val="auto"/>
          <w:highlight w:val="none"/>
        </w:rPr>
        <w:t>3.5 对评审委员会成员的纪律要求</w:t>
      </w:r>
    </w:p>
    <w:p>
      <w:pPr>
        <w:ind w:firstLine="480"/>
        <w:rPr>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5"/>
        <w:ind w:firstLine="482"/>
        <w:rPr>
          <w:color w:val="auto"/>
          <w:highlight w:val="none"/>
        </w:rPr>
      </w:pPr>
      <w:r>
        <w:rPr>
          <w:rFonts w:hint="eastAsia"/>
          <w:color w:val="auto"/>
          <w:highlight w:val="none"/>
        </w:rPr>
        <w:t>3.6 对与评审活动有关的工作人员的纪律要求</w:t>
      </w:r>
    </w:p>
    <w:p>
      <w:pPr>
        <w:ind w:firstLine="480"/>
        <w:rPr>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Pr>
        <w:ind w:firstLine="480"/>
        <w:rPr>
          <w:color w:val="auto"/>
          <w:highlight w:val="none"/>
        </w:rPr>
      </w:pPr>
    </w:p>
    <w:p>
      <w:pPr>
        <w:ind w:firstLine="480"/>
        <w:rPr>
          <w:color w:val="auto"/>
          <w:highlight w:val="none"/>
        </w:rPr>
      </w:pPr>
      <w:bookmarkStart w:id="252" w:name="_Toc150953074"/>
      <w:bookmarkStart w:id="253" w:name="_Toc303066034"/>
      <w:bookmarkStart w:id="254" w:name="_Toc89675170"/>
      <w:r>
        <w:rPr>
          <w:rFonts w:hint="eastAsia"/>
          <w:color w:val="auto"/>
          <w:highlight w:val="none"/>
        </w:rPr>
        <w:br w:type="page"/>
      </w:r>
    </w:p>
    <w:bookmarkEnd w:id="252"/>
    <w:p>
      <w:pPr>
        <w:pStyle w:val="3"/>
        <w:rPr>
          <w:color w:val="auto"/>
          <w:highlight w:val="none"/>
        </w:rPr>
      </w:pPr>
      <w:bookmarkStart w:id="255" w:name="_Toc1672934706"/>
      <w:bookmarkStart w:id="256" w:name="_Toc7021"/>
      <w:r>
        <w:rPr>
          <w:rFonts w:hint="eastAsia"/>
          <w:color w:val="auto"/>
          <w:highlight w:val="none"/>
        </w:rPr>
        <w:t>第</w:t>
      </w:r>
      <w:r>
        <w:rPr>
          <w:rFonts w:hint="eastAsia"/>
          <w:color w:val="auto"/>
          <w:highlight w:val="none"/>
          <w:lang w:eastAsia="zh-CN"/>
        </w:rPr>
        <w:t>五</w:t>
      </w:r>
      <w:r>
        <w:rPr>
          <w:rFonts w:hint="eastAsia"/>
          <w:color w:val="auto"/>
          <w:highlight w:val="none"/>
        </w:rPr>
        <w:t>章 参选文件</w:t>
      </w:r>
      <w:bookmarkEnd w:id="253"/>
      <w:bookmarkEnd w:id="254"/>
      <w:bookmarkStart w:id="257" w:name="_Toc303066035"/>
      <w:r>
        <w:rPr>
          <w:rFonts w:hint="eastAsia"/>
          <w:color w:val="auto"/>
          <w:highlight w:val="none"/>
        </w:rPr>
        <w:t>格式</w:t>
      </w:r>
      <w:bookmarkEnd w:id="255"/>
      <w:bookmarkEnd w:id="256"/>
    </w:p>
    <w:bookmarkEnd w:id="257"/>
    <w:p>
      <w:pPr>
        <w:tabs>
          <w:tab w:val="left" w:pos="6516"/>
        </w:tabs>
        <w:adjustRightInd w:val="0"/>
        <w:snapToGrid w:val="0"/>
        <w:spacing w:line="360" w:lineRule="auto"/>
        <w:ind w:firstLine="0" w:firstLineChars="0"/>
        <w:jc w:val="center"/>
        <w:outlineLvl w:val="9"/>
        <w:rPr>
          <w:rFonts w:ascii="宋体" w:hAnsi="宋体"/>
          <w:b/>
          <w:color w:val="auto"/>
          <w:kern w:val="0"/>
          <w:highlight w:val="none"/>
          <w:u w:val="single"/>
        </w:rPr>
      </w:pPr>
    </w:p>
    <w:p>
      <w:pPr>
        <w:spacing w:line="360" w:lineRule="auto"/>
        <w:ind w:firstLine="0" w:firstLineChars="0"/>
        <w:jc w:val="center"/>
        <w:outlineLvl w:val="0"/>
        <w:rPr>
          <w:rFonts w:ascii="Times New Roman" w:hAnsi="Times New Roman" w:cs="Times New Roman"/>
          <w:b/>
          <w:snapToGrid w:val="0"/>
          <w:color w:val="auto"/>
          <w:kern w:val="0"/>
          <w:sz w:val="48"/>
          <w:szCs w:val="84"/>
          <w:highlight w:val="none"/>
        </w:rPr>
      </w:pPr>
      <w:bookmarkStart w:id="258" w:name="_Toc1806"/>
      <w:r>
        <w:rPr>
          <w:rFonts w:hint="eastAsia" w:ascii="Times New Roman" w:hAnsi="Times New Roman" w:cs="Times New Roman"/>
          <w:b/>
          <w:snapToGrid w:val="0"/>
          <w:color w:val="auto"/>
          <w:kern w:val="0"/>
          <w:sz w:val="48"/>
          <w:szCs w:val="84"/>
          <w:highlight w:val="none"/>
        </w:rPr>
        <w:t>重庆三峡银行</w:t>
      </w:r>
      <w:bookmarkEnd w:id="258"/>
    </w:p>
    <w:p>
      <w:pPr>
        <w:tabs>
          <w:tab w:val="left" w:pos="3600"/>
          <w:tab w:val="left" w:pos="4480"/>
          <w:tab w:val="left" w:pos="5360"/>
        </w:tabs>
        <w:adjustRightInd w:val="0"/>
        <w:snapToGrid w:val="0"/>
        <w:spacing w:line="360" w:lineRule="auto"/>
        <w:ind w:firstLine="0" w:firstLineChars="0"/>
        <w:jc w:val="center"/>
        <w:outlineLvl w:val="0"/>
        <w:rPr>
          <w:rFonts w:ascii="宋体" w:hAnsi="宋体"/>
          <w:color w:val="auto"/>
          <w:kern w:val="0"/>
          <w:sz w:val="44"/>
          <w:highlight w:val="none"/>
          <w:u w:val="none"/>
        </w:rPr>
      </w:pPr>
      <w:bookmarkStart w:id="259" w:name="_Toc25009"/>
      <w:r>
        <w:rPr>
          <w:rFonts w:hint="eastAsia" w:ascii="Times New Roman" w:hAnsi="Times New Roman" w:cs="Times New Roman"/>
          <w:b/>
          <w:snapToGrid w:val="0"/>
          <w:color w:val="auto"/>
          <w:kern w:val="0"/>
          <w:sz w:val="48"/>
          <w:szCs w:val="84"/>
          <w:highlight w:val="none"/>
          <w:u w:val="none"/>
        </w:rPr>
        <w:t>数据安全风险评估项目项目</w:t>
      </w:r>
      <w:bookmarkEnd w:id="259"/>
    </w:p>
    <w:p>
      <w:pPr>
        <w:tabs>
          <w:tab w:val="left" w:pos="3600"/>
          <w:tab w:val="left" w:pos="4480"/>
          <w:tab w:val="left" w:pos="5360"/>
        </w:tabs>
        <w:adjustRightInd w:val="0"/>
        <w:snapToGrid w:val="0"/>
        <w:spacing w:line="360" w:lineRule="auto"/>
        <w:ind w:firstLine="0" w:firstLineChars="0"/>
        <w:jc w:val="center"/>
        <w:outlineLvl w:val="9"/>
        <w:rPr>
          <w:rFonts w:ascii="宋体" w:hAnsi="宋体"/>
          <w:color w:val="auto"/>
          <w:kern w:val="0"/>
          <w:sz w:val="44"/>
          <w:highlight w:val="none"/>
        </w:rPr>
      </w:pPr>
    </w:p>
    <w:p>
      <w:pPr>
        <w:tabs>
          <w:tab w:val="left" w:pos="3600"/>
          <w:tab w:val="left" w:pos="4480"/>
          <w:tab w:val="left" w:pos="5360"/>
        </w:tabs>
        <w:adjustRightInd w:val="0"/>
        <w:snapToGrid w:val="0"/>
        <w:spacing w:line="360" w:lineRule="auto"/>
        <w:ind w:firstLine="0" w:firstLineChars="0"/>
        <w:jc w:val="center"/>
        <w:outlineLvl w:val="9"/>
        <w:rPr>
          <w:rFonts w:ascii="宋体" w:hAnsi="宋体"/>
          <w:color w:val="auto"/>
          <w:kern w:val="0"/>
          <w:sz w:val="44"/>
          <w:highlight w:val="none"/>
        </w:rPr>
      </w:pPr>
    </w:p>
    <w:p>
      <w:pPr>
        <w:tabs>
          <w:tab w:val="left" w:pos="3600"/>
          <w:tab w:val="left" w:pos="4480"/>
          <w:tab w:val="left" w:pos="5360"/>
        </w:tabs>
        <w:adjustRightInd w:val="0"/>
        <w:snapToGrid w:val="0"/>
        <w:spacing w:line="360" w:lineRule="auto"/>
        <w:ind w:firstLine="0" w:firstLineChars="0"/>
        <w:jc w:val="center"/>
        <w:outlineLvl w:val="0"/>
        <w:rPr>
          <w:rFonts w:ascii="宋体" w:hAnsi="宋体"/>
          <w:b/>
          <w:color w:val="auto"/>
          <w:kern w:val="0"/>
          <w:sz w:val="84"/>
          <w:highlight w:val="none"/>
        </w:rPr>
      </w:pPr>
      <w:bookmarkStart w:id="260" w:name="_Toc30665"/>
      <w:r>
        <w:rPr>
          <w:rFonts w:hint="eastAsia" w:ascii="宋体" w:hAnsi="宋体"/>
          <w:b/>
          <w:color w:val="auto"/>
          <w:kern w:val="0"/>
          <w:sz w:val="84"/>
          <w:highlight w:val="none"/>
        </w:rPr>
        <w:t>参  选  文  件</w:t>
      </w:r>
      <w:bookmarkEnd w:id="260"/>
    </w:p>
    <w:p>
      <w:pPr>
        <w:adjustRightInd w:val="0"/>
        <w:snapToGrid w:val="0"/>
        <w:spacing w:line="360" w:lineRule="auto"/>
        <w:ind w:firstLine="0" w:firstLineChars="0"/>
        <w:jc w:val="center"/>
        <w:outlineLvl w:val="9"/>
        <w:rPr>
          <w:rFonts w:ascii="宋体" w:hAnsi="宋体"/>
          <w:color w:val="auto"/>
          <w:kern w:val="0"/>
          <w:sz w:val="16"/>
          <w:highlight w:val="none"/>
        </w:rPr>
      </w:pPr>
    </w:p>
    <w:p>
      <w:pPr>
        <w:adjustRightInd w:val="0"/>
        <w:snapToGrid w:val="0"/>
        <w:spacing w:line="360" w:lineRule="auto"/>
        <w:ind w:firstLine="0" w:firstLineChars="0"/>
        <w:jc w:val="center"/>
        <w:outlineLvl w:val="9"/>
        <w:rPr>
          <w:rFonts w:ascii="宋体" w:hAnsi="宋体"/>
          <w:b/>
          <w:color w:val="auto"/>
          <w:kern w:val="0"/>
          <w:sz w:val="20"/>
          <w:highlight w:val="none"/>
        </w:rPr>
      </w:pPr>
    </w:p>
    <w:p>
      <w:pPr>
        <w:adjustRightInd w:val="0"/>
        <w:snapToGrid w:val="0"/>
        <w:spacing w:line="360" w:lineRule="auto"/>
        <w:ind w:firstLine="0" w:firstLineChars="0"/>
        <w:jc w:val="center"/>
        <w:outlineLvl w:val="9"/>
        <w:rPr>
          <w:rFonts w:ascii="宋体" w:hAnsi="宋体"/>
          <w:b/>
          <w:color w:val="auto"/>
          <w:kern w:val="0"/>
          <w:sz w:val="20"/>
          <w:highlight w:val="none"/>
        </w:rPr>
      </w:pPr>
    </w:p>
    <w:p>
      <w:pPr>
        <w:adjustRightInd w:val="0"/>
        <w:snapToGrid w:val="0"/>
        <w:spacing w:line="360" w:lineRule="auto"/>
        <w:ind w:firstLine="0" w:firstLineChars="0"/>
        <w:jc w:val="center"/>
        <w:outlineLvl w:val="9"/>
        <w:rPr>
          <w:rFonts w:ascii="宋体" w:hAnsi="宋体"/>
          <w:b/>
          <w:color w:val="auto"/>
          <w:kern w:val="0"/>
          <w:sz w:val="20"/>
          <w:highlight w:val="none"/>
        </w:rPr>
      </w:pPr>
    </w:p>
    <w:p>
      <w:pPr>
        <w:adjustRightInd w:val="0"/>
        <w:snapToGrid w:val="0"/>
        <w:spacing w:line="360" w:lineRule="auto"/>
        <w:ind w:firstLine="0" w:firstLineChars="0"/>
        <w:jc w:val="center"/>
        <w:outlineLvl w:val="9"/>
        <w:rPr>
          <w:rFonts w:ascii="宋体" w:hAnsi="宋体"/>
          <w:b/>
          <w:color w:val="auto"/>
          <w:kern w:val="0"/>
          <w:sz w:val="20"/>
          <w:highlight w:val="none"/>
        </w:rPr>
      </w:pPr>
    </w:p>
    <w:p>
      <w:pPr>
        <w:adjustRightInd w:val="0"/>
        <w:snapToGrid w:val="0"/>
        <w:spacing w:line="360" w:lineRule="auto"/>
        <w:ind w:firstLine="0" w:firstLineChars="0"/>
        <w:jc w:val="center"/>
        <w:outlineLvl w:val="9"/>
        <w:rPr>
          <w:rFonts w:ascii="宋体" w:hAnsi="宋体"/>
          <w:b/>
          <w:color w:val="auto"/>
          <w:kern w:val="0"/>
          <w:sz w:val="20"/>
          <w:highlight w:val="none"/>
        </w:rPr>
      </w:pPr>
    </w:p>
    <w:p>
      <w:pPr>
        <w:adjustRightInd w:val="0"/>
        <w:snapToGrid w:val="0"/>
        <w:spacing w:line="360" w:lineRule="auto"/>
        <w:ind w:firstLine="0" w:firstLineChars="0"/>
        <w:jc w:val="center"/>
        <w:outlineLvl w:val="9"/>
        <w:rPr>
          <w:rFonts w:ascii="宋体" w:hAnsi="宋体"/>
          <w:b/>
          <w:color w:val="auto"/>
          <w:kern w:val="0"/>
          <w:sz w:val="20"/>
          <w:highlight w:val="none"/>
        </w:rPr>
      </w:pPr>
    </w:p>
    <w:p>
      <w:pPr>
        <w:spacing w:line="360" w:lineRule="auto"/>
        <w:ind w:firstLine="0" w:firstLineChars="0"/>
        <w:jc w:val="center"/>
        <w:outlineLvl w:val="0"/>
        <w:rPr>
          <w:color w:val="auto"/>
          <w:highlight w:val="none"/>
        </w:rPr>
      </w:pPr>
      <w:r>
        <w:rPr>
          <w:rFonts w:hint="eastAsia"/>
          <w:color w:val="auto"/>
          <w:highlight w:val="none"/>
        </w:rPr>
        <w:t>参选人：</w:t>
      </w:r>
      <w:r>
        <w:rPr>
          <w:rFonts w:hint="eastAsia"/>
          <w:color w:val="auto"/>
          <w:highlight w:val="none"/>
          <w:u w:val="single"/>
        </w:rPr>
        <w:t xml:space="preserve">                </w:t>
      </w:r>
      <w:r>
        <w:rPr>
          <w:rFonts w:hint="eastAsia"/>
          <w:color w:val="auto"/>
          <w:highlight w:val="none"/>
        </w:rPr>
        <w:t>（盖单位公章）</w:t>
      </w:r>
    </w:p>
    <w:p>
      <w:pPr>
        <w:spacing w:line="360" w:lineRule="auto"/>
        <w:ind w:firstLine="0" w:firstLineChars="0"/>
        <w:jc w:val="center"/>
        <w:outlineLvl w:val="0"/>
        <w:rPr>
          <w:color w:val="auto"/>
          <w:highlight w:val="none"/>
        </w:rPr>
      </w:pPr>
      <w:r>
        <w:rPr>
          <w:rFonts w:hint="eastAsia" w:ascii="宋体"/>
          <w:snapToGrid w:val="0"/>
          <w:color w:val="auto"/>
          <w:kern w:val="0"/>
          <w:highlight w:val="none"/>
        </w:rPr>
        <w:t>法定代表人</w:t>
      </w:r>
      <w:r>
        <w:rPr>
          <w:rFonts w:hint="eastAsia"/>
          <w:color w:val="auto"/>
          <w:highlight w:val="none"/>
        </w:rPr>
        <w:t>/其委托代理人：</w:t>
      </w:r>
      <w:r>
        <w:rPr>
          <w:rFonts w:hint="eastAsia"/>
          <w:color w:val="auto"/>
          <w:highlight w:val="none"/>
          <w:u w:val="single"/>
        </w:rPr>
        <w:t xml:space="preserve">              </w:t>
      </w:r>
      <w:r>
        <w:rPr>
          <w:rFonts w:hint="eastAsia"/>
          <w:color w:val="auto"/>
          <w:highlight w:val="none"/>
        </w:rPr>
        <w:t>（签字</w:t>
      </w:r>
      <w:r>
        <w:rPr>
          <w:rFonts w:hint="eastAsia"/>
          <w:color w:val="auto"/>
          <w:highlight w:val="none"/>
          <w:lang w:eastAsia="zh-CN"/>
        </w:rPr>
        <w:t>或盖章</w:t>
      </w:r>
      <w:r>
        <w:rPr>
          <w:rFonts w:hint="eastAsia"/>
          <w:color w:val="auto"/>
          <w:highlight w:val="none"/>
        </w:rPr>
        <w:t>）</w:t>
      </w:r>
    </w:p>
    <w:p>
      <w:pPr>
        <w:spacing w:line="360" w:lineRule="auto"/>
        <w:ind w:firstLine="0" w:firstLineChars="0"/>
        <w:jc w:val="center"/>
        <w:outlineLvl w:val="0"/>
        <w:rPr>
          <w:color w:val="auto"/>
          <w:highlight w:val="none"/>
        </w:rPr>
      </w:pPr>
      <w:r>
        <w:rPr>
          <w:rFonts w:hint="eastAsia"/>
          <w:color w:val="auto"/>
          <w:highlight w:val="none"/>
        </w:rPr>
        <w:t>年     月     日</w:t>
      </w:r>
    </w:p>
    <w:p>
      <w:pPr>
        <w:tabs>
          <w:tab w:val="left" w:pos="3280"/>
          <w:tab w:val="left" w:pos="4680"/>
          <w:tab w:val="left" w:pos="6080"/>
        </w:tabs>
        <w:adjustRightInd w:val="0"/>
        <w:snapToGrid w:val="0"/>
        <w:spacing w:line="360" w:lineRule="auto"/>
        <w:ind w:firstLine="0" w:firstLineChars="0"/>
        <w:jc w:val="center"/>
        <w:outlineLvl w:val="9"/>
        <w:rPr>
          <w:rFonts w:ascii="宋体" w:hAnsi="宋体"/>
          <w:b/>
          <w:color w:val="auto"/>
          <w:kern w:val="0"/>
          <w:highlight w:val="none"/>
        </w:rPr>
      </w:pPr>
    </w:p>
    <w:p>
      <w:pPr>
        <w:tabs>
          <w:tab w:val="left" w:pos="6300"/>
        </w:tabs>
        <w:snapToGrid w:val="0"/>
        <w:spacing w:line="360" w:lineRule="auto"/>
        <w:ind w:firstLine="0" w:firstLineChars="0"/>
        <w:jc w:val="center"/>
        <w:outlineLvl w:val="9"/>
        <w:rPr>
          <w:rFonts w:ascii="宋体" w:hAnsi="宋体"/>
          <w:snapToGrid w:val="0"/>
          <w:color w:val="auto"/>
          <w:kern w:val="0"/>
          <w:szCs w:val="28"/>
          <w:highlight w:val="none"/>
        </w:rPr>
      </w:pPr>
    </w:p>
    <w:p>
      <w:pPr>
        <w:tabs>
          <w:tab w:val="left" w:pos="6300"/>
        </w:tabs>
        <w:snapToGrid w:val="0"/>
        <w:spacing w:line="360" w:lineRule="auto"/>
        <w:ind w:firstLine="0" w:firstLineChars="0"/>
        <w:jc w:val="center"/>
        <w:outlineLvl w:val="9"/>
        <w:rPr>
          <w:rFonts w:ascii="宋体" w:hAnsi="宋体"/>
          <w:snapToGrid w:val="0"/>
          <w:color w:val="auto"/>
          <w:kern w:val="0"/>
          <w:szCs w:val="28"/>
          <w:highlight w:val="none"/>
        </w:rPr>
      </w:pPr>
    </w:p>
    <w:p>
      <w:pPr>
        <w:tabs>
          <w:tab w:val="left" w:pos="6300"/>
        </w:tabs>
        <w:snapToGrid w:val="0"/>
        <w:spacing w:line="360" w:lineRule="auto"/>
        <w:ind w:firstLine="0" w:firstLineChars="0"/>
        <w:jc w:val="center"/>
        <w:outlineLvl w:val="9"/>
        <w:rPr>
          <w:rFonts w:ascii="宋体" w:hAnsi="宋体"/>
          <w:snapToGrid w:val="0"/>
          <w:color w:val="auto"/>
          <w:kern w:val="0"/>
          <w:szCs w:val="28"/>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tabs>
          <w:tab w:val="left" w:pos="6300"/>
        </w:tabs>
        <w:snapToGrid w:val="0"/>
        <w:spacing w:line="360" w:lineRule="auto"/>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pPr>
        <w:ind w:firstLine="480"/>
        <w:outlineLvl w:val="0"/>
        <w:rPr>
          <w:color w:val="auto"/>
          <w:highlight w:val="none"/>
        </w:rPr>
      </w:pPr>
      <w:r>
        <w:rPr>
          <w:rFonts w:hint="eastAsia"/>
          <w:color w:val="auto"/>
          <w:highlight w:val="none"/>
        </w:rPr>
        <w:t>一、参选函</w:t>
      </w:r>
    </w:p>
    <w:p>
      <w:pPr>
        <w:ind w:firstLine="480"/>
        <w:outlineLvl w:val="0"/>
        <w:rPr>
          <w:color w:val="auto"/>
          <w:highlight w:val="none"/>
        </w:rPr>
      </w:pPr>
      <w:r>
        <w:rPr>
          <w:rFonts w:hint="eastAsia"/>
          <w:color w:val="auto"/>
          <w:highlight w:val="none"/>
        </w:rPr>
        <w:t>二、报价一览表</w:t>
      </w:r>
    </w:p>
    <w:p>
      <w:pPr>
        <w:ind w:firstLine="480"/>
        <w:outlineLvl w:val="0"/>
        <w:rPr>
          <w:color w:val="auto"/>
          <w:highlight w:val="none"/>
        </w:rPr>
      </w:pPr>
      <w:r>
        <w:rPr>
          <w:rFonts w:hint="eastAsia"/>
          <w:color w:val="auto"/>
          <w:highlight w:val="none"/>
        </w:rPr>
        <w:t>三、资格性文件</w:t>
      </w:r>
    </w:p>
    <w:p>
      <w:pPr>
        <w:ind w:firstLine="480"/>
        <w:outlineLvl w:val="9"/>
        <w:rPr>
          <w:color w:val="auto"/>
          <w:highlight w:val="none"/>
        </w:rPr>
      </w:pPr>
      <w:r>
        <w:rPr>
          <w:color w:val="auto"/>
          <w:highlight w:val="none"/>
        </w:rPr>
        <w:t>（一）参选人基本情况介绍，资质证明等</w:t>
      </w:r>
    </w:p>
    <w:p>
      <w:pPr>
        <w:ind w:firstLine="480"/>
        <w:outlineLvl w:val="9"/>
        <w:rPr>
          <w:color w:val="auto"/>
          <w:highlight w:val="none"/>
        </w:rPr>
      </w:pPr>
      <w:r>
        <w:rPr>
          <w:color w:val="auto"/>
          <w:highlight w:val="none"/>
        </w:rPr>
        <w:t>（二）法定代表人身份证明及授权委托书</w:t>
      </w:r>
    </w:p>
    <w:p>
      <w:pPr>
        <w:ind w:firstLine="480"/>
        <w:outlineLvl w:val="9"/>
        <w:rPr>
          <w:color w:val="auto"/>
          <w:highlight w:val="none"/>
        </w:rPr>
      </w:pPr>
      <w:r>
        <w:rPr>
          <w:rFonts w:hint="eastAsia"/>
          <w:color w:val="auto"/>
          <w:highlight w:val="none"/>
        </w:rPr>
        <w:t>（三）书面声明</w:t>
      </w:r>
    </w:p>
    <w:p>
      <w:pPr>
        <w:ind w:firstLine="480"/>
        <w:outlineLvl w:val="9"/>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pPr>
        <w:ind w:firstLine="480"/>
        <w:outlineLvl w:val="0"/>
        <w:rPr>
          <w:rFonts w:hint="default" w:eastAsia="宋体"/>
          <w:color w:val="auto"/>
          <w:highlight w:val="none"/>
          <w:lang w:val="en-US" w:eastAsia="zh-CN"/>
        </w:rPr>
      </w:pPr>
      <w:r>
        <w:rPr>
          <w:rFonts w:hint="eastAsia"/>
          <w:color w:val="auto"/>
          <w:highlight w:val="none"/>
        </w:rPr>
        <w:t>四、响应</w:t>
      </w:r>
      <w:r>
        <w:rPr>
          <w:rFonts w:hint="eastAsia"/>
          <w:color w:val="auto"/>
          <w:highlight w:val="none"/>
          <w:lang w:val="en-US" w:eastAsia="zh-CN"/>
        </w:rPr>
        <w:t>性文件</w:t>
      </w:r>
    </w:p>
    <w:p>
      <w:pPr>
        <w:ind w:firstLine="480"/>
        <w:outlineLvl w:val="9"/>
        <w:rPr>
          <w:rFonts w:hint="eastAsia"/>
          <w:color w:val="auto"/>
          <w:highlight w:val="none"/>
          <w:lang w:eastAsia="zh-CN"/>
        </w:rPr>
      </w:pPr>
      <w:r>
        <w:rPr>
          <w:rFonts w:hint="eastAsia"/>
          <w:color w:val="auto"/>
          <w:highlight w:val="none"/>
        </w:rPr>
        <w:t>（一）</w:t>
      </w:r>
      <w:r>
        <w:rPr>
          <w:rFonts w:hint="eastAsia"/>
          <w:color w:val="auto"/>
          <w:highlight w:val="none"/>
          <w:lang w:eastAsia="zh-CN"/>
        </w:rPr>
        <w:t>项目人力资源方案</w:t>
      </w:r>
    </w:p>
    <w:p>
      <w:pPr>
        <w:ind w:firstLine="480"/>
        <w:outlineLvl w:val="9"/>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lang w:val="en-US" w:eastAsia="zh-CN"/>
        </w:rPr>
        <w:t>响应</w:t>
      </w:r>
      <w:r>
        <w:rPr>
          <w:rFonts w:hint="eastAsia"/>
          <w:color w:val="auto"/>
          <w:highlight w:val="none"/>
        </w:rPr>
        <w:t>承诺函</w:t>
      </w:r>
    </w:p>
    <w:p>
      <w:pPr>
        <w:ind w:firstLine="480"/>
        <w:outlineLvl w:val="9"/>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服务连续性预案</w:t>
      </w:r>
    </w:p>
    <w:p>
      <w:pPr>
        <w:ind w:firstLine="480"/>
        <w:outlineLvl w:val="9"/>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项目实施方案</w:t>
      </w:r>
    </w:p>
    <w:p>
      <w:pPr>
        <w:ind w:firstLine="480"/>
        <w:outlineLvl w:val="9"/>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ascii="宋体" w:hAnsi="宋体" w:eastAsia="宋体"/>
          <w:color w:val="auto"/>
          <w:highlight w:val="none"/>
          <w:lang w:val="en-US" w:eastAsia="zh-CN"/>
        </w:rPr>
        <w:t>项目需求理解方案</w:t>
      </w:r>
    </w:p>
    <w:p>
      <w:pPr>
        <w:ind w:firstLine="480"/>
        <w:outlineLvl w:val="9"/>
        <w:rPr>
          <w:rFonts w:hint="eastAsia"/>
          <w:color w:val="auto"/>
          <w:highlight w:val="none"/>
          <w:lang w:eastAsia="zh-CN"/>
        </w:rPr>
      </w:pPr>
      <w:r>
        <w:rPr>
          <w:rFonts w:hint="eastAsia"/>
          <w:color w:val="auto"/>
          <w:highlight w:val="none"/>
          <w:lang w:eastAsia="zh-CN"/>
        </w:rPr>
        <w:t>（六）</w:t>
      </w:r>
      <w:r>
        <w:rPr>
          <w:rFonts w:hint="eastAsia"/>
          <w:color w:val="auto"/>
          <w:highlight w:val="none"/>
        </w:rPr>
        <w:t>售后服务质保</w:t>
      </w:r>
      <w:r>
        <w:rPr>
          <w:rFonts w:hint="eastAsia"/>
          <w:color w:val="auto"/>
          <w:highlight w:val="none"/>
          <w:lang w:eastAsia="zh-CN"/>
        </w:rPr>
        <w:t>方案</w:t>
      </w:r>
    </w:p>
    <w:p>
      <w:pPr>
        <w:ind w:firstLine="480"/>
        <w:outlineLvl w:val="9"/>
        <w:rPr>
          <w:color w:val="auto"/>
          <w:highlight w:val="none"/>
        </w:rPr>
      </w:pPr>
      <w:r>
        <w:rPr>
          <w:rFonts w:hint="eastAsia"/>
          <w:color w:val="auto"/>
          <w:highlight w:val="none"/>
          <w:lang w:eastAsia="zh-CN"/>
        </w:rPr>
        <w:t>（七）</w:t>
      </w:r>
      <w:r>
        <w:rPr>
          <w:rFonts w:hint="eastAsia"/>
          <w:color w:val="auto"/>
          <w:highlight w:val="none"/>
        </w:rPr>
        <w:t>参选保证金</w:t>
      </w:r>
    </w:p>
    <w:p>
      <w:pPr>
        <w:spacing w:line="600" w:lineRule="exact"/>
        <w:ind w:firstLine="480"/>
        <w:outlineLvl w:val="0"/>
        <w:rPr>
          <w:color w:val="auto"/>
          <w:highlight w:val="none"/>
        </w:rPr>
      </w:pP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其他详细评审资料（如有）</w:t>
      </w:r>
    </w:p>
    <w:p>
      <w:pPr>
        <w:spacing w:line="600" w:lineRule="exact"/>
        <w:ind w:firstLine="480"/>
        <w:outlineLvl w:val="9"/>
        <w:rPr>
          <w:rFonts w:hint="eastAsia" w:ascii="Cambria Math" w:hAnsi="Cambria Math" w:eastAsia="宋体" w:cs="Cambria Math"/>
          <w:color w:val="auto"/>
          <w:highlight w:val="none"/>
          <w:lang w:eastAsia="zh-CN"/>
        </w:rPr>
      </w:pPr>
      <w:r>
        <w:rPr>
          <w:rFonts w:hint="eastAsia" w:eastAsia="宋体"/>
          <w:color w:val="auto"/>
          <w:highlight w:val="none"/>
          <w:lang w:eastAsia="zh-CN"/>
        </w:rPr>
        <w:t>（</w:t>
      </w:r>
      <w:r>
        <w:rPr>
          <w:rFonts w:hint="eastAsia" w:eastAsia="宋体"/>
          <w:color w:val="auto"/>
          <w:highlight w:val="none"/>
          <w:lang w:val="en-US" w:eastAsia="zh-CN"/>
        </w:rPr>
        <w:t>一</w:t>
      </w:r>
      <w:r>
        <w:rPr>
          <w:rFonts w:hint="eastAsia" w:eastAsia="宋体"/>
          <w:color w:val="auto"/>
          <w:highlight w:val="none"/>
          <w:lang w:eastAsia="zh-CN"/>
        </w:rPr>
        <w:t>）项目经理经验</w:t>
      </w:r>
      <w:r>
        <w:rPr>
          <w:rFonts w:hint="eastAsia" w:ascii="Cambria Math" w:hAnsi="Cambria Math" w:eastAsia="宋体" w:cs="Cambria Math"/>
          <w:color w:val="auto"/>
          <w:highlight w:val="none"/>
          <w:lang w:eastAsia="zh-CN"/>
        </w:rPr>
        <w:t>相关证明资料</w:t>
      </w:r>
    </w:p>
    <w:p>
      <w:pPr>
        <w:spacing w:line="600" w:lineRule="exact"/>
        <w:ind w:firstLine="480"/>
        <w:outlineLvl w:val="9"/>
        <w:rPr>
          <w:rFonts w:hint="eastAsia" w:ascii="Cambria Math" w:hAnsi="Cambria Math" w:eastAsia="宋体" w:cs="Cambria Math"/>
          <w:color w:val="auto"/>
          <w:highlight w:val="none"/>
          <w:lang w:eastAsia="zh-CN"/>
        </w:rPr>
      </w:pPr>
      <w:r>
        <w:rPr>
          <w:rFonts w:hint="eastAsia" w:ascii="Cambria Math" w:hAnsi="Cambria Math" w:eastAsia="宋体" w:cs="Cambria Math"/>
          <w:color w:val="auto"/>
          <w:highlight w:val="none"/>
          <w:lang w:eastAsia="zh-CN"/>
        </w:rPr>
        <w:t>（</w:t>
      </w:r>
      <w:r>
        <w:rPr>
          <w:rFonts w:hint="eastAsia" w:ascii="Cambria Math" w:hAnsi="Cambria Math" w:eastAsia="宋体" w:cs="Cambria Math"/>
          <w:color w:val="auto"/>
          <w:highlight w:val="none"/>
          <w:lang w:val="en-US" w:eastAsia="zh-CN"/>
        </w:rPr>
        <w:t>二</w:t>
      </w:r>
      <w:r>
        <w:rPr>
          <w:rFonts w:hint="eastAsia" w:ascii="Cambria Math" w:hAnsi="Cambria Math" w:eastAsia="宋体" w:cs="Cambria Math"/>
          <w:color w:val="auto"/>
          <w:highlight w:val="none"/>
          <w:lang w:eastAsia="zh-CN"/>
        </w:rPr>
        <w:t>）项目实施团队经验相关证明资料</w:t>
      </w:r>
    </w:p>
    <w:p>
      <w:pPr>
        <w:spacing w:line="600" w:lineRule="exact"/>
        <w:ind w:firstLine="480"/>
        <w:outlineLvl w:val="9"/>
        <w:rPr>
          <w:rFonts w:hint="eastAsia" w:ascii="Cambria Math" w:hAnsi="Cambria Math" w:eastAsia="宋体" w:cs="Cambria Math"/>
          <w:color w:val="auto"/>
          <w:highlight w:val="none"/>
          <w:lang w:val="en-US" w:eastAsia="zh-CN"/>
        </w:rPr>
      </w:pPr>
      <w:r>
        <w:rPr>
          <w:rFonts w:hint="eastAsia" w:ascii="Cambria Math" w:hAnsi="Cambria Math" w:eastAsia="宋体" w:cs="Cambria Math"/>
          <w:color w:val="auto"/>
          <w:highlight w:val="none"/>
          <w:lang w:eastAsia="zh-CN"/>
        </w:rPr>
        <w:t>（</w:t>
      </w:r>
      <w:r>
        <w:rPr>
          <w:rFonts w:hint="eastAsia" w:ascii="Cambria Math" w:hAnsi="Cambria Math" w:eastAsia="宋体" w:cs="Cambria Math"/>
          <w:color w:val="auto"/>
          <w:highlight w:val="none"/>
          <w:lang w:val="en-US" w:eastAsia="zh-CN"/>
        </w:rPr>
        <w:t>三</w:t>
      </w:r>
      <w:r>
        <w:rPr>
          <w:rFonts w:hint="eastAsia" w:ascii="Cambria Math" w:hAnsi="Cambria Math" w:eastAsia="宋体" w:cs="Cambria Math"/>
          <w:color w:val="auto"/>
          <w:highlight w:val="none"/>
          <w:lang w:eastAsia="zh-CN"/>
        </w:rPr>
        <w:t>）</w:t>
      </w:r>
      <w:r>
        <w:rPr>
          <w:rFonts w:hint="eastAsia" w:ascii="Cambria Math" w:hAnsi="Cambria Math" w:eastAsia="宋体" w:cs="Cambria Math"/>
          <w:color w:val="auto"/>
          <w:highlight w:val="none"/>
          <w:lang w:val="en-US" w:eastAsia="zh-CN"/>
        </w:rPr>
        <w:t>实施案例相关证明资料</w:t>
      </w:r>
    </w:p>
    <w:p>
      <w:pPr>
        <w:spacing w:line="600" w:lineRule="exact"/>
        <w:ind w:firstLine="480"/>
        <w:outlineLvl w:val="0"/>
        <w:rPr>
          <w:rFonts w:hint="default"/>
          <w:color w:val="auto"/>
          <w:highlight w:val="none"/>
          <w:lang w:val="en-US" w:eastAsia="zh-CN"/>
        </w:rPr>
      </w:pPr>
      <w:r>
        <w:rPr>
          <w:rFonts w:hint="eastAsia"/>
          <w:color w:val="auto"/>
          <w:highlight w:val="none"/>
          <w:lang w:val="en-US" w:eastAsia="zh-CN"/>
        </w:rPr>
        <w:t>六、其他（如有）</w:t>
      </w:r>
    </w:p>
    <w:p>
      <w:pPr>
        <w:autoSpaceDE/>
        <w:autoSpaceDN/>
        <w:spacing w:line="600" w:lineRule="exact"/>
        <w:ind w:firstLine="480" w:firstLineChars="200"/>
        <w:jc w:val="center"/>
        <w:outlineLvl w:val="9"/>
        <w:rPr>
          <w:rFonts w:hint="default" w:ascii="Cambria Math" w:hAnsi="Cambria Math" w:eastAsia="宋体" w:cs="Cambria Math"/>
          <w:color w:val="auto"/>
          <w:highlight w:val="none"/>
          <w:lang w:val="en-US" w:eastAsia="zh-CN"/>
        </w:rPr>
      </w:pPr>
    </w:p>
    <w:p>
      <w:pPr>
        <w:autoSpaceDE/>
        <w:autoSpaceDN/>
        <w:spacing w:line="600" w:lineRule="exact"/>
        <w:ind w:firstLine="480" w:firstLineChars="200"/>
        <w:jc w:val="center"/>
        <w:outlineLvl w:val="9"/>
        <w:rPr>
          <w:rFonts w:hint="default" w:ascii="Cambria Math" w:hAnsi="Cambria Math" w:eastAsia="宋体" w:cs="Cambria Math"/>
          <w:color w:val="auto"/>
          <w:highlight w:val="none"/>
          <w:lang w:val="en-US" w:eastAsia="zh-CN"/>
        </w:rPr>
      </w:pPr>
    </w:p>
    <w:p>
      <w:pPr>
        <w:pStyle w:val="26"/>
        <w:bidi w:val="0"/>
        <w:outlineLvl w:val="0"/>
        <w:rPr>
          <w:color w:val="auto"/>
          <w:highlight w:val="none"/>
        </w:rPr>
      </w:pPr>
      <w:bookmarkStart w:id="261" w:name="_Toc925172931"/>
      <w:bookmarkStart w:id="262" w:name="_Toc9263"/>
      <w:r>
        <w:rPr>
          <w:rFonts w:hint="eastAsia"/>
          <w:color w:val="auto"/>
          <w:highlight w:val="none"/>
        </w:rPr>
        <w:t>一、参选函</w:t>
      </w:r>
      <w:bookmarkEnd w:id="261"/>
      <w:bookmarkEnd w:id="262"/>
    </w:p>
    <w:p>
      <w:pPr>
        <w:tabs>
          <w:tab w:val="left" w:pos="6300"/>
        </w:tabs>
        <w:snapToGrid w:val="0"/>
        <w:spacing w:line="360" w:lineRule="auto"/>
        <w:ind w:right="-34" w:rightChars="-14" w:firstLine="480"/>
        <w:rPr>
          <w:rFonts w:ascii="宋体"/>
          <w:snapToGrid w:val="0"/>
          <w:color w:val="auto"/>
          <w:kern w:val="0"/>
          <w:szCs w:val="24"/>
          <w:highlight w:val="none"/>
          <w:u w:val="single"/>
        </w:rPr>
      </w:pP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u w:val="single"/>
        </w:rPr>
        <w:t>重庆三峡银行股份有限公司</w:t>
      </w:r>
      <w:r>
        <w:rPr>
          <w:rFonts w:hint="eastAsia" w:ascii="宋体"/>
          <w:snapToGrid w:val="0"/>
          <w:color w:val="auto"/>
          <w:kern w:val="0"/>
          <w:szCs w:val="24"/>
          <w:highlight w:val="none"/>
        </w:rPr>
        <w:t>：</w:t>
      </w: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我方收到___________________比选文件，经详细研究，决定参加该比选项目的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w:t>
      </w:r>
    </w:p>
    <w:p>
      <w:pPr>
        <w:tabs>
          <w:tab w:val="left" w:pos="6300"/>
        </w:tabs>
        <w:snapToGrid w:val="0"/>
        <w:spacing w:line="360" w:lineRule="auto"/>
        <w:ind w:right="-34" w:rightChars="-14" w:firstLine="573" w:firstLineChars="0"/>
        <w:rPr>
          <w:rFonts w:ascii="宋体"/>
          <w:snapToGrid w:val="0"/>
          <w:color w:val="auto"/>
          <w:kern w:val="0"/>
          <w:szCs w:val="24"/>
          <w:highlight w:val="none"/>
          <w:u w:val="single"/>
        </w:rPr>
      </w:pPr>
      <w:r>
        <w:rPr>
          <w:rFonts w:hint="eastAsia" w:ascii="宋体"/>
          <w:snapToGrid w:val="0"/>
          <w:color w:val="auto"/>
          <w:kern w:val="0"/>
          <w:szCs w:val="24"/>
          <w:highlight w:val="none"/>
        </w:rPr>
        <w:t>1、愿意按照比选文件中的一切要求，以人民币小写：</w:t>
      </w:r>
      <w:r>
        <w:rPr>
          <w:rFonts w:hint="eastAsia" w:ascii="宋体"/>
          <w:snapToGrid w:val="0"/>
          <w:color w:val="auto"/>
          <w:kern w:val="0"/>
          <w:szCs w:val="24"/>
          <w:highlight w:val="none"/>
          <w:u w:val="single"/>
        </w:rPr>
        <w:t xml:space="preserve">          </w:t>
      </w:r>
      <w:r>
        <w:rPr>
          <w:rFonts w:hint="eastAsia" w:ascii="宋体"/>
          <w:snapToGrid w:val="0"/>
          <w:color w:val="auto"/>
          <w:kern w:val="0"/>
          <w:szCs w:val="24"/>
          <w:highlight w:val="none"/>
        </w:rPr>
        <w:t>，人民币大写：</w:t>
      </w:r>
      <w:r>
        <w:rPr>
          <w:rFonts w:hint="eastAsia" w:ascii="宋体"/>
          <w:snapToGrid w:val="0"/>
          <w:color w:val="auto"/>
          <w:kern w:val="0"/>
          <w:szCs w:val="24"/>
          <w:highlight w:val="none"/>
          <w:u w:val="single"/>
        </w:rPr>
        <w:t xml:space="preserve">          </w:t>
      </w:r>
      <w:r>
        <w:rPr>
          <w:rFonts w:hint="eastAsia" w:ascii="宋体"/>
          <w:snapToGrid w:val="0"/>
          <w:color w:val="auto"/>
          <w:kern w:val="0"/>
          <w:szCs w:val="24"/>
          <w:highlight w:val="none"/>
        </w:rPr>
        <w:t>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总价（含税）承担和完成本项目。</w:t>
      </w: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2、我方现提交的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文件正本一份，副本一份，电子文件一份。</w:t>
      </w: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3、如果我方</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文件被接受，我方将履行比选文件中规定的各项要求，按相关法律法规和合同约定条款承担我方的责任。</w:t>
      </w: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4、我方愿意提供比选文件中要求的所有资料，并对其真实性负责。</w:t>
      </w: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5、我方理解最低价格不是中选的唯一条件。</w:t>
      </w: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6、</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有效期为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截止日期后90天内。</w:t>
      </w:r>
    </w:p>
    <w:p>
      <w:pPr>
        <w:tabs>
          <w:tab w:val="left" w:pos="6300"/>
        </w:tabs>
        <w:snapToGrid w:val="0"/>
        <w:spacing w:line="360" w:lineRule="auto"/>
        <w:ind w:right="-34" w:rightChars="-14" w:firstLine="573" w:firstLineChars="0"/>
        <w:rPr>
          <w:rFonts w:ascii="宋体"/>
          <w:snapToGrid w:val="0"/>
          <w:color w:val="auto"/>
          <w:kern w:val="0"/>
          <w:szCs w:val="24"/>
          <w:highlight w:val="none"/>
        </w:rPr>
      </w:pPr>
      <w:r>
        <w:rPr>
          <w:rFonts w:hint="eastAsia" w:ascii="宋体"/>
          <w:snapToGrid w:val="0"/>
          <w:color w:val="auto"/>
          <w:kern w:val="0"/>
          <w:szCs w:val="24"/>
          <w:highlight w:val="none"/>
        </w:rPr>
        <w:t>7、若我方中选，我方开具税率为______%的增值税专用发票；</w:t>
      </w:r>
    </w:p>
    <w:p>
      <w:pPr>
        <w:tabs>
          <w:tab w:val="left" w:pos="6300"/>
        </w:tabs>
        <w:snapToGrid w:val="0"/>
        <w:spacing w:line="360" w:lineRule="auto"/>
        <w:ind w:right="-34" w:rightChars="-14" w:firstLine="480"/>
        <w:rPr>
          <w:rFonts w:ascii="宋体"/>
          <w:snapToGrid w:val="0"/>
          <w:color w:val="auto"/>
          <w:kern w:val="0"/>
          <w:szCs w:val="24"/>
          <w:highlight w:val="none"/>
        </w:rPr>
      </w:pP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人（公章）：</w:t>
      </w: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 xml:space="preserve">地址：  </w:t>
      </w: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电话：                           传真：</w:t>
      </w:r>
    </w:p>
    <w:p>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 xml:space="preserve">网址：                         </w:t>
      </w:r>
    </w:p>
    <w:p>
      <w:pPr>
        <w:tabs>
          <w:tab w:val="left" w:pos="6300"/>
        </w:tabs>
        <w:snapToGrid w:val="0"/>
        <w:spacing w:line="360" w:lineRule="auto"/>
        <w:ind w:right="-34" w:rightChars="-14" w:firstLine="6540" w:firstLineChars="2725"/>
        <w:rPr>
          <w:rFonts w:ascii="宋体"/>
          <w:snapToGrid w:val="0"/>
          <w:color w:val="auto"/>
          <w:kern w:val="0"/>
          <w:szCs w:val="24"/>
          <w:highlight w:val="none"/>
        </w:rPr>
      </w:pPr>
    </w:p>
    <w:p>
      <w:pPr>
        <w:tabs>
          <w:tab w:val="left" w:pos="6300"/>
        </w:tabs>
        <w:snapToGrid w:val="0"/>
        <w:spacing w:line="360" w:lineRule="auto"/>
        <w:ind w:right="-34" w:rightChars="-14" w:firstLine="5400" w:firstLineChars="2250"/>
        <w:rPr>
          <w:rFonts w:ascii="宋体"/>
          <w:snapToGrid w:val="0"/>
          <w:color w:val="auto"/>
          <w:kern w:val="0"/>
          <w:szCs w:val="24"/>
          <w:highlight w:val="none"/>
        </w:rPr>
      </w:pPr>
      <w:r>
        <w:rPr>
          <w:rFonts w:hint="eastAsia" w:ascii="宋体"/>
          <w:snapToGrid w:val="0"/>
          <w:color w:val="auto"/>
          <w:kern w:val="0"/>
          <w:szCs w:val="24"/>
          <w:highlight w:val="none"/>
        </w:rPr>
        <w:t>年     月     日</w:t>
      </w:r>
    </w:p>
    <w:p>
      <w:pPr>
        <w:widowControl/>
        <w:spacing w:line="360" w:lineRule="auto"/>
        <w:ind w:firstLine="480"/>
        <w:jc w:val="left"/>
        <w:rPr>
          <w:rFonts w:ascii="宋体"/>
          <w:snapToGrid w:val="0"/>
          <w:color w:val="auto"/>
          <w:kern w:val="0"/>
          <w:szCs w:val="24"/>
          <w:highlight w:val="none"/>
        </w:rPr>
      </w:pPr>
    </w:p>
    <w:p>
      <w:pPr>
        <w:widowControl/>
        <w:spacing w:line="360" w:lineRule="auto"/>
        <w:ind w:left="0" w:leftChars="0" w:firstLine="0" w:firstLineChars="0"/>
        <w:jc w:val="left"/>
        <w:rPr>
          <w:rFonts w:ascii="宋体"/>
          <w:snapToGrid w:val="0"/>
          <w:color w:val="auto"/>
          <w:kern w:val="0"/>
          <w:szCs w:val="24"/>
          <w:highlight w:val="none"/>
        </w:rPr>
      </w:pPr>
    </w:p>
    <w:p>
      <w:pPr>
        <w:snapToGrid w:val="0"/>
        <w:spacing w:line="360" w:lineRule="auto"/>
        <w:ind w:firstLine="480"/>
        <w:rPr>
          <w:rFonts w:ascii="宋体"/>
          <w:snapToGrid w:val="0"/>
          <w:color w:val="auto"/>
          <w:kern w:val="0"/>
          <w:szCs w:val="24"/>
          <w:highlight w:val="none"/>
        </w:rPr>
      </w:pPr>
    </w:p>
    <w:p>
      <w:pPr>
        <w:pStyle w:val="26"/>
        <w:bidi w:val="0"/>
        <w:outlineLvl w:val="0"/>
        <w:rPr>
          <w:rFonts w:hint="default"/>
          <w:color w:val="auto"/>
          <w:highlight w:val="none"/>
        </w:rPr>
      </w:pPr>
      <w:bookmarkStart w:id="263" w:name="_Toc28895"/>
      <w:bookmarkStart w:id="264" w:name="_Toc271700056"/>
      <w:r>
        <w:rPr>
          <w:color w:val="auto"/>
          <w:highlight w:val="none"/>
        </w:rPr>
        <w:t>二、</w:t>
      </w:r>
      <w:r>
        <w:rPr>
          <w:rFonts w:hint="eastAsia"/>
          <w:color w:val="auto"/>
          <w:highlight w:val="none"/>
        </w:rPr>
        <w:t>报价一览表</w:t>
      </w:r>
      <w:bookmarkEnd w:id="263"/>
      <w:bookmarkEnd w:id="264"/>
    </w:p>
    <w:p>
      <w:pPr>
        <w:spacing w:line="360" w:lineRule="auto"/>
        <w:ind w:right="-34" w:rightChars="-14" w:firstLine="480"/>
        <w:rPr>
          <w:rFonts w:ascii="Times New Roman" w:hAnsi="Times New Roman"/>
          <w:color w:val="auto"/>
          <w:szCs w:val="28"/>
          <w:highlight w:val="none"/>
        </w:rPr>
      </w:pPr>
      <w:bookmarkStart w:id="265" w:name="_Hlk59456849"/>
    </w:p>
    <w:tbl>
      <w:tblPr>
        <w:tblStyle w:val="15"/>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cs="Cambria"/>
                <w:color w:val="auto"/>
                <w:sz w:val="21"/>
                <w:szCs w:val="21"/>
                <w:highlight w:val="none"/>
              </w:rPr>
            </w:pPr>
            <w:r>
              <w:rPr>
                <w:rFonts w:hint="eastAsia" w:ascii="宋体" w:hAnsi="宋体" w:cs="Cambria"/>
                <w:color w:val="auto"/>
                <w:sz w:val="21"/>
                <w:szCs w:val="21"/>
                <w:highlight w:val="none"/>
                <w:lang w:eastAsia="zh-CN"/>
              </w:rPr>
              <w:t>重庆三峡银行</w:t>
            </w:r>
            <w:r>
              <w:rPr>
                <w:rFonts w:hint="eastAsia" w:ascii="宋体" w:hAnsi="宋体" w:cs="Cambria"/>
                <w:color w:val="auto"/>
                <w:sz w:val="21"/>
                <w:szCs w:val="21"/>
                <w:highlight w:val="none"/>
              </w:rPr>
              <w:t>数据安全风险评估</w:t>
            </w:r>
            <w:r>
              <w:rPr>
                <w:rFonts w:hint="eastAsia" w:ascii="宋体" w:hAnsi="宋体" w:cs="Cambria"/>
                <w:color w:val="auto"/>
                <w:sz w:val="21"/>
                <w:szCs w:val="21"/>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rPr>
                <w:rFonts w:ascii="宋体" w:hAnsi="宋体" w:cs="Times New Roman"/>
                <w:snapToGrid w:val="0"/>
                <w:color w:val="auto"/>
                <w:kern w:val="0"/>
                <w:szCs w:val="24"/>
                <w:highlight w:val="none"/>
              </w:rPr>
            </w:pPr>
          </w:p>
          <w:p>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pPr>
        <w:spacing w:line="360" w:lineRule="auto"/>
        <w:ind w:right="-34" w:rightChars="-14" w:firstLine="480"/>
        <w:rPr>
          <w:rFonts w:ascii="Times New Roman" w:hAnsi="Times New Roman"/>
          <w:color w:val="auto"/>
          <w:szCs w:val="28"/>
          <w:highlight w:val="none"/>
        </w:rPr>
      </w:pPr>
    </w:p>
    <w:p>
      <w:pPr>
        <w:spacing w:line="360" w:lineRule="auto"/>
        <w:ind w:right="-34" w:rightChars="-14" w:firstLine="480"/>
        <w:rPr>
          <w:rFonts w:ascii="Times New Roman" w:hAnsi="Times New Roman"/>
          <w:color w:val="auto"/>
          <w:szCs w:val="28"/>
          <w:highlight w:val="none"/>
        </w:rPr>
      </w:pPr>
    </w:p>
    <w:p>
      <w:pPr>
        <w:spacing w:line="360" w:lineRule="auto"/>
        <w:ind w:right="-34"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265"/>
    <w:p>
      <w:pPr>
        <w:spacing w:line="360" w:lineRule="auto"/>
        <w:ind w:right="-34" w:rightChars="-14" w:firstLine="480"/>
        <w:rPr>
          <w:rFonts w:ascii="Times New Roman" w:hAnsi="Times New Roman"/>
          <w:color w:val="auto"/>
          <w:szCs w:val="28"/>
          <w:highlight w:val="none"/>
        </w:rPr>
      </w:pPr>
    </w:p>
    <w:p>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pPr>
        <w:spacing w:line="360" w:lineRule="auto"/>
        <w:ind w:right="-34"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pPr>
        <w:snapToGrid w:val="0"/>
        <w:spacing w:line="360" w:lineRule="auto"/>
        <w:ind w:firstLine="480"/>
        <w:rPr>
          <w:rFonts w:ascii="Times New Roman" w:hAnsi="Times New Roman"/>
          <w:snapToGrid w:val="0"/>
          <w:color w:val="auto"/>
          <w:kern w:val="0"/>
          <w:szCs w:val="24"/>
          <w:highlight w:val="none"/>
        </w:rPr>
      </w:pPr>
    </w:p>
    <w:p>
      <w:pPr>
        <w:snapToGrid w:val="0"/>
        <w:spacing w:line="360" w:lineRule="auto"/>
        <w:ind w:firstLine="480"/>
        <w:rPr>
          <w:rFonts w:ascii="Times New Roman" w:hAnsi="Times New Roman"/>
          <w:snapToGrid w:val="0"/>
          <w:color w:val="auto"/>
          <w:kern w:val="0"/>
          <w:szCs w:val="24"/>
          <w:highlight w:val="none"/>
        </w:rPr>
      </w:pPr>
    </w:p>
    <w:p>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pPr>
        <w:tabs>
          <w:tab w:val="left" w:pos="6300"/>
        </w:tabs>
        <w:snapToGrid w:val="0"/>
        <w:spacing w:line="360" w:lineRule="auto"/>
        <w:ind w:right="480" w:firstLine="480"/>
        <w:jc w:val="right"/>
        <w:rPr>
          <w:rFonts w:ascii="宋体"/>
          <w:color w:val="auto"/>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p>
    <w:p>
      <w:pPr>
        <w:widowControl/>
        <w:ind w:firstLine="0" w:firstLineChars="0"/>
        <w:jc w:val="left"/>
        <w:rPr>
          <w:color w:val="auto"/>
          <w:highlight w:val="none"/>
        </w:rPr>
        <w:sectPr>
          <w:pgSz w:w="11906" w:h="16838"/>
          <w:pgMar w:top="1440" w:right="1800" w:bottom="1440" w:left="1800" w:header="851" w:footer="992" w:gutter="0"/>
          <w:cols w:space="720" w:num="1"/>
          <w:docGrid w:type="lines" w:linePitch="312" w:charSpace="0"/>
        </w:sectPr>
      </w:pPr>
    </w:p>
    <w:p>
      <w:pPr>
        <w:pStyle w:val="26"/>
        <w:bidi w:val="0"/>
        <w:outlineLvl w:val="0"/>
        <w:rPr>
          <w:rFonts w:hint="default"/>
          <w:color w:val="auto"/>
          <w:highlight w:val="none"/>
        </w:rPr>
      </w:pPr>
      <w:bookmarkStart w:id="266" w:name="_Toc31572"/>
      <w:bookmarkStart w:id="267" w:name="_Toc1105990752"/>
      <w:r>
        <w:rPr>
          <w:color w:val="auto"/>
          <w:highlight w:val="none"/>
        </w:rPr>
        <w:t>三、资格性文件</w:t>
      </w:r>
      <w:bookmarkEnd w:id="266"/>
      <w:bookmarkEnd w:id="267"/>
    </w:p>
    <w:p>
      <w:pPr>
        <w:pStyle w:val="27"/>
        <w:bidi w:val="0"/>
        <w:outlineLvl w:val="1"/>
        <w:rPr>
          <w:color w:val="auto"/>
          <w:highlight w:val="none"/>
        </w:rPr>
      </w:pPr>
      <w:r>
        <w:rPr>
          <w:color w:val="auto"/>
          <w:highlight w:val="none"/>
        </w:rPr>
        <w:t>（一）参选人基本情况介绍，资质证明等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电话</w:t>
            </w:r>
          </w:p>
        </w:tc>
        <w:tc>
          <w:tcPr>
            <w:tcW w:w="1657" w:type="dxa"/>
            <w:gridSpan w:val="3"/>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spacing w:line="360" w:lineRule="auto"/>
              <w:ind w:firstLine="0" w:firstLineChars="0"/>
              <w:rPr>
                <w:color w:val="auto"/>
                <w:highlight w:val="none"/>
              </w:rPr>
            </w:pP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网址</w:t>
            </w:r>
          </w:p>
        </w:tc>
        <w:tc>
          <w:tcPr>
            <w:tcW w:w="1657" w:type="dxa"/>
            <w:gridSpan w:val="3"/>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vAlign w:val="center"/>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电话</w:t>
            </w:r>
          </w:p>
        </w:tc>
        <w:tc>
          <w:tcPr>
            <w:tcW w:w="758" w:type="dxa"/>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电话</w:t>
            </w:r>
          </w:p>
        </w:tc>
        <w:tc>
          <w:tcPr>
            <w:tcW w:w="758" w:type="dxa"/>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4234" w:type="dxa"/>
            <w:gridSpan w:val="6"/>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pPr>
              <w:spacing w:line="360" w:lineRule="auto"/>
              <w:ind w:firstLine="0" w:firstLineChars="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技工</w:t>
            </w:r>
          </w:p>
        </w:tc>
        <w:tc>
          <w:tcPr>
            <w:tcW w:w="1481" w:type="dxa"/>
            <w:gridSpan w:val="2"/>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Pr>
          <w:p>
            <w:pPr>
              <w:spacing w:line="360" w:lineRule="auto"/>
              <w:ind w:firstLine="0" w:firstLineChars="0"/>
              <w:jc w:val="center"/>
              <w:rPr>
                <w:rFonts w:asci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备注</w:t>
            </w:r>
          </w:p>
        </w:tc>
        <w:tc>
          <w:tcPr>
            <w:tcW w:w="7114" w:type="dxa"/>
            <w:gridSpan w:val="8"/>
          </w:tcPr>
          <w:p>
            <w:pPr>
              <w:spacing w:line="360" w:lineRule="auto"/>
              <w:ind w:firstLine="0" w:firstLineChars="0"/>
              <w:jc w:val="center"/>
              <w:rPr>
                <w:rFonts w:ascii="宋体"/>
                <w:color w:val="auto"/>
                <w:sz w:val="22"/>
                <w:szCs w:val="24"/>
                <w:highlight w:val="none"/>
              </w:rPr>
            </w:pPr>
          </w:p>
        </w:tc>
      </w:tr>
    </w:tbl>
    <w:p>
      <w:pPr>
        <w:widowControl/>
        <w:spacing w:line="360" w:lineRule="auto"/>
        <w:ind w:firstLine="400"/>
        <w:jc w:val="left"/>
        <w:rPr>
          <w:rFonts w:ascii="宋体"/>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ascii="宋体"/>
          <w:color w:val="auto"/>
          <w:sz w:val="20"/>
          <w:szCs w:val="21"/>
          <w:highlight w:val="none"/>
        </w:rPr>
        <w:t>注：附营业执照（副本）、</w:t>
      </w:r>
      <w:r>
        <w:rPr>
          <w:rFonts w:hint="eastAsia" w:ascii="宋体" w:hAnsi="宋体"/>
          <w:color w:val="auto"/>
          <w:sz w:val="20"/>
          <w:szCs w:val="21"/>
          <w:highlight w:val="none"/>
        </w:rPr>
        <w:t>总公司授权委托书、</w:t>
      </w:r>
      <w:r>
        <w:rPr>
          <w:rFonts w:hint="eastAsia" w:ascii="宋体"/>
          <w:color w:val="auto"/>
          <w:sz w:val="20"/>
          <w:szCs w:val="21"/>
          <w:highlight w:val="none"/>
        </w:rPr>
        <w:t>资质证明复印件等。</w:t>
      </w:r>
    </w:p>
    <w:p>
      <w:pPr>
        <w:pStyle w:val="27"/>
        <w:bidi w:val="0"/>
        <w:outlineLvl w:val="1"/>
        <w:rPr>
          <w:color w:val="auto"/>
          <w:highlight w:val="none"/>
        </w:rPr>
      </w:pPr>
      <w:bookmarkStart w:id="268" w:name="_Toc378234770"/>
      <w:bookmarkStart w:id="269" w:name="_Toc472780356"/>
      <w:bookmarkStart w:id="270" w:name="_Toc478054435"/>
      <w:bookmarkStart w:id="271" w:name="_Toc478053903"/>
      <w:bookmarkStart w:id="272" w:name="_Toc378234584"/>
      <w:r>
        <w:rPr>
          <w:color w:val="auto"/>
          <w:highlight w:val="none"/>
        </w:rPr>
        <w:t>（二）法定代表人身份证明及授权委托书</w:t>
      </w:r>
      <w:bookmarkEnd w:id="268"/>
      <w:bookmarkEnd w:id="269"/>
      <w:bookmarkEnd w:id="270"/>
      <w:bookmarkEnd w:id="271"/>
      <w:bookmarkEnd w:id="272"/>
    </w:p>
    <w:p>
      <w:pPr>
        <w:pStyle w:val="28"/>
        <w:bidi w:val="0"/>
        <w:outlineLvl w:val="2"/>
        <w:rPr>
          <w:rFonts w:hint="default"/>
          <w:color w:val="auto"/>
          <w:highlight w:val="none"/>
        </w:rPr>
      </w:pPr>
      <w:r>
        <w:rPr>
          <w:color w:val="auto"/>
          <w:highlight w:val="none"/>
        </w:rPr>
        <w:t>法定代表人身份证明书</w:t>
      </w:r>
    </w:p>
    <w:p>
      <w:pPr>
        <w:tabs>
          <w:tab w:val="left" w:pos="6300"/>
        </w:tabs>
        <w:snapToGrid w:val="0"/>
        <w:spacing w:line="360" w:lineRule="auto"/>
        <w:ind w:firstLine="480"/>
        <w:outlineLvl w:val="9"/>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项目名称：</w:t>
      </w:r>
      <w:r>
        <w:rPr>
          <w:rFonts w:hint="eastAsia" w:ascii="宋体"/>
          <w:snapToGrid w:val="0"/>
          <w:color w:val="auto"/>
          <w:kern w:val="0"/>
          <w:highlight w:val="none"/>
          <w:u w:val="single"/>
        </w:rPr>
        <w:t>____________________</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致：</w:t>
      </w:r>
      <w:r>
        <w:rPr>
          <w:rFonts w:hint="eastAsia" w:ascii="宋体"/>
          <w:snapToGrid w:val="0"/>
          <w:color w:val="auto"/>
          <w:kern w:val="0"/>
          <w:highlight w:val="none"/>
          <w:u w:val="single"/>
        </w:rPr>
        <w:t xml:space="preserve"> 重庆三峡银行股份有限公司  </w:t>
      </w:r>
      <w:r>
        <w:rPr>
          <w:rFonts w:hint="eastAsia" w:ascii="宋体"/>
          <w:snapToGrid w:val="0"/>
          <w:color w:val="auto"/>
          <w:kern w:val="0"/>
          <w:highlight w:val="none"/>
        </w:rPr>
        <w:t>：</w:t>
      </w: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u w:val="single"/>
        </w:rPr>
        <w:t xml:space="preserve">        </w:t>
      </w: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人法定代表人姓名）在</w:t>
      </w:r>
      <w:r>
        <w:rPr>
          <w:rFonts w:hint="eastAsia" w:ascii="宋体"/>
          <w:snapToGrid w:val="0"/>
          <w:color w:val="auto"/>
          <w:kern w:val="0"/>
          <w:highlight w:val="none"/>
          <w:u w:val="single"/>
        </w:rPr>
        <w:t xml:space="preserve">        </w:t>
      </w:r>
      <w:r>
        <w:rPr>
          <w:rFonts w:hint="eastAsia" w:ascii="宋体"/>
          <w:snapToGrid w:val="0"/>
          <w:color w:val="auto"/>
          <w:kern w:val="0"/>
          <w:highlight w:val="none"/>
        </w:rPr>
        <w:t>（参选人名称）任</w:t>
      </w:r>
      <w:r>
        <w:rPr>
          <w:rFonts w:hint="eastAsia" w:ascii="宋体"/>
          <w:snapToGrid w:val="0"/>
          <w:color w:val="auto"/>
          <w:kern w:val="0"/>
          <w:highlight w:val="none"/>
          <w:u w:val="single"/>
        </w:rPr>
        <w:t xml:space="preserve">        </w:t>
      </w:r>
      <w:r>
        <w:rPr>
          <w:rFonts w:hint="eastAsia" w:ascii="宋体"/>
          <w:snapToGrid w:val="0"/>
          <w:color w:val="auto"/>
          <w:kern w:val="0"/>
          <w:highlight w:val="none"/>
        </w:rPr>
        <w:t>（职务名称）职务，是（参</w:t>
      </w:r>
      <w:r>
        <w:rPr>
          <w:rFonts w:hint="eastAsia" w:ascii="宋体" w:cs="Cambria"/>
          <w:snapToGrid w:val="0"/>
          <w:color w:val="auto"/>
          <w:kern w:val="0"/>
          <w:szCs w:val="24"/>
          <w:highlight w:val="none"/>
        </w:rPr>
        <w:t>选</w:t>
      </w:r>
      <w:r>
        <w:rPr>
          <w:rFonts w:hint="eastAsia" w:ascii="宋体"/>
          <w:snapToGrid w:val="0"/>
          <w:color w:val="auto"/>
          <w:kern w:val="0"/>
          <w:highlight w:val="none"/>
        </w:rPr>
        <w:t>人名称）</w:t>
      </w:r>
      <w:r>
        <w:rPr>
          <w:rFonts w:hint="eastAsia" w:ascii="宋体"/>
          <w:snapToGrid w:val="0"/>
          <w:color w:val="auto"/>
          <w:kern w:val="0"/>
          <w:highlight w:val="none"/>
          <w:u w:val="single"/>
        </w:rPr>
        <w:t xml:space="preserve">        </w:t>
      </w:r>
      <w:r>
        <w:rPr>
          <w:rFonts w:hint="eastAsia" w:ascii="宋体"/>
          <w:snapToGrid w:val="0"/>
          <w:color w:val="auto"/>
          <w:kern w:val="0"/>
          <w:highlight w:val="none"/>
        </w:rPr>
        <w:t>的法定代表</w:t>
      </w:r>
      <w:r>
        <w:rPr>
          <w:rFonts w:hint="eastAsia"/>
          <w:color w:val="auto"/>
          <w:highlight w:val="none"/>
        </w:rPr>
        <w:t>人</w:t>
      </w:r>
      <w:r>
        <w:rPr>
          <w:rFonts w:hint="eastAsia" w:ascii="宋体"/>
          <w:snapToGrid w:val="0"/>
          <w:color w:val="auto"/>
          <w:kern w:val="0"/>
          <w:highlight w:val="none"/>
        </w:rPr>
        <w:t>。</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特此证明。</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6000" w:firstLineChars="2500"/>
        <w:rPr>
          <w:rFonts w:ascii="宋体"/>
          <w:snapToGrid w:val="0"/>
          <w:color w:val="auto"/>
          <w:kern w:val="0"/>
          <w:highlight w:val="none"/>
        </w:rPr>
      </w:pPr>
      <w:r>
        <w:rPr>
          <w:rFonts w:hint="eastAsia" w:ascii="宋体"/>
          <w:snapToGrid w:val="0"/>
          <w:color w:val="auto"/>
          <w:kern w:val="0"/>
          <w:highlight w:val="none"/>
        </w:rPr>
        <w:t>参选人：</w:t>
      </w:r>
    </w:p>
    <w:p>
      <w:pPr>
        <w:tabs>
          <w:tab w:val="left" w:pos="6300"/>
        </w:tabs>
        <w:snapToGrid w:val="0"/>
        <w:spacing w:line="360" w:lineRule="auto"/>
        <w:ind w:firstLine="5760" w:firstLineChars="2400"/>
        <w:rPr>
          <w:rFonts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人公章）</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 xml:space="preserve">                                             年   月   日</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（附：法定代表人身份证正反面复印件）</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p>
    <w:p>
      <w:pPr>
        <w:ind w:firstLine="480"/>
        <w:jc w:val="center"/>
        <w:outlineLvl w:val="2"/>
        <w:rPr>
          <w:rStyle w:val="29"/>
          <w:rFonts w:hint="default"/>
          <w:color w:val="auto"/>
          <w:highlight w:val="none"/>
        </w:rPr>
      </w:pPr>
      <w:r>
        <w:rPr>
          <w:rFonts w:hint="eastAsia"/>
          <w:snapToGrid w:val="0"/>
          <w:color w:val="auto"/>
          <w:kern w:val="0"/>
          <w:highlight w:val="none"/>
        </w:rPr>
        <w:br w:type="column"/>
      </w:r>
      <w:r>
        <w:rPr>
          <w:rStyle w:val="29"/>
          <w:color w:val="auto"/>
          <w:highlight w:val="none"/>
        </w:rPr>
        <w:t>法定代表人授权委托书</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szCs w:val="28"/>
          <w:highlight w:val="none"/>
        </w:rPr>
        <w:t>项目名称</w:t>
      </w:r>
      <w:r>
        <w:rPr>
          <w:rFonts w:hint="eastAsia" w:ascii="宋体"/>
          <w:snapToGrid w:val="0"/>
          <w:color w:val="auto"/>
          <w:kern w:val="0"/>
          <w:highlight w:val="none"/>
        </w:rPr>
        <w:t>：</w:t>
      </w:r>
      <w:r>
        <w:rPr>
          <w:rFonts w:hint="eastAsia" w:ascii="宋体"/>
          <w:snapToGrid w:val="0"/>
          <w:color w:val="auto"/>
          <w:kern w:val="0"/>
          <w:szCs w:val="24"/>
          <w:highlight w:val="none"/>
          <w:u w:val="single"/>
        </w:rPr>
        <w:t>___________________</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致：</w:t>
      </w:r>
      <w:r>
        <w:rPr>
          <w:rFonts w:hint="eastAsia" w:ascii="宋体"/>
          <w:snapToGrid w:val="0"/>
          <w:color w:val="auto"/>
          <w:kern w:val="0"/>
          <w:highlight w:val="none"/>
          <w:u w:val="single"/>
        </w:rPr>
        <w:t>重庆三峡银行股份有限公司</w:t>
      </w:r>
      <w:r>
        <w:rPr>
          <w:rFonts w:hint="eastAsia" w:ascii="宋体"/>
          <w:snapToGrid w:val="0"/>
          <w:color w:val="auto"/>
          <w:kern w:val="0"/>
          <w:highlight w:val="none"/>
        </w:rPr>
        <w:t>：</w:t>
      </w: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u w:val="single"/>
        </w:rPr>
        <w:t xml:space="preserve">        </w:t>
      </w: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人法定代表人名称）是</w:t>
      </w:r>
      <w:r>
        <w:rPr>
          <w:rFonts w:hint="eastAsia" w:ascii="宋体"/>
          <w:snapToGrid w:val="0"/>
          <w:color w:val="auto"/>
          <w:kern w:val="0"/>
          <w:highlight w:val="none"/>
          <w:u w:val="single"/>
        </w:rPr>
        <w:t xml:space="preserve">        </w:t>
      </w: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人名称）的法定代表人，特授权</w:t>
      </w:r>
      <w:r>
        <w:rPr>
          <w:rFonts w:hint="eastAsia" w:ascii="宋体"/>
          <w:snapToGrid w:val="0"/>
          <w:color w:val="auto"/>
          <w:kern w:val="0"/>
          <w:highlight w:val="none"/>
          <w:u w:val="single"/>
        </w:rPr>
        <w:t xml:space="preserve">        </w:t>
      </w:r>
      <w:r>
        <w:rPr>
          <w:rFonts w:hint="eastAsia" w:ascii="宋体"/>
          <w:snapToGrid w:val="0"/>
          <w:color w:val="auto"/>
          <w:kern w:val="0"/>
          <w:highlight w:val="none"/>
        </w:rPr>
        <w:t>（被授权人姓名及身份证代码）代表我单位全权办理上述项目的</w:t>
      </w:r>
      <w:r>
        <w:rPr>
          <w:rFonts w:hint="eastAsia" w:ascii="宋体" w:cs="Cambria"/>
          <w:snapToGrid w:val="0"/>
          <w:color w:val="auto"/>
          <w:kern w:val="0"/>
          <w:szCs w:val="24"/>
          <w:highlight w:val="none"/>
        </w:rPr>
        <w:t>参选</w:t>
      </w:r>
      <w:r>
        <w:rPr>
          <w:rFonts w:hint="eastAsia" w:ascii="宋体"/>
          <w:snapToGrid w:val="0"/>
          <w:color w:val="auto"/>
          <w:kern w:val="0"/>
          <w:highlight w:val="none"/>
        </w:rPr>
        <w:t>、谈判、签约等具体工作，并签署全部有关文件、协议及合同。</w:t>
      </w: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我单位对被授权人的签字负全部责任。</w:t>
      </w: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在撤消授权的书面通知以前，本授权书一直有效。被授权人在授权书有效期内签署的所有文件不因授权的撤消而失效。</w:t>
      </w:r>
    </w:p>
    <w:p>
      <w:pPr>
        <w:tabs>
          <w:tab w:val="left" w:pos="6300"/>
        </w:tabs>
        <w:snapToGrid w:val="0"/>
        <w:spacing w:line="360" w:lineRule="auto"/>
        <w:ind w:firstLine="480"/>
        <w:rPr>
          <w:rFonts w:ascii="宋体"/>
          <w:snapToGrid w:val="0"/>
          <w:color w:val="auto"/>
          <w:kern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pPr>
              <w:tabs>
                <w:tab w:val="left" w:pos="6300"/>
              </w:tabs>
              <w:snapToGrid w:val="0"/>
              <w:spacing w:line="360" w:lineRule="auto"/>
              <w:ind w:firstLine="0" w:firstLineChars="0"/>
              <w:rPr>
                <w:rFonts w:ascii="宋体"/>
                <w:snapToGrid w:val="0"/>
                <w:color w:val="auto"/>
                <w:kern w:val="0"/>
                <w:highlight w:val="none"/>
              </w:rPr>
            </w:pPr>
            <w:r>
              <w:rPr>
                <w:rFonts w:hint="eastAsia" w:ascii="宋体"/>
                <w:snapToGrid w:val="0"/>
                <w:color w:val="auto"/>
                <w:kern w:val="0"/>
                <w:highlight w:val="none"/>
              </w:rPr>
              <w:t>被授权人</w:t>
            </w:r>
          </w:p>
        </w:tc>
        <w:tc>
          <w:tcPr>
            <w:tcW w:w="4261" w:type="dxa"/>
            <w:tcBorders>
              <w:top w:val="nil"/>
              <w:left w:val="nil"/>
              <w:bottom w:val="nil"/>
              <w:right w:val="nil"/>
            </w:tcBorders>
          </w:tcPr>
          <w:p>
            <w:pPr>
              <w:tabs>
                <w:tab w:val="left" w:pos="6300"/>
              </w:tabs>
              <w:snapToGrid w:val="0"/>
              <w:spacing w:line="360" w:lineRule="auto"/>
              <w:ind w:firstLine="0" w:firstLineChars="0"/>
              <w:rPr>
                <w:rFonts w:ascii="宋体"/>
                <w:snapToGrid w:val="0"/>
                <w:color w:val="auto"/>
                <w:kern w:val="0"/>
                <w:highlight w:val="none"/>
              </w:rPr>
            </w:pP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ascii="宋体"/>
                <w:snapToGrid w:val="0"/>
                <w:color w:val="auto"/>
                <w:kern w:val="0"/>
                <w:highlight w:val="none"/>
              </w:rPr>
            </w:pPr>
            <w:r>
              <w:rPr>
                <w:rFonts w:hint="eastAsia" w:ascii="宋体"/>
                <w:snapToGrid w:val="0"/>
                <w:color w:val="auto"/>
                <w:kern w:val="0"/>
                <w:szCs w:val="28"/>
                <w:highlight w:val="none"/>
              </w:rPr>
              <w:t>（签字或盖章）</w:t>
            </w:r>
          </w:p>
        </w:tc>
        <w:tc>
          <w:tcPr>
            <w:tcW w:w="4261" w:type="dxa"/>
            <w:tcBorders>
              <w:top w:val="nil"/>
              <w:left w:val="nil"/>
              <w:bottom w:val="nil"/>
              <w:right w:val="nil"/>
            </w:tcBorders>
          </w:tcPr>
          <w:p>
            <w:pPr>
              <w:tabs>
                <w:tab w:val="left" w:pos="6300"/>
              </w:tabs>
              <w:snapToGrid w:val="0"/>
              <w:spacing w:line="360" w:lineRule="auto"/>
              <w:ind w:firstLine="0" w:firstLineChars="0"/>
              <w:rPr>
                <w:rFonts w:ascii="宋体"/>
                <w:snapToGrid w:val="0"/>
                <w:color w:val="auto"/>
                <w:kern w:val="0"/>
                <w:highlight w:val="none"/>
              </w:rPr>
            </w:pPr>
            <w:r>
              <w:rPr>
                <w:rFonts w:hint="eastAsia" w:ascii="宋体"/>
                <w:snapToGrid w:val="0"/>
                <w:color w:val="auto"/>
                <w:kern w:val="0"/>
                <w:szCs w:val="28"/>
                <w:highlight w:val="none"/>
              </w:rPr>
              <w:t>（签字或盖章）</w:t>
            </w:r>
          </w:p>
        </w:tc>
      </w:tr>
    </w:tbl>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szCs w:val="28"/>
          <w:highlight w:val="none"/>
        </w:rPr>
      </w:pP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（附：被授权人身份证正反面复印件）</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right="480" w:firstLine="480"/>
        <w:jc w:val="right"/>
        <w:rPr>
          <w:rFonts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人公章）</w:t>
      </w:r>
    </w:p>
    <w:p>
      <w:pPr>
        <w:tabs>
          <w:tab w:val="left" w:pos="6300"/>
        </w:tabs>
        <w:snapToGrid w:val="0"/>
        <w:spacing w:line="360" w:lineRule="auto"/>
        <w:ind w:right="480" w:firstLine="480"/>
        <w:jc w:val="right"/>
        <w:rPr>
          <w:rFonts w:ascii="宋体"/>
          <w:snapToGrid w:val="0"/>
          <w:color w:val="auto"/>
          <w:kern w:val="0"/>
          <w:highlight w:val="none"/>
        </w:rPr>
      </w:pPr>
      <w:r>
        <w:rPr>
          <w:rFonts w:hint="eastAsia" w:ascii="宋体"/>
          <w:snapToGrid w:val="0"/>
          <w:color w:val="auto"/>
          <w:kern w:val="0"/>
          <w:highlight w:val="none"/>
        </w:rPr>
        <w:t>年   月   日</w:t>
      </w:r>
    </w:p>
    <w:p>
      <w:pPr>
        <w:tabs>
          <w:tab w:val="left" w:pos="6300"/>
        </w:tabs>
        <w:snapToGrid w:val="0"/>
        <w:spacing w:line="360" w:lineRule="auto"/>
        <w:ind w:firstLine="480"/>
        <w:rPr>
          <w:rFonts w:ascii="宋体"/>
          <w:snapToGrid w:val="0"/>
          <w:color w:val="auto"/>
          <w:kern w:val="0"/>
          <w:highlight w:val="none"/>
        </w:rPr>
      </w:pP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注：1.若为法定代表人办理并签署参选文件的，不提供此文件。</w:t>
      </w: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2.若为联合体参选的，法定代表人授权委托书由联合体主办方（主体）出具。</w:t>
      </w:r>
    </w:p>
    <w:p>
      <w:pPr>
        <w:ind w:firstLine="480"/>
        <w:rPr>
          <w:color w:val="auto"/>
          <w:highlight w:val="none"/>
        </w:rPr>
      </w:pPr>
    </w:p>
    <w:p>
      <w:pPr>
        <w:ind w:firstLine="480"/>
        <w:rPr>
          <w:color w:val="auto"/>
          <w:highlight w:val="none"/>
        </w:rPr>
        <w:sectPr>
          <w:pgSz w:w="11906" w:h="16838"/>
          <w:pgMar w:top="1440" w:right="1800" w:bottom="1440" w:left="1800" w:header="851" w:footer="992" w:gutter="0"/>
          <w:cols w:space="720" w:num="1"/>
          <w:docGrid w:type="lines" w:linePitch="312" w:charSpace="0"/>
        </w:sectPr>
      </w:pPr>
    </w:p>
    <w:p>
      <w:pPr>
        <w:pStyle w:val="27"/>
        <w:bidi w:val="0"/>
        <w:outlineLvl w:val="1"/>
        <w:rPr>
          <w:color w:val="auto"/>
          <w:highlight w:val="none"/>
        </w:rPr>
      </w:pPr>
      <w:r>
        <w:rPr>
          <w:rFonts w:hint="eastAsia"/>
          <w:color w:val="auto"/>
          <w:highlight w:val="none"/>
        </w:rPr>
        <w:t>（三）书面声明</w:t>
      </w:r>
    </w:p>
    <w:p>
      <w:pPr>
        <w:tabs>
          <w:tab w:val="left" w:pos="6300"/>
        </w:tabs>
        <w:snapToGrid w:val="0"/>
        <w:spacing w:line="360" w:lineRule="auto"/>
        <w:ind w:firstLine="480"/>
        <w:rPr>
          <w:rFonts w:ascii="宋体"/>
          <w:color w:val="auto"/>
          <w:highlight w:val="none"/>
        </w:rPr>
      </w:pPr>
    </w:p>
    <w:p>
      <w:pPr>
        <w:tabs>
          <w:tab w:val="left" w:pos="6300"/>
        </w:tabs>
        <w:snapToGrid w:val="0"/>
        <w:spacing w:line="360" w:lineRule="auto"/>
        <w:ind w:firstLine="480"/>
        <w:rPr>
          <w:rFonts w:ascii="宋体"/>
          <w:color w:val="auto"/>
          <w:highlight w:val="none"/>
        </w:rPr>
      </w:pPr>
      <w:r>
        <w:rPr>
          <w:rFonts w:hint="eastAsia" w:ascii="宋体"/>
          <w:color w:val="auto"/>
          <w:szCs w:val="28"/>
          <w:highlight w:val="none"/>
        </w:rPr>
        <w:t>项目名称</w:t>
      </w:r>
      <w:r>
        <w:rPr>
          <w:rFonts w:hint="eastAsia" w:ascii="宋体"/>
          <w:color w:val="auto"/>
          <w:highlight w:val="none"/>
        </w:rPr>
        <w:t>：</w:t>
      </w:r>
      <w:r>
        <w:rPr>
          <w:rFonts w:hint="eastAsia" w:ascii="宋体"/>
          <w:snapToGrid w:val="0"/>
          <w:color w:val="auto"/>
          <w:kern w:val="0"/>
          <w:szCs w:val="24"/>
          <w:highlight w:val="none"/>
          <w:u w:val="single"/>
        </w:rPr>
        <w:t>__________________</w:t>
      </w:r>
    </w:p>
    <w:p>
      <w:pPr>
        <w:tabs>
          <w:tab w:val="left" w:pos="6300"/>
        </w:tabs>
        <w:snapToGrid w:val="0"/>
        <w:spacing w:line="360" w:lineRule="auto"/>
        <w:ind w:firstLine="480"/>
        <w:rPr>
          <w:rFonts w:ascii="宋体"/>
          <w:color w:val="auto"/>
          <w:highlight w:val="none"/>
        </w:rPr>
      </w:pPr>
    </w:p>
    <w:p>
      <w:pPr>
        <w:tabs>
          <w:tab w:val="left" w:pos="6300"/>
        </w:tabs>
        <w:snapToGrid w:val="0"/>
        <w:spacing w:line="360" w:lineRule="auto"/>
        <w:ind w:firstLine="480"/>
        <w:rPr>
          <w:rFonts w:ascii="宋体"/>
          <w:color w:val="auto"/>
          <w:highlight w:val="none"/>
        </w:rPr>
      </w:pPr>
      <w:r>
        <w:rPr>
          <w:rFonts w:hint="eastAsia" w:ascii="宋体"/>
          <w:color w:val="auto"/>
          <w:highlight w:val="none"/>
        </w:rPr>
        <w:t>致：</w:t>
      </w:r>
      <w:r>
        <w:rPr>
          <w:rFonts w:hint="eastAsia" w:ascii="宋体"/>
          <w:snapToGrid w:val="0"/>
          <w:color w:val="auto"/>
          <w:kern w:val="0"/>
          <w:highlight w:val="none"/>
          <w:u w:val="single"/>
        </w:rPr>
        <w:t>重庆三峡银行股份有限公司</w:t>
      </w:r>
      <w:r>
        <w:rPr>
          <w:rFonts w:hint="eastAsia" w:ascii="宋体"/>
          <w:color w:val="auto"/>
          <w:highlight w:val="none"/>
        </w:rPr>
        <w:t>：</w:t>
      </w:r>
    </w:p>
    <w:p>
      <w:pPr>
        <w:tabs>
          <w:tab w:val="left" w:pos="6300"/>
        </w:tabs>
        <w:snapToGrid w:val="0"/>
        <w:spacing w:line="360" w:lineRule="auto"/>
        <w:ind w:firstLine="480"/>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人名称）郑重声明，</w:t>
      </w:r>
      <w:r>
        <w:rPr>
          <w:rFonts w:hint="eastAsia" w:ascii="宋体"/>
          <w:color w:val="auto"/>
          <w:highlight w:val="none"/>
          <w:lang w:eastAsia="zh-CN"/>
        </w:rPr>
        <w:t>我</w:t>
      </w:r>
      <w:r>
        <w:rPr>
          <w:rFonts w:hint="eastAsia" w:ascii="宋体"/>
          <w:color w:val="auto"/>
          <w:highlight w:val="none"/>
        </w:rPr>
        <w:t>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Cs w:val="24"/>
          <w:highlight w:val="none"/>
        </w:rPr>
        <w:t>参选</w:t>
      </w:r>
      <w:r>
        <w:rPr>
          <w:rFonts w:hint="eastAsia" w:ascii="宋体"/>
          <w:color w:val="auto"/>
          <w:highlight w:val="none"/>
        </w:rPr>
        <w:t>人资格条件；</w:t>
      </w:r>
      <w:r>
        <w:rPr>
          <w:rFonts w:hint="eastAsia" w:ascii="宋体" w:hAnsi="宋体" w:cs="Cambria"/>
          <w:color w:val="auto"/>
          <w:szCs w:val="24"/>
          <w:highlight w:val="none"/>
        </w:rPr>
        <w:t>我公司本次如若中选，中选后不会对项目进行转包</w:t>
      </w:r>
      <w:r>
        <w:rPr>
          <w:rFonts w:hint="eastAsia" w:ascii="宋体"/>
          <w:color w:val="auto"/>
          <w:highlight w:val="none"/>
        </w:rPr>
        <w:t>。我方对以上声明负全部法律责任。</w:t>
      </w:r>
    </w:p>
    <w:p>
      <w:pPr>
        <w:tabs>
          <w:tab w:val="left" w:pos="6300"/>
        </w:tabs>
        <w:snapToGrid w:val="0"/>
        <w:spacing w:line="360" w:lineRule="auto"/>
        <w:ind w:firstLine="480"/>
        <w:rPr>
          <w:rFonts w:ascii="宋体"/>
          <w:color w:val="auto"/>
          <w:highlight w:val="none"/>
        </w:rPr>
      </w:pPr>
      <w:r>
        <w:rPr>
          <w:rFonts w:hint="eastAsia" w:ascii="宋体"/>
          <w:color w:val="auto"/>
          <w:highlight w:val="none"/>
        </w:rPr>
        <w:t>特此声明。</w:t>
      </w:r>
    </w:p>
    <w:p>
      <w:pPr>
        <w:tabs>
          <w:tab w:val="left" w:pos="6300"/>
        </w:tabs>
        <w:snapToGrid w:val="0"/>
        <w:spacing w:line="360" w:lineRule="auto"/>
        <w:ind w:firstLine="480"/>
        <w:rPr>
          <w:rFonts w:ascii="宋体"/>
          <w:color w:val="auto"/>
          <w:highlight w:val="none"/>
        </w:rPr>
      </w:pPr>
    </w:p>
    <w:p>
      <w:pPr>
        <w:tabs>
          <w:tab w:val="left" w:pos="6300"/>
        </w:tabs>
        <w:snapToGrid w:val="0"/>
        <w:spacing w:line="360" w:lineRule="auto"/>
        <w:ind w:firstLine="480"/>
        <w:rPr>
          <w:rFonts w:ascii="宋体"/>
          <w:color w:val="auto"/>
          <w:highlight w:val="none"/>
        </w:rPr>
      </w:pPr>
    </w:p>
    <w:p>
      <w:pPr>
        <w:tabs>
          <w:tab w:val="left" w:pos="6300"/>
        </w:tabs>
        <w:snapToGrid w:val="0"/>
        <w:spacing w:line="360" w:lineRule="auto"/>
        <w:ind w:firstLine="480"/>
        <w:rPr>
          <w:rFonts w:ascii="宋体"/>
          <w:color w:val="auto"/>
          <w:highlight w:val="none"/>
        </w:rPr>
      </w:pPr>
    </w:p>
    <w:p>
      <w:pPr>
        <w:tabs>
          <w:tab w:val="left" w:pos="6300"/>
        </w:tabs>
        <w:snapToGrid w:val="0"/>
        <w:spacing w:line="360" w:lineRule="auto"/>
        <w:ind w:right="424" w:firstLine="480"/>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pPr>
        <w:tabs>
          <w:tab w:val="left" w:pos="6300"/>
        </w:tabs>
        <w:snapToGrid w:val="0"/>
        <w:spacing w:line="360" w:lineRule="auto"/>
        <w:ind w:right="480" w:firstLine="480"/>
        <w:jc w:val="right"/>
        <w:rPr>
          <w:rFonts w:ascii="宋体"/>
          <w:color w:val="auto"/>
          <w:highlight w:val="none"/>
        </w:rPr>
      </w:pPr>
      <w:r>
        <w:rPr>
          <w:rFonts w:hint="eastAsia" w:ascii="宋体"/>
          <w:color w:val="auto"/>
          <w:highlight w:val="none"/>
        </w:rPr>
        <w:t>年   月   日</w:t>
      </w:r>
    </w:p>
    <w:p>
      <w:pPr>
        <w:spacing w:line="360" w:lineRule="auto"/>
        <w:ind w:firstLine="480"/>
        <w:jc w:val="left"/>
        <w:rPr>
          <w:rFonts w:ascii="宋体" w:cs="等线 Light"/>
          <w:snapToGrid w:val="0"/>
          <w:color w:val="auto"/>
          <w:kern w:val="0"/>
          <w:szCs w:val="24"/>
          <w:highlight w:val="none"/>
        </w:rPr>
      </w:pPr>
    </w:p>
    <w:p>
      <w:pPr>
        <w:spacing w:line="360" w:lineRule="auto"/>
        <w:ind w:firstLine="480"/>
        <w:jc w:val="left"/>
        <w:rPr>
          <w:rFonts w:ascii="宋体" w:cs="等线 Light"/>
          <w:snapToGrid w:val="0"/>
          <w:color w:val="auto"/>
          <w:kern w:val="0"/>
          <w:szCs w:val="24"/>
          <w:highlight w:val="none"/>
        </w:rPr>
      </w:pPr>
    </w:p>
    <w:p>
      <w:pPr>
        <w:spacing w:line="360" w:lineRule="auto"/>
        <w:ind w:firstLine="480"/>
        <w:jc w:val="left"/>
        <w:rPr>
          <w:rFonts w:ascii="宋体" w:cs="等线 Light"/>
          <w:snapToGrid w:val="0"/>
          <w:color w:val="auto"/>
          <w:kern w:val="0"/>
          <w:szCs w:val="24"/>
          <w:highlight w:val="none"/>
        </w:rPr>
      </w:pPr>
    </w:p>
    <w:p>
      <w:pPr>
        <w:spacing w:line="360" w:lineRule="auto"/>
        <w:ind w:firstLine="480"/>
        <w:jc w:val="left"/>
        <w:rPr>
          <w:rFonts w:ascii="宋体" w:cs="等线 Light"/>
          <w:snapToGrid w:val="0"/>
          <w:color w:val="auto"/>
          <w:kern w:val="0"/>
          <w:szCs w:val="24"/>
          <w:highlight w:val="none"/>
        </w:rPr>
      </w:pPr>
    </w:p>
    <w:p>
      <w:pPr>
        <w:spacing w:line="360" w:lineRule="auto"/>
        <w:ind w:firstLine="480"/>
        <w:jc w:val="left"/>
        <w:rPr>
          <w:rFonts w:ascii="宋体" w:cs="等线 Light"/>
          <w:snapToGrid w:val="0"/>
          <w:color w:val="auto"/>
          <w:kern w:val="0"/>
          <w:szCs w:val="24"/>
          <w:highlight w:val="none"/>
        </w:rPr>
      </w:pPr>
    </w:p>
    <w:p>
      <w:pPr>
        <w:spacing w:line="360" w:lineRule="auto"/>
        <w:ind w:firstLine="480"/>
        <w:jc w:val="left"/>
        <w:rPr>
          <w:rFonts w:ascii="宋体" w:cs="等线 Light"/>
          <w:snapToGrid w:val="0"/>
          <w:color w:val="auto"/>
          <w:kern w:val="0"/>
          <w:szCs w:val="24"/>
          <w:highlight w:val="none"/>
        </w:rPr>
      </w:pPr>
    </w:p>
    <w:p>
      <w:pPr>
        <w:spacing w:line="360" w:lineRule="auto"/>
        <w:ind w:firstLine="480"/>
        <w:jc w:val="left"/>
        <w:rPr>
          <w:rFonts w:ascii="宋体" w:cs="等线 Light"/>
          <w:snapToGrid w:val="0"/>
          <w:color w:val="auto"/>
          <w:kern w:val="0"/>
          <w:szCs w:val="24"/>
          <w:highlight w:val="none"/>
        </w:rPr>
      </w:pPr>
    </w:p>
    <w:p>
      <w:pPr>
        <w:ind w:firstLine="480"/>
        <w:rPr>
          <w:b/>
          <w:bCs/>
          <w:color w:val="auto"/>
          <w:highlight w:val="none"/>
        </w:rPr>
      </w:pPr>
      <w:r>
        <w:rPr>
          <w:rFonts w:hint="eastAsia"/>
          <w:color w:val="auto"/>
          <w:kern w:val="0"/>
          <w:highlight w:val="none"/>
        </w:rPr>
        <w:br w:type="page"/>
      </w:r>
    </w:p>
    <w:p>
      <w:pPr>
        <w:pStyle w:val="27"/>
        <w:bidi w:val="0"/>
        <w:outlineLvl w:val="1"/>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r>
        <w:rPr>
          <w:rFonts w:hint="eastAsia"/>
          <w:color w:val="auto"/>
          <w:highlight w:val="none"/>
        </w:rPr>
        <w:br w:type="page"/>
      </w:r>
    </w:p>
    <w:p>
      <w:pPr>
        <w:ind w:firstLine="480"/>
        <w:rPr>
          <w:color w:val="auto"/>
          <w:highlight w:val="none"/>
          <w:lang w:val="zh-CN"/>
        </w:rPr>
        <w:sectPr>
          <w:pgSz w:w="11906" w:h="16838"/>
          <w:pgMar w:top="1440" w:right="1800" w:bottom="1440" w:left="1800" w:header="851" w:footer="992" w:gutter="0"/>
          <w:cols w:space="720" w:num="1"/>
          <w:docGrid w:type="lines" w:linePitch="312" w:charSpace="0"/>
        </w:sectPr>
      </w:pPr>
    </w:p>
    <w:p>
      <w:pPr>
        <w:pStyle w:val="26"/>
        <w:bidi w:val="0"/>
        <w:outlineLvl w:val="0"/>
        <w:rPr>
          <w:rFonts w:hint="default"/>
          <w:color w:val="auto"/>
          <w:highlight w:val="none"/>
          <w:lang w:val="en-US" w:eastAsia="zh-CN"/>
        </w:rPr>
      </w:pPr>
      <w:bookmarkStart w:id="273" w:name="_Toc6102"/>
      <w:bookmarkStart w:id="274" w:name="_Toc961354926"/>
      <w:r>
        <w:rPr>
          <w:color w:val="auto"/>
          <w:highlight w:val="none"/>
        </w:rPr>
        <w:t>四、响应</w:t>
      </w:r>
      <w:bookmarkEnd w:id="273"/>
      <w:r>
        <w:rPr>
          <w:rFonts w:hint="eastAsia"/>
          <w:color w:val="auto"/>
          <w:highlight w:val="none"/>
          <w:lang w:val="en-US" w:eastAsia="zh-CN"/>
        </w:rPr>
        <w:t>性文件</w:t>
      </w:r>
      <w:bookmarkEnd w:id="274"/>
    </w:p>
    <w:p>
      <w:pPr>
        <w:ind w:firstLine="0" w:firstLineChars="0"/>
        <w:jc w:val="center"/>
        <w:outlineLvl w:val="1"/>
        <w:rPr>
          <w:rFonts w:hint="eastAsia"/>
          <w:color w:val="auto"/>
          <w:highlight w:val="none"/>
          <w:lang w:eastAsia="zh-CN"/>
        </w:rPr>
      </w:pPr>
      <w:r>
        <w:rPr>
          <w:rFonts w:hint="eastAsia"/>
          <w:color w:val="auto"/>
          <w:highlight w:val="none"/>
        </w:rPr>
        <w:t>（一）</w:t>
      </w:r>
      <w:r>
        <w:rPr>
          <w:rFonts w:hint="eastAsia"/>
          <w:color w:val="auto"/>
          <w:highlight w:val="none"/>
          <w:lang w:eastAsia="zh-CN"/>
        </w:rPr>
        <w:t>项目人力资源方案</w:t>
      </w:r>
    </w:p>
    <w:p>
      <w:pPr>
        <w:ind w:firstLine="0"/>
        <w:rPr>
          <w:rFonts w:hint="eastAsia"/>
          <w:color w:val="auto"/>
          <w:highlight w:val="none"/>
          <w:lang w:eastAsia="zh-CN"/>
        </w:rPr>
      </w:pPr>
      <w:r>
        <w:rPr>
          <w:rFonts w:hint="eastAsia"/>
          <w:color w:val="auto"/>
          <w:highlight w:val="none"/>
          <w:lang w:eastAsia="zh-CN"/>
        </w:rPr>
        <w:br w:type="page"/>
      </w:r>
    </w:p>
    <w:p>
      <w:pPr>
        <w:ind w:firstLine="0" w:firstLineChars="0"/>
        <w:jc w:val="center"/>
        <w:outlineLvl w:val="1"/>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lang w:val="en-US" w:eastAsia="zh-CN"/>
        </w:rPr>
        <w:t>响应</w:t>
      </w:r>
      <w:r>
        <w:rPr>
          <w:rFonts w:hint="eastAsia"/>
          <w:color w:val="auto"/>
          <w:highlight w:val="none"/>
        </w:rPr>
        <w:t>承诺函</w:t>
      </w:r>
    </w:p>
    <w:p>
      <w:pPr>
        <w:ind w:firstLine="480"/>
        <w:rPr>
          <w:rFonts w:hint="eastAsia"/>
          <w:color w:val="auto"/>
          <w:highlight w:val="none"/>
        </w:rPr>
      </w:pPr>
      <w:r>
        <w:rPr>
          <w:rFonts w:hint="eastAsia"/>
          <w:color w:val="auto"/>
          <w:highlight w:val="none"/>
        </w:rPr>
        <w:t>根据第三章“项目要求”内容，做出整体承诺，格式自理。</w:t>
      </w:r>
    </w:p>
    <w:p>
      <w:pPr>
        <w:ind w:firstLine="480"/>
        <w:rPr>
          <w:rFonts w:hint="eastAsia"/>
          <w:color w:val="auto"/>
          <w:highlight w:val="none"/>
        </w:rPr>
      </w:pPr>
      <w:r>
        <w:rPr>
          <w:rFonts w:hint="eastAsia"/>
          <w:color w:val="auto"/>
          <w:highlight w:val="none"/>
          <w:lang w:val="en-US" w:eastAsia="zh-CN"/>
        </w:rPr>
        <w:t>对第三章2.4.4条做出承诺</w:t>
      </w:r>
    </w:p>
    <w:p>
      <w:pPr>
        <w:keepNext w:val="0"/>
        <w:keepLines w:val="0"/>
        <w:pageBreakBefore w:val="0"/>
        <w:widowControl w:val="0"/>
        <w:tabs>
          <w:tab w:val="left" w:pos="6300"/>
        </w:tabs>
        <w:kinsoku/>
        <w:wordWrap/>
        <w:overflowPunct/>
        <w:topLinePunct w:val="0"/>
        <w:autoSpaceDE w:val="0"/>
        <w:autoSpaceDN w:val="0"/>
        <w:bidi w:val="0"/>
        <w:adjustRightInd/>
        <w:snapToGrid w:val="0"/>
        <w:spacing w:line="480" w:lineRule="exact"/>
        <w:ind w:right="480" w:firstLine="570"/>
        <w:jc w:val="right"/>
        <w:textAlignment w:val="auto"/>
        <w:rPr>
          <w:rFonts w:ascii="宋体"/>
          <w:color w:val="auto"/>
          <w:sz w:val="24"/>
          <w:highlight w:val="none"/>
        </w:rPr>
      </w:pPr>
    </w:p>
    <w:p>
      <w:pPr>
        <w:pStyle w:val="5"/>
        <w:outlineLvl w:val="9"/>
        <w:rPr>
          <w:rFonts w:hint="default"/>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ind w:firstLine="0" w:firstLineChars="0"/>
        <w:rPr>
          <w:rFonts w:hint="eastAsia"/>
          <w:color w:val="auto"/>
          <w:highlight w:val="none"/>
          <w:lang w:eastAsia="zh-CN"/>
        </w:rPr>
      </w:pPr>
    </w:p>
    <w:p>
      <w:pPr>
        <w:ind w:firstLine="0" w:firstLineChars="0"/>
        <w:jc w:val="center"/>
        <w:outlineLvl w:val="1"/>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服务连续性预案</w:t>
      </w:r>
    </w:p>
    <w:p>
      <w:pPr>
        <w:ind w:firstLine="0" w:firstLineChars="0"/>
        <w:jc w:val="center"/>
        <w:outlineLvl w:val="0"/>
        <w:rPr>
          <w:color w:val="auto"/>
          <w:highlight w:val="none"/>
        </w:rPr>
      </w:pPr>
      <w:r>
        <w:rPr>
          <w:rFonts w:hint="eastAsia"/>
          <w:color w:val="auto"/>
          <w:highlight w:val="none"/>
        </w:rPr>
        <w:t>（应考虑供应链风险产生的影响）</w:t>
      </w:r>
    </w:p>
    <w:p>
      <w:pPr>
        <w:ind w:firstLine="0"/>
        <w:outlineLvl w:val="9"/>
        <w:rPr>
          <w:rFonts w:hint="eastAsia"/>
          <w:color w:val="auto"/>
          <w:highlight w:val="none"/>
        </w:rPr>
      </w:pPr>
      <w:r>
        <w:rPr>
          <w:rFonts w:hint="eastAsia"/>
          <w:color w:val="auto"/>
          <w:highlight w:val="none"/>
        </w:rPr>
        <w:br w:type="page"/>
      </w:r>
    </w:p>
    <w:p>
      <w:pPr>
        <w:keepNext w:val="0"/>
        <w:keepLines w:val="0"/>
        <w:pageBreakBefore w:val="0"/>
        <w:widowControl w:val="0"/>
        <w:kinsoku/>
        <w:wordWrap/>
        <w:overflowPunct/>
        <w:topLinePunct w:val="0"/>
        <w:autoSpaceDE w:val="0"/>
        <w:autoSpaceDN w:val="0"/>
        <w:bidi w:val="0"/>
        <w:adjustRightInd/>
        <w:spacing w:line="600" w:lineRule="exact"/>
        <w:ind w:firstLine="0" w:firstLineChars="0"/>
        <w:jc w:val="center"/>
        <w:textAlignment w:val="auto"/>
        <w:outlineLvl w:val="0"/>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项目实施方案</w:t>
      </w:r>
    </w:p>
    <w:p>
      <w:pPr>
        <w:keepNext w:val="0"/>
        <w:keepLines w:val="0"/>
        <w:pageBreakBefore w:val="0"/>
        <w:widowControl w:val="0"/>
        <w:tabs>
          <w:tab w:val="left" w:pos="6300"/>
        </w:tabs>
        <w:kinsoku/>
        <w:wordWrap/>
        <w:overflowPunct/>
        <w:topLinePunct w:val="0"/>
        <w:autoSpaceDE w:val="0"/>
        <w:autoSpaceDN w:val="0"/>
        <w:bidi w:val="0"/>
        <w:adjustRightInd/>
        <w:snapToGrid w:val="0"/>
        <w:spacing w:line="600" w:lineRule="exact"/>
        <w:ind w:firstLine="480"/>
        <w:jc w:val="center"/>
        <w:textAlignment w:val="auto"/>
        <w:outlineLvl w:val="0"/>
        <w:rPr>
          <w:rFonts w:ascii="宋体"/>
          <w:snapToGrid w:val="0"/>
          <w:color w:val="auto"/>
          <w:kern w:val="0"/>
          <w:szCs w:val="24"/>
          <w:highlight w:val="none"/>
        </w:rPr>
      </w:pPr>
      <w:r>
        <w:rPr>
          <w:rFonts w:hint="eastAsia" w:ascii="宋体"/>
          <w:snapToGrid w:val="0"/>
          <w:color w:val="auto"/>
          <w:kern w:val="0"/>
          <w:szCs w:val="24"/>
          <w:highlight w:val="none"/>
        </w:rPr>
        <w:t>（实施方案包括履行合同的时间计划、提交资料、人员安排</w:t>
      </w:r>
      <w:r>
        <w:rPr>
          <w:rFonts w:hint="eastAsia" w:ascii="宋体"/>
          <w:snapToGrid w:val="0"/>
          <w:color w:val="auto"/>
          <w:kern w:val="0"/>
          <w:szCs w:val="24"/>
          <w:highlight w:val="none"/>
          <w:lang w:eastAsia="zh-CN"/>
        </w:rPr>
        <w:t>、</w:t>
      </w:r>
      <w:r>
        <w:rPr>
          <w:rFonts w:hint="eastAsia" w:ascii="宋体"/>
          <w:snapToGrid w:val="0"/>
          <w:color w:val="auto"/>
          <w:kern w:val="0"/>
          <w:szCs w:val="24"/>
          <w:highlight w:val="none"/>
          <w:lang w:val="en-US" w:eastAsia="zh-CN"/>
        </w:rPr>
        <w:t>项目培训</w:t>
      </w:r>
      <w:r>
        <w:rPr>
          <w:rFonts w:hint="eastAsia" w:ascii="宋体"/>
          <w:snapToGrid w:val="0"/>
          <w:color w:val="auto"/>
          <w:kern w:val="0"/>
          <w:szCs w:val="24"/>
          <w:highlight w:val="none"/>
        </w:rPr>
        <w:t>等）</w:t>
      </w:r>
    </w:p>
    <w:p>
      <w:pPr>
        <w:ind w:firstLine="0"/>
        <w:rPr>
          <w:rFonts w:hint="eastAsia"/>
          <w:color w:val="auto"/>
          <w:highlight w:val="none"/>
          <w:lang w:eastAsia="zh-CN"/>
        </w:rPr>
      </w:pPr>
      <w:r>
        <w:rPr>
          <w:rFonts w:hint="eastAsia"/>
          <w:color w:val="auto"/>
          <w:highlight w:val="none"/>
          <w:lang w:eastAsia="zh-CN"/>
        </w:rPr>
        <w:br w:type="page"/>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9"/>
        <w:rPr>
          <w:rFonts w:hint="eastAsia" w:ascii="宋体" w:hAnsi="宋体"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ascii="宋体" w:hAnsi="宋体" w:eastAsia="宋体"/>
          <w:color w:val="auto"/>
          <w:highlight w:val="none"/>
          <w:lang w:val="en-US" w:eastAsia="zh-CN"/>
        </w:rPr>
        <w:t>项目需求理解方案</w:t>
      </w:r>
    </w:p>
    <w:p>
      <w:pP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br w:type="page"/>
      </w:r>
    </w:p>
    <w:p>
      <w:pPr>
        <w:ind w:firstLine="480"/>
        <w:outlineLvl w:val="9"/>
        <w:rPr>
          <w:rFonts w:hint="eastAsia" w:ascii="宋体" w:hAnsi="宋体" w:eastAsia="宋体"/>
          <w:color w:val="auto"/>
          <w:highlight w:val="none"/>
          <w:lang w:val="en-US" w:eastAsia="zh-CN"/>
        </w:rPr>
      </w:pPr>
    </w:p>
    <w:p>
      <w:pPr>
        <w:ind w:firstLine="0" w:firstLineChars="0"/>
        <w:jc w:val="center"/>
        <w:outlineLvl w:val="1"/>
        <w:rPr>
          <w:rFonts w:hint="eastAsia"/>
          <w:color w:val="auto"/>
          <w:highlight w:val="none"/>
        </w:rPr>
      </w:pPr>
      <w:r>
        <w:rPr>
          <w:rFonts w:hint="eastAsia"/>
          <w:color w:val="auto"/>
          <w:highlight w:val="none"/>
          <w:lang w:eastAsia="zh-CN"/>
        </w:rPr>
        <w:t>（六）</w:t>
      </w:r>
      <w:r>
        <w:rPr>
          <w:rFonts w:hint="eastAsia"/>
          <w:color w:val="auto"/>
          <w:highlight w:val="none"/>
        </w:rPr>
        <w:t>售后服务质保</w:t>
      </w:r>
      <w:r>
        <w:rPr>
          <w:rFonts w:hint="eastAsia"/>
          <w:color w:val="auto"/>
          <w:highlight w:val="none"/>
          <w:lang w:eastAsia="zh-CN"/>
        </w:rPr>
        <w:t>方案</w:t>
      </w:r>
    </w:p>
    <w:p>
      <w:pPr>
        <w:ind w:firstLine="0"/>
        <w:outlineLvl w:val="9"/>
        <w:rPr>
          <w:rFonts w:hint="eastAsia"/>
          <w:color w:val="auto"/>
          <w:highlight w:val="none"/>
          <w:lang w:eastAsia="zh-CN"/>
        </w:rPr>
      </w:pPr>
      <w:r>
        <w:rPr>
          <w:rFonts w:hint="eastAsia"/>
          <w:color w:val="auto"/>
          <w:highlight w:val="none"/>
          <w:lang w:eastAsia="zh-CN"/>
        </w:rPr>
        <w:br w:type="page"/>
      </w:r>
    </w:p>
    <w:p>
      <w:pPr>
        <w:ind w:firstLine="0" w:firstLineChars="0"/>
        <w:jc w:val="center"/>
        <w:outlineLvl w:val="1"/>
        <w:rPr>
          <w:color w:val="auto"/>
          <w:highlight w:val="none"/>
        </w:rPr>
      </w:pPr>
      <w:r>
        <w:rPr>
          <w:rFonts w:hint="eastAsia"/>
          <w:color w:val="auto"/>
          <w:highlight w:val="none"/>
          <w:lang w:eastAsia="zh-CN"/>
        </w:rPr>
        <w:t>（七）</w:t>
      </w:r>
      <w:r>
        <w:rPr>
          <w:rFonts w:hint="eastAsia"/>
          <w:color w:val="auto"/>
          <w:highlight w:val="none"/>
        </w:rPr>
        <w:t>参选保证金</w:t>
      </w: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spacing w:line="360" w:lineRule="auto"/>
        <w:ind w:firstLine="480"/>
        <w:rPr>
          <w:rFonts w:ascii="宋体" w:cs="等线 Light"/>
          <w:color w:val="auto"/>
          <w:highlight w:val="none"/>
        </w:rPr>
      </w:pPr>
    </w:p>
    <w:p>
      <w:pPr>
        <w:adjustRightInd w:val="0"/>
        <w:snapToGrid w:val="0"/>
        <w:spacing w:line="360" w:lineRule="auto"/>
        <w:ind w:firstLine="480"/>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注：附</w:t>
      </w:r>
      <w:r>
        <w:rPr>
          <w:rFonts w:hint="eastAsia" w:ascii="宋体" w:cs="等线 Light"/>
          <w:snapToGrid w:val="0"/>
          <w:color w:val="auto"/>
          <w:kern w:val="0"/>
          <w:szCs w:val="24"/>
          <w:highlight w:val="none"/>
        </w:rPr>
        <w:t>参选</w:t>
      </w:r>
      <w:r>
        <w:rPr>
          <w:rFonts w:hint="eastAsia" w:ascii="宋体"/>
          <w:snapToGrid w:val="0"/>
          <w:color w:val="auto"/>
          <w:kern w:val="0"/>
          <w:highlight w:val="none"/>
        </w:rPr>
        <w:t>保证金交款凭据复印件</w:t>
      </w:r>
    </w:p>
    <w:p>
      <w:pPr>
        <w:autoSpaceDE/>
        <w:autoSpaceDN/>
        <w:spacing w:line="600" w:lineRule="exact"/>
        <w:ind w:firstLine="0" w:firstLineChars="0"/>
        <w:jc w:val="center"/>
        <w:outlineLvl w:val="9"/>
        <w:rPr>
          <w:rFonts w:hint="eastAsia"/>
          <w:color w:val="auto"/>
          <w:highlight w:val="none"/>
          <w:lang w:val="en-US" w:eastAsia="zh-CN"/>
        </w:rPr>
      </w:pPr>
      <w:r>
        <w:rPr>
          <w:rFonts w:hint="eastAsia"/>
          <w:color w:val="auto"/>
          <w:highlight w:val="none"/>
          <w:lang w:val="en-US" w:eastAsia="zh-CN"/>
        </w:rPr>
        <w:br w:type="page"/>
      </w:r>
    </w:p>
    <w:p>
      <w:pPr>
        <w:pStyle w:val="26"/>
        <w:bidi w:val="0"/>
        <w:outlineLvl w:val="0"/>
        <w:rPr>
          <w:color w:val="auto"/>
          <w:highlight w:val="none"/>
        </w:rPr>
      </w:pPr>
      <w:bookmarkStart w:id="275" w:name="_Toc566321563"/>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其他详细评审资料</w:t>
      </w:r>
      <w:bookmarkEnd w:id="275"/>
      <w:r>
        <w:rPr>
          <w:rFonts w:hint="eastAsia"/>
          <w:color w:val="auto"/>
          <w:highlight w:val="none"/>
          <w:lang w:val="en-US" w:eastAsia="zh-CN"/>
        </w:rPr>
        <w:t>（如有）</w:t>
      </w:r>
    </w:p>
    <w:p>
      <w:pPr>
        <w:spacing w:line="600" w:lineRule="exact"/>
        <w:ind w:firstLine="0" w:firstLineChars="0"/>
        <w:jc w:val="center"/>
        <w:outlineLvl w:val="1"/>
        <w:rPr>
          <w:rFonts w:hint="eastAsia" w:ascii="Cambria Math" w:hAnsi="Cambria Math" w:eastAsia="宋体" w:cs="Cambria Math"/>
          <w:color w:val="auto"/>
          <w:highlight w:val="none"/>
          <w:lang w:eastAsia="zh-CN"/>
        </w:rPr>
      </w:pPr>
      <w:r>
        <w:rPr>
          <w:rFonts w:hint="eastAsia" w:eastAsia="宋体"/>
          <w:color w:val="auto"/>
          <w:highlight w:val="none"/>
          <w:lang w:eastAsia="zh-CN"/>
        </w:rPr>
        <w:t>（</w:t>
      </w:r>
      <w:r>
        <w:rPr>
          <w:rFonts w:hint="eastAsia" w:eastAsia="宋体"/>
          <w:color w:val="auto"/>
          <w:highlight w:val="none"/>
          <w:lang w:val="en-US" w:eastAsia="zh-CN"/>
        </w:rPr>
        <w:t>一</w:t>
      </w:r>
      <w:r>
        <w:rPr>
          <w:rFonts w:hint="eastAsia" w:eastAsia="宋体"/>
          <w:color w:val="auto"/>
          <w:highlight w:val="none"/>
          <w:lang w:eastAsia="zh-CN"/>
        </w:rPr>
        <w:t>）项目经理经验</w:t>
      </w:r>
      <w:r>
        <w:rPr>
          <w:rFonts w:hint="eastAsia" w:ascii="Cambria Math" w:hAnsi="Cambria Math" w:eastAsia="宋体" w:cs="Cambria Math"/>
          <w:color w:val="auto"/>
          <w:highlight w:val="none"/>
          <w:lang w:eastAsia="zh-CN"/>
        </w:rPr>
        <w:t>相关证明资料</w:t>
      </w:r>
    </w:p>
    <w:p>
      <w:pPr>
        <w:spacing w:line="240" w:lineRule="auto"/>
        <w:ind w:firstLine="0"/>
        <w:outlineLvl w:val="9"/>
        <w:rPr>
          <w:rFonts w:hint="eastAsia" w:ascii="Cambria Math" w:hAnsi="Cambria Math" w:eastAsia="宋体" w:cs="Cambria Math"/>
          <w:color w:val="auto"/>
          <w:highlight w:val="none"/>
          <w:lang w:eastAsia="zh-CN"/>
        </w:rPr>
      </w:pPr>
      <w:r>
        <w:rPr>
          <w:rFonts w:hint="eastAsia" w:ascii="Cambria Math" w:hAnsi="Cambria Math" w:eastAsia="宋体" w:cs="Cambria Math"/>
          <w:color w:val="auto"/>
          <w:highlight w:val="none"/>
          <w:lang w:eastAsia="zh-CN"/>
        </w:rPr>
        <w:br w:type="page"/>
      </w:r>
    </w:p>
    <w:p>
      <w:pPr>
        <w:spacing w:line="600" w:lineRule="exact"/>
        <w:ind w:firstLine="0" w:firstLineChars="0"/>
        <w:jc w:val="center"/>
        <w:outlineLvl w:val="1"/>
        <w:rPr>
          <w:rFonts w:hint="eastAsia" w:ascii="Cambria Math" w:hAnsi="Cambria Math" w:eastAsia="宋体" w:cs="Cambria Math"/>
          <w:color w:val="auto"/>
          <w:highlight w:val="none"/>
          <w:lang w:eastAsia="zh-CN"/>
        </w:rPr>
      </w:pPr>
      <w:r>
        <w:rPr>
          <w:rFonts w:hint="eastAsia" w:ascii="Cambria Math" w:hAnsi="Cambria Math" w:eastAsia="宋体" w:cs="Cambria Math"/>
          <w:color w:val="auto"/>
          <w:highlight w:val="none"/>
          <w:lang w:eastAsia="zh-CN"/>
        </w:rPr>
        <w:t>（</w:t>
      </w:r>
      <w:r>
        <w:rPr>
          <w:rFonts w:hint="eastAsia" w:ascii="Cambria Math" w:hAnsi="Cambria Math" w:eastAsia="宋体" w:cs="Cambria Math"/>
          <w:color w:val="auto"/>
          <w:highlight w:val="none"/>
          <w:lang w:val="en-US" w:eastAsia="zh-CN"/>
        </w:rPr>
        <w:t>二</w:t>
      </w:r>
      <w:r>
        <w:rPr>
          <w:rFonts w:hint="eastAsia" w:ascii="Cambria Math" w:hAnsi="Cambria Math" w:eastAsia="宋体" w:cs="Cambria Math"/>
          <w:color w:val="auto"/>
          <w:highlight w:val="none"/>
          <w:lang w:eastAsia="zh-CN"/>
        </w:rPr>
        <w:t>）项目实施团队经验相关证明资料</w:t>
      </w:r>
    </w:p>
    <w:p>
      <w:pPr>
        <w:spacing w:line="240" w:lineRule="auto"/>
        <w:ind w:firstLine="0"/>
        <w:outlineLvl w:val="9"/>
        <w:rPr>
          <w:rFonts w:hint="eastAsia" w:ascii="Cambria Math" w:hAnsi="Cambria Math" w:eastAsia="宋体" w:cs="Cambria Math"/>
          <w:color w:val="auto"/>
          <w:highlight w:val="none"/>
          <w:lang w:eastAsia="zh-CN"/>
        </w:rPr>
      </w:pPr>
      <w:r>
        <w:rPr>
          <w:rFonts w:hint="eastAsia" w:ascii="Cambria Math" w:hAnsi="Cambria Math" w:eastAsia="宋体" w:cs="Cambria Math"/>
          <w:color w:val="auto"/>
          <w:highlight w:val="none"/>
          <w:lang w:eastAsia="zh-CN"/>
        </w:rPr>
        <w:br w:type="page"/>
      </w:r>
    </w:p>
    <w:p>
      <w:pPr>
        <w:spacing w:line="600" w:lineRule="exact"/>
        <w:ind w:firstLine="0" w:firstLineChars="0"/>
        <w:jc w:val="center"/>
        <w:outlineLvl w:val="1"/>
        <w:rPr>
          <w:rFonts w:hint="eastAsia" w:ascii="Cambria Math" w:hAnsi="Cambria Math" w:eastAsia="宋体" w:cs="Cambria Math"/>
          <w:color w:val="auto"/>
          <w:highlight w:val="none"/>
          <w:lang w:val="en-US" w:eastAsia="zh-CN"/>
        </w:rPr>
      </w:pPr>
      <w:r>
        <w:rPr>
          <w:rFonts w:hint="eastAsia" w:ascii="Cambria Math" w:hAnsi="Cambria Math" w:eastAsia="宋体" w:cs="Cambria Math"/>
          <w:color w:val="auto"/>
          <w:highlight w:val="none"/>
          <w:lang w:eastAsia="zh-CN"/>
        </w:rPr>
        <w:t>（</w:t>
      </w:r>
      <w:r>
        <w:rPr>
          <w:rFonts w:hint="eastAsia" w:ascii="Cambria Math" w:hAnsi="Cambria Math" w:eastAsia="宋体" w:cs="Cambria Math"/>
          <w:color w:val="auto"/>
          <w:highlight w:val="none"/>
          <w:lang w:val="en-US" w:eastAsia="zh-CN"/>
        </w:rPr>
        <w:t>三</w:t>
      </w:r>
      <w:r>
        <w:rPr>
          <w:rFonts w:hint="eastAsia" w:ascii="Cambria Math" w:hAnsi="Cambria Math" w:eastAsia="宋体" w:cs="Cambria Math"/>
          <w:color w:val="auto"/>
          <w:highlight w:val="none"/>
          <w:lang w:eastAsia="zh-CN"/>
        </w:rPr>
        <w:t>）</w:t>
      </w:r>
      <w:r>
        <w:rPr>
          <w:rFonts w:hint="eastAsia" w:ascii="Cambria Math" w:hAnsi="Cambria Math" w:eastAsia="宋体" w:cs="Cambria Math"/>
          <w:color w:val="auto"/>
          <w:highlight w:val="none"/>
          <w:lang w:val="en-US" w:eastAsia="zh-CN"/>
        </w:rPr>
        <w:t>实施案例相关证明资料</w:t>
      </w:r>
    </w:p>
    <w:p>
      <w:pPr>
        <w:spacing w:line="240" w:lineRule="auto"/>
        <w:ind w:firstLine="0"/>
        <w:outlineLvl w:val="9"/>
        <w:rPr>
          <w:rFonts w:hint="eastAsia" w:ascii="Cambria Math" w:hAnsi="Cambria Math" w:eastAsia="宋体" w:cs="Cambria Math"/>
          <w:color w:val="auto"/>
          <w:highlight w:val="none"/>
          <w:lang w:eastAsia="zh-CN"/>
        </w:rPr>
      </w:pPr>
      <w:r>
        <w:rPr>
          <w:rFonts w:hint="eastAsia" w:ascii="Cambria Math" w:hAnsi="Cambria Math" w:eastAsia="宋体" w:cs="Cambria Math"/>
          <w:color w:val="auto"/>
          <w:highlight w:val="none"/>
          <w:lang w:eastAsia="zh-CN"/>
        </w:rPr>
        <w:br w:type="page"/>
      </w:r>
    </w:p>
    <w:p>
      <w:pPr>
        <w:keepNext w:val="0"/>
        <w:keepLines w:val="0"/>
        <w:pageBreakBefore w:val="0"/>
        <w:widowControl w:val="0"/>
        <w:kinsoku/>
        <w:wordWrap/>
        <w:overflowPunct/>
        <w:topLinePunct w:val="0"/>
        <w:autoSpaceDE w:val="0"/>
        <w:autoSpaceDN w:val="0"/>
        <w:bidi w:val="0"/>
        <w:adjustRightInd/>
        <w:snapToGrid/>
        <w:spacing w:line="600" w:lineRule="exact"/>
        <w:ind w:firstLine="0" w:firstLineChars="0"/>
        <w:jc w:val="center"/>
        <w:textAlignment w:val="auto"/>
        <w:outlineLvl w:val="0"/>
        <w:rPr>
          <w:rFonts w:hint="default"/>
          <w:color w:val="auto"/>
          <w:highlight w:val="none"/>
          <w:lang w:val="en-US" w:eastAsia="zh-CN"/>
        </w:rPr>
      </w:pPr>
      <w:r>
        <w:rPr>
          <w:rFonts w:hint="eastAsia"/>
          <w:color w:val="auto"/>
          <w:highlight w:val="none"/>
          <w:lang w:val="en-US" w:eastAsia="zh-CN"/>
        </w:rPr>
        <w:t>六、其他（如有）</w:t>
      </w:r>
    </w:p>
    <w:p>
      <w:pPr>
        <w:spacing w:line="600" w:lineRule="exact"/>
        <w:ind w:firstLine="0" w:firstLineChars="0"/>
        <w:jc w:val="center"/>
        <w:outlineLvl w:val="9"/>
        <w:rPr>
          <w:rFonts w:hint="eastAsia" w:ascii="Cambria Math" w:hAnsi="Cambria Math" w:eastAsia="宋体" w:cs="Cambria Math"/>
          <w:color w:val="auto"/>
          <w:highlight w:val="none"/>
          <w:lang w:val="en-US" w:eastAsia="zh-CN"/>
        </w:rPr>
      </w:pPr>
    </w:p>
    <w:p>
      <w:pPr>
        <w:ind w:firstLine="0" w:firstLineChars="0"/>
        <w:outlineLvl w:val="9"/>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C65FF"/>
    <w:multiLevelType w:val="singleLevel"/>
    <w:tmpl w:val="9E0C65FF"/>
    <w:lvl w:ilvl="0" w:tentative="0">
      <w:start w:val="1"/>
      <w:numFmt w:val="decimal"/>
      <w:lvlText w:val="(%1)"/>
      <w:lvlJc w:val="left"/>
      <w:pPr>
        <w:tabs>
          <w:tab w:val="left" w:pos="312"/>
        </w:tabs>
      </w:pPr>
    </w:lvl>
  </w:abstractNum>
  <w:abstractNum w:abstractNumId="1">
    <w:nsid w:val="F8E14186"/>
    <w:multiLevelType w:val="singleLevel"/>
    <w:tmpl w:val="F8E1418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C92D0B"/>
    <w:rsid w:val="00013FDB"/>
    <w:rsid w:val="0004013A"/>
    <w:rsid w:val="00B05351"/>
    <w:rsid w:val="00C92D0B"/>
    <w:rsid w:val="00CD1A92"/>
    <w:rsid w:val="01FF5632"/>
    <w:rsid w:val="02323A53"/>
    <w:rsid w:val="027BFF40"/>
    <w:rsid w:val="039F3FE8"/>
    <w:rsid w:val="04322DF1"/>
    <w:rsid w:val="05151950"/>
    <w:rsid w:val="05D705E1"/>
    <w:rsid w:val="070E5869"/>
    <w:rsid w:val="071A2D33"/>
    <w:rsid w:val="08502518"/>
    <w:rsid w:val="08953251"/>
    <w:rsid w:val="08F5187C"/>
    <w:rsid w:val="097500AB"/>
    <w:rsid w:val="098A626F"/>
    <w:rsid w:val="098D7D07"/>
    <w:rsid w:val="09D65B51"/>
    <w:rsid w:val="0A0F696E"/>
    <w:rsid w:val="0A361FFB"/>
    <w:rsid w:val="0A8F2284"/>
    <w:rsid w:val="0BAC16A4"/>
    <w:rsid w:val="0BE01BDD"/>
    <w:rsid w:val="0C6620D4"/>
    <w:rsid w:val="0C9C64B3"/>
    <w:rsid w:val="0D8600A1"/>
    <w:rsid w:val="0DC65BD3"/>
    <w:rsid w:val="0EFB1269"/>
    <w:rsid w:val="0F0104EA"/>
    <w:rsid w:val="0FD85A54"/>
    <w:rsid w:val="1106526A"/>
    <w:rsid w:val="129D1042"/>
    <w:rsid w:val="12DA0C7B"/>
    <w:rsid w:val="134A09A8"/>
    <w:rsid w:val="13AEFF23"/>
    <w:rsid w:val="14151B4C"/>
    <w:rsid w:val="162A332D"/>
    <w:rsid w:val="16D65894"/>
    <w:rsid w:val="16DA0303"/>
    <w:rsid w:val="16E01DBD"/>
    <w:rsid w:val="179F0F83"/>
    <w:rsid w:val="190E24E6"/>
    <w:rsid w:val="19570AB5"/>
    <w:rsid w:val="1A815081"/>
    <w:rsid w:val="1AC403A4"/>
    <w:rsid w:val="1ADC6D40"/>
    <w:rsid w:val="1B4346C9"/>
    <w:rsid w:val="1B780A11"/>
    <w:rsid w:val="1C02221F"/>
    <w:rsid w:val="1C623CFF"/>
    <w:rsid w:val="1D732799"/>
    <w:rsid w:val="1DA907B4"/>
    <w:rsid w:val="1FB913FE"/>
    <w:rsid w:val="1FED61F0"/>
    <w:rsid w:val="20E73EFA"/>
    <w:rsid w:val="224054F9"/>
    <w:rsid w:val="2329689A"/>
    <w:rsid w:val="23556BE4"/>
    <w:rsid w:val="287C121A"/>
    <w:rsid w:val="29D70DB5"/>
    <w:rsid w:val="29E4746D"/>
    <w:rsid w:val="2AA92FF9"/>
    <w:rsid w:val="2AB93729"/>
    <w:rsid w:val="2B993BF7"/>
    <w:rsid w:val="2BB27B17"/>
    <w:rsid w:val="2BF070F5"/>
    <w:rsid w:val="2C531B32"/>
    <w:rsid w:val="2C642975"/>
    <w:rsid w:val="2DEB17F7"/>
    <w:rsid w:val="2F1471D4"/>
    <w:rsid w:val="2F527179"/>
    <w:rsid w:val="2F7E193F"/>
    <w:rsid w:val="2FD7D171"/>
    <w:rsid w:val="30AE2EE4"/>
    <w:rsid w:val="31D77103"/>
    <w:rsid w:val="348C6C89"/>
    <w:rsid w:val="350D3128"/>
    <w:rsid w:val="37510559"/>
    <w:rsid w:val="37690673"/>
    <w:rsid w:val="37A93866"/>
    <w:rsid w:val="38426314"/>
    <w:rsid w:val="38493695"/>
    <w:rsid w:val="39407BF9"/>
    <w:rsid w:val="3A063D74"/>
    <w:rsid w:val="3AA5093D"/>
    <w:rsid w:val="3AC71C2B"/>
    <w:rsid w:val="3AEE244B"/>
    <w:rsid w:val="3CF90C34"/>
    <w:rsid w:val="3D4B6974"/>
    <w:rsid w:val="3D6DB1CD"/>
    <w:rsid w:val="3D7C1985"/>
    <w:rsid w:val="3D8E770A"/>
    <w:rsid w:val="3DEC888A"/>
    <w:rsid w:val="3DF5A8AE"/>
    <w:rsid w:val="3E6350CC"/>
    <w:rsid w:val="3E79530C"/>
    <w:rsid w:val="3ECEE8FE"/>
    <w:rsid w:val="3ECF77F9"/>
    <w:rsid w:val="3F245E2F"/>
    <w:rsid w:val="402F4DFA"/>
    <w:rsid w:val="403D2B15"/>
    <w:rsid w:val="41C32FD6"/>
    <w:rsid w:val="41D774D7"/>
    <w:rsid w:val="42923EA5"/>
    <w:rsid w:val="44191BBB"/>
    <w:rsid w:val="458A4B1F"/>
    <w:rsid w:val="45CE2DED"/>
    <w:rsid w:val="47B009B8"/>
    <w:rsid w:val="4816413E"/>
    <w:rsid w:val="489F2FD7"/>
    <w:rsid w:val="48C77A88"/>
    <w:rsid w:val="48CC1B76"/>
    <w:rsid w:val="4A982885"/>
    <w:rsid w:val="4AB47DCD"/>
    <w:rsid w:val="4BFA012E"/>
    <w:rsid w:val="4E964534"/>
    <w:rsid w:val="4FF33A72"/>
    <w:rsid w:val="504D7229"/>
    <w:rsid w:val="506A2FA6"/>
    <w:rsid w:val="50D83B19"/>
    <w:rsid w:val="52402F8A"/>
    <w:rsid w:val="524952A9"/>
    <w:rsid w:val="5264103C"/>
    <w:rsid w:val="53425138"/>
    <w:rsid w:val="535D7D17"/>
    <w:rsid w:val="537F5EDF"/>
    <w:rsid w:val="54702F00"/>
    <w:rsid w:val="556146D9"/>
    <w:rsid w:val="55E623F7"/>
    <w:rsid w:val="56C22635"/>
    <w:rsid w:val="573A3C7D"/>
    <w:rsid w:val="590548CC"/>
    <w:rsid w:val="593413F8"/>
    <w:rsid w:val="5B0830A3"/>
    <w:rsid w:val="5CC15DC4"/>
    <w:rsid w:val="5D6B78E6"/>
    <w:rsid w:val="5DB00812"/>
    <w:rsid w:val="5FDF5D89"/>
    <w:rsid w:val="60D06280"/>
    <w:rsid w:val="61D33991"/>
    <w:rsid w:val="62612C54"/>
    <w:rsid w:val="62A42563"/>
    <w:rsid w:val="62CC7591"/>
    <w:rsid w:val="62E56CFD"/>
    <w:rsid w:val="632B625F"/>
    <w:rsid w:val="63350368"/>
    <w:rsid w:val="63C26A48"/>
    <w:rsid w:val="64682077"/>
    <w:rsid w:val="64875BAE"/>
    <w:rsid w:val="64B3271F"/>
    <w:rsid w:val="64E7C1D2"/>
    <w:rsid w:val="64F23691"/>
    <w:rsid w:val="672F00C0"/>
    <w:rsid w:val="67984DA6"/>
    <w:rsid w:val="67FD7F8B"/>
    <w:rsid w:val="684E2249"/>
    <w:rsid w:val="68550B65"/>
    <w:rsid w:val="68CD0683"/>
    <w:rsid w:val="696D1EDE"/>
    <w:rsid w:val="6AA945AE"/>
    <w:rsid w:val="6ADC548C"/>
    <w:rsid w:val="6B574143"/>
    <w:rsid w:val="6CD706BF"/>
    <w:rsid w:val="6D722515"/>
    <w:rsid w:val="6DEB03D8"/>
    <w:rsid w:val="6E7DAF61"/>
    <w:rsid w:val="6EF9E3E4"/>
    <w:rsid w:val="6F884AF7"/>
    <w:rsid w:val="6FDF7997"/>
    <w:rsid w:val="6FEFB6B5"/>
    <w:rsid w:val="70960D72"/>
    <w:rsid w:val="71381023"/>
    <w:rsid w:val="7173590B"/>
    <w:rsid w:val="727576DB"/>
    <w:rsid w:val="72760791"/>
    <w:rsid w:val="74081181"/>
    <w:rsid w:val="740D5D2E"/>
    <w:rsid w:val="75200194"/>
    <w:rsid w:val="752A26BF"/>
    <w:rsid w:val="755F7D8C"/>
    <w:rsid w:val="762961F2"/>
    <w:rsid w:val="767025C5"/>
    <w:rsid w:val="76F38651"/>
    <w:rsid w:val="779DA64E"/>
    <w:rsid w:val="77AFB288"/>
    <w:rsid w:val="77B71B47"/>
    <w:rsid w:val="788A2AAC"/>
    <w:rsid w:val="78F54622"/>
    <w:rsid w:val="79296062"/>
    <w:rsid w:val="79D54B12"/>
    <w:rsid w:val="7A9E122A"/>
    <w:rsid w:val="7AC43A49"/>
    <w:rsid w:val="7C3772AB"/>
    <w:rsid w:val="7CFF26DC"/>
    <w:rsid w:val="7D6D760A"/>
    <w:rsid w:val="7D7EAE57"/>
    <w:rsid w:val="7DFB86CA"/>
    <w:rsid w:val="7E7D38F1"/>
    <w:rsid w:val="7EEB88E8"/>
    <w:rsid w:val="7EFD1676"/>
    <w:rsid w:val="7F0C64B0"/>
    <w:rsid w:val="7F4E0887"/>
    <w:rsid w:val="7F6B5EBD"/>
    <w:rsid w:val="7F6E7878"/>
    <w:rsid w:val="7FDF2DAB"/>
    <w:rsid w:val="7FDFD8E7"/>
    <w:rsid w:val="7FFBD54E"/>
    <w:rsid w:val="7FFE1368"/>
    <w:rsid w:val="8AFF9C22"/>
    <w:rsid w:val="8FFD8D62"/>
    <w:rsid w:val="9EF6D271"/>
    <w:rsid w:val="9F791906"/>
    <w:rsid w:val="9FFF1925"/>
    <w:rsid w:val="AED76544"/>
    <w:rsid w:val="BB7882EE"/>
    <w:rsid w:val="BCFF8809"/>
    <w:rsid w:val="BD5F5251"/>
    <w:rsid w:val="BE75AE6E"/>
    <w:rsid w:val="BF7D8320"/>
    <w:rsid w:val="BFBDE546"/>
    <w:rsid w:val="BFBE021F"/>
    <w:rsid w:val="BFCF6B73"/>
    <w:rsid w:val="CE5C741F"/>
    <w:rsid w:val="DC7B3B57"/>
    <w:rsid w:val="DCFB3594"/>
    <w:rsid w:val="DDEFAE75"/>
    <w:rsid w:val="DEFB4ECB"/>
    <w:rsid w:val="E6FFA9A0"/>
    <w:rsid w:val="EFF11AED"/>
    <w:rsid w:val="F27C7FA4"/>
    <w:rsid w:val="F344E9D2"/>
    <w:rsid w:val="F6D9A8A1"/>
    <w:rsid w:val="F7BF9829"/>
    <w:rsid w:val="F7FAA402"/>
    <w:rsid w:val="F9BF53E6"/>
    <w:rsid w:val="F9E57B27"/>
    <w:rsid w:val="F9EFBFDC"/>
    <w:rsid w:val="F9F2BF30"/>
    <w:rsid w:val="FABE80FD"/>
    <w:rsid w:val="FBAE59B2"/>
    <w:rsid w:val="FBEB3F99"/>
    <w:rsid w:val="FBFFBFCA"/>
    <w:rsid w:val="FDF21BC3"/>
    <w:rsid w:val="FECFECC6"/>
    <w:rsid w:val="FEF111F4"/>
    <w:rsid w:val="FF56CF1E"/>
    <w:rsid w:val="FF6FE696"/>
    <w:rsid w:val="FFCE9387"/>
    <w:rsid w:val="FFFFC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3">
    <w:name w:val="heading 1"/>
    <w:basedOn w:val="1"/>
    <w:next w:val="1"/>
    <w:link w:val="21"/>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4">
    <w:name w:val="heading 2"/>
    <w:basedOn w:val="1"/>
    <w:next w:val="1"/>
    <w:link w:val="22"/>
    <w:unhideWhenUsed/>
    <w:qFormat/>
    <w:uiPriority w:val="9"/>
    <w:pPr>
      <w:ind w:firstLine="0" w:firstLineChars="0"/>
      <w:outlineLvl w:val="1"/>
    </w:pPr>
    <w:rPr>
      <w:rFonts w:ascii="宋体" w:hAnsi="宋体" w:cstheme="majorBidi"/>
      <w:b/>
      <w:bCs/>
      <w:snapToGrid w:val="0"/>
      <w:szCs w:val="24"/>
    </w:rPr>
  </w:style>
  <w:style w:type="paragraph" w:styleId="5">
    <w:name w:val="heading 3"/>
    <w:basedOn w:val="1"/>
    <w:next w:val="1"/>
    <w:link w:val="23"/>
    <w:unhideWhenUsed/>
    <w:qFormat/>
    <w:uiPriority w:val="9"/>
    <w:pPr>
      <w:outlineLvl w:val="2"/>
    </w:pPr>
    <w:rPr>
      <w:b/>
      <w:bCs/>
      <w:szCs w:val="32"/>
    </w:rPr>
  </w:style>
  <w:style w:type="paragraph" w:styleId="6">
    <w:name w:val="heading 4"/>
    <w:basedOn w:val="1"/>
    <w:next w:val="1"/>
    <w:link w:val="20"/>
    <w:qFormat/>
    <w:uiPriority w:val="0"/>
    <w:pPr>
      <w:outlineLvl w:val="3"/>
    </w:pPr>
    <w:rPr>
      <w:rFonts w:ascii="Calibri Light" w:hAnsi="Calibri Light" w:cs="Times New Roman"/>
      <w:bCs/>
      <w:szCs w:val="28"/>
    </w:rPr>
  </w:style>
  <w:style w:type="paragraph" w:styleId="7">
    <w:name w:val="heading 5"/>
    <w:basedOn w:val="1"/>
    <w:next w:val="1"/>
    <w:link w:val="37"/>
    <w:unhideWhenUsed/>
    <w:qFormat/>
    <w:uiPriority w:val="0"/>
    <w:pPr>
      <w:spacing w:line="360" w:lineRule="auto"/>
      <w:ind w:firstLine="0" w:firstLineChars="0"/>
      <w:jc w:val="center"/>
      <w:outlineLvl w:val="4"/>
    </w:pPr>
    <w:rPr>
      <w:b/>
      <w:sz w:val="28"/>
    </w:rPr>
  </w:style>
  <w:style w:type="paragraph" w:styleId="8">
    <w:name w:val="heading 6"/>
    <w:basedOn w:val="1"/>
    <w:next w:val="1"/>
    <w:unhideWhenUsed/>
    <w:qFormat/>
    <w:uiPriority w:val="0"/>
    <w:pPr>
      <w:keepNext/>
      <w:keepLines/>
      <w:spacing w:before="240" w:after="64" w:line="317" w:lineRule="auto"/>
      <w:outlineLvl w:val="5"/>
    </w:pPr>
    <w:rPr>
      <w:rFonts w:ascii="Arial" w:hAnsi="Arial" w:eastAsia="黑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before="100" w:beforeAutospacing="1" w:after="120"/>
    </w:pPr>
  </w:style>
  <w:style w:type="paragraph" w:styleId="9">
    <w:name w:val="annotation text"/>
    <w:basedOn w:val="1"/>
    <w:next w:val="10"/>
    <w:qFormat/>
    <w:uiPriority w:val="0"/>
    <w:pPr>
      <w:jc w:val="left"/>
    </w:pPr>
  </w:style>
  <w:style w:type="paragraph" w:styleId="10">
    <w:name w:val="toc 1"/>
    <w:basedOn w:val="1"/>
    <w:next w:val="1"/>
    <w:qFormat/>
    <w:uiPriority w:val="0"/>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Subtitle"/>
    <w:basedOn w:val="1"/>
    <w:qFormat/>
    <w:uiPriority w:val="0"/>
    <w:pPr>
      <w:spacing w:before="240" w:after="60" w:line="312" w:lineRule="auto"/>
      <w:jc w:val="center"/>
      <w:outlineLvl w:val="1"/>
    </w:pPr>
    <w:rPr>
      <w:rFonts w:ascii="Arial" w:hAnsi="Arial"/>
      <w:b/>
      <w:kern w:val="28"/>
      <w:sz w:val="32"/>
    </w:rPr>
  </w:style>
  <w:style w:type="paragraph" w:styleId="14">
    <w:name w:val="index 7"/>
    <w:basedOn w:val="1"/>
    <w:next w:val="1"/>
    <w:qFormat/>
    <w:uiPriority w:val="0"/>
    <w:pPr>
      <w:ind w:left="252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annotation reference"/>
    <w:basedOn w:val="17"/>
    <w:qFormat/>
    <w:uiPriority w:val="0"/>
    <w:rPr>
      <w:sz w:val="21"/>
      <w:szCs w:val="21"/>
    </w:rPr>
  </w:style>
  <w:style w:type="character" w:customStyle="1" w:styleId="20">
    <w:name w:val="标题 4 字符"/>
    <w:link w:val="6"/>
    <w:qFormat/>
    <w:uiPriority w:val="0"/>
    <w:rPr>
      <w:rFonts w:ascii="Calibri Light" w:hAnsi="Calibri Light" w:eastAsia="宋体" w:cs="Times New Roman"/>
      <w:bCs/>
      <w:szCs w:val="28"/>
    </w:rPr>
  </w:style>
  <w:style w:type="character" w:customStyle="1" w:styleId="21">
    <w:name w:val="标题 1 字符"/>
    <w:basedOn w:val="17"/>
    <w:link w:val="3"/>
    <w:qFormat/>
    <w:uiPriority w:val="0"/>
    <w:rPr>
      <w:rFonts w:ascii="宋体" w:hAnsi="宋体" w:eastAsia="宋体" w:cs="等线 Light"/>
      <w:b/>
      <w:snapToGrid w:val="0"/>
      <w:kern w:val="0"/>
      <w:sz w:val="44"/>
      <w:szCs w:val="44"/>
    </w:rPr>
  </w:style>
  <w:style w:type="character" w:customStyle="1" w:styleId="22">
    <w:name w:val="标题 2 字符"/>
    <w:basedOn w:val="17"/>
    <w:link w:val="4"/>
    <w:qFormat/>
    <w:uiPriority w:val="9"/>
    <w:rPr>
      <w:rFonts w:ascii="宋体" w:hAnsi="宋体" w:cstheme="majorBidi"/>
      <w:b/>
      <w:bCs/>
      <w:snapToGrid w:val="0"/>
      <w:szCs w:val="24"/>
    </w:rPr>
  </w:style>
  <w:style w:type="character" w:customStyle="1" w:styleId="23">
    <w:name w:val="标题 3 字符"/>
    <w:basedOn w:val="17"/>
    <w:link w:val="5"/>
    <w:qFormat/>
    <w:uiPriority w:val="9"/>
    <w:rPr>
      <w:rFonts w:eastAsia="宋体"/>
      <w:b/>
      <w:bCs/>
      <w:sz w:val="24"/>
      <w:szCs w:val="32"/>
    </w:rPr>
  </w:style>
  <w:style w:type="table" w:customStyle="1" w:styleId="24">
    <w:name w:val="网格型5"/>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5 字符"/>
    <w:link w:val="7"/>
    <w:qFormat/>
    <w:uiPriority w:val="0"/>
    <w:rPr>
      <w:rFonts w:eastAsia="宋体"/>
      <w:b/>
      <w:sz w:val="28"/>
    </w:rPr>
  </w:style>
  <w:style w:type="paragraph" w:customStyle="1" w:styleId="26">
    <w:name w:val="参选文件格式1"/>
    <w:basedOn w:val="1"/>
    <w:next w:val="1"/>
    <w:link w:val="30"/>
    <w:qFormat/>
    <w:uiPriority w:val="0"/>
    <w:pPr>
      <w:spacing w:line="360" w:lineRule="auto"/>
      <w:ind w:firstLine="0" w:firstLineChars="0"/>
      <w:jc w:val="center"/>
      <w:outlineLvl w:val="1"/>
    </w:pPr>
    <w:rPr>
      <w:rFonts w:hint="eastAsia"/>
      <w:b/>
      <w:sz w:val="28"/>
    </w:rPr>
  </w:style>
  <w:style w:type="paragraph" w:customStyle="1" w:styleId="27">
    <w:name w:val="参选文件格式2"/>
    <w:basedOn w:val="1"/>
    <w:next w:val="1"/>
    <w:link w:val="31"/>
    <w:qFormat/>
    <w:uiPriority w:val="0"/>
    <w:pPr>
      <w:ind w:firstLine="0" w:firstLineChars="0"/>
      <w:jc w:val="center"/>
      <w:outlineLvl w:val="2"/>
    </w:pPr>
    <w:rPr>
      <w:bCs/>
      <w:szCs w:val="32"/>
    </w:rPr>
  </w:style>
  <w:style w:type="paragraph" w:customStyle="1" w:styleId="28">
    <w:name w:val="参选文件格式3"/>
    <w:basedOn w:val="1"/>
    <w:link w:val="29"/>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29">
    <w:name w:val="参选文件格式3 Char"/>
    <w:link w:val="28"/>
    <w:qFormat/>
    <w:uiPriority w:val="0"/>
    <w:rPr>
      <w:rFonts w:hint="eastAsia" w:ascii="宋体" w:hAnsi="宋体" w:eastAsia="宋体"/>
      <w:b/>
      <w:snapToGrid w:val="0"/>
      <w:kern w:val="0"/>
      <w:u w:val="none"/>
    </w:rPr>
  </w:style>
  <w:style w:type="character" w:customStyle="1" w:styleId="30">
    <w:name w:val="参选文件格式1 Char"/>
    <w:link w:val="26"/>
    <w:qFormat/>
    <w:uiPriority w:val="0"/>
    <w:rPr>
      <w:rFonts w:hint="eastAsia" w:eastAsia="宋体"/>
      <w:b/>
      <w:sz w:val="28"/>
    </w:rPr>
  </w:style>
  <w:style w:type="character" w:customStyle="1" w:styleId="31">
    <w:name w:val="参选文件格式2 Char"/>
    <w:link w:val="27"/>
    <w:qFormat/>
    <w:uiPriority w:val="0"/>
    <w:rPr>
      <w:rFonts w:eastAsia="宋体"/>
      <w:bCs/>
      <w:szCs w:val="32"/>
    </w:rPr>
  </w:style>
  <w:style w:type="character" w:customStyle="1" w:styleId="32">
    <w:name w:val="font11"/>
    <w:basedOn w:val="17"/>
    <w:qFormat/>
    <w:uiPriority w:val="0"/>
    <w:rPr>
      <w:rFonts w:hint="eastAsia" w:ascii="宋体" w:hAnsi="宋体" w:eastAsia="宋体" w:cs="宋体"/>
      <w:b/>
      <w:bCs/>
      <w:color w:val="000000"/>
      <w:sz w:val="21"/>
      <w:szCs w:val="21"/>
      <w:u w:val="none"/>
    </w:rPr>
  </w:style>
  <w:style w:type="character" w:customStyle="1" w:styleId="33">
    <w:name w:val="font21"/>
    <w:basedOn w:val="17"/>
    <w:qFormat/>
    <w:uiPriority w:val="0"/>
    <w:rPr>
      <w:rFonts w:hint="eastAsia" w:ascii="宋体" w:hAnsi="宋体" w:eastAsia="宋体" w:cs="宋体"/>
      <w:color w:val="000000"/>
      <w:sz w:val="21"/>
      <w:szCs w:val="21"/>
      <w:u w:val="none"/>
    </w:rPr>
  </w:style>
  <w:style w:type="character" w:customStyle="1" w:styleId="34">
    <w:name w:val="font31"/>
    <w:basedOn w:val="17"/>
    <w:qFormat/>
    <w:uiPriority w:val="0"/>
    <w:rPr>
      <w:rFonts w:hint="eastAsia" w:ascii="宋体" w:hAnsi="宋体" w:eastAsia="宋体" w:cs="宋体"/>
      <w:color w:val="FF0000"/>
      <w:sz w:val="21"/>
      <w:szCs w:val="21"/>
      <w:u w:val="none"/>
    </w:rPr>
  </w:style>
  <w:style w:type="paragraph" w:customStyle="1" w:styleId="35">
    <w:name w:val="Revision"/>
    <w:hidden/>
    <w:unhideWhenUsed/>
    <w:qFormat/>
    <w:uiPriority w:val="99"/>
    <w:rPr>
      <w:rFonts w:ascii="Cambria Math" w:hAnsi="Cambria Math" w:eastAsia="宋体" w:cs="Cambria Math"/>
      <w:kern w:val="2"/>
      <w:sz w:val="24"/>
      <w:lang w:val="en-US" w:eastAsia="zh-CN" w:bidi="ar-SA"/>
    </w:rPr>
  </w:style>
  <w:style w:type="paragraph" w:styleId="36">
    <w:name w:val="List Paragraph"/>
    <w:basedOn w:val="1"/>
    <w:qFormat/>
    <w:uiPriority w:val="34"/>
    <w:pPr>
      <w:ind w:firstLine="200" w:firstLineChars="200"/>
    </w:pPr>
  </w:style>
  <w:style w:type="character" w:customStyle="1" w:styleId="37">
    <w:name w:val="标题 5 Char"/>
    <w:link w:val="7"/>
    <w:qFormat/>
    <w:uiPriority w:val="0"/>
    <w:rPr>
      <w:rFonts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14649</Words>
  <Characters>15758</Characters>
  <Lines>172</Lines>
  <Paragraphs>48</Paragraphs>
  <TotalTime>6</TotalTime>
  <ScaleCrop>false</ScaleCrop>
  <LinksUpToDate>false</LinksUpToDate>
  <CharactersWithSpaces>16383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2024-01-23T14:16:00Z</dcterms:created>
  <dc:creator>admin</dc:creator>
  <cp:lastModifiedBy>交易中心-罗</cp:lastModifiedBy>
  <cp:lastPrinted>2024-01-26T17:29:00Z</cp:lastPrinted>
  <dcterms:modified xsi:type="dcterms:W3CDTF">2024-07-05T08:03:23Z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1B538BD5889A44538A28A3C4987A45F5_13</vt:lpwstr>
  </property>
</Properties>
</file>