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0B519">
      <w:pPr>
        <w:tabs>
          <w:tab w:val="center" w:pos="4201"/>
          <w:tab w:val="right" w:leader="dot" w:pos="9298"/>
        </w:tabs>
        <w:spacing w:line="360" w:lineRule="auto"/>
        <w:ind w:firstLine="0"/>
        <w:rPr>
          <w:rFonts w:ascii="Times New Roman" w:hAnsi="Times New Roman"/>
          <w:highlight w:val="none"/>
        </w:rPr>
      </w:pPr>
    </w:p>
    <w:p w14:paraId="175BFE80">
      <w:pPr>
        <w:spacing w:line="360" w:lineRule="auto"/>
        <w:ind w:firstLine="0"/>
        <w:rPr>
          <w:rFonts w:ascii="Times New Roman" w:hAnsi="Times New Roman" w:cs="Cambria"/>
          <w:b/>
          <w:snapToGrid w:val="0"/>
          <w:kern w:val="0"/>
          <w:sz w:val="52"/>
          <w:szCs w:val="84"/>
          <w:highlight w:val="none"/>
        </w:rPr>
      </w:pPr>
    </w:p>
    <w:p w14:paraId="2621599A">
      <w:pPr>
        <w:spacing w:line="360" w:lineRule="auto"/>
        <w:ind w:firstLine="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41F71EF5">
      <w:pPr>
        <w:spacing w:line="360" w:lineRule="auto"/>
        <w:ind w:firstLine="0"/>
        <w:jc w:val="center"/>
        <w:rPr>
          <w:rFonts w:ascii="Times New Roman" w:hAnsi="Times New Roman" w:cs="Times New Roman"/>
          <w:b/>
          <w:snapToGrid w:val="0"/>
          <w:kern w:val="0"/>
          <w:sz w:val="48"/>
          <w:szCs w:val="84"/>
          <w:highlight w:val="none"/>
        </w:rPr>
      </w:pPr>
      <w:r>
        <w:rPr>
          <w:rFonts w:ascii="Times New Roman" w:hAnsi="Times New Roman" w:cs="Times New Roman"/>
          <w:b/>
          <w:snapToGrid w:val="0"/>
          <w:kern w:val="0"/>
          <w:sz w:val="48"/>
          <w:szCs w:val="84"/>
          <w:highlight w:val="none"/>
        </w:rPr>
        <w:t>绿色金融管理系统</w:t>
      </w:r>
      <w:r>
        <w:rPr>
          <w:rFonts w:hint="eastAsia" w:ascii="Times New Roman" w:hAnsi="Times New Roman" w:cs="Times New Roman"/>
          <w:b/>
          <w:snapToGrid w:val="0"/>
          <w:kern w:val="0"/>
          <w:sz w:val="48"/>
          <w:szCs w:val="84"/>
          <w:highlight w:val="none"/>
        </w:rPr>
        <w:t>项目</w:t>
      </w:r>
    </w:p>
    <w:p w14:paraId="29B17C55">
      <w:pPr>
        <w:spacing w:line="360" w:lineRule="auto"/>
        <w:ind w:firstLine="0"/>
        <w:jc w:val="left"/>
        <w:rPr>
          <w:rFonts w:ascii="Times New Roman" w:hAnsi="Times New Roman" w:cs="Times New Roman"/>
          <w:snapToGrid w:val="0"/>
          <w:kern w:val="0"/>
          <w:sz w:val="18"/>
          <w:highlight w:val="none"/>
        </w:rPr>
      </w:pPr>
    </w:p>
    <w:p w14:paraId="33BDF4DE">
      <w:pPr>
        <w:spacing w:line="360" w:lineRule="auto"/>
        <w:ind w:firstLine="0"/>
        <w:jc w:val="left"/>
        <w:rPr>
          <w:rFonts w:ascii="Times New Roman" w:hAnsi="Times New Roman" w:cs="Times New Roman"/>
          <w:snapToGrid w:val="0"/>
          <w:kern w:val="0"/>
          <w:sz w:val="20"/>
          <w:highlight w:val="none"/>
        </w:rPr>
      </w:pPr>
    </w:p>
    <w:p w14:paraId="0BF677B4">
      <w:pPr>
        <w:spacing w:line="360" w:lineRule="auto"/>
        <w:ind w:firstLine="0"/>
        <w:jc w:val="left"/>
        <w:rPr>
          <w:rFonts w:ascii="Times New Roman" w:hAnsi="Times New Roman" w:cs="Times New Roman"/>
          <w:snapToGrid w:val="0"/>
          <w:kern w:val="0"/>
          <w:sz w:val="20"/>
          <w:highlight w:val="none"/>
        </w:rPr>
      </w:pPr>
    </w:p>
    <w:p w14:paraId="629565B2">
      <w:pPr>
        <w:spacing w:line="360" w:lineRule="auto"/>
        <w:ind w:firstLine="0"/>
        <w:jc w:val="left"/>
        <w:rPr>
          <w:rFonts w:ascii="Times New Roman" w:hAnsi="Times New Roman" w:cs="Times New Roman"/>
          <w:snapToGrid w:val="0"/>
          <w:kern w:val="0"/>
          <w:sz w:val="20"/>
          <w:highlight w:val="none"/>
        </w:rPr>
      </w:pPr>
    </w:p>
    <w:p w14:paraId="6EBDBE51">
      <w:pPr>
        <w:spacing w:line="360" w:lineRule="auto"/>
        <w:ind w:firstLine="0"/>
        <w:jc w:val="left"/>
        <w:rPr>
          <w:rFonts w:ascii="Times New Roman" w:hAnsi="Times New Roman" w:cs="Times New Roman"/>
          <w:snapToGrid w:val="0"/>
          <w:kern w:val="0"/>
          <w:sz w:val="20"/>
          <w:highlight w:val="none"/>
        </w:rPr>
      </w:pPr>
    </w:p>
    <w:p w14:paraId="2EB4E384">
      <w:pPr>
        <w:spacing w:line="360" w:lineRule="auto"/>
        <w:ind w:firstLine="0"/>
        <w:jc w:val="left"/>
        <w:rPr>
          <w:rFonts w:ascii="Times New Roman" w:hAnsi="Times New Roman" w:cs="Times New Roman"/>
          <w:snapToGrid w:val="0"/>
          <w:kern w:val="0"/>
          <w:sz w:val="20"/>
          <w:highlight w:val="none"/>
        </w:rPr>
      </w:pPr>
    </w:p>
    <w:p w14:paraId="592B58B2">
      <w:pPr>
        <w:spacing w:line="360" w:lineRule="auto"/>
        <w:ind w:firstLine="0"/>
        <w:jc w:val="left"/>
        <w:rPr>
          <w:rFonts w:ascii="Times New Roman" w:hAnsi="Times New Roman" w:cs="Times New Roman"/>
          <w:snapToGrid w:val="0"/>
          <w:kern w:val="0"/>
          <w:sz w:val="20"/>
          <w:highlight w:val="none"/>
        </w:rPr>
      </w:pPr>
    </w:p>
    <w:p w14:paraId="04E7D4ED">
      <w:pPr>
        <w:spacing w:line="360" w:lineRule="auto"/>
        <w:ind w:firstLine="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0C4C8FC2">
      <w:pPr>
        <w:spacing w:line="360" w:lineRule="auto"/>
        <w:ind w:firstLine="0"/>
        <w:jc w:val="center"/>
        <w:rPr>
          <w:rFonts w:ascii="Times New Roman" w:hAnsi="Times New Roman" w:cs="Times New Roman"/>
          <w:b/>
          <w:snapToGrid w:val="0"/>
          <w:kern w:val="0"/>
          <w:szCs w:val="28"/>
          <w:highlight w:val="none"/>
        </w:rPr>
      </w:pPr>
    </w:p>
    <w:p w14:paraId="18F9117F">
      <w:pPr>
        <w:spacing w:line="360" w:lineRule="auto"/>
        <w:ind w:firstLine="0"/>
        <w:jc w:val="center"/>
        <w:rPr>
          <w:rFonts w:ascii="Times New Roman" w:hAnsi="Times New Roman" w:cs="Times New Roman"/>
          <w:b/>
          <w:snapToGrid w:val="0"/>
          <w:kern w:val="0"/>
          <w:szCs w:val="28"/>
          <w:highlight w:val="none"/>
        </w:rPr>
      </w:pPr>
    </w:p>
    <w:p w14:paraId="28B49771">
      <w:pPr>
        <w:spacing w:line="360" w:lineRule="auto"/>
        <w:ind w:firstLine="0"/>
        <w:jc w:val="center"/>
        <w:rPr>
          <w:rFonts w:ascii="Times New Roman" w:hAnsi="Times New Roman" w:cs="Times New Roman"/>
          <w:b/>
          <w:snapToGrid w:val="0"/>
          <w:kern w:val="0"/>
          <w:szCs w:val="28"/>
          <w:highlight w:val="none"/>
        </w:rPr>
      </w:pPr>
    </w:p>
    <w:p w14:paraId="4881A4BD">
      <w:pPr>
        <w:ind w:firstLine="0"/>
        <w:rPr>
          <w:rFonts w:ascii="Times New Roman" w:hAnsi="Times New Roman"/>
          <w:highlight w:val="none"/>
        </w:rPr>
      </w:pPr>
    </w:p>
    <w:p w14:paraId="76EF2686">
      <w:pPr>
        <w:pStyle w:val="2"/>
        <w:rPr>
          <w:rFonts w:ascii="Times New Roman" w:hAnsi="Times New Roman"/>
          <w:highlight w:val="none"/>
        </w:rPr>
      </w:pPr>
    </w:p>
    <w:p w14:paraId="61F1B91D">
      <w:pPr>
        <w:rPr>
          <w:rFonts w:ascii="Times New Roman" w:hAnsi="Times New Roman"/>
          <w:highlight w:val="none"/>
        </w:rPr>
      </w:pPr>
    </w:p>
    <w:p w14:paraId="399CDE06">
      <w:pPr>
        <w:rPr>
          <w:rFonts w:ascii="Times New Roman" w:hAnsi="Times New Roman"/>
          <w:highlight w:val="no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FB83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1B03EBC">
            <w:pPr>
              <w:keepNext w:val="0"/>
              <w:keepLines w:val="0"/>
              <w:suppressLineNumbers w:val="0"/>
              <w:spacing w:before="0" w:beforeAutospacing="0" w:after="0" w:afterAutospacing="0" w:line="360" w:lineRule="auto"/>
              <w:ind w:left="0" w:right="0" w:firstLine="0"/>
              <w:jc w:val="distribute"/>
              <w:rPr>
                <w:rFonts w:hint="default"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61AD7510">
            <w:pPr>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74841C1E">
            <w:pPr>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36B9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C933A8A">
            <w:pPr>
              <w:keepNext w:val="0"/>
              <w:keepLines w:val="0"/>
              <w:suppressLineNumbers w:val="0"/>
              <w:spacing w:before="0" w:beforeAutospacing="0" w:after="0" w:afterAutospacing="0" w:line="360" w:lineRule="auto"/>
              <w:ind w:left="0" w:right="0" w:firstLine="0"/>
              <w:jc w:val="distribute"/>
              <w:rPr>
                <w:rFonts w:hint="default"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517E226F">
            <w:pPr>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 xml:space="preserve">2024 </w:t>
            </w:r>
            <w:r>
              <w:rPr>
                <w:rFonts w:hint="default"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rPr>
              <w:t xml:space="preserve"> </w:t>
            </w:r>
            <w:r>
              <w:rPr>
                <w:rFonts w:hint="eastAsia" w:ascii="Times New Roman" w:hAnsi="Times New Roman" w:cs="Times New Roman"/>
                <w:b/>
                <w:snapToGrid w:val="0"/>
                <w:kern w:val="0"/>
                <w:sz w:val="30"/>
                <w:szCs w:val="30"/>
                <w:highlight w:val="none"/>
                <w:lang w:val="en-US" w:eastAsia="zh-CN"/>
              </w:rPr>
              <w:t>7</w:t>
            </w:r>
            <w:r>
              <w:rPr>
                <w:rFonts w:hint="eastAsia" w:ascii="Times New Roman" w:hAnsi="Times New Roman" w:cs="Times New Roman"/>
                <w:b/>
                <w:snapToGrid w:val="0"/>
                <w:kern w:val="0"/>
                <w:sz w:val="30"/>
                <w:szCs w:val="30"/>
                <w:highlight w:val="none"/>
              </w:rPr>
              <w:t xml:space="preserve"> </w:t>
            </w:r>
            <w:r>
              <w:rPr>
                <w:rFonts w:hint="default"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394E4391">
            <w:pPr>
              <w:keepNext w:val="0"/>
              <w:keepLines w:val="0"/>
              <w:suppressLineNumbers w:val="0"/>
              <w:spacing w:before="0" w:beforeAutospacing="0" w:after="0" w:afterAutospacing="0"/>
              <w:ind w:left="0" w:right="0"/>
              <w:rPr>
                <w:rFonts w:hint="default"/>
                <w:highlight w:val="none"/>
              </w:rPr>
            </w:pPr>
          </w:p>
        </w:tc>
      </w:tr>
    </w:tbl>
    <w:p w14:paraId="3B336851">
      <w:pPr>
        <w:rPr>
          <w:rFonts w:ascii="Times New Roman" w:hAnsi="Times New Roman"/>
          <w:highlight w:val="none"/>
        </w:rPr>
      </w:pPr>
    </w:p>
    <w:p w14:paraId="6CCA9C44">
      <w:pPr>
        <w:rPr>
          <w:rFonts w:ascii="Times New Roman" w:hAnsi="Times New Roman"/>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37A43D02">
      <w:pPr>
        <w:snapToGrid w:val="0"/>
        <w:spacing w:line="360" w:lineRule="auto"/>
        <w:ind w:firstLine="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076078E3">
      <w:pPr>
        <w:pStyle w:val="14"/>
        <w:tabs>
          <w:tab w:val="right" w:leader="dot" w:pos="8306"/>
        </w:tabs>
        <w:rPr>
          <w:highlight w:val="none"/>
        </w:rPr>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_Toc776674190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w:t>
      </w:r>
      <w:bookmarkStart w:id="412" w:name="_GoBack"/>
      <w:bookmarkEnd w:id="412"/>
      <w:r>
        <w:rPr>
          <w:rFonts w:hint="eastAsia" w:ascii="Times New Roman" w:hAnsi="Times New Roman"/>
          <w:highlight w:val="none"/>
        </w:rPr>
        <w:t>选公告</w:t>
      </w:r>
      <w:r>
        <w:rPr>
          <w:highlight w:val="none"/>
        </w:rPr>
        <w:tab/>
      </w:r>
      <w:r>
        <w:rPr>
          <w:highlight w:val="none"/>
        </w:rPr>
        <w:fldChar w:fldCharType="begin"/>
      </w:r>
      <w:r>
        <w:rPr>
          <w:highlight w:val="none"/>
        </w:rPr>
        <w:instrText xml:space="preserve"> PAGEREF _Toc776674190 \h </w:instrText>
      </w:r>
      <w:r>
        <w:rPr>
          <w:highlight w:val="none"/>
        </w:rPr>
        <w:fldChar w:fldCharType="separate"/>
      </w:r>
      <w:r>
        <w:rPr>
          <w:highlight w:val="none"/>
        </w:rPr>
        <w:t>1</w:t>
      </w:r>
      <w:r>
        <w:rPr>
          <w:highlight w:val="none"/>
        </w:rPr>
        <w:fldChar w:fldCharType="end"/>
      </w:r>
      <w:r>
        <w:rPr>
          <w:rFonts w:ascii="Times New Roman" w:hAnsi="Times New Roman"/>
          <w:snapToGrid w:val="0"/>
          <w:kern w:val="0"/>
          <w:szCs w:val="24"/>
          <w:highlight w:val="none"/>
        </w:rPr>
        <w:fldChar w:fldCharType="end"/>
      </w:r>
    </w:p>
    <w:p w14:paraId="53A5B251">
      <w:pPr>
        <w:pStyle w:val="14"/>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_Toc1733116102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rPr>
          <w:highlight w:val="none"/>
        </w:rPr>
        <w:tab/>
      </w:r>
      <w:r>
        <w:rPr>
          <w:highlight w:val="none"/>
        </w:rPr>
        <w:fldChar w:fldCharType="begin"/>
      </w:r>
      <w:r>
        <w:rPr>
          <w:highlight w:val="none"/>
        </w:rPr>
        <w:instrText xml:space="preserve"> PAGEREF _Toc1733116102 \h </w:instrText>
      </w:r>
      <w:r>
        <w:rPr>
          <w:highlight w:val="none"/>
        </w:rPr>
        <w:fldChar w:fldCharType="separate"/>
      </w:r>
      <w:r>
        <w:rPr>
          <w:highlight w:val="none"/>
        </w:rPr>
        <w:t>5</w:t>
      </w:r>
      <w:r>
        <w:rPr>
          <w:highlight w:val="none"/>
        </w:rPr>
        <w:fldChar w:fldCharType="end"/>
      </w:r>
      <w:r>
        <w:rPr>
          <w:rFonts w:ascii="Times New Roman" w:hAnsi="Times New Roman"/>
          <w:snapToGrid w:val="0"/>
          <w:kern w:val="0"/>
          <w:szCs w:val="24"/>
          <w:highlight w:val="none"/>
        </w:rPr>
        <w:fldChar w:fldCharType="end"/>
      </w:r>
    </w:p>
    <w:p w14:paraId="00D7E9CE">
      <w:pPr>
        <w:pStyle w:val="14"/>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_Toc1222733292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rPr>
          <w:highlight w:val="none"/>
        </w:rPr>
        <w:tab/>
      </w:r>
      <w:r>
        <w:rPr>
          <w:highlight w:val="none"/>
        </w:rPr>
        <w:fldChar w:fldCharType="begin"/>
      </w:r>
      <w:r>
        <w:rPr>
          <w:highlight w:val="none"/>
        </w:rPr>
        <w:instrText xml:space="preserve"> PAGEREF _Toc1222733292 \h </w:instrText>
      </w:r>
      <w:r>
        <w:rPr>
          <w:highlight w:val="none"/>
        </w:rPr>
        <w:fldChar w:fldCharType="separate"/>
      </w:r>
      <w:r>
        <w:rPr>
          <w:highlight w:val="none"/>
        </w:rPr>
        <w:t>13</w:t>
      </w:r>
      <w:r>
        <w:rPr>
          <w:highlight w:val="none"/>
        </w:rPr>
        <w:fldChar w:fldCharType="end"/>
      </w:r>
      <w:r>
        <w:rPr>
          <w:rFonts w:ascii="Times New Roman" w:hAnsi="Times New Roman"/>
          <w:snapToGrid w:val="0"/>
          <w:kern w:val="0"/>
          <w:szCs w:val="24"/>
          <w:highlight w:val="none"/>
        </w:rPr>
        <w:fldChar w:fldCharType="end"/>
      </w:r>
    </w:p>
    <w:p w14:paraId="15D9A986">
      <w:pPr>
        <w:pStyle w:val="14"/>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_Toc699300104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rPr>
          <w:highlight w:val="none"/>
        </w:rPr>
        <w:tab/>
      </w:r>
      <w:r>
        <w:rPr>
          <w:highlight w:val="none"/>
        </w:rPr>
        <w:fldChar w:fldCharType="begin"/>
      </w:r>
      <w:r>
        <w:rPr>
          <w:highlight w:val="none"/>
        </w:rPr>
        <w:instrText xml:space="preserve"> PAGEREF _Toc699300104 \h </w:instrText>
      </w:r>
      <w:r>
        <w:rPr>
          <w:highlight w:val="none"/>
        </w:rPr>
        <w:fldChar w:fldCharType="separate"/>
      </w:r>
      <w:r>
        <w:rPr>
          <w:highlight w:val="none"/>
        </w:rPr>
        <w:t>35</w:t>
      </w:r>
      <w:r>
        <w:rPr>
          <w:highlight w:val="none"/>
        </w:rPr>
        <w:fldChar w:fldCharType="end"/>
      </w:r>
      <w:r>
        <w:rPr>
          <w:rFonts w:ascii="Times New Roman" w:hAnsi="Times New Roman"/>
          <w:snapToGrid w:val="0"/>
          <w:kern w:val="0"/>
          <w:szCs w:val="24"/>
          <w:highlight w:val="none"/>
        </w:rPr>
        <w:fldChar w:fldCharType="end"/>
      </w:r>
    </w:p>
    <w:p w14:paraId="4A26D1F5">
      <w:pPr>
        <w:pStyle w:val="14"/>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_Toc1988490530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rPr>
          <w:highlight w:val="none"/>
        </w:rPr>
        <w:tab/>
      </w:r>
      <w:r>
        <w:rPr>
          <w:highlight w:val="none"/>
        </w:rPr>
        <w:fldChar w:fldCharType="begin"/>
      </w:r>
      <w:r>
        <w:rPr>
          <w:highlight w:val="none"/>
        </w:rPr>
        <w:instrText xml:space="preserve"> PAGEREF _Toc1988490530 \h </w:instrText>
      </w:r>
      <w:r>
        <w:rPr>
          <w:highlight w:val="none"/>
        </w:rPr>
        <w:fldChar w:fldCharType="separate"/>
      </w:r>
      <w:r>
        <w:rPr>
          <w:highlight w:val="none"/>
        </w:rPr>
        <w:t>42</w:t>
      </w:r>
      <w:r>
        <w:rPr>
          <w:highlight w:val="none"/>
        </w:rPr>
        <w:fldChar w:fldCharType="end"/>
      </w:r>
      <w:r>
        <w:rPr>
          <w:rFonts w:ascii="Times New Roman" w:hAnsi="Times New Roman"/>
          <w:snapToGrid w:val="0"/>
          <w:kern w:val="0"/>
          <w:szCs w:val="24"/>
          <w:highlight w:val="none"/>
        </w:rPr>
        <w:fldChar w:fldCharType="end"/>
      </w:r>
    </w:p>
    <w:p w14:paraId="7AED8A98">
      <w:pPr>
        <w:pStyle w:val="14"/>
        <w:tabs>
          <w:tab w:val="right" w:leader="dot" w:pos="8306"/>
        </w:tabs>
        <w:rPr>
          <w:highlight w:val="none"/>
        </w:rPr>
      </w:pPr>
      <w:r>
        <w:rPr>
          <w:rFonts w:ascii="Times New Roman" w:hAnsi="Times New Roman"/>
          <w:snapToGrid w:val="0"/>
          <w:kern w:val="0"/>
          <w:szCs w:val="24"/>
          <w:highlight w:val="none"/>
        </w:rPr>
        <w:fldChar w:fldCharType="begin"/>
      </w:r>
      <w:r>
        <w:rPr>
          <w:rFonts w:ascii="Times New Roman" w:hAnsi="Times New Roman"/>
          <w:snapToGrid w:val="0"/>
          <w:kern w:val="0"/>
          <w:szCs w:val="24"/>
          <w:highlight w:val="none"/>
        </w:rPr>
        <w:instrText xml:space="preserve"> HYPERLINK \l _Toc2020044623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rPr>
          <w:highlight w:val="none"/>
        </w:rPr>
        <w:tab/>
      </w:r>
      <w:r>
        <w:rPr>
          <w:highlight w:val="none"/>
        </w:rPr>
        <w:fldChar w:fldCharType="begin"/>
      </w:r>
      <w:r>
        <w:rPr>
          <w:highlight w:val="none"/>
        </w:rPr>
        <w:instrText xml:space="preserve"> PAGEREF _Toc2020044623 \h </w:instrText>
      </w:r>
      <w:r>
        <w:rPr>
          <w:highlight w:val="none"/>
        </w:rPr>
        <w:fldChar w:fldCharType="separate"/>
      </w:r>
      <w:r>
        <w:rPr>
          <w:highlight w:val="none"/>
        </w:rPr>
        <w:t>84</w:t>
      </w:r>
      <w:r>
        <w:rPr>
          <w:highlight w:val="none"/>
        </w:rPr>
        <w:fldChar w:fldCharType="end"/>
      </w:r>
      <w:r>
        <w:rPr>
          <w:rFonts w:ascii="Times New Roman" w:hAnsi="Times New Roman"/>
          <w:snapToGrid w:val="0"/>
          <w:kern w:val="0"/>
          <w:szCs w:val="24"/>
          <w:highlight w:val="none"/>
        </w:rPr>
        <w:fldChar w:fldCharType="end"/>
      </w:r>
    </w:p>
    <w:p w14:paraId="2E9866BB">
      <w:pPr>
        <w:pStyle w:val="14"/>
        <w:tabs>
          <w:tab w:val="right" w:leader="dot" w:pos="8306"/>
        </w:tabs>
        <w:rPr>
          <w:highlight w:val="none"/>
        </w:rPr>
      </w:pPr>
    </w:p>
    <w:p w14:paraId="1D1A73F9">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692C4C02">
      <w:pPr>
        <w:widowControl/>
        <w:jc w:val="left"/>
        <w:rPr>
          <w:rFonts w:ascii="Times New Roman" w:hAnsi="Times New Roman"/>
          <w:snapToGrid w:val="0"/>
          <w:kern w:val="0"/>
          <w:szCs w:val="24"/>
          <w:highlight w:val="none"/>
        </w:rPr>
        <w:sectPr>
          <w:footerReference r:id="rId6" w:type="default"/>
          <w:pgSz w:w="11906" w:h="16838"/>
          <w:pgMar w:top="1440" w:right="1800" w:bottom="1440" w:left="1800" w:header="851" w:footer="992" w:gutter="0"/>
          <w:pgNumType w:start="1"/>
          <w:cols w:space="720" w:num="1"/>
          <w:docGrid w:type="lines" w:linePitch="312" w:charSpace="0"/>
        </w:sectPr>
      </w:pPr>
    </w:p>
    <w:p w14:paraId="01A98E85">
      <w:pPr>
        <w:pStyle w:val="3"/>
        <w:rPr>
          <w:rFonts w:ascii="Times New Roman" w:hAnsi="Times New Roman"/>
          <w:highlight w:val="none"/>
        </w:rPr>
      </w:pPr>
      <w:bookmarkStart w:id="0" w:name="_Toc440628903"/>
      <w:bookmarkStart w:id="1" w:name="_Toc469574661"/>
      <w:bookmarkStart w:id="2" w:name="_Toc1710469136"/>
      <w:bookmarkStart w:id="3" w:name="_Toc776674190"/>
      <w:bookmarkStart w:id="4" w:name="_Toc6745"/>
      <w:bookmarkStart w:id="5" w:name="_Toc795180308"/>
      <w:bookmarkStart w:id="6" w:name="_Toc678"/>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bookmarkEnd w:id="4"/>
      <w:bookmarkEnd w:id="5"/>
      <w:bookmarkEnd w:id="6"/>
    </w:p>
    <w:p w14:paraId="01B52688">
      <w:pPr>
        <w:spacing w:line="240" w:lineRule="auto"/>
        <w:ind w:firstLine="0"/>
        <w:jc w:val="center"/>
        <w:rPr>
          <w:rFonts w:ascii="Times New Roman" w:hAnsi="Times New Roman" w:cs="宋体"/>
          <w:b w:val="0"/>
          <w:snapToGrid/>
          <w:kern w:val="2"/>
          <w:sz w:val="44"/>
          <w:szCs w:val="32"/>
          <w:highlight w:val="none"/>
        </w:rPr>
      </w:pPr>
      <w:r>
        <w:rPr>
          <w:rFonts w:hint="default" w:ascii="Times New Roman" w:hAnsi="Times New Roman" w:cs="宋体"/>
          <w:b w:val="0"/>
          <w:snapToGrid/>
          <w:kern w:val="2"/>
          <w:sz w:val="44"/>
          <w:szCs w:val="32"/>
          <w:highlight w:val="none"/>
        </w:rPr>
        <w:t>重庆三峡银行</w:t>
      </w:r>
    </w:p>
    <w:p w14:paraId="4FDDF243">
      <w:pPr>
        <w:ind w:firstLine="0"/>
        <w:jc w:val="center"/>
        <w:rPr>
          <w:rFonts w:ascii="Times New Roman" w:hAnsi="Times New Roman"/>
          <w:sz w:val="44"/>
          <w:szCs w:val="32"/>
          <w:highlight w:val="none"/>
        </w:rPr>
      </w:pPr>
      <w:r>
        <w:rPr>
          <w:rFonts w:ascii="Times New Roman" w:hAnsi="Times New Roman"/>
          <w:sz w:val="44"/>
          <w:szCs w:val="32"/>
          <w:highlight w:val="none"/>
        </w:rPr>
        <w:t>绿色金融管理系统项目</w:t>
      </w:r>
      <w:r>
        <w:rPr>
          <w:rFonts w:hint="eastAsia" w:ascii="Times New Roman" w:hAnsi="Times New Roman"/>
          <w:sz w:val="44"/>
          <w:szCs w:val="32"/>
          <w:highlight w:val="none"/>
        </w:rPr>
        <w:t>比选公告</w:t>
      </w:r>
    </w:p>
    <w:p w14:paraId="3B6FEBB2">
      <w:pPr>
        <w:ind w:firstLine="480" w:firstLineChars="200"/>
        <w:rPr>
          <w:rFonts w:ascii="Times New Roman" w:hAnsi="Times New Roman"/>
          <w:color w:val="auto"/>
          <w:highlight w:val="none"/>
        </w:rPr>
      </w:pPr>
      <w:bookmarkStart w:id="7" w:name="_Toc55379218"/>
      <w:bookmarkStart w:id="8" w:name="_Toc89675127"/>
      <w:r>
        <w:rPr>
          <w:rFonts w:ascii="Times New Roman" w:hAnsi="Times New Roman" w:cs="Times New Roman"/>
          <w:highlight w:val="none"/>
        </w:rPr>
        <w:t>根据《重庆市银行机构绿色融资业绩评价办法》《银行业保险业绿色金融指引》《绿色贷款专项统计制度》等相关要求，为优化重庆三峡银行（以下简称</w:t>
      </w:r>
      <w:r>
        <w:rPr>
          <w:rFonts w:hint="eastAsia" w:ascii="Times New Roman" w:hAnsi="Times New Roman" w:cs="Times New Roman"/>
          <w:highlight w:val="none"/>
        </w:rPr>
        <w:t>“</w:t>
      </w:r>
      <w:r>
        <w:rPr>
          <w:rFonts w:ascii="Times New Roman" w:hAnsi="Times New Roman" w:cs="Times New Roman"/>
          <w:highlight w:val="none"/>
        </w:rPr>
        <w:t>我行</w:t>
      </w:r>
      <w:r>
        <w:rPr>
          <w:rFonts w:hint="eastAsia" w:ascii="Times New Roman" w:hAnsi="Times New Roman" w:cs="Times New Roman"/>
          <w:highlight w:val="none"/>
        </w:rPr>
        <w:t>”</w:t>
      </w:r>
      <w:r>
        <w:rPr>
          <w:rFonts w:ascii="Times New Roman" w:hAnsi="Times New Roman" w:cs="Times New Roman"/>
          <w:highlight w:val="none"/>
        </w:rPr>
        <w:t>）绿色金融授信业务流程、提高绿色信贷标识准确性并符合监管规定，尽快建立和完善绿色信贷智能识别管理流程，有效助力绿色信贷管理工作开展等，我行拟通过与“合格、独立的第三方”合作，建设我行绿色金融管理系统，助力我行加快绿色金融领域的数字化转型</w:t>
      </w:r>
      <w:r>
        <w:rPr>
          <w:rFonts w:hint="eastAsia" w:ascii="Times New Roman" w:hAnsi="Times New Roman"/>
          <w:highlight w:val="none"/>
        </w:rPr>
        <w:t>。</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ascii="Times New Roman" w:hAnsi="Times New Roman"/>
          <w:color w:val="auto"/>
          <w:highlight w:val="none"/>
        </w:rPr>
        <w:t>绿色金融管理系统</w:t>
      </w:r>
      <w:r>
        <w:rPr>
          <w:rFonts w:hint="eastAsia" w:ascii="Times New Roman" w:hAnsi="Times New Roman"/>
          <w:color w:val="auto"/>
          <w:highlight w:val="none"/>
        </w:rPr>
        <w:t>项目进行公开比选，</w:t>
      </w:r>
      <w:r>
        <w:rPr>
          <w:rFonts w:ascii="Times New Roman" w:hAnsi="Times New Roman"/>
          <w:color w:val="auto"/>
          <w:highlight w:val="none"/>
        </w:rPr>
        <w:t>特邀请有</w:t>
      </w:r>
      <w:bookmarkStart w:id="9" w:name="_Hlk59455120"/>
      <w:r>
        <w:rPr>
          <w:rFonts w:ascii="Times New Roman" w:hAnsi="Times New Roman"/>
          <w:color w:val="auto"/>
          <w:highlight w:val="none"/>
        </w:rPr>
        <w:t>意向</w:t>
      </w:r>
      <w:bookmarkEnd w:id="9"/>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0AE63496">
      <w:pPr>
        <w:pStyle w:val="4"/>
        <w:rPr>
          <w:rFonts w:ascii="Times New Roman" w:hAnsi="Times New Roman"/>
          <w:highlight w:val="none"/>
        </w:rPr>
      </w:pPr>
      <w:r>
        <w:rPr>
          <w:rFonts w:hint="eastAsia" w:ascii="Times New Roman" w:hAnsi="Times New Roman"/>
          <w:highlight w:val="none"/>
        </w:rPr>
        <w:t>1. 比选项目内容</w:t>
      </w:r>
      <w:bookmarkEnd w:id="7"/>
      <w:bookmarkEnd w:id="8"/>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672E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A81CB5F">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序号</w:t>
            </w:r>
          </w:p>
        </w:tc>
        <w:tc>
          <w:tcPr>
            <w:tcW w:w="2826" w:type="dxa"/>
            <w:vAlign w:val="center"/>
          </w:tcPr>
          <w:p w14:paraId="3629DDFA">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项目名称</w:t>
            </w:r>
          </w:p>
        </w:tc>
        <w:tc>
          <w:tcPr>
            <w:tcW w:w="1646" w:type="dxa"/>
            <w:vAlign w:val="center"/>
          </w:tcPr>
          <w:p w14:paraId="4CC6AA67">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最高限价</w:t>
            </w:r>
          </w:p>
        </w:tc>
        <w:tc>
          <w:tcPr>
            <w:tcW w:w="1798" w:type="dxa"/>
            <w:vAlign w:val="center"/>
          </w:tcPr>
          <w:p w14:paraId="4D3DA7EB">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中选人数量</w:t>
            </w:r>
          </w:p>
        </w:tc>
        <w:tc>
          <w:tcPr>
            <w:tcW w:w="1798" w:type="dxa"/>
            <w:vAlign w:val="center"/>
          </w:tcPr>
          <w:p w14:paraId="7469DCE4">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b/>
                <w:snapToGrid w:val="0"/>
                <w:kern w:val="0"/>
                <w:sz w:val="21"/>
                <w:szCs w:val="21"/>
                <w:highlight w:val="none"/>
              </w:rPr>
            </w:pPr>
            <w:r>
              <w:rPr>
                <w:rFonts w:hint="eastAsia" w:ascii="Times New Roman" w:hAnsi="Times New Roman" w:cs="Cambria"/>
                <w:b/>
                <w:snapToGrid w:val="0"/>
                <w:kern w:val="0"/>
                <w:sz w:val="21"/>
                <w:szCs w:val="21"/>
                <w:highlight w:val="none"/>
              </w:rPr>
              <w:t>备注</w:t>
            </w:r>
          </w:p>
        </w:tc>
      </w:tr>
      <w:tr w14:paraId="1F5C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3B35155">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snapToGrid w:val="0"/>
                <w:kern w:val="0"/>
                <w:sz w:val="21"/>
                <w:szCs w:val="21"/>
                <w:highlight w:val="none"/>
              </w:rPr>
            </w:pPr>
            <w:r>
              <w:rPr>
                <w:rFonts w:hint="eastAsia" w:ascii="Times New Roman" w:hAnsi="Times New Roman" w:cs="Cambria"/>
                <w:snapToGrid w:val="0"/>
                <w:kern w:val="0"/>
                <w:sz w:val="21"/>
                <w:szCs w:val="21"/>
                <w:highlight w:val="none"/>
              </w:rPr>
              <w:t>1</w:t>
            </w:r>
          </w:p>
        </w:tc>
        <w:tc>
          <w:tcPr>
            <w:tcW w:w="2826" w:type="dxa"/>
            <w:tcBorders>
              <w:left w:val="single" w:color="auto" w:sz="4" w:space="0"/>
            </w:tcBorders>
            <w:vAlign w:val="center"/>
          </w:tcPr>
          <w:p w14:paraId="1F2DD635">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snapToGrid w:val="0"/>
                <w:kern w:val="0"/>
                <w:sz w:val="21"/>
                <w:szCs w:val="21"/>
                <w:highlight w:val="none"/>
              </w:rPr>
            </w:pPr>
            <w:r>
              <w:rPr>
                <w:rFonts w:hint="default" w:ascii="Times New Roman" w:hAnsi="Times New Roman" w:cs="Cambria"/>
                <w:snapToGrid w:val="0"/>
                <w:kern w:val="0"/>
                <w:sz w:val="21"/>
                <w:szCs w:val="21"/>
                <w:highlight w:val="none"/>
              </w:rPr>
              <w:t>重庆三峡银行绿色金融管理系统项目</w:t>
            </w:r>
          </w:p>
        </w:tc>
        <w:tc>
          <w:tcPr>
            <w:tcW w:w="1646" w:type="dxa"/>
            <w:tcBorders>
              <w:left w:val="single" w:color="auto" w:sz="4" w:space="0"/>
            </w:tcBorders>
            <w:vAlign w:val="center"/>
          </w:tcPr>
          <w:p w14:paraId="7AB90268">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snapToGrid w:val="0"/>
                <w:kern w:val="0"/>
                <w:sz w:val="21"/>
                <w:szCs w:val="21"/>
                <w:highlight w:val="none"/>
              </w:rPr>
            </w:pPr>
            <w:r>
              <w:rPr>
                <w:rFonts w:hint="default" w:ascii="Times New Roman" w:hAnsi="Times New Roman" w:cs="Cambria"/>
                <w:snapToGrid w:val="0"/>
                <w:kern w:val="0"/>
                <w:sz w:val="21"/>
                <w:szCs w:val="21"/>
                <w:highlight w:val="none"/>
              </w:rPr>
              <w:t>190万元</w:t>
            </w:r>
          </w:p>
        </w:tc>
        <w:tc>
          <w:tcPr>
            <w:tcW w:w="1798" w:type="dxa"/>
            <w:tcBorders>
              <w:left w:val="single" w:color="auto" w:sz="4" w:space="0"/>
            </w:tcBorders>
            <w:vAlign w:val="center"/>
          </w:tcPr>
          <w:p w14:paraId="07DA99B4">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snapToGrid w:val="0"/>
                <w:kern w:val="0"/>
                <w:sz w:val="21"/>
                <w:szCs w:val="21"/>
                <w:highlight w:val="none"/>
              </w:rPr>
            </w:pPr>
            <w:r>
              <w:rPr>
                <w:rFonts w:hint="default" w:ascii="Times New Roman" w:hAnsi="Times New Roman" w:cs="Cambria"/>
                <w:snapToGrid w:val="0"/>
                <w:kern w:val="0"/>
                <w:sz w:val="21"/>
                <w:szCs w:val="21"/>
                <w:highlight w:val="none"/>
              </w:rPr>
              <w:t>1</w:t>
            </w:r>
          </w:p>
        </w:tc>
        <w:tc>
          <w:tcPr>
            <w:tcW w:w="1798" w:type="dxa"/>
            <w:tcBorders>
              <w:left w:val="single" w:color="auto" w:sz="4" w:space="0"/>
            </w:tcBorders>
            <w:vAlign w:val="center"/>
          </w:tcPr>
          <w:p w14:paraId="5CCE2DE1">
            <w:pPr>
              <w:keepNext w:val="0"/>
              <w:keepLines w:val="0"/>
              <w:suppressLineNumbers w:val="0"/>
              <w:spacing w:before="0" w:beforeAutospacing="0" w:after="0" w:afterAutospacing="0" w:line="360" w:lineRule="auto"/>
              <w:ind w:left="0" w:right="0" w:firstLine="0"/>
              <w:jc w:val="center"/>
              <w:rPr>
                <w:rFonts w:hint="default" w:ascii="Times New Roman" w:hAnsi="Times New Roman" w:cs="Cambria"/>
                <w:snapToGrid w:val="0"/>
                <w:kern w:val="0"/>
                <w:sz w:val="21"/>
                <w:szCs w:val="21"/>
                <w:highlight w:val="none"/>
              </w:rPr>
            </w:pPr>
            <w:r>
              <w:rPr>
                <w:rFonts w:hint="default" w:ascii="Times New Roman" w:hAnsi="Times New Roman" w:cs="Cambria"/>
                <w:snapToGrid w:val="0"/>
                <w:kern w:val="0"/>
                <w:sz w:val="21"/>
                <w:szCs w:val="21"/>
                <w:highlight w:val="none"/>
              </w:rPr>
              <w:t>含税价</w:t>
            </w:r>
          </w:p>
        </w:tc>
      </w:tr>
    </w:tbl>
    <w:p w14:paraId="55C7901B">
      <w:pPr>
        <w:pStyle w:val="4"/>
        <w:rPr>
          <w:rFonts w:ascii="Times New Roman" w:hAnsi="Times New Roman"/>
          <w:highlight w:val="none"/>
        </w:rPr>
      </w:pPr>
      <w:bookmarkStart w:id="10" w:name="_Toc297817088"/>
      <w:bookmarkStart w:id="11" w:name="_Toc288224935"/>
      <w:bookmarkStart w:id="12" w:name="_Toc89675128"/>
      <w:bookmarkStart w:id="13" w:name="_Toc469574664"/>
      <w:bookmarkStart w:id="14" w:name="_Toc55379219"/>
      <w:r>
        <w:rPr>
          <w:rFonts w:hint="eastAsia" w:ascii="Times New Roman" w:hAnsi="Times New Roman"/>
          <w:highlight w:val="none"/>
        </w:rPr>
        <w:t>2. 参选人资格要求</w:t>
      </w:r>
      <w:bookmarkEnd w:id="10"/>
      <w:bookmarkEnd w:id="11"/>
      <w:bookmarkEnd w:id="12"/>
      <w:bookmarkEnd w:id="13"/>
      <w:bookmarkEnd w:id="14"/>
    </w:p>
    <w:p w14:paraId="79662B83">
      <w:pPr>
        <w:ind w:left="0" w:firstLine="420"/>
        <w:rPr>
          <w:rFonts w:ascii="Times New Roman" w:hAnsi="Times New Roman"/>
          <w:highlight w:val="none"/>
        </w:rPr>
      </w:pPr>
      <w:bookmarkStart w:id="15" w:name="_Hlk55488870"/>
      <w:r>
        <w:rPr>
          <w:rFonts w:hint="eastAsia" w:ascii="Times New Roman" w:hAnsi="Times New Roman"/>
          <w:highlight w:val="none"/>
        </w:rPr>
        <w:t>2.1 具有独立承担民事责任的能力</w:t>
      </w:r>
    </w:p>
    <w:p w14:paraId="2BB64A36">
      <w:pPr>
        <w:ind w:firstLine="420"/>
        <w:rPr>
          <w:rFonts w:hint="eastAsia" w:ascii="Times New Roman" w:hAnsi="Times New Roman"/>
          <w:highlight w:val="none"/>
        </w:rPr>
      </w:pPr>
      <w:r>
        <w:rPr>
          <w:rFonts w:hint="eastAsia" w:ascii="Times New Roman" w:hAnsi="Times New Roman"/>
          <w:highlight w:val="none"/>
        </w:rPr>
        <w:t>【提供参选人有效营业执照（副本）或事业单位法人证书（副本）或个体工商户营业执照或有效的自然人身份证明；参选人法定代表人身份证明和法定代表人授权代表委托书。】</w:t>
      </w:r>
    </w:p>
    <w:p w14:paraId="522E410F">
      <w:pPr>
        <w:ind w:firstLine="480" w:firstLineChars="200"/>
        <w:rPr>
          <w:rFonts w:hint="eastAsia" w:ascii="Times New Roman" w:hAnsi="Times New Roman"/>
          <w:highlight w:val="none"/>
        </w:rPr>
      </w:pPr>
      <w:r>
        <w:rPr>
          <w:rFonts w:hint="eastAsia" w:ascii="Times New Roman" w:hAnsi="Times New Roman"/>
          <w:highlight w:val="none"/>
        </w:rPr>
        <w:t>注：若为法定代表人办理并签署参选文件的，不提供授权代表委托书。</w:t>
      </w:r>
    </w:p>
    <w:p w14:paraId="496F2F3E">
      <w:pPr>
        <w:ind w:firstLine="420"/>
        <w:rPr>
          <w:rFonts w:ascii="Times New Roman" w:hAnsi="Times New Roman"/>
          <w:highlight w:val="none"/>
        </w:rPr>
      </w:pPr>
      <w:r>
        <w:rPr>
          <w:rFonts w:hint="eastAsia" w:ascii="Times New Roman" w:hAnsi="Times New Roman"/>
          <w:highlight w:val="none"/>
        </w:rPr>
        <w:t>2.2 具有良好的商业信誉和健全的财务会计制度【提供书面声明】；</w:t>
      </w:r>
    </w:p>
    <w:p w14:paraId="215F1495">
      <w:pPr>
        <w:ind w:firstLine="420"/>
        <w:rPr>
          <w:rFonts w:ascii="Times New Roman" w:hAnsi="Times New Roman"/>
          <w:highlight w:val="none"/>
        </w:rPr>
      </w:pPr>
      <w:r>
        <w:rPr>
          <w:rFonts w:hint="eastAsia" w:ascii="Times New Roman" w:hAnsi="Times New Roman"/>
          <w:highlight w:val="none"/>
        </w:rPr>
        <w:t>2.3 具有履行合同所必需的设备和专业技术能力【提供书面声明】；</w:t>
      </w:r>
    </w:p>
    <w:p w14:paraId="28CAD866">
      <w:pPr>
        <w:ind w:firstLine="420"/>
        <w:rPr>
          <w:rFonts w:ascii="Times New Roman" w:hAnsi="Times New Roman"/>
          <w:highlight w:val="none"/>
        </w:rPr>
      </w:pPr>
      <w:r>
        <w:rPr>
          <w:rFonts w:hint="eastAsia" w:ascii="Times New Roman" w:hAnsi="Times New Roman"/>
          <w:highlight w:val="none"/>
        </w:rPr>
        <w:t>2.4 有依法缴纳税收和社会保障金的良好记录【提供书面声明】；</w:t>
      </w:r>
    </w:p>
    <w:p w14:paraId="300718FD">
      <w:pPr>
        <w:ind w:firstLine="420"/>
        <w:rPr>
          <w:rFonts w:ascii="Times New Roman" w:hAnsi="Times New Roman"/>
          <w:highlight w:val="none"/>
        </w:rPr>
      </w:pPr>
      <w:r>
        <w:rPr>
          <w:rFonts w:hint="eastAsia" w:ascii="Times New Roman" w:hAnsi="Times New Roman"/>
          <w:highlight w:val="none"/>
        </w:rPr>
        <w:t>2.5 三年内在经营活动中没有重大违法记录【提供书面声明】；</w:t>
      </w:r>
    </w:p>
    <w:p w14:paraId="74B161A7">
      <w:pPr>
        <w:ind w:firstLine="420"/>
        <w:rPr>
          <w:rFonts w:ascii="Times New Roman" w:hAnsi="Times New Roman"/>
          <w:highlight w:val="none"/>
        </w:rPr>
      </w:pPr>
      <w:r>
        <w:rPr>
          <w:rFonts w:hint="eastAsia" w:ascii="Times New Roman" w:hAnsi="Times New Roman"/>
          <w:highlight w:val="none"/>
        </w:rPr>
        <w:t>2.6 法人及法定代表人没有被人民法院列为失信被执行人名单【提供中国执行信息公开网截图并加盖单位鲜章】；</w:t>
      </w:r>
    </w:p>
    <w:p w14:paraId="5DE74BE7">
      <w:pPr>
        <w:ind w:firstLine="420"/>
        <w:rPr>
          <w:rFonts w:ascii="Times New Roman" w:hAnsi="Times New Roman"/>
          <w:highlight w:val="none"/>
        </w:rPr>
      </w:pPr>
      <w:r>
        <w:rPr>
          <w:rFonts w:hint="eastAsia" w:ascii="Times New Roman" w:hAnsi="Times New Roman"/>
          <w:highlight w:val="none"/>
        </w:rPr>
        <w:t>2.7 本项目不允许任何形式的转包【提供书面声明】。</w:t>
      </w:r>
    </w:p>
    <w:p w14:paraId="3E7DB342">
      <w:pPr>
        <w:ind w:firstLine="420"/>
        <w:rPr>
          <w:rFonts w:hint="eastAsia"/>
          <w:highlight w:val="none"/>
        </w:rPr>
      </w:pPr>
      <w:r>
        <w:rPr>
          <w:rFonts w:hint="eastAsia"/>
          <w:highlight w:val="none"/>
        </w:rPr>
        <w:t>2.8 本次</w:t>
      </w:r>
      <w:r>
        <w:rPr>
          <w:rFonts w:hint="eastAsia"/>
          <w:highlight w:val="none"/>
          <w:lang w:eastAsia="zh-CN"/>
        </w:rPr>
        <w:t>比选</w:t>
      </w:r>
      <w:r>
        <w:rPr>
          <w:rFonts w:hint="eastAsia"/>
          <w:highlight w:val="none"/>
        </w:rPr>
        <w:t>不接受联合体参选。</w:t>
      </w:r>
    </w:p>
    <w:p w14:paraId="6A351C84">
      <w:pPr>
        <w:ind w:firstLine="420"/>
        <w:rPr>
          <w:rFonts w:ascii="Times New Roman" w:hAnsi="Times New Roman"/>
          <w:highlight w:val="none"/>
        </w:rPr>
      </w:pPr>
      <w:r>
        <w:rPr>
          <w:rFonts w:hint="eastAsia" w:ascii="Times New Roman" w:hAnsi="Times New Roman"/>
          <w:highlight w:val="none"/>
        </w:rPr>
        <w:t>2.9</w:t>
      </w:r>
      <w:r>
        <w:rPr>
          <w:rFonts w:ascii="Times New Roman" w:hAnsi="Times New Roman"/>
          <w:highlight w:val="none"/>
        </w:rPr>
        <w:t xml:space="preserve"> </w:t>
      </w:r>
      <w:r>
        <w:rPr>
          <w:rFonts w:hint="eastAsia" w:ascii="Times New Roman" w:hAnsi="Times New Roman"/>
          <w:highlight w:val="none"/>
        </w:rPr>
        <w:t>20</w:t>
      </w:r>
      <w:r>
        <w:rPr>
          <w:rFonts w:ascii="Times New Roman" w:hAnsi="Times New Roman"/>
          <w:highlight w:val="none"/>
        </w:rPr>
        <w:t>21</w:t>
      </w:r>
      <w:r>
        <w:rPr>
          <w:rFonts w:hint="eastAsia" w:ascii="Times New Roman" w:hAnsi="Times New Roman"/>
          <w:highlight w:val="none"/>
        </w:rPr>
        <w:t>年</w:t>
      </w:r>
      <w:r>
        <w:rPr>
          <w:rFonts w:ascii="Times New Roman" w:hAnsi="Times New Roman"/>
          <w:highlight w:val="none"/>
        </w:rPr>
        <w:t>1</w:t>
      </w:r>
      <w:r>
        <w:rPr>
          <w:rFonts w:hint="eastAsia" w:ascii="Times New Roman" w:hAnsi="Times New Roman"/>
          <w:highlight w:val="none"/>
        </w:rPr>
        <w:t>月1日至今具有</w:t>
      </w:r>
      <w:r>
        <w:rPr>
          <w:rFonts w:hint="eastAsia" w:ascii="Times New Roman" w:hAnsi="Times New Roman"/>
          <w:highlight w:val="none"/>
          <w:lang w:val="en-US" w:eastAsia="zh-CN"/>
        </w:rPr>
        <w:t>1个（含）以上</w:t>
      </w:r>
      <w:r>
        <w:rPr>
          <w:rFonts w:ascii="Times New Roman" w:hAnsi="Times New Roman"/>
          <w:highlight w:val="none"/>
        </w:rPr>
        <w:t>绿色金融</w:t>
      </w:r>
      <w:r>
        <w:rPr>
          <w:rFonts w:hint="eastAsia" w:ascii="Times New Roman" w:hAnsi="Times New Roman"/>
          <w:highlight w:val="none"/>
        </w:rPr>
        <w:t>相关实施案例</w:t>
      </w:r>
      <w:r>
        <w:rPr>
          <w:rFonts w:hint="eastAsia" w:ascii="Times New Roman" w:hAnsi="Times New Roman"/>
          <w:highlight w:val="none"/>
          <w:lang w:eastAsia="zh-CN"/>
        </w:rPr>
        <w:t>，</w:t>
      </w:r>
      <w:r>
        <w:rPr>
          <w:rFonts w:hint="eastAsia" w:ascii="Times New Roman" w:hAnsi="Times New Roman"/>
          <w:highlight w:val="none"/>
        </w:rPr>
        <w:t>低于</w:t>
      </w:r>
      <w:r>
        <w:rPr>
          <w:rFonts w:hint="eastAsia" w:ascii="Times New Roman" w:hAnsi="Times New Roman"/>
          <w:highlight w:val="none"/>
          <w:lang w:val="en-US" w:eastAsia="zh-CN"/>
        </w:rPr>
        <w:t>1</w:t>
      </w:r>
      <w:r>
        <w:rPr>
          <w:rFonts w:hint="eastAsia" w:ascii="Times New Roman" w:hAnsi="Times New Roman"/>
          <w:highlight w:val="none"/>
        </w:rPr>
        <w:t>个案例</w:t>
      </w:r>
      <w:r>
        <w:rPr>
          <w:rFonts w:hint="eastAsia" w:ascii="Times New Roman" w:hAnsi="Times New Roman"/>
          <w:highlight w:val="none"/>
          <w:lang w:eastAsia="zh-CN"/>
        </w:rPr>
        <w:t>的</w:t>
      </w:r>
      <w:r>
        <w:rPr>
          <w:rFonts w:hint="eastAsia" w:ascii="Times New Roman" w:hAnsi="Times New Roman"/>
          <w:highlight w:val="none"/>
        </w:rPr>
        <w:t>取消参选资质【</w:t>
      </w:r>
      <w:r>
        <w:rPr>
          <w:rFonts w:ascii="Times New Roman" w:hAnsi="Times New Roman"/>
          <w:highlight w:val="none"/>
        </w:rPr>
        <w:t>案例建设内容需包含如下功能之一：</w:t>
      </w:r>
      <w:r>
        <w:rPr>
          <w:rFonts w:hAnsi="宋体"/>
          <w:highlight w:val="none"/>
        </w:rPr>
        <w:t>绿色识别</w:t>
      </w:r>
      <w:r>
        <w:rPr>
          <w:rFonts w:hint="eastAsia"/>
          <w:highlight w:val="none"/>
          <w:lang w:val="en-US" w:eastAsia="zh-CN"/>
        </w:rPr>
        <w:t>/认定</w:t>
      </w:r>
      <w:r>
        <w:rPr>
          <w:rFonts w:hAnsi="宋体"/>
          <w:highlight w:val="none"/>
        </w:rPr>
        <w:t>、环境效益测算、碳核算、碳账户。</w:t>
      </w:r>
      <w:r>
        <w:rPr>
          <w:rFonts w:hint="eastAsia" w:ascii="Times New Roman" w:hAnsi="Times New Roman"/>
          <w:highlight w:val="none"/>
        </w:rPr>
        <w:t>案例须同时提供合同关键页复印件、合同对应的发票之一和网上税务系统查询该发票截图。（发票开具日期须晚于合同签订日期、发票购买方须与合同买方一致、发票销售方须与合同卖方（参选人）一致）】；</w:t>
      </w:r>
    </w:p>
    <w:p w14:paraId="08184767">
      <w:pPr>
        <w:ind w:firstLine="420"/>
        <w:rPr>
          <w:rFonts w:ascii="Times New Roman" w:hAnsi="Times New Roman"/>
          <w:highlight w:val="none"/>
        </w:rPr>
      </w:pPr>
      <w:r>
        <w:rPr>
          <w:rFonts w:hint="eastAsia" w:ascii="Times New Roman" w:hAnsi="Times New Roman"/>
          <w:highlight w:val="none"/>
        </w:rPr>
        <w:t xml:space="preserve">2.10 </w:t>
      </w:r>
      <w:r>
        <w:rPr>
          <w:rFonts w:ascii="Times New Roman" w:hAnsi="Times New Roman"/>
          <w:highlight w:val="none"/>
        </w:rPr>
        <w:t>参选人注册成立时间不少于3年，且近3年财务状况稳定。</w:t>
      </w:r>
      <w:r>
        <w:rPr>
          <w:rFonts w:ascii="宋体" w:cs="宋体"/>
          <w:snapToGrid w:val="0"/>
          <w:kern w:val="0"/>
          <w:szCs w:val="24"/>
          <w:highlight w:val="none"/>
        </w:rPr>
        <w:t>且</w:t>
      </w:r>
      <w:r>
        <w:rPr>
          <w:rFonts w:hint="eastAsia" w:ascii="宋体" w:cs="宋体"/>
          <w:snapToGrid w:val="0"/>
          <w:kern w:val="0"/>
          <w:szCs w:val="24"/>
          <w:highlight w:val="none"/>
        </w:rPr>
        <w:t>参选人须具有本次比选内容所涉及的第三方软件代理资格（含开源软件的合法授权）,取得本次比选内容所涉及的第三方软件产品的原厂商授权书或确认函（如不涉及第三方软件，则该条不适用）。</w:t>
      </w:r>
      <w:r>
        <w:rPr>
          <w:rFonts w:ascii="宋体" w:cs="宋体"/>
          <w:snapToGrid w:val="0"/>
          <w:kern w:val="0"/>
          <w:szCs w:val="24"/>
          <w:highlight w:val="none"/>
        </w:rPr>
        <w:t>【注册成立时间提供营业执照，财务状况提供书面声明，代理资格提供第三方软件产品的原厂商授权书或确认函。】</w:t>
      </w:r>
    </w:p>
    <w:p w14:paraId="7FFF4F7B">
      <w:pPr>
        <w:ind w:firstLine="480" w:firstLineChars="200"/>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441EF3EE">
      <w:pPr>
        <w:ind w:firstLine="480" w:firstLineChars="200"/>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p>
    <w:p w14:paraId="4C20A1A9">
      <w:pPr>
        <w:ind w:firstLine="420"/>
        <w:rPr>
          <w:rFonts w:ascii="Times New Roman" w:hAnsi="Times New Roman"/>
          <w:color w:val="auto"/>
          <w:highlight w:val="none"/>
        </w:rPr>
      </w:pP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130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759BA541">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4AC813F6">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4E50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714ED5B5">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0522DA5F">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6287CFAF">
      <w:pPr>
        <w:rPr>
          <w:rFonts w:ascii="Times New Roman" w:hAnsi="Times New Roman"/>
          <w:highlight w:val="none"/>
        </w:rPr>
      </w:pPr>
    </w:p>
    <w:bookmarkEnd w:id="15"/>
    <w:p w14:paraId="0BF2652A">
      <w:pPr>
        <w:pStyle w:val="4"/>
        <w:rPr>
          <w:rFonts w:ascii="Times New Roman" w:hAnsi="Times New Roman"/>
          <w:highlight w:val="none"/>
        </w:rPr>
      </w:pPr>
      <w:bookmarkStart w:id="16" w:name="_Toc55379220"/>
      <w:bookmarkStart w:id="17" w:name="_Toc297817090"/>
      <w:bookmarkStart w:id="18" w:name="_Toc89675130"/>
      <w:bookmarkStart w:id="19" w:name="_Toc469574667"/>
      <w:r>
        <w:rPr>
          <w:rFonts w:hint="eastAsia" w:ascii="Times New Roman" w:hAnsi="Times New Roman"/>
          <w:highlight w:val="none"/>
        </w:rPr>
        <w:t>3. 比选文件的获取</w:t>
      </w:r>
      <w:bookmarkEnd w:id="16"/>
    </w:p>
    <w:p w14:paraId="77DAB009">
      <w:pPr>
        <w:ind w:firstLine="480" w:firstLineChars="200"/>
        <w:rPr>
          <w:rFonts w:ascii="Times New Roman" w:hAnsi="Times New Roman"/>
          <w:highlight w:val="none"/>
        </w:rPr>
      </w:pPr>
      <w:r>
        <w:rPr>
          <w:rFonts w:hint="eastAsia" w:ascii="Times New Roman" w:hAnsi="Times New Roman"/>
          <w:highlight w:val="none"/>
        </w:rPr>
        <w:t>3.1 获取时间和方式：从</w:t>
      </w:r>
      <w:r>
        <w:rPr>
          <w:rFonts w:hint="eastAsia"/>
          <w:highlight w:val="none"/>
          <w:u w:val="single"/>
          <w:lang w:val="en-US" w:eastAsia="zh-CN"/>
        </w:rPr>
        <w:t>2024</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22</w:t>
      </w:r>
      <w:r>
        <w:rPr>
          <w:rFonts w:hint="eastAsia"/>
          <w:highlight w:val="none"/>
          <w:u w:val="single"/>
        </w:rPr>
        <w:t>日</w:t>
      </w:r>
      <w:r>
        <w:rPr>
          <w:rFonts w:hint="eastAsia"/>
          <w:highlight w:val="none"/>
          <w:u w:val="single"/>
          <w:lang w:eastAsia="zh-CN"/>
        </w:rPr>
        <w:t>到</w:t>
      </w:r>
      <w:r>
        <w:rPr>
          <w:rFonts w:hint="eastAsia"/>
          <w:highlight w:val="none"/>
          <w:u w:val="single"/>
          <w:lang w:val="en-US" w:eastAsia="zh-CN"/>
        </w:rPr>
        <w:t>2024年8月12日9</w:t>
      </w:r>
      <w:r>
        <w:rPr>
          <w:rFonts w:hint="eastAsia"/>
          <w:highlight w:val="none"/>
          <w:u w:val="single"/>
        </w:rPr>
        <w:t>时</w:t>
      </w:r>
      <w:r>
        <w:rPr>
          <w:rFonts w:hint="eastAsia"/>
          <w:highlight w:val="none"/>
          <w:u w:val="single"/>
          <w:lang w:val="en-US" w:eastAsia="zh-CN"/>
        </w:rPr>
        <w:t>30</w:t>
      </w:r>
      <w:r>
        <w:rPr>
          <w:rFonts w:hint="eastAsia"/>
          <w:highlight w:val="none"/>
          <w:u w:val="single"/>
        </w:rPr>
        <w:t>分</w:t>
      </w:r>
      <w:r>
        <w:rPr>
          <w:rFonts w:hint="eastAsia"/>
          <w:highlight w:val="none"/>
        </w:rPr>
        <w:t>（北京时间）</w:t>
      </w:r>
      <w:r>
        <w:rPr>
          <w:rFonts w:hint="eastAsia" w:ascii="Times New Roman" w:hAnsi="Times New Roman"/>
          <w:highlight w:val="none"/>
        </w:rPr>
        <w:t>，在重庆市公共资源交易网（www.cqggzy.com）下载比选文件。</w:t>
      </w:r>
    </w:p>
    <w:p w14:paraId="18A1756B">
      <w:pPr>
        <w:ind w:firstLine="420"/>
        <w:rPr>
          <w:rFonts w:ascii="Times New Roman" w:hAnsi="Times New Roman"/>
          <w:highlight w:val="none"/>
        </w:rPr>
      </w:pPr>
      <w:r>
        <w:rPr>
          <w:rFonts w:hint="eastAsia" w:ascii="Times New Roman" w:hAnsi="Times New Roman"/>
          <w:highlight w:val="none"/>
        </w:rPr>
        <w:t>3.2 参选人在下载比选文件后，应仔细检查比选文件的所有内容，如有残缺或文字表述不清，以及存在错、碰、漏、缺、概念模糊和有可能出现歧义或理解上的偏差的内容等应在</w:t>
      </w:r>
      <w:r>
        <w:rPr>
          <w:rFonts w:hint="eastAsia"/>
          <w:highlight w:val="none"/>
          <w:u w:val="single"/>
          <w:lang w:val="en-US" w:eastAsia="zh-CN"/>
        </w:rPr>
        <w:t>2024</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25</w:t>
      </w:r>
      <w:r>
        <w:rPr>
          <w:rFonts w:hint="eastAsia"/>
          <w:highlight w:val="none"/>
          <w:u w:val="single"/>
        </w:rPr>
        <w:t>日</w:t>
      </w:r>
      <w:r>
        <w:rPr>
          <w:rFonts w:hint="eastAsia"/>
          <w:highlight w:val="none"/>
          <w:u w:val="single"/>
          <w:lang w:val="en-US" w:eastAsia="zh-CN"/>
        </w:rPr>
        <w:t>17</w:t>
      </w:r>
      <w:r>
        <w:rPr>
          <w:rFonts w:hint="eastAsia"/>
          <w:highlight w:val="none"/>
          <w:u w:val="single"/>
        </w:rPr>
        <w:t>时</w:t>
      </w:r>
      <w:r>
        <w:rPr>
          <w:rFonts w:hint="eastAsia"/>
          <w:highlight w:val="none"/>
          <w:u w:val="single"/>
          <w:lang w:val="en-US" w:eastAsia="zh-CN"/>
        </w:rPr>
        <w:t>00</w:t>
      </w:r>
      <w:r>
        <w:rPr>
          <w:rFonts w:hint="eastAsia"/>
          <w:highlight w:val="none"/>
          <w:u w:val="single"/>
        </w:rPr>
        <w:t>分</w:t>
      </w:r>
      <w:r>
        <w:rPr>
          <w:rFonts w:hint="eastAsia" w:ascii="Times New Roman" w:hAnsi="Times New Roman"/>
          <w:highlight w:val="none"/>
        </w:rPr>
        <w:t>（北京时间）前自行在重庆市公共资源交易网（http://www.cqggzy.com/）比选公告的“我要提问”栏目匿名提出。参选人未提出，则视为参选人已全面确认比选文件内容。</w:t>
      </w:r>
    </w:p>
    <w:p w14:paraId="65E30D80">
      <w:pPr>
        <w:ind w:firstLine="420"/>
        <w:rPr>
          <w:rFonts w:ascii="Times New Roman" w:hAnsi="Times New Roman"/>
          <w:highlight w:val="none"/>
        </w:rPr>
      </w:pPr>
      <w:r>
        <w:rPr>
          <w:rFonts w:hint="eastAsia" w:ascii="Times New Roman" w:hAnsi="Times New Roman"/>
          <w:highlight w:val="none"/>
        </w:rPr>
        <w:t>3.3 比选人在认为有必要对参选人所提问题进行答复或对比选文件进行补充时，将于</w:t>
      </w:r>
      <w:r>
        <w:rPr>
          <w:rFonts w:hint="eastAsia" w:ascii="Times New Roman" w:hAnsi="Times New Roman" w:eastAsia="宋体" w:cs="宋体"/>
          <w:color w:val="auto"/>
          <w:highlight w:val="none"/>
        </w:rPr>
        <w:t>比选截止时间</w:t>
      </w:r>
      <w:r>
        <w:rPr>
          <w:rFonts w:hint="eastAsia" w:ascii="Times New Roman" w:hAnsi="Times New Roman"/>
          <w:highlight w:val="none"/>
        </w:rPr>
        <w:t>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60E82825">
      <w:pPr>
        <w:pStyle w:val="4"/>
        <w:rPr>
          <w:rFonts w:ascii="Times New Roman" w:hAnsi="Times New Roman"/>
          <w:highlight w:val="none"/>
        </w:rPr>
      </w:pPr>
      <w:bookmarkStart w:id="20" w:name="_Toc55379221"/>
      <w:r>
        <w:rPr>
          <w:rFonts w:hint="eastAsia" w:ascii="Times New Roman" w:hAnsi="Times New Roman"/>
          <w:highlight w:val="none"/>
        </w:rPr>
        <w:t>4. 参选保证金的递交</w:t>
      </w:r>
      <w:bookmarkEnd w:id="17"/>
      <w:bookmarkEnd w:id="18"/>
      <w:bookmarkEnd w:id="19"/>
      <w:bookmarkEnd w:id="20"/>
    </w:p>
    <w:p w14:paraId="6935F6B1">
      <w:pPr>
        <w:ind w:firstLine="420"/>
        <w:rPr>
          <w:rFonts w:ascii="Times New Roman" w:hAnsi="Times New Roman"/>
          <w:highlight w:val="none"/>
        </w:rPr>
      </w:pPr>
      <w:bookmarkStart w:id="21" w:name="_Toc469574668"/>
      <w:bookmarkStart w:id="22" w:name="_Toc297817091"/>
      <w:bookmarkStart w:id="23" w:name="_Toc55379222"/>
      <w:bookmarkStart w:id="24" w:name="_Toc89675131"/>
      <w:r>
        <w:rPr>
          <w:rFonts w:hint="eastAsia" w:ascii="Times New Roman" w:hAnsi="Times New Roman"/>
          <w:highlight w:val="none"/>
        </w:rPr>
        <w:t>4.1 参选保证金的金额：</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38000</w:t>
      </w:r>
      <w:r>
        <w:rPr>
          <w:rFonts w:hint="eastAsia" w:ascii="Times New Roman" w:hAnsi="Times New Roman"/>
          <w:b/>
          <w:bCs/>
          <w:color w:val="auto"/>
          <w:highlight w:val="none"/>
          <w:u w:val="single"/>
          <w:lang w:val="en-US" w:eastAsia="zh-CN"/>
        </w:rPr>
        <w:t>.00</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叁万捌仟元整</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w:t>
      </w:r>
      <w:r>
        <w:rPr>
          <w:rFonts w:hint="eastAsia" w:ascii="Times New Roman" w:hAnsi="Times New Roman"/>
          <w:highlight w:val="none"/>
        </w:rPr>
        <w:t>。</w:t>
      </w:r>
    </w:p>
    <w:p w14:paraId="0167E79A">
      <w:pPr>
        <w:ind w:firstLine="420"/>
        <w:rPr>
          <w:rFonts w:ascii="Times New Roman" w:hAnsi="Times New Roman"/>
          <w:highlight w:val="none"/>
        </w:rPr>
      </w:pPr>
      <w:r>
        <w:rPr>
          <w:rFonts w:hint="eastAsia" w:ascii="Times New Roman" w:hAnsi="Times New Roman"/>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B669E37">
      <w:pPr>
        <w:ind w:firstLine="420"/>
        <w:rPr>
          <w:rFonts w:ascii="Times New Roman" w:hAnsi="Times New Roman"/>
          <w:highlight w:val="none"/>
        </w:rPr>
      </w:pPr>
      <w:r>
        <w:rPr>
          <w:rFonts w:hint="eastAsia" w:ascii="Times New Roman" w:hAnsi="Times New Roman"/>
          <w:b/>
          <w:bCs/>
          <w:highlight w:val="none"/>
        </w:rPr>
        <w:t>参选人必须在付款凭证备注栏中注明项目简称。可简写成：</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 xml:space="preserve">重庆三峡银行绿色金融 </w:t>
      </w:r>
      <w:r>
        <w:rPr>
          <w:rFonts w:hint="eastAsia" w:ascii="Times New Roman" w:hAnsi="Times New Roman"/>
          <w:b/>
          <w:bCs/>
          <w:color w:val="auto"/>
          <w:highlight w:val="none"/>
        </w:rPr>
        <w:t>项目</w:t>
      </w:r>
      <w:r>
        <w:rPr>
          <w:rFonts w:hint="eastAsia" w:ascii="Times New Roman" w:hAnsi="Times New Roman"/>
          <w:b/>
          <w:bCs/>
          <w:highlight w:val="none"/>
        </w:rPr>
        <w:t>。</w:t>
      </w:r>
    </w:p>
    <w:p w14:paraId="26F87FEE">
      <w:pPr>
        <w:ind w:firstLine="420"/>
        <w:rPr>
          <w:rFonts w:ascii="Times New Roman" w:hAnsi="Times New Roman"/>
          <w:highlight w:val="none"/>
        </w:rPr>
      </w:pPr>
      <w:r>
        <w:rPr>
          <w:rFonts w:hint="eastAsia" w:ascii="Times New Roman" w:hAnsi="Times New Roman"/>
          <w:highlight w:val="none"/>
        </w:rPr>
        <w:t>4.3 参选保证金递交的截止时间为</w:t>
      </w:r>
      <w:r>
        <w:rPr>
          <w:rFonts w:hint="eastAsia"/>
          <w:highlight w:val="none"/>
          <w:u w:val="single"/>
          <w:lang w:val="en-US" w:eastAsia="zh-CN"/>
        </w:rPr>
        <w:t>2024年8月12日9</w:t>
      </w:r>
      <w:r>
        <w:rPr>
          <w:rFonts w:hint="eastAsia"/>
          <w:highlight w:val="none"/>
          <w:u w:val="single"/>
        </w:rPr>
        <w:t>时</w:t>
      </w:r>
      <w:r>
        <w:rPr>
          <w:rFonts w:hint="eastAsia"/>
          <w:highlight w:val="none"/>
          <w:u w:val="single"/>
          <w:lang w:val="en-US" w:eastAsia="zh-CN"/>
        </w:rPr>
        <w:t>30</w:t>
      </w:r>
      <w:r>
        <w:rPr>
          <w:rFonts w:hint="eastAsia"/>
          <w:highlight w:val="none"/>
          <w:u w:val="single"/>
        </w:rPr>
        <w:t>分</w:t>
      </w:r>
      <w:r>
        <w:rPr>
          <w:rFonts w:hint="eastAsia" w:ascii="Times New Roman" w:hAnsi="Times New Roman"/>
          <w:highlight w:val="none"/>
        </w:rPr>
        <w:t>（北京时间）。</w:t>
      </w:r>
    </w:p>
    <w:p w14:paraId="3C2F25F8">
      <w:pPr>
        <w:ind w:firstLine="420"/>
        <w:rPr>
          <w:rFonts w:ascii="Times New Roman" w:hAnsi="Times New Roman"/>
          <w:highlight w:val="none"/>
        </w:rPr>
      </w:pPr>
      <w:r>
        <w:rPr>
          <w:rFonts w:hint="eastAsia" w:ascii="Times New Roman" w:hAnsi="Times New Roman"/>
          <w:highlight w:val="none"/>
        </w:rPr>
        <w:t>4.</w:t>
      </w:r>
      <w:r>
        <w:rPr>
          <w:rFonts w:ascii="Times New Roman" w:hAnsi="Times New Roman"/>
          <w:highlight w:val="none"/>
        </w:rPr>
        <w:t>4</w:t>
      </w:r>
      <w:r>
        <w:rPr>
          <w:rFonts w:hint="eastAsia" w:ascii="Times New Roman" w:hAnsi="Times New Roman"/>
          <w:highlight w:val="none"/>
        </w:rPr>
        <w:t xml:space="preserve"> 参选保证金专用账户如下：</w:t>
      </w:r>
    </w:p>
    <w:p w14:paraId="00FCFBDA">
      <w:pPr>
        <w:rPr>
          <w:rFonts w:ascii="Times New Roman" w:hAnsi="Times New Roman"/>
          <w:highlight w:val="none"/>
        </w:rPr>
      </w:pPr>
      <w:r>
        <w:rPr>
          <w:rFonts w:hint="eastAsia" w:ascii="Times New Roman" w:hAnsi="Times New Roman"/>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4B1B28C5">
      <w:pPr>
        <w:ind w:firstLine="420"/>
        <w:rPr>
          <w:rFonts w:ascii="Times New Roman" w:hAnsi="Times New Roman"/>
          <w:highlight w:val="none"/>
        </w:rPr>
      </w:pPr>
      <w:r>
        <w:rPr>
          <w:rFonts w:hint="eastAsia" w:ascii="Times New Roman" w:hAnsi="Times New Roman"/>
          <w:highlight w:val="none"/>
        </w:rPr>
        <w:t>参选保证金以重庆市公共资源交易中心比选现场展示的保证金交纳情况为准。</w:t>
      </w:r>
    </w:p>
    <w:bookmarkEnd w:id="21"/>
    <w:bookmarkEnd w:id="22"/>
    <w:bookmarkEnd w:id="23"/>
    <w:bookmarkEnd w:id="24"/>
    <w:p w14:paraId="6EE9A844">
      <w:pPr>
        <w:pStyle w:val="4"/>
        <w:rPr>
          <w:rFonts w:ascii="Times New Roman" w:hAnsi="Times New Roman"/>
          <w:highlight w:val="none"/>
        </w:rPr>
      </w:pPr>
      <w:r>
        <w:rPr>
          <w:rFonts w:hint="eastAsia" w:ascii="Times New Roman" w:hAnsi="Times New Roman"/>
          <w:highlight w:val="none"/>
        </w:rPr>
        <w:t>5. 参选文件的递交</w:t>
      </w:r>
    </w:p>
    <w:p w14:paraId="2A395D58">
      <w:pPr>
        <w:ind w:firstLine="420"/>
        <w:rPr>
          <w:rFonts w:ascii="Times New Roman" w:hAnsi="Times New Roman"/>
          <w:highlight w:val="none"/>
        </w:rPr>
      </w:pPr>
      <w:bookmarkStart w:id="25" w:name="_Toc469574669"/>
      <w:bookmarkStart w:id="26" w:name="_Toc89675132"/>
      <w:bookmarkStart w:id="27" w:name="_Toc55379223"/>
      <w:r>
        <w:rPr>
          <w:rFonts w:hint="eastAsia" w:ascii="Times New Roman" w:hAnsi="Times New Roman"/>
          <w:highlight w:val="none"/>
        </w:rPr>
        <w:t>5.1 参选文件现场递交的开始时间为</w:t>
      </w:r>
      <w:r>
        <w:rPr>
          <w:rFonts w:hint="eastAsia"/>
          <w:highlight w:val="none"/>
          <w:u w:val="single"/>
          <w:lang w:val="en-US" w:eastAsia="zh-CN"/>
        </w:rPr>
        <w:t>2024年8月12日9</w:t>
      </w:r>
      <w:r>
        <w:rPr>
          <w:rFonts w:hint="eastAsia"/>
          <w:highlight w:val="none"/>
          <w:u w:val="single"/>
        </w:rPr>
        <w:t>时</w:t>
      </w:r>
      <w:r>
        <w:rPr>
          <w:rFonts w:hint="eastAsia"/>
          <w:highlight w:val="none"/>
          <w:u w:val="single"/>
          <w:lang w:val="en-US" w:eastAsia="zh-CN"/>
        </w:rPr>
        <w:t>00</w:t>
      </w:r>
      <w:r>
        <w:rPr>
          <w:rFonts w:hint="eastAsia"/>
          <w:highlight w:val="none"/>
          <w:u w:val="single"/>
        </w:rPr>
        <w:t>分</w:t>
      </w:r>
      <w:r>
        <w:rPr>
          <w:rFonts w:hint="eastAsia" w:ascii="Times New Roman" w:hAnsi="Times New Roman"/>
          <w:highlight w:val="none"/>
        </w:rPr>
        <w:t>(北京时间)。递交截止时间为</w:t>
      </w:r>
      <w:r>
        <w:rPr>
          <w:rFonts w:hint="eastAsia"/>
          <w:highlight w:val="none"/>
          <w:u w:val="single"/>
          <w:lang w:val="en-US" w:eastAsia="zh-CN"/>
        </w:rPr>
        <w:t>2024年8月12日9</w:t>
      </w:r>
      <w:r>
        <w:rPr>
          <w:rFonts w:hint="eastAsia"/>
          <w:highlight w:val="none"/>
          <w:u w:val="single"/>
        </w:rPr>
        <w:t>时</w:t>
      </w:r>
      <w:r>
        <w:rPr>
          <w:rFonts w:hint="eastAsia"/>
          <w:highlight w:val="none"/>
          <w:u w:val="single"/>
          <w:lang w:val="en-US" w:eastAsia="zh-CN"/>
        </w:rPr>
        <w:t>30</w:t>
      </w:r>
      <w:r>
        <w:rPr>
          <w:rFonts w:hint="eastAsia"/>
          <w:highlight w:val="none"/>
          <w:u w:val="single"/>
        </w:rPr>
        <w:t>分</w:t>
      </w:r>
      <w:r>
        <w:rPr>
          <w:rFonts w:hint="eastAsia" w:ascii="Times New Roman" w:hAnsi="Times New Roman"/>
          <w:highlight w:val="none"/>
        </w:rPr>
        <w:t>（北京时间）。</w:t>
      </w:r>
    </w:p>
    <w:p w14:paraId="5859C6ED">
      <w:pPr>
        <w:ind w:firstLine="420"/>
        <w:rPr>
          <w:rFonts w:ascii="Times New Roman" w:hAnsi="Times New Roman"/>
          <w:highlight w:val="none"/>
        </w:rPr>
      </w:pPr>
      <w:r>
        <w:rPr>
          <w:rFonts w:hint="eastAsia" w:ascii="Times New Roman" w:hAnsi="Times New Roman"/>
          <w:highlight w:val="none"/>
        </w:rPr>
        <w:t>5.2 递交地点为重庆市渝北区青枫北路6号渝兴广场B10栋重庆市公共资源交易中心开标区（具体请登陆重庆市公共资源交易网（www.cqggzy.com）查询或递交文件当日见交易中心大厅电子显示屏）。</w:t>
      </w:r>
    </w:p>
    <w:p w14:paraId="7787B3EF">
      <w:pPr>
        <w:ind w:firstLine="420"/>
        <w:rPr>
          <w:rFonts w:ascii="Times New Roman" w:hAnsi="Times New Roman"/>
          <w:highlight w:val="none"/>
        </w:rPr>
      </w:pPr>
      <w:r>
        <w:rPr>
          <w:rFonts w:hint="eastAsia" w:ascii="Times New Roman" w:hAnsi="Times New Roman"/>
          <w:highlight w:val="none"/>
        </w:rPr>
        <w:t>5.3 逾期送达的参选文件，不予接收。</w:t>
      </w:r>
    </w:p>
    <w:p w14:paraId="3C9B17AF">
      <w:pPr>
        <w:pStyle w:val="4"/>
        <w:rPr>
          <w:rFonts w:ascii="Times New Roman" w:hAnsi="Times New Roman"/>
          <w:highlight w:val="none"/>
        </w:rPr>
      </w:pPr>
      <w:r>
        <w:rPr>
          <w:rFonts w:hint="eastAsia" w:ascii="Times New Roman" w:hAnsi="Times New Roman"/>
          <w:highlight w:val="none"/>
        </w:rPr>
        <w:t>6. 发布公告的媒介</w:t>
      </w:r>
      <w:bookmarkEnd w:id="25"/>
      <w:bookmarkEnd w:id="26"/>
      <w:bookmarkEnd w:id="27"/>
    </w:p>
    <w:p w14:paraId="0208756C">
      <w:pPr>
        <w:ind w:firstLine="420"/>
        <w:rPr>
          <w:rFonts w:ascii="Times New Roman" w:hAnsi="Times New Roman"/>
          <w:highlight w:val="none"/>
        </w:rPr>
      </w:pPr>
      <w:bookmarkStart w:id="28" w:name="_Toc55379224"/>
      <w:bookmarkStart w:id="29" w:name="_Toc469574670"/>
      <w:bookmarkStart w:id="30" w:name="_Toc89675133"/>
      <w:bookmarkStart w:id="31" w:name="_Toc250565211"/>
      <w:r>
        <w:rPr>
          <w:rFonts w:hint="eastAsia" w:ascii="Times New Roman" w:hAnsi="Times New Roman"/>
          <w:highlight w:val="none"/>
        </w:rPr>
        <w:t>本次比选公告同时在《重庆市公共资源交易网（www.cqggzy.com）》《重庆三峡银行官网（https://www.ccqtgb.com）》和《中国比选参选公共服务平台（http://www.cebpubservice.com）》上发布。</w:t>
      </w:r>
    </w:p>
    <w:p w14:paraId="167024E1">
      <w:pPr>
        <w:pStyle w:val="4"/>
        <w:numPr>
          <w:ilvl w:val="0"/>
          <w:numId w:val="1"/>
        </w:numPr>
        <w:ind w:left="0" w:firstLine="0"/>
        <w:rPr>
          <w:rFonts w:hint="eastAsia" w:ascii="Times New Roman" w:hAnsi="Times New Roman" w:cs="Times New Roman"/>
          <w:color w:val="auto"/>
          <w:highlight w:val="none"/>
          <w:shd w:val="clear" w:color="auto" w:fill="auto"/>
          <w:lang w:val="en-US" w:eastAsia="zh-CN"/>
        </w:rPr>
      </w:pPr>
      <w:r>
        <w:rPr>
          <w:rFonts w:hint="eastAsia" w:ascii="Times New Roman" w:hAnsi="Times New Roman" w:cs="Times New Roman"/>
          <w:color w:val="auto"/>
          <w:highlight w:val="none"/>
          <w:shd w:val="clear" w:color="auto" w:fill="auto"/>
          <w:lang w:val="en-US" w:eastAsia="zh-CN"/>
        </w:rPr>
        <w:t>报名方式</w:t>
      </w:r>
    </w:p>
    <w:p w14:paraId="18CE1465">
      <w:pPr>
        <w:ind w:firstLine="420"/>
        <w:rPr>
          <w:rFonts w:hint="eastAsia"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本项目从比选文件发出之日起至</w:t>
      </w:r>
      <w:r>
        <w:rPr>
          <w:rFonts w:hint="eastAsia" w:ascii="Times New Roman" w:hAnsi="Times New Roman" w:cs="Times New Roman"/>
          <w:highlight w:val="none"/>
          <w:u w:val="single"/>
          <w:lang w:val="en-US" w:eastAsia="zh-CN"/>
        </w:rPr>
        <w:t>2024</w:t>
      </w:r>
      <w:r>
        <w:rPr>
          <w:rFonts w:ascii="Times New Roman" w:hAnsi="Times New Roman" w:cs="Times New Roman"/>
          <w:highlight w:val="none"/>
          <w:u w:val="single"/>
        </w:rPr>
        <w:t>年</w:t>
      </w:r>
      <w:r>
        <w:rPr>
          <w:rFonts w:hint="eastAsia" w:ascii="Times New Roman" w:hAnsi="Times New Roman" w:cs="Times New Roman"/>
          <w:highlight w:val="none"/>
          <w:u w:val="single"/>
          <w:lang w:val="en-US" w:eastAsia="zh-CN"/>
        </w:rPr>
        <w:t>7</w:t>
      </w:r>
      <w:r>
        <w:rPr>
          <w:rFonts w:ascii="Times New Roman" w:hAnsi="Times New Roman" w:cs="Times New Roman"/>
          <w:highlight w:val="none"/>
          <w:u w:val="single"/>
        </w:rPr>
        <w:t>月</w:t>
      </w:r>
      <w:r>
        <w:rPr>
          <w:rFonts w:hint="eastAsia" w:ascii="Times New Roman" w:hAnsi="Times New Roman" w:cs="Times New Roman"/>
          <w:highlight w:val="none"/>
          <w:u w:val="single"/>
          <w:lang w:val="en-US" w:eastAsia="zh-CN"/>
        </w:rPr>
        <w:t>26</w:t>
      </w:r>
      <w:r>
        <w:rPr>
          <w:rFonts w:ascii="Times New Roman" w:hAnsi="Times New Roman" w:cs="Times New Roman"/>
          <w:highlight w:val="none"/>
          <w:u w:val="single"/>
        </w:rPr>
        <w:t>日</w:t>
      </w:r>
      <w:r>
        <w:rPr>
          <w:rFonts w:hint="eastAsia" w:ascii="Times New Roman" w:hAnsi="Times New Roman" w:cs="Times New Roman"/>
          <w:highlight w:val="none"/>
          <w:u w:val="single"/>
          <w:lang w:val="en-US" w:eastAsia="zh-CN"/>
        </w:rPr>
        <w:t>17</w:t>
      </w:r>
      <w:r>
        <w:rPr>
          <w:rFonts w:ascii="Times New Roman" w:hAnsi="Times New Roman" w:cs="Times New Roman"/>
          <w:highlight w:val="none"/>
          <w:u w:val="single"/>
        </w:rPr>
        <w:t>时</w:t>
      </w:r>
      <w:r>
        <w:rPr>
          <w:rFonts w:hint="eastAsia" w:ascii="Times New Roman" w:hAnsi="Times New Roman" w:cs="Times New Roman"/>
          <w:highlight w:val="none"/>
          <w:u w:val="single"/>
          <w:lang w:val="en-US" w:eastAsia="zh-CN"/>
        </w:rPr>
        <w:t>00</w:t>
      </w:r>
      <w:r>
        <w:rPr>
          <w:rFonts w:ascii="Times New Roman" w:hAnsi="Times New Roman" w:cs="Times New Roman"/>
          <w:highlight w:val="none"/>
          <w:u w:val="single"/>
        </w:rPr>
        <w:t>分</w:t>
      </w:r>
      <w:r>
        <w:rPr>
          <w:rFonts w:ascii="Times New Roman" w:hAnsi="Times New Roman" w:cs="Times New Roman"/>
          <w:highlight w:val="none"/>
        </w:rPr>
        <w:t>(北京时间)</w:t>
      </w:r>
      <w:r>
        <w:rPr>
          <w:rFonts w:hint="eastAsia"/>
          <w:highlight w:val="none"/>
        </w:rPr>
        <w:t>进行报名，供应商将《报名函》（加盖供应商公章）扫描后发送至邮箱</w:t>
      </w:r>
      <w:r>
        <w:rPr>
          <w:highlight w:val="none"/>
        </w:rPr>
        <w:t>itsrdc</w:t>
      </w:r>
      <w:r>
        <w:rPr>
          <w:rFonts w:hint="eastAsia"/>
          <w:highlight w:val="none"/>
        </w:rPr>
        <w:t>@ccqtgb.com。《报名函》详见比选文件第三章附件一。</w:t>
      </w:r>
    </w:p>
    <w:p w14:paraId="6015CD7E">
      <w:pPr>
        <w:ind w:firstLine="480" w:firstLineChars="200"/>
        <w:rPr>
          <w:rFonts w:ascii="Times New Roman" w:hAnsi="Times New Roman"/>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报名联系人：</w:t>
      </w:r>
      <w:r>
        <w:rPr>
          <w:rFonts w:ascii="Times New Roman" w:hAnsi="Times New Roman"/>
          <w:color w:val="auto"/>
          <w:highlight w:val="none"/>
          <w:shd w:val="clear" w:color="auto" w:fill="auto"/>
          <w:lang w:val="en-US" w:eastAsia="zh-CN"/>
        </w:rPr>
        <w:t>朱鹏</w:t>
      </w:r>
      <w:r>
        <w:rPr>
          <w:rFonts w:hint="eastAsia" w:ascii="Times New Roman" w:hAnsi="Times New Roman"/>
          <w:color w:val="auto"/>
          <w:highlight w:val="none"/>
          <w:shd w:val="clear" w:color="auto" w:fill="auto"/>
          <w:lang w:val="en-US" w:eastAsia="zh-CN"/>
        </w:rPr>
        <w:t>，联系电话：</w:t>
      </w:r>
      <w:r>
        <w:rPr>
          <w:rFonts w:hAnsi="Times New Roman"/>
          <w:highlight w:val="none"/>
          <w:shd w:val="clear" w:color="auto" w:fill="auto"/>
        </w:rPr>
        <w:t>15213346275</w:t>
      </w:r>
      <w:r>
        <w:rPr>
          <w:rFonts w:hint="eastAsia" w:ascii="Times New Roman" w:hAnsi="Times New Roman"/>
          <w:color w:val="auto"/>
          <w:highlight w:val="none"/>
          <w:shd w:val="clear" w:color="auto" w:fill="auto"/>
          <w:lang w:val="en-US" w:eastAsia="zh-CN"/>
        </w:rPr>
        <w:t>。</w:t>
      </w:r>
    </w:p>
    <w:p w14:paraId="5FFABF77">
      <w:pPr>
        <w:pStyle w:val="4"/>
        <w:numPr>
          <w:ilvl w:val="0"/>
          <w:numId w:val="2"/>
        </w:numPr>
        <w:ind w:left="0" w:firstLine="0"/>
        <w:rPr>
          <w:rFonts w:hint="eastAsia" w:ascii="Times New Roman" w:hAnsi="Times New Roman" w:cs="Times New Roman"/>
          <w:color w:val="auto"/>
          <w:highlight w:val="none"/>
          <w:shd w:val="clear" w:color="auto" w:fill="auto"/>
          <w:lang w:val="en-US" w:eastAsia="zh-CN"/>
        </w:rPr>
      </w:pPr>
      <w:r>
        <w:rPr>
          <w:rFonts w:hint="eastAsia" w:ascii="Times New Roman" w:hAnsi="Times New Roman" w:cs="Times New Roman"/>
          <w:color w:val="auto"/>
          <w:highlight w:val="none"/>
          <w:shd w:val="clear" w:color="auto" w:fill="auto"/>
          <w:lang w:val="en-US" w:eastAsia="zh-CN"/>
        </w:rPr>
        <w:t>POC测试安排</w:t>
      </w:r>
    </w:p>
    <w:p w14:paraId="1A0AF6DF">
      <w:pPr>
        <w:ind w:firstLine="420"/>
        <w:rPr>
          <w:rFonts w:hint="eastAsia"/>
          <w:highlight w:val="none"/>
          <w:shd w:val="clear" w:color="auto" w:fill="auto"/>
        </w:rPr>
      </w:pPr>
      <w:r>
        <w:rPr>
          <w:rFonts w:hint="eastAsia" w:ascii="Times New Roman" w:hAnsi="Times New Roman" w:cs="Times New Roman"/>
          <w:color w:val="auto"/>
          <w:highlight w:val="none"/>
          <w:shd w:val="clear" w:color="auto" w:fill="auto"/>
          <w:lang w:val="en-US" w:eastAsia="zh-CN"/>
        </w:rPr>
        <w:t>本项目POC测试根据项目实际情况安排</w:t>
      </w:r>
      <w:r>
        <w:rPr>
          <w:rFonts w:hint="eastAsia" w:ascii="Times New Roman" w:hAnsi="Times New Roman"/>
          <w:color w:val="auto"/>
          <w:highlight w:val="none"/>
          <w:shd w:val="clear" w:color="auto" w:fill="auto"/>
          <w:lang w:val="en-US" w:eastAsia="zh-CN"/>
        </w:rPr>
        <w:t>，测试方案详见比选文件第三章附件二。</w:t>
      </w:r>
    </w:p>
    <w:p w14:paraId="201FC605">
      <w:pPr>
        <w:pStyle w:val="4"/>
        <w:numPr>
          <w:ilvl w:val="0"/>
          <w:numId w:val="2"/>
        </w:numPr>
        <w:rPr>
          <w:rFonts w:hint="eastAsia" w:ascii="Times New Roman" w:hAnsi="Times New Roman"/>
          <w:highlight w:val="none"/>
        </w:rPr>
      </w:pPr>
      <w:r>
        <w:rPr>
          <w:rFonts w:hint="eastAsia" w:ascii="Times New Roman" w:hAnsi="Times New Roman"/>
          <w:highlight w:val="none"/>
        </w:rPr>
        <w:t>联系方式</w:t>
      </w:r>
      <w:bookmarkEnd w:id="28"/>
      <w:bookmarkEnd w:id="29"/>
      <w:bookmarkEnd w:id="30"/>
      <w:bookmarkEnd w:id="31"/>
    </w:p>
    <w:tbl>
      <w:tblPr>
        <w:tblStyle w:val="2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4296B755">
        <w:tblPrEx>
          <w:tblCellMar>
            <w:top w:w="0" w:type="dxa"/>
            <w:left w:w="108" w:type="dxa"/>
            <w:bottom w:w="0" w:type="dxa"/>
            <w:right w:w="108" w:type="dxa"/>
          </w:tblCellMar>
        </w:tblPrEx>
        <w:trPr>
          <w:trHeight w:val="113" w:hRule="atLeast"/>
        </w:trPr>
        <w:tc>
          <w:tcPr>
            <w:tcW w:w="8423" w:type="dxa"/>
            <w:gridSpan w:val="2"/>
            <w:tcBorders>
              <w:top w:val="single" w:color="auto" w:sz="4" w:space="0"/>
              <w:left w:val="single" w:color="auto" w:sz="4" w:space="0"/>
              <w:bottom w:val="nil"/>
              <w:right w:val="single" w:color="auto" w:sz="4" w:space="0"/>
            </w:tcBorders>
            <w:noWrap w:val="0"/>
            <w:vAlign w:val="top"/>
          </w:tcPr>
          <w:p w14:paraId="333CB8E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.1 项目需求咨询</w:t>
            </w:r>
          </w:p>
        </w:tc>
      </w:tr>
      <w:tr w14:paraId="2E0AA5CD">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14:paraId="739B1A5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default" w:ascii="Times New Roman" w:hAnsi="Times New Roman" w:cs="宋体"/>
                <w:sz w:val="21"/>
                <w:szCs w:val="21"/>
                <w:highlight w:val="none"/>
              </w:rPr>
              <w:t>徐彦君</w:t>
            </w:r>
          </w:p>
        </w:tc>
        <w:tc>
          <w:tcPr>
            <w:tcW w:w="5333" w:type="dxa"/>
            <w:tcBorders>
              <w:top w:val="nil"/>
              <w:left w:val="nil"/>
              <w:bottom w:val="nil"/>
              <w:right w:val="single" w:color="auto" w:sz="4" w:space="0"/>
            </w:tcBorders>
            <w:noWrap w:val="0"/>
            <w:vAlign w:val="top"/>
          </w:tcPr>
          <w:p w14:paraId="0EA9BA8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default" w:ascii="Times New Roman" w:hAnsi="Times New Roman" w:cs="宋体"/>
                <w:sz w:val="21"/>
                <w:szCs w:val="21"/>
                <w:highlight w:val="none"/>
              </w:rPr>
              <w:t>023-88890319</w:t>
            </w:r>
          </w:p>
        </w:tc>
      </w:tr>
      <w:tr w14:paraId="367885D3">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28B0A8F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p>
        </w:tc>
      </w:tr>
      <w:tr w14:paraId="1764D770">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4D5E030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.2 项目流程咨询</w:t>
            </w:r>
          </w:p>
        </w:tc>
      </w:tr>
      <w:tr w14:paraId="5C2E9A7D">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6D7007C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平台服务机构：重庆联合产权交易所集团股份有限公司</w:t>
            </w:r>
          </w:p>
        </w:tc>
      </w:tr>
      <w:tr w14:paraId="13343EF7">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14:paraId="44F7B8B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平台联系人：</w:t>
            </w:r>
            <w:r>
              <w:rPr>
                <w:rFonts w:hint="eastAsia" w:ascii="宋体" w:hAnsi="宋体" w:eastAsia="宋体" w:cs="宋体"/>
                <w:color w:val="auto"/>
                <w:sz w:val="24"/>
                <w:szCs w:val="24"/>
                <w:highlight w:val="none"/>
                <w:lang w:eastAsia="zh-CN"/>
              </w:rPr>
              <w:t>张</w:t>
            </w:r>
            <w:r>
              <w:rPr>
                <w:rFonts w:hint="eastAsia" w:ascii="宋体" w:hAnsi="宋体" w:eastAsia="宋体" w:cs="宋体"/>
                <w:color w:val="auto"/>
                <w:sz w:val="24"/>
                <w:szCs w:val="24"/>
                <w:highlight w:val="none"/>
              </w:rPr>
              <w:t>老师</w:t>
            </w:r>
          </w:p>
        </w:tc>
        <w:tc>
          <w:tcPr>
            <w:tcW w:w="5333" w:type="dxa"/>
            <w:tcBorders>
              <w:top w:val="nil"/>
              <w:left w:val="nil"/>
              <w:bottom w:val="nil"/>
              <w:right w:val="single" w:color="auto" w:sz="4" w:space="0"/>
            </w:tcBorders>
            <w:noWrap w:val="0"/>
            <w:vAlign w:val="top"/>
          </w:tcPr>
          <w:p w14:paraId="34F1781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联系方式：023-63621694</w:t>
            </w:r>
          </w:p>
        </w:tc>
      </w:tr>
      <w:tr w14:paraId="4F5370B8">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416B388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p>
        </w:tc>
      </w:tr>
      <w:tr w14:paraId="6E54A2D5">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06535DB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.3 比选人联系方式</w:t>
            </w:r>
          </w:p>
        </w:tc>
      </w:tr>
      <w:tr w14:paraId="1DDFDA9C">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14:paraId="7817FDA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联系人：敬希</w:t>
            </w:r>
          </w:p>
        </w:tc>
        <w:tc>
          <w:tcPr>
            <w:tcW w:w="5333" w:type="dxa"/>
            <w:tcBorders>
              <w:top w:val="nil"/>
              <w:left w:val="nil"/>
              <w:bottom w:val="nil"/>
              <w:right w:val="single" w:color="auto" w:sz="4" w:space="0"/>
            </w:tcBorders>
            <w:noWrap w:val="0"/>
            <w:vAlign w:val="top"/>
          </w:tcPr>
          <w:p w14:paraId="29D5CB7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联系方式：023-88890395</w:t>
            </w:r>
          </w:p>
        </w:tc>
      </w:tr>
      <w:tr w14:paraId="7A990F28">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noWrap w:val="0"/>
            <w:vAlign w:val="top"/>
          </w:tcPr>
          <w:p w14:paraId="0811766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比选人地址：重庆市渝北区嘉州路88号中渝国际都会4号写字楼21层</w:t>
            </w:r>
          </w:p>
        </w:tc>
      </w:tr>
    </w:tbl>
    <w:p w14:paraId="417E8E44">
      <w:pPr>
        <w:numPr>
          <w:ilvl w:val="-1"/>
          <w:numId w:val="0"/>
        </w:numPr>
        <w:rPr>
          <w:highlight w:val="none"/>
        </w:rPr>
      </w:pPr>
    </w:p>
    <w:p w14:paraId="76599CFE">
      <w:pPr>
        <w:rPr>
          <w:rFonts w:ascii="Times New Roman" w:hAnsi="Times New Roman"/>
          <w:highlight w:val="none"/>
        </w:rPr>
      </w:pPr>
    </w:p>
    <w:p w14:paraId="26A9AAB6">
      <w:pPr>
        <w:rPr>
          <w:rFonts w:ascii="Times New Roman" w:hAnsi="Times New Roman"/>
          <w:highlight w:val="none"/>
        </w:rPr>
      </w:pPr>
    </w:p>
    <w:p w14:paraId="536E8D2C">
      <w:pPr>
        <w:spacing w:line="240" w:lineRule="auto"/>
        <w:ind w:firstLine="0"/>
        <w:jc w:val="right"/>
        <w:rPr>
          <w:rFonts w:ascii="Times New Roman" w:hAnsi="Times New Roman"/>
          <w:highlight w:val="none"/>
        </w:rPr>
      </w:pPr>
      <w:r>
        <w:rPr>
          <w:rFonts w:hint="eastAsia" w:ascii="Times New Roman" w:hAnsi="Times New Roman"/>
          <w:highlight w:val="none"/>
        </w:rPr>
        <w:t>重庆三峡银行股份有限公司</w:t>
      </w:r>
    </w:p>
    <w:p w14:paraId="78C66900">
      <w:pPr>
        <w:jc w:val="right"/>
        <w:rPr>
          <w:rFonts w:ascii="Times New Roman" w:hAnsi="Times New Roman"/>
          <w:highlight w:val="none"/>
        </w:rPr>
      </w:pPr>
      <w:r>
        <w:rPr>
          <w:rFonts w:hint="eastAsia" w:ascii="Times New Roman" w:hAnsi="Times New Roman"/>
          <w:highlight w:val="none"/>
        </w:rPr>
        <w:t>202</w:t>
      </w:r>
      <w:r>
        <w:rPr>
          <w:rFonts w:hint="eastAsia" w:ascii="Times New Roman" w:hAnsi="Times New Roman"/>
          <w:highlight w:val="none"/>
          <w:lang w:val="en-US" w:eastAsia="zh-CN"/>
        </w:rPr>
        <w:t>4</w:t>
      </w:r>
      <w:r>
        <w:rPr>
          <w:rFonts w:hint="eastAsia" w:ascii="Times New Roman" w:hAnsi="Times New Roman"/>
          <w:highlight w:val="none"/>
        </w:rPr>
        <w:t>年</w:t>
      </w:r>
      <w:r>
        <w:rPr>
          <w:rFonts w:hint="eastAsia" w:ascii="Times New Roman" w:hAnsi="Times New Roman"/>
          <w:highlight w:val="none"/>
          <w:lang w:val="en-US" w:eastAsia="zh-CN"/>
        </w:rPr>
        <w:t>7</w:t>
      </w:r>
      <w:r>
        <w:rPr>
          <w:rFonts w:hint="eastAsia" w:ascii="Times New Roman" w:hAnsi="Times New Roman"/>
          <w:highlight w:val="none"/>
        </w:rPr>
        <w:t>月</w:t>
      </w:r>
      <w:r>
        <w:rPr>
          <w:rFonts w:hint="eastAsia" w:ascii="Times New Roman" w:hAnsi="Times New Roman"/>
          <w:highlight w:val="none"/>
          <w:lang w:val="en-US" w:eastAsia="zh-CN"/>
        </w:rPr>
        <w:t>22</w:t>
      </w:r>
      <w:r>
        <w:rPr>
          <w:rFonts w:hint="eastAsia" w:ascii="Times New Roman" w:hAnsi="Times New Roman"/>
          <w:highlight w:val="none"/>
        </w:rPr>
        <w:t>日</w:t>
      </w:r>
    </w:p>
    <w:p w14:paraId="3FF33052">
      <w:pPr>
        <w:rPr>
          <w:rFonts w:ascii="Times New Roman" w:hAnsi="Times New Roman"/>
          <w:highlight w:val="none"/>
        </w:rPr>
      </w:pPr>
      <w:r>
        <w:rPr>
          <w:rFonts w:ascii="Times New Roman" w:hAnsi="Times New Roman"/>
          <w:highlight w:val="none"/>
        </w:rPr>
        <w:br w:type="page"/>
      </w:r>
    </w:p>
    <w:p w14:paraId="52043498">
      <w:pPr>
        <w:pStyle w:val="3"/>
        <w:rPr>
          <w:rFonts w:ascii="Times New Roman" w:hAnsi="Times New Roman"/>
          <w:highlight w:val="none"/>
        </w:rPr>
      </w:pPr>
      <w:bookmarkStart w:id="32" w:name="_Toc1733116102"/>
      <w:bookmarkStart w:id="33" w:name="_Toc303066033"/>
      <w:bookmarkStart w:id="34" w:name="_Toc963066725"/>
      <w:bookmarkStart w:id="35" w:name="_Toc2128222808"/>
      <w:bookmarkStart w:id="36" w:name="_Toc89675159"/>
      <w:bookmarkStart w:id="37" w:name="_Toc27630"/>
      <w:r>
        <w:rPr>
          <w:rFonts w:hint="eastAsia" w:ascii="Times New Roman" w:hAnsi="Times New Roman"/>
          <w:highlight w:val="none"/>
        </w:rPr>
        <w:t>第二章 参选人须知</w:t>
      </w:r>
      <w:bookmarkEnd w:id="32"/>
      <w:bookmarkEnd w:id="33"/>
      <w:bookmarkEnd w:id="34"/>
      <w:bookmarkEnd w:id="35"/>
      <w:bookmarkEnd w:id="36"/>
      <w:bookmarkEnd w:id="37"/>
    </w:p>
    <w:p w14:paraId="4211EC09">
      <w:pPr>
        <w:pStyle w:val="4"/>
        <w:rPr>
          <w:rFonts w:ascii="Times New Roman" w:hAnsi="Times New Roman"/>
          <w:highlight w:val="none"/>
        </w:rPr>
      </w:pPr>
      <w:bookmarkStart w:id="38" w:name="_Toc89675160"/>
      <w:r>
        <w:rPr>
          <w:rFonts w:hint="eastAsia" w:ascii="Times New Roman" w:hAnsi="Times New Roman"/>
          <w:highlight w:val="none"/>
        </w:rPr>
        <w:t>1. 项目信息</w:t>
      </w:r>
    </w:p>
    <w:p w14:paraId="37751E7C">
      <w:pPr>
        <w:pStyle w:val="5"/>
        <w:ind w:firstLine="420"/>
        <w:rPr>
          <w:rFonts w:ascii="Times New Roman" w:hAnsi="Times New Roman"/>
          <w:highlight w:val="none"/>
        </w:rPr>
      </w:pPr>
      <w:r>
        <w:rPr>
          <w:rFonts w:hint="eastAsia" w:ascii="Times New Roman" w:hAnsi="Times New Roman"/>
          <w:highlight w:val="none"/>
        </w:rPr>
        <w:t>1.1 比选人</w:t>
      </w:r>
    </w:p>
    <w:p w14:paraId="551A6BAB">
      <w:pPr>
        <w:ind w:firstLine="420"/>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1DEEAAEE">
      <w:pPr>
        <w:pStyle w:val="5"/>
        <w:ind w:firstLine="420"/>
        <w:rPr>
          <w:rFonts w:ascii="Times New Roman" w:hAnsi="Times New Roman"/>
          <w:highlight w:val="none"/>
        </w:rPr>
      </w:pPr>
      <w:r>
        <w:rPr>
          <w:rFonts w:hint="eastAsia" w:ascii="Times New Roman" w:hAnsi="Times New Roman"/>
          <w:highlight w:val="none"/>
        </w:rPr>
        <w:t>1.2 最高限价</w:t>
      </w:r>
    </w:p>
    <w:p w14:paraId="423F8A8D">
      <w:pPr>
        <w:ind w:firstLine="42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本项目最高限价为：</w:t>
      </w:r>
      <w:r>
        <w:rPr>
          <w:rFonts w:ascii="Times New Roman" w:hAnsi="Times New Roman"/>
          <w:color w:val="auto"/>
          <w:highlight w:val="none"/>
          <w:u w:val="single"/>
          <w:shd w:val="clear" w:color="auto" w:fill="auto"/>
        </w:rPr>
        <w:t>190万元整</w:t>
      </w:r>
      <w:r>
        <w:rPr>
          <w:rFonts w:hint="eastAsia" w:ascii="Times New Roman" w:hAnsi="Times New Roman"/>
          <w:color w:val="auto"/>
          <w:highlight w:val="none"/>
          <w:shd w:val="clear" w:color="auto" w:fill="auto"/>
        </w:rPr>
        <w:t>（人民币大写：</w:t>
      </w:r>
      <w:r>
        <w:rPr>
          <w:rFonts w:ascii="Times New Roman" w:hAnsi="Times New Roman"/>
          <w:color w:val="auto"/>
          <w:highlight w:val="none"/>
          <w:u w:val="single"/>
          <w:shd w:val="clear" w:color="auto" w:fill="auto"/>
        </w:rPr>
        <w:t>壹佰玖拾万元整</w:t>
      </w:r>
      <w:r>
        <w:rPr>
          <w:rFonts w:hint="eastAsia" w:ascii="Times New Roman" w:hAnsi="Times New Roman"/>
          <w:color w:val="auto"/>
          <w:highlight w:val="none"/>
          <w:shd w:val="clear" w:color="auto" w:fill="auto"/>
        </w:rPr>
        <w:t>）。</w:t>
      </w:r>
    </w:p>
    <w:p w14:paraId="6F54B8DA">
      <w:pPr>
        <w:pStyle w:val="5"/>
        <w:rPr>
          <w:rFonts w:ascii="Times New Roman" w:hAnsi="Times New Roman"/>
          <w:highlight w:val="none"/>
        </w:rPr>
      </w:pPr>
      <w:r>
        <w:rPr>
          <w:rFonts w:hint="eastAsia" w:ascii="Times New Roman" w:hAnsi="Times New Roman"/>
          <w:highlight w:val="none"/>
        </w:rPr>
        <w:t>1.3 项目概况</w:t>
      </w:r>
    </w:p>
    <w:bookmarkEnd w:id="38"/>
    <w:p w14:paraId="2560E730">
      <w:pPr>
        <w:ind w:firstLine="480" w:firstLineChars="200"/>
        <w:rPr>
          <w:rFonts w:hint="eastAsia"/>
          <w:highlight w:val="none"/>
        </w:rPr>
      </w:pPr>
      <w:bookmarkStart w:id="39" w:name="_Toc89675161"/>
      <w:r>
        <w:rPr>
          <w:rFonts w:hint="eastAsia"/>
          <w:highlight w:val="none"/>
        </w:rPr>
        <w:t>根据《重庆市银行机构绿色融资业绩评价办法》《银行业保险业绿色金融指引》《绿色贷款专项统计制度》等相关要求，为优化我行绿色金融授信业务流程、提高绿色信贷标识准确性并符合监管规定，尽快建立和完善绿色信贷智能识别管理流程，有效助力绿色信贷管理工作开展等，我行拟通过与“合格、独立的第三方”合作，建设我行绿色金融管理系统，助力我行加快绿色金融领域的数字化转型。</w:t>
      </w:r>
    </w:p>
    <w:p w14:paraId="4ED70CD5">
      <w:pPr>
        <w:pStyle w:val="5"/>
        <w:rPr>
          <w:rFonts w:ascii="Times New Roman" w:hAnsi="Times New Roman"/>
          <w:highlight w:val="none"/>
        </w:rPr>
      </w:pPr>
      <w:r>
        <w:rPr>
          <w:rFonts w:hint="eastAsia" w:ascii="Times New Roman" w:hAnsi="Times New Roman"/>
          <w:highlight w:val="none"/>
        </w:rPr>
        <w:t>1.4 项目目标</w:t>
      </w:r>
    </w:p>
    <w:p w14:paraId="19AF3911">
      <w:pPr>
        <w:ind w:firstLine="480" w:firstLineChars="200"/>
        <w:rPr>
          <w:highlight w:val="none"/>
        </w:rPr>
      </w:pPr>
      <w:r>
        <w:rPr>
          <w:rFonts w:hAnsi="Times New Roman" w:cs="Times New Roman"/>
          <w:highlight w:val="none"/>
        </w:rPr>
        <w:t>绿色金融管理系统可为我行绿色信贷业务的高效开展和快速规范增长提供强有力的支撑，我行对外发布了《“碳达峰、碳中和”金融行动方案》，开启深入践行绿色发展理念、加快推进高质量发展的新篇章。建设绿色金融业务管理系统，可成为推进我行绿色金融发展战略的切入点、以及创造差异化优势及提升客户服务能力的有力工具，有助于我行打造良好的绿色金融品牌、树立积极支持绿色发展的良好形象。</w:t>
      </w:r>
    </w:p>
    <w:p w14:paraId="14F68A9C">
      <w:pPr>
        <w:pStyle w:val="4"/>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9"/>
    </w:p>
    <w:p w14:paraId="777D7288">
      <w:pPr>
        <w:ind w:firstLine="420"/>
        <w:outlineLvl w:val="2"/>
        <w:rPr>
          <w:rFonts w:ascii="Times New Roman" w:hAnsi="Times New Roman"/>
          <w:highlight w:val="none"/>
        </w:rPr>
      </w:pPr>
      <w:r>
        <w:rPr>
          <w:rFonts w:hint="eastAsia" w:ascii="Times New Roman" w:hAnsi="Times New Roman"/>
          <w:highlight w:val="none"/>
        </w:rPr>
        <w:t>2.1 合格参选人条件</w:t>
      </w:r>
    </w:p>
    <w:p w14:paraId="6B28440F">
      <w:pPr>
        <w:ind w:firstLine="420"/>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442005BE">
      <w:pPr>
        <w:ind w:firstLine="420"/>
        <w:outlineLvl w:val="2"/>
        <w:rPr>
          <w:rFonts w:ascii="Times New Roman" w:hAnsi="Times New Roman"/>
          <w:highlight w:val="none"/>
        </w:rPr>
      </w:pPr>
      <w:r>
        <w:rPr>
          <w:rFonts w:hint="eastAsia" w:ascii="Times New Roman" w:hAnsi="Times New Roman"/>
          <w:highlight w:val="none"/>
        </w:rPr>
        <w:t>2.2 参选人的风险</w:t>
      </w:r>
    </w:p>
    <w:p w14:paraId="0166C282">
      <w:pPr>
        <w:ind w:firstLine="420"/>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611258F0">
      <w:pPr>
        <w:pStyle w:val="4"/>
        <w:rPr>
          <w:rFonts w:ascii="Times New Roman" w:hAnsi="Times New Roman"/>
          <w:highlight w:val="none"/>
        </w:rPr>
      </w:pPr>
      <w:bookmarkStart w:id="40" w:name="_Toc89675162"/>
      <w:r>
        <w:rPr>
          <w:rFonts w:hint="eastAsia" w:ascii="Times New Roman" w:hAnsi="Times New Roman"/>
          <w:highlight w:val="none"/>
        </w:rPr>
        <w:t>3. 比选文件</w:t>
      </w:r>
      <w:bookmarkEnd w:id="40"/>
    </w:p>
    <w:p w14:paraId="42377952">
      <w:pPr>
        <w:ind w:firstLine="420"/>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47EDE6D4">
      <w:pPr>
        <w:ind w:firstLine="420"/>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054DB72E">
      <w:pPr>
        <w:pStyle w:val="4"/>
        <w:rPr>
          <w:rFonts w:ascii="Times New Roman" w:hAnsi="Times New Roman"/>
          <w:highlight w:val="none"/>
        </w:rPr>
      </w:pPr>
      <w:bookmarkStart w:id="41" w:name="_Toc89675163"/>
      <w:r>
        <w:rPr>
          <w:rFonts w:hint="eastAsia" w:ascii="Times New Roman" w:hAnsi="Times New Roman"/>
          <w:highlight w:val="none"/>
        </w:rPr>
        <w:t xml:space="preserve">4. </w:t>
      </w:r>
      <w:r>
        <w:rPr>
          <w:rFonts w:ascii="Times New Roman" w:hAnsi="Times New Roman"/>
          <w:highlight w:val="none"/>
        </w:rPr>
        <w:t>参选</w:t>
      </w:r>
      <w:bookmarkEnd w:id="41"/>
    </w:p>
    <w:p w14:paraId="14628D69">
      <w:pPr>
        <w:ind w:firstLine="420"/>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036675E0">
      <w:pPr>
        <w:pStyle w:val="5"/>
        <w:ind w:firstLine="420"/>
        <w:rPr>
          <w:rFonts w:ascii="Times New Roman" w:hAnsi="Times New Roman"/>
          <w:highlight w:val="none"/>
        </w:rPr>
      </w:pPr>
      <w:r>
        <w:rPr>
          <w:rFonts w:hint="eastAsia" w:ascii="Times New Roman" w:hAnsi="Times New Roman"/>
          <w:highlight w:val="none"/>
        </w:rPr>
        <w:t>4.1 参选文件组成</w:t>
      </w:r>
    </w:p>
    <w:p w14:paraId="613B39A6">
      <w:pPr>
        <w:ind w:firstLine="420"/>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728E2320">
      <w:pPr>
        <w:pStyle w:val="5"/>
        <w:ind w:firstLine="420"/>
        <w:rPr>
          <w:rFonts w:ascii="Times New Roman" w:hAnsi="Times New Roman"/>
          <w:highlight w:val="none"/>
        </w:rPr>
      </w:pPr>
      <w:r>
        <w:rPr>
          <w:rFonts w:hint="eastAsia" w:ascii="Times New Roman" w:hAnsi="Times New Roman"/>
          <w:highlight w:val="none"/>
        </w:rPr>
        <w:t>4.2 联合参选</w:t>
      </w:r>
    </w:p>
    <w:p w14:paraId="07775024">
      <w:pPr>
        <w:ind w:firstLine="420"/>
        <w:rPr>
          <w:rFonts w:ascii="Times New Roman" w:hAnsi="Times New Roman"/>
          <w:highlight w:val="none"/>
        </w:rPr>
      </w:pPr>
      <w:r>
        <w:rPr>
          <w:rFonts w:hint="eastAsia" w:ascii="Times New Roman" w:hAnsi="Times New Roman"/>
          <w:highlight w:val="none"/>
        </w:rPr>
        <w:t>本比选项目不接受联合参选</w:t>
      </w:r>
    </w:p>
    <w:p w14:paraId="3D876422">
      <w:pPr>
        <w:pStyle w:val="5"/>
        <w:ind w:firstLine="420"/>
        <w:rPr>
          <w:rFonts w:ascii="Times New Roman" w:hAnsi="Times New Roman"/>
          <w:highlight w:val="none"/>
        </w:rPr>
      </w:pPr>
      <w:r>
        <w:rPr>
          <w:rFonts w:hint="eastAsia" w:ascii="Times New Roman" w:hAnsi="Times New Roman"/>
          <w:highlight w:val="none"/>
        </w:rPr>
        <w:t>4.3 参选有效期</w:t>
      </w:r>
    </w:p>
    <w:p w14:paraId="73161BDC">
      <w:pPr>
        <w:ind w:firstLine="420"/>
        <w:rPr>
          <w:rFonts w:ascii="Times New Roman" w:hAnsi="Times New Roman"/>
          <w:highlight w:val="none"/>
        </w:rPr>
      </w:pPr>
      <w:r>
        <w:rPr>
          <w:rFonts w:hint="eastAsia" w:ascii="Times New Roman" w:hAnsi="Times New Roman"/>
          <w:highlight w:val="none"/>
        </w:rPr>
        <w:t>参选有效期为参选截止日期后90天内。</w:t>
      </w:r>
    </w:p>
    <w:p w14:paraId="67A39189">
      <w:pPr>
        <w:pStyle w:val="5"/>
        <w:ind w:firstLine="420"/>
        <w:rPr>
          <w:rFonts w:ascii="Times New Roman" w:hAnsi="Times New Roman"/>
          <w:highlight w:val="none"/>
        </w:rPr>
      </w:pPr>
      <w:r>
        <w:rPr>
          <w:rFonts w:hint="eastAsia" w:ascii="Times New Roman" w:hAnsi="Times New Roman"/>
          <w:highlight w:val="none"/>
        </w:rPr>
        <w:t>4.4 参选保证金</w:t>
      </w:r>
    </w:p>
    <w:p w14:paraId="79C2DCCD">
      <w:pPr>
        <w:ind w:firstLine="420"/>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574AF4FC">
      <w:pPr>
        <w:ind w:firstLine="420"/>
        <w:rPr>
          <w:rFonts w:ascii="Times New Roman" w:hAnsi="Times New Roman"/>
          <w:highlight w:val="none"/>
        </w:rPr>
      </w:pPr>
      <w:r>
        <w:rPr>
          <w:rFonts w:hint="eastAsia" w:ascii="Times New Roman" w:hAnsi="Times New Roman"/>
          <w:highlight w:val="none"/>
        </w:rPr>
        <w:t>4.4.2 参选保证金为参选的有效约束条件。</w:t>
      </w:r>
    </w:p>
    <w:p w14:paraId="6FF8D5FA">
      <w:pPr>
        <w:ind w:firstLine="420"/>
        <w:rPr>
          <w:rFonts w:ascii="Times New Roman" w:hAnsi="Times New Roman"/>
          <w:highlight w:val="none"/>
        </w:rPr>
      </w:pPr>
      <w:r>
        <w:rPr>
          <w:rFonts w:hint="eastAsia" w:ascii="Times New Roman" w:hAnsi="Times New Roman"/>
          <w:highlight w:val="none"/>
        </w:rPr>
        <w:t>4.4.3 参选保证金有效期与参选文件有效期一致。</w:t>
      </w:r>
    </w:p>
    <w:p w14:paraId="3F72DEBC">
      <w:pPr>
        <w:ind w:firstLine="420"/>
        <w:rPr>
          <w:rFonts w:ascii="Times New Roman" w:hAnsi="Times New Roman"/>
          <w:highlight w:val="none"/>
        </w:rPr>
      </w:pPr>
      <w:r>
        <w:rPr>
          <w:rFonts w:hint="eastAsia" w:ascii="Times New Roman" w:hAnsi="Times New Roman"/>
          <w:highlight w:val="none"/>
        </w:rPr>
        <w:t>4.4.4 参选保证金币种应与参选报价币种相同。</w:t>
      </w:r>
    </w:p>
    <w:p w14:paraId="3FFC7BC9">
      <w:pPr>
        <w:ind w:firstLine="420"/>
        <w:rPr>
          <w:rFonts w:ascii="Times New Roman" w:hAnsi="Times New Roman"/>
          <w:highlight w:val="none"/>
        </w:rPr>
      </w:pPr>
      <w:r>
        <w:rPr>
          <w:rFonts w:hint="eastAsia" w:ascii="Times New Roman" w:hAnsi="Times New Roman"/>
          <w:highlight w:val="none"/>
        </w:rPr>
        <w:t>4.4.5 参选保证金的退还：</w:t>
      </w:r>
    </w:p>
    <w:p w14:paraId="23921A69">
      <w:pPr>
        <w:ind w:firstLine="420"/>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32A952F3">
      <w:pPr>
        <w:ind w:firstLine="420"/>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2D0CB04C">
      <w:pPr>
        <w:ind w:firstLine="420"/>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41C60E58">
      <w:pPr>
        <w:ind w:firstLine="420"/>
        <w:rPr>
          <w:rFonts w:ascii="Times New Roman" w:hAnsi="Times New Roman"/>
          <w:highlight w:val="none"/>
        </w:rPr>
      </w:pPr>
      <w:r>
        <w:rPr>
          <w:rFonts w:hint="eastAsia" w:ascii="Times New Roman" w:hAnsi="Times New Roman"/>
          <w:highlight w:val="none"/>
        </w:rPr>
        <w:t>4.4.6 参选人有下列情形之一的，参选保证金将不予退还：</w:t>
      </w:r>
    </w:p>
    <w:p w14:paraId="351D16EA">
      <w:pPr>
        <w:ind w:firstLine="420"/>
        <w:rPr>
          <w:rFonts w:ascii="Times New Roman" w:hAnsi="Times New Roman"/>
          <w:highlight w:val="none"/>
        </w:rPr>
      </w:pPr>
      <w:r>
        <w:rPr>
          <w:rFonts w:hint="eastAsia" w:ascii="Times New Roman" w:hAnsi="Times New Roman"/>
          <w:highlight w:val="none"/>
        </w:rPr>
        <w:t>4.4.6.1 参选人在参选有效期内撤销参选文件的；</w:t>
      </w:r>
    </w:p>
    <w:p w14:paraId="180618CE">
      <w:pPr>
        <w:ind w:firstLine="420"/>
        <w:rPr>
          <w:rFonts w:ascii="Times New Roman" w:hAnsi="Times New Roman"/>
          <w:highlight w:val="none"/>
        </w:rPr>
      </w:pPr>
      <w:r>
        <w:rPr>
          <w:rFonts w:hint="eastAsia" w:ascii="Times New Roman" w:hAnsi="Times New Roman"/>
          <w:highlight w:val="none"/>
        </w:rPr>
        <w:t>4.4.6.2 参选人在参选过程中弄虚作假，提供虚假材料的；</w:t>
      </w:r>
    </w:p>
    <w:p w14:paraId="17394E73">
      <w:pPr>
        <w:ind w:firstLine="420"/>
        <w:rPr>
          <w:rFonts w:ascii="Times New Roman" w:hAnsi="Times New Roman"/>
          <w:highlight w:val="none"/>
        </w:rPr>
      </w:pPr>
      <w:r>
        <w:rPr>
          <w:rFonts w:hint="eastAsia" w:ascii="Times New Roman" w:hAnsi="Times New Roman"/>
          <w:highlight w:val="none"/>
        </w:rPr>
        <w:t>4.4.6.3 中选人无正当理由不与比选人签订合同的；</w:t>
      </w:r>
    </w:p>
    <w:p w14:paraId="6E4A567A">
      <w:pPr>
        <w:ind w:firstLine="420"/>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670FD0CF">
      <w:pPr>
        <w:ind w:firstLine="420"/>
        <w:rPr>
          <w:rFonts w:ascii="Times New Roman" w:hAnsi="Times New Roman"/>
          <w:highlight w:val="none"/>
        </w:rPr>
      </w:pPr>
      <w:r>
        <w:rPr>
          <w:rFonts w:hint="eastAsia" w:ascii="Times New Roman" w:hAnsi="Times New Roman"/>
          <w:highlight w:val="none"/>
        </w:rPr>
        <w:t>4.4.6.5 中选人拒绝履行合同义务的；</w:t>
      </w:r>
    </w:p>
    <w:p w14:paraId="2CC66A86">
      <w:pPr>
        <w:ind w:firstLine="420"/>
        <w:rPr>
          <w:rFonts w:ascii="Times New Roman" w:hAnsi="Times New Roman"/>
          <w:highlight w:val="none"/>
        </w:rPr>
      </w:pPr>
      <w:r>
        <w:rPr>
          <w:rFonts w:hint="eastAsia" w:ascii="Times New Roman" w:hAnsi="Times New Roman"/>
          <w:highlight w:val="none"/>
        </w:rPr>
        <w:t>4.4.6.6 其他严重扰乱比选程序的；</w:t>
      </w:r>
    </w:p>
    <w:p w14:paraId="5AD0CBDA">
      <w:pPr>
        <w:pStyle w:val="5"/>
        <w:rPr>
          <w:rFonts w:ascii="Times New Roman" w:hAnsi="Times New Roman"/>
          <w:highlight w:val="none"/>
        </w:rPr>
      </w:pPr>
      <w:r>
        <w:rPr>
          <w:rFonts w:hint="eastAsia" w:ascii="Times New Roman" w:hAnsi="Times New Roman"/>
          <w:highlight w:val="none"/>
        </w:rPr>
        <w:t>4.5 参选文件的份数和签署</w:t>
      </w:r>
    </w:p>
    <w:p w14:paraId="12C7674E">
      <w:pPr>
        <w:bidi w:val="0"/>
        <w:rPr>
          <w:color w:val="auto"/>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电子文件应为参选文件盖章后的PDF格式扫描件，文件名为“参选人单位名简称+项目名简称”，并单独装入信封中密封，并在信封表面加盖鲜章（公章）。</w:t>
      </w:r>
    </w:p>
    <w:p w14:paraId="7BC2E8FB">
      <w:pPr>
        <w:ind w:firstLine="420"/>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533BECB8">
      <w:pPr>
        <w:ind w:firstLine="420"/>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318A97E0">
      <w:pPr>
        <w:ind w:firstLine="420"/>
        <w:rPr>
          <w:rFonts w:ascii="Times New Roman" w:hAnsi="Times New Roman"/>
          <w:highlight w:val="none"/>
        </w:rPr>
      </w:pPr>
      <w:r>
        <w:rPr>
          <w:rFonts w:hint="eastAsia" w:ascii="Times New Roman" w:hAnsi="Times New Roman"/>
          <w:highlight w:val="none"/>
        </w:rPr>
        <w:t>4.5.4 电报、电话、邮寄、传真形式的参选文件概不接受。</w:t>
      </w:r>
    </w:p>
    <w:p w14:paraId="2B76087B">
      <w:pPr>
        <w:pStyle w:val="5"/>
        <w:rPr>
          <w:rFonts w:ascii="Times New Roman" w:hAnsi="Times New Roman"/>
          <w:highlight w:val="none"/>
        </w:rPr>
      </w:pPr>
      <w:r>
        <w:rPr>
          <w:rFonts w:hint="eastAsia" w:ascii="Times New Roman" w:hAnsi="Times New Roman"/>
          <w:highlight w:val="none"/>
        </w:rPr>
        <w:t>4.6 参选文件的密封与标记</w:t>
      </w:r>
    </w:p>
    <w:p w14:paraId="5F87ACB2">
      <w:pPr>
        <w:ind w:firstLine="420"/>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19FC59CA">
      <w:pPr>
        <w:ind w:firstLine="420"/>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07F1BCA1">
      <w:pPr>
        <w:pStyle w:val="5"/>
        <w:rPr>
          <w:rFonts w:ascii="Times New Roman" w:hAnsi="Times New Roman"/>
          <w:highlight w:val="none"/>
        </w:rPr>
      </w:pPr>
      <w:r>
        <w:rPr>
          <w:rFonts w:hint="eastAsia" w:ascii="Times New Roman" w:hAnsi="Times New Roman"/>
          <w:highlight w:val="none"/>
        </w:rPr>
        <w:t>4.7 参选报价</w:t>
      </w:r>
    </w:p>
    <w:p w14:paraId="73914538">
      <w:pPr>
        <w:ind w:firstLine="420"/>
        <w:rPr>
          <w:rFonts w:ascii="Times New Roman" w:hAnsi="Times New Roman"/>
          <w:highlight w:val="none"/>
        </w:rPr>
      </w:pPr>
      <w:r>
        <w:rPr>
          <w:rFonts w:hint="eastAsia" w:ascii="Times New Roman" w:hAnsi="Times New Roman"/>
          <w:highlight w:val="none"/>
        </w:rPr>
        <w:t>4.7.1 参选人应严格按照</w:t>
      </w:r>
      <w:r>
        <w:rPr>
          <w:rFonts w:hint="eastAsia" w:ascii="Times New Roman" w:hAnsi="Times New Roman"/>
          <w:highlight w:val="none"/>
          <w:lang w:val="en-US" w:eastAsia="zh-CN"/>
        </w:rPr>
        <w:t>第三章的要求及</w:t>
      </w:r>
      <w:r>
        <w:rPr>
          <w:rFonts w:hint="eastAsia" w:ascii="Times New Roman" w:hAnsi="Times New Roman"/>
          <w:highlight w:val="none"/>
        </w:rPr>
        <w:t>“参选文件格式”填写报价。</w:t>
      </w:r>
    </w:p>
    <w:p w14:paraId="07A62677">
      <w:pPr>
        <w:ind w:firstLine="420"/>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7097F3F3">
      <w:pPr>
        <w:ind w:firstLine="420"/>
        <w:rPr>
          <w:rFonts w:hint="eastAsia"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1505876F">
      <w:pPr>
        <w:ind w:left="0" w:leftChars="0" w:firstLine="420"/>
        <w:rPr>
          <w:highlight w:val="none"/>
        </w:rPr>
      </w:pPr>
      <w:r>
        <w:rPr>
          <w:rFonts w:hint="eastAsia" w:ascii="Times New Roman" w:hAnsi="Times New Roman"/>
          <w:highlight w:val="none"/>
        </w:rPr>
        <w:t xml:space="preserve">4.7.4 </w:t>
      </w:r>
      <w:r>
        <w:rPr>
          <w:rFonts w:hint="eastAsia"/>
          <w:highlight w:val="none"/>
        </w:rPr>
        <w:t>参选报价不得高于最高限价。</w:t>
      </w:r>
    </w:p>
    <w:p w14:paraId="306FDB9B">
      <w:pPr>
        <w:pStyle w:val="2"/>
        <w:rPr>
          <w:highlight w:val="none"/>
        </w:rPr>
      </w:pPr>
    </w:p>
    <w:p w14:paraId="7D89CE94">
      <w:pPr>
        <w:pStyle w:val="5"/>
        <w:rPr>
          <w:rFonts w:ascii="Times New Roman" w:hAnsi="Times New Roman"/>
          <w:highlight w:val="none"/>
        </w:rPr>
      </w:pPr>
      <w:r>
        <w:rPr>
          <w:rFonts w:hint="eastAsia" w:ascii="Times New Roman" w:hAnsi="Times New Roman"/>
          <w:highlight w:val="none"/>
        </w:rPr>
        <w:t>4.8 修正错误</w:t>
      </w:r>
    </w:p>
    <w:p w14:paraId="10CFD611">
      <w:pPr>
        <w:ind w:firstLine="420"/>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4FA3526A">
      <w:pPr>
        <w:ind w:firstLine="420"/>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268C4F98">
      <w:pPr>
        <w:ind w:firstLine="420"/>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220DE89A">
      <w:pPr>
        <w:ind w:firstLine="420"/>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7925B59C">
      <w:pPr>
        <w:ind w:firstLine="420"/>
        <w:rPr>
          <w:rFonts w:ascii="Times New Roman" w:hAnsi="Times New Roman"/>
          <w:highlight w:val="none"/>
        </w:rPr>
      </w:pPr>
      <w:r>
        <w:rPr>
          <w:rFonts w:hint="eastAsia" w:ascii="Times New Roman" w:hAnsi="Times New Roman"/>
          <w:highlight w:val="none"/>
        </w:rPr>
        <w:t>4.8.4 对不同文字文本参选文件的解释发生异议的，以中文文本为准。</w:t>
      </w:r>
    </w:p>
    <w:p w14:paraId="0C073223">
      <w:pPr>
        <w:ind w:firstLine="420"/>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5959AEB6">
      <w:pPr>
        <w:pStyle w:val="4"/>
        <w:rPr>
          <w:rFonts w:ascii="Times New Roman" w:hAnsi="Times New Roman"/>
          <w:highlight w:val="none"/>
        </w:rPr>
      </w:pPr>
      <w:bookmarkStart w:id="42" w:name="_Toc89675166"/>
      <w:r>
        <w:rPr>
          <w:rFonts w:hint="eastAsia" w:ascii="Times New Roman" w:hAnsi="Times New Roman"/>
          <w:highlight w:val="none"/>
        </w:rPr>
        <w:t>5. 比选程序</w:t>
      </w:r>
    </w:p>
    <w:p w14:paraId="161F8A07">
      <w:pPr>
        <w:ind w:firstLine="420"/>
        <w:rPr>
          <w:rFonts w:ascii="Times New Roman" w:hAnsi="Times New Roman"/>
          <w:highlight w:val="none"/>
        </w:rPr>
      </w:pPr>
      <w:r>
        <w:rPr>
          <w:rFonts w:hint="eastAsia" w:ascii="Times New Roman" w:hAnsi="Times New Roman"/>
          <w:highlight w:val="none"/>
        </w:rPr>
        <w:t>主持人按下列程序进行比选：</w:t>
      </w:r>
    </w:p>
    <w:p w14:paraId="63326B8F">
      <w:pPr>
        <w:ind w:firstLine="420"/>
        <w:rPr>
          <w:rFonts w:ascii="Times New Roman" w:hAnsi="Times New Roman"/>
          <w:highlight w:val="none"/>
        </w:rPr>
      </w:pPr>
      <w:r>
        <w:rPr>
          <w:rFonts w:hint="eastAsia" w:ascii="Times New Roman" w:hAnsi="Times New Roman"/>
          <w:highlight w:val="none"/>
        </w:rPr>
        <w:t>5.1 宣布比选纪律；</w:t>
      </w:r>
    </w:p>
    <w:p w14:paraId="3EFEADC1">
      <w:pPr>
        <w:ind w:firstLine="420"/>
        <w:rPr>
          <w:rFonts w:ascii="Times New Roman" w:hAnsi="Times New Roman"/>
          <w:highlight w:val="none"/>
        </w:rPr>
      </w:pPr>
      <w:r>
        <w:rPr>
          <w:rFonts w:hint="eastAsia" w:ascii="Times New Roman" w:hAnsi="Times New Roman"/>
          <w:highlight w:val="none"/>
        </w:rPr>
        <w:t>5.2 宣布比选人、唱标人、记录人、监督人等有关人员姓名；</w:t>
      </w:r>
    </w:p>
    <w:p w14:paraId="6AC35344">
      <w:pPr>
        <w:ind w:firstLine="420"/>
        <w:rPr>
          <w:rFonts w:ascii="Times New Roman" w:hAnsi="Times New Roman"/>
          <w:highlight w:val="none"/>
        </w:rPr>
      </w:pPr>
      <w:r>
        <w:rPr>
          <w:rFonts w:hint="eastAsia" w:ascii="Times New Roman" w:hAnsi="Times New Roman"/>
          <w:highlight w:val="none"/>
        </w:rPr>
        <w:t>5.3 公布在比选截止时间前递交参选文件的参选人名称，并点名确认参选人是否派人到场；</w:t>
      </w:r>
    </w:p>
    <w:p w14:paraId="450EE2E0">
      <w:pPr>
        <w:ind w:firstLine="420"/>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68196955">
      <w:pPr>
        <w:ind w:firstLine="420"/>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169006D6">
      <w:pPr>
        <w:ind w:firstLine="420"/>
        <w:rPr>
          <w:rFonts w:ascii="Times New Roman" w:hAnsi="Times New Roman"/>
          <w:highlight w:val="none"/>
        </w:rPr>
      </w:pPr>
      <w:r>
        <w:rPr>
          <w:rFonts w:hint="eastAsia" w:ascii="Times New Roman" w:hAnsi="Times New Roman"/>
          <w:highlight w:val="none"/>
        </w:rPr>
        <w:t>5.6 设有最高限价的，公布最高限价；</w:t>
      </w:r>
    </w:p>
    <w:p w14:paraId="1183EC57">
      <w:pPr>
        <w:ind w:firstLine="420"/>
        <w:rPr>
          <w:rFonts w:ascii="Times New Roman" w:hAnsi="Times New Roman"/>
          <w:highlight w:val="none"/>
        </w:rPr>
      </w:pPr>
      <w:r>
        <w:rPr>
          <w:rFonts w:hint="eastAsia" w:ascii="Times New Roman" w:hAnsi="Times New Roman"/>
          <w:highlight w:val="none"/>
        </w:rPr>
        <w:t>5.7 开启参选文件；</w:t>
      </w:r>
    </w:p>
    <w:p w14:paraId="56070A27">
      <w:pPr>
        <w:ind w:firstLine="420"/>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68FDB4C0">
      <w:pPr>
        <w:ind w:firstLine="420"/>
        <w:rPr>
          <w:rFonts w:ascii="Times New Roman" w:hAnsi="Times New Roman"/>
          <w:highlight w:val="none"/>
        </w:rPr>
      </w:pPr>
      <w:r>
        <w:rPr>
          <w:rFonts w:hint="eastAsia" w:ascii="Times New Roman" w:hAnsi="Times New Roman"/>
          <w:highlight w:val="none"/>
        </w:rPr>
        <w:t>5.9 比选结束。</w:t>
      </w:r>
    </w:p>
    <w:p w14:paraId="184AF7B2">
      <w:pPr>
        <w:pStyle w:val="4"/>
        <w:rPr>
          <w:rFonts w:ascii="Times New Roman" w:hAnsi="Times New Roman"/>
          <w:highlight w:val="none"/>
        </w:rPr>
      </w:pPr>
      <w:r>
        <w:rPr>
          <w:rFonts w:hint="eastAsia" w:ascii="Times New Roman" w:hAnsi="Times New Roman"/>
          <w:highlight w:val="none"/>
        </w:rPr>
        <w:t>6. 评审</w:t>
      </w:r>
    </w:p>
    <w:p w14:paraId="725F5504">
      <w:pPr>
        <w:ind w:firstLine="420"/>
        <w:rPr>
          <w:rFonts w:ascii="Times New Roman" w:hAnsi="Times New Roman"/>
          <w:highlight w:val="none"/>
        </w:rPr>
      </w:pPr>
      <w:r>
        <w:rPr>
          <w:rFonts w:hint="eastAsia" w:ascii="Times New Roman" w:hAnsi="Times New Roman"/>
          <w:highlight w:val="none"/>
        </w:rPr>
        <w:t>见第四章内容。</w:t>
      </w:r>
    </w:p>
    <w:p w14:paraId="6782FF3C">
      <w:pPr>
        <w:pStyle w:val="4"/>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42"/>
    </w:p>
    <w:p w14:paraId="1B08D666">
      <w:pPr>
        <w:ind w:firstLine="420"/>
        <w:rPr>
          <w:rFonts w:ascii="Times New Roman" w:hAnsi="Times New Roman"/>
          <w:highlight w:val="none"/>
        </w:rPr>
      </w:pPr>
      <w:r>
        <w:rPr>
          <w:rFonts w:hint="eastAsia" w:ascii="Times New Roman" w:hAnsi="Times New Roman"/>
          <w:highlight w:val="none"/>
        </w:rPr>
        <w:t>7.1 定选原则</w:t>
      </w:r>
    </w:p>
    <w:p w14:paraId="64CF4856">
      <w:pPr>
        <w:ind w:firstLine="420"/>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5FC5BAE8">
      <w:pPr>
        <w:ind w:firstLine="420"/>
        <w:rPr>
          <w:rFonts w:ascii="Times New Roman" w:hAnsi="Times New Roman"/>
          <w:highlight w:val="none"/>
        </w:rPr>
      </w:pPr>
      <w:r>
        <w:rPr>
          <w:rFonts w:hint="eastAsia" w:ascii="Times New Roman" w:hAnsi="Times New Roman"/>
          <w:highlight w:val="none"/>
        </w:rPr>
        <w:t>7.2 不承诺最低价格中选。</w:t>
      </w:r>
    </w:p>
    <w:p w14:paraId="61E09D75">
      <w:pPr>
        <w:ind w:firstLine="420"/>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4A031617">
      <w:pPr>
        <w:pStyle w:val="4"/>
        <w:rPr>
          <w:rFonts w:ascii="Times New Roman" w:hAnsi="Times New Roman"/>
          <w:highlight w:val="none"/>
        </w:rPr>
      </w:pPr>
      <w:bookmarkStart w:id="43" w:name="_Toc12245"/>
      <w:bookmarkStart w:id="44" w:name="_Toc89675168"/>
      <w:r>
        <w:rPr>
          <w:rFonts w:hint="eastAsia" w:ascii="Times New Roman" w:hAnsi="Times New Roman"/>
          <w:highlight w:val="none"/>
        </w:rPr>
        <w:t>8. 签订合同</w:t>
      </w:r>
      <w:bookmarkEnd w:id="43"/>
      <w:bookmarkEnd w:id="44"/>
    </w:p>
    <w:p w14:paraId="7ABBD927">
      <w:pPr>
        <w:ind w:firstLine="420"/>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1C813BE4">
      <w:pPr>
        <w:ind w:firstLine="420"/>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6E5437A3">
      <w:pPr>
        <w:ind w:firstLine="420"/>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2561AE9D">
      <w:pPr>
        <w:ind w:firstLine="420"/>
        <w:rPr>
          <w:rFonts w:ascii="Times New Roman" w:hAnsi="Times New Roman"/>
          <w:highlight w:val="none"/>
        </w:rPr>
      </w:pPr>
      <w:r>
        <w:rPr>
          <w:rFonts w:hint="eastAsia" w:ascii="Times New Roman" w:hAnsi="Times New Roman"/>
          <w:highlight w:val="none"/>
        </w:rPr>
        <w:t>8.4 签订合同后，若中选人无法按要求履约，比选人可以废除中选人资格，并可选择按照中选候选人顺位与下一候选人签订合同。</w:t>
      </w:r>
    </w:p>
    <w:p w14:paraId="569DBF05">
      <w:pPr>
        <w:ind w:firstLine="420"/>
        <w:rPr>
          <w:rFonts w:ascii="Times New Roman" w:hAnsi="Times New Roman"/>
          <w:highlight w:val="none"/>
        </w:rPr>
      </w:pPr>
      <w:r>
        <w:rPr>
          <w:rFonts w:hint="eastAsia" w:ascii="Times New Roman" w:hAnsi="Times New Roman"/>
          <w:highlight w:val="none"/>
        </w:rPr>
        <w:t>8.5 该项目不允许任何形式的转包。</w:t>
      </w:r>
    </w:p>
    <w:p w14:paraId="7262C2B0">
      <w:pPr>
        <w:pStyle w:val="4"/>
        <w:rPr>
          <w:rFonts w:ascii="Times New Roman" w:hAnsi="Times New Roman"/>
          <w:highlight w:val="none"/>
        </w:rPr>
      </w:pPr>
      <w:r>
        <w:rPr>
          <w:rFonts w:hint="eastAsia" w:ascii="Times New Roman" w:hAnsi="Times New Roman"/>
          <w:highlight w:val="none"/>
        </w:rPr>
        <w:t>9. 纪律与要求</w:t>
      </w:r>
    </w:p>
    <w:p w14:paraId="6F9B4C1F">
      <w:pPr>
        <w:ind w:firstLine="420"/>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643F957D">
      <w:pPr>
        <w:ind w:firstLine="420"/>
        <w:rPr>
          <w:rFonts w:ascii="Times New Roman" w:hAnsi="Times New Roman"/>
          <w:highlight w:val="none"/>
        </w:rPr>
      </w:pPr>
      <w:r>
        <w:rPr>
          <w:rFonts w:hint="eastAsia" w:ascii="Times New Roman" w:hAnsi="Times New Roman"/>
          <w:highlight w:val="none"/>
        </w:rPr>
        <w:t>9.1 有下列情形之一的，属于参选人相互串通参选：</w:t>
      </w:r>
    </w:p>
    <w:p w14:paraId="6FD6E65F">
      <w:pPr>
        <w:ind w:firstLine="420"/>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62DE6360">
      <w:pPr>
        <w:ind w:firstLine="420"/>
        <w:rPr>
          <w:rFonts w:ascii="Times New Roman" w:hAnsi="Times New Roman"/>
          <w:highlight w:val="none"/>
        </w:rPr>
      </w:pPr>
      <w:r>
        <w:rPr>
          <w:rFonts w:hint="eastAsia" w:ascii="Times New Roman" w:hAnsi="Times New Roman"/>
          <w:highlight w:val="none"/>
        </w:rPr>
        <w:t>9.1.2 参选人之间约定中选人；</w:t>
      </w:r>
    </w:p>
    <w:p w14:paraId="4A4315C5">
      <w:pPr>
        <w:ind w:firstLine="420"/>
        <w:rPr>
          <w:rFonts w:ascii="Times New Roman" w:hAnsi="Times New Roman"/>
          <w:highlight w:val="none"/>
        </w:rPr>
      </w:pPr>
      <w:r>
        <w:rPr>
          <w:rFonts w:hint="eastAsia" w:ascii="Times New Roman" w:hAnsi="Times New Roman"/>
          <w:highlight w:val="none"/>
        </w:rPr>
        <w:t>9.1.3 参选人之间约定部分参选人放弃参选或者中选；</w:t>
      </w:r>
    </w:p>
    <w:p w14:paraId="2903A3F6">
      <w:pPr>
        <w:ind w:firstLine="420"/>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62E39271">
      <w:pPr>
        <w:ind w:firstLine="420"/>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3DDA35A4">
      <w:pPr>
        <w:ind w:firstLine="420"/>
        <w:rPr>
          <w:rFonts w:ascii="Times New Roman" w:hAnsi="Times New Roman"/>
          <w:highlight w:val="none"/>
        </w:rPr>
      </w:pPr>
      <w:r>
        <w:rPr>
          <w:rFonts w:hint="eastAsia" w:ascii="Times New Roman" w:hAnsi="Times New Roman"/>
          <w:highlight w:val="none"/>
        </w:rPr>
        <w:t>9.2 有下列情形之一的，视为参选人相互串通参选：</w:t>
      </w:r>
    </w:p>
    <w:p w14:paraId="33288BF6">
      <w:pPr>
        <w:ind w:firstLine="420"/>
        <w:rPr>
          <w:rFonts w:ascii="Times New Roman" w:hAnsi="Times New Roman"/>
          <w:highlight w:val="none"/>
        </w:rPr>
      </w:pPr>
      <w:r>
        <w:rPr>
          <w:rFonts w:hint="eastAsia" w:ascii="Times New Roman" w:hAnsi="Times New Roman"/>
          <w:highlight w:val="none"/>
        </w:rPr>
        <w:t>9.2.1 不同参选人的参选文件由同一单位或者个人编制；</w:t>
      </w:r>
    </w:p>
    <w:p w14:paraId="5A09CD52">
      <w:pPr>
        <w:ind w:firstLine="420"/>
        <w:rPr>
          <w:rFonts w:ascii="Times New Roman" w:hAnsi="Times New Roman"/>
          <w:highlight w:val="none"/>
        </w:rPr>
      </w:pPr>
      <w:r>
        <w:rPr>
          <w:rFonts w:hint="eastAsia" w:ascii="Times New Roman" w:hAnsi="Times New Roman"/>
          <w:highlight w:val="none"/>
        </w:rPr>
        <w:t>9.2.2 不同参选人委托同一单位或者个人办理参选事宜；</w:t>
      </w:r>
    </w:p>
    <w:p w14:paraId="64172F71">
      <w:pPr>
        <w:ind w:firstLine="420"/>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58D78086">
      <w:pPr>
        <w:ind w:firstLine="420"/>
        <w:rPr>
          <w:rFonts w:ascii="Times New Roman" w:hAnsi="Times New Roman"/>
          <w:highlight w:val="none"/>
        </w:rPr>
      </w:pPr>
      <w:r>
        <w:rPr>
          <w:rFonts w:hint="eastAsia" w:ascii="Times New Roman" w:hAnsi="Times New Roman"/>
          <w:highlight w:val="none"/>
        </w:rPr>
        <w:t>9.2.4 不同参选人的参选文件相互混装；</w:t>
      </w:r>
    </w:p>
    <w:p w14:paraId="594B8583">
      <w:pPr>
        <w:ind w:firstLine="420"/>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321DDF25">
      <w:pPr>
        <w:ind w:firstLine="420"/>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46127C60">
      <w:pPr>
        <w:ind w:firstLine="420"/>
        <w:rPr>
          <w:rFonts w:ascii="Times New Roman" w:hAnsi="Times New Roman"/>
          <w:highlight w:val="none"/>
        </w:rPr>
      </w:pPr>
      <w:r>
        <w:rPr>
          <w:rFonts w:hint="eastAsia" w:ascii="Times New Roman" w:hAnsi="Times New Roman"/>
          <w:highlight w:val="none"/>
        </w:rPr>
        <w:t>9.4 参选人有下列情形之一的，属于弄虚作假的行为：</w:t>
      </w:r>
    </w:p>
    <w:p w14:paraId="4BBEC9D5">
      <w:pPr>
        <w:ind w:firstLine="420"/>
        <w:rPr>
          <w:rFonts w:ascii="Times New Roman" w:hAnsi="Times New Roman"/>
          <w:highlight w:val="none"/>
        </w:rPr>
      </w:pPr>
      <w:r>
        <w:rPr>
          <w:rFonts w:hint="eastAsia" w:ascii="Times New Roman" w:hAnsi="Times New Roman"/>
          <w:highlight w:val="none"/>
        </w:rPr>
        <w:t>9.4.1 使用伪造、变造的许可证件；</w:t>
      </w:r>
    </w:p>
    <w:p w14:paraId="2BD65073">
      <w:pPr>
        <w:ind w:firstLine="420"/>
        <w:rPr>
          <w:rFonts w:ascii="Times New Roman" w:hAnsi="Times New Roman"/>
          <w:highlight w:val="none"/>
        </w:rPr>
      </w:pPr>
      <w:r>
        <w:rPr>
          <w:rFonts w:hint="eastAsia" w:ascii="Times New Roman" w:hAnsi="Times New Roman"/>
          <w:highlight w:val="none"/>
        </w:rPr>
        <w:t>9.4.2 提供虚假的财务状况或者虚假业绩；</w:t>
      </w:r>
    </w:p>
    <w:p w14:paraId="663FE9FF">
      <w:pPr>
        <w:ind w:firstLine="420"/>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1CB2A9F9">
      <w:pPr>
        <w:ind w:firstLine="420"/>
        <w:rPr>
          <w:rFonts w:ascii="Times New Roman" w:hAnsi="Times New Roman"/>
          <w:highlight w:val="none"/>
        </w:rPr>
      </w:pPr>
      <w:r>
        <w:rPr>
          <w:rFonts w:hint="eastAsia" w:ascii="Times New Roman" w:hAnsi="Times New Roman"/>
          <w:highlight w:val="none"/>
        </w:rPr>
        <w:t>9.4.4 提供虚假的信用状况；</w:t>
      </w:r>
    </w:p>
    <w:p w14:paraId="1F23D9A2">
      <w:pPr>
        <w:ind w:firstLine="420"/>
        <w:rPr>
          <w:rFonts w:ascii="Times New Roman" w:hAnsi="Times New Roman"/>
          <w:highlight w:val="none"/>
        </w:rPr>
      </w:pPr>
      <w:r>
        <w:rPr>
          <w:rFonts w:hint="eastAsia" w:ascii="Times New Roman" w:hAnsi="Times New Roman"/>
          <w:highlight w:val="none"/>
        </w:rPr>
        <w:t>9.4.5 其它弄虚作假的行为。</w:t>
      </w:r>
    </w:p>
    <w:p w14:paraId="71BD3E65">
      <w:pPr>
        <w:ind w:firstLine="420"/>
        <w:rPr>
          <w:rFonts w:ascii="Times New Roman" w:hAnsi="Times New Roman"/>
          <w:highlight w:val="none"/>
        </w:rPr>
      </w:pPr>
      <w:r>
        <w:rPr>
          <w:rFonts w:hint="eastAsia" w:ascii="Times New Roman" w:hAnsi="Times New Roman"/>
          <w:highlight w:val="none"/>
        </w:rPr>
        <w:t>签订合同前后，若中选单位提供的产品测试不合格或与参选文件中的产品不一致，比选人可废除中选人资格。</w:t>
      </w:r>
    </w:p>
    <w:p w14:paraId="23AA195F">
      <w:pPr>
        <w:ind w:firstLine="420"/>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71CC430C">
      <w:pPr>
        <w:pStyle w:val="4"/>
        <w:rPr>
          <w:rFonts w:ascii="Times New Roman" w:hAnsi="Times New Roman"/>
          <w:highlight w:val="none"/>
        </w:rPr>
      </w:pPr>
      <w:bookmarkStart w:id="45" w:name="_Toc89675169"/>
      <w:r>
        <w:rPr>
          <w:rFonts w:hint="eastAsia" w:ascii="Times New Roman" w:hAnsi="Times New Roman"/>
          <w:highlight w:val="none"/>
        </w:rPr>
        <w:t>10. 提问、质疑、投诉</w:t>
      </w:r>
    </w:p>
    <w:p w14:paraId="0F3F6DA8">
      <w:pPr>
        <w:ind w:firstLine="420"/>
        <w:rPr>
          <w:rFonts w:ascii="Times New Roman" w:hAnsi="Times New Roman"/>
          <w:highlight w:val="none"/>
        </w:rPr>
      </w:pPr>
      <w:r>
        <w:rPr>
          <w:rFonts w:hint="eastAsia" w:ascii="Times New Roman" w:hAnsi="Times New Roman"/>
          <w:highlight w:val="none"/>
        </w:rPr>
        <w:t>10.1 补遗内容可能影响参选文件编制的，须在比选截止时间3日前发布，发布时间至比选截止时间不足3日的，须相应延后比选截止时间。</w:t>
      </w:r>
    </w:p>
    <w:p w14:paraId="6F155AB8">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Times New Roman" w:hAnsi="Times New Roman" w:eastAsia="宋体" w:cs="Times New Roman"/>
          <w:kern w:val="2"/>
          <w:sz w:val="24"/>
          <w:szCs w:val="24"/>
        </w:rPr>
      </w:pPr>
      <w:r>
        <w:rPr>
          <w:rFonts w:hint="eastAsia" w:ascii="Times New Roman" w:hAnsi="Times New Roman"/>
          <w:highlight w:val="none"/>
        </w:rPr>
        <w:t>10.2 参选人对比选文件和答疑补遗有质疑的，应当在比选截止时间3日前，以书面形式通知比选人。</w:t>
      </w:r>
      <w:r>
        <w:rPr>
          <w:rFonts w:hint="eastAsia" w:ascii="宋体" w:hAnsi="宋体" w:eastAsia="宋体" w:cs="宋体"/>
          <w:kern w:val="2"/>
          <w:sz w:val="24"/>
          <w:szCs w:val="24"/>
          <w:lang w:val="en-US" w:eastAsia="zh-CN" w:bidi="ar"/>
        </w:rPr>
        <w:t>比选人认为有必要对参选人所提问题进行答复或对比选文件进行补充时将答复内容以补遗的形式发布。</w:t>
      </w:r>
    </w:p>
    <w:p w14:paraId="5A7C6FAC">
      <w:pPr>
        <w:ind w:firstLine="480" w:firstLineChars="200"/>
        <w:rPr>
          <w:rFonts w:ascii="Times New Roman" w:hAnsi="Times New Roman"/>
          <w:highlight w:val="none"/>
        </w:rPr>
      </w:pPr>
      <w:r>
        <w:rPr>
          <w:rFonts w:hint="eastAsia" w:ascii="Times New Roman" w:hAnsi="Times New Roman"/>
          <w:highlight w:val="none"/>
        </w:rPr>
        <w:t>10.3 参选人对公示的中选结果有质疑，参选人需在公示期内以书面形式向比选人提出质疑。</w:t>
      </w:r>
      <w:r>
        <w:rPr>
          <w:rFonts w:hint="eastAsia" w:ascii="宋体" w:hAnsi="宋体" w:eastAsia="宋体" w:cs="宋体"/>
          <w:kern w:val="2"/>
          <w:sz w:val="24"/>
          <w:szCs w:val="24"/>
          <w:lang w:val="en-US" w:eastAsia="zh-CN" w:bidi="ar"/>
        </w:rPr>
        <w:t>比选人认为有必要对参选人所提质疑进行答复时将进行书面答复。</w:t>
      </w:r>
    </w:p>
    <w:p w14:paraId="4CEE1E71">
      <w:pPr>
        <w:ind w:firstLine="420"/>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24685D58">
      <w:pPr>
        <w:ind w:firstLine="420"/>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38B93BA7">
      <w:pPr>
        <w:ind w:firstLine="420"/>
        <w:rPr>
          <w:rFonts w:ascii="Times New Roman" w:hAnsi="Times New Roman"/>
          <w:highlight w:val="none"/>
        </w:rPr>
      </w:pPr>
      <w:r>
        <w:rPr>
          <w:rFonts w:hint="eastAsia" w:ascii="Times New Roman" w:hAnsi="Times New Roman"/>
          <w:highlight w:val="none"/>
        </w:rPr>
        <w:t>采购投诉邮箱：</w:t>
      </w:r>
      <w:bookmarkStart w:id="46"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6"/>
    </w:p>
    <w:p w14:paraId="4D17D537">
      <w:pPr>
        <w:pStyle w:val="4"/>
        <w:rPr>
          <w:rFonts w:ascii="Times New Roman" w:hAnsi="Times New Roman"/>
          <w:highlight w:val="none"/>
        </w:rPr>
      </w:pPr>
      <w:bookmarkStart w:id="47" w:name="_Toc440628924"/>
      <w:bookmarkStart w:id="48" w:name="_Toc89675157"/>
      <w:bookmarkStart w:id="49" w:name="_Toc15059431"/>
      <w:bookmarkStart w:id="50" w:name="_Toc275199618"/>
      <w:bookmarkStart w:id="51" w:name="_Toc11439"/>
      <w:r>
        <w:rPr>
          <w:rFonts w:hint="eastAsia" w:ascii="Times New Roman" w:hAnsi="Times New Roman"/>
          <w:highlight w:val="none"/>
        </w:rPr>
        <w:t>11. 无效参选条款</w:t>
      </w:r>
      <w:bookmarkEnd w:id="47"/>
      <w:bookmarkEnd w:id="48"/>
      <w:bookmarkEnd w:id="49"/>
      <w:bookmarkEnd w:id="50"/>
      <w:bookmarkEnd w:id="51"/>
    </w:p>
    <w:p w14:paraId="1DDC6DC5">
      <w:pPr>
        <w:ind w:firstLine="420"/>
        <w:rPr>
          <w:rFonts w:ascii="Times New Roman" w:hAnsi="Times New Roman"/>
          <w:highlight w:val="none"/>
        </w:rPr>
      </w:pPr>
      <w:r>
        <w:rPr>
          <w:rFonts w:hint="eastAsia" w:ascii="Times New Roman" w:hAnsi="Times New Roman"/>
          <w:highlight w:val="none"/>
        </w:rPr>
        <w:t>参选人或其参选文件出现下列情况之一者，应为无效参选：</w:t>
      </w:r>
    </w:p>
    <w:p w14:paraId="71F0751E">
      <w:pPr>
        <w:ind w:firstLine="420"/>
        <w:rPr>
          <w:rFonts w:ascii="Times New Roman" w:hAnsi="Times New Roman"/>
          <w:highlight w:val="none"/>
        </w:rPr>
      </w:pPr>
      <w:r>
        <w:rPr>
          <w:rFonts w:hint="eastAsia" w:ascii="Times New Roman" w:hAnsi="Times New Roman"/>
          <w:highlight w:val="none"/>
        </w:rPr>
        <w:t xml:space="preserve">11.1 </w:t>
      </w:r>
      <w:r>
        <w:rPr>
          <w:rFonts w:ascii="Times New Roman" w:hAnsi="Times New Roman"/>
          <w:highlight w:val="none"/>
        </w:rPr>
        <w:t>参选人未按比选文件规定提交足额参选保证金的</w:t>
      </w:r>
      <w:r>
        <w:rPr>
          <w:rFonts w:hint="eastAsia" w:ascii="Times New Roman" w:hAnsi="Times New Roman"/>
          <w:highlight w:val="none"/>
        </w:rPr>
        <w:t>。</w:t>
      </w:r>
    </w:p>
    <w:p w14:paraId="5980DE91">
      <w:pPr>
        <w:ind w:firstLine="420"/>
        <w:rPr>
          <w:rFonts w:ascii="Times New Roman" w:hAnsi="Times New Roman"/>
          <w:highlight w:val="none"/>
        </w:rPr>
      </w:pPr>
      <w:r>
        <w:rPr>
          <w:rFonts w:hint="eastAsia" w:ascii="Times New Roman" w:hAnsi="Times New Roman"/>
          <w:highlight w:val="none"/>
        </w:rPr>
        <w:t xml:space="preserve">11.2 </w:t>
      </w:r>
      <w:r>
        <w:rPr>
          <w:rFonts w:ascii="Times New Roman" w:hAnsi="Times New Roman"/>
          <w:highlight w:val="none"/>
        </w:rPr>
        <w:t>参选人未通过资格性检查，参选文件未通过符合性检查或参选文件经证实存在弄虚作假的</w:t>
      </w:r>
      <w:r>
        <w:rPr>
          <w:rFonts w:hint="eastAsia" w:ascii="Times New Roman" w:hAnsi="Times New Roman"/>
          <w:highlight w:val="none"/>
        </w:rPr>
        <w:t>。</w:t>
      </w:r>
    </w:p>
    <w:p w14:paraId="403066E1">
      <w:pPr>
        <w:ind w:firstLine="420"/>
        <w:rPr>
          <w:rFonts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77C8B2B2">
      <w:pPr>
        <w:ind w:firstLine="420"/>
        <w:rPr>
          <w:rFonts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57661644">
      <w:pPr>
        <w:ind w:firstLine="420"/>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22C2D044">
      <w:pPr>
        <w:ind w:firstLine="420"/>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5ED3F511">
      <w:pPr>
        <w:ind w:firstLine="420"/>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3F3AF7AD">
      <w:pPr>
        <w:ind w:firstLine="420"/>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14820D65">
      <w:pPr>
        <w:ind w:firstLine="420"/>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3911F85F">
      <w:pPr>
        <w:ind w:firstLine="420"/>
        <w:rPr>
          <w:rFonts w:ascii="Times New Roman" w:hAnsi="Times New Roman"/>
          <w:highlight w:val="none"/>
        </w:rPr>
      </w:pPr>
      <w:r>
        <w:rPr>
          <w:rFonts w:hint="eastAsia" w:ascii="Times New Roman" w:hAnsi="Times New Roman"/>
          <w:highlight w:val="none"/>
        </w:rPr>
        <w:t>11.10 出现影响比选公正的违法、违规行为的。</w:t>
      </w:r>
    </w:p>
    <w:p w14:paraId="16992F80">
      <w:pPr>
        <w:ind w:firstLine="420"/>
        <w:rPr>
          <w:rFonts w:ascii="Times New Roman" w:hAnsi="Times New Roman"/>
          <w:highlight w:val="none"/>
        </w:rPr>
      </w:pPr>
      <w:r>
        <w:rPr>
          <w:rFonts w:hint="eastAsia" w:ascii="Times New Roman" w:hAnsi="Times New Roman"/>
          <w:highlight w:val="none"/>
        </w:rPr>
        <w:t>11.11 与比选人、评审专家、其他参选人恶意串通。</w:t>
      </w:r>
    </w:p>
    <w:p w14:paraId="384810E9">
      <w:pPr>
        <w:ind w:firstLine="420"/>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019E47CA">
      <w:pPr>
        <w:ind w:firstLine="420"/>
        <w:rPr>
          <w:rFonts w:ascii="Times New Roman" w:hAnsi="Times New Roman"/>
          <w:highlight w:val="none"/>
        </w:rPr>
      </w:pPr>
      <w:r>
        <w:rPr>
          <w:rFonts w:hint="eastAsia" w:ascii="Times New Roman" w:hAnsi="Times New Roman"/>
          <w:highlight w:val="none"/>
        </w:rPr>
        <w:t>11.13 提供虚假材料谋取中选资格的。</w:t>
      </w:r>
    </w:p>
    <w:p w14:paraId="6ACC18C3">
      <w:pPr>
        <w:ind w:firstLine="420"/>
        <w:rPr>
          <w:rFonts w:ascii="Times New Roman" w:hAnsi="Times New Roman"/>
          <w:highlight w:val="none"/>
        </w:rPr>
      </w:pPr>
      <w:r>
        <w:rPr>
          <w:rFonts w:hint="eastAsia" w:ascii="Times New Roman" w:hAnsi="Times New Roman"/>
          <w:highlight w:val="none"/>
        </w:rPr>
        <w:t>11.14 参选文件含有比选人不能接受的附件条件的。</w:t>
      </w:r>
    </w:p>
    <w:p w14:paraId="0FD9A3B0">
      <w:pPr>
        <w:pStyle w:val="4"/>
        <w:rPr>
          <w:rFonts w:ascii="Times New Roman" w:hAnsi="Times New Roman"/>
          <w:highlight w:val="none"/>
        </w:rPr>
      </w:pPr>
      <w:r>
        <w:rPr>
          <w:rFonts w:hint="eastAsia" w:ascii="Times New Roman" w:hAnsi="Times New Roman"/>
          <w:highlight w:val="none"/>
        </w:rPr>
        <w:t>12. 比选失败情形</w:t>
      </w:r>
    </w:p>
    <w:p w14:paraId="39E9866F">
      <w:pPr>
        <w:snapToGrid w:val="0"/>
        <w:ind w:firstLine="420"/>
        <w:rPr>
          <w:rFonts w:ascii="Times New Roman" w:hAnsi="Times New Roman"/>
          <w:highlight w:val="none"/>
        </w:rPr>
      </w:pPr>
      <w:r>
        <w:rPr>
          <w:rFonts w:hint="eastAsia" w:ascii="Times New Roman" w:hAnsi="Times New Roman"/>
          <w:highlight w:val="none"/>
        </w:rPr>
        <w:t>出现以下情形本次比选失败：</w:t>
      </w:r>
    </w:p>
    <w:p w14:paraId="750C504C">
      <w:pPr>
        <w:snapToGrid w:val="0"/>
        <w:ind w:firstLine="420"/>
        <w:rPr>
          <w:rFonts w:ascii="Times New Roman" w:hAnsi="Times New Roman"/>
          <w:highlight w:val="none"/>
        </w:rPr>
      </w:pPr>
      <w:r>
        <w:rPr>
          <w:rFonts w:hint="eastAsia" w:ascii="Times New Roman" w:hAnsi="Times New Roman"/>
          <w:highlight w:val="none"/>
        </w:rPr>
        <w:t>12.1 比选截止时间止，参选人少于2个的。</w:t>
      </w:r>
    </w:p>
    <w:p w14:paraId="11FA1A54">
      <w:pPr>
        <w:ind w:firstLine="420"/>
        <w:rPr>
          <w:rFonts w:ascii="Times New Roman" w:hAnsi="Times New Roman"/>
          <w:highlight w:val="none"/>
        </w:rPr>
      </w:pPr>
      <w:r>
        <w:rPr>
          <w:rFonts w:hint="eastAsia" w:ascii="Times New Roman" w:hAnsi="Times New Roman"/>
          <w:highlight w:val="none"/>
        </w:rPr>
        <w:t>12.2 经评审委员会评审后否决所有参选的。</w:t>
      </w:r>
    </w:p>
    <w:p w14:paraId="73BFE646">
      <w:pPr>
        <w:pStyle w:val="4"/>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45"/>
    </w:p>
    <w:p w14:paraId="78DACBA9">
      <w:pPr>
        <w:ind w:firstLine="420"/>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35B92C05">
      <w:pPr>
        <w:ind w:firstLine="420"/>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0535C96A">
      <w:pPr>
        <w:pStyle w:val="4"/>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4003E26B">
      <w:pPr>
        <w:ind w:firstLine="420"/>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69A09B1F">
      <w:pPr>
        <w:ind w:firstLine="420"/>
        <w:rPr>
          <w:rFonts w:ascii="Times New Roman" w:hAnsi="Times New Roman"/>
          <w:highlight w:val="none"/>
        </w:rPr>
      </w:pPr>
      <w:r>
        <w:rPr>
          <w:rFonts w:hint="eastAsia" w:ascii="Times New Roman" w:hAnsi="Times New Roman"/>
          <w:highlight w:val="none"/>
        </w:rPr>
        <w:t>本项目平台服务费为</w:t>
      </w:r>
      <w:r>
        <w:rPr>
          <w:rFonts w:hint="eastAsia" w:ascii="Times New Roman" w:hAnsi="Times New Roman"/>
          <w:highlight w:val="none"/>
          <w:u w:val="single"/>
          <w:lang w:val="en-US" w:eastAsia="zh-CN"/>
        </w:rPr>
        <w:t>15000.00</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7B660738">
      <w:pPr>
        <w:widowControl/>
        <w:jc w:val="left"/>
        <w:rPr>
          <w:rFonts w:ascii="Times New Roman" w:hAnsi="Times New Roman" w:cs="Cambria"/>
          <w:snapToGrid w:val="0"/>
          <w:kern w:val="0"/>
          <w:szCs w:val="28"/>
          <w:highlight w:val="none"/>
        </w:rPr>
      </w:pPr>
      <w:r>
        <w:rPr>
          <w:rFonts w:ascii="Times New Roman" w:hAnsi="Times New Roman" w:cs="Cambria"/>
          <w:snapToGrid w:val="0"/>
          <w:kern w:val="0"/>
          <w:szCs w:val="28"/>
          <w:highlight w:val="none"/>
        </w:rPr>
        <w:br w:type="page"/>
      </w:r>
    </w:p>
    <w:p w14:paraId="6B3001DA">
      <w:pPr>
        <w:pStyle w:val="3"/>
        <w:rPr>
          <w:rFonts w:ascii="Times New Roman" w:hAnsi="Times New Roman"/>
          <w:highlight w:val="none"/>
        </w:rPr>
      </w:pPr>
      <w:bookmarkStart w:id="52" w:name="_Toc1222733292"/>
      <w:bookmarkStart w:id="53" w:name="_Toc460885507"/>
      <w:bookmarkStart w:id="54" w:name="_Toc11825"/>
      <w:bookmarkStart w:id="55" w:name="_Toc706848166"/>
      <w:r>
        <w:rPr>
          <w:rFonts w:hint="eastAsia" w:ascii="Times New Roman" w:hAnsi="Times New Roman"/>
          <w:highlight w:val="none"/>
        </w:rPr>
        <w:t>第三章 项目要求</w:t>
      </w:r>
      <w:bookmarkEnd w:id="52"/>
      <w:bookmarkEnd w:id="53"/>
      <w:bookmarkEnd w:id="54"/>
      <w:bookmarkEnd w:id="55"/>
    </w:p>
    <w:p w14:paraId="1E4EC190">
      <w:pPr>
        <w:pStyle w:val="4"/>
        <w:numPr>
          <w:ilvl w:val="0"/>
          <w:numId w:val="3"/>
        </w:numPr>
        <w:rPr>
          <w:rFonts w:ascii="Times New Roman" w:hAnsi="Times New Roman"/>
          <w:highlight w:val="none"/>
        </w:rPr>
      </w:pPr>
      <w:r>
        <w:rPr>
          <w:rFonts w:hint="eastAsia" w:ascii="Times New Roman" w:hAnsi="Times New Roman"/>
          <w:highlight w:val="none"/>
        </w:rPr>
        <w:t>业务需求</w:t>
      </w:r>
    </w:p>
    <w:p w14:paraId="10BFC3D7">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绿色金融业务管理系统可为本行绿色信贷业务的高效开展和快速规范增长提供强有力的支撑，具体体现在：一是客户管理功能，对我行绿色信贷的企业及个人客户进行展示，并实时调用信贷系统中的基本信息及贷款信息等。二是项目绿色、转型及碳减排识别和环境效益测算等功能，可大幅提高绿色信贷业务认定效率，提高客户经理工作效率及识别准确率。三是环境与社会风险管理功能、违法违规客户管理等功能，可规避部分业务风险，保障资产质量。四是通过业务及监管报表功能，可极大提高绿色信贷数据统计及报表填报等工作效率，并为后续的数据挖掘、分析与运用提供坚实基础。五是碳核算管理功能，通过对我行机构自身运营及投融资的相关碳核算，可以助力我行探索“零碳银行”的建设。六是碳账户功能，可以对企业碳账户及个人碳足迹、碳积分等进行监控并管理。七是信息披露功能，可实现我行对环境社会责任（ESG）报告及气候与环境信息披露报告部分固定格式内容的数据更新及自动生成，保证我行对外披露信息的准确性及真实性。</w:t>
      </w:r>
      <w:bookmarkStart w:id="56" w:name="_Toc527550322"/>
      <w:bookmarkStart w:id="57" w:name="_Toc83630513"/>
      <w:bookmarkStart w:id="58" w:name="_Toc83630015"/>
    </w:p>
    <w:p w14:paraId="16C9033F">
      <w:pPr>
        <w:adjustRightInd w:val="0"/>
        <w:snapToGrid w:val="0"/>
        <w:ind w:firstLine="480" w:firstLineChars="200"/>
        <w:rPr>
          <w:rFonts w:ascii="Times New Roman" w:hAnsi="Times New Roman" w:cs="Times New Roman"/>
          <w:bCs/>
          <w:highlight w:val="none"/>
        </w:rPr>
      </w:pPr>
      <w:bookmarkStart w:id="59" w:name="_Toc165014896"/>
      <w:r>
        <w:rPr>
          <w:rFonts w:ascii="Times New Roman" w:hAnsi="Times New Roman" w:cs="Times New Roman"/>
          <w:bCs/>
          <w:highlight w:val="none"/>
        </w:rPr>
        <w:t>具体的功能模块</w:t>
      </w:r>
      <w:bookmarkEnd w:id="56"/>
      <w:bookmarkEnd w:id="57"/>
      <w:bookmarkEnd w:id="58"/>
      <w:bookmarkEnd w:id="59"/>
      <w:r>
        <w:rPr>
          <w:rFonts w:ascii="Times New Roman" w:hAnsi="Times New Roman" w:cs="Times New Roman"/>
          <w:bCs/>
          <w:highlight w:val="none"/>
        </w:rPr>
        <w:t>如下：</w:t>
      </w:r>
    </w:p>
    <w:p w14:paraId="59DB1126">
      <w:pPr>
        <w:adjustRightInd w:val="0"/>
        <w:snapToGrid w:val="0"/>
        <w:ind w:left="0" w:firstLine="240" w:firstLineChars="100"/>
        <w:rPr>
          <w:rFonts w:ascii="Times New Roman" w:hAnsi="Times New Roman" w:cs="Times New Roman"/>
          <w:bCs/>
          <w:highlight w:val="none"/>
        </w:rPr>
      </w:pPr>
      <w:bookmarkStart w:id="60" w:name="_Toc165014897"/>
      <w:r>
        <w:rPr>
          <w:rFonts w:ascii="Times New Roman" w:hAnsi="Times New Roman" w:cs="Times New Roman"/>
          <w:bCs/>
          <w:highlight w:val="none"/>
        </w:rPr>
        <w:t xml:space="preserve">1.1 </w:t>
      </w:r>
      <w:r>
        <w:rPr>
          <w:rFonts w:hint="eastAsia" w:ascii="Times New Roman" w:hAnsi="Times New Roman" w:cs="Times New Roman"/>
          <w:bCs/>
          <w:highlight w:val="none"/>
        </w:rPr>
        <w:t>客户管理模块</w:t>
      </w:r>
      <w:bookmarkEnd w:id="60"/>
    </w:p>
    <w:p w14:paraId="0852C4F5">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1.1.1 绿色企业客户管理功能</w:t>
      </w:r>
    </w:p>
    <w:p w14:paraId="05F1571E">
      <w:pPr>
        <w:adjustRightInd w:val="0"/>
        <w:snapToGrid w:val="0"/>
        <w:ind w:firstLine="480" w:firstLineChars="200"/>
        <w:rPr>
          <w:rFonts w:ascii="Times New Roman" w:hAnsi="Times New Roman" w:cs="Times New Roman"/>
          <w:highlight w:val="none"/>
        </w:rPr>
      </w:pPr>
      <w:r>
        <w:rPr>
          <w:rFonts w:hAnsi="Times New Roman"/>
          <w:highlight w:val="none"/>
        </w:rPr>
        <w:t>对涉及绿色信贷的企业客户进行展示（标识绿色贷款、绿色票据等），并实时调用信贷系统中的基本信息及贷款信息等。</w:t>
      </w:r>
    </w:p>
    <w:p w14:paraId="24D75B22">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1.1.2. 绿色个人客户管理功能</w:t>
      </w:r>
    </w:p>
    <w:p w14:paraId="71FA5113">
      <w:pPr>
        <w:numPr>
          <w:ilvl w:val="0"/>
          <w:numId w:val="4"/>
        </w:numPr>
        <w:adjustRightInd w:val="0"/>
        <w:snapToGrid w:val="0"/>
        <w:ind w:left="0" w:firstLine="480" w:firstLineChars="200"/>
        <w:rPr>
          <w:rFonts w:hAnsi="Times New Roman"/>
          <w:highlight w:val="none"/>
        </w:rPr>
      </w:pPr>
      <w:bookmarkStart w:id="61" w:name="_Toc165014898"/>
      <w:r>
        <w:rPr>
          <w:rFonts w:hAnsi="Times New Roman"/>
          <w:highlight w:val="none"/>
        </w:rPr>
        <w:t>对涉及绿色信贷的个人客户进行展示（标识绿色贷款、绿色消费等），并实时调用信贷系统中的基本信息及贷款信息等。</w:t>
      </w:r>
    </w:p>
    <w:p w14:paraId="5A448C9C">
      <w:pPr>
        <w:numPr>
          <w:ilvl w:val="0"/>
          <w:numId w:val="4"/>
        </w:numPr>
        <w:adjustRightInd w:val="0"/>
        <w:snapToGrid w:val="0"/>
        <w:ind w:left="0" w:firstLine="480" w:firstLineChars="200"/>
        <w:rPr>
          <w:rFonts w:ascii="Times New Roman" w:hAnsi="Times New Roman" w:cs="Times New Roman"/>
          <w:bCs/>
          <w:highlight w:val="none"/>
        </w:rPr>
      </w:pPr>
      <w:r>
        <w:rPr>
          <w:rFonts w:hAnsi="Times New Roman"/>
          <w:highlight w:val="none"/>
        </w:rPr>
        <w:t>对涉及手机银行个人碳账户开户的个人客户进行展示，并实时调用其碳减排数据。</w:t>
      </w:r>
    </w:p>
    <w:p w14:paraId="0C0E15FF">
      <w:pPr>
        <w:adjustRightInd w:val="0"/>
        <w:snapToGrid w:val="0"/>
        <w:ind w:firstLine="240" w:firstLineChars="100"/>
        <w:rPr>
          <w:rFonts w:ascii="Times New Roman" w:hAnsi="Times New Roman" w:cs="Times New Roman"/>
          <w:bCs/>
          <w:highlight w:val="none"/>
        </w:rPr>
      </w:pPr>
      <w:r>
        <w:rPr>
          <w:rFonts w:ascii="Times New Roman" w:hAnsi="Times New Roman" w:cs="Times New Roman"/>
          <w:bCs/>
          <w:highlight w:val="none"/>
        </w:rPr>
        <w:t xml:space="preserve">1.2 </w:t>
      </w:r>
      <w:r>
        <w:rPr>
          <w:rFonts w:hint="eastAsia" w:ascii="Times New Roman" w:hAnsi="Times New Roman" w:cs="Times New Roman"/>
          <w:bCs/>
          <w:highlight w:val="none"/>
        </w:rPr>
        <w:t>绿色认定管理模块</w:t>
      </w:r>
      <w:bookmarkEnd w:id="61"/>
    </w:p>
    <w:p w14:paraId="7C57EED8">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1.2.1 授信系统内项目类绿色认定功能</w:t>
      </w:r>
    </w:p>
    <w:p w14:paraId="0C5DA65A">
      <w:pPr>
        <w:adjustRightInd w:val="0"/>
        <w:snapToGrid w:val="0"/>
        <w:ind w:firstLine="480" w:firstLineChars="200"/>
        <w:rPr>
          <w:rFonts w:ascii="Times New Roman" w:hAnsi="Times New Roman" w:cs="Times New Roman"/>
          <w:highlight w:val="none"/>
        </w:rPr>
      </w:pPr>
      <w:r>
        <w:rPr>
          <w:rFonts w:hAnsi="Times New Roman"/>
          <w:highlight w:val="none"/>
        </w:rPr>
        <w:t>构建绿色产业的知识库，并持续迭代升级。绿色智能识别引擎模型通过项目可行性研究报告、发改委批复、环评批复等信息，自动判断各类金融资产是否符合相应的绿色金融标准并提供绿色标准分类结果（标识绿色贷款等）。</w:t>
      </w:r>
    </w:p>
    <w:p w14:paraId="213687D6">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1.2.2 授信系统内非项目类绿色认定功能</w:t>
      </w:r>
    </w:p>
    <w:p w14:paraId="31A90FB9">
      <w:pPr>
        <w:adjustRightInd w:val="0"/>
        <w:snapToGrid w:val="0"/>
        <w:ind w:firstLine="480" w:firstLineChars="200"/>
        <w:rPr>
          <w:rFonts w:ascii="Times New Roman" w:hAnsi="Times New Roman" w:cs="Times New Roman"/>
          <w:highlight w:val="none"/>
        </w:rPr>
      </w:pPr>
      <w:r>
        <w:rPr>
          <w:rFonts w:hAnsi="Times New Roman"/>
          <w:highlight w:val="none"/>
        </w:rPr>
        <w:t>绿色智能识别引擎模型通过绿色贷款的资金用途进行自动识别，提供绿色标准分类结果；通过对客户绿色收入占比情况进行自动识别，提供绿色标准分类结果（标识绿色贷款、绿色票据及绿色消费等）。</w:t>
      </w:r>
    </w:p>
    <w:p w14:paraId="0589EC93">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1.2.3 碳减排支持工具功能</w:t>
      </w:r>
    </w:p>
    <w:p w14:paraId="4FCE3AC7">
      <w:pPr>
        <w:adjustRightInd w:val="0"/>
        <w:snapToGrid w:val="0"/>
        <w:ind w:firstLine="480" w:firstLineChars="200"/>
        <w:rPr>
          <w:rFonts w:ascii="Times New Roman" w:hAnsi="Times New Roman" w:cs="Times New Roman"/>
          <w:highlight w:val="none"/>
        </w:rPr>
      </w:pPr>
      <w:r>
        <w:rPr>
          <w:rFonts w:hAnsi="Times New Roman"/>
          <w:highlight w:val="none"/>
        </w:rPr>
        <w:t>对是否属于碳减排重点领域进行识别及认定，并在认定后根据提示进行环境效益测算；总行绿色金融部将定期上传获得碳减排支持工具台账，便于管理碳减排支持工具再贷款情况及到期前提醒。</w:t>
      </w:r>
    </w:p>
    <w:p w14:paraId="5FFEE4D6">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1.2.4 转型金融认定功能</w:t>
      </w:r>
    </w:p>
    <w:p w14:paraId="22154626">
      <w:pPr>
        <w:adjustRightInd w:val="0"/>
        <w:snapToGrid w:val="0"/>
        <w:ind w:firstLine="480" w:firstLineChars="200"/>
        <w:rPr>
          <w:rFonts w:ascii="Times New Roman" w:hAnsi="Times New Roman" w:cs="Times New Roman"/>
          <w:highlight w:val="none"/>
        </w:rPr>
      </w:pPr>
      <w:r>
        <w:rPr>
          <w:rFonts w:hAnsi="Times New Roman"/>
          <w:highlight w:val="none"/>
        </w:rPr>
        <w:t>总行绿色金融部将不定期上传转型金融支持企业或项目目录及相关台账，经营机构可查看企业或项目目录，或者上传企业或项目相关信息，对是否属于转型金融支持企业或项目目录进行识别及认定，对已进行贷款支持的在认定后进行标识，并根据提示进行碳减排的计划设定，客户经理按月或季度对名下客户设定的碳减排计划进行跟踪监测；根据权限设置总行人员对我行转型金融支持情况进行管理查询。</w:t>
      </w:r>
    </w:p>
    <w:p w14:paraId="7DCC5594">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1.2.5 贷后绿色认定变更功能</w:t>
      </w:r>
    </w:p>
    <w:p w14:paraId="09935961">
      <w:pPr>
        <w:adjustRightInd w:val="0"/>
        <w:snapToGrid w:val="0"/>
        <w:ind w:firstLine="480" w:firstLineChars="200"/>
        <w:rPr>
          <w:rFonts w:ascii="Times New Roman" w:hAnsi="Times New Roman" w:cs="Times New Roman"/>
          <w:highlight w:val="none"/>
        </w:rPr>
      </w:pPr>
      <w:r>
        <w:rPr>
          <w:rFonts w:hAnsi="Times New Roman"/>
          <w:highlight w:val="none"/>
        </w:rPr>
        <w:t>因佐证资料不完备未能认定、前期遗漏或者错认相关问题，支持通过补认定流程进行识别和认定。此功能从信贷系统获取业务信息后，进行绿色业务补充认定操作，最终实现将未认定业务进行补充认定、非绿业务认定为绿色业务、绿色业务认定为非绿、绿色分类变更等场景。</w:t>
      </w:r>
    </w:p>
    <w:p w14:paraId="6D3D6A13">
      <w:pPr>
        <w:adjustRightInd w:val="0"/>
        <w:snapToGrid w:val="0"/>
        <w:ind w:left="0" w:firstLine="240" w:firstLineChars="100"/>
        <w:rPr>
          <w:rFonts w:ascii="Times New Roman" w:hAnsi="Times New Roman" w:cs="Times New Roman"/>
          <w:bCs/>
          <w:highlight w:val="none"/>
        </w:rPr>
      </w:pPr>
      <w:bookmarkStart w:id="62" w:name="_Toc165014899"/>
      <w:r>
        <w:rPr>
          <w:rFonts w:ascii="Times New Roman" w:hAnsi="Times New Roman" w:cs="Times New Roman"/>
          <w:bCs/>
          <w:highlight w:val="none"/>
        </w:rPr>
        <w:t>1.3 环境效益测算模块</w:t>
      </w:r>
      <w:bookmarkEnd w:id="62"/>
    </w:p>
    <w:p w14:paraId="3EBE4046">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1.3.1 环境效益测算功能</w:t>
      </w:r>
    </w:p>
    <w:p w14:paraId="65FD43EA">
      <w:pPr>
        <w:adjustRightInd w:val="0"/>
        <w:snapToGrid w:val="0"/>
        <w:ind w:firstLine="480" w:firstLineChars="200"/>
        <w:rPr>
          <w:rFonts w:ascii="Times New Roman" w:hAnsi="Times New Roman" w:cs="Times New Roman"/>
          <w:highlight w:val="none"/>
        </w:rPr>
      </w:pPr>
      <w:bookmarkStart w:id="63" w:name="_Toc165014900"/>
      <w:r>
        <w:rPr>
          <w:rFonts w:hAnsi="Times New Roman"/>
          <w:highlight w:val="none"/>
        </w:rPr>
        <w:t>按照银保监会发布的《绿色信贷项目节能减排量测算指引》开发环境效益测算模型，尽可能涵盖所有测算公式及算法并及时根据最新测算方法及要求进行更新。客户经理只需根据绿色项目分类，手工录入环境相关参数，系统即可自动算出监管部门认可的该绿色项目的环境效益，并生成详细的环境效益测算报告。</w:t>
      </w:r>
    </w:p>
    <w:p w14:paraId="242EC8B7">
      <w:pPr>
        <w:adjustRightInd w:val="0"/>
        <w:snapToGrid w:val="0"/>
        <w:ind w:left="0" w:firstLine="240" w:firstLineChars="100"/>
        <w:rPr>
          <w:rFonts w:ascii="Times New Roman" w:hAnsi="Times New Roman" w:cs="Times New Roman"/>
          <w:highlight w:val="none"/>
        </w:rPr>
      </w:pPr>
      <w:r>
        <w:rPr>
          <w:rFonts w:ascii="Times New Roman" w:hAnsi="Times New Roman" w:cs="Times New Roman"/>
          <w:highlight w:val="none"/>
        </w:rPr>
        <w:t>1.4 环境风险管理模块</w:t>
      </w:r>
      <w:bookmarkEnd w:id="63"/>
    </w:p>
    <w:p w14:paraId="6D7CB5DA">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1.4.1 客户环境信息管理及预警功能</w:t>
      </w:r>
    </w:p>
    <w:p w14:paraId="4CF55794">
      <w:pPr>
        <w:adjustRightInd w:val="0"/>
        <w:snapToGrid w:val="0"/>
        <w:ind w:firstLine="480" w:firstLineChars="200"/>
        <w:rPr>
          <w:rFonts w:ascii="Times New Roman" w:hAnsi="Times New Roman" w:cs="Times New Roman"/>
          <w:highlight w:val="none"/>
        </w:rPr>
      </w:pPr>
      <w:bookmarkStart w:id="64" w:name="_Toc165014901"/>
      <w:r>
        <w:rPr>
          <w:rFonts w:hAnsi="Times New Roman"/>
          <w:highlight w:val="none"/>
        </w:rPr>
        <w:t>通过与我行信贷业务系统连接，获取客户基本信息及贷款信息。通过与行内外大数据平台对接获取客户的环境表现信息（明确使用期限），包括行政处罚信息、环境处罚信息、重点排污源等环境相关数据，建立客户环境画像。同时，对有更新的不良环境表现信息进行预警。支持我行相关部门上传我行自身获取的相关风险信息。</w:t>
      </w:r>
    </w:p>
    <w:p w14:paraId="5B8E2642">
      <w:pPr>
        <w:adjustRightInd w:val="0"/>
        <w:snapToGrid w:val="0"/>
        <w:ind w:left="0" w:firstLine="240" w:firstLineChars="100"/>
        <w:rPr>
          <w:rFonts w:ascii="Times New Roman" w:hAnsi="Times New Roman" w:cs="Times New Roman"/>
          <w:highlight w:val="none"/>
        </w:rPr>
      </w:pPr>
      <w:r>
        <w:rPr>
          <w:rFonts w:ascii="Times New Roman" w:hAnsi="Times New Roman" w:cs="Times New Roman"/>
          <w:highlight w:val="none"/>
        </w:rPr>
        <w:t>1.5 统计分析模块</w:t>
      </w:r>
      <w:bookmarkEnd w:id="64"/>
    </w:p>
    <w:p w14:paraId="5870D8ED">
      <w:pPr>
        <w:keepNext/>
        <w:widowControl w:val="0"/>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1.5.1 绿色金融业务台账查询功能</w:t>
      </w:r>
    </w:p>
    <w:p w14:paraId="227EF125">
      <w:pPr>
        <w:keepNext/>
        <w:widowControl w:val="0"/>
        <w:adjustRightInd w:val="0"/>
        <w:snapToGrid w:val="0"/>
        <w:ind w:firstLine="480" w:firstLineChars="200"/>
        <w:rPr>
          <w:rFonts w:ascii="Times New Roman" w:hAnsi="Times New Roman" w:cs="Times New Roman"/>
          <w:highlight w:val="none"/>
        </w:rPr>
      </w:pPr>
      <w:r>
        <w:rPr>
          <w:rFonts w:hAnsi="Times New Roman"/>
          <w:highlight w:val="none"/>
        </w:rPr>
        <w:t>支持本行员工按权限查询绿色金融台账信息。并可按监管要求分口径、分要求查询绿色贷款、碳减排支持工具台账、转型金融台账、绿色票据台账、绿色债券台账明细等余额及环境效益等信息。</w:t>
      </w:r>
    </w:p>
    <w:p w14:paraId="02AFDDAD">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1.5.2 绿色融资监管报表功能</w:t>
      </w:r>
    </w:p>
    <w:p w14:paraId="77084994">
      <w:pPr>
        <w:adjustRightInd w:val="0"/>
        <w:snapToGrid w:val="0"/>
        <w:ind w:firstLine="480" w:firstLineChars="200"/>
        <w:rPr>
          <w:rFonts w:ascii="Times New Roman" w:hAnsi="Times New Roman" w:cs="Times New Roman"/>
          <w:highlight w:val="none"/>
        </w:rPr>
      </w:pPr>
      <w:r>
        <w:rPr>
          <w:rFonts w:hAnsi="Times New Roman"/>
          <w:highlight w:val="none"/>
        </w:rPr>
        <w:t>绿色融资监管报表（各口径的月报、季报、年报等）的自动生成及可自定义编辑报表制作等，通过接口，支持生成T-1日或指定时点相关的监管报表。</w:t>
      </w:r>
    </w:p>
    <w:p w14:paraId="69179622">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1.5.3 绿色金融业务信息统计分析功能</w:t>
      </w:r>
    </w:p>
    <w:p w14:paraId="5B210068">
      <w:pPr>
        <w:adjustRightInd w:val="0"/>
        <w:snapToGrid w:val="0"/>
        <w:ind w:firstLine="480" w:firstLineChars="200"/>
        <w:rPr>
          <w:rFonts w:ascii="Times New Roman" w:hAnsi="Times New Roman" w:cs="Times New Roman"/>
          <w:highlight w:val="none"/>
        </w:rPr>
      </w:pPr>
      <w:r>
        <w:rPr>
          <w:rFonts w:hAnsi="Times New Roman"/>
          <w:highlight w:val="none"/>
        </w:rPr>
        <w:t>分行业、分机构、分产业板块等对我行绿色金融信息进行统计分析及历史数据的相关比较。</w:t>
      </w:r>
    </w:p>
    <w:p w14:paraId="5B8ECF64">
      <w:pPr>
        <w:adjustRightInd w:val="0"/>
        <w:snapToGrid w:val="0"/>
        <w:ind w:firstLine="240" w:firstLineChars="100"/>
        <w:rPr>
          <w:rFonts w:ascii="Times New Roman" w:hAnsi="Times New Roman" w:cs="Times New Roman"/>
          <w:bCs/>
          <w:highlight w:val="none"/>
        </w:rPr>
      </w:pPr>
      <w:bookmarkStart w:id="65" w:name="_Toc165014902"/>
      <w:r>
        <w:rPr>
          <w:rFonts w:ascii="Times New Roman" w:hAnsi="Times New Roman" w:cs="Times New Roman"/>
          <w:bCs/>
          <w:highlight w:val="none"/>
        </w:rPr>
        <w:t>1.6 绿色金融考核管理模块</w:t>
      </w:r>
      <w:bookmarkEnd w:id="65"/>
    </w:p>
    <w:p w14:paraId="388800EC">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1.6.1 绿色金融业务KPI下发功能</w:t>
      </w:r>
    </w:p>
    <w:p w14:paraId="6F773D2E">
      <w:pPr>
        <w:adjustRightInd w:val="0"/>
        <w:snapToGrid w:val="0"/>
        <w:ind w:firstLine="480" w:firstLineChars="200"/>
        <w:rPr>
          <w:rFonts w:hAnsi="Times New Roman"/>
          <w:highlight w:val="none"/>
        </w:rPr>
      </w:pPr>
      <w:r>
        <w:rPr>
          <w:rFonts w:hAnsi="Times New Roman"/>
          <w:highlight w:val="none"/>
        </w:rPr>
        <w:t>每年年初由总行相关负责人员对已审核的KPI指标进行系统上的录入（可通过EXCEL统一上传），对每个经营机构进行绿色金融业务该年度的KPI指标下发，并支持有权限的管理人员对机构下达的KPI指标进行修改。同时，经营机构领导可对该KPI指标进行再分配给客户经理，并可对其进行修改（其他分支机构包括总行人员对此不可见，客户经理可查看自己的KPI任务情况）。</w:t>
      </w:r>
    </w:p>
    <w:p w14:paraId="5AE84162">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1.6.2 机构指标完成情况监控管理功能</w:t>
      </w:r>
    </w:p>
    <w:p w14:paraId="48559448">
      <w:pPr>
        <w:adjustRightInd w:val="0"/>
        <w:snapToGrid w:val="0"/>
        <w:ind w:firstLine="480" w:firstLineChars="200"/>
        <w:rPr>
          <w:rFonts w:ascii="Times New Roman" w:hAnsi="Times New Roman" w:cs="Times New Roman"/>
          <w:highlight w:val="none"/>
        </w:rPr>
      </w:pPr>
      <w:r>
        <w:rPr>
          <w:rFonts w:hAnsi="Times New Roman"/>
          <w:highlight w:val="none"/>
        </w:rPr>
        <w:t>支持根据权限配置查看本机构或全行的绿色金融相关指标完成情况及按月筛选后的增速情况；该完成情况可按照T-1日或任意时段进行查询（总行开通对应权限人员可以查看各机构各指标完成情况进度、增速情况及对应的排名比较）。同时，经营机构领导可对下发给客户经理的KPI指标进行实时查看完成情况（其他分支机构包括总行人员对此不可见，客户经理可以查看自己的KPI任务序时进度）。</w:t>
      </w:r>
    </w:p>
    <w:p w14:paraId="58EB4B63">
      <w:pPr>
        <w:keepNext/>
        <w:widowControl w:val="0"/>
        <w:adjustRightInd w:val="0"/>
        <w:snapToGrid w:val="0"/>
        <w:ind w:left="0" w:firstLine="240" w:firstLineChars="100"/>
        <w:rPr>
          <w:rFonts w:ascii="Times New Roman" w:hAnsi="Times New Roman" w:cs="Times New Roman"/>
          <w:highlight w:val="none"/>
        </w:rPr>
      </w:pPr>
      <w:bookmarkStart w:id="66" w:name="_Toc165014903"/>
      <w:r>
        <w:rPr>
          <w:rFonts w:ascii="Times New Roman" w:hAnsi="Times New Roman" w:cs="Times New Roman"/>
          <w:highlight w:val="none"/>
        </w:rPr>
        <w:t>1.7 碳核算管理模块</w:t>
      </w:r>
      <w:bookmarkEnd w:id="66"/>
    </w:p>
    <w:p w14:paraId="253F08CE">
      <w:pPr>
        <w:keepNext/>
        <w:widowControl w:val="0"/>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1.7.1 机构运营碳核算功能</w:t>
      </w:r>
    </w:p>
    <w:p w14:paraId="188605E7">
      <w:pPr>
        <w:adjustRightInd w:val="0"/>
        <w:snapToGrid w:val="0"/>
        <w:ind w:firstLine="480" w:firstLineChars="200"/>
        <w:rPr>
          <w:rFonts w:ascii="Times New Roman" w:hAnsi="Times New Roman" w:cs="Times New Roman"/>
          <w:highlight w:val="none"/>
        </w:rPr>
      </w:pPr>
      <w:r>
        <w:rPr>
          <w:rFonts w:hAnsi="Times New Roman"/>
          <w:highlight w:val="none"/>
        </w:rPr>
        <w:t>调取其他系统数据或录入自身运营碳排放活动水平的相关数据，系统实现自动核算每项碳排放量并汇总各机构自身运营碳排放量，其中包括总行及分支机构：办公耗材的领用及采购明细记录、办公场所水电气的用量记录、差旅住宿、差旅行程目的地及交通工具相关记录、会议相关记录、总行公车用油、员工通勤数据等。按权限对碳排放变化情况进行相关的统计分析及比较。按部门及机构汇总后的自身运营碳排放活动水平测算对应的人均碳排放量。</w:t>
      </w:r>
    </w:p>
    <w:p w14:paraId="1C3614E5">
      <w:pPr>
        <w:keepNext/>
        <w:widowControl w:val="0"/>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1.7.2 非项目融资碳核算功能</w:t>
      </w:r>
    </w:p>
    <w:p w14:paraId="45243101">
      <w:pPr>
        <w:adjustRightInd w:val="0"/>
        <w:snapToGrid w:val="0"/>
        <w:ind w:firstLine="480" w:firstLineChars="200"/>
        <w:rPr>
          <w:highlight w:val="none"/>
        </w:rPr>
      </w:pPr>
      <w:r>
        <w:rPr>
          <w:rFonts w:hAnsi="Times New Roman"/>
          <w:highlight w:val="none"/>
        </w:rPr>
        <w:t>对存在碳核查相关报告的融资主体，从相关核查报告获取碳排放量数据直接录入系统。对不存在碳核算相关报告的融资主体，通过录入融资主体碳排放核算相关数据，提交碳排放核算，系统自动核算融资主体及融资对应的碳排放量。</w:t>
      </w:r>
    </w:p>
    <w:p w14:paraId="38B34F87">
      <w:pPr>
        <w:keepNext/>
        <w:widowControl w:val="0"/>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1.7.3 项目融资碳核算功能</w:t>
      </w:r>
    </w:p>
    <w:p w14:paraId="381A15FD">
      <w:pPr>
        <w:adjustRightInd w:val="0"/>
        <w:snapToGrid w:val="0"/>
        <w:ind w:firstLine="480" w:firstLineChars="200"/>
        <w:rPr>
          <w:rFonts w:hAnsi="Times New Roman"/>
          <w:highlight w:val="none"/>
        </w:rPr>
      </w:pPr>
      <w:bookmarkStart w:id="67" w:name="_Toc165014904"/>
      <w:r>
        <w:rPr>
          <w:rFonts w:hAnsi="Times New Roman"/>
          <w:highlight w:val="none"/>
        </w:rPr>
        <w:t>对存在碳核查相关报告的融资项目，从相关核查报告获取碳排放量数据直接录入系统。对不存在碳核算相关报告的融资项目，通过录入融资项目碳排放核算相关数据，提交碳排放核算，系统自动核算融资项目及融资对应的碳排放量。</w:t>
      </w:r>
    </w:p>
    <w:p w14:paraId="6BF30078">
      <w:pPr>
        <w:adjustRightInd w:val="0"/>
        <w:snapToGrid w:val="0"/>
        <w:ind w:left="0" w:firstLine="240" w:firstLineChars="100"/>
        <w:rPr>
          <w:rFonts w:ascii="Times New Roman" w:hAnsi="Times New Roman" w:cs="Times New Roman"/>
          <w:highlight w:val="none"/>
        </w:rPr>
      </w:pPr>
      <w:r>
        <w:rPr>
          <w:rFonts w:ascii="Times New Roman" w:hAnsi="Times New Roman" w:cs="Times New Roman"/>
          <w:highlight w:val="none"/>
        </w:rPr>
        <w:t>1.8 碳账户管理模块</w:t>
      </w:r>
      <w:bookmarkEnd w:id="67"/>
    </w:p>
    <w:p w14:paraId="5F31BB9A">
      <w:pPr>
        <w:adjustRightInd w:val="0"/>
        <w:snapToGrid w:val="0"/>
        <w:ind w:left="0" w:firstLine="480" w:firstLineChars="200"/>
        <w:rPr>
          <w:rFonts w:ascii="Times New Roman" w:hAnsi="Times New Roman" w:cs="Times New Roman"/>
          <w:highlight w:val="none"/>
        </w:rPr>
      </w:pPr>
      <w:r>
        <w:rPr>
          <w:rFonts w:ascii="Times New Roman" w:hAnsi="Times New Roman" w:cs="Times New Roman"/>
          <w:highlight w:val="none"/>
        </w:rPr>
        <w:t>1.8.1 企业碳账户管理功能</w:t>
      </w:r>
    </w:p>
    <w:p w14:paraId="6794CEC0">
      <w:pPr>
        <w:adjustRightInd w:val="0"/>
        <w:snapToGrid w:val="0"/>
        <w:ind w:firstLine="480" w:firstLineChars="200"/>
        <w:rPr>
          <w:rFonts w:ascii="Times New Roman" w:hAnsi="Times New Roman" w:cs="Times New Roman"/>
          <w:highlight w:val="none"/>
        </w:rPr>
      </w:pPr>
      <w:r>
        <w:rPr>
          <w:rFonts w:hAnsi="Times New Roman"/>
          <w:highlight w:val="none"/>
        </w:rPr>
        <w:t>根据监管后续相关要求建立企业碳账户，并对其进行监控并管理。（暂不建设，预留板块并纳入统一预算）</w:t>
      </w:r>
    </w:p>
    <w:p w14:paraId="3AF88DC1">
      <w:pPr>
        <w:adjustRightInd w:val="0"/>
        <w:snapToGrid w:val="0"/>
        <w:ind w:left="0" w:firstLine="480" w:firstLineChars="200"/>
        <w:rPr>
          <w:rFonts w:ascii="Times New Roman" w:hAnsi="Times New Roman" w:cs="Times New Roman"/>
          <w:highlight w:val="none"/>
        </w:rPr>
      </w:pPr>
      <w:r>
        <w:rPr>
          <w:rFonts w:ascii="Times New Roman" w:hAnsi="Times New Roman" w:cs="Times New Roman"/>
          <w:highlight w:val="none"/>
        </w:rPr>
        <w:t>1.8.2 个人碳账户管理功能</w:t>
      </w:r>
    </w:p>
    <w:p w14:paraId="2F80B5F5">
      <w:pPr>
        <w:adjustRightInd w:val="0"/>
        <w:snapToGrid w:val="0"/>
        <w:ind w:firstLine="480" w:firstLineChars="200"/>
        <w:rPr>
          <w:rFonts w:ascii="Times New Roman" w:hAnsi="Times New Roman" w:cs="Times New Roman"/>
          <w:highlight w:val="none"/>
        </w:rPr>
      </w:pPr>
      <w:bookmarkStart w:id="68" w:name="_Toc165014905"/>
      <w:r>
        <w:rPr>
          <w:rFonts w:hAnsi="Times New Roman"/>
          <w:highlight w:val="none"/>
        </w:rPr>
        <w:t>对我行个人碳足迹及碳积分等进行管理。前期功能为调用三峡付云管家中个人碳积分相关数据，包括开户量及明细、碳减排数据条数、碳减排量等。</w:t>
      </w:r>
    </w:p>
    <w:p w14:paraId="1F82886A">
      <w:pPr>
        <w:adjustRightInd w:val="0"/>
        <w:snapToGrid w:val="0"/>
        <w:ind w:firstLine="240" w:firstLineChars="100"/>
        <w:rPr>
          <w:rFonts w:ascii="Times New Roman" w:hAnsi="Times New Roman" w:cs="Times New Roman"/>
          <w:highlight w:val="none"/>
        </w:rPr>
      </w:pPr>
      <w:r>
        <w:rPr>
          <w:rFonts w:ascii="Times New Roman" w:hAnsi="Times New Roman" w:cs="Times New Roman"/>
          <w:highlight w:val="none"/>
        </w:rPr>
        <w:t>1.9 信息披露模块</w:t>
      </w:r>
      <w:bookmarkEnd w:id="68"/>
    </w:p>
    <w:p w14:paraId="4310B406">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1.9.1 环境社会责任（ESG）报告的自动生成功能</w:t>
      </w:r>
    </w:p>
    <w:p w14:paraId="6D809743">
      <w:pPr>
        <w:adjustRightInd w:val="0"/>
        <w:snapToGrid w:val="0"/>
        <w:ind w:firstLine="480" w:firstLineChars="200"/>
        <w:rPr>
          <w:rFonts w:ascii="Times New Roman" w:hAnsi="Times New Roman" w:cs="Times New Roman"/>
          <w:highlight w:val="none"/>
        </w:rPr>
      </w:pPr>
      <w:r>
        <w:rPr>
          <w:rFonts w:hAnsi="Times New Roman"/>
          <w:highlight w:val="none"/>
        </w:rPr>
        <w:t>ESG报告中部分固定格式内容的数据更新及自动生成。</w:t>
      </w:r>
    </w:p>
    <w:p w14:paraId="31434854">
      <w:pPr>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1.9.2 气候与环境信息披露报告的自动生成功能</w:t>
      </w:r>
    </w:p>
    <w:p w14:paraId="6590E4B5">
      <w:pPr>
        <w:adjustRightInd w:val="0"/>
        <w:snapToGrid w:val="0"/>
        <w:ind w:firstLine="480" w:firstLineChars="200"/>
        <w:rPr>
          <w:rFonts w:ascii="Times New Roman" w:hAnsi="Times New Roman" w:cs="Times New Roman"/>
          <w:highlight w:val="none"/>
        </w:rPr>
      </w:pPr>
      <w:bookmarkStart w:id="69" w:name="_Toc165014906"/>
      <w:r>
        <w:rPr>
          <w:rFonts w:hAnsi="Times New Roman"/>
          <w:highlight w:val="none"/>
        </w:rPr>
        <w:t>气候与环境信息披露报告中部分固定格式内容的数据更新及自动生成。</w:t>
      </w:r>
    </w:p>
    <w:p w14:paraId="1D21CD9C">
      <w:pPr>
        <w:adjustRightInd w:val="0"/>
        <w:snapToGrid w:val="0"/>
        <w:ind w:left="0" w:firstLine="240" w:firstLineChars="100"/>
        <w:rPr>
          <w:rFonts w:ascii="Times New Roman" w:hAnsi="Times New Roman" w:cs="Times New Roman"/>
          <w:highlight w:val="none"/>
        </w:rPr>
      </w:pPr>
      <w:r>
        <w:rPr>
          <w:rFonts w:ascii="Times New Roman" w:hAnsi="Times New Roman" w:cs="Times New Roman"/>
          <w:highlight w:val="none"/>
        </w:rPr>
        <w:t>1.10 工作台模块</w:t>
      </w:r>
      <w:bookmarkEnd w:id="69"/>
    </w:p>
    <w:p w14:paraId="636C6396">
      <w:pPr>
        <w:adjustRightInd w:val="0"/>
        <w:snapToGrid w:val="0"/>
        <w:ind w:left="0" w:firstLine="480" w:firstLineChars="200"/>
        <w:rPr>
          <w:rFonts w:ascii="Times New Roman" w:hAnsi="Times New Roman" w:cs="Times New Roman"/>
          <w:highlight w:val="none"/>
        </w:rPr>
      </w:pPr>
      <w:r>
        <w:rPr>
          <w:rFonts w:ascii="Times New Roman" w:hAnsi="Times New Roman" w:cs="Times New Roman"/>
          <w:highlight w:val="none"/>
        </w:rPr>
        <w:t>1.10.1 展示个人任务列表、绿色金融统计数据功能</w:t>
      </w:r>
    </w:p>
    <w:p w14:paraId="6863EDEB">
      <w:pPr>
        <w:keepNext/>
        <w:widowControl w:val="0"/>
        <w:adjustRightInd w:val="0"/>
        <w:snapToGrid w:val="0"/>
        <w:ind w:firstLine="480" w:firstLineChars="200"/>
        <w:rPr>
          <w:rFonts w:ascii="Times New Roman" w:hAnsi="Times New Roman" w:cs="Times New Roman"/>
          <w:highlight w:val="none"/>
        </w:rPr>
      </w:pPr>
      <w:r>
        <w:rPr>
          <w:rFonts w:hAnsi="Times New Roman"/>
          <w:highlight w:val="none"/>
        </w:rPr>
        <w:t>展现当前用户的流程中待办任务、待发起任务、绿色金融概况信息，按权限可查询包括按人民银行绿色信贷专项统计标准、银监绿色融资统计标准、绿债标准统计的绿色金融余额、绿色金融发放额及贷款户数等。</w:t>
      </w:r>
    </w:p>
    <w:p w14:paraId="4532160F">
      <w:pPr>
        <w:keepNext/>
        <w:widowControl w:val="0"/>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1.10.2 大屏展示功能</w:t>
      </w:r>
    </w:p>
    <w:p w14:paraId="7B31AC77">
      <w:pPr>
        <w:keepNext/>
        <w:widowControl w:val="0"/>
        <w:adjustRightInd w:val="0"/>
        <w:snapToGrid w:val="0"/>
        <w:ind w:firstLine="480" w:firstLineChars="200"/>
        <w:rPr>
          <w:rFonts w:ascii="Times New Roman" w:hAnsi="Times New Roman" w:cs="Times New Roman"/>
          <w:highlight w:val="none"/>
        </w:rPr>
      </w:pPr>
      <w:r>
        <w:rPr>
          <w:rFonts w:hAnsi="Times New Roman"/>
          <w:highlight w:val="none"/>
        </w:rPr>
        <w:t>对我行绿色金融整体情况及各种分类的数据进行大屏展示及图像对比等。</w:t>
      </w:r>
    </w:p>
    <w:p w14:paraId="49AFC0CE">
      <w:pPr>
        <w:keepNext/>
        <w:widowControl w:val="0"/>
        <w:adjustRightInd w:val="0"/>
        <w:snapToGrid w:val="0"/>
        <w:ind w:left="0" w:firstLine="240" w:firstLineChars="100"/>
        <w:rPr>
          <w:rFonts w:ascii="Times New Roman" w:hAnsi="Times New Roman" w:cs="Times New Roman"/>
          <w:highlight w:val="none"/>
        </w:rPr>
      </w:pPr>
      <w:bookmarkStart w:id="70" w:name="_Toc165014907"/>
      <w:r>
        <w:rPr>
          <w:rFonts w:ascii="Times New Roman" w:hAnsi="Times New Roman" w:cs="Times New Roman"/>
          <w:highlight w:val="none"/>
        </w:rPr>
        <w:t>1.11 移交平台模块</w:t>
      </w:r>
      <w:bookmarkEnd w:id="70"/>
    </w:p>
    <w:p w14:paraId="5E5B0C6C">
      <w:pPr>
        <w:keepNext/>
        <w:widowControl w:val="0"/>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1.11.1 处理相关客户的历史数据移交工作功能</w:t>
      </w:r>
    </w:p>
    <w:p w14:paraId="63DA5625">
      <w:pPr>
        <w:keepNext/>
        <w:widowControl w:val="0"/>
        <w:adjustRightInd w:val="0"/>
        <w:snapToGrid w:val="0"/>
        <w:ind w:firstLine="480" w:firstLineChars="200"/>
        <w:rPr>
          <w:rFonts w:ascii="Times New Roman" w:hAnsi="Times New Roman" w:cs="Times New Roman"/>
          <w:highlight w:val="none"/>
        </w:rPr>
      </w:pPr>
      <w:r>
        <w:rPr>
          <w:rFonts w:hAnsi="Times New Roman"/>
          <w:highlight w:val="none"/>
        </w:rPr>
        <w:t>根据岗位变动等情况，对客户经理管辖的客户及其历史数据进行移交，便于接手人员了解历史情况，同时规范绿色客户的管理工作。</w:t>
      </w:r>
    </w:p>
    <w:p w14:paraId="71A17076">
      <w:pPr>
        <w:keepNext/>
        <w:widowControl w:val="0"/>
        <w:adjustRightInd w:val="0"/>
        <w:snapToGrid w:val="0"/>
        <w:ind w:left="0" w:firstLine="240" w:firstLineChars="100"/>
        <w:rPr>
          <w:rFonts w:ascii="Times New Roman" w:hAnsi="Times New Roman" w:cs="Times New Roman"/>
          <w:highlight w:val="none"/>
        </w:rPr>
      </w:pPr>
      <w:bookmarkStart w:id="71" w:name="_Toc165014908"/>
      <w:r>
        <w:rPr>
          <w:rFonts w:ascii="Times New Roman" w:hAnsi="Times New Roman" w:cs="Times New Roman"/>
          <w:highlight w:val="none"/>
        </w:rPr>
        <w:t>1.12 系统管理模块</w:t>
      </w:r>
      <w:bookmarkEnd w:id="71"/>
    </w:p>
    <w:p w14:paraId="30B7AC85">
      <w:pPr>
        <w:keepNext/>
        <w:widowControl w:val="0"/>
        <w:adjustRightInd w:val="0"/>
        <w:snapToGrid w:val="0"/>
        <w:ind w:firstLine="480" w:firstLineChars="200"/>
        <w:rPr>
          <w:rFonts w:ascii="Times New Roman" w:hAnsi="Times New Roman" w:cs="Times New Roman"/>
          <w:highlight w:val="none"/>
        </w:rPr>
      </w:pPr>
      <w:r>
        <w:rPr>
          <w:rFonts w:ascii="Times New Roman" w:hAnsi="Times New Roman" w:cs="Times New Roman"/>
          <w:highlight w:val="none"/>
        </w:rPr>
        <w:t>1.12.1 系统管理功能</w:t>
      </w:r>
    </w:p>
    <w:p w14:paraId="2B341A10">
      <w:pPr>
        <w:keepNext/>
        <w:widowControl w:val="0"/>
        <w:adjustRightInd w:val="0"/>
        <w:snapToGrid w:val="0"/>
        <w:ind w:firstLine="480" w:firstLineChars="200"/>
        <w:rPr>
          <w:highlight w:val="none"/>
        </w:rPr>
      </w:pPr>
      <w:r>
        <w:rPr>
          <w:rFonts w:hAnsi="Times New Roman"/>
          <w:highlight w:val="none"/>
        </w:rPr>
        <w:t>通过系统管理功能，实现对系统机构、用户进行新增、修改、删除。并对用户赋予指定角色等。</w:t>
      </w:r>
    </w:p>
    <w:p w14:paraId="4C7DCA8D">
      <w:pPr>
        <w:pStyle w:val="4"/>
        <w:numPr>
          <w:ilvl w:val="0"/>
          <w:numId w:val="3"/>
        </w:numPr>
        <w:rPr>
          <w:rFonts w:ascii="Times New Roman" w:hAnsi="Times New Roman"/>
          <w:highlight w:val="none"/>
        </w:rPr>
      </w:pPr>
      <w:r>
        <w:rPr>
          <w:rFonts w:hint="eastAsia" w:ascii="Times New Roman" w:hAnsi="Times New Roman"/>
          <w:highlight w:val="none"/>
        </w:rPr>
        <w:t>技术要求</w:t>
      </w:r>
    </w:p>
    <w:p w14:paraId="19DC98B8">
      <w:pPr>
        <w:pStyle w:val="5"/>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.1 </w:t>
      </w:r>
      <w:r>
        <w:rPr>
          <w:rFonts w:hint="eastAsia" w:ascii="Times New Roman" w:hAnsi="Times New Roman"/>
          <w:szCs w:val="24"/>
          <w:highlight w:val="none"/>
        </w:rPr>
        <w:t>总体原则</w:t>
      </w:r>
    </w:p>
    <w:p w14:paraId="4C60A587">
      <w:pPr>
        <w:snapToGrid w:val="0"/>
        <w:ind w:firstLine="480" w:firstLineChars="200"/>
        <w:rPr>
          <w:rFonts w:hAnsi="Times New Roman" w:cs="Times New Roman"/>
          <w:highlight w:val="none"/>
        </w:rPr>
      </w:pPr>
      <w:r>
        <w:rPr>
          <w:rFonts w:ascii="Times New Roman" w:hAnsi="Times New Roman" w:cs="Times New Roman"/>
          <w:highlight w:val="none"/>
        </w:rPr>
        <w:t>1）</w:t>
      </w:r>
      <w:r>
        <w:rPr>
          <w:rFonts w:hAnsi="Times New Roman" w:cs="Times New Roman"/>
          <w:highlight w:val="none"/>
        </w:rPr>
        <w:t>高可靠性和可用性：系统支持容错处理、具备运维问题分析解决和网络安全等技术措施，保证系统的安全可靠和高可用性。</w:t>
      </w:r>
    </w:p>
    <w:p w14:paraId="3D9E3C79">
      <w:pPr>
        <w:snapToGrid w:val="0"/>
        <w:ind w:firstLine="480" w:firstLineChars="200"/>
        <w:rPr>
          <w:rFonts w:hAnsi="Times New Roman" w:cs="Times New Roman"/>
          <w:highlight w:val="none"/>
        </w:rPr>
      </w:pPr>
      <w:r>
        <w:rPr>
          <w:rFonts w:ascii="Times New Roman" w:hAnsi="Times New Roman" w:cs="Times New Roman"/>
          <w:highlight w:val="none"/>
        </w:rPr>
        <w:t>2）</w:t>
      </w:r>
      <w:r>
        <w:rPr>
          <w:rFonts w:hAnsi="Times New Roman" w:cs="Times New Roman"/>
          <w:highlight w:val="none"/>
        </w:rPr>
        <w:t>标准化：应用软件开发符合软件开发标准的要求，方便维护和扩展。</w:t>
      </w:r>
    </w:p>
    <w:p w14:paraId="5457F443">
      <w:pPr>
        <w:snapToGrid w:val="0"/>
        <w:ind w:firstLine="480" w:firstLineChars="200"/>
        <w:rPr>
          <w:rFonts w:hAnsi="Times New Roman" w:cs="Times New Roman"/>
          <w:highlight w:val="none"/>
        </w:rPr>
      </w:pPr>
      <w:r>
        <w:rPr>
          <w:rFonts w:ascii="Times New Roman" w:hAnsi="Times New Roman" w:cs="Times New Roman"/>
          <w:highlight w:val="none"/>
        </w:rPr>
        <w:t>3）</w:t>
      </w:r>
      <w:r>
        <w:rPr>
          <w:rFonts w:hAnsi="Times New Roman" w:cs="Times New Roman"/>
          <w:highlight w:val="none"/>
        </w:rPr>
        <w:t>易维护性：系统维护操作简便，便于生产运维。</w:t>
      </w:r>
    </w:p>
    <w:p w14:paraId="5E80124E">
      <w:pPr>
        <w:pStyle w:val="5"/>
        <w:rPr>
          <w:rFonts w:ascii="Times New Roman" w:hAnsi="Times New Roman"/>
          <w:szCs w:val="24"/>
          <w:highlight w:val="none"/>
        </w:rPr>
      </w:pPr>
      <w:r>
        <w:rPr>
          <w:rFonts w:hint="eastAsia" w:ascii="Times New Roman" w:hAnsi="Times New Roman"/>
          <w:szCs w:val="24"/>
          <w:highlight w:val="none"/>
        </w:rPr>
        <w:t>2.2 用户体验要求</w:t>
      </w:r>
    </w:p>
    <w:p w14:paraId="3F98A978">
      <w:pPr>
        <w:snapToGrid w:val="0"/>
        <w:ind w:firstLine="480" w:firstLineChars="200"/>
        <w:rPr>
          <w:rFonts w:ascii="Times New Roman" w:hAnsi="Times New Roman" w:cs="Times New Roman"/>
          <w:highlight w:val="none"/>
        </w:rPr>
      </w:pPr>
      <w:r>
        <w:rPr>
          <w:rFonts w:ascii="Times New Roman" w:hAnsi="Times New Roman" w:cs="Times New Roman"/>
          <w:highlight w:val="none"/>
        </w:rPr>
        <w:t>1）功能使用流畅，系统提供必要的参数化维护功能。</w:t>
      </w:r>
    </w:p>
    <w:p w14:paraId="15BF36F8">
      <w:pPr>
        <w:snapToGrid w:val="0"/>
        <w:ind w:firstLine="480" w:firstLineChars="200"/>
        <w:rPr>
          <w:rFonts w:hAnsi="Times New Roman" w:cs="Times New Roman"/>
          <w:highlight w:val="none"/>
        </w:rPr>
      </w:pPr>
      <w:r>
        <w:rPr>
          <w:rFonts w:ascii="Times New Roman" w:hAnsi="Times New Roman" w:cs="Times New Roman"/>
          <w:highlight w:val="none"/>
        </w:rPr>
        <w:t>2）</w:t>
      </w:r>
      <w:r>
        <w:rPr>
          <w:rFonts w:hAnsi="Times New Roman" w:cs="Times New Roman"/>
          <w:highlight w:val="none"/>
        </w:rPr>
        <w:t>安全性高、系统高峰期功能使用状况良好。</w:t>
      </w:r>
    </w:p>
    <w:p w14:paraId="4C35C5F5">
      <w:pPr>
        <w:pStyle w:val="5"/>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.3 </w:t>
      </w:r>
      <w:r>
        <w:rPr>
          <w:rFonts w:hint="eastAsia" w:ascii="Times New Roman" w:hAnsi="Times New Roman"/>
          <w:szCs w:val="24"/>
          <w:highlight w:val="none"/>
        </w:rPr>
        <w:t>系统技术架构要求</w:t>
      </w:r>
    </w:p>
    <w:p w14:paraId="37B924FE">
      <w:pPr>
        <w:snapToGrid w:val="0"/>
        <w:ind w:firstLine="480" w:firstLineChars="200"/>
        <w:rPr>
          <w:rFonts w:ascii="Times New Roman" w:hAnsi="Times New Roman" w:cs="Times New Roman"/>
          <w:highlight w:val="none"/>
        </w:rPr>
      </w:pPr>
      <w:r>
        <w:rPr>
          <w:rFonts w:ascii="Times New Roman" w:hAnsi="Times New Roman" w:cs="Times New Roman"/>
          <w:highlight w:val="none"/>
        </w:rPr>
        <w:t>1）系统设计灵活、功能安排明确合理、易于改造，充分考虑可扩展性。应用软件接口扩展功能强大，能通过简单的模块化开发或参数化配置的方式开发接口，具备良好的开放性，便于与其他系统对接。考虑关联系统业务连续性，不能阻断其业务。</w:t>
      </w:r>
    </w:p>
    <w:p w14:paraId="778A64BB">
      <w:pPr>
        <w:snapToGrid w:val="0"/>
        <w:ind w:firstLine="480" w:firstLineChars="200"/>
        <w:rPr>
          <w:rFonts w:ascii="Times New Roman" w:hAnsi="Times New Roman" w:cs="Times New Roman"/>
          <w:highlight w:val="none"/>
        </w:rPr>
      </w:pPr>
      <w:r>
        <w:rPr>
          <w:rFonts w:ascii="Times New Roman" w:hAnsi="Times New Roman" w:cs="Times New Roman"/>
          <w:highlight w:val="none"/>
        </w:rPr>
        <w:t>2）系统主体架构采用基于B/S架构设计，支持国产化软硬件，支持国产化操作系统，支持国产化中间件，支持国产化数据库，支持主流浏览器和国产化浏览器，支持通过办公平台移动端单点登录访问，支持我行国产化软硬件基线。</w:t>
      </w:r>
    </w:p>
    <w:p w14:paraId="74904CE4">
      <w:pPr>
        <w:snapToGrid w:val="0"/>
        <w:ind w:firstLine="480" w:firstLineChars="200"/>
        <w:rPr>
          <w:rFonts w:ascii="Times New Roman" w:hAnsi="Times New Roman" w:cs="Times New Roman"/>
          <w:highlight w:val="none"/>
        </w:rPr>
      </w:pPr>
      <w:r>
        <w:rPr>
          <w:rFonts w:ascii="Times New Roman" w:hAnsi="Times New Roman" w:cs="Times New Roman"/>
          <w:highlight w:val="none"/>
        </w:rPr>
        <w:t>3）系统架构分层合理，达到层次清晰、可维护、可重用、可扩展，采用单体无状态架构，且符合我行devops流水线构建要求。</w:t>
      </w:r>
      <w:r>
        <w:rPr>
          <w:rFonts w:hAnsi="Times New Roman"/>
          <w:highlight w:val="none"/>
        </w:rPr>
        <w:t>可按照本行研发运维标准接入DevOps研发效能平台、AiOps智能运维平台。</w:t>
      </w:r>
    </w:p>
    <w:p w14:paraId="1E9F2BCF">
      <w:pPr>
        <w:pStyle w:val="5"/>
        <w:rPr>
          <w:rFonts w:ascii="Times New Roman" w:hAnsi="Times New Roman"/>
          <w:szCs w:val="24"/>
          <w:highlight w:val="none"/>
        </w:rPr>
      </w:pPr>
      <w:r>
        <w:rPr>
          <w:rFonts w:ascii="Times New Roman" w:hAnsi="Times New Roman"/>
          <w:szCs w:val="24"/>
          <w:highlight w:val="none"/>
        </w:rPr>
        <w:t xml:space="preserve">2.4 </w:t>
      </w:r>
      <w:r>
        <w:rPr>
          <w:rFonts w:hint="eastAsia" w:ascii="Times New Roman" w:hAnsi="Times New Roman"/>
          <w:szCs w:val="24"/>
          <w:highlight w:val="none"/>
        </w:rPr>
        <w:t>系统性能要求</w:t>
      </w:r>
    </w:p>
    <w:p w14:paraId="10920552">
      <w:pPr>
        <w:snapToGrid w:val="0"/>
        <w:ind w:firstLine="480" w:firstLineChars="200"/>
        <w:rPr>
          <w:rFonts w:ascii="Times New Roman" w:hAnsi="Times New Roman" w:cs="Times New Roman"/>
          <w:szCs w:val="24"/>
          <w:highlight w:val="none"/>
        </w:rPr>
      </w:pPr>
      <w:r>
        <w:rPr>
          <w:rFonts w:ascii="Times New Roman" w:hAnsi="Times New Roman" w:cs="Times New Roman"/>
          <w:szCs w:val="24"/>
          <w:highlight w:val="none"/>
        </w:rPr>
        <w:t>可承载机构2000+用户，满足高峰时段用户并发同时处理业务的性能要求。从用户点击到页面响应结果不超过5秒。</w:t>
      </w:r>
    </w:p>
    <w:p w14:paraId="6E912BF9">
      <w:pPr>
        <w:pStyle w:val="5"/>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.5 </w:t>
      </w:r>
      <w:r>
        <w:rPr>
          <w:rFonts w:hint="eastAsia" w:ascii="Times New Roman" w:hAnsi="Times New Roman"/>
          <w:szCs w:val="24"/>
          <w:highlight w:val="none"/>
        </w:rPr>
        <w:t>安全性要求</w:t>
      </w:r>
    </w:p>
    <w:p w14:paraId="4F7B6431">
      <w:pPr>
        <w:snapToGrid w:val="0"/>
        <w:ind w:firstLine="480" w:firstLineChars="200"/>
        <w:rPr>
          <w:rFonts w:hAnsi="Times New Roman"/>
          <w:szCs w:val="24"/>
          <w:highlight w:val="none"/>
        </w:rPr>
      </w:pPr>
      <w:r>
        <w:rPr>
          <w:rFonts w:hAnsi="Times New Roman"/>
          <w:szCs w:val="24"/>
          <w:highlight w:val="none"/>
        </w:rPr>
        <w:t>1）具有完备的、可查询的日志体系。</w:t>
      </w:r>
    </w:p>
    <w:p w14:paraId="45FA5964">
      <w:pPr>
        <w:snapToGrid w:val="0"/>
        <w:ind w:firstLine="480" w:firstLineChars="200"/>
        <w:rPr>
          <w:rFonts w:hAnsi="Times New Roman"/>
          <w:szCs w:val="24"/>
          <w:highlight w:val="none"/>
        </w:rPr>
      </w:pPr>
      <w:r>
        <w:rPr>
          <w:rFonts w:hAnsi="Times New Roman"/>
          <w:szCs w:val="24"/>
          <w:highlight w:val="none"/>
        </w:rPr>
        <w:t>2）具有完备的各岗位、角色等的相应权限管理。实现管理用户权限分离，限制系统管理员权限，并创建安全管理员、审计管理员等账户，仅授予管理用户所需的最小权限。</w:t>
      </w:r>
    </w:p>
    <w:p w14:paraId="2F84568F">
      <w:pPr>
        <w:snapToGrid w:val="0"/>
        <w:ind w:firstLine="480" w:firstLineChars="200"/>
        <w:rPr>
          <w:rFonts w:hAnsi="Times New Roman"/>
          <w:szCs w:val="24"/>
          <w:highlight w:val="none"/>
        </w:rPr>
      </w:pPr>
      <w:r>
        <w:rPr>
          <w:rFonts w:hAnsi="Times New Roman"/>
          <w:szCs w:val="24"/>
          <w:highlight w:val="none"/>
        </w:rPr>
        <w:t>3）具有完备的和切实可行的数据备份与恢复机制。</w:t>
      </w:r>
    </w:p>
    <w:p w14:paraId="3DAC12AE">
      <w:pPr>
        <w:snapToGrid w:val="0"/>
        <w:ind w:firstLine="480" w:firstLineChars="200"/>
        <w:rPr>
          <w:rFonts w:hAnsi="Times New Roman"/>
          <w:szCs w:val="24"/>
          <w:highlight w:val="none"/>
        </w:rPr>
      </w:pPr>
      <w:r>
        <w:rPr>
          <w:rFonts w:hAnsi="Times New Roman"/>
          <w:szCs w:val="24"/>
          <w:highlight w:val="none"/>
        </w:rPr>
        <w:t>4）系统对重要的系统操作提供日志记录，具有查询功能，且对用户操作（增删改）有记录并防篡改，记录特殊操作等。</w:t>
      </w:r>
    </w:p>
    <w:p w14:paraId="67E81491">
      <w:pPr>
        <w:snapToGrid w:val="0"/>
        <w:ind w:firstLine="480" w:firstLineChars="200"/>
        <w:rPr>
          <w:rFonts w:hAnsi="Times New Roman"/>
          <w:szCs w:val="24"/>
          <w:highlight w:val="none"/>
        </w:rPr>
      </w:pPr>
      <w:r>
        <w:rPr>
          <w:rFonts w:hAnsi="Times New Roman"/>
          <w:szCs w:val="24"/>
          <w:highlight w:val="none"/>
        </w:rPr>
        <w:t>5）支持传输报文加密。</w:t>
      </w:r>
    </w:p>
    <w:p w14:paraId="2F8C2A5D">
      <w:pPr>
        <w:snapToGrid w:val="0"/>
        <w:ind w:firstLine="480" w:firstLineChars="200"/>
        <w:rPr>
          <w:rFonts w:hAnsi="Times New Roman"/>
          <w:szCs w:val="24"/>
          <w:highlight w:val="none"/>
        </w:rPr>
      </w:pPr>
      <w:r>
        <w:rPr>
          <w:rFonts w:hAnsi="Times New Roman"/>
          <w:szCs w:val="24"/>
          <w:highlight w:val="none"/>
        </w:rPr>
        <w:t>6）支持国密加密。</w:t>
      </w:r>
    </w:p>
    <w:p w14:paraId="3FF6B000">
      <w:pPr>
        <w:snapToGrid w:val="0"/>
        <w:ind w:firstLine="480" w:firstLineChars="200"/>
        <w:rPr>
          <w:rFonts w:hAnsi="Times New Roman"/>
          <w:szCs w:val="24"/>
          <w:highlight w:val="none"/>
        </w:rPr>
      </w:pPr>
      <w:r>
        <w:rPr>
          <w:rFonts w:hAnsi="Times New Roman"/>
          <w:szCs w:val="24"/>
          <w:highlight w:val="none"/>
        </w:rPr>
        <w:t>7）支持后台日志和存储中的关键字、重要字段加密或脱敏。</w:t>
      </w:r>
    </w:p>
    <w:p w14:paraId="158C2C59">
      <w:pPr>
        <w:snapToGrid w:val="0"/>
        <w:ind w:firstLine="480" w:firstLineChars="200"/>
        <w:rPr>
          <w:rFonts w:hAnsi="Times New Roman"/>
          <w:szCs w:val="24"/>
          <w:highlight w:val="none"/>
        </w:rPr>
      </w:pPr>
      <w:r>
        <w:rPr>
          <w:rFonts w:hAnsi="Times New Roman"/>
          <w:szCs w:val="24"/>
          <w:highlight w:val="none"/>
        </w:rPr>
        <w:t>8）账号密码复杂度需满足行里系统安全基线要求。</w:t>
      </w:r>
    </w:p>
    <w:p w14:paraId="3256AC32">
      <w:pPr>
        <w:snapToGrid w:val="0"/>
        <w:ind w:firstLine="480" w:firstLineChars="200"/>
        <w:rPr>
          <w:rFonts w:hAnsi="Times New Roman"/>
          <w:szCs w:val="24"/>
          <w:highlight w:val="none"/>
        </w:rPr>
      </w:pPr>
      <w:r>
        <w:rPr>
          <w:rFonts w:hAnsi="Times New Roman"/>
          <w:szCs w:val="24"/>
          <w:highlight w:val="none"/>
        </w:rPr>
        <w:t>9）总的安全性相关要求需满足行里系统安全基线要求。</w:t>
      </w:r>
    </w:p>
    <w:p w14:paraId="182922FD">
      <w:pPr>
        <w:pStyle w:val="5"/>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.6 </w:t>
      </w:r>
      <w:r>
        <w:rPr>
          <w:rFonts w:hint="eastAsia" w:ascii="Times New Roman" w:hAnsi="Times New Roman"/>
          <w:szCs w:val="24"/>
          <w:highlight w:val="none"/>
        </w:rPr>
        <w:t>可扩展性需求</w:t>
      </w:r>
    </w:p>
    <w:p w14:paraId="6979064A">
      <w:pPr>
        <w:snapToGrid w:val="0"/>
        <w:ind w:firstLine="480" w:firstLineChars="200"/>
        <w:rPr>
          <w:rFonts w:hAnsi="Times New Roman"/>
          <w:szCs w:val="24"/>
          <w:highlight w:val="none"/>
        </w:rPr>
      </w:pPr>
      <w:r>
        <w:rPr>
          <w:rFonts w:hAnsi="Times New Roman"/>
          <w:szCs w:val="24"/>
          <w:highlight w:val="none"/>
        </w:rPr>
        <w:t>1）所设计的系统应具有良好的扩充性，能够根据未来新的业务需求进行修改或者新增。</w:t>
      </w:r>
    </w:p>
    <w:p w14:paraId="0765D5DE">
      <w:pPr>
        <w:snapToGrid w:val="0"/>
        <w:ind w:firstLine="480" w:firstLineChars="200"/>
        <w:rPr>
          <w:rFonts w:hAnsi="Times New Roman"/>
          <w:szCs w:val="24"/>
          <w:highlight w:val="none"/>
        </w:rPr>
      </w:pPr>
      <w:r>
        <w:rPr>
          <w:rFonts w:hAnsi="Times New Roman"/>
          <w:szCs w:val="24"/>
          <w:highlight w:val="none"/>
        </w:rPr>
        <w:t>2）架构与功能设计模块化，考虑各接口的开放性、可扩展性。</w:t>
      </w:r>
    </w:p>
    <w:p w14:paraId="7FD73D5A">
      <w:pPr>
        <w:snapToGrid w:val="0"/>
        <w:ind w:firstLine="480" w:firstLineChars="200"/>
        <w:rPr>
          <w:rFonts w:hAnsi="Times New Roman"/>
          <w:szCs w:val="24"/>
          <w:highlight w:val="none"/>
        </w:rPr>
      </w:pPr>
      <w:r>
        <w:rPr>
          <w:rFonts w:hAnsi="Times New Roman"/>
          <w:szCs w:val="24"/>
          <w:highlight w:val="none"/>
        </w:rPr>
        <w:t>3）软件部署不能与硬件绑定。</w:t>
      </w:r>
    </w:p>
    <w:p w14:paraId="020B1FD7">
      <w:pPr>
        <w:pStyle w:val="5"/>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.7 </w:t>
      </w:r>
      <w:r>
        <w:rPr>
          <w:rFonts w:hint="eastAsia" w:ascii="Times New Roman" w:hAnsi="Times New Roman"/>
          <w:szCs w:val="24"/>
          <w:highlight w:val="none"/>
        </w:rPr>
        <w:t>二次开发要求</w:t>
      </w:r>
    </w:p>
    <w:p w14:paraId="278AAC9F">
      <w:pPr>
        <w:ind w:firstLine="480" w:firstLineChars="200"/>
        <w:rPr>
          <w:rFonts w:ascii="Times New Roman" w:hAnsi="Times New Roman"/>
          <w:szCs w:val="24"/>
          <w:highlight w:val="none"/>
        </w:rPr>
      </w:pPr>
      <w:r>
        <w:rPr>
          <w:rFonts w:hAnsi="Times New Roman"/>
          <w:szCs w:val="24"/>
          <w:highlight w:val="none"/>
        </w:rPr>
        <w:t>软件系统能支持未来的二次开发需要。</w:t>
      </w:r>
    </w:p>
    <w:p w14:paraId="6B6AE28D">
      <w:pPr>
        <w:pStyle w:val="5"/>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.8 </w:t>
      </w:r>
      <w:r>
        <w:rPr>
          <w:rFonts w:hint="eastAsia" w:ascii="Times New Roman" w:hAnsi="Times New Roman"/>
          <w:szCs w:val="24"/>
          <w:highlight w:val="none"/>
        </w:rPr>
        <w:t>其它非功能性要求</w:t>
      </w:r>
    </w:p>
    <w:p w14:paraId="59C0A78E">
      <w:pPr>
        <w:snapToGrid w:val="0"/>
        <w:ind w:firstLine="480" w:firstLineChars="200"/>
        <w:rPr>
          <w:rFonts w:hAnsi="Times New Roman"/>
          <w:szCs w:val="24"/>
          <w:highlight w:val="none"/>
        </w:rPr>
      </w:pPr>
      <w:r>
        <w:rPr>
          <w:rFonts w:hAnsi="Times New Roman"/>
          <w:szCs w:val="24"/>
          <w:highlight w:val="none"/>
        </w:rPr>
        <w:t>1）客户信息存储安全加密。</w:t>
      </w:r>
    </w:p>
    <w:p w14:paraId="50ED858D">
      <w:pPr>
        <w:snapToGrid w:val="0"/>
        <w:ind w:firstLine="480" w:firstLineChars="200"/>
        <w:rPr>
          <w:rFonts w:hAnsi="Times New Roman"/>
          <w:szCs w:val="24"/>
          <w:highlight w:val="none"/>
        </w:rPr>
      </w:pPr>
      <w:r>
        <w:rPr>
          <w:rFonts w:hAnsi="Times New Roman"/>
          <w:szCs w:val="24"/>
          <w:highlight w:val="none"/>
        </w:rPr>
        <w:t>2）系统提供身份鉴别设定、用户访问控制权限设定、提供非功能日志查询。</w:t>
      </w:r>
    </w:p>
    <w:p w14:paraId="4D66A9F3">
      <w:pPr>
        <w:ind w:firstLine="480" w:firstLineChars="200"/>
        <w:rPr>
          <w:rFonts w:ascii="Times New Roman" w:hAnsi="Times New Roman"/>
          <w:szCs w:val="24"/>
          <w:highlight w:val="none"/>
        </w:rPr>
      </w:pPr>
      <w:r>
        <w:rPr>
          <w:rFonts w:hAnsi="Times New Roman"/>
          <w:szCs w:val="24"/>
          <w:highlight w:val="none"/>
        </w:rPr>
        <w:t>3）系统支持生僻字解析及使用。</w:t>
      </w:r>
    </w:p>
    <w:p w14:paraId="65104F0F">
      <w:pPr>
        <w:pStyle w:val="5"/>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.9 </w:t>
      </w:r>
      <w:r>
        <w:rPr>
          <w:rFonts w:hint="eastAsia" w:ascii="Times New Roman" w:hAnsi="Times New Roman"/>
          <w:szCs w:val="24"/>
          <w:highlight w:val="none"/>
        </w:rPr>
        <w:t>应当遵循的标准和规范</w:t>
      </w:r>
    </w:p>
    <w:p w14:paraId="3905F3D9">
      <w:pPr>
        <w:ind w:firstLine="420"/>
        <w:rPr>
          <w:rFonts w:ascii="Times New Roman" w:hAnsi="Times New Roman"/>
          <w:szCs w:val="24"/>
          <w:highlight w:val="none"/>
        </w:rPr>
      </w:pPr>
      <w:r>
        <w:rPr>
          <w:rFonts w:hint="eastAsia" w:ascii="Times New Roman" w:hAnsi="Times New Roman"/>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17E71B70">
      <w:pPr>
        <w:ind w:firstLine="420"/>
        <w:rPr>
          <w:rFonts w:ascii="Times New Roman" w:hAnsi="Times New Roman"/>
          <w:szCs w:val="24"/>
          <w:highlight w:val="none"/>
        </w:rPr>
      </w:pPr>
      <w:r>
        <w:rPr>
          <w:rFonts w:hint="eastAsia" w:ascii="Times New Roman" w:hAnsi="Times New Roman"/>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7CB661A0">
      <w:pPr>
        <w:ind w:firstLine="420"/>
        <w:rPr>
          <w:rFonts w:ascii="Times New Roman" w:hAnsi="Times New Roman"/>
          <w:szCs w:val="24"/>
          <w:highlight w:val="none"/>
        </w:rPr>
      </w:pPr>
      <w:r>
        <w:rPr>
          <w:rFonts w:hint="eastAsia" w:ascii="Times New Roman" w:hAnsi="Times New Roman"/>
          <w:szCs w:val="24"/>
          <w:highlight w:val="none"/>
        </w:rPr>
        <w:t>业务处理符合国家法律、法规和有关政策规定。数据标准要满足银监会及人民银行相关管理办法及标准化的要求。</w:t>
      </w:r>
    </w:p>
    <w:p w14:paraId="051B8CF9">
      <w:pPr>
        <w:pStyle w:val="5"/>
        <w:rPr>
          <w:rFonts w:ascii="Times New Roman" w:hAnsi="Times New Roman"/>
          <w:szCs w:val="24"/>
          <w:highlight w:val="none"/>
        </w:rPr>
      </w:pPr>
      <w:r>
        <w:rPr>
          <w:rFonts w:hint="eastAsia" w:ascii="Times New Roman" w:hAnsi="Times New Roman"/>
          <w:szCs w:val="24"/>
          <w:highlight w:val="none"/>
        </w:rPr>
        <w:t>2</w:t>
      </w:r>
      <w:r>
        <w:rPr>
          <w:rFonts w:ascii="Times New Roman" w:hAnsi="Times New Roman"/>
          <w:szCs w:val="24"/>
          <w:highlight w:val="none"/>
        </w:rPr>
        <w:t xml:space="preserve">.10 </w:t>
      </w:r>
      <w:r>
        <w:rPr>
          <w:rFonts w:hint="eastAsia" w:ascii="Times New Roman" w:hAnsi="Times New Roman"/>
          <w:szCs w:val="24"/>
          <w:highlight w:val="none"/>
        </w:rPr>
        <w:t>其他技术要求</w:t>
      </w:r>
    </w:p>
    <w:p w14:paraId="795FE02C">
      <w:pPr>
        <w:ind w:firstLine="420"/>
        <w:rPr>
          <w:rFonts w:ascii="Times New Roman" w:hAnsi="Times New Roman"/>
          <w:szCs w:val="24"/>
          <w:highlight w:val="none"/>
        </w:rPr>
      </w:pPr>
      <w:r>
        <w:rPr>
          <w:rFonts w:hint="eastAsia" w:ascii="Times New Roman" w:hAnsi="Times New Roman"/>
          <w:szCs w:val="24"/>
          <w:highlight w:val="none"/>
        </w:rPr>
        <w:t>1）开发环境基于J2EE轻量级框架，支持JDK版本：JDK1.8及以上版本。</w:t>
      </w:r>
    </w:p>
    <w:p w14:paraId="4CC0151E">
      <w:pPr>
        <w:ind w:firstLine="420"/>
        <w:rPr>
          <w:rFonts w:ascii="Times New Roman" w:hAnsi="Times New Roman"/>
          <w:szCs w:val="24"/>
          <w:highlight w:val="none"/>
        </w:rPr>
      </w:pPr>
      <w:r>
        <w:rPr>
          <w:rFonts w:hint="eastAsia" w:ascii="Times New Roman" w:hAnsi="Times New Roman"/>
          <w:szCs w:val="24"/>
          <w:highlight w:val="none"/>
        </w:rPr>
        <w:t>2）操作系统、数据库和中间件满足以下要求：服务端操作系统支持</w:t>
      </w:r>
      <w:r>
        <w:rPr>
          <w:rFonts w:ascii="Times New Roman" w:hAnsi="Times New Roman"/>
          <w:szCs w:val="24"/>
          <w:highlight w:val="none"/>
        </w:rPr>
        <w:t>麒麟V10</w:t>
      </w:r>
      <w:r>
        <w:rPr>
          <w:rFonts w:hint="eastAsia" w:ascii="Times New Roman" w:hAnsi="Times New Roman"/>
          <w:szCs w:val="24"/>
          <w:highlight w:val="none"/>
        </w:rPr>
        <w:t>，支持</w:t>
      </w:r>
      <w:r>
        <w:rPr>
          <w:rFonts w:ascii="Times New Roman" w:hAnsi="Times New Roman"/>
          <w:szCs w:val="24"/>
          <w:highlight w:val="none"/>
        </w:rPr>
        <w:t>OceanBase</w:t>
      </w:r>
      <w:r>
        <w:rPr>
          <w:rFonts w:hint="eastAsia" w:ascii="Times New Roman" w:hAnsi="Times New Roman"/>
          <w:szCs w:val="24"/>
          <w:highlight w:val="none"/>
        </w:rPr>
        <w:t>数据库，支持</w:t>
      </w:r>
      <w:r>
        <w:rPr>
          <w:rFonts w:ascii="Times New Roman" w:hAnsi="Times New Roman"/>
          <w:szCs w:val="24"/>
          <w:highlight w:val="none"/>
        </w:rPr>
        <w:t>东方通</w:t>
      </w:r>
      <w:r>
        <w:rPr>
          <w:rFonts w:hint="eastAsia" w:ascii="Times New Roman" w:hAnsi="Times New Roman"/>
          <w:szCs w:val="24"/>
          <w:highlight w:val="none"/>
        </w:rPr>
        <w:t>中间件。</w:t>
      </w:r>
    </w:p>
    <w:p w14:paraId="11F2A8ED">
      <w:pPr>
        <w:ind w:firstLine="480" w:firstLineChars="200"/>
        <w:rPr>
          <w:rFonts w:ascii="Times New Roman" w:hAnsi="Times New Roman"/>
          <w:szCs w:val="24"/>
          <w:highlight w:val="none"/>
        </w:rPr>
      </w:pPr>
      <w:r>
        <w:rPr>
          <w:rFonts w:hint="eastAsia" w:ascii="Times New Roman" w:hAnsi="Times New Roman"/>
          <w:szCs w:val="24"/>
          <w:highlight w:val="none"/>
        </w:rPr>
        <w:t>3）</w:t>
      </w:r>
      <w:r>
        <w:rPr>
          <w:rFonts w:hint="eastAsia" w:ascii="宋体" w:hAnsi="宋体" w:eastAsia="宋体" w:cs="宋体"/>
          <w:color w:val="auto"/>
          <w:sz w:val="24"/>
          <w:szCs w:val="24"/>
          <w:highlight w:val="none"/>
          <w:shd w:val="clear" w:color="auto" w:fill="auto"/>
        </w:rPr>
        <w:t>必须支持Windows全系操作系统</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即WinXP/Win7/Win8/Win10，</w:t>
      </w:r>
      <w:r>
        <w:rPr>
          <w:rFonts w:hint="eastAsia" w:ascii="宋体" w:hAnsi="宋体" w:eastAsia="宋体" w:cs="宋体"/>
          <w:color w:val="auto"/>
          <w:sz w:val="24"/>
          <w:szCs w:val="24"/>
          <w:highlight w:val="none"/>
          <w:shd w:val="clear" w:color="auto" w:fill="auto"/>
          <w:lang w:val="en-US" w:eastAsia="zh-CN"/>
        </w:rPr>
        <w:t>支持</w:t>
      </w:r>
      <w:r>
        <w:rPr>
          <w:rFonts w:hint="eastAsia" w:ascii="宋体" w:hAnsi="宋体" w:eastAsia="宋体" w:cs="宋体"/>
          <w:color w:val="auto"/>
          <w:sz w:val="24"/>
          <w:szCs w:val="24"/>
          <w:highlight w:val="none"/>
          <w:shd w:val="clear" w:color="auto" w:fill="auto"/>
        </w:rPr>
        <w:t>麒麟桌面操作系统</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支持谷歌、IE</w:t>
      </w:r>
      <w:r>
        <w:rPr>
          <w:rFonts w:ascii="宋体" w:hAnsi="宋体" w:eastAsia="宋体" w:cs="宋体"/>
          <w:color w:val="auto"/>
          <w:sz w:val="24"/>
          <w:szCs w:val="24"/>
          <w:highlight w:val="none"/>
          <w:shd w:val="clear" w:color="auto" w:fill="auto"/>
        </w:rPr>
        <w:t>8</w:t>
      </w:r>
      <w:r>
        <w:rPr>
          <w:rFonts w:hint="eastAsia" w:ascii="宋体" w:hAnsi="宋体" w:eastAsia="宋体" w:cs="宋体"/>
          <w:color w:val="auto"/>
          <w:sz w:val="24"/>
          <w:szCs w:val="24"/>
          <w:highlight w:val="none"/>
          <w:shd w:val="clear" w:color="auto" w:fill="auto"/>
        </w:rPr>
        <w:t>及以上版本浏览器使用</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支持奇安信、360等国产浏览器使用</w:t>
      </w:r>
      <w:r>
        <w:rPr>
          <w:rFonts w:hint="eastAsia" w:ascii="Times New Roman" w:hAnsi="Times New Roman"/>
          <w:szCs w:val="24"/>
          <w:highlight w:val="none"/>
        </w:rPr>
        <w:t>。</w:t>
      </w:r>
    </w:p>
    <w:p w14:paraId="45770C7B">
      <w:pPr>
        <w:ind w:firstLine="420"/>
        <w:rPr>
          <w:rFonts w:ascii="Times New Roman" w:hAnsi="Times New Roman"/>
          <w:szCs w:val="24"/>
          <w:highlight w:val="none"/>
        </w:rPr>
      </w:pPr>
      <w:r>
        <w:rPr>
          <w:rFonts w:ascii="Times New Roman" w:hAnsi="Times New Roman"/>
          <w:szCs w:val="24"/>
          <w:highlight w:val="none"/>
        </w:rPr>
        <w:t>4</w:t>
      </w:r>
      <w:r>
        <w:rPr>
          <w:rFonts w:hint="eastAsia" w:ascii="Times New Roman" w:hAnsi="Times New Roman"/>
          <w:szCs w:val="24"/>
          <w:highlight w:val="none"/>
        </w:rPr>
        <w:t>）系统基础架构和底层数据库具备灵活性。</w:t>
      </w:r>
    </w:p>
    <w:p w14:paraId="412FCB3D">
      <w:pPr>
        <w:ind w:firstLine="420"/>
        <w:rPr>
          <w:rFonts w:ascii="Times New Roman" w:hAnsi="Times New Roman"/>
          <w:szCs w:val="24"/>
          <w:highlight w:val="none"/>
        </w:rPr>
      </w:pPr>
      <w:r>
        <w:rPr>
          <w:rFonts w:ascii="Times New Roman" w:hAnsi="Times New Roman"/>
          <w:szCs w:val="24"/>
          <w:highlight w:val="none"/>
        </w:rPr>
        <w:t>5</w:t>
      </w:r>
      <w:r>
        <w:rPr>
          <w:rFonts w:hint="eastAsia" w:ascii="Times New Roman" w:hAnsi="Times New Roman"/>
          <w:szCs w:val="24"/>
          <w:highlight w:val="none"/>
        </w:rPr>
        <w:t>）系统可集群部署，支持负载均衡，具备横向可扩展性。</w:t>
      </w:r>
    </w:p>
    <w:p w14:paraId="352A2278">
      <w:pPr>
        <w:ind w:firstLine="420"/>
        <w:rPr>
          <w:rFonts w:ascii="Times New Roman" w:hAnsi="Times New Roman"/>
          <w:szCs w:val="24"/>
          <w:highlight w:val="none"/>
        </w:rPr>
      </w:pPr>
      <w:r>
        <w:rPr>
          <w:rFonts w:ascii="Times New Roman" w:hAnsi="Times New Roman"/>
          <w:szCs w:val="24"/>
          <w:highlight w:val="none"/>
        </w:rPr>
        <w:t>6</w:t>
      </w:r>
      <w:r>
        <w:rPr>
          <w:rFonts w:hint="eastAsia" w:ascii="Times New Roman" w:hAnsi="Times New Roman"/>
          <w:szCs w:val="24"/>
          <w:highlight w:val="none"/>
        </w:rPr>
        <w:t>）系统处理能力能够满足现有业务数据以及未来三年可能发展的业务数据量。</w:t>
      </w:r>
    </w:p>
    <w:p w14:paraId="0470FBE4">
      <w:pPr>
        <w:ind w:firstLine="420"/>
        <w:rPr>
          <w:rFonts w:ascii="Times New Roman" w:hAnsi="Times New Roman"/>
          <w:szCs w:val="24"/>
          <w:highlight w:val="none"/>
        </w:rPr>
      </w:pPr>
      <w:r>
        <w:rPr>
          <w:rFonts w:ascii="Times New Roman" w:hAnsi="Times New Roman"/>
          <w:szCs w:val="24"/>
          <w:highlight w:val="none"/>
        </w:rPr>
        <w:t>7</w:t>
      </w:r>
      <w:r>
        <w:rPr>
          <w:rFonts w:hint="eastAsia" w:ascii="Times New Roman" w:hAnsi="Times New Roman"/>
          <w:szCs w:val="24"/>
          <w:highlight w:val="none"/>
        </w:rPr>
        <w:t>）系统开发需要符合我行开发规范和整体框架要求。</w:t>
      </w:r>
    </w:p>
    <w:p w14:paraId="0BC75036">
      <w:pPr>
        <w:ind w:firstLine="420"/>
        <w:rPr>
          <w:rFonts w:ascii="Times New Roman" w:hAnsi="Times New Roman"/>
          <w:szCs w:val="24"/>
          <w:highlight w:val="none"/>
        </w:rPr>
      </w:pPr>
      <w:r>
        <w:rPr>
          <w:rFonts w:ascii="Times New Roman" w:hAnsi="Times New Roman"/>
          <w:szCs w:val="24"/>
          <w:highlight w:val="none"/>
        </w:rPr>
        <w:t>8</w:t>
      </w:r>
      <w:r>
        <w:rPr>
          <w:rFonts w:hint="eastAsia" w:ascii="Times New Roman" w:hAnsi="Times New Roman"/>
          <w:szCs w:val="24"/>
          <w:highlight w:val="none"/>
        </w:rPr>
        <w:t>）系统需支持dns方式连接数据库以及应用。</w:t>
      </w:r>
    </w:p>
    <w:p w14:paraId="0703A17E">
      <w:pPr>
        <w:ind w:firstLine="420"/>
        <w:rPr>
          <w:rFonts w:ascii="Times New Roman" w:hAnsi="Times New Roman"/>
          <w:szCs w:val="24"/>
          <w:highlight w:val="none"/>
        </w:rPr>
      </w:pPr>
      <w:r>
        <w:rPr>
          <w:rFonts w:ascii="Times New Roman" w:hAnsi="Times New Roman"/>
          <w:szCs w:val="24"/>
          <w:highlight w:val="none"/>
        </w:rPr>
        <w:t>9</w:t>
      </w:r>
      <w:r>
        <w:rPr>
          <w:rFonts w:hint="eastAsia" w:ascii="Times New Roman" w:hAnsi="Times New Roman"/>
          <w:szCs w:val="24"/>
          <w:highlight w:val="none"/>
        </w:rPr>
        <w:t>）原则上不对系统许可（license）做限制。</w:t>
      </w:r>
    </w:p>
    <w:p w14:paraId="2CC17E4B">
      <w:pPr>
        <w:ind w:firstLine="420"/>
        <w:rPr>
          <w:rFonts w:ascii="Times New Roman" w:hAnsi="Times New Roman"/>
          <w:szCs w:val="24"/>
          <w:highlight w:val="none"/>
        </w:rPr>
      </w:pPr>
      <w:r>
        <w:rPr>
          <w:rFonts w:hint="eastAsia" w:ascii="Times New Roman" w:hAnsi="Times New Roman"/>
          <w:szCs w:val="24"/>
          <w:highlight w:val="none"/>
        </w:rPr>
        <w:t>1</w:t>
      </w:r>
      <w:r>
        <w:rPr>
          <w:rFonts w:ascii="Times New Roman" w:hAnsi="Times New Roman"/>
          <w:szCs w:val="24"/>
          <w:highlight w:val="none"/>
        </w:rPr>
        <w:t>0</w:t>
      </w:r>
      <w:r>
        <w:rPr>
          <w:rFonts w:hint="eastAsia" w:ascii="Times New Roman" w:hAnsi="Times New Roman"/>
          <w:szCs w:val="24"/>
          <w:highlight w:val="none"/>
        </w:rPr>
        <w:t>）参选人需提供完善的数据备份方案及备份机制。</w:t>
      </w:r>
    </w:p>
    <w:p w14:paraId="0FAB0E6D">
      <w:pPr>
        <w:ind w:firstLine="420"/>
        <w:rPr>
          <w:rFonts w:ascii="Times New Roman" w:hAnsi="Times New Roman"/>
          <w:szCs w:val="24"/>
          <w:highlight w:val="none"/>
        </w:rPr>
      </w:pPr>
      <w:r>
        <w:rPr>
          <w:rFonts w:hint="eastAsia" w:ascii="Times New Roman" w:hAnsi="Times New Roman"/>
          <w:szCs w:val="24"/>
          <w:highlight w:val="none"/>
        </w:rPr>
        <w:t>1</w:t>
      </w:r>
      <w:r>
        <w:rPr>
          <w:rFonts w:ascii="Times New Roman" w:hAnsi="Times New Roman"/>
          <w:szCs w:val="24"/>
          <w:highlight w:val="none"/>
        </w:rPr>
        <w:t>1</w:t>
      </w:r>
      <w:r>
        <w:rPr>
          <w:rFonts w:hint="eastAsia" w:ascii="Times New Roman" w:hAnsi="Times New Roman"/>
          <w:szCs w:val="24"/>
          <w:highlight w:val="none"/>
        </w:rPr>
        <w:t>）技术RTO（恢复时间目标）：</w:t>
      </w:r>
      <w:r>
        <w:rPr>
          <w:rFonts w:ascii="Times New Roman" w:hAnsi="Times New Roman"/>
          <w:szCs w:val="24"/>
          <w:highlight w:val="none"/>
        </w:rPr>
        <w:t>72</w:t>
      </w:r>
      <w:r>
        <w:rPr>
          <w:rFonts w:hint="eastAsia" w:ascii="Times New Roman" w:hAnsi="Times New Roman"/>
          <w:szCs w:val="24"/>
          <w:highlight w:val="none"/>
        </w:rPr>
        <w:t>小时；技术RPO（恢复时间点目标）：</w:t>
      </w:r>
      <w:r>
        <w:rPr>
          <w:rFonts w:ascii="Times New Roman" w:hAnsi="Times New Roman"/>
          <w:szCs w:val="24"/>
          <w:highlight w:val="none"/>
        </w:rPr>
        <w:t>0.5</w:t>
      </w:r>
      <w:r>
        <w:rPr>
          <w:rFonts w:hint="eastAsia" w:ascii="Times New Roman" w:hAnsi="Times New Roman"/>
          <w:szCs w:val="24"/>
          <w:highlight w:val="none"/>
        </w:rPr>
        <w:t>小时。</w:t>
      </w:r>
    </w:p>
    <w:p w14:paraId="41E5B2AB">
      <w:pPr>
        <w:ind w:firstLine="420"/>
        <w:rPr>
          <w:rFonts w:ascii="Times New Roman" w:hAnsi="Times New Roman"/>
          <w:szCs w:val="24"/>
          <w:highlight w:val="none"/>
        </w:rPr>
      </w:pPr>
      <w:r>
        <w:rPr>
          <w:rFonts w:hint="eastAsia" w:ascii="Times New Roman" w:hAnsi="Times New Roman"/>
          <w:szCs w:val="24"/>
          <w:highlight w:val="none"/>
        </w:rPr>
        <w:t>1</w:t>
      </w:r>
      <w:r>
        <w:rPr>
          <w:rFonts w:ascii="Times New Roman" w:hAnsi="Times New Roman"/>
          <w:szCs w:val="24"/>
          <w:highlight w:val="none"/>
        </w:rPr>
        <w:t>2</w:t>
      </w:r>
      <w:r>
        <w:rPr>
          <w:rFonts w:hint="eastAsia" w:ascii="Times New Roman" w:hAnsi="Times New Roman"/>
          <w:szCs w:val="24"/>
          <w:highlight w:val="none"/>
        </w:rPr>
        <w:t>）需支持IPV6协议。</w:t>
      </w:r>
    </w:p>
    <w:p w14:paraId="03E37A27">
      <w:pPr>
        <w:ind w:firstLine="420"/>
        <w:rPr>
          <w:rFonts w:ascii="Times New Roman" w:hAnsi="Times New Roman"/>
          <w:szCs w:val="24"/>
          <w:highlight w:val="none"/>
        </w:rPr>
      </w:pPr>
      <w:r>
        <w:rPr>
          <w:rFonts w:hint="eastAsia" w:ascii="Times New Roman" w:hAnsi="Times New Roman"/>
          <w:szCs w:val="24"/>
          <w:highlight w:val="none"/>
        </w:rPr>
        <w:t>1</w:t>
      </w:r>
      <w:r>
        <w:rPr>
          <w:rFonts w:ascii="Times New Roman" w:hAnsi="Times New Roman"/>
          <w:szCs w:val="24"/>
          <w:highlight w:val="none"/>
        </w:rPr>
        <w:t>3</w:t>
      </w:r>
      <w:r>
        <w:rPr>
          <w:rFonts w:hint="eastAsia" w:ascii="Times New Roman" w:hAnsi="Times New Roman"/>
          <w:szCs w:val="24"/>
          <w:highlight w:val="none"/>
        </w:rPr>
        <w:t>）禁止应用软件部署使用的安装码或授权码与其运行的基础环境（如：硬盘序列号、CPU序列号或网卡序列号等）进行绑定。</w:t>
      </w:r>
    </w:p>
    <w:p w14:paraId="4610902F">
      <w:pPr>
        <w:ind w:firstLine="420"/>
        <w:rPr>
          <w:rFonts w:ascii="Times New Roman" w:hAnsi="Times New Roman"/>
          <w:szCs w:val="24"/>
          <w:highlight w:val="none"/>
        </w:rPr>
      </w:pPr>
      <w:r>
        <w:rPr>
          <w:rFonts w:hint="eastAsia" w:ascii="Times New Roman" w:hAnsi="Times New Roman"/>
          <w:szCs w:val="24"/>
          <w:highlight w:val="none"/>
        </w:rPr>
        <w:t>1</w:t>
      </w:r>
      <w:r>
        <w:rPr>
          <w:rFonts w:ascii="Times New Roman" w:hAnsi="Times New Roman"/>
          <w:szCs w:val="24"/>
          <w:highlight w:val="none"/>
        </w:rPr>
        <w:t>4</w:t>
      </w:r>
      <w:r>
        <w:rPr>
          <w:rFonts w:hint="eastAsia" w:ascii="Times New Roman" w:hAnsi="Times New Roman"/>
          <w:szCs w:val="24"/>
          <w:highlight w:val="none"/>
        </w:rPr>
        <w:t>）系统在集群部署共享文件访问时使用对象存储（不得使用NAS）。</w:t>
      </w:r>
    </w:p>
    <w:p w14:paraId="3ADD3CE0">
      <w:pPr>
        <w:ind w:firstLine="420"/>
        <w:rPr>
          <w:rFonts w:ascii="Times New Roman" w:hAnsi="Times New Roman"/>
          <w:color w:val="auto"/>
          <w:szCs w:val="24"/>
          <w:highlight w:val="none"/>
        </w:rPr>
      </w:pPr>
      <w:r>
        <w:rPr>
          <w:rFonts w:hint="eastAsia" w:ascii="Times New Roman" w:hAnsi="Times New Roman"/>
          <w:szCs w:val="24"/>
          <w:highlight w:val="none"/>
        </w:rPr>
        <w:t>1</w:t>
      </w:r>
      <w:r>
        <w:rPr>
          <w:rFonts w:ascii="Times New Roman" w:hAnsi="Times New Roman"/>
          <w:szCs w:val="24"/>
          <w:highlight w:val="none"/>
        </w:rPr>
        <w:t>5</w:t>
      </w:r>
      <w:r>
        <w:rPr>
          <w:rFonts w:hint="eastAsia" w:ascii="Times New Roman" w:hAnsi="Times New Roman"/>
          <w:szCs w:val="24"/>
          <w:highlight w:val="none"/>
        </w:rPr>
        <w:t>）满足国家保密标准及要求。</w:t>
      </w:r>
    </w:p>
    <w:p w14:paraId="7F60939B">
      <w:pPr>
        <w:pStyle w:val="4"/>
        <w:numPr>
          <w:ilvl w:val="0"/>
          <w:numId w:val="3"/>
        </w:numPr>
        <w:rPr>
          <w:rFonts w:ascii="Times New Roman" w:hAnsi="Times New Roman"/>
          <w:highlight w:val="none"/>
        </w:rPr>
      </w:pPr>
      <w:r>
        <w:rPr>
          <w:rFonts w:hint="eastAsia" w:ascii="Times New Roman" w:hAnsi="Times New Roman"/>
          <w:highlight w:val="none"/>
        </w:rPr>
        <w:t>测试要求</w:t>
      </w:r>
    </w:p>
    <w:p w14:paraId="308CD4A3">
      <w:pPr>
        <w:spacing w:line="360" w:lineRule="auto"/>
        <w:ind w:firstLine="420"/>
        <w:rPr>
          <w:rFonts w:ascii="Times New Roman" w:hAnsi="Times New Roman"/>
          <w:szCs w:val="24"/>
          <w:highlight w:val="none"/>
        </w:rPr>
      </w:pPr>
      <w:r>
        <w:rPr>
          <w:rFonts w:ascii="Times New Roman" w:hAnsi="Times New Roman"/>
          <w:szCs w:val="24"/>
          <w:highlight w:val="none"/>
        </w:rPr>
        <w:t>1</w:t>
      </w:r>
      <w:r>
        <w:rPr>
          <w:rFonts w:hint="eastAsia" w:ascii="Times New Roman" w:hAnsi="Times New Roman"/>
          <w:szCs w:val="24"/>
          <w:highlight w:val="none"/>
        </w:rPr>
        <w:t>）</w:t>
      </w:r>
      <w:r>
        <w:rPr>
          <w:rFonts w:ascii="Times New Roman" w:hAnsi="Times New Roman"/>
          <w:szCs w:val="24"/>
          <w:highlight w:val="none"/>
        </w:rPr>
        <w:t>参选人应负责系统的单元</w:t>
      </w:r>
      <w:r>
        <w:rPr>
          <w:rFonts w:hint="eastAsia" w:ascii="Times New Roman" w:hAnsi="Times New Roman"/>
          <w:szCs w:val="24"/>
          <w:highlight w:val="none"/>
        </w:rPr>
        <w:t>、</w:t>
      </w:r>
      <w:r>
        <w:rPr>
          <w:rFonts w:ascii="Times New Roman" w:hAnsi="Times New Roman"/>
          <w:szCs w:val="24"/>
          <w:highlight w:val="none"/>
        </w:rPr>
        <w:t>集成</w:t>
      </w:r>
      <w:r>
        <w:rPr>
          <w:rFonts w:hint="eastAsia" w:ascii="Times New Roman" w:hAnsi="Times New Roman"/>
          <w:szCs w:val="24"/>
          <w:highlight w:val="none"/>
        </w:rPr>
        <w:t>和系统</w:t>
      </w:r>
      <w:r>
        <w:rPr>
          <w:rFonts w:ascii="Times New Roman" w:hAnsi="Times New Roman"/>
          <w:szCs w:val="24"/>
          <w:highlight w:val="none"/>
        </w:rPr>
        <w:t>测试，提交完整的测试案例及达到准出标准的单元</w:t>
      </w:r>
      <w:r>
        <w:rPr>
          <w:rFonts w:hint="eastAsia" w:ascii="Times New Roman" w:hAnsi="Times New Roman"/>
          <w:szCs w:val="24"/>
          <w:highlight w:val="none"/>
        </w:rPr>
        <w:t>、</w:t>
      </w:r>
      <w:r>
        <w:rPr>
          <w:rFonts w:ascii="Times New Roman" w:hAnsi="Times New Roman"/>
          <w:szCs w:val="24"/>
          <w:highlight w:val="none"/>
        </w:rPr>
        <w:t>集成</w:t>
      </w:r>
      <w:r>
        <w:rPr>
          <w:rFonts w:hint="eastAsia" w:ascii="Times New Roman" w:hAnsi="Times New Roman"/>
          <w:szCs w:val="24"/>
          <w:highlight w:val="none"/>
        </w:rPr>
        <w:t>和系统</w:t>
      </w:r>
      <w:r>
        <w:rPr>
          <w:rFonts w:ascii="Times New Roman" w:hAnsi="Times New Roman"/>
          <w:szCs w:val="24"/>
          <w:highlight w:val="none"/>
        </w:rPr>
        <w:t>测试报告。</w:t>
      </w:r>
    </w:p>
    <w:p w14:paraId="4DDFC611">
      <w:pPr>
        <w:spacing w:line="360" w:lineRule="auto"/>
        <w:ind w:firstLine="420"/>
        <w:rPr>
          <w:rFonts w:ascii="Times New Roman" w:hAnsi="Times New Roman"/>
          <w:szCs w:val="24"/>
          <w:highlight w:val="none"/>
        </w:rPr>
      </w:pPr>
      <w:r>
        <w:rPr>
          <w:rFonts w:ascii="Times New Roman" w:hAnsi="Times New Roman"/>
          <w:szCs w:val="24"/>
          <w:highlight w:val="none"/>
        </w:rPr>
        <w:t>2</w:t>
      </w:r>
      <w:r>
        <w:rPr>
          <w:rFonts w:hint="eastAsia" w:ascii="Times New Roman" w:hAnsi="Times New Roman"/>
          <w:szCs w:val="24"/>
          <w:highlight w:val="none"/>
        </w:rPr>
        <w:t>）</w:t>
      </w:r>
      <w:r>
        <w:rPr>
          <w:rFonts w:ascii="Times New Roman" w:hAnsi="Times New Roman"/>
          <w:szCs w:val="24"/>
          <w:highlight w:val="none"/>
        </w:rPr>
        <w:t>参选人应提供专职的性能测试负责人及性能测试人员进行系统的性能测试，提交满足系统性能指标的性能测试报告。</w:t>
      </w:r>
    </w:p>
    <w:p w14:paraId="5B7A5EEC">
      <w:pPr>
        <w:spacing w:line="360" w:lineRule="auto"/>
        <w:ind w:firstLine="420"/>
        <w:rPr>
          <w:rFonts w:ascii="Times New Roman" w:hAnsi="Times New Roman"/>
          <w:szCs w:val="24"/>
          <w:highlight w:val="none"/>
        </w:rPr>
      </w:pPr>
      <w:r>
        <w:rPr>
          <w:rFonts w:ascii="Times New Roman" w:hAnsi="Times New Roman"/>
          <w:szCs w:val="24"/>
          <w:highlight w:val="none"/>
        </w:rPr>
        <w:t>3</w:t>
      </w:r>
      <w:r>
        <w:rPr>
          <w:rFonts w:hint="eastAsia" w:ascii="Times New Roman" w:hAnsi="Times New Roman"/>
          <w:szCs w:val="24"/>
          <w:highlight w:val="none"/>
        </w:rPr>
        <w:t>）</w:t>
      </w:r>
      <w:r>
        <w:rPr>
          <w:rFonts w:ascii="Times New Roman" w:hAnsi="Times New Roman"/>
          <w:szCs w:val="24"/>
          <w:highlight w:val="none"/>
        </w:rPr>
        <w:t>参选人应指派专职的测试项目经理及项目成员进行系统测试，参照</w:t>
      </w:r>
      <w:r>
        <w:rPr>
          <w:rFonts w:hint="eastAsia" w:ascii="Times New Roman" w:hAnsi="Times New Roman"/>
          <w:szCs w:val="24"/>
          <w:highlight w:val="none"/>
        </w:rPr>
        <w:t>比选人</w:t>
      </w:r>
      <w:r>
        <w:rPr>
          <w:rFonts w:ascii="Times New Roman" w:hAnsi="Times New Roman"/>
          <w:szCs w:val="24"/>
          <w:highlight w:val="none"/>
        </w:rPr>
        <w:t>系统测试准入准出标准。</w:t>
      </w:r>
    </w:p>
    <w:tbl>
      <w:tblPr>
        <w:tblStyle w:val="24"/>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1FDF8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1BB0640">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系统测试准入准出标准</w:t>
            </w:r>
          </w:p>
        </w:tc>
      </w:tr>
      <w:tr w14:paraId="04C71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145E857">
            <w:pPr>
              <w:keepNext w:val="0"/>
              <w:keepLines w:val="0"/>
              <w:suppressLineNumbers w:val="0"/>
              <w:spacing w:before="0" w:beforeAutospacing="0" w:after="0" w:afterAutospacing="0" w:line="360" w:lineRule="auto"/>
              <w:ind w:left="0" w:right="0" w:firstLine="0"/>
              <w:rPr>
                <w:rFonts w:hint="default" w:ascii="Times New Roman" w:hAnsi="Times New Roman"/>
                <w:b/>
                <w:szCs w:val="24"/>
                <w:highlight w:val="none"/>
              </w:rPr>
            </w:pPr>
            <w:r>
              <w:rPr>
                <w:rFonts w:hint="eastAsia" w:ascii="Times New Roman" w:hAnsi="Times New Roman"/>
                <w:b/>
                <w:szCs w:val="24"/>
                <w:highlight w:val="none"/>
              </w:rPr>
              <w:t>一、系统测试准入标准</w:t>
            </w:r>
          </w:p>
        </w:tc>
      </w:tr>
      <w:tr w14:paraId="1F478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1FD5C27">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阶段</w:t>
            </w:r>
          </w:p>
        </w:tc>
        <w:tc>
          <w:tcPr>
            <w:tcW w:w="6889" w:type="dxa"/>
            <w:tcBorders>
              <w:left w:val="single" w:color="auto" w:sz="6" w:space="0"/>
            </w:tcBorders>
            <w:shd w:val="clear" w:color="auto" w:fill="auto"/>
            <w:vAlign w:val="center"/>
          </w:tcPr>
          <w:p w14:paraId="5A0FD627">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准入条件</w:t>
            </w:r>
          </w:p>
        </w:tc>
      </w:tr>
      <w:tr w14:paraId="6300A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7114134">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计划阶段</w:t>
            </w:r>
          </w:p>
        </w:tc>
        <w:tc>
          <w:tcPr>
            <w:tcW w:w="6889" w:type="dxa"/>
            <w:tcBorders>
              <w:left w:val="single" w:color="auto" w:sz="6" w:space="0"/>
            </w:tcBorders>
            <w:shd w:val="clear" w:color="auto" w:fill="auto"/>
            <w:vAlign w:val="center"/>
          </w:tcPr>
          <w:p w14:paraId="74C40939">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开发项目在立项之初应提交纸质测试服务申请单给测试负责人</w:t>
            </w:r>
          </w:p>
        </w:tc>
      </w:tr>
      <w:tr w14:paraId="2A0BD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4DF8727">
            <w:pPr>
              <w:keepNext w:val="0"/>
              <w:keepLines w:val="0"/>
              <w:suppressLineNumbers w:val="0"/>
              <w:spacing w:before="0" w:beforeAutospacing="0" w:after="0" w:afterAutospacing="0"/>
              <w:ind w:left="0" w:right="0"/>
              <w:rPr>
                <w:rFonts w:hint="default"/>
                <w:highlight w:val="none"/>
              </w:rPr>
            </w:pPr>
          </w:p>
        </w:tc>
        <w:tc>
          <w:tcPr>
            <w:tcW w:w="6889" w:type="dxa"/>
            <w:tcBorders>
              <w:left w:val="single" w:color="auto" w:sz="6" w:space="0"/>
            </w:tcBorders>
            <w:shd w:val="clear" w:color="auto" w:fill="auto"/>
            <w:vAlign w:val="center"/>
          </w:tcPr>
          <w:p w14:paraId="2ECC9193">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开发项目整体项目计划必须包含系统测试计划或系统测试计划时间</w:t>
            </w:r>
          </w:p>
        </w:tc>
      </w:tr>
      <w:tr w14:paraId="3EE27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D19ADE3">
            <w:pPr>
              <w:keepNext w:val="0"/>
              <w:keepLines w:val="0"/>
              <w:suppressLineNumbers w:val="0"/>
              <w:spacing w:before="0" w:beforeAutospacing="0" w:after="0" w:afterAutospacing="0"/>
              <w:ind w:left="0" w:right="0"/>
              <w:rPr>
                <w:rFonts w:hint="default"/>
                <w:highlight w:val="none"/>
              </w:rPr>
            </w:pPr>
          </w:p>
        </w:tc>
        <w:tc>
          <w:tcPr>
            <w:tcW w:w="6889" w:type="dxa"/>
            <w:tcBorders>
              <w:left w:val="single" w:color="auto" w:sz="6" w:space="0"/>
            </w:tcBorders>
            <w:shd w:val="clear" w:color="auto" w:fill="auto"/>
            <w:vAlign w:val="center"/>
          </w:tcPr>
          <w:p w14:paraId="26C948D3">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测试方要求的需求说明书及相关说明书已经通过评审，并形成终稿；文档包括但不限于：业务需求、需求说明书、系统原型、概要设计（可选）、用户手册（可选）</w:t>
            </w:r>
          </w:p>
        </w:tc>
      </w:tr>
      <w:tr w14:paraId="4386B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7865AC1">
            <w:pPr>
              <w:keepNext w:val="0"/>
              <w:keepLines w:val="0"/>
              <w:suppressLineNumbers w:val="0"/>
              <w:spacing w:before="0" w:beforeAutospacing="0" w:after="0" w:afterAutospacing="0"/>
              <w:ind w:left="0" w:right="0"/>
              <w:rPr>
                <w:rFonts w:hint="default"/>
                <w:highlight w:val="none"/>
              </w:rPr>
            </w:pPr>
          </w:p>
        </w:tc>
        <w:tc>
          <w:tcPr>
            <w:tcW w:w="6889" w:type="dxa"/>
            <w:tcBorders>
              <w:left w:val="single" w:color="auto" w:sz="6" w:space="0"/>
            </w:tcBorders>
            <w:shd w:val="clear" w:color="auto" w:fill="auto"/>
            <w:vAlign w:val="center"/>
          </w:tcPr>
          <w:p w14:paraId="777A31A5">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变更影响范围是否提供</w:t>
            </w:r>
          </w:p>
        </w:tc>
      </w:tr>
      <w:tr w14:paraId="0B399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D708C42">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执行阶段</w:t>
            </w:r>
          </w:p>
        </w:tc>
        <w:tc>
          <w:tcPr>
            <w:tcW w:w="6889" w:type="dxa"/>
            <w:tcBorders>
              <w:left w:val="single" w:color="auto" w:sz="6" w:space="0"/>
            </w:tcBorders>
            <w:shd w:val="clear" w:color="auto" w:fill="auto"/>
            <w:vAlign w:val="center"/>
          </w:tcPr>
          <w:p w14:paraId="22283838">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7A812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77E3348C">
            <w:pPr>
              <w:keepNext w:val="0"/>
              <w:keepLines w:val="0"/>
              <w:suppressLineNumbers w:val="0"/>
              <w:spacing w:before="0" w:beforeAutospacing="0" w:after="0" w:afterAutospacing="0"/>
              <w:ind w:left="0" w:right="0"/>
              <w:rPr>
                <w:rFonts w:hint="default"/>
                <w:highlight w:val="none"/>
              </w:rPr>
            </w:pPr>
          </w:p>
        </w:tc>
        <w:tc>
          <w:tcPr>
            <w:tcW w:w="6889" w:type="dxa"/>
            <w:tcBorders>
              <w:left w:val="single" w:color="auto" w:sz="6" w:space="0"/>
            </w:tcBorders>
            <w:shd w:val="clear" w:color="auto" w:fill="auto"/>
            <w:vAlign w:val="center"/>
          </w:tcPr>
          <w:p w14:paraId="6C1BA95A">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系统测试案例准备就绪（案例密度为</w:t>
            </w:r>
            <w:r>
              <w:rPr>
                <w:rFonts w:hint="default" w:ascii="Times New Roman" w:hAnsi="Times New Roman"/>
                <w:szCs w:val="24"/>
                <w:highlight w:val="none"/>
              </w:rPr>
              <w:t>不低于</w:t>
            </w:r>
            <w:r>
              <w:rPr>
                <w:rFonts w:hint="eastAsia" w:ascii="Times New Roman" w:hAnsi="Times New Roman"/>
                <w:szCs w:val="24"/>
                <w:highlight w:val="none"/>
              </w:rPr>
              <w:t>35条/每功能点）</w:t>
            </w:r>
          </w:p>
        </w:tc>
      </w:tr>
      <w:tr w14:paraId="2BDAC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C3F4C56">
            <w:pPr>
              <w:keepNext w:val="0"/>
              <w:keepLines w:val="0"/>
              <w:suppressLineNumbers w:val="0"/>
              <w:spacing w:before="0" w:beforeAutospacing="0" w:after="0" w:afterAutospacing="0"/>
              <w:ind w:left="0" w:right="0"/>
              <w:rPr>
                <w:rFonts w:hint="default"/>
                <w:highlight w:val="none"/>
              </w:rPr>
            </w:pPr>
          </w:p>
        </w:tc>
        <w:tc>
          <w:tcPr>
            <w:tcW w:w="6889" w:type="dxa"/>
            <w:tcBorders>
              <w:left w:val="single" w:color="auto" w:sz="6" w:space="0"/>
            </w:tcBorders>
            <w:shd w:val="clear" w:color="auto" w:fill="auto"/>
            <w:vAlign w:val="center"/>
          </w:tcPr>
          <w:p w14:paraId="18A594D0">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测试环境准备就绪</w:t>
            </w:r>
          </w:p>
        </w:tc>
      </w:tr>
      <w:tr w14:paraId="234AB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C386122">
            <w:pPr>
              <w:keepNext w:val="0"/>
              <w:keepLines w:val="0"/>
              <w:suppressLineNumbers w:val="0"/>
              <w:spacing w:before="0" w:beforeAutospacing="0" w:after="0" w:afterAutospacing="0"/>
              <w:ind w:left="0" w:right="0"/>
              <w:rPr>
                <w:rFonts w:hint="default"/>
                <w:highlight w:val="none"/>
              </w:rPr>
            </w:pPr>
          </w:p>
        </w:tc>
        <w:tc>
          <w:tcPr>
            <w:tcW w:w="6889" w:type="dxa"/>
            <w:tcBorders>
              <w:left w:val="single" w:color="auto" w:sz="6" w:space="0"/>
            </w:tcBorders>
            <w:shd w:val="clear" w:color="auto" w:fill="auto"/>
            <w:vAlign w:val="center"/>
          </w:tcPr>
          <w:p w14:paraId="43E74219">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测试版本能够成功部署到测试环境。（如果测试和开发处于同一环境，则在系统测试开始前应该按照开发提交的版本重新部署）</w:t>
            </w:r>
          </w:p>
        </w:tc>
      </w:tr>
      <w:tr w14:paraId="54A1D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D56D1D9">
            <w:pPr>
              <w:keepNext w:val="0"/>
              <w:keepLines w:val="0"/>
              <w:suppressLineNumbers w:val="0"/>
              <w:spacing w:before="0" w:beforeAutospacing="0" w:after="0" w:afterAutospacing="0"/>
              <w:ind w:left="0" w:right="0"/>
              <w:rPr>
                <w:rFonts w:hint="default"/>
                <w:highlight w:val="none"/>
              </w:rPr>
            </w:pPr>
          </w:p>
        </w:tc>
        <w:tc>
          <w:tcPr>
            <w:tcW w:w="6889" w:type="dxa"/>
            <w:tcBorders>
              <w:left w:val="single" w:color="auto" w:sz="6" w:space="0"/>
            </w:tcBorders>
            <w:shd w:val="clear" w:color="auto" w:fill="auto"/>
            <w:vAlign w:val="center"/>
          </w:tcPr>
          <w:p w14:paraId="0228802A">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冒烟测试达到通过标准（冒烟测试案例通过率大于90%，有效缺陷率不高于10%）</w:t>
            </w:r>
          </w:p>
        </w:tc>
      </w:tr>
      <w:tr w14:paraId="5B072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AD63DA2">
            <w:pPr>
              <w:keepNext w:val="0"/>
              <w:keepLines w:val="0"/>
              <w:suppressLineNumbers w:val="0"/>
              <w:spacing w:before="0" w:beforeAutospacing="0" w:after="0" w:afterAutospacing="0" w:line="360" w:lineRule="auto"/>
              <w:ind w:left="0" w:right="0" w:firstLine="0"/>
              <w:rPr>
                <w:rFonts w:hint="default" w:ascii="Times New Roman" w:hAnsi="Times New Roman"/>
                <w:b/>
                <w:szCs w:val="24"/>
                <w:highlight w:val="none"/>
              </w:rPr>
            </w:pPr>
            <w:r>
              <w:rPr>
                <w:rFonts w:hint="eastAsia" w:ascii="Times New Roman" w:hAnsi="Times New Roman"/>
                <w:b/>
                <w:szCs w:val="24"/>
                <w:highlight w:val="none"/>
              </w:rPr>
              <w:t>二、暂停/继续标准：满足下列之一的条件并由项目组审核同意，测试可以暂停</w:t>
            </w:r>
          </w:p>
        </w:tc>
      </w:tr>
      <w:tr w14:paraId="7F4E5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80B0CD6">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序号</w:t>
            </w:r>
          </w:p>
        </w:tc>
        <w:tc>
          <w:tcPr>
            <w:tcW w:w="6889" w:type="dxa"/>
            <w:tcBorders>
              <w:left w:val="single" w:color="auto" w:sz="6" w:space="0"/>
            </w:tcBorders>
            <w:shd w:val="clear" w:color="auto" w:fill="auto"/>
            <w:vAlign w:val="center"/>
          </w:tcPr>
          <w:p w14:paraId="54B2389E">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暂停条件</w:t>
            </w:r>
          </w:p>
        </w:tc>
      </w:tr>
      <w:tr w14:paraId="631B7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68E56A9">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1</w:t>
            </w:r>
          </w:p>
        </w:tc>
        <w:tc>
          <w:tcPr>
            <w:tcW w:w="6889" w:type="dxa"/>
            <w:tcBorders>
              <w:left w:val="single" w:color="auto" w:sz="6" w:space="0"/>
            </w:tcBorders>
            <w:shd w:val="clear" w:color="auto" w:fill="auto"/>
            <w:vAlign w:val="center"/>
          </w:tcPr>
          <w:p w14:paraId="6D7946AF">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由于程序、环境原因导致测试无法进行</w:t>
            </w:r>
          </w:p>
        </w:tc>
      </w:tr>
      <w:tr w14:paraId="6867B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068FC2D">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2</w:t>
            </w:r>
          </w:p>
        </w:tc>
        <w:tc>
          <w:tcPr>
            <w:tcW w:w="6889" w:type="dxa"/>
            <w:tcBorders>
              <w:left w:val="single" w:color="auto" w:sz="6" w:space="0"/>
            </w:tcBorders>
            <w:shd w:val="clear" w:color="auto" w:fill="auto"/>
            <w:vAlign w:val="center"/>
          </w:tcPr>
          <w:p w14:paraId="64DCF248">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项目暂停，已无测试必要</w:t>
            </w:r>
          </w:p>
        </w:tc>
      </w:tr>
      <w:tr w14:paraId="7E23E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3979539">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default" w:ascii="Times New Roman" w:hAnsi="Times New Roman"/>
                <w:szCs w:val="24"/>
                <w:highlight w:val="none"/>
              </w:rPr>
              <w:t>3</w:t>
            </w:r>
          </w:p>
        </w:tc>
        <w:tc>
          <w:tcPr>
            <w:tcW w:w="6889" w:type="dxa"/>
            <w:tcBorders>
              <w:left w:val="single" w:color="auto" w:sz="6" w:space="0"/>
            </w:tcBorders>
            <w:shd w:val="clear" w:color="auto" w:fill="auto"/>
            <w:vAlign w:val="center"/>
          </w:tcPr>
          <w:p w14:paraId="7E928871">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测试需求稳定指数小于70%，则暂停测试执行</w:t>
            </w:r>
          </w:p>
        </w:tc>
      </w:tr>
      <w:tr w14:paraId="3DFC6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3D56CF1">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default" w:ascii="Times New Roman" w:hAnsi="Times New Roman"/>
                <w:szCs w:val="24"/>
                <w:highlight w:val="none"/>
              </w:rPr>
              <w:t>4</w:t>
            </w:r>
          </w:p>
        </w:tc>
        <w:tc>
          <w:tcPr>
            <w:tcW w:w="6889" w:type="dxa"/>
            <w:tcBorders>
              <w:left w:val="single" w:color="auto" w:sz="6" w:space="0"/>
            </w:tcBorders>
            <w:shd w:val="clear" w:color="auto" w:fill="auto"/>
            <w:vAlign w:val="center"/>
          </w:tcPr>
          <w:p w14:paraId="0EF1FB54">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每个里程碑节点或执行轮次案例执行通过率低于60%，则暂停测试执行</w:t>
            </w:r>
          </w:p>
        </w:tc>
      </w:tr>
      <w:tr w14:paraId="696AC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D71FA16">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default" w:ascii="Times New Roman" w:hAnsi="Times New Roman"/>
                <w:szCs w:val="24"/>
                <w:highlight w:val="none"/>
              </w:rPr>
              <w:t>5</w:t>
            </w:r>
          </w:p>
        </w:tc>
        <w:tc>
          <w:tcPr>
            <w:tcW w:w="6889" w:type="dxa"/>
            <w:tcBorders>
              <w:left w:val="single" w:color="auto" w:sz="6" w:space="0"/>
            </w:tcBorders>
            <w:shd w:val="clear" w:color="auto" w:fill="auto"/>
            <w:vAlign w:val="center"/>
          </w:tcPr>
          <w:p w14:paraId="32C6AF69">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每个里程碑节点或执行轮次缺陷解决率低于50%，则暂停测试执行</w:t>
            </w:r>
          </w:p>
        </w:tc>
      </w:tr>
      <w:tr w14:paraId="058C2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F6E832C">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default" w:ascii="Times New Roman" w:hAnsi="Times New Roman"/>
                <w:szCs w:val="24"/>
                <w:highlight w:val="none"/>
              </w:rPr>
              <w:t>6</w:t>
            </w:r>
          </w:p>
        </w:tc>
        <w:tc>
          <w:tcPr>
            <w:tcW w:w="6889" w:type="dxa"/>
            <w:tcBorders>
              <w:left w:val="single" w:color="auto" w:sz="6" w:space="0"/>
            </w:tcBorders>
            <w:shd w:val="clear" w:color="auto" w:fill="auto"/>
            <w:vAlign w:val="center"/>
          </w:tcPr>
          <w:p w14:paraId="52F53096">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每个里程碑节点或执行轮次缺陷的案例命中率大于25%，则暂停测试执行</w:t>
            </w:r>
          </w:p>
        </w:tc>
      </w:tr>
      <w:tr w14:paraId="350B9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8952147">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default" w:ascii="Times New Roman" w:hAnsi="Times New Roman"/>
                <w:szCs w:val="24"/>
                <w:highlight w:val="none"/>
              </w:rPr>
              <w:t>7</w:t>
            </w:r>
          </w:p>
        </w:tc>
        <w:tc>
          <w:tcPr>
            <w:tcW w:w="6889" w:type="dxa"/>
            <w:tcBorders>
              <w:left w:val="single" w:color="auto" w:sz="6" w:space="0"/>
            </w:tcBorders>
            <w:shd w:val="clear" w:color="auto" w:fill="auto"/>
            <w:vAlign w:val="center"/>
          </w:tcPr>
          <w:p w14:paraId="356C538C">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每个里程碑节点或执行轮次严重以上缺陷占比大于35%，则暂停测试执行</w:t>
            </w:r>
          </w:p>
        </w:tc>
      </w:tr>
      <w:tr w14:paraId="0D2E8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6AB55B2">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default" w:ascii="Times New Roman" w:hAnsi="Times New Roman"/>
                <w:szCs w:val="24"/>
                <w:highlight w:val="none"/>
              </w:rPr>
              <w:t>8</w:t>
            </w:r>
          </w:p>
        </w:tc>
        <w:tc>
          <w:tcPr>
            <w:tcW w:w="6889" w:type="dxa"/>
            <w:tcBorders>
              <w:left w:val="single" w:color="auto" w:sz="6" w:space="0"/>
            </w:tcBorders>
            <w:shd w:val="clear" w:color="auto" w:fill="auto"/>
            <w:vAlign w:val="center"/>
          </w:tcPr>
          <w:p w14:paraId="322F4320">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测试环境、测试数据、测试人员等等测试必备条件不再具备或发生变化导致测试不能进行，则暂停测试执行</w:t>
            </w:r>
          </w:p>
        </w:tc>
      </w:tr>
      <w:tr w14:paraId="305A6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A8F1963">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default" w:ascii="Times New Roman" w:hAnsi="Times New Roman"/>
                <w:szCs w:val="24"/>
                <w:highlight w:val="none"/>
              </w:rPr>
              <w:t>9</w:t>
            </w:r>
          </w:p>
        </w:tc>
        <w:tc>
          <w:tcPr>
            <w:tcW w:w="6889" w:type="dxa"/>
            <w:tcBorders>
              <w:left w:val="single" w:color="auto" w:sz="6" w:space="0"/>
            </w:tcBorders>
            <w:shd w:val="clear" w:color="auto" w:fill="auto"/>
            <w:vAlign w:val="center"/>
          </w:tcPr>
          <w:p w14:paraId="0DBE0A55">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项目组确定的可以暂停的其他条件</w:t>
            </w:r>
          </w:p>
        </w:tc>
      </w:tr>
      <w:tr w14:paraId="1CBEC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2D28E5D">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1</w:t>
            </w:r>
            <w:r>
              <w:rPr>
                <w:rFonts w:hint="default" w:ascii="Times New Roman" w:hAnsi="Times New Roman"/>
                <w:szCs w:val="24"/>
                <w:highlight w:val="none"/>
              </w:rPr>
              <w:t>0</w:t>
            </w:r>
          </w:p>
        </w:tc>
        <w:tc>
          <w:tcPr>
            <w:tcW w:w="6889" w:type="dxa"/>
            <w:tcBorders>
              <w:left w:val="single" w:color="auto" w:sz="6" w:space="0"/>
            </w:tcBorders>
            <w:shd w:val="clear" w:color="auto" w:fill="auto"/>
            <w:vAlign w:val="center"/>
          </w:tcPr>
          <w:p w14:paraId="223BD29B">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恢复以上的条件并由项目组审核同意，测试可以继续</w:t>
            </w:r>
          </w:p>
        </w:tc>
      </w:tr>
      <w:tr w14:paraId="2975F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3C89B13">
            <w:pPr>
              <w:keepNext w:val="0"/>
              <w:keepLines w:val="0"/>
              <w:suppressLineNumbers w:val="0"/>
              <w:spacing w:before="0" w:beforeAutospacing="0" w:after="0" w:afterAutospacing="0" w:line="360" w:lineRule="auto"/>
              <w:ind w:left="0" w:right="0" w:firstLine="0"/>
              <w:rPr>
                <w:rFonts w:hint="default" w:ascii="Times New Roman" w:hAnsi="Times New Roman"/>
                <w:b/>
                <w:szCs w:val="24"/>
                <w:highlight w:val="none"/>
              </w:rPr>
            </w:pPr>
            <w:r>
              <w:rPr>
                <w:rFonts w:hint="eastAsia" w:ascii="Times New Roman" w:hAnsi="Times New Roman"/>
                <w:b/>
                <w:szCs w:val="24"/>
                <w:highlight w:val="none"/>
              </w:rPr>
              <w:t>三、系统测试准出标准：同时满足以下条件，系统测试完成</w:t>
            </w:r>
          </w:p>
        </w:tc>
      </w:tr>
      <w:tr w14:paraId="1EB36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E1BD92E">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序号</w:t>
            </w:r>
          </w:p>
        </w:tc>
        <w:tc>
          <w:tcPr>
            <w:tcW w:w="6889" w:type="dxa"/>
            <w:tcBorders>
              <w:left w:val="single" w:color="auto" w:sz="6" w:space="0"/>
            </w:tcBorders>
            <w:shd w:val="clear" w:color="auto" w:fill="auto"/>
            <w:vAlign w:val="center"/>
          </w:tcPr>
          <w:p w14:paraId="46319011">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准出条件</w:t>
            </w:r>
          </w:p>
        </w:tc>
      </w:tr>
      <w:tr w14:paraId="7EFDD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3BF0B8A">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1</w:t>
            </w:r>
          </w:p>
        </w:tc>
        <w:tc>
          <w:tcPr>
            <w:tcW w:w="6889" w:type="dxa"/>
            <w:tcBorders>
              <w:left w:val="single" w:color="auto" w:sz="6" w:space="0"/>
            </w:tcBorders>
            <w:shd w:val="clear" w:color="auto" w:fill="auto"/>
            <w:vAlign w:val="center"/>
          </w:tcPr>
          <w:p w14:paraId="72AD468F">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测试需求覆盖率达到100%，测试案例覆盖度100%</w:t>
            </w:r>
          </w:p>
        </w:tc>
      </w:tr>
      <w:tr w14:paraId="5B941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DCA04D0">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2</w:t>
            </w:r>
          </w:p>
        </w:tc>
        <w:tc>
          <w:tcPr>
            <w:tcW w:w="6889" w:type="dxa"/>
            <w:tcBorders>
              <w:left w:val="single" w:color="auto" w:sz="6" w:space="0"/>
            </w:tcBorders>
            <w:shd w:val="clear" w:color="auto" w:fill="auto"/>
            <w:vAlign w:val="center"/>
          </w:tcPr>
          <w:p w14:paraId="09603B7F">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测试案例执行率达到100%，测试通过率95%</w:t>
            </w:r>
          </w:p>
        </w:tc>
      </w:tr>
      <w:tr w14:paraId="62E70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314C8D1">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3</w:t>
            </w:r>
          </w:p>
        </w:tc>
        <w:tc>
          <w:tcPr>
            <w:tcW w:w="6889" w:type="dxa"/>
            <w:tcBorders>
              <w:left w:val="single" w:color="auto" w:sz="6" w:space="0"/>
            </w:tcBorders>
            <w:shd w:val="clear" w:color="auto" w:fill="auto"/>
            <w:vAlign w:val="center"/>
          </w:tcPr>
          <w:p w14:paraId="0B95A517">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缺陷修复率达到95%</w:t>
            </w:r>
          </w:p>
        </w:tc>
      </w:tr>
      <w:tr w14:paraId="42119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6A44F0D">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4</w:t>
            </w:r>
          </w:p>
        </w:tc>
        <w:tc>
          <w:tcPr>
            <w:tcW w:w="6889" w:type="dxa"/>
            <w:tcBorders>
              <w:left w:val="single" w:color="auto" w:sz="6" w:space="0"/>
            </w:tcBorders>
            <w:shd w:val="clear" w:color="auto" w:fill="auto"/>
            <w:vAlign w:val="center"/>
          </w:tcPr>
          <w:p w14:paraId="7E34C1E2">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致命缺陷、严重缺陷解决率达到100%</w:t>
            </w:r>
          </w:p>
        </w:tc>
      </w:tr>
      <w:tr w14:paraId="4F16B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917795">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5</w:t>
            </w:r>
          </w:p>
        </w:tc>
        <w:tc>
          <w:tcPr>
            <w:tcW w:w="6889" w:type="dxa"/>
            <w:tcBorders>
              <w:left w:val="single" w:color="auto" w:sz="6" w:space="0"/>
            </w:tcBorders>
            <w:shd w:val="clear" w:color="auto" w:fill="auto"/>
            <w:vAlign w:val="center"/>
          </w:tcPr>
          <w:p w14:paraId="2AF526AC">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一般缺陷、微小缺陷解决率达到90%以上，建议缺陷解决率达到80%以上，且未解决缺陷得项目组认可</w:t>
            </w:r>
          </w:p>
        </w:tc>
      </w:tr>
      <w:tr w14:paraId="11BA9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EE29C7C">
            <w:pPr>
              <w:keepNext w:val="0"/>
              <w:keepLines w:val="0"/>
              <w:suppressLineNumbers w:val="0"/>
              <w:spacing w:before="0" w:beforeAutospacing="0" w:after="0" w:afterAutospacing="0" w:line="360" w:lineRule="auto"/>
              <w:ind w:left="0" w:right="0" w:firstLine="0"/>
              <w:jc w:val="center"/>
              <w:rPr>
                <w:rFonts w:hint="default" w:ascii="Times New Roman" w:hAnsi="Times New Roman"/>
                <w:szCs w:val="24"/>
                <w:highlight w:val="none"/>
              </w:rPr>
            </w:pPr>
            <w:r>
              <w:rPr>
                <w:rFonts w:hint="eastAsia" w:ascii="Times New Roman" w:hAnsi="Times New Roman"/>
                <w:szCs w:val="24"/>
                <w:highlight w:val="none"/>
              </w:rPr>
              <w:t>6</w:t>
            </w:r>
          </w:p>
        </w:tc>
        <w:tc>
          <w:tcPr>
            <w:tcW w:w="6889" w:type="dxa"/>
            <w:tcBorders>
              <w:left w:val="single" w:color="auto" w:sz="6" w:space="0"/>
            </w:tcBorders>
            <w:shd w:val="clear" w:color="auto" w:fill="auto"/>
            <w:vAlign w:val="center"/>
          </w:tcPr>
          <w:p w14:paraId="3E4E18A3">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提交系统测试报告及通过评审</w:t>
            </w:r>
          </w:p>
        </w:tc>
      </w:tr>
      <w:tr w14:paraId="4C036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78E12D7">
            <w:pPr>
              <w:keepNext w:val="0"/>
              <w:keepLines w:val="0"/>
              <w:suppressLineNumbers w:val="0"/>
              <w:spacing w:before="0" w:beforeAutospacing="0" w:after="0" w:afterAutospacing="0" w:line="360" w:lineRule="auto"/>
              <w:ind w:left="0" w:right="0" w:firstLine="0"/>
              <w:rPr>
                <w:rFonts w:hint="default" w:ascii="Times New Roman" w:hAnsi="Times New Roman"/>
                <w:b/>
                <w:szCs w:val="24"/>
                <w:highlight w:val="none"/>
              </w:rPr>
            </w:pPr>
            <w:r>
              <w:rPr>
                <w:rFonts w:hint="eastAsia" w:ascii="Times New Roman" w:hAnsi="Times New Roman"/>
                <w:b/>
                <w:szCs w:val="24"/>
                <w:highlight w:val="none"/>
              </w:rPr>
              <w:t>四、测试指标公式附录</w:t>
            </w:r>
          </w:p>
        </w:tc>
      </w:tr>
      <w:tr w14:paraId="690B0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ABA2114">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TPI</w:t>
            </w:r>
          </w:p>
        </w:tc>
        <w:tc>
          <w:tcPr>
            <w:tcW w:w="6889" w:type="dxa"/>
            <w:tcBorders>
              <w:left w:val="single" w:color="auto" w:sz="6" w:space="0"/>
            </w:tcBorders>
            <w:shd w:val="clear" w:color="auto" w:fill="auto"/>
            <w:vAlign w:val="center"/>
          </w:tcPr>
          <w:p w14:paraId="6B11AC0C">
            <w:pPr>
              <w:keepNext w:val="0"/>
              <w:keepLines w:val="0"/>
              <w:suppressLineNumbers w:val="0"/>
              <w:spacing w:before="0" w:beforeAutospacing="0" w:after="0" w:afterAutospacing="0" w:line="360" w:lineRule="auto"/>
              <w:ind w:left="0" w:right="0" w:firstLine="0"/>
              <w:jc w:val="center"/>
              <w:rPr>
                <w:rFonts w:hint="default" w:ascii="Times New Roman" w:hAnsi="Times New Roman"/>
                <w:b/>
                <w:szCs w:val="24"/>
                <w:highlight w:val="none"/>
              </w:rPr>
            </w:pPr>
            <w:r>
              <w:rPr>
                <w:rFonts w:hint="eastAsia" w:ascii="Times New Roman" w:hAnsi="Times New Roman"/>
                <w:b/>
                <w:szCs w:val="24"/>
                <w:highlight w:val="none"/>
              </w:rPr>
              <w:t>公式</w:t>
            </w:r>
          </w:p>
        </w:tc>
      </w:tr>
      <w:tr w14:paraId="11030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200C957">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测试需求覆盖率</w:t>
            </w:r>
          </w:p>
        </w:tc>
        <w:tc>
          <w:tcPr>
            <w:tcW w:w="6889" w:type="dxa"/>
            <w:tcBorders>
              <w:left w:val="single" w:color="auto" w:sz="6" w:space="0"/>
            </w:tcBorders>
            <w:shd w:val="clear" w:color="auto" w:fill="auto"/>
            <w:vAlign w:val="center"/>
          </w:tcPr>
          <w:p w14:paraId="6577233A">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测试需求覆盖点/软件需求功能点</w:t>
            </w:r>
          </w:p>
        </w:tc>
      </w:tr>
      <w:tr w14:paraId="395D3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532CF9A">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有效案例总数</w:t>
            </w:r>
          </w:p>
        </w:tc>
        <w:tc>
          <w:tcPr>
            <w:tcW w:w="6889" w:type="dxa"/>
            <w:tcBorders>
              <w:left w:val="single" w:color="auto" w:sz="6" w:space="0"/>
            </w:tcBorders>
            <w:shd w:val="clear" w:color="auto" w:fill="auto"/>
            <w:vAlign w:val="center"/>
          </w:tcPr>
          <w:p w14:paraId="5FD59830">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案例总数-无效案例总数</w:t>
            </w:r>
          </w:p>
        </w:tc>
      </w:tr>
      <w:tr w14:paraId="13A74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4A4FEEF">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有效缺陷总数</w:t>
            </w:r>
          </w:p>
        </w:tc>
        <w:tc>
          <w:tcPr>
            <w:tcW w:w="6889" w:type="dxa"/>
            <w:tcBorders>
              <w:left w:val="single" w:color="auto" w:sz="6" w:space="0"/>
            </w:tcBorders>
            <w:shd w:val="clear" w:color="auto" w:fill="auto"/>
            <w:vAlign w:val="center"/>
          </w:tcPr>
          <w:p w14:paraId="1815E907">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缺陷总数-无效缺陷总数-伪缺陷总数</w:t>
            </w:r>
          </w:p>
        </w:tc>
      </w:tr>
      <w:tr w14:paraId="0EDAC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F01CE90">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严重以上缺陷总数</w:t>
            </w:r>
          </w:p>
        </w:tc>
        <w:tc>
          <w:tcPr>
            <w:tcW w:w="6889" w:type="dxa"/>
            <w:tcBorders>
              <w:left w:val="single" w:color="auto" w:sz="6" w:space="0"/>
            </w:tcBorders>
            <w:shd w:val="clear" w:color="auto" w:fill="auto"/>
            <w:vAlign w:val="center"/>
          </w:tcPr>
          <w:p w14:paraId="3516B149">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严重及致命缺陷总数-无效的严重及致命缺陷总数</w:t>
            </w:r>
          </w:p>
        </w:tc>
      </w:tr>
      <w:tr w14:paraId="31FB2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7091A8E">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案例执行率</w:t>
            </w:r>
          </w:p>
        </w:tc>
        <w:tc>
          <w:tcPr>
            <w:tcW w:w="6889" w:type="dxa"/>
            <w:tcBorders>
              <w:left w:val="single" w:color="auto" w:sz="6" w:space="0"/>
            </w:tcBorders>
            <w:shd w:val="clear" w:color="auto" w:fill="auto"/>
            <w:vAlign w:val="center"/>
          </w:tcPr>
          <w:p w14:paraId="36347876">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每轮执行案例数/每轮计划执行的案例个数</w:t>
            </w:r>
          </w:p>
        </w:tc>
      </w:tr>
      <w:tr w14:paraId="01E98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AE37FD3">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需求稳定指数</w:t>
            </w:r>
          </w:p>
        </w:tc>
        <w:tc>
          <w:tcPr>
            <w:tcW w:w="6889" w:type="dxa"/>
            <w:tcBorders>
              <w:left w:val="single" w:color="auto" w:sz="6" w:space="0"/>
            </w:tcBorders>
            <w:shd w:val="clear" w:color="auto" w:fill="auto"/>
            <w:vAlign w:val="center"/>
          </w:tcPr>
          <w:p w14:paraId="4AC81E0A">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（测试需求分析中规则数量-业务需求因素引起变更的测试需求规则数-开发因素引起变更的测试需求规则数）/测试需求分析中规则数量</w:t>
            </w:r>
          </w:p>
        </w:tc>
      </w:tr>
      <w:tr w14:paraId="4F31B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E483F91">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案例执行通过率</w:t>
            </w:r>
          </w:p>
        </w:tc>
        <w:tc>
          <w:tcPr>
            <w:tcW w:w="6889" w:type="dxa"/>
            <w:tcBorders>
              <w:left w:val="single" w:color="auto" w:sz="6" w:space="0"/>
            </w:tcBorders>
            <w:shd w:val="clear" w:color="auto" w:fill="auto"/>
            <w:vAlign w:val="center"/>
          </w:tcPr>
          <w:p w14:paraId="23DD0D15">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每轮执行通过的案例个数/每轮执行案例数</w:t>
            </w:r>
          </w:p>
        </w:tc>
      </w:tr>
      <w:tr w14:paraId="4CF80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7549265C">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缺陷的案例命中率</w:t>
            </w:r>
          </w:p>
        </w:tc>
        <w:tc>
          <w:tcPr>
            <w:tcW w:w="6889" w:type="dxa"/>
            <w:tcBorders>
              <w:left w:val="single" w:color="auto" w:sz="6" w:space="0"/>
            </w:tcBorders>
            <w:shd w:val="clear" w:color="auto" w:fill="auto"/>
            <w:vAlign w:val="bottom"/>
          </w:tcPr>
          <w:p w14:paraId="3C8B30BF">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有效缺陷总数/有效案例总数</w:t>
            </w:r>
          </w:p>
        </w:tc>
      </w:tr>
      <w:tr w14:paraId="550FF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28E2508A">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严重以上缺陷占比</w:t>
            </w:r>
          </w:p>
        </w:tc>
        <w:tc>
          <w:tcPr>
            <w:tcW w:w="6889" w:type="dxa"/>
            <w:tcBorders>
              <w:left w:val="single" w:color="auto" w:sz="6" w:space="0"/>
            </w:tcBorders>
            <w:shd w:val="clear" w:color="auto" w:fill="auto"/>
            <w:vAlign w:val="bottom"/>
          </w:tcPr>
          <w:p w14:paraId="29F528F8">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严重以上缺陷总数/有效缺陷总数</w:t>
            </w:r>
          </w:p>
        </w:tc>
      </w:tr>
      <w:tr w14:paraId="29CFE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5043C634">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缺陷解决率</w:t>
            </w:r>
          </w:p>
        </w:tc>
        <w:tc>
          <w:tcPr>
            <w:tcW w:w="6889" w:type="dxa"/>
            <w:tcBorders>
              <w:left w:val="single" w:color="auto" w:sz="6" w:space="0"/>
            </w:tcBorders>
            <w:shd w:val="clear" w:color="auto" w:fill="auto"/>
            <w:vAlign w:val="bottom"/>
          </w:tcPr>
          <w:p w14:paraId="510FAAA0">
            <w:pPr>
              <w:keepNext w:val="0"/>
              <w:keepLines w:val="0"/>
              <w:suppressLineNumbers w:val="0"/>
              <w:spacing w:before="0" w:beforeAutospacing="0" w:after="0" w:afterAutospacing="0" w:line="360" w:lineRule="auto"/>
              <w:ind w:left="0" w:right="0" w:firstLine="0"/>
              <w:rPr>
                <w:rFonts w:hint="default" w:ascii="Times New Roman" w:hAnsi="Times New Roman"/>
                <w:szCs w:val="24"/>
                <w:highlight w:val="none"/>
              </w:rPr>
            </w:pPr>
            <w:r>
              <w:rPr>
                <w:rFonts w:hint="eastAsia" w:ascii="Times New Roman" w:hAnsi="Times New Roman"/>
                <w:szCs w:val="24"/>
                <w:highlight w:val="none"/>
              </w:rPr>
              <w:t>关闭缺陷总数/有效缺陷总数</w:t>
            </w:r>
          </w:p>
        </w:tc>
      </w:tr>
    </w:tbl>
    <w:p w14:paraId="5F5BE1A9">
      <w:pPr>
        <w:rPr>
          <w:rFonts w:ascii="Times New Roman" w:hAnsi="Times New Roman"/>
          <w:color w:val="auto"/>
          <w:highlight w:val="none"/>
        </w:rPr>
      </w:pPr>
    </w:p>
    <w:p w14:paraId="09140DC9">
      <w:pPr>
        <w:pStyle w:val="4"/>
        <w:numPr>
          <w:ilvl w:val="0"/>
          <w:numId w:val="3"/>
        </w:numPr>
        <w:rPr>
          <w:rFonts w:ascii="Times New Roman" w:hAnsi="Times New Roman"/>
          <w:highlight w:val="none"/>
        </w:rPr>
      </w:pPr>
      <w:r>
        <w:rPr>
          <w:rFonts w:hint="eastAsia" w:ascii="Times New Roman" w:hAnsi="Times New Roman" w:cs="Cambria"/>
          <w:bCs w:val="0"/>
          <w:highlight w:val="none"/>
        </w:rPr>
        <w:t>人员要求</w:t>
      </w:r>
    </w:p>
    <w:p w14:paraId="78E3277D">
      <w:pPr>
        <w:snapToGrid w:val="0"/>
        <w:spacing w:line="360" w:lineRule="auto"/>
        <w:ind w:firstLine="420"/>
        <w:rPr>
          <w:rFonts w:ascii="Times New Roman" w:hAnsi="Times New Roman" w:cs="Cambria"/>
          <w:b/>
          <w:szCs w:val="24"/>
          <w:highlight w:val="none"/>
        </w:rPr>
      </w:pPr>
      <w:bookmarkStart w:id="72" w:name="_Toc89675142"/>
      <w:r>
        <w:rPr>
          <w:rFonts w:ascii="Times New Roman" w:hAnsi="Times New Roman"/>
          <w:highlight w:val="none"/>
        </w:rPr>
        <w:t>1</w:t>
      </w:r>
      <w:r>
        <w:rPr>
          <w:rFonts w:hint="eastAsia" w:ascii="Times New Roman" w:hAnsi="Times New Roman"/>
          <w:highlight w:val="none"/>
        </w:rPr>
        <w:t>）</w:t>
      </w:r>
      <w:r>
        <w:rPr>
          <w:rFonts w:ascii="Times New Roman" w:hAnsi="Times New Roman"/>
          <w:highlight w:val="none"/>
        </w:rPr>
        <w:t>参选</w:t>
      </w:r>
      <w:r>
        <w:rPr>
          <w:rFonts w:hint="eastAsia" w:ascii="Times New Roman" w:hAnsi="Times New Roman"/>
          <w:highlight w:val="none"/>
        </w:rPr>
        <w:t>人应承诺未征得我行书面同意的情况下不得更换项目成员。</w:t>
      </w:r>
      <w:bookmarkEnd w:id="72"/>
    </w:p>
    <w:p w14:paraId="7914C8B6">
      <w:pPr>
        <w:snapToGrid w:val="0"/>
        <w:spacing w:line="360" w:lineRule="auto"/>
        <w:ind w:firstLine="42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w:t>
      </w:r>
      <w:r>
        <w:rPr>
          <w:rFonts w:hint="eastAsia" w:ascii="Times New Roman" w:hAnsi="Times New Roman"/>
          <w:highlight w:val="none"/>
          <w:lang w:val="en-US" w:eastAsia="zh-CN"/>
        </w:rPr>
        <w:t>项目组</w:t>
      </w:r>
      <w:r>
        <w:rPr>
          <w:rFonts w:hint="eastAsia" w:ascii="Times New Roman" w:hAnsi="Times New Roman"/>
          <w:snapToGrid w:val="0"/>
          <w:kern w:val="0"/>
          <w:szCs w:val="28"/>
          <w:highlight w:val="none"/>
        </w:rPr>
        <w:t>成员必须为</w:t>
      </w:r>
      <w:r>
        <w:rPr>
          <w:rFonts w:hint="eastAsia" w:ascii="Times New Roman" w:hAnsi="Times New Roman"/>
          <w:highlight w:val="none"/>
        </w:rPr>
        <w:t>参选人</w:t>
      </w:r>
      <w:r>
        <w:rPr>
          <w:rFonts w:hint="eastAsia" w:ascii="Times New Roman" w:hAnsi="Times New Roman"/>
          <w:snapToGrid w:val="0"/>
          <w:kern w:val="0"/>
          <w:szCs w:val="28"/>
          <w:highlight w:val="none"/>
        </w:rPr>
        <w:t>单位员工，</w:t>
      </w:r>
      <w:r>
        <w:rPr>
          <w:rFonts w:hint="eastAsia" w:ascii="Times New Roman" w:hAnsi="Times New Roman"/>
          <w:b/>
          <w:snapToGrid w:val="0"/>
          <w:kern w:val="0"/>
          <w:szCs w:val="28"/>
          <w:highlight w:val="none"/>
        </w:rPr>
        <w:t>不得外包其他单位员工。</w:t>
      </w:r>
      <w:r>
        <w:rPr>
          <w:rFonts w:hint="eastAsia" w:ascii="Times New Roman" w:hAnsi="Times New Roman"/>
          <w:b/>
          <w:snapToGrid w:val="0"/>
          <w:kern w:val="0"/>
          <w:szCs w:val="28"/>
          <w:highlight w:val="none"/>
          <w:lang w:val="en-US" w:eastAsia="zh-CN"/>
        </w:rPr>
        <w:t>参选人须提供近半年公司为项目组成员缴纳的社保证明材料</w:t>
      </w:r>
      <w:r>
        <w:rPr>
          <w:rFonts w:hint="eastAsia" w:ascii="Times New Roman" w:hAnsi="Times New Roman"/>
          <w:b/>
          <w:snapToGrid w:val="0"/>
          <w:kern w:val="0"/>
          <w:szCs w:val="28"/>
          <w:highlight w:val="none"/>
          <w:lang w:eastAsia="zh-CN"/>
        </w:rPr>
        <w:t>【</w:t>
      </w:r>
      <w:r>
        <w:rPr>
          <w:rFonts w:hint="eastAsia" w:ascii="Times New Roman" w:hAnsi="Times New Roman"/>
          <w:b/>
          <w:snapToGrid w:val="0"/>
          <w:kern w:val="0"/>
          <w:szCs w:val="28"/>
          <w:highlight w:val="none"/>
        </w:rPr>
        <w:t>提供社保</w:t>
      </w:r>
      <w:r>
        <w:rPr>
          <w:rFonts w:hint="eastAsia" w:ascii="Times New Roman" w:hAnsi="Times New Roman"/>
          <w:b/>
          <w:snapToGrid w:val="0"/>
          <w:kern w:val="0"/>
          <w:szCs w:val="28"/>
          <w:highlight w:val="none"/>
          <w:lang w:val="en-US" w:eastAsia="zh-CN"/>
        </w:rPr>
        <w:t>缴纳</w:t>
      </w:r>
      <w:r>
        <w:rPr>
          <w:rFonts w:hint="eastAsia" w:ascii="Times New Roman" w:hAnsi="Times New Roman"/>
          <w:b/>
          <w:snapToGrid w:val="0"/>
          <w:kern w:val="0"/>
          <w:szCs w:val="28"/>
          <w:highlight w:val="none"/>
        </w:rPr>
        <w:t>证明材料</w:t>
      </w:r>
      <w:r>
        <w:rPr>
          <w:rFonts w:hint="eastAsia" w:ascii="Times New Roman" w:hAnsi="Times New Roman"/>
          <w:b/>
          <w:snapToGrid w:val="0"/>
          <w:kern w:val="0"/>
          <w:szCs w:val="28"/>
          <w:highlight w:val="none"/>
          <w:lang w:eastAsia="zh-CN"/>
        </w:rPr>
        <w:t>】</w:t>
      </w:r>
    </w:p>
    <w:tbl>
      <w:tblPr>
        <w:tblStyle w:val="24"/>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7118"/>
      </w:tblGrid>
      <w:tr w14:paraId="43C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14:paraId="5729D176">
            <w:pPr>
              <w:keepNext w:val="0"/>
              <w:keepLines w:val="0"/>
              <w:suppressLineNumbers w:val="0"/>
              <w:snapToGrid w:val="0"/>
              <w:spacing w:before="0" w:beforeAutospacing="0" w:after="0" w:afterAutospacing="0" w:line="360" w:lineRule="auto"/>
              <w:ind w:left="0" w:right="0" w:firstLine="0"/>
              <w:jc w:val="center"/>
              <w:rPr>
                <w:rFonts w:hint="default" w:ascii="Times New Roman" w:hAnsi="Times New Roman"/>
                <w:szCs w:val="28"/>
                <w:highlight w:val="none"/>
              </w:rPr>
            </w:pPr>
            <w:r>
              <w:rPr>
                <w:rFonts w:hint="eastAsia" w:ascii="Times New Roman" w:hAnsi="Times New Roman"/>
                <w:szCs w:val="28"/>
                <w:highlight w:val="none"/>
              </w:rPr>
              <w:t>项目经理</w:t>
            </w:r>
          </w:p>
        </w:tc>
        <w:tc>
          <w:tcPr>
            <w:tcW w:w="7117" w:type="dxa"/>
            <w:tcBorders>
              <w:top w:val="single" w:color="auto" w:sz="4" w:space="0"/>
              <w:left w:val="single" w:color="auto" w:sz="4" w:space="0"/>
              <w:bottom w:val="single" w:color="auto" w:sz="4" w:space="0"/>
              <w:right w:val="single" w:color="auto" w:sz="4" w:space="0"/>
            </w:tcBorders>
          </w:tcPr>
          <w:p w14:paraId="6E34B8DF">
            <w:pPr>
              <w:keepNext w:val="0"/>
              <w:keepLines w:val="0"/>
              <w:suppressLineNumbers w:val="0"/>
              <w:spacing w:before="0" w:beforeAutospacing="0" w:after="0" w:afterAutospacing="0" w:line="360" w:lineRule="auto"/>
              <w:ind w:left="0" w:right="0" w:firstLine="0"/>
              <w:rPr>
                <w:rFonts w:hint="default" w:ascii="Times New Roman" w:hAnsi="Times New Roman"/>
                <w:highlight w:val="none"/>
              </w:rPr>
            </w:pPr>
            <w:r>
              <w:rPr>
                <w:rFonts w:hint="eastAsia" w:ascii="Times New Roman" w:hAnsi="Times New Roman" w:cs="Cambria"/>
                <w:kern w:val="0"/>
                <w:highlight w:val="none"/>
              </w:rPr>
              <w:t>主导过</w:t>
            </w:r>
            <w:r>
              <w:rPr>
                <w:rFonts w:hint="default" w:ascii="Times New Roman" w:hAnsi="Times New Roman" w:cs="Cambria"/>
                <w:kern w:val="0"/>
                <w:highlight w:val="none"/>
              </w:rPr>
              <w:t>一</w:t>
            </w:r>
            <w:r>
              <w:rPr>
                <w:rFonts w:hint="eastAsia" w:ascii="Times New Roman" w:hAnsi="Times New Roman" w:cs="Cambria"/>
                <w:kern w:val="0"/>
                <w:highlight w:val="none"/>
              </w:rPr>
              <w:t>个</w:t>
            </w:r>
            <w:r>
              <w:rPr>
                <w:rFonts w:hint="default" w:ascii="Times New Roman" w:hAnsi="Times New Roman" w:cs="Cambria"/>
                <w:kern w:val="0"/>
                <w:highlight w:val="none"/>
              </w:rPr>
              <w:t>及</w:t>
            </w:r>
            <w:r>
              <w:rPr>
                <w:rFonts w:hint="eastAsia" w:ascii="Times New Roman" w:hAnsi="Times New Roman" w:cs="Cambria"/>
                <w:kern w:val="0"/>
                <w:highlight w:val="none"/>
              </w:rPr>
              <w:t>以上</w:t>
            </w:r>
            <w:r>
              <w:rPr>
                <w:rFonts w:hint="default" w:ascii="Times New Roman" w:hAnsi="Times New Roman" w:cs="Cambria"/>
                <w:kern w:val="0"/>
                <w:highlight w:val="none"/>
              </w:rPr>
              <w:t>绿色金融相关</w:t>
            </w:r>
            <w:r>
              <w:rPr>
                <w:rFonts w:hint="eastAsia" w:ascii="Times New Roman" w:hAnsi="Times New Roman" w:cs="Cambria"/>
                <w:kern w:val="0"/>
                <w:highlight w:val="none"/>
              </w:rPr>
              <w:t>项目和具有五年以上项目经理工作经验</w:t>
            </w:r>
            <w:r>
              <w:rPr>
                <w:rFonts w:hint="eastAsia" w:ascii="Times New Roman" w:hAnsi="Times New Roman"/>
                <w:highlight w:val="none"/>
              </w:rPr>
              <w:t>，具有独当一面的技术能力；直接对项目的实施负责，通过对工期、成本、质量的控制（包括总体制定、执行、跟踪、调整相关计划，协调项目可用资源），确保项目按要求完成。</w:t>
            </w:r>
          </w:p>
        </w:tc>
      </w:tr>
      <w:tr w14:paraId="5152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14:paraId="3BA9137D">
            <w:pPr>
              <w:keepNext w:val="0"/>
              <w:keepLines w:val="0"/>
              <w:suppressLineNumbers w:val="0"/>
              <w:snapToGrid w:val="0"/>
              <w:spacing w:before="0" w:beforeAutospacing="0" w:after="0" w:afterAutospacing="0" w:line="360" w:lineRule="auto"/>
              <w:ind w:left="0" w:right="0" w:firstLine="0"/>
              <w:jc w:val="center"/>
              <w:rPr>
                <w:rFonts w:hint="default" w:ascii="Times New Roman" w:hAnsi="Times New Roman"/>
                <w:szCs w:val="28"/>
                <w:highlight w:val="none"/>
              </w:rPr>
            </w:pPr>
            <w:r>
              <w:rPr>
                <w:rFonts w:hint="eastAsia" w:ascii="Times New Roman" w:hAnsi="Times New Roman"/>
                <w:szCs w:val="28"/>
                <w:highlight w:val="none"/>
              </w:rPr>
              <w:t>需求分析师</w:t>
            </w:r>
          </w:p>
        </w:tc>
        <w:tc>
          <w:tcPr>
            <w:tcW w:w="7117" w:type="dxa"/>
            <w:tcBorders>
              <w:top w:val="single" w:color="auto" w:sz="4" w:space="0"/>
              <w:left w:val="single" w:color="auto" w:sz="4" w:space="0"/>
              <w:bottom w:val="single" w:color="auto" w:sz="4" w:space="0"/>
              <w:right w:val="single" w:color="auto" w:sz="4" w:space="0"/>
            </w:tcBorders>
          </w:tcPr>
          <w:p w14:paraId="72834B69">
            <w:pPr>
              <w:keepNext w:val="0"/>
              <w:keepLines w:val="0"/>
              <w:suppressLineNumbers w:val="0"/>
              <w:spacing w:before="0" w:beforeAutospacing="0" w:after="0" w:afterAutospacing="0" w:line="360" w:lineRule="auto"/>
              <w:ind w:left="0" w:right="0" w:firstLine="0"/>
              <w:rPr>
                <w:rFonts w:hint="default" w:ascii="Times New Roman" w:hAnsi="Times New Roman"/>
                <w:highlight w:val="none"/>
              </w:rPr>
            </w:pPr>
            <w:r>
              <w:rPr>
                <w:rFonts w:hint="eastAsia" w:ascii="Times New Roman" w:hAnsi="Times New Roman" w:cs="Cambria"/>
                <w:kern w:val="0"/>
                <w:highlight w:val="none"/>
              </w:rPr>
              <w:t>主导完成过</w:t>
            </w:r>
            <w:r>
              <w:rPr>
                <w:rFonts w:hint="default" w:ascii="Times New Roman" w:hAnsi="Times New Roman" w:cs="Cambria"/>
                <w:kern w:val="0"/>
                <w:highlight w:val="none"/>
              </w:rPr>
              <w:t>一</w:t>
            </w:r>
            <w:r>
              <w:rPr>
                <w:rFonts w:hint="eastAsia" w:ascii="Times New Roman" w:hAnsi="Times New Roman" w:cs="Cambria"/>
                <w:kern w:val="0"/>
                <w:highlight w:val="none"/>
              </w:rPr>
              <w:t>个</w:t>
            </w:r>
            <w:r>
              <w:rPr>
                <w:rFonts w:hint="default" w:ascii="Times New Roman" w:hAnsi="Times New Roman" w:cs="Cambria"/>
                <w:kern w:val="0"/>
                <w:highlight w:val="none"/>
              </w:rPr>
              <w:t>及</w:t>
            </w:r>
            <w:r>
              <w:rPr>
                <w:rFonts w:hint="eastAsia" w:ascii="Times New Roman" w:hAnsi="Times New Roman" w:cs="Cambria"/>
                <w:kern w:val="0"/>
                <w:highlight w:val="none"/>
              </w:rPr>
              <w:t>以上</w:t>
            </w:r>
            <w:r>
              <w:rPr>
                <w:rFonts w:hint="default" w:ascii="Times New Roman" w:hAnsi="Times New Roman" w:cs="Cambria"/>
                <w:kern w:val="0"/>
                <w:highlight w:val="none"/>
              </w:rPr>
              <w:t>绿色金融相关</w:t>
            </w:r>
            <w:r>
              <w:rPr>
                <w:rFonts w:hint="eastAsia" w:ascii="Times New Roman" w:hAnsi="Times New Roman" w:cs="Cambria"/>
                <w:kern w:val="0"/>
                <w:highlight w:val="none"/>
              </w:rPr>
              <w:t>项目的需求分析、设计，</w:t>
            </w:r>
            <w:r>
              <w:rPr>
                <w:rFonts w:hint="eastAsia" w:ascii="Times New Roman" w:hAnsi="Times New Roman"/>
                <w:highlight w:val="none"/>
              </w:rPr>
              <w:t>熟悉银行业务流程和相关法律法规，能够辅助比选人完成业务流程梳理、整合以及创新，善于表达，具有良好的沟通技巧和能力。</w:t>
            </w:r>
          </w:p>
        </w:tc>
      </w:tr>
      <w:tr w14:paraId="4253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14:paraId="7E0916BE">
            <w:pPr>
              <w:keepNext w:val="0"/>
              <w:keepLines w:val="0"/>
              <w:suppressLineNumbers w:val="0"/>
              <w:snapToGrid w:val="0"/>
              <w:spacing w:before="0" w:beforeAutospacing="0" w:after="0" w:afterAutospacing="0" w:line="360" w:lineRule="auto"/>
              <w:ind w:left="0" w:right="0" w:firstLine="0"/>
              <w:jc w:val="center"/>
              <w:rPr>
                <w:rFonts w:hint="default" w:ascii="Times New Roman" w:hAnsi="Times New Roman"/>
                <w:szCs w:val="28"/>
                <w:highlight w:val="none"/>
              </w:rPr>
            </w:pPr>
            <w:r>
              <w:rPr>
                <w:rFonts w:hint="eastAsia" w:ascii="Times New Roman" w:hAnsi="Times New Roman"/>
                <w:szCs w:val="28"/>
                <w:highlight w:val="none"/>
              </w:rPr>
              <w:t>系统架构师</w:t>
            </w:r>
          </w:p>
        </w:tc>
        <w:tc>
          <w:tcPr>
            <w:tcW w:w="7117" w:type="dxa"/>
            <w:tcBorders>
              <w:top w:val="single" w:color="auto" w:sz="4" w:space="0"/>
              <w:left w:val="single" w:color="auto" w:sz="4" w:space="0"/>
              <w:bottom w:val="single" w:color="auto" w:sz="4" w:space="0"/>
              <w:right w:val="single" w:color="auto" w:sz="4" w:space="0"/>
            </w:tcBorders>
          </w:tcPr>
          <w:p w14:paraId="6964D66D">
            <w:pPr>
              <w:keepNext w:val="0"/>
              <w:keepLines w:val="0"/>
              <w:suppressLineNumbers w:val="0"/>
              <w:snapToGrid w:val="0"/>
              <w:spacing w:before="0" w:beforeAutospacing="0" w:after="0" w:afterAutospacing="0" w:line="360" w:lineRule="auto"/>
              <w:ind w:left="0" w:right="0" w:firstLine="0"/>
              <w:rPr>
                <w:rFonts w:hint="default" w:ascii="Times New Roman" w:hAnsi="Times New Roman"/>
                <w:highlight w:val="none"/>
              </w:rPr>
            </w:pPr>
            <w:r>
              <w:rPr>
                <w:rFonts w:hint="eastAsia" w:ascii="Times New Roman" w:hAnsi="Times New Roman" w:cs="Cambria"/>
                <w:kern w:val="0"/>
                <w:highlight w:val="none"/>
              </w:rPr>
              <w:t>主导过</w:t>
            </w:r>
            <w:r>
              <w:rPr>
                <w:rFonts w:hint="default" w:ascii="Times New Roman" w:hAnsi="Times New Roman" w:cs="Cambria"/>
                <w:kern w:val="0"/>
                <w:highlight w:val="none"/>
              </w:rPr>
              <w:t>一</w:t>
            </w:r>
            <w:r>
              <w:rPr>
                <w:rFonts w:hint="eastAsia" w:ascii="Times New Roman" w:hAnsi="Times New Roman" w:cs="Cambria"/>
                <w:kern w:val="0"/>
                <w:highlight w:val="none"/>
              </w:rPr>
              <w:t>个</w:t>
            </w:r>
            <w:r>
              <w:rPr>
                <w:rFonts w:hint="default" w:ascii="Times New Roman" w:hAnsi="Times New Roman" w:cs="Cambria"/>
                <w:kern w:val="0"/>
                <w:highlight w:val="none"/>
              </w:rPr>
              <w:t>及</w:t>
            </w:r>
            <w:r>
              <w:rPr>
                <w:rFonts w:hint="eastAsia" w:ascii="Times New Roman" w:hAnsi="Times New Roman" w:cs="Cambria"/>
                <w:kern w:val="0"/>
                <w:highlight w:val="none"/>
              </w:rPr>
              <w:t>以上</w:t>
            </w:r>
            <w:r>
              <w:rPr>
                <w:rFonts w:hint="default" w:ascii="Times New Roman" w:hAnsi="Times New Roman" w:cs="Cambria"/>
                <w:kern w:val="0"/>
                <w:highlight w:val="none"/>
              </w:rPr>
              <w:t>绿色金融相关</w:t>
            </w:r>
            <w:r>
              <w:rPr>
                <w:rFonts w:hint="eastAsia" w:ascii="Times New Roman" w:hAnsi="Times New Roman" w:cs="Cambria"/>
                <w:kern w:val="0"/>
                <w:highlight w:val="none"/>
              </w:rPr>
              <w:t>项目和七年以上相关工作经历</w:t>
            </w:r>
            <w:r>
              <w:rPr>
                <w:rFonts w:hint="eastAsia" w:ascii="Times New Roman" w:hAnsi="Times New Roman"/>
                <w:highlight w:val="none"/>
              </w:rPr>
              <w:t>，并且熟悉SOA、分布式架构以及主流开发框架。</w:t>
            </w:r>
          </w:p>
        </w:tc>
      </w:tr>
      <w:tr w14:paraId="35C3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14:paraId="37CF1C2E">
            <w:pPr>
              <w:keepNext w:val="0"/>
              <w:keepLines w:val="0"/>
              <w:suppressLineNumbers w:val="0"/>
              <w:snapToGrid w:val="0"/>
              <w:spacing w:before="0" w:beforeAutospacing="0" w:after="0" w:afterAutospacing="0" w:line="360" w:lineRule="auto"/>
              <w:ind w:left="0" w:right="0" w:firstLine="0"/>
              <w:jc w:val="center"/>
              <w:rPr>
                <w:rFonts w:hint="default" w:ascii="Times New Roman" w:hAnsi="Times New Roman"/>
                <w:szCs w:val="28"/>
                <w:highlight w:val="none"/>
              </w:rPr>
            </w:pPr>
            <w:r>
              <w:rPr>
                <w:rFonts w:hint="eastAsia" w:ascii="Times New Roman" w:hAnsi="Times New Roman"/>
                <w:szCs w:val="28"/>
                <w:highlight w:val="none"/>
              </w:rPr>
              <w:t>项目组开发人员</w:t>
            </w:r>
          </w:p>
        </w:tc>
        <w:tc>
          <w:tcPr>
            <w:tcW w:w="7117" w:type="dxa"/>
            <w:tcBorders>
              <w:top w:val="single" w:color="auto" w:sz="4" w:space="0"/>
              <w:left w:val="single" w:color="auto" w:sz="4" w:space="0"/>
              <w:bottom w:val="single" w:color="auto" w:sz="4" w:space="0"/>
              <w:right w:val="single" w:color="auto" w:sz="4" w:space="0"/>
            </w:tcBorders>
          </w:tcPr>
          <w:p w14:paraId="09774140">
            <w:pPr>
              <w:keepNext w:val="0"/>
              <w:keepLines w:val="0"/>
              <w:suppressLineNumbers w:val="0"/>
              <w:snapToGrid w:val="0"/>
              <w:spacing w:before="0" w:beforeAutospacing="0" w:after="0" w:afterAutospacing="0" w:line="360" w:lineRule="auto"/>
              <w:ind w:left="0" w:right="0" w:firstLine="0"/>
              <w:rPr>
                <w:rFonts w:hint="default" w:ascii="Times New Roman" w:hAnsi="Times New Roman"/>
                <w:highlight w:val="none"/>
              </w:rPr>
            </w:pPr>
            <w:r>
              <w:rPr>
                <w:rFonts w:hint="eastAsia" w:ascii="Times New Roman" w:hAnsi="Times New Roman"/>
                <w:highlight w:val="none"/>
              </w:rPr>
              <w:t>至少</w:t>
            </w:r>
            <w:r>
              <w:rPr>
                <w:rFonts w:hint="default" w:ascii="Times New Roman" w:hAnsi="Times New Roman"/>
                <w:highlight w:val="none"/>
              </w:rPr>
              <w:t>两</w:t>
            </w:r>
            <w:r>
              <w:rPr>
                <w:rFonts w:hint="eastAsia" w:ascii="Times New Roman" w:hAnsi="Times New Roman"/>
                <w:highlight w:val="none"/>
              </w:rPr>
              <w:t>年开发经验，开发组长须有至少五年开发经验。</w:t>
            </w:r>
          </w:p>
        </w:tc>
      </w:tr>
      <w:tr w14:paraId="3B89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14:paraId="467CFA49">
            <w:pPr>
              <w:keepNext w:val="0"/>
              <w:keepLines w:val="0"/>
              <w:suppressLineNumbers w:val="0"/>
              <w:snapToGrid w:val="0"/>
              <w:spacing w:before="0" w:beforeAutospacing="0" w:after="0" w:afterAutospacing="0" w:line="360" w:lineRule="auto"/>
              <w:ind w:left="0" w:right="0" w:firstLine="0"/>
              <w:jc w:val="center"/>
              <w:rPr>
                <w:rFonts w:hint="default" w:ascii="Times New Roman" w:hAnsi="Times New Roman"/>
                <w:szCs w:val="28"/>
                <w:highlight w:val="none"/>
              </w:rPr>
            </w:pPr>
            <w:r>
              <w:rPr>
                <w:rFonts w:hint="eastAsia" w:ascii="Times New Roman" w:hAnsi="Times New Roman"/>
                <w:szCs w:val="28"/>
                <w:highlight w:val="none"/>
              </w:rPr>
              <w:t>项目组测试人员</w:t>
            </w:r>
          </w:p>
        </w:tc>
        <w:tc>
          <w:tcPr>
            <w:tcW w:w="7117" w:type="dxa"/>
            <w:tcBorders>
              <w:top w:val="single" w:color="auto" w:sz="4" w:space="0"/>
              <w:left w:val="single" w:color="auto" w:sz="4" w:space="0"/>
              <w:bottom w:val="single" w:color="auto" w:sz="4" w:space="0"/>
              <w:right w:val="single" w:color="auto" w:sz="4" w:space="0"/>
            </w:tcBorders>
          </w:tcPr>
          <w:p w14:paraId="1C73984B">
            <w:pPr>
              <w:keepNext w:val="0"/>
              <w:keepLines w:val="0"/>
              <w:suppressLineNumbers w:val="0"/>
              <w:snapToGrid w:val="0"/>
              <w:spacing w:before="0" w:beforeAutospacing="0" w:after="0" w:afterAutospacing="0" w:line="360" w:lineRule="auto"/>
              <w:ind w:left="0" w:right="0" w:firstLine="0"/>
              <w:rPr>
                <w:rFonts w:hint="default" w:ascii="Times New Roman" w:hAnsi="Times New Roman"/>
                <w:snapToGrid w:val="0"/>
                <w:kern w:val="0"/>
                <w:highlight w:val="none"/>
              </w:rPr>
            </w:pPr>
            <w:r>
              <w:rPr>
                <w:rFonts w:hint="eastAsia" w:ascii="Times New Roman" w:hAnsi="Times New Roman"/>
                <w:highlight w:val="none"/>
              </w:rPr>
              <w:t>具有</w:t>
            </w:r>
            <w:r>
              <w:rPr>
                <w:rFonts w:hint="default" w:ascii="Times New Roman" w:hAnsi="Times New Roman"/>
                <w:highlight w:val="none"/>
              </w:rPr>
              <w:t>三</w:t>
            </w:r>
            <w:r>
              <w:rPr>
                <w:rFonts w:hint="eastAsia" w:ascii="Times New Roman" w:hAnsi="Times New Roman"/>
                <w:highlight w:val="none"/>
              </w:rPr>
              <w:t>年</w:t>
            </w:r>
            <w:r>
              <w:rPr>
                <w:rFonts w:hint="default" w:ascii="Times New Roman" w:hAnsi="Times New Roman"/>
                <w:highlight w:val="none"/>
              </w:rPr>
              <w:t>及</w:t>
            </w:r>
            <w:r>
              <w:rPr>
                <w:rFonts w:hint="eastAsia" w:ascii="Times New Roman" w:hAnsi="Times New Roman"/>
                <w:highlight w:val="none"/>
              </w:rPr>
              <w:t>以上系统测试经验</w:t>
            </w:r>
            <w:r>
              <w:rPr>
                <w:rFonts w:hint="default" w:ascii="Times New Roman" w:hAnsi="Times New Roman"/>
                <w:highlight w:val="none"/>
              </w:rPr>
              <w:t>。</w:t>
            </w:r>
          </w:p>
        </w:tc>
      </w:tr>
    </w:tbl>
    <w:p w14:paraId="19FCA23F">
      <w:pPr>
        <w:spacing w:line="360" w:lineRule="auto"/>
        <w:ind w:firstLine="420"/>
        <w:rPr>
          <w:rFonts w:hint="eastAsia" w:ascii="Times New Roman" w:hAnsi="Times New Roman" w:eastAsia="宋体"/>
          <w:snapToGrid w:val="0"/>
          <w:kern w:val="0"/>
          <w:highlight w:val="none"/>
          <w:lang w:eastAsia="zh-CN"/>
        </w:rPr>
      </w:pPr>
      <w:r>
        <w:rPr>
          <w:rFonts w:ascii="Times New Roman" w:hAnsi="Times New Roman"/>
          <w:highlight w:val="none"/>
        </w:rPr>
        <w:t>3</w:t>
      </w:r>
      <w:r>
        <w:rPr>
          <w:rFonts w:hint="eastAsia" w:ascii="Times New Roman" w:hAnsi="Times New Roman"/>
          <w:highlight w:val="none"/>
        </w:rPr>
        <w:t>）</w:t>
      </w:r>
      <w:r>
        <w:rPr>
          <w:rFonts w:hint="eastAsia" w:ascii="Times New Roman" w:hAnsi="Times New Roman"/>
          <w:highlight w:val="none"/>
          <w:lang w:val="en-US" w:eastAsia="zh-CN"/>
        </w:rPr>
        <w:t>须</w:t>
      </w:r>
      <w:r>
        <w:rPr>
          <w:rFonts w:hint="eastAsia" w:ascii="Times New Roman" w:hAnsi="Times New Roman"/>
          <w:snapToGrid w:val="0"/>
          <w:kern w:val="0"/>
          <w:highlight w:val="none"/>
        </w:rPr>
        <w:t>提供</w:t>
      </w:r>
      <w:r>
        <w:rPr>
          <w:rFonts w:ascii="Times New Roman" w:hAnsi="Times New Roman"/>
          <w:snapToGrid w:val="0"/>
          <w:kern w:val="0"/>
          <w:highlight w:val="none"/>
        </w:rPr>
        <w:t>加盖公章的</w:t>
      </w:r>
      <w:r>
        <w:rPr>
          <w:rFonts w:hint="eastAsia" w:ascii="Times New Roman" w:hAnsi="Times New Roman"/>
          <w:snapToGrid w:val="0"/>
          <w:kern w:val="0"/>
          <w:highlight w:val="none"/>
        </w:rPr>
        <w:t>人员简历信息</w:t>
      </w:r>
      <w:r>
        <w:rPr>
          <w:rFonts w:ascii="Times New Roman" w:hAnsi="Times New Roman"/>
          <w:snapToGrid w:val="0"/>
          <w:kern w:val="0"/>
          <w:highlight w:val="none"/>
        </w:rPr>
        <w:t>。</w:t>
      </w:r>
      <w:r>
        <w:rPr>
          <w:rFonts w:hint="eastAsia" w:ascii="Times New Roman" w:hAnsi="Times New Roman"/>
          <w:snapToGrid w:val="0"/>
          <w:kern w:val="0"/>
          <w:highlight w:val="none"/>
        </w:rPr>
        <w:t>同时，比选人将对所提供的人员进行审核，达不到我行要求的将要求替换</w:t>
      </w:r>
      <w:r>
        <w:rPr>
          <w:rFonts w:ascii="Times New Roman" w:hAnsi="Times New Roman"/>
          <w:snapToGrid w:val="0"/>
          <w:kern w:val="0"/>
          <w:highlight w:val="none"/>
        </w:rPr>
        <w:t>，最终审核通过的项目组成员在合同签订时不得进行更换。</w:t>
      </w:r>
      <w:r>
        <w:rPr>
          <w:rFonts w:hint="eastAsia" w:ascii="Times New Roman" w:hAnsi="Times New Roman"/>
          <w:snapToGrid w:val="0"/>
          <w:kern w:val="0"/>
          <w:highlight w:val="none"/>
          <w:lang w:eastAsia="zh-CN"/>
        </w:rPr>
        <w:t>【</w:t>
      </w:r>
      <w:r>
        <w:rPr>
          <w:rFonts w:hint="eastAsia" w:ascii="Times New Roman" w:hAnsi="Times New Roman"/>
          <w:snapToGrid w:val="0"/>
          <w:kern w:val="0"/>
          <w:highlight w:val="none"/>
        </w:rPr>
        <w:t>提供人员简历信息</w:t>
      </w:r>
      <w:r>
        <w:rPr>
          <w:rFonts w:hint="eastAsia" w:ascii="Times New Roman" w:hAnsi="Times New Roman"/>
          <w:snapToGrid w:val="0"/>
          <w:kern w:val="0"/>
          <w:highlight w:val="none"/>
          <w:lang w:eastAsia="zh-CN"/>
        </w:rPr>
        <w:t>】</w:t>
      </w:r>
    </w:p>
    <w:p w14:paraId="44F17489">
      <w:pPr>
        <w:ind w:firstLine="420"/>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w:t>
      </w:r>
      <w:r>
        <w:rPr>
          <w:rFonts w:ascii="Times New Roman" w:hAnsi="Times New Roman"/>
          <w:szCs w:val="24"/>
          <w:highlight w:val="none"/>
        </w:rPr>
        <w:t>项目组成员若有违约违规行为将由参选人承担责任。</w:t>
      </w:r>
    </w:p>
    <w:p w14:paraId="2689548C">
      <w:pPr>
        <w:pStyle w:val="4"/>
        <w:numPr>
          <w:ilvl w:val="0"/>
          <w:numId w:val="3"/>
        </w:numPr>
        <w:rPr>
          <w:rFonts w:ascii="Times New Roman" w:hAnsi="Times New Roman"/>
          <w:highlight w:val="none"/>
        </w:rPr>
      </w:pPr>
      <w:bookmarkStart w:id="73" w:name="_Toc15059418"/>
      <w:bookmarkStart w:id="74" w:name="_Toc89675144"/>
      <w:r>
        <w:rPr>
          <w:rFonts w:hint="eastAsia" w:ascii="Times New Roman" w:hAnsi="Times New Roman"/>
          <w:highlight w:val="none"/>
        </w:rPr>
        <w:t>项目实施要求</w:t>
      </w:r>
    </w:p>
    <w:p w14:paraId="3F4DE866">
      <w:pPr>
        <w:ind w:firstLine="480" w:firstLineChars="200"/>
        <w:rPr>
          <w:rFonts w:ascii="Times New Roman" w:hAnsi="Times New Roman"/>
          <w:highlight w:val="none"/>
        </w:rPr>
      </w:pPr>
      <w:r>
        <w:rPr>
          <w:rFonts w:hint="eastAsia" w:ascii="Times New Roman" w:hAnsi="Times New Roman"/>
          <w:highlight w:val="none"/>
        </w:rPr>
        <w:t>在本项目实施周期内，如遇到原系统功能与需求不符，需要及时调整实施方案，满足比选人的要求，并征得比选人同意方可变更。</w:t>
      </w:r>
    </w:p>
    <w:p w14:paraId="73FF31D8">
      <w:pPr>
        <w:ind w:firstLine="480" w:firstLineChars="200"/>
        <w:rPr>
          <w:rFonts w:ascii="Times New Roman" w:hAnsi="Times New Roman"/>
          <w:highlight w:val="none"/>
        </w:rPr>
      </w:pPr>
      <w:r>
        <w:rPr>
          <w:rFonts w:hint="eastAsia" w:ascii="Times New Roman" w:hAnsi="Times New Roman"/>
          <w:highlight w:val="none"/>
        </w:rPr>
        <w:t>参选人在项目实施过程中，需按照比选人项目管理规范提供相应文档（所有提交文档必须为中文）。</w:t>
      </w:r>
    </w:p>
    <w:p w14:paraId="1D3CA7E3">
      <w:pPr>
        <w:ind w:firstLine="480" w:firstLineChars="200"/>
        <w:rPr>
          <w:rFonts w:ascii="Times New Roman" w:hAnsi="Times New Roman"/>
          <w:highlight w:val="none"/>
        </w:rPr>
      </w:pPr>
      <w:r>
        <w:rPr>
          <w:rFonts w:hint="eastAsia" w:ascii="Times New Roman" w:hAnsi="Times New Roman"/>
          <w:highlight w:val="none"/>
        </w:rPr>
        <w:t>本项目为现场开发，原则上不允许远程开发模式，除非得到比选人的明确认可和授权。</w:t>
      </w:r>
    </w:p>
    <w:p w14:paraId="6419C569">
      <w:pPr>
        <w:pStyle w:val="4"/>
        <w:numPr>
          <w:ilvl w:val="0"/>
          <w:numId w:val="3"/>
        </w:numPr>
        <w:rPr>
          <w:rFonts w:ascii="Times New Roman" w:hAnsi="Times New Roman"/>
          <w:highlight w:val="none"/>
        </w:rPr>
      </w:pPr>
      <w:r>
        <w:rPr>
          <w:rFonts w:hint="eastAsia" w:ascii="Times New Roman" w:hAnsi="Times New Roman"/>
          <w:highlight w:val="none"/>
        </w:rPr>
        <w:t>项目源代码要求</w:t>
      </w:r>
    </w:p>
    <w:p w14:paraId="6911D9B3">
      <w:pPr>
        <w:ind w:firstLine="480" w:firstLineChars="200"/>
        <w:rPr>
          <w:rFonts w:ascii="Times New Roman" w:hAnsi="Times New Roman"/>
          <w:highlight w:val="none"/>
        </w:rPr>
      </w:pPr>
      <w:r>
        <w:rPr>
          <w:rFonts w:hint="eastAsia" w:ascii="Times New Roman" w:hAnsi="Times New Roman"/>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rPr>
          <w:rFonts w:ascii="Times New Roman" w:hAnsi="Times New Roman"/>
          <w:highlight w:val="none"/>
        </w:rPr>
        <w:t>归双方共有</w:t>
      </w:r>
      <w:r>
        <w:rPr>
          <w:rFonts w:hint="eastAsia" w:ascii="Times New Roman" w:hAnsi="Times New Roman"/>
          <w:highlight w:val="none"/>
        </w:rPr>
        <w:t>。针对共有部分，比选人拥有在比选人及其分支机构使用及后续开发的权利，参选人拥有在其公司和其他组织范围内使用的权利，但参选人使用时不得侵犯比选人利益。</w:t>
      </w:r>
    </w:p>
    <w:p w14:paraId="7AAB9648">
      <w:pPr>
        <w:pStyle w:val="4"/>
        <w:numPr>
          <w:ilvl w:val="0"/>
          <w:numId w:val="3"/>
        </w:numPr>
        <w:rPr>
          <w:rFonts w:ascii="Times New Roman" w:hAnsi="Times New Roman"/>
          <w:highlight w:val="none"/>
        </w:rPr>
      </w:pPr>
      <w:r>
        <w:rPr>
          <w:rFonts w:hint="eastAsia" w:ascii="Times New Roman" w:hAnsi="Times New Roman"/>
          <w:highlight w:val="none"/>
        </w:rPr>
        <w:t>交付周期、地点</w:t>
      </w:r>
      <w:bookmarkEnd w:id="73"/>
      <w:bookmarkEnd w:id="74"/>
    </w:p>
    <w:p w14:paraId="041A2C4D">
      <w:pPr>
        <w:pStyle w:val="5"/>
        <w:rPr>
          <w:rFonts w:ascii="Times New Roman" w:hAnsi="Times New Roman"/>
          <w:highlight w:val="none"/>
        </w:rPr>
      </w:pPr>
      <w:bookmarkStart w:id="75" w:name="_Toc15059420"/>
      <w:bookmarkStart w:id="76" w:name="_Toc89675146"/>
      <w:bookmarkStart w:id="77" w:name="_Toc1125"/>
      <w:bookmarkStart w:id="78" w:name="_Toc440628915"/>
      <w:bookmarkStart w:id="79" w:name="_Toc432254881"/>
      <w:bookmarkStart w:id="80" w:name="_Toc387826347"/>
      <w:r>
        <w:rPr>
          <w:rFonts w:ascii="Times New Roman" w:hAnsi="Times New Roman"/>
          <w:highlight w:val="none"/>
        </w:rPr>
        <w:t>7</w:t>
      </w:r>
      <w:r>
        <w:rPr>
          <w:rFonts w:hint="eastAsia" w:ascii="Times New Roman" w:hAnsi="Times New Roman"/>
          <w:highlight w:val="none"/>
        </w:rPr>
        <w:t>.1 交付时间</w:t>
      </w:r>
    </w:p>
    <w:p w14:paraId="34D48F68">
      <w:pPr>
        <w:ind w:left="0" w:firstLine="420"/>
        <w:rPr>
          <w:rFonts w:ascii="Times New Roman" w:hAnsi="Times New Roman"/>
          <w:highlight w:val="none"/>
        </w:rPr>
      </w:pPr>
      <w:r>
        <w:rPr>
          <w:rFonts w:hint="eastAsia" w:ascii="Times New Roman" w:hAnsi="Times New Roman"/>
          <w:highlight w:val="none"/>
        </w:rPr>
        <w:t>以项目合同为准。</w:t>
      </w:r>
    </w:p>
    <w:p w14:paraId="1E4CF4CC">
      <w:pPr>
        <w:pStyle w:val="5"/>
        <w:rPr>
          <w:rFonts w:ascii="Times New Roman" w:hAnsi="Times New Roman"/>
          <w:highlight w:val="none"/>
        </w:rPr>
      </w:pPr>
      <w:r>
        <w:rPr>
          <w:rFonts w:ascii="Times New Roman" w:hAnsi="Times New Roman"/>
          <w:highlight w:val="none"/>
        </w:rPr>
        <w:t>7</w:t>
      </w:r>
      <w:r>
        <w:rPr>
          <w:rFonts w:hint="eastAsia" w:ascii="Times New Roman" w:hAnsi="Times New Roman"/>
          <w:highlight w:val="none"/>
        </w:rPr>
        <w:t>.2 实施及交付地点</w:t>
      </w:r>
    </w:p>
    <w:p w14:paraId="5E4851A6">
      <w:pPr>
        <w:ind w:firstLine="420"/>
        <w:rPr>
          <w:rFonts w:ascii="Times New Roman" w:hAnsi="Times New Roman"/>
          <w:highlight w:val="none"/>
        </w:rPr>
      </w:pPr>
      <w:r>
        <w:rPr>
          <w:rFonts w:hint="eastAsia" w:ascii="Times New Roman" w:hAnsi="Times New Roman"/>
          <w:highlight w:val="none"/>
        </w:rPr>
        <w:t>比选人指定地点。</w:t>
      </w:r>
    </w:p>
    <w:p w14:paraId="2DA72B3C">
      <w:pPr>
        <w:pStyle w:val="4"/>
        <w:numPr>
          <w:ilvl w:val="0"/>
          <w:numId w:val="3"/>
        </w:numPr>
        <w:rPr>
          <w:rFonts w:ascii="Times New Roman" w:hAnsi="Times New Roman"/>
          <w:highlight w:val="none"/>
        </w:rPr>
      </w:pPr>
      <w:r>
        <w:rPr>
          <w:rFonts w:hint="eastAsia" w:ascii="Times New Roman" w:hAnsi="Times New Roman"/>
          <w:highlight w:val="none"/>
        </w:rPr>
        <w:t>验收测试</w:t>
      </w:r>
    </w:p>
    <w:p w14:paraId="3FA8E1FF">
      <w:pPr>
        <w:pStyle w:val="5"/>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.1 </w:t>
      </w:r>
      <w:r>
        <w:rPr>
          <w:rFonts w:hint="eastAsia" w:ascii="Times New Roman" w:hAnsi="Times New Roman"/>
          <w:szCs w:val="20"/>
          <w:highlight w:val="none"/>
        </w:rPr>
        <w:t>验收测试的范围</w:t>
      </w:r>
    </w:p>
    <w:p w14:paraId="0B9A848B">
      <w:pPr>
        <w:ind w:firstLine="480" w:firstLineChars="200"/>
        <w:rPr>
          <w:rFonts w:ascii="Times New Roman" w:hAnsi="Times New Roman"/>
          <w:highlight w:val="none"/>
        </w:rPr>
      </w:pPr>
      <w:r>
        <w:rPr>
          <w:rFonts w:hint="eastAsia" w:ascii="Times New Roman" w:hAnsi="Times New Roman"/>
          <w:highlight w:val="none"/>
        </w:rPr>
        <w:t>验收测试的范围为项目实施完毕,上线前最终确认的所有需求。</w:t>
      </w:r>
    </w:p>
    <w:p w14:paraId="264DF256">
      <w:pPr>
        <w:pStyle w:val="5"/>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.2 </w:t>
      </w:r>
      <w:r>
        <w:rPr>
          <w:rFonts w:hint="eastAsia" w:ascii="Times New Roman" w:hAnsi="Times New Roman"/>
          <w:szCs w:val="20"/>
          <w:highlight w:val="none"/>
        </w:rPr>
        <w:t>验收测试的组织</w:t>
      </w:r>
    </w:p>
    <w:p w14:paraId="56A3A1B3">
      <w:pPr>
        <w:ind w:firstLine="420"/>
        <w:rPr>
          <w:rFonts w:ascii="Times New Roman" w:hAnsi="Times New Roman"/>
          <w:highlight w:val="none"/>
        </w:rPr>
      </w:pPr>
      <w:r>
        <w:rPr>
          <w:rFonts w:hint="eastAsia" w:ascii="Times New Roman" w:hAnsi="Times New Roman"/>
          <w:highlight w:val="none"/>
        </w:rPr>
        <w:t>1）验收测试小组由比选人、中选人等有关人员组成，负责对项目建设进行验收测试。</w:t>
      </w:r>
    </w:p>
    <w:p w14:paraId="579E1987">
      <w:pPr>
        <w:ind w:firstLine="420"/>
        <w:rPr>
          <w:rFonts w:ascii="Times New Roman" w:hAnsi="Times New Roman"/>
          <w:highlight w:val="none"/>
        </w:rPr>
      </w:pPr>
      <w:r>
        <w:rPr>
          <w:rFonts w:hint="eastAsia" w:ascii="Times New Roman" w:hAnsi="Times New Roman"/>
          <w:highlight w:val="none"/>
        </w:rPr>
        <w:t>2）中选人编制测试手册，经验收小组确认后，由验收小组负责验收测试。</w:t>
      </w:r>
    </w:p>
    <w:p w14:paraId="7E3707C4">
      <w:pPr>
        <w:ind w:firstLine="420"/>
        <w:rPr>
          <w:rFonts w:ascii="Times New Roman" w:hAnsi="Times New Roman"/>
          <w:highlight w:val="none"/>
        </w:rPr>
      </w:pPr>
      <w:r>
        <w:rPr>
          <w:rFonts w:hint="eastAsia" w:ascii="Times New Roman" w:hAnsi="Times New Roman"/>
          <w:highlight w:val="none"/>
        </w:rPr>
        <w:t>3）在验收测试过程中，出现严重缺陷或质量问题时，验收小组可以决定暂停所有测试，直至缺陷和问题得到纠正。</w:t>
      </w:r>
    </w:p>
    <w:p w14:paraId="75BE9A43">
      <w:pPr>
        <w:pStyle w:val="5"/>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.3 </w:t>
      </w:r>
      <w:r>
        <w:rPr>
          <w:rFonts w:hint="eastAsia" w:ascii="Times New Roman" w:hAnsi="Times New Roman"/>
          <w:szCs w:val="20"/>
          <w:highlight w:val="none"/>
        </w:rPr>
        <w:t>验收测试的程序</w:t>
      </w:r>
    </w:p>
    <w:p w14:paraId="51678AFE">
      <w:pPr>
        <w:ind w:firstLine="420"/>
        <w:rPr>
          <w:rFonts w:ascii="Times New Roman" w:hAnsi="Times New Roman"/>
          <w:highlight w:val="none"/>
        </w:rPr>
      </w:pPr>
      <w:r>
        <w:rPr>
          <w:rFonts w:hint="eastAsia" w:ascii="Times New Roman" w:hAnsi="Times New Roman"/>
          <w:highlight w:val="none"/>
        </w:rPr>
        <w:t>1）对各功能模块进行测试；</w:t>
      </w:r>
    </w:p>
    <w:p w14:paraId="7868E959">
      <w:pPr>
        <w:ind w:firstLine="420"/>
        <w:rPr>
          <w:rFonts w:ascii="Times New Roman" w:hAnsi="Times New Roman"/>
          <w:highlight w:val="none"/>
        </w:rPr>
      </w:pPr>
      <w:r>
        <w:rPr>
          <w:rFonts w:hint="eastAsia" w:ascii="Times New Roman" w:hAnsi="Times New Roman"/>
          <w:highlight w:val="none"/>
        </w:rPr>
        <w:t>2）在各功能模块测试合格的前提下，对系统进行全面初验；</w:t>
      </w:r>
    </w:p>
    <w:p w14:paraId="17423399">
      <w:pPr>
        <w:ind w:firstLine="420"/>
        <w:rPr>
          <w:rFonts w:ascii="Times New Roman" w:hAnsi="Times New Roman"/>
          <w:highlight w:val="none"/>
        </w:rPr>
      </w:pPr>
      <w:r>
        <w:rPr>
          <w:rFonts w:hint="eastAsia" w:ascii="Times New Roman" w:hAnsi="Times New Roman"/>
          <w:highlight w:val="none"/>
        </w:rPr>
        <w:t>3）系统验收测试合格后，进入试运行阶段；</w:t>
      </w:r>
    </w:p>
    <w:p w14:paraId="4443C27F">
      <w:pPr>
        <w:ind w:firstLine="420"/>
        <w:rPr>
          <w:rFonts w:ascii="Times New Roman" w:hAnsi="Times New Roman"/>
          <w:highlight w:val="none"/>
        </w:rPr>
      </w:pPr>
      <w:r>
        <w:rPr>
          <w:rFonts w:ascii="Times New Roman" w:hAnsi="Times New Roman"/>
          <w:highlight w:val="none"/>
        </w:rPr>
        <w:t>4</w:t>
      </w:r>
      <w:r>
        <w:rPr>
          <w:rFonts w:hint="eastAsia" w:ascii="Times New Roman" w:hAnsi="Times New Roman"/>
          <w:highlight w:val="none"/>
        </w:rPr>
        <w:t>）系统在全行上线运行三个月后，进行验收。</w:t>
      </w:r>
    </w:p>
    <w:p w14:paraId="04B25DC0">
      <w:pPr>
        <w:pStyle w:val="5"/>
        <w:rPr>
          <w:rFonts w:ascii="Times New Roman" w:hAnsi="Times New Roman"/>
          <w:szCs w:val="20"/>
          <w:highlight w:val="none"/>
        </w:rPr>
      </w:pPr>
      <w:r>
        <w:rPr>
          <w:rFonts w:hint="eastAsia" w:ascii="Times New Roman" w:hAnsi="Times New Roman"/>
          <w:szCs w:val="20"/>
          <w:highlight w:val="none"/>
        </w:rPr>
        <w:t>8</w:t>
      </w:r>
      <w:r>
        <w:rPr>
          <w:rFonts w:ascii="Times New Roman" w:hAnsi="Times New Roman"/>
          <w:szCs w:val="20"/>
          <w:highlight w:val="none"/>
        </w:rPr>
        <w:t xml:space="preserve">.4 </w:t>
      </w:r>
      <w:r>
        <w:rPr>
          <w:rFonts w:hint="eastAsia" w:ascii="Times New Roman" w:hAnsi="Times New Roman"/>
          <w:szCs w:val="20"/>
          <w:highlight w:val="none"/>
        </w:rPr>
        <w:t>验收测试的评定</w:t>
      </w:r>
    </w:p>
    <w:p w14:paraId="5E34A4DA">
      <w:pPr>
        <w:ind w:firstLine="480" w:firstLineChars="200"/>
        <w:rPr>
          <w:rFonts w:ascii="Times New Roman" w:hAnsi="Times New Roman"/>
          <w:highlight w:val="none"/>
        </w:rPr>
      </w:pPr>
      <w:r>
        <w:rPr>
          <w:rFonts w:hint="eastAsia" w:ascii="Times New Roman" w:hAnsi="Times New Roman"/>
          <w:highlight w:val="none"/>
        </w:rPr>
        <w:t>测试结果按下列级别评定，并经验收小组签字认可：</w:t>
      </w:r>
    </w:p>
    <w:p w14:paraId="6C195806">
      <w:pPr>
        <w:ind w:firstLine="420"/>
        <w:rPr>
          <w:rFonts w:ascii="Times New Roman" w:hAnsi="Times New Roman"/>
          <w:highlight w:val="none"/>
        </w:rPr>
      </w:pPr>
      <w:r>
        <w:rPr>
          <w:rFonts w:hint="eastAsia" w:ascii="Times New Roman" w:hAnsi="Times New Roman"/>
          <w:highlight w:val="none"/>
        </w:rPr>
        <w:t>•优良：功能和质量达到预期目的。</w:t>
      </w:r>
    </w:p>
    <w:p w14:paraId="23A58103">
      <w:pPr>
        <w:ind w:firstLine="420"/>
        <w:rPr>
          <w:rFonts w:ascii="Times New Roman" w:hAnsi="Times New Roman"/>
          <w:highlight w:val="none"/>
        </w:rPr>
      </w:pPr>
      <w:r>
        <w:rPr>
          <w:rFonts w:hint="eastAsia" w:ascii="Times New Roman" w:hAnsi="Times New Roman"/>
          <w:highlight w:val="none"/>
        </w:rPr>
        <w:t>•合格：部分功能和质量不能满足比选人的要求，但中选人（集成商）采取了改正措施，使测试结果达到预期目的。</w:t>
      </w:r>
    </w:p>
    <w:p w14:paraId="657FB0FD">
      <w:pPr>
        <w:ind w:firstLine="420"/>
        <w:rPr>
          <w:rFonts w:ascii="Times New Roman" w:hAnsi="Times New Roman"/>
          <w:highlight w:val="none"/>
        </w:rPr>
      </w:pPr>
      <w:r>
        <w:rPr>
          <w:rFonts w:hint="eastAsia" w:ascii="Times New Roman" w:hAnsi="Times New Roman"/>
          <w:highlight w:val="none"/>
        </w:rPr>
        <w:t>•不合格：功能和质量不能满足比选人的要求。</w:t>
      </w:r>
    </w:p>
    <w:p w14:paraId="4A61D0B0">
      <w:pPr>
        <w:pStyle w:val="4"/>
        <w:numPr>
          <w:ilvl w:val="0"/>
          <w:numId w:val="3"/>
        </w:numPr>
        <w:rPr>
          <w:kern w:val="0"/>
          <w:highlight w:val="none"/>
        </w:rPr>
      </w:pPr>
      <w:r>
        <w:rPr>
          <w:rFonts w:hint="eastAsia"/>
          <w:kern w:val="0"/>
          <w:highlight w:val="none"/>
        </w:rPr>
        <w:t>售后服务和支持</w:t>
      </w:r>
    </w:p>
    <w:p w14:paraId="0EE0E347">
      <w:pPr>
        <w:ind w:firstLine="480" w:firstLineChars="200"/>
        <w:rPr>
          <w:rFonts w:ascii="Times New Roman" w:hAnsi="Times New Roman"/>
          <w:highlight w:val="none"/>
        </w:rPr>
      </w:pPr>
      <w:r>
        <w:rPr>
          <w:rFonts w:hint="eastAsia" w:ascii="Times New Roman" w:hAnsi="Times New Roman"/>
          <w:highlight w:val="none"/>
        </w:rPr>
        <w:t>服务和支持的范围：</w:t>
      </w:r>
    </w:p>
    <w:p w14:paraId="65EE4158">
      <w:pPr>
        <w:ind w:firstLine="420"/>
        <w:rPr>
          <w:rFonts w:ascii="Times New Roman" w:hAnsi="Times New Roman"/>
          <w:highlight w:val="none"/>
        </w:rPr>
      </w:pPr>
      <w:r>
        <w:rPr>
          <w:rFonts w:hint="eastAsia" w:ascii="Times New Roman" w:hAnsi="Times New Roman"/>
          <w:highlight w:val="none"/>
        </w:rPr>
        <w:t>•系统的安装、部署和调试；</w:t>
      </w:r>
    </w:p>
    <w:p w14:paraId="1D287589">
      <w:pPr>
        <w:ind w:firstLine="420"/>
        <w:rPr>
          <w:rFonts w:ascii="Times New Roman" w:hAnsi="Times New Roman"/>
          <w:highlight w:val="none"/>
        </w:rPr>
      </w:pPr>
      <w:r>
        <w:rPr>
          <w:rFonts w:hint="eastAsia" w:ascii="Times New Roman" w:hAnsi="Times New Roman"/>
          <w:highlight w:val="none"/>
        </w:rPr>
        <w:t>•项目的验收测试；</w:t>
      </w:r>
    </w:p>
    <w:p w14:paraId="7AA4B3B4">
      <w:pPr>
        <w:ind w:firstLine="420"/>
        <w:rPr>
          <w:rFonts w:ascii="Times New Roman" w:hAnsi="Times New Roman"/>
          <w:highlight w:val="none"/>
        </w:rPr>
      </w:pPr>
      <w:r>
        <w:rPr>
          <w:rFonts w:hint="eastAsia" w:ascii="Times New Roman" w:hAnsi="Times New Roman"/>
          <w:highlight w:val="none"/>
        </w:rPr>
        <w:t>•项目的数据转换、数据迁移、模拟运行和试运行；</w:t>
      </w:r>
    </w:p>
    <w:p w14:paraId="3C0534E8">
      <w:pPr>
        <w:ind w:firstLine="420"/>
        <w:rPr>
          <w:rFonts w:ascii="Times New Roman" w:hAnsi="Times New Roman"/>
          <w:highlight w:val="none"/>
        </w:rPr>
      </w:pPr>
      <w:r>
        <w:rPr>
          <w:rFonts w:hint="eastAsia" w:ascii="Times New Roman" w:hAnsi="Times New Roman"/>
          <w:highlight w:val="none"/>
        </w:rPr>
        <w:t>•与系统运行有关的技术问题（含操作系统、数据库、应用系统的整体性能调优等）</w:t>
      </w:r>
    </w:p>
    <w:p w14:paraId="51C8654B">
      <w:pPr>
        <w:ind w:firstLine="420"/>
        <w:rPr>
          <w:rFonts w:ascii="Times New Roman" w:hAnsi="Times New Roman"/>
          <w:highlight w:val="none"/>
        </w:rPr>
      </w:pPr>
      <w:r>
        <w:rPr>
          <w:rFonts w:hint="eastAsia" w:ascii="Times New Roman" w:hAnsi="Times New Roman"/>
          <w:highlight w:val="none"/>
        </w:rPr>
        <w:t>•项目上线后两年内，针对本项目的完善性需求以及监管提出的安全性需求，中选人需免费进行开发。</w:t>
      </w:r>
    </w:p>
    <w:p w14:paraId="1615880C">
      <w:pPr>
        <w:ind w:firstLine="420"/>
        <w:rPr>
          <w:rFonts w:ascii="Times New Roman" w:hAnsi="Times New Roman"/>
          <w:highlight w:val="none"/>
        </w:rPr>
      </w:pPr>
      <w:r>
        <w:rPr>
          <w:rFonts w:hint="eastAsia" w:ascii="Times New Roman" w:hAnsi="Times New Roman"/>
          <w:highlight w:val="none"/>
        </w:rPr>
        <w:t>•相关技术及业务培训（其中在项目实施前必须组织技术人员进行平台二次开发培训，并提供平台的所有技术文档等）</w:t>
      </w:r>
    </w:p>
    <w:p w14:paraId="722D1181">
      <w:pPr>
        <w:ind w:firstLine="420"/>
        <w:rPr>
          <w:rFonts w:ascii="Times New Roman" w:hAnsi="Times New Roman"/>
          <w:highlight w:val="none"/>
        </w:rPr>
      </w:pPr>
      <w:r>
        <w:rPr>
          <w:rFonts w:hint="eastAsia" w:ascii="Times New Roman" w:hAnsi="Times New Roman"/>
          <w:highlight w:val="none"/>
        </w:rPr>
        <w:t>•</w:t>
      </w:r>
      <w:bookmarkStart w:id="81" w:name="_Hlk22733819"/>
      <w:r>
        <w:rPr>
          <w:rFonts w:hint="eastAsia" w:ascii="Times New Roman" w:hAnsi="Times New Roman"/>
          <w:highlight w:val="none"/>
        </w:rPr>
        <w:t>维保期</w:t>
      </w:r>
      <w:bookmarkEnd w:id="81"/>
      <w:r>
        <w:rPr>
          <w:rFonts w:hint="eastAsia" w:ascii="Times New Roman" w:hAnsi="Times New Roman"/>
          <w:highlight w:val="none"/>
        </w:rPr>
        <w:t>以年度计算，</w:t>
      </w:r>
      <w:r>
        <w:rPr>
          <w:rFonts w:ascii="Times New Roman" w:hAnsi="Times New Roman"/>
          <w:highlight w:val="none"/>
        </w:rPr>
        <w:t>应至少提供2</w:t>
      </w:r>
      <w:r>
        <w:rPr>
          <w:rFonts w:hint="eastAsia" w:ascii="Times New Roman" w:hAnsi="Times New Roman"/>
          <w:highlight w:val="none"/>
        </w:rPr>
        <w:t>年</w:t>
      </w:r>
      <w:r>
        <w:rPr>
          <w:rFonts w:hint="eastAsia" w:ascii="Times New Roman" w:hAnsi="Times New Roman"/>
          <w:highlight w:val="none"/>
          <w:lang w:eastAsia="zh-CN"/>
        </w:rPr>
        <w:t>免费</w:t>
      </w:r>
      <w:r>
        <w:rPr>
          <w:rFonts w:ascii="Times New Roman" w:hAnsi="Times New Roman"/>
          <w:highlight w:val="none"/>
        </w:rPr>
        <w:t>维保</w:t>
      </w:r>
      <w:r>
        <w:rPr>
          <w:rFonts w:hint="eastAsia" w:ascii="Times New Roman" w:hAnsi="Times New Roman"/>
          <w:highlight w:val="none"/>
        </w:rPr>
        <w:t>，</w:t>
      </w:r>
      <w:r>
        <w:rPr>
          <w:rFonts w:hint="eastAsia" w:ascii="Times New Roman" w:hAnsi="Times New Roman"/>
          <w:highlight w:val="none"/>
          <w:lang w:eastAsia="zh-CN"/>
        </w:rPr>
        <w:t>免费</w:t>
      </w:r>
      <w:r>
        <w:rPr>
          <w:rFonts w:hint="eastAsia" w:ascii="Times New Roman" w:hAnsi="Times New Roman"/>
          <w:highlight w:val="none"/>
        </w:rPr>
        <w:t>维保期起始日为验收后次日，维保期结束日需延期至到期当年的6月30日或12月31日中较近日期（即</w:t>
      </w:r>
      <w:r>
        <w:rPr>
          <w:rFonts w:hint="eastAsia" w:ascii="Times New Roman" w:hAnsi="Times New Roman"/>
          <w:highlight w:val="none"/>
          <w:lang w:eastAsia="zh-CN"/>
        </w:rPr>
        <w:t>免费</w:t>
      </w:r>
      <w:r>
        <w:rPr>
          <w:rFonts w:hint="eastAsia" w:ascii="Times New Roman" w:hAnsi="Times New Roman"/>
          <w:highlight w:val="none"/>
        </w:rPr>
        <w:t>维保延期最长不超过半年）。</w:t>
      </w:r>
    </w:p>
    <w:p w14:paraId="7D72EE89">
      <w:pPr>
        <w:ind w:firstLine="420"/>
        <w:rPr>
          <w:rFonts w:ascii="Times New Roman" w:hAnsi="Times New Roman"/>
          <w:highlight w:val="none"/>
        </w:rPr>
      </w:pPr>
      <w:r>
        <w:rPr>
          <w:rFonts w:hint="eastAsia" w:ascii="Times New Roman" w:hAnsi="Times New Roman"/>
          <w:highlight w:val="none"/>
        </w:rPr>
        <w:t>•参选人在参选文件中详细说明在系统</w:t>
      </w:r>
      <w:r>
        <w:rPr>
          <w:rFonts w:hint="eastAsia" w:ascii="Times New Roman" w:hAnsi="Times New Roman"/>
          <w:highlight w:val="none"/>
          <w:lang w:eastAsia="zh-CN"/>
        </w:rPr>
        <w:t>免费</w:t>
      </w:r>
      <w:r>
        <w:rPr>
          <w:rFonts w:hint="eastAsia" w:ascii="Times New Roman" w:hAnsi="Times New Roman"/>
          <w:highlight w:val="none"/>
        </w:rPr>
        <w:t>维保期的具体服务内容，系统</w:t>
      </w:r>
      <w:r>
        <w:rPr>
          <w:rFonts w:hint="eastAsia" w:ascii="Times New Roman" w:hAnsi="Times New Roman"/>
          <w:highlight w:val="none"/>
          <w:lang w:eastAsia="zh-CN"/>
        </w:rPr>
        <w:t>免费</w:t>
      </w:r>
      <w:r>
        <w:rPr>
          <w:rFonts w:hint="eastAsia" w:ascii="Times New Roman" w:hAnsi="Times New Roman"/>
          <w:highlight w:val="none"/>
        </w:rPr>
        <w:t>维保期过后有偿维保的内容、价格及收取方式，若按开发量评估收取，应说明每人/月价格；</w:t>
      </w:r>
    </w:p>
    <w:p w14:paraId="63692661">
      <w:pPr>
        <w:ind w:firstLine="420"/>
        <w:rPr>
          <w:rFonts w:hint="eastAsia" w:ascii="Times New Roman" w:hAnsi="Times New Roman" w:eastAsia="宋体" w:cs="宋体"/>
          <w:highlight w:val="none"/>
        </w:rPr>
      </w:pPr>
      <w:r>
        <w:rPr>
          <w:rFonts w:hint="eastAsia" w:ascii="Times New Roman" w:hAnsi="Times New Roman" w:eastAsia="宋体" w:cs="宋体"/>
          <w:highlight w:val="none"/>
        </w:rPr>
        <w:t>参选人在参选文件中需对以上相关内容中进行阐述并作出相应承诺。</w:t>
      </w:r>
    </w:p>
    <w:p w14:paraId="4F6E83C7">
      <w:pPr>
        <w:ind w:firstLine="420"/>
        <w:rPr>
          <w:rFonts w:hint="eastAsia" w:ascii="Times New Roman" w:hAnsi="Times New Roman" w:eastAsia="宋体" w:cs="宋体"/>
          <w:highlight w:val="none"/>
          <w:lang w:eastAsia="zh-CN"/>
        </w:rPr>
      </w:pPr>
      <w:r>
        <w:rPr>
          <w:rFonts w:hint="eastAsia" w:ascii="Times New Roman" w:hAnsi="Times New Roman" w:eastAsia="宋体" w:cs="宋体"/>
          <w:highlight w:val="none"/>
          <w:lang w:eastAsia="zh-CN"/>
        </w:rPr>
        <w:t>【提供售后服务与支持方案】</w:t>
      </w:r>
    </w:p>
    <w:p w14:paraId="708EB362">
      <w:pPr>
        <w:pStyle w:val="4"/>
        <w:numPr>
          <w:ilvl w:val="0"/>
          <w:numId w:val="3"/>
        </w:numPr>
        <w:rPr>
          <w:rFonts w:ascii="Times New Roman" w:hAnsi="Times New Roman"/>
          <w:color w:val="auto"/>
          <w:highlight w:val="none"/>
        </w:rPr>
      </w:pPr>
      <w:r>
        <w:rPr>
          <w:rFonts w:hint="eastAsia"/>
          <w:kern w:val="0"/>
          <w:highlight w:val="none"/>
        </w:rPr>
        <w:t>系统维保费用</w:t>
      </w:r>
    </w:p>
    <w:p w14:paraId="19DBA151">
      <w:pPr>
        <w:ind w:firstLine="480" w:firstLineChars="200"/>
        <w:rPr>
          <w:rFonts w:ascii="Times New Roman" w:hAnsi="Times New Roman"/>
          <w:highlight w:val="none"/>
        </w:rPr>
      </w:pPr>
      <w:r>
        <w:rPr>
          <w:rFonts w:hint="eastAsia" w:ascii="Times New Roman" w:hAnsi="Times New Roman"/>
          <w:highlight w:val="none"/>
          <w:lang w:eastAsia="zh-CN"/>
        </w:rPr>
        <w:t>免费维保</w:t>
      </w:r>
      <w:r>
        <w:rPr>
          <w:rFonts w:hint="eastAsia" w:ascii="Times New Roman" w:hAnsi="Times New Roman"/>
          <w:highlight w:val="none"/>
        </w:rPr>
        <w:t>期满后，每年</w:t>
      </w:r>
      <w:r>
        <w:rPr>
          <w:rFonts w:hint="eastAsia" w:ascii="Times New Roman" w:hAnsi="Times New Roman"/>
          <w:highlight w:val="none"/>
          <w:lang w:eastAsia="zh-CN"/>
        </w:rPr>
        <w:t>维保</w:t>
      </w:r>
      <w:r>
        <w:rPr>
          <w:rFonts w:hint="eastAsia" w:ascii="Times New Roman" w:hAnsi="Times New Roman"/>
          <w:highlight w:val="none"/>
        </w:rPr>
        <w:t>费用不高于合同价</w:t>
      </w:r>
      <w:r>
        <w:rPr>
          <w:rFonts w:hint="eastAsia"/>
          <w:highlight w:val="none"/>
        </w:rPr>
        <w:t>8%</w:t>
      </w:r>
      <w:r>
        <w:rPr>
          <w:rFonts w:hint="eastAsia" w:ascii="Times New Roman" w:hAnsi="Times New Roman"/>
          <w:highlight w:val="none"/>
        </w:rPr>
        <w:t>，且每年系统升级改造工作量2个人</w:t>
      </w:r>
      <w:r>
        <w:rPr>
          <w:rFonts w:hint="eastAsia" w:ascii="Times New Roman" w:hAnsi="Times New Roman"/>
          <w:highlight w:val="none"/>
          <w:lang w:val="en-US" w:eastAsia="zh-CN"/>
        </w:rPr>
        <w:t>/</w:t>
      </w:r>
      <w:r>
        <w:rPr>
          <w:rFonts w:hint="eastAsia" w:ascii="Times New Roman" w:hAnsi="Times New Roman"/>
          <w:highlight w:val="none"/>
        </w:rPr>
        <w:t>月内不收费，具体维保费用以合同约定为准。</w:t>
      </w:r>
      <w:r>
        <w:rPr>
          <w:rFonts w:ascii="Times New Roman" w:hAnsi="Times New Roman" w:cs="宋体"/>
          <w:snapToGrid w:val="0"/>
          <w:color w:val="auto"/>
          <w:kern w:val="0"/>
          <w:sz w:val="24"/>
          <w:szCs w:val="24"/>
          <w:highlight w:val="none"/>
          <w:shd w:val="clear" w:color="auto" w:fill="auto"/>
        </w:rPr>
        <w:t>如比选人每年购买中选人的驻场实施服务费用高于系统维保费用的，中选人不再收取维保费用。</w:t>
      </w:r>
      <w:r>
        <w:rPr>
          <w:rFonts w:hint="eastAsia" w:ascii="Times New Roman" w:hAnsi="Times New Roman" w:cs="宋体"/>
          <w:snapToGrid w:val="0"/>
          <w:color w:val="auto"/>
          <w:kern w:val="0"/>
          <w:sz w:val="24"/>
          <w:szCs w:val="24"/>
          <w:highlight w:val="none"/>
          <w:shd w:val="clear" w:color="auto" w:fill="auto"/>
          <w:lang w:val="en-US" w:eastAsia="zh-CN"/>
        </w:rPr>
        <w:t>在安全加固、BUG修复等方面应免费开展，不得另行收费。</w:t>
      </w:r>
    </w:p>
    <w:p w14:paraId="1E22B041">
      <w:pPr>
        <w:pStyle w:val="4"/>
        <w:numPr>
          <w:ilvl w:val="0"/>
          <w:numId w:val="3"/>
        </w:numPr>
        <w:rPr>
          <w:rFonts w:ascii="Times New Roman" w:hAnsi="Times New Roman"/>
          <w:highlight w:val="none"/>
        </w:rPr>
      </w:pPr>
      <w:r>
        <w:rPr>
          <w:rFonts w:hint="eastAsia" w:ascii="Times New Roman" w:hAnsi="Times New Roman"/>
          <w:highlight w:val="none"/>
        </w:rPr>
        <w:t>文档和培训</w:t>
      </w:r>
    </w:p>
    <w:p w14:paraId="1D346795">
      <w:pPr>
        <w:pStyle w:val="5"/>
        <w:ind w:firstLine="420"/>
        <w:rPr>
          <w:rFonts w:ascii="Times New Roman" w:hAnsi="Times New Roman"/>
          <w:szCs w:val="20"/>
          <w:highlight w:val="none"/>
        </w:rPr>
      </w:pPr>
      <w:r>
        <w:rPr>
          <w:rFonts w:hint="eastAsia" w:ascii="Times New Roman" w:hAnsi="Times New Roman"/>
          <w:highlight w:val="none"/>
        </w:rPr>
        <w:t>1</w:t>
      </w:r>
      <w:r>
        <w:rPr>
          <w:rFonts w:ascii="Times New Roman" w:hAnsi="Times New Roman"/>
          <w:highlight w:val="none"/>
        </w:rPr>
        <w:t xml:space="preserve">1.1 </w:t>
      </w:r>
      <w:r>
        <w:rPr>
          <w:rFonts w:hint="eastAsia" w:ascii="Times New Roman" w:hAnsi="Times New Roman"/>
          <w:szCs w:val="20"/>
          <w:highlight w:val="none"/>
        </w:rPr>
        <w:t>文档</w:t>
      </w:r>
    </w:p>
    <w:p w14:paraId="24158645">
      <w:pPr>
        <w:ind w:firstLine="420"/>
        <w:rPr>
          <w:rFonts w:ascii="Times New Roman" w:hAnsi="Times New Roman"/>
          <w:highlight w:val="none"/>
        </w:rPr>
      </w:pPr>
      <w:r>
        <w:rPr>
          <w:rFonts w:hint="eastAsia" w:ascii="Times New Roman" w:hAnsi="Times New Roman"/>
          <w:highlight w:val="none"/>
        </w:rPr>
        <w:t>1）文档范围</w:t>
      </w:r>
    </w:p>
    <w:p w14:paraId="28ADFAB9">
      <w:pPr>
        <w:ind w:firstLine="420"/>
        <w:rPr>
          <w:rFonts w:ascii="Times New Roman" w:hAnsi="Times New Roman"/>
          <w:highlight w:val="none"/>
        </w:rPr>
      </w:pPr>
      <w:r>
        <w:rPr>
          <w:rFonts w:hint="eastAsia" w:ascii="Times New Roman" w:hAnsi="Times New Roman"/>
          <w:highlight w:val="none"/>
        </w:rPr>
        <w:t>包括中选人收集整理的系统建设中所形成的全部文字记载、录音和照片等，项目验收后由中选人向比选人提供。</w:t>
      </w:r>
    </w:p>
    <w:p w14:paraId="3B467DA7">
      <w:pPr>
        <w:ind w:firstLine="420"/>
        <w:rPr>
          <w:rFonts w:ascii="Times New Roman" w:hAnsi="Times New Roman"/>
          <w:highlight w:val="none"/>
        </w:rPr>
      </w:pPr>
      <w:r>
        <w:rPr>
          <w:rFonts w:hint="eastAsia" w:ascii="Times New Roman" w:hAnsi="Times New Roman"/>
          <w:highlight w:val="none"/>
        </w:rPr>
        <w:t>2）文档内容</w:t>
      </w:r>
    </w:p>
    <w:p w14:paraId="597085CF">
      <w:pPr>
        <w:ind w:firstLine="420"/>
        <w:rPr>
          <w:rFonts w:ascii="Times New Roman" w:hAnsi="Times New Roman"/>
          <w:highlight w:val="none"/>
        </w:rPr>
      </w:pPr>
      <w:r>
        <w:rPr>
          <w:rFonts w:hint="eastAsia" w:ascii="Times New Roman" w:hAnsi="Times New Roman"/>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3922872E">
      <w:pPr>
        <w:ind w:firstLine="420"/>
        <w:rPr>
          <w:rFonts w:ascii="Times New Roman" w:hAnsi="Times New Roman"/>
          <w:highlight w:val="none"/>
        </w:rPr>
      </w:pPr>
      <w:r>
        <w:rPr>
          <w:rFonts w:hint="eastAsia" w:ascii="Times New Roman" w:hAnsi="Times New Roman"/>
          <w:highlight w:val="none"/>
        </w:rPr>
        <w:t xml:space="preserve">3）要求 </w:t>
      </w:r>
    </w:p>
    <w:p w14:paraId="10C79A17">
      <w:pPr>
        <w:ind w:firstLine="420"/>
        <w:rPr>
          <w:rFonts w:ascii="Times New Roman" w:hAnsi="Times New Roman"/>
          <w:highlight w:val="none"/>
        </w:rPr>
      </w:pPr>
      <w:r>
        <w:rPr>
          <w:rFonts w:hint="eastAsia" w:ascii="Times New Roman" w:hAnsi="Times New Roman"/>
          <w:highlight w:val="none"/>
        </w:rPr>
        <w:t>参选人提供的文档要保持完整性和准确性。所有文档都采用简体中文（第三方产品出厂文件除外）。</w:t>
      </w:r>
    </w:p>
    <w:p w14:paraId="2E053D12">
      <w:pPr>
        <w:pStyle w:val="5"/>
        <w:ind w:firstLine="420"/>
        <w:rPr>
          <w:rFonts w:ascii="Times New Roman" w:hAnsi="Times New Roman"/>
          <w:szCs w:val="20"/>
          <w:highlight w:val="none"/>
        </w:rPr>
      </w:pPr>
      <w:r>
        <w:rPr>
          <w:rFonts w:hint="eastAsia" w:ascii="Times New Roman" w:hAnsi="Times New Roman"/>
          <w:szCs w:val="20"/>
          <w:highlight w:val="none"/>
        </w:rPr>
        <w:t>1</w:t>
      </w:r>
      <w:r>
        <w:rPr>
          <w:rFonts w:ascii="Times New Roman" w:hAnsi="Times New Roman"/>
          <w:szCs w:val="20"/>
          <w:highlight w:val="none"/>
        </w:rPr>
        <w:t xml:space="preserve">1.2 </w:t>
      </w:r>
      <w:r>
        <w:rPr>
          <w:rFonts w:hint="eastAsia" w:ascii="Times New Roman" w:hAnsi="Times New Roman"/>
          <w:szCs w:val="20"/>
          <w:highlight w:val="none"/>
        </w:rPr>
        <w:t>培训</w:t>
      </w:r>
    </w:p>
    <w:p w14:paraId="52203F4E">
      <w:pPr>
        <w:ind w:firstLine="420"/>
        <w:rPr>
          <w:rFonts w:ascii="Times New Roman" w:hAnsi="Times New Roman"/>
          <w:highlight w:val="none"/>
        </w:rPr>
      </w:pPr>
      <w:r>
        <w:rPr>
          <w:rFonts w:hint="eastAsia" w:ascii="Times New Roman" w:hAnsi="Times New Roman"/>
          <w:highlight w:val="none"/>
        </w:rPr>
        <w:t>1）培训人员</w:t>
      </w:r>
    </w:p>
    <w:p w14:paraId="7706A3C2">
      <w:pPr>
        <w:ind w:firstLine="420"/>
        <w:rPr>
          <w:rFonts w:ascii="Times New Roman" w:hAnsi="Times New Roman"/>
          <w:highlight w:val="none"/>
        </w:rPr>
      </w:pPr>
      <w:r>
        <w:rPr>
          <w:rFonts w:hint="eastAsia" w:ascii="Times New Roman" w:hAnsi="Times New Roman"/>
          <w:highlight w:val="none"/>
        </w:rPr>
        <w:t>中选人应对下列人员进行相应的技术培训：</w:t>
      </w:r>
    </w:p>
    <w:p w14:paraId="67CB5EF2">
      <w:pPr>
        <w:ind w:firstLine="420"/>
        <w:rPr>
          <w:rFonts w:ascii="Times New Roman" w:hAnsi="Times New Roman"/>
          <w:highlight w:val="none"/>
        </w:rPr>
      </w:pPr>
      <w:r>
        <w:rPr>
          <w:rFonts w:hint="eastAsia" w:ascii="Times New Roman" w:hAnsi="Times New Roman"/>
          <w:highlight w:val="none"/>
        </w:rPr>
        <w:t>包括但不限于涉及本项目的相关开发人员、运维人员以及业务人员等。</w:t>
      </w:r>
    </w:p>
    <w:p w14:paraId="2A071E80">
      <w:pPr>
        <w:ind w:firstLine="420"/>
        <w:rPr>
          <w:rFonts w:ascii="Times New Roman" w:hAnsi="Times New Roman"/>
          <w:highlight w:val="none"/>
        </w:rPr>
      </w:pPr>
      <w:r>
        <w:rPr>
          <w:rFonts w:hint="eastAsia" w:ascii="Times New Roman" w:hAnsi="Times New Roman"/>
          <w:highlight w:val="none"/>
        </w:rPr>
        <w:t>2）要求</w:t>
      </w:r>
    </w:p>
    <w:p w14:paraId="6775F643">
      <w:pPr>
        <w:ind w:firstLine="420"/>
        <w:rPr>
          <w:rFonts w:ascii="Times New Roman" w:hAnsi="Times New Roman"/>
          <w:highlight w:val="none"/>
        </w:rPr>
      </w:pPr>
      <w:r>
        <w:rPr>
          <w:rFonts w:hint="eastAsia" w:ascii="Times New Roman" w:hAnsi="Times New Roman"/>
          <w:highlight w:val="none"/>
        </w:rPr>
        <w:t>对所有的培训，参选人除提供完备的书面教材外，还应提交培训方案和计划。</w:t>
      </w:r>
    </w:p>
    <w:p w14:paraId="56B72756">
      <w:pPr>
        <w:rPr>
          <w:rFonts w:hint="eastAsia" w:ascii="Times New Roman" w:hAnsi="Times New Roman"/>
          <w:highlight w:val="none"/>
        </w:rPr>
      </w:pPr>
      <w:r>
        <w:rPr>
          <w:rFonts w:hint="eastAsia" w:ascii="Times New Roman" w:hAnsi="Times New Roman"/>
          <w:highlight w:val="none"/>
        </w:rPr>
        <w:t>比选人要求所有的培训在比选人指定地点进行。</w:t>
      </w:r>
    </w:p>
    <w:p w14:paraId="58D69815">
      <w:pPr>
        <w:rPr>
          <w:rFonts w:hint="eastAsia" w:ascii="宋体" w:eastAsia="宋体" w:cs="宋体"/>
          <w:snapToGrid w:val="0"/>
          <w:kern w:val="0"/>
          <w:szCs w:val="24"/>
          <w:highlight w:val="none"/>
          <w:lang w:eastAsia="zh-CN"/>
        </w:rPr>
      </w:pPr>
      <w:r>
        <w:rPr>
          <w:rFonts w:hint="eastAsia" w:ascii="Times New Roman" w:hAnsi="Times New Roman"/>
          <w:highlight w:val="none"/>
          <w:lang w:eastAsia="zh-CN"/>
        </w:rPr>
        <w:t>【提供培训方案】</w:t>
      </w:r>
    </w:p>
    <w:p w14:paraId="5CC7ADE9">
      <w:pPr>
        <w:pStyle w:val="4"/>
        <w:numPr>
          <w:ilvl w:val="0"/>
          <w:numId w:val="3"/>
        </w:numPr>
        <w:rPr>
          <w:rFonts w:ascii="Times New Roman" w:hAnsi="Times New Roman"/>
          <w:highlight w:val="none"/>
        </w:rPr>
      </w:pPr>
      <w:r>
        <w:rPr>
          <w:rFonts w:hint="eastAsia" w:ascii="Times New Roman" w:hAnsi="Times New Roman"/>
          <w:highlight w:val="none"/>
        </w:rPr>
        <w:t>服务连续性预案</w:t>
      </w:r>
    </w:p>
    <w:p w14:paraId="775BA29C">
      <w:pPr>
        <w:ind w:firstLine="420"/>
        <w:rPr>
          <w:rFonts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w:t>
      </w:r>
      <w:r>
        <w:rPr>
          <w:rFonts w:hint="eastAsia" w:ascii="Times New Roman" w:hAnsi="Times New Roman"/>
          <w:color w:val="auto"/>
          <w:highlight w:val="none"/>
          <w:shd w:val="clear" w:color="auto" w:fill="auto"/>
        </w:rPr>
        <w:t>【提供服务连续性预案】</w:t>
      </w:r>
    </w:p>
    <w:p w14:paraId="41ECB8B9">
      <w:pPr>
        <w:pStyle w:val="4"/>
        <w:numPr>
          <w:ilvl w:val="0"/>
          <w:numId w:val="3"/>
        </w:numPr>
        <w:rPr>
          <w:rFonts w:ascii="Times New Roman" w:hAnsi="Times New Roman"/>
          <w:highlight w:val="none"/>
        </w:rPr>
      </w:pPr>
      <w:r>
        <w:rPr>
          <w:rFonts w:hint="eastAsia" w:ascii="Times New Roman" w:hAnsi="Times New Roman"/>
          <w:highlight w:val="none"/>
        </w:rPr>
        <w:t>项目实施方案</w:t>
      </w:r>
    </w:p>
    <w:p w14:paraId="4F5F058F">
      <w:pPr>
        <w:ind w:firstLine="420"/>
        <w:rPr>
          <w:rFonts w:ascii="Times New Roman" w:hAnsi="Times New Roman"/>
          <w:highlight w:val="none"/>
        </w:rPr>
      </w:pPr>
      <w:r>
        <w:rPr>
          <w:rFonts w:hint="eastAsia" w:ascii="Times New Roman" w:hAnsi="Times New Roman"/>
          <w:highlight w:val="none"/>
        </w:rPr>
        <w:t>在本次比选中，参选人应在参选文件中提供项目实施方案供比选人查看，方案应包括包括履行合同的时间计划、提交资料、人员安排等内容。</w:t>
      </w:r>
      <w:r>
        <w:rPr>
          <w:rFonts w:hint="eastAsia" w:ascii="Times New Roman" w:hAnsi="Times New Roman"/>
          <w:color w:val="auto"/>
          <w:highlight w:val="none"/>
          <w:shd w:val="clear" w:color="auto" w:fill="auto"/>
        </w:rPr>
        <w:t>【提供项目实施方案】</w:t>
      </w:r>
    </w:p>
    <w:bookmarkEnd w:id="75"/>
    <w:bookmarkEnd w:id="76"/>
    <w:p w14:paraId="7E8875C7">
      <w:pPr>
        <w:pStyle w:val="4"/>
        <w:numPr>
          <w:ilvl w:val="0"/>
          <w:numId w:val="3"/>
        </w:numPr>
        <w:rPr>
          <w:rFonts w:ascii="Times New Roman" w:hAnsi="Times New Roman"/>
          <w:highlight w:val="none"/>
        </w:rPr>
      </w:pPr>
      <w:bookmarkStart w:id="82" w:name="_Toc15059422"/>
      <w:bookmarkStart w:id="83" w:name="_Toc89675148"/>
      <w:r>
        <w:rPr>
          <w:rFonts w:hint="eastAsia" w:ascii="Times New Roman" w:hAnsi="Times New Roman"/>
          <w:highlight w:val="none"/>
        </w:rPr>
        <w:t>付款方式</w:t>
      </w:r>
      <w:bookmarkEnd w:id="82"/>
      <w:bookmarkEnd w:id="83"/>
    </w:p>
    <w:p w14:paraId="68C83E35">
      <w:pPr>
        <w:autoSpaceDE/>
        <w:autoSpaceDN/>
        <w:snapToGrid w:val="0"/>
        <w:ind w:firstLine="480" w:firstLineChars="200"/>
        <w:jc w:val="left"/>
        <w:rPr>
          <w:rFonts w:hint="eastAsia" w:ascii="Times New Roman" w:hAnsi="Times New Roman" w:cs="宋体"/>
          <w:snapToGrid w:val="0"/>
          <w:color w:val="auto"/>
          <w:kern w:val="0"/>
          <w:sz w:val="24"/>
          <w:szCs w:val="24"/>
          <w:highlight w:val="none"/>
          <w:shd w:val="clear" w:color="auto" w:fill="auto"/>
        </w:rPr>
      </w:pPr>
      <w:bookmarkStart w:id="84" w:name="_Toc15059424"/>
      <w:bookmarkStart w:id="85" w:name="_Toc89675150"/>
      <w:r>
        <w:rPr>
          <w:rFonts w:hint="eastAsia" w:ascii="宋体" w:eastAsia="宋体"/>
          <w:spacing w:val="0"/>
          <w:highlight w:val="none"/>
        </w:rPr>
        <w:t>本合同款项采用分期付款</w:t>
      </w:r>
      <w:r>
        <w:rPr>
          <w:rFonts w:hint="eastAsia" w:ascii="Times New Roman" w:hAnsi="Times New Roman" w:cs="宋体"/>
          <w:snapToGrid w:val="0"/>
          <w:color w:val="auto"/>
          <w:kern w:val="0"/>
          <w:sz w:val="24"/>
          <w:szCs w:val="24"/>
          <w:highlight w:val="none"/>
          <w:shd w:val="clear" w:color="auto" w:fill="auto"/>
        </w:rPr>
        <w:t>，具体如下：</w:t>
      </w:r>
    </w:p>
    <w:p w14:paraId="7EFE3843">
      <w:pPr>
        <w:pStyle w:val="44"/>
        <w:autoSpaceDE/>
        <w:autoSpaceDN/>
        <w:snapToGrid w:val="0"/>
        <w:ind w:left="0"/>
        <w:jc w:val="left"/>
        <w:rPr>
          <w:rFonts w:hint="eastAsia" w:ascii="Times New Roman" w:hAnsi="Times New Roman" w:cs="宋体"/>
          <w:snapToGrid w:val="0"/>
          <w:color w:val="auto"/>
          <w:kern w:val="0"/>
          <w:sz w:val="24"/>
          <w:szCs w:val="24"/>
          <w:highlight w:val="none"/>
          <w:shd w:val="clear" w:color="auto" w:fill="auto"/>
        </w:rPr>
      </w:pPr>
      <w:r>
        <w:rPr>
          <w:rFonts w:hint="eastAsia" w:ascii="Times New Roman" w:hAnsi="Times New Roman" w:eastAsia="微软雅黑" w:cs="微软雅黑"/>
          <w:snapToGrid w:val="0"/>
          <w:color w:val="auto"/>
          <w:kern w:val="0"/>
          <w:sz w:val="24"/>
          <w:szCs w:val="24"/>
          <w:highlight w:val="none"/>
          <w:shd w:val="clear" w:color="auto" w:fill="auto"/>
        </w:rPr>
        <w:t>•</w:t>
      </w:r>
      <w:r>
        <w:rPr>
          <w:rFonts w:hint="eastAsia" w:ascii="Times New Roman" w:hAnsi="Times New Roman" w:cs="宋体"/>
          <w:snapToGrid w:val="0"/>
          <w:color w:val="auto"/>
          <w:kern w:val="0"/>
          <w:sz w:val="24"/>
          <w:szCs w:val="24"/>
          <w:highlight w:val="none"/>
          <w:shd w:val="clear" w:color="auto" w:fill="auto"/>
        </w:rPr>
        <w:t>项目安装、调试并投入试运行后30个工作日内,支付项目合同总价的60％。</w:t>
      </w:r>
    </w:p>
    <w:p w14:paraId="1B9BD33B">
      <w:pPr>
        <w:pStyle w:val="44"/>
        <w:autoSpaceDE/>
        <w:autoSpaceDN/>
        <w:snapToGrid w:val="0"/>
        <w:ind w:left="0"/>
        <w:jc w:val="left"/>
        <w:rPr>
          <w:rFonts w:hint="eastAsia" w:ascii="Times New Roman" w:hAnsi="Times New Roman" w:cs="宋体"/>
          <w:snapToGrid w:val="0"/>
          <w:color w:val="auto"/>
          <w:kern w:val="0"/>
          <w:sz w:val="24"/>
          <w:szCs w:val="24"/>
          <w:highlight w:val="none"/>
          <w:shd w:val="clear" w:color="auto" w:fill="auto"/>
        </w:rPr>
      </w:pPr>
      <w:r>
        <w:rPr>
          <w:rFonts w:hint="eastAsia" w:ascii="Times New Roman" w:hAnsi="Times New Roman" w:eastAsia="微软雅黑" w:cs="微软雅黑"/>
          <w:snapToGrid w:val="0"/>
          <w:color w:val="auto"/>
          <w:kern w:val="0"/>
          <w:sz w:val="24"/>
          <w:szCs w:val="24"/>
          <w:highlight w:val="none"/>
          <w:shd w:val="clear" w:color="auto" w:fill="auto"/>
        </w:rPr>
        <w:t>•</w:t>
      </w:r>
      <w:r>
        <w:rPr>
          <w:rFonts w:hint="eastAsia" w:ascii="Times New Roman" w:hAnsi="Times New Roman" w:cs="宋体"/>
          <w:snapToGrid w:val="0"/>
          <w:color w:val="auto"/>
          <w:kern w:val="0"/>
          <w:sz w:val="24"/>
          <w:szCs w:val="24"/>
          <w:highlight w:val="none"/>
          <w:shd w:val="clear" w:color="auto" w:fill="auto"/>
        </w:rPr>
        <w:t>项目正式验收合格后30个工作日内,支付项目合同总价的30％。</w:t>
      </w:r>
    </w:p>
    <w:p w14:paraId="77FCA1ED">
      <w:pPr>
        <w:pStyle w:val="44"/>
        <w:autoSpaceDE/>
        <w:autoSpaceDN/>
        <w:snapToGrid w:val="0"/>
        <w:ind w:left="0"/>
        <w:jc w:val="left"/>
        <w:rPr>
          <w:rFonts w:ascii="Times New Roman" w:hAnsi="Times New Roman"/>
          <w:color w:val="auto"/>
          <w:highlight w:val="none"/>
          <w:shd w:val="clear" w:color="auto" w:fill="auto"/>
        </w:rPr>
      </w:pPr>
      <w:r>
        <w:rPr>
          <w:rFonts w:hint="eastAsia" w:ascii="Times New Roman" w:hAnsi="Times New Roman" w:eastAsia="微软雅黑" w:cs="微软雅黑"/>
          <w:snapToGrid w:val="0"/>
          <w:color w:val="auto"/>
          <w:kern w:val="0"/>
          <w:sz w:val="24"/>
          <w:szCs w:val="24"/>
          <w:highlight w:val="none"/>
          <w:shd w:val="clear" w:color="auto" w:fill="auto"/>
        </w:rPr>
        <w:t>•</w:t>
      </w:r>
      <w:r>
        <w:rPr>
          <w:rFonts w:hint="eastAsia" w:ascii="Times New Roman" w:hAnsi="Times New Roman" w:cs="宋体"/>
          <w:snapToGrid w:val="0"/>
          <w:color w:val="auto"/>
          <w:kern w:val="0"/>
          <w:sz w:val="24"/>
          <w:szCs w:val="24"/>
          <w:highlight w:val="none"/>
          <w:shd w:val="clear" w:color="auto" w:fill="auto"/>
        </w:rPr>
        <w:t>维护到期后30个工作日内，支付项目合同总价的10%。</w:t>
      </w:r>
    </w:p>
    <w:p w14:paraId="5F07FD6F">
      <w:pPr>
        <w:pStyle w:val="4"/>
        <w:numPr>
          <w:ilvl w:val="0"/>
          <w:numId w:val="3"/>
        </w:numPr>
        <w:rPr>
          <w:rFonts w:ascii="Times New Roman" w:hAnsi="Times New Roman"/>
          <w:highlight w:val="none"/>
        </w:rPr>
      </w:pPr>
      <w:r>
        <w:rPr>
          <w:rFonts w:hint="eastAsia" w:ascii="Times New Roman" w:hAnsi="Times New Roman"/>
          <w:highlight w:val="none"/>
        </w:rPr>
        <w:t>保密条款</w:t>
      </w:r>
      <w:bookmarkEnd w:id="77"/>
      <w:bookmarkEnd w:id="78"/>
      <w:bookmarkEnd w:id="79"/>
      <w:bookmarkEnd w:id="80"/>
      <w:bookmarkEnd w:id="84"/>
      <w:bookmarkEnd w:id="85"/>
    </w:p>
    <w:p w14:paraId="061ACC98">
      <w:pPr>
        <w:pStyle w:val="5"/>
        <w:ind w:firstLine="420"/>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5</w:t>
      </w:r>
      <w:r>
        <w:rPr>
          <w:rFonts w:hint="eastAsia" w:ascii="Times New Roman" w:hAnsi="Times New Roman"/>
          <w:highlight w:val="none"/>
        </w:rPr>
        <w:t>.1 保密范围</w:t>
      </w:r>
    </w:p>
    <w:p w14:paraId="7E436705">
      <w:pPr>
        <w:ind w:firstLine="420"/>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33FE7663">
      <w:pPr>
        <w:pStyle w:val="5"/>
        <w:ind w:firstLine="420"/>
        <w:rPr>
          <w:rFonts w:ascii="Times New Roman" w:hAnsi="Times New Roman"/>
          <w:highlight w:val="none"/>
        </w:rPr>
      </w:pPr>
      <w:r>
        <w:rPr>
          <w:rFonts w:ascii="Times New Roman" w:hAnsi="Times New Roman"/>
          <w:highlight w:val="none"/>
        </w:rPr>
        <w:t>15</w:t>
      </w:r>
      <w:r>
        <w:rPr>
          <w:rFonts w:hint="eastAsia" w:ascii="Times New Roman" w:hAnsi="Times New Roman"/>
          <w:highlight w:val="none"/>
        </w:rPr>
        <w:t>.2 保密责任</w:t>
      </w:r>
    </w:p>
    <w:p w14:paraId="0214ED33">
      <w:pPr>
        <w:ind w:firstLine="420"/>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08F2370F">
      <w:pPr>
        <w:pStyle w:val="4"/>
        <w:numPr>
          <w:ilvl w:val="0"/>
          <w:numId w:val="3"/>
        </w:numPr>
        <w:rPr>
          <w:rFonts w:ascii="Times New Roman" w:hAnsi="Times New Roman"/>
          <w:highlight w:val="none"/>
        </w:rPr>
      </w:pPr>
      <w:r>
        <w:rPr>
          <w:rFonts w:hint="eastAsia" w:ascii="Times New Roman" w:hAnsi="Times New Roman"/>
          <w:highlight w:val="none"/>
        </w:rPr>
        <w:t>报价要求</w:t>
      </w:r>
    </w:p>
    <w:p w14:paraId="5221541E">
      <w:pPr>
        <w:ind w:firstLine="420"/>
        <w:rPr>
          <w:rFonts w:ascii="Times New Roman" w:hAnsi="Times New Roman"/>
          <w:highlight w:val="none"/>
        </w:rPr>
      </w:pPr>
      <w:r>
        <w:rPr>
          <w:rFonts w:hint="eastAsia" w:ascii="Times New Roman" w:hAnsi="Times New Roman"/>
          <w:highlight w:val="none"/>
        </w:rPr>
        <w:t>参选人应严格按照《参选文件格式》的“报价一览表”的格式认真填写。</w:t>
      </w:r>
    </w:p>
    <w:p w14:paraId="1BE20998">
      <w:pPr>
        <w:pStyle w:val="4"/>
        <w:numPr>
          <w:ilvl w:val="0"/>
          <w:numId w:val="3"/>
        </w:numPr>
        <w:rPr>
          <w:rFonts w:ascii="Times New Roman" w:hAnsi="Times New Roman"/>
          <w:highlight w:val="none"/>
        </w:rPr>
      </w:pPr>
      <w:bookmarkStart w:id="86" w:name="_Toc89675152"/>
      <w:bookmarkStart w:id="87" w:name="_Toc15059426"/>
      <w:r>
        <w:rPr>
          <w:rFonts w:hint="eastAsia" w:ascii="Times New Roman" w:hAnsi="Times New Roman"/>
          <w:highlight w:val="none"/>
        </w:rPr>
        <w:t>知识产权</w:t>
      </w:r>
      <w:bookmarkEnd w:id="86"/>
      <w:bookmarkEnd w:id="87"/>
    </w:p>
    <w:p w14:paraId="6794EB08">
      <w:pPr>
        <w:ind w:left="0" w:firstLine="480" w:firstLineChars="200"/>
        <w:rPr>
          <w:rFonts w:ascii="Times New Roman" w:hAnsi="Times New Roman"/>
          <w:highlight w:val="none"/>
        </w:rPr>
      </w:pPr>
      <w:r>
        <w:rPr>
          <w:rFonts w:hint="eastAsia" w:ascii="Times New Roman" w:hAnsi="Times New Roman"/>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150648CB">
      <w:pPr>
        <w:ind w:left="0" w:firstLine="480" w:firstLineChars="200"/>
        <w:rPr>
          <w:rFonts w:ascii="Times New Roman" w:hAnsi="Times New Roman"/>
          <w:highlight w:val="none"/>
        </w:rPr>
      </w:pPr>
      <w:r>
        <w:rPr>
          <w:rFonts w:hint="eastAsia" w:ascii="Times New Roman" w:hAnsi="Times New Roman"/>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26FCF657">
      <w:pPr>
        <w:pStyle w:val="4"/>
        <w:numPr>
          <w:ilvl w:val="0"/>
          <w:numId w:val="3"/>
        </w:numPr>
        <w:rPr>
          <w:rFonts w:ascii="Times New Roman" w:hAnsi="Times New Roman"/>
          <w:highlight w:val="none"/>
        </w:rPr>
      </w:pPr>
      <w:bookmarkStart w:id="88" w:name="_Toc15059427"/>
      <w:bookmarkStart w:id="89" w:name="_Toc89675153"/>
      <w:r>
        <w:rPr>
          <w:rFonts w:hint="eastAsia" w:ascii="Times New Roman" w:hAnsi="Times New Roman"/>
          <w:highlight w:val="none"/>
        </w:rPr>
        <w:t>其他</w:t>
      </w:r>
      <w:bookmarkEnd w:id="88"/>
      <w:bookmarkEnd w:id="89"/>
    </w:p>
    <w:p w14:paraId="15725811">
      <w:pPr>
        <w:numPr>
          <w:ilvl w:val="0"/>
          <w:numId w:val="0"/>
        </w:numPr>
        <w:bidi w:val="0"/>
        <w:ind w:left="480"/>
        <w:rPr>
          <w:rFonts w:hint="eastAsia"/>
          <w:color w:val="auto"/>
          <w:highlight w:val="none"/>
        </w:rPr>
      </w:pPr>
      <w:r>
        <w:rPr>
          <w:rFonts w:hint="eastAsia" w:ascii="Times New Roman" w:hAnsi="Times New Roman"/>
          <w:color w:val="auto"/>
          <w:highlight w:val="none"/>
          <w:lang w:val="en-US" w:eastAsia="zh-CN"/>
        </w:rPr>
        <w:t>18</w:t>
      </w:r>
      <w:r>
        <w:rPr>
          <w:rFonts w:hint="eastAsia" w:ascii="Times New Roman" w:hAnsi="Times New Roman"/>
          <w:color w:val="auto"/>
          <w:highlight w:val="none"/>
        </w:rPr>
        <w:t xml:space="preserve">.1 </w:t>
      </w:r>
      <w:r>
        <w:rPr>
          <w:rFonts w:hint="eastAsia"/>
          <w:color w:val="auto"/>
          <w:highlight w:val="none"/>
        </w:rPr>
        <w:t>参选人必须在参选文件中对本章要求内容做出整体书面承诺，承诺内容必须达到比选文件要求。</w:t>
      </w:r>
    </w:p>
    <w:p w14:paraId="65FDDE0D">
      <w:pPr>
        <w:numPr>
          <w:ilvl w:val="-1"/>
          <w:numId w:val="0"/>
        </w:numPr>
        <w:ind w:left="480" w:firstLine="0"/>
        <w:rPr>
          <w:rFonts w:hint="eastAsia"/>
          <w:highlight w:val="none"/>
        </w:rPr>
      </w:pPr>
      <w:r>
        <w:rPr>
          <w:rFonts w:hint="eastAsia" w:ascii="Times New Roman" w:hAnsi="Times New Roman"/>
          <w:highlight w:val="none"/>
          <w:lang w:val="en-US" w:eastAsia="zh-CN"/>
        </w:rPr>
        <w:t>18.2</w:t>
      </w:r>
      <w:r>
        <w:rPr>
          <w:rFonts w:hint="eastAsia" w:ascii="Times New Roman" w:hAnsi="Times New Roman"/>
          <w:highlight w:val="none"/>
        </w:rPr>
        <w:t>参</w:t>
      </w:r>
      <w:r>
        <w:rPr>
          <w:rFonts w:hint="eastAsia"/>
          <w:highlight w:val="none"/>
        </w:rPr>
        <w:t>选人应根据本章内容和要求，提供对应</w:t>
      </w:r>
      <w:r>
        <w:rPr>
          <w:rFonts w:hAnsi="Times New Roman"/>
          <w:highlight w:val="none"/>
          <w:lang w:val="en-US" w:eastAsia="zh-CN" w:bidi="ar-SA"/>
        </w:rPr>
        <w:t>材料</w:t>
      </w:r>
      <w:r>
        <w:rPr>
          <w:rFonts w:hint="eastAsia"/>
          <w:highlight w:val="none"/>
        </w:rPr>
        <w:t>，内容齐全，无遗漏。</w:t>
      </w:r>
    </w:p>
    <w:p w14:paraId="7881D7B1">
      <w:pPr>
        <w:ind w:firstLine="420"/>
        <w:rPr>
          <w:highlight w:val="none"/>
        </w:rPr>
      </w:pPr>
      <w:r>
        <w:rPr>
          <w:rFonts w:hint="eastAsia" w:ascii="Times New Roman" w:hAnsi="Times New Roman"/>
          <w:highlight w:val="none"/>
          <w:lang w:val="en-US" w:eastAsia="zh-CN"/>
        </w:rPr>
        <w:t>18.3</w:t>
      </w:r>
      <w:r>
        <w:rPr>
          <w:rFonts w:hint="eastAsia" w:ascii="Times New Roman" w:hAnsi="Times New Roman"/>
          <w:highlight w:val="none"/>
        </w:rPr>
        <w:t>其他未尽事宜由供需双方在合同中详细约定。</w:t>
      </w:r>
    </w:p>
    <w:p w14:paraId="404C6907">
      <w:pPr>
        <w:rPr>
          <w:rFonts w:ascii="宋体" w:hAnsi="宋体" w:eastAsia="宋体" w:cs="宋体"/>
          <w:b/>
          <w:bCs/>
          <w:sz w:val="28"/>
          <w:szCs w:val="28"/>
          <w:highlight w:val="none"/>
          <w:lang w:val="en-US" w:eastAsia="zh-CN"/>
        </w:rPr>
      </w:pPr>
      <w:r>
        <w:rPr>
          <w:rFonts w:ascii="宋体" w:hAnsi="宋体" w:eastAsia="宋体" w:cs="宋体"/>
          <w:b/>
          <w:bCs/>
          <w:sz w:val="28"/>
          <w:szCs w:val="28"/>
          <w:highlight w:val="none"/>
          <w:lang w:val="en-US" w:eastAsia="zh-CN"/>
        </w:rPr>
        <w:br w:type="page"/>
      </w:r>
    </w:p>
    <w:p w14:paraId="5E3A9DCD">
      <w:pPr>
        <w:keepNext w:val="0"/>
        <w:keepLines w:val="0"/>
        <w:pageBreakBefore w:val="0"/>
        <w:widowControl w:val="0"/>
        <w:kinsoku/>
        <w:wordWrap/>
        <w:overflowPunct/>
        <w:topLinePunct w:val="0"/>
        <w:autoSpaceDE w:val="0"/>
        <w:autoSpaceDN w:val="0"/>
        <w:adjustRightInd/>
        <w:snapToGrid/>
        <w:ind w:firstLine="0"/>
        <w:jc w:val="left"/>
        <w:outlineLvl w:val="9"/>
        <w:rPr>
          <w:rFonts w:hint="eastAsia" w:ascii="宋体" w:hAnsi="宋体" w:eastAsia="宋体" w:cs="宋体"/>
          <w:b/>
          <w:bCs/>
          <w:sz w:val="28"/>
          <w:szCs w:val="28"/>
          <w:highlight w:val="none"/>
          <w:lang w:val="en-US" w:eastAsia="zh-CN"/>
        </w:rPr>
      </w:pPr>
      <w:bookmarkStart w:id="90" w:name="_Toc60353016"/>
      <w:r>
        <w:rPr>
          <w:rFonts w:hint="eastAsia" w:ascii="宋体" w:hAnsi="宋体" w:eastAsia="宋体" w:cs="宋体"/>
          <w:b/>
          <w:bCs/>
          <w:sz w:val="28"/>
          <w:szCs w:val="28"/>
          <w:highlight w:val="none"/>
          <w:lang w:val="en-US" w:eastAsia="zh-CN"/>
        </w:rPr>
        <w:t>附件</w:t>
      </w:r>
      <w:r>
        <w:rPr>
          <w:rFonts w:hint="eastAsia" w:ascii="宋体" w:hAnsi="宋体" w:cs="宋体"/>
          <w:b/>
          <w:bCs/>
          <w:sz w:val="28"/>
          <w:szCs w:val="28"/>
          <w:highlight w:val="none"/>
          <w:lang w:val="en-US" w:eastAsia="zh-CN"/>
        </w:rPr>
        <w:t>一</w:t>
      </w:r>
      <w:bookmarkEnd w:id="90"/>
    </w:p>
    <w:p w14:paraId="50288229">
      <w:pPr>
        <w:jc w:val="center"/>
        <w:rPr>
          <w:rFonts w:hint="eastAsia" w:ascii="宋体" w:hAnsi="宋体" w:eastAsia="宋体" w:cs="宋体"/>
          <w:b/>
          <w:bCs/>
          <w:snapToGrid w:val="0"/>
          <w:color w:val="auto"/>
          <w:kern w:val="0"/>
          <w:sz w:val="36"/>
          <w:szCs w:val="36"/>
          <w:highlight w:val="none"/>
          <w:shd w:val="clear" w:color="auto" w:fill="auto"/>
          <w:lang w:val="en-US" w:eastAsia="zh-CN"/>
        </w:rPr>
      </w:pPr>
      <w:r>
        <w:rPr>
          <w:rFonts w:hint="eastAsia" w:ascii="宋体" w:hAnsi="宋体" w:eastAsia="宋体" w:cs="宋体"/>
          <w:b/>
          <w:bCs/>
          <w:snapToGrid w:val="0"/>
          <w:color w:val="auto"/>
          <w:kern w:val="0"/>
          <w:sz w:val="36"/>
          <w:szCs w:val="36"/>
          <w:highlight w:val="none"/>
          <w:shd w:val="clear" w:color="auto" w:fill="auto"/>
          <w:lang w:val="en-US" w:eastAsia="zh-CN"/>
        </w:rPr>
        <w:t>报名函</w:t>
      </w:r>
    </w:p>
    <w:p w14:paraId="741A5BDC">
      <w:pPr>
        <w:keepNext w:val="0"/>
        <w:keepLines w:val="0"/>
        <w:pageBreakBefore w:val="0"/>
        <w:widowControl w:val="0"/>
        <w:kinsoku/>
        <w:wordWrap/>
        <w:overflowPunct/>
        <w:topLinePunct w:val="0"/>
        <w:autoSpaceDE/>
        <w:autoSpaceDN/>
        <w:adjustRightInd/>
        <w:snapToGrid/>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重庆三峡银行股份有限公司：</w:t>
      </w:r>
    </w:p>
    <w:p w14:paraId="22C1918B">
      <w:pPr>
        <w:keepNext w:val="0"/>
        <w:keepLines w:val="0"/>
        <w:pageBreakBefore w:val="0"/>
        <w:widowControl w:val="0"/>
        <w:kinsoku/>
        <w:wordWrap/>
        <w:overflowPunct/>
        <w:topLinePunct w:val="0"/>
        <w:autoSpaceDE/>
        <w:autoSpaceDN/>
        <w:adjustRightInd/>
        <w:snapToGrid/>
        <w:ind w:firstLine="480" w:firstLineChars="200"/>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我单位报名参加“重庆三峡银行</w:t>
      </w:r>
      <w:r>
        <w:rPr>
          <w:rFonts w:ascii="宋体" w:hAnsi="宋体" w:eastAsia="宋体" w:cs="宋体"/>
          <w:snapToGrid w:val="0"/>
          <w:color w:val="auto"/>
          <w:kern w:val="0"/>
          <w:sz w:val="24"/>
          <w:szCs w:val="24"/>
          <w:highlight w:val="none"/>
          <w:shd w:val="clear" w:color="auto" w:fill="auto"/>
          <w:lang w:val="en-US" w:eastAsia="zh-CN"/>
        </w:rPr>
        <w:t>绿色金融管理系统</w:t>
      </w:r>
      <w:r>
        <w:rPr>
          <w:rFonts w:hint="eastAsia" w:ascii="宋体" w:hAnsi="宋体" w:eastAsia="宋体" w:cs="宋体"/>
          <w:snapToGrid w:val="0"/>
          <w:color w:val="auto"/>
          <w:kern w:val="0"/>
          <w:sz w:val="24"/>
          <w:szCs w:val="24"/>
          <w:highlight w:val="none"/>
          <w:shd w:val="clear" w:color="auto" w:fill="auto"/>
        </w:rPr>
        <w:t>项目</w:t>
      </w:r>
      <w:r>
        <w:rPr>
          <w:rFonts w:hint="eastAsia" w:ascii="宋体" w:hAnsi="宋体" w:eastAsia="宋体" w:cs="宋体"/>
          <w:snapToGrid w:val="0"/>
          <w:color w:val="auto"/>
          <w:kern w:val="0"/>
          <w:sz w:val="24"/>
          <w:szCs w:val="24"/>
          <w:highlight w:val="none"/>
          <w:shd w:val="clear" w:color="auto" w:fill="auto"/>
          <w:lang w:val="en-US" w:eastAsia="zh-CN"/>
        </w:rPr>
        <w:t>”，将根据比选文件要求，完成本项目POC测试及比选文件递交等项目流程。</w:t>
      </w:r>
    </w:p>
    <w:p w14:paraId="527C478C">
      <w:pPr>
        <w:keepNext w:val="0"/>
        <w:keepLines w:val="0"/>
        <w:pageBreakBefore w:val="0"/>
        <w:widowControl w:val="0"/>
        <w:kinsoku/>
        <w:wordWrap/>
        <w:overflowPunct/>
        <w:topLinePunct w:val="0"/>
        <w:autoSpaceDE/>
        <w:autoSpaceDN/>
        <w:adjustRightInd/>
        <w:snapToGrid/>
        <w:ind w:firstLine="480" w:firstLineChars="200"/>
        <w:jc w:val="right"/>
        <w:rPr>
          <w:rFonts w:hint="eastAsia" w:ascii="宋体" w:hAnsi="宋体" w:eastAsia="宋体" w:cs="宋体"/>
          <w:snapToGrid w:val="0"/>
          <w:color w:val="auto"/>
          <w:kern w:val="0"/>
          <w:sz w:val="24"/>
          <w:szCs w:val="24"/>
          <w:highlight w:val="none"/>
          <w:shd w:val="clear" w:color="auto" w:fill="auto"/>
          <w:lang w:val="en-US" w:eastAsia="zh-CN"/>
        </w:rPr>
      </w:pPr>
    </w:p>
    <w:p w14:paraId="5BFC3D3F">
      <w:pPr>
        <w:keepNext w:val="0"/>
        <w:keepLines w:val="0"/>
        <w:pageBreakBefore w:val="0"/>
        <w:widowControl w:val="0"/>
        <w:kinsoku/>
        <w:wordWrap/>
        <w:overflowPunct/>
        <w:topLinePunct w:val="0"/>
        <w:autoSpaceDE/>
        <w:autoSpaceDN/>
        <w:adjustRightInd/>
        <w:snapToGrid/>
        <w:ind w:firstLine="480" w:firstLineChars="200"/>
        <w:jc w:val="right"/>
        <w:rPr>
          <w:rFonts w:hint="eastAsia" w:ascii="宋体" w:hAnsi="宋体" w:eastAsia="宋体" w:cs="宋体"/>
          <w:snapToGrid w:val="0"/>
          <w:color w:val="auto"/>
          <w:kern w:val="0"/>
          <w:sz w:val="24"/>
          <w:szCs w:val="24"/>
          <w:highlight w:val="none"/>
          <w:shd w:val="clear" w:color="auto" w:fill="auto"/>
          <w:lang w:val="en-US" w:eastAsia="zh-CN"/>
        </w:rPr>
      </w:pPr>
    </w:p>
    <w:p w14:paraId="12E22BBC">
      <w:pPr>
        <w:keepNext w:val="0"/>
        <w:keepLines w:val="0"/>
        <w:pageBreakBefore w:val="0"/>
        <w:widowControl w:val="0"/>
        <w:kinsoku/>
        <w:wordWrap/>
        <w:overflowPunct/>
        <w:topLinePunct w:val="0"/>
        <w:autoSpaceDE/>
        <w:autoSpaceDN/>
        <w:adjustRightInd/>
        <w:snapToGrid/>
        <w:ind w:firstLine="480" w:firstLineChars="200"/>
        <w:jc w:val="right"/>
        <w:rPr>
          <w:rFonts w:hint="eastAsia" w:ascii="宋体" w:hAnsi="宋体" w:eastAsia="宋体" w:cs="宋体"/>
          <w:snapToGrid w:val="0"/>
          <w:color w:val="auto"/>
          <w:kern w:val="0"/>
          <w:sz w:val="24"/>
          <w:szCs w:val="24"/>
          <w:highlight w:val="none"/>
          <w:shd w:val="clear" w:color="auto" w:fill="auto"/>
          <w:lang w:val="en-US" w:eastAsia="zh-CN"/>
        </w:rPr>
      </w:pPr>
    </w:p>
    <w:p w14:paraId="6FD14EF2">
      <w:pPr>
        <w:keepNext w:val="0"/>
        <w:keepLines w:val="0"/>
        <w:pageBreakBefore w:val="0"/>
        <w:widowControl w:val="0"/>
        <w:kinsoku/>
        <w:wordWrap/>
        <w:overflowPunct/>
        <w:topLinePunct w:val="0"/>
        <w:autoSpaceDE/>
        <w:autoSpaceDN/>
        <w:adjustRightInd/>
        <w:snapToGrid/>
        <w:ind w:firstLine="480" w:firstLineChars="200"/>
        <w:jc w:val="center"/>
        <w:rPr>
          <w:rFonts w:hint="eastAsia" w:ascii="宋体" w:hAnsi="宋体" w:eastAsia="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 xml:space="preserve">                        </w:t>
      </w:r>
      <w:r>
        <w:rPr>
          <w:rFonts w:hint="eastAsia" w:ascii="宋体" w:hAnsi="宋体" w:eastAsia="宋体" w:cs="宋体"/>
          <w:snapToGrid w:val="0"/>
          <w:color w:val="auto"/>
          <w:kern w:val="0"/>
          <w:sz w:val="24"/>
          <w:szCs w:val="24"/>
          <w:highlight w:val="none"/>
          <w:shd w:val="clear" w:color="auto" w:fill="auto"/>
          <w:lang w:val="en-US" w:eastAsia="zh-CN"/>
        </w:rPr>
        <w:t>单位名称（盖章）：</w:t>
      </w:r>
    </w:p>
    <w:p w14:paraId="0B78C317">
      <w:pPr>
        <w:keepNext w:val="0"/>
        <w:keepLines w:val="0"/>
        <w:pageBreakBefore w:val="0"/>
        <w:widowControl w:val="0"/>
        <w:kinsoku/>
        <w:wordWrap/>
        <w:overflowPunct/>
        <w:topLinePunct w:val="0"/>
        <w:autoSpaceDE/>
        <w:autoSpaceDN/>
        <w:adjustRightInd/>
        <w:snapToGrid/>
        <w:ind w:firstLine="480" w:firstLineChars="200"/>
        <w:jc w:val="center"/>
        <w:rPr>
          <w:rFonts w:hint="eastAsia"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 xml:space="preserve">              </w:t>
      </w:r>
      <w:r>
        <w:rPr>
          <w:rFonts w:ascii="宋体" w:hAnsi="宋体" w:cs="宋体"/>
          <w:snapToGrid w:val="0"/>
          <w:color w:val="auto"/>
          <w:kern w:val="0"/>
          <w:sz w:val="24"/>
          <w:szCs w:val="24"/>
          <w:highlight w:val="none"/>
          <w:shd w:val="clear" w:color="auto" w:fill="auto"/>
          <w:lang w:val="en-US" w:eastAsia="zh-CN"/>
        </w:rPr>
        <w:t xml:space="preserve"> </w:t>
      </w:r>
      <w:r>
        <w:rPr>
          <w:rFonts w:hint="eastAsia" w:ascii="宋体" w:hAnsi="宋体" w:cs="宋体"/>
          <w:snapToGrid w:val="0"/>
          <w:color w:val="auto"/>
          <w:kern w:val="0"/>
          <w:sz w:val="24"/>
          <w:szCs w:val="24"/>
          <w:highlight w:val="none"/>
          <w:shd w:val="clear" w:color="auto" w:fill="auto"/>
          <w:lang w:val="en-US" w:eastAsia="zh-CN"/>
        </w:rPr>
        <w:t>联系人：</w:t>
      </w:r>
    </w:p>
    <w:p w14:paraId="4814D351">
      <w:pPr>
        <w:keepNext w:val="0"/>
        <w:keepLines w:val="0"/>
        <w:pageBreakBefore w:val="0"/>
        <w:widowControl w:val="0"/>
        <w:kinsoku/>
        <w:wordWrap/>
        <w:overflowPunct/>
        <w:topLinePunct w:val="0"/>
        <w:autoSpaceDE/>
        <w:autoSpaceDN/>
        <w:adjustRightInd/>
        <w:snapToGrid/>
        <w:ind w:firstLine="480" w:firstLineChars="200"/>
        <w:jc w:val="center"/>
        <w:rPr>
          <w:rFonts w:ascii="宋体" w:hAnsi="宋体" w:cs="宋体"/>
          <w:snapToGrid w:val="0"/>
          <w:color w:val="auto"/>
          <w:kern w:val="0"/>
          <w:sz w:val="24"/>
          <w:szCs w:val="24"/>
          <w:highlight w:val="none"/>
          <w:shd w:val="clear" w:color="auto" w:fill="auto"/>
          <w:lang w:val="en-US" w:eastAsia="zh-CN"/>
        </w:rPr>
      </w:pPr>
      <w:r>
        <w:rPr>
          <w:rFonts w:hint="eastAsia" w:ascii="宋体" w:hAnsi="宋体" w:cs="宋体"/>
          <w:snapToGrid w:val="0"/>
          <w:color w:val="auto"/>
          <w:kern w:val="0"/>
          <w:sz w:val="24"/>
          <w:szCs w:val="24"/>
          <w:highlight w:val="none"/>
          <w:shd w:val="clear" w:color="auto" w:fill="auto"/>
          <w:lang w:val="en-US" w:eastAsia="zh-CN"/>
        </w:rPr>
        <w:t xml:space="preserve">                 联系电话：</w:t>
      </w:r>
    </w:p>
    <w:p w14:paraId="010446E3">
      <w:pPr>
        <w:snapToGrid w:val="0"/>
        <w:spacing w:line="360" w:lineRule="auto"/>
        <w:ind w:firstLine="6600" w:firstLineChars="2750"/>
        <w:rPr>
          <w:rFonts w:ascii="宋体" w:hAnsi="宋体" w:eastAsia="宋体" w:cs="宋体"/>
          <w:snapToGrid w:val="0"/>
          <w:color w:val="auto"/>
          <w:kern w:val="0"/>
          <w:sz w:val="24"/>
          <w:szCs w:val="24"/>
          <w:highlight w:val="none"/>
          <w:shd w:val="clear" w:color="auto" w:fill="auto"/>
          <w:lang w:val="en-US" w:eastAsia="zh-CN"/>
        </w:rPr>
      </w:pPr>
      <w:r>
        <w:rPr>
          <w:rFonts w:hint="eastAsia" w:ascii="宋体" w:hAnsi="宋体" w:eastAsia="宋体" w:cs="宋体"/>
          <w:snapToGrid w:val="0"/>
          <w:color w:val="auto"/>
          <w:kern w:val="0"/>
          <w:sz w:val="24"/>
          <w:szCs w:val="24"/>
          <w:highlight w:val="none"/>
          <w:shd w:val="clear" w:color="auto" w:fill="auto"/>
          <w:lang w:val="en-US" w:eastAsia="zh-CN"/>
        </w:rPr>
        <w:t>202</w:t>
      </w:r>
      <w:r>
        <w:rPr>
          <w:rFonts w:hint="eastAsia" w:ascii="宋体" w:hAnsi="宋体" w:cs="宋体"/>
          <w:snapToGrid w:val="0"/>
          <w:color w:val="auto"/>
          <w:kern w:val="0"/>
          <w:sz w:val="24"/>
          <w:szCs w:val="24"/>
          <w:highlight w:val="none"/>
          <w:shd w:val="clear" w:color="auto" w:fill="auto"/>
          <w:lang w:val="en-US" w:eastAsia="zh-CN"/>
        </w:rPr>
        <w:t>4</w:t>
      </w:r>
      <w:r>
        <w:rPr>
          <w:rFonts w:hint="eastAsia" w:ascii="宋体" w:hAnsi="宋体" w:eastAsia="宋体" w:cs="宋体"/>
          <w:snapToGrid w:val="0"/>
          <w:color w:val="auto"/>
          <w:kern w:val="0"/>
          <w:sz w:val="24"/>
          <w:szCs w:val="24"/>
          <w:highlight w:val="none"/>
          <w:shd w:val="clear" w:color="auto" w:fill="auto"/>
          <w:lang w:val="en-US" w:eastAsia="zh-CN"/>
        </w:rPr>
        <w:t>年  月  日</w:t>
      </w:r>
    </w:p>
    <w:p w14:paraId="5AF4AACE">
      <w:pPr>
        <w:rPr>
          <w:rFonts w:cs="宋体"/>
          <w:snapToGrid w:val="0"/>
          <w:color w:val="auto"/>
          <w:kern w:val="0"/>
          <w:szCs w:val="24"/>
          <w:highlight w:val="none"/>
        </w:rPr>
      </w:pPr>
      <w:r>
        <w:rPr>
          <w:rFonts w:ascii="Times New Roman" w:hAnsi="Times New Roman" w:cs="宋体"/>
          <w:snapToGrid w:val="0"/>
          <w:color w:val="auto"/>
          <w:kern w:val="0"/>
          <w:szCs w:val="24"/>
          <w:highlight w:val="none"/>
        </w:rPr>
        <w:br w:type="page"/>
      </w:r>
      <w:bookmarkStart w:id="91" w:name="_Toc29189"/>
    </w:p>
    <w:p w14:paraId="45C6AA1E">
      <w:pPr>
        <w:keepNext w:val="0"/>
        <w:keepLines w:val="0"/>
        <w:pageBreakBefore w:val="0"/>
        <w:widowControl w:val="0"/>
        <w:kinsoku/>
        <w:wordWrap/>
        <w:overflowPunct/>
        <w:topLinePunct w:val="0"/>
        <w:autoSpaceDE w:val="0"/>
        <w:autoSpaceDN w:val="0"/>
        <w:adjustRightInd/>
        <w:snapToGrid/>
        <w:ind w:firstLine="0"/>
        <w:jc w:val="left"/>
        <w:outlineLvl w:val="9"/>
        <w:rPr>
          <w:rFonts w:hint="eastAsia" w:ascii="宋体" w:hAnsi="宋体" w:eastAsia="宋体" w:cs="宋体"/>
          <w:b/>
          <w:bCs/>
          <w:sz w:val="28"/>
          <w:szCs w:val="28"/>
          <w:highlight w:val="none"/>
          <w:lang w:val="en-US" w:eastAsia="zh-CN"/>
        </w:rPr>
      </w:pPr>
      <w:bookmarkStart w:id="92" w:name="_Toc1006572589"/>
      <w:r>
        <w:rPr>
          <w:rFonts w:hint="eastAsia" w:ascii="宋体" w:hAnsi="宋体" w:eastAsia="宋体" w:cs="宋体"/>
          <w:b/>
          <w:bCs/>
          <w:sz w:val="28"/>
          <w:szCs w:val="28"/>
          <w:highlight w:val="none"/>
          <w:lang w:val="en-US" w:eastAsia="zh-CN"/>
        </w:rPr>
        <w:t>附件</w:t>
      </w:r>
      <w:r>
        <w:rPr>
          <w:rFonts w:ascii="宋体" w:hAnsi="宋体" w:eastAsia="宋体" w:cs="宋体"/>
          <w:b/>
          <w:bCs/>
          <w:sz w:val="28"/>
          <w:szCs w:val="28"/>
          <w:highlight w:val="none"/>
          <w:lang w:val="en-US" w:eastAsia="zh-CN"/>
        </w:rPr>
        <w:t>二</w:t>
      </w:r>
      <w:bookmarkEnd w:id="92"/>
    </w:p>
    <w:p w14:paraId="0FD45CEA">
      <w:pPr>
        <w:jc w:val="center"/>
        <w:rPr>
          <w:rFonts w:ascii="Times New Roman" w:hAnsi="Times New Roman" w:eastAsia="微软雅黑" w:cs="Times New Roman"/>
          <w:b/>
          <w:bCs/>
          <w:sz w:val="52"/>
          <w:szCs w:val="52"/>
          <w:highlight w:val="none"/>
        </w:rPr>
      </w:pPr>
      <w:r>
        <w:rPr>
          <w:rFonts w:ascii="Times New Roman" w:hAnsi="Times New Roman" w:eastAsia="微软雅黑" w:cs="Times New Roman"/>
          <w:b/>
          <w:bCs/>
          <w:sz w:val="52"/>
          <w:szCs w:val="52"/>
          <w:highlight w:val="none"/>
        </w:rPr>
        <w:t>重庆三峡银行</w:t>
      </w:r>
    </w:p>
    <w:p w14:paraId="71B8834B">
      <w:pPr>
        <w:jc w:val="center"/>
        <w:rPr>
          <w:rFonts w:ascii="Times New Roman" w:hAnsi="Times New Roman" w:eastAsia="微软雅黑" w:cs="Times New Roman"/>
          <w:b/>
          <w:bCs/>
          <w:sz w:val="52"/>
          <w:szCs w:val="52"/>
          <w:highlight w:val="none"/>
        </w:rPr>
      </w:pPr>
      <w:r>
        <w:rPr>
          <w:rFonts w:ascii="Times New Roman" w:hAnsi="Times New Roman" w:eastAsia="微软雅黑" w:cs="Times New Roman"/>
          <w:b/>
          <w:bCs/>
          <w:sz w:val="52"/>
          <w:szCs w:val="52"/>
          <w:highlight w:val="none"/>
        </w:rPr>
        <w:t>绿色金融管理系统项目</w:t>
      </w:r>
    </w:p>
    <w:p w14:paraId="30042EC5">
      <w:pPr>
        <w:jc w:val="center"/>
        <w:rPr>
          <w:rFonts w:ascii="Times New Roman" w:hAnsi="Times New Roman" w:eastAsia="微软雅黑" w:cs="Times New Roman"/>
          <w:b/>
          <w:bCs/>
          <w:sz w:val="52"/>
          <w:szCs w:val="52"/>
          <w:highlight w:val="none"/>
        </w:rPr>
      </w:pPr>
      <w:r>
        <w:rPr>
          <w:rFonts w:ascii="Times New Roman" w:hAnsi="Times New Roman" w:eastAsia="微软雅黑" w:cs="Times New Roman"/>
          <w:b/>
          <w:bCs/>
          <w:sz w:val="52"/>
          <w:szCs w:val="52"/>
          <w:highlight w:val="none"/>
        </w:rPr>
        <w:t>POC方案</w:t>
      </w:r>
    </w:p>
    <w:p w14:paraId="191A1B9F">
      <w:pPr>
        <w:jc w:val="center"/>
        <w:rPr>
          <w:rFonts w:ascii="Times New Roman" w:hAnsi="Times New Roman" w:eastAsia="黑体" w:cs="Times New Roman"/>
          <w:sz w:val="52"/>
          <w:szCs w:val="52"/>
          <w:highlight w:val="none"/>
        </w:rPr>
      </w:pPr>
    </w:p>
    <w:p w14:paraId="5EDD38C2">
      <w:pPr>
        <w:ind w:left="0" w:firstLine="0"/>
        <w:jc w:val="both"/>
        <w:rPr>
          <w:rFonts w:ascii="Times New Roman" w:hAnsi="Times New Roman" w:eastAsia="黑体" w:cs="Times New Roman"/>
          <w:sz w:val="52"/>
          <w:szCs w:val="52"/>
          <w:highlight w:val="none"/>
        </w:rPr>
      </w:pPr>
    </w:p>
    <w:p w14:paraId="34346AAA">
      <w:pPr>
        <w:ind w:left="427" w:hanging="427"/>
        <w:jc w:val="center"/>
        <w:rPr>
          <w:rFonts w:ascii="Times New Roman" w:hAnsi="Times New Roman" w:cs="Times New Roman"/>
          <w:highlight w:val="none"/>
        </w:rPr>
      </w:pPr>
      <w:r>
        <w:rPr>
          <w:rFonts w:ascii="Times New Roman" w:hAnsi="Times New Roman" w:cs="Times New Roman"/>
          <w:highlight w:val="none"/>
        </w:rPr>
        <w:drawing>
          <wp:anchor distT="0" distB="0" distL="0" distR="0" simplePos="0" relativeHeight="251659264" behindDoc="0" locked="0" layoutInCell="1" allowOverlap="1">
            <wp:simplePos x="0" y="0"/>
            <wp:positionH relativeFrom="column">
              <wp:posOffset>1303020</wp:posOffset>
            </wp:positionH>
            <wp:positionV relativeFrom="paragraph">
              <wp:posOffset>-266700</wp:posOffset>
            </wp:positionV>
            <wp:extent cx="2658745" cy="554355"/>
            <wp:effectExtent l="0" t="0" r="23" b="9"/>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2658745" cy="554355"/>
                    </a:xfrm>
                    <a:prstGeom prst="rect">
                      <a:avLst/>
                    </a:prstGeom>
                    <a:noFill/>
                    <a:ln w="9525" cap="flat" cmpd="sng">
                      <a:noFill/>
                      <a:prstDash val="solid"/>
                      <a:round/>
                    </a:ln>
                  </pic:spPr>
                </pic:pic>
              </a:graphicData>
            </a:graphic>
          </wp:anchor>
        </w:drawing>
      </w:r>
    </w:p>
    <w:p w14:paraId="76A1D717">
      <w:pPr>
        <w:ind w:left="427" w:hanging="427"/>
        <w:rPr>
          <w:rFonts w:ascii="Times New Roman" w:hAnsi="Times New Roman" w:cs="Times New Roman"/>
          <w:highlight w:val="none"/>
        </w:rPr>
      </w:pPr>
    </w:p>
    <w:p w14:paraId="24D3BC72">
      <w:pPr>
        <w:ind w:left="427" w:hanging="427"/>
        <w:rPr>
          <w:rFonts w:ascii="Times New Roman" w:hAnsi="Times New Roman" w:cs="Times New Roman"/>
          <w:highlight w:val="none"/>
        </w:rPr>
      </w:pPr>
    </w:p>
    <w:p w14:paraId="4129C823">
      <w:pPr>
        <w:ind w:left="427" w:hanging="427"/>
        <w:rPr>
          <w:rFonts w:ascii="Times New Roman" w:hAnsi="Times New Roman" w:cs="Times New Roman"/>
          <w:highlight w:val="none"/>
        </w:rPr>
      </w:pPr>
    </w:p>
    <w:p w14:paraId="1D2BC468">
      <w:pPr>
        <w:ind w:left="427" w:hanging="427"/>
        <w:rPr>
          <w:rFonts w:ascii="Times New Roman" w:hAnsi="Times New Roman" w:cs="Times New Roman"/>
          <w:highlight w:val="none"/>
        </w:rPr>
      </w:pPr>
    </w:p>
    <w:p w14:paraId="3A6ED156">
      <w:pPr>
        <w:ind w:left="427" w:hanging="427"/>
        <w:rPr>
          <w:rFonts w:ascii="Times New Roman" w:hAnsi="Times New Roman" w:cs="Times New Roman"/>
          <w:highlight w:val="none"/>
        </w:rPr>
      </w:pPr>
    </w:p>
    <w:p w14:paraId="72E7FDA5">
      <w:pPr>
        <w:ind w:left="427" w:hanging="427"/>
        <w:rPr>
          <w:rFonts w:ascii="Times New Roman" w:hAnsi="Times New Roman" w:cs="Times New Roman"/>
          <w:highlight w:val="none"/>
        </w:rPr>
      </w:pPr>
    </w:p>
    <w:p w14:paraId="365C1B9D">
      <w:pPr>
        <w:ind w:left="427" w:hanging="427"/>
        <w:rPr>
          <w:rFonts w:ascii="Times New Roman" w:hAnsi="Times New Roman" w:cs="Times New Roman"/>
          <w:highlight w:val="none"/>
        </w:rPr>
      </w:pPr>
    </w:p>
    <w:p w14:paraId="55ABDA60">
      <w:pPr>
        <w:ind w:left="427" w:hanging="427"/>
        <w:rPr>
          <w:rFonts w:ascii="Times New Roman" w:hAnsi="Times New Roman" w:cs="Times New Roman"/>
          <w:highlight w:val="none"/>
        </w:rPr>
      </w:pPr>
    </w:p>
    <w:p w14:paraId="1E19FEF1">
      <w:pPr>
        <w:ind w:left="427" w:hanging="427"/>
        <w:rPr>
          <w:rFonts w:ascii="Times New Roman" w:hAnsi="Times New Roman" w:cs="Times New Roman"/>
          <w:highlight w:val="none"/>
        </w:rPr>
      </w:pPr>
    </w:p>
    <w:p w14:paraId="4A51C48D">
      <w:pPr>
        <w:ind w:left="427" w:hanging="427"/>
        <w:rPr>
          <w:rFonts w:ascii="Times New Roman" w:hAnsi="Times New Roman" w:cs="Times New Roman"/>
          <w:highlight w:val="none"/>
        </w:rPr>
      </w:pPr>
    </w:p>
    <w:p w14:paraId="6A36D8C4">
      <w:pPr>
        <w:ind w:left="427" w:hanging="427"/>
        <w:rPr>
          <w:rFonts w:ascii="Times New Roman" w:hAnsi="Times New Roman" w:cs="Times New Roman"/>
          <w:highlight w:val="none"/>
        </w:rPr>
      </w:pPr>
    </w:p>
    <w:p w14:paraId="419A5359">
      <w:pPr>
        <w:ind w:left="427" w:hanging="427"/>
        <w:rPr>
          <w:rFonts w:ascii="Times New Roman" w:hAnsi="Times New Roman" w:cs="Times New Roman"/>
          <w:highlight w:val="none"/>
        </w:rPr>
      </w:pPr>
    </w:p>
    <w:p w14:paraId="46EC53D1">
      <w:pPr>
        <w:ind w:left="427" w:hanging="427"/>
        <w:rPr>
          <w:rFonts w:ascii="Times New Roman" w:hAnsi="Times New Roman" w:cs="Times New Roman"/>
          <w:highlight w:val="none"/>
        </w:rPr>
      </w:pPr>
    </w:p>
    <w:p w14:paraId="574713CF">
      <w:pPr>
        <w:ind w:left="427" w:hanging="427"/>
        <w:jc w:val="center"/>
        <w:rPr>
          <w:rFonts w:ascii="Times New Roman" w:hAnsi="Times New Roman" w:eastAsia="黑体" w:cs="Times New Roman"/>
          <w:sz w:val="44"/>
          <w:szCs w:val="44"/>
          <w:highlight w:val="none"/>
        </w:rPr>
      </w:pPr>
    </w:p>
    <w:p w14:paraId="4CE75466">
      <w:pPr>
        <w:ind w:left="427" w:hanging="427"/>
        <w:jc w:val="center"/>
        <w:rPr>
          <w:rFonts w:ascii="Times New Roman" w:hAnsi="Times New Roman" w:eastAsia="微软雅黑" w:cs="Times New Roman"/>
          <w:b/>
          <w:bCs/>
          <w:sz w:val="28"/>
          <w:szCs w:val="28"/>
          <w:highlight w:val="none"/>
        </w:rPr>
      </w:pPr>
    </w:p>
    <w:p w14:paraId="0CB64A6C">
      <w:pPr>
        <w:rPr>
          <w:rFonts w:ascii="Times New Roman" w:hAnsi="Times New Roman" w:cs="Times New Roman"/>
          <w:highlight w:val="none"/>
        </w:rPr>
      </w:pPr>
    </w:p>
    <w:p w14:paraId="6F192B67">
      <w:pPr>
        <w:rPr>
          <w:rFonts w:ascii="Times New Roman" w:hAnsi="Times New Roman" w:cs="Times New Roman"/>
          <w:highlight w:val="none"/>
        </w:rPr>
      </w:pPr>
    </w:p>
    <w:p w14:paraId="4606662D">
      <w:pPr>
        <w:pStyle w:val="44"/>
        <w:numPr>
          <w:ilvl w:val="0"/>
          <w:numId w:val="5"/>
        </w:numPr>
        <w:ind w:firstLineChars="0"/>
        <w:rPr>
          <w:rFonts w:ascii="Times New Roman" w:hAnsi="Times New Roman" w:eastAsia="微软雅黑" w:cs="Times New Roman"/>
          <w:b/>
          <w:bCs/>
          <w:sz w:val="32"/>
          <w:szCs w:val="32"/>
          <w:highlight w:val="none"/>
        </w:rPr>
      </w:pPr>
      <w:r>
        <w:rPr>
          <w:rFonts w:ascii="Times New Roman" w:hAnsi="Times New Roman" w:eastAsia="微软雅黑" w:cs="Times New Roman"/>
          <w:b/>
          <w:bCs/>
          <w:sz w:val="32"/>
          <w:szCs w:val="32"/>
          <w:highlight w:val="none"/>
        </w:rPr>
        <w:t>POC背景</w:t>
      </w:r>
    </w:p>
    <w:p w14:paraId="6559B2D2">
      <w:pPr>
        <w:pStyle w:val="44"/>
        <w:spacing w:line="360" w:lineRule="auto"/>
        <w:ind w:firstLine="0" w:firstLineChars="0"/>
        <w:rPr>
          <w:rFonts w:ascii="Times New Roman" w:hAnsi="Times New Roman" w:eastAsia="微软雅黑" w:cs="Times New Roman"/>
          <w:b/>
          <w:bCs/>
          <w:sz w:val="32"/>
          <w:szCs w:val="32"/>
          <w:highlight w:val="none"/>
        </w:rPr>
      </w:pPr>
      <w:r>
        <w:rPr>
          <w:rFonts w:ascii="Times New Roman" w:hAnsi="Times New Roman" w:eastAsia="微软雅黑" w:cs="Times New Roman"/>
          <w:b/>
          <w:bCs/>
          <w:sz w:val="28"/>
          <w:szCs w:val="32"/>
          <w:highlight w:val="none"/>
        </w:rPr>
        <w:t>1、测试范围</w:t>
      </w:r>
    </w:p>
    <w:p w14:paraId="0EAE14A6">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建设绿色金融业务管理系统，可成为推进重庆三峡银行（以下简称“我行”）绿色金融发展战略的切入点、以及创造差异化优势及提升客户服务能力的有力工具，有助于我行打造良好的绿色金融品牌、树立积极支持绿色发展的良好形象。</w:t>
      </w:r>
    </w:p>
    <w:p w14:paraId="2D60769F">
      <w:pPr>
        <w:adjustRightInd w:val="0"/>
        <w:snapToGrid w:val="0"/>
        <w:spacing w:line="360" w:lineRule="auto"/>
        <w:ind w:firstLine="480" w:firstLineChars="200"/>
        <w:rPr>
          <w:rFonts w:ascii="Times New Roman" w:hAnsi="Times New Roman" w:eastAsia="方正仿宋_GBK" w:cs="Times New Roman"/>
          <w:sz w:val="28"/>
          <w:szCs w:val="28"/>
          <w:highlight w:val="none"/>
        </w:rPr>
      </w:pPr>
      <w:r>
        <w:rPr>
          <w:rFonts w:hint="eastAsia" w:ascii="宋体" w:hAnsi="宋体" w:cs="宋体"/>
          <w:szCs w:val="24"/>
          <w:highlight w:val="none"/>
        </w:rPr>
        <w:t>为了保证项目的工程质量，结合前期与厂商沟通交流的结果，经过绿色金融管理系统项目相关成员商议后，决定对潜在厂商进行POC测试。</w:t>
      </w:r>
    </w:p>
    <w:p w14:paraId="6C0ADBD2">
      <w:pPr>
        <w:pStyle w:val="44"/>
        <w:spacing w:line="360" w:lineRule="auto"/>
        <w:ind w:firstLine="0" w:firstLineChars="0"/>
        <w:rPr>
          <w:rFonts w:ascii="Times New Roman" w:hAnsi="Times New Roman" w:eastAsia="微软雅黑" w:cs="Times New Roman"/>
          <w:b/>
          <w:bCs/>
          <w:sz w:val="32"/>
          <w:szCs w:val="32"/>
          <w:highlight w:val="none"/>
        </w:rPr>
      </w:pPr>
      <w:r>
        <w:rPr>
          <w:rFonts w:ascii="Times New Roman" w:hAnsi="Times New Roman" w:eastAsia="微软雅黑" w:cs="Times New Roman"/>
          <w:b/>
          <w:bCs/>
          <w:sz w:val="28"/>
          <w:szCs w:val="32"/>
          <w:highlight w:val="none"/>
        </w:rPr>
        <w:t>2、测试目的</w:t>
      </w:r>
    </w:p>
    <w:p w14:paraId="1AE18E04">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本次POC的目的是通过绿色金融管理系统功能的演示、产品架构设计的讲解，使我行进一步了解和考查厂商（以下简称乙方）绿色金融管理系统项目产品的业务和技术能力。业务方面旨在查看厂商系统功能是否能够满足行方要求，即客户管理、绿色智能识别、环境效益测算、环境与社会风险管理、碳核算等模块；技术方面主要查看厂商系统在安全和架构方面的设计。</w:t>
      </w:r>
    </w:p>
    <w:p w14:paraId="411CCADA">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通过本测试，应达到如下目的：</w:t>
      </w:r>
    </w:p>
    <w:p w14:paraId="79E84EFA">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（1）考察系统技术体系及业务体系先进性及针对我行业务和技术需求的适应性；</w:t>
      </w:r>
    </w:p>
    <w:p w14:paraId="4BE3CF7B">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（2）查看厂商对行方需求的理解能力和将其转换为可实际落地产品规划和完整可用产品设计的能力；</w:t>
      </w:r>
    </w:p>
    <w:p w14:paraId="6F61810E">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（3）验证系统能否在XC产品上正常运行；</w:t>
      </w:r>
    </w:p>
    <w:p w14:paraId="30E5ADDD">
      <w:pPr>
        <w:adjustRightInd w:val="0"/>
        <w:snapToGrid w:val="0"/>
        <w:spacing w:line="360" w:lineRule="auto"/>
        <w:ind w:firstLine="480" w:firstLineChars="200"/>
        <w:rPr>
          <w:rFonts w:ascii="Times New Roman" w:hAnsi="Times New Roman" w:eastAsia="方正仿宋_GBK" w:cs="Times New Roman"/>
          <w:sz w:val="28"/>
          <w:szCs w:val="28"/>
          <w:highlight w:val="none"/>
        </w:rPr>
      </w:pPr>
      <w:r>
        <w:rPr>
          <w:rFonts w:hint="eastAsia" w:ascii="宋体" w:hAnsi="宋体" w:cs="宋体"/>
          <w:szCs w:val="24"/>
          <w:highlight w:val="none"/>
        </w:rPr>
        <w:t>（4）检验系统是否具有良好的可交互性、可管理性、系统安全性、可扩展性、可维护性及容错性等。</w:t>
      </w:r>
    </w:p>
    <w:p w14:paraId="7768CF84">
      <w:pPr>
        <w:pStyle w:val="44"/>
        <w:numPr>
          <w:ilvl w:val="0"/>
          <w:numId w:val="5"/>
        </w:numPr>
        <w:ind w:firstLineChars="0"/>
        <w:rPr>
          <w:rFonts w:ascii="Times New Roman" w:hAnsi="Times New Roman" w:eastAsia="微软雅黑" w:cs="Times New Roman"/>
          <w:b/>
          <w:bCs/>
          <w:sz w:val="32"/>
          <w:szCs w:val="32"/>
          <w:highlight w:val="none"/>
        </w:rPr>
      </w:pPr>
      <w:r>
        <w:rPr>
          <w:rFonts w:ascii="Times New Roman" w:hAnsi="Times New Roman" w:eastAsia="微软雅黑" w:cs="Times New Roman"/>
          <w:b/>
          <w:bCs/>
          <w:sz w:val="32"/>
          <w:szCs w:val="32"/>
          <w:highlight w:val="none"/>
        </w:rPr>
        <w:t>POC安排</w:t>
      </w:r>
    </w:p>
    <w:p w14:paraId="3F4D9156">
      <w:pPr>
        <w:pStyle w:val="44"/>
        <w:numPr>
          <w:ilvl w:val="2"/>
          <w:numId w:val="5"/>
        </w:numPr>
        <w:spacing w:line="360" w:lineRule="auto"/>
        <w:ind w:firstLineChars="0"/>
        <w:rPr>
          <w:rFonts w:ascii="Times New Roman" w:hAnsi="Times New Roman" w:eastAsia="微软雅黑" w:cs="Times New Roman"/>
          <w:b/>
          <w:bCs/>
          <w:sz w:val="28"/>
          <w:szCs w:val="28"/>
          <w:highlight w:val="none"/>
        </w:rPr>
      </w:pPr>
      <w:r>
        <w:rPr>
          <w:rFonts w:ascii="Times New Roman" w:hAnsi="Times New Roman" w:eastAsia="微软雅黑" w:cs="Times New Roman"/>
          <w:b/>
          <w:bCs/>
          <w:sz w:val="28"/>
          <w:szCs w:val="28"/>
          <w:highlight w:val="none"/>
        </w:rPr>
        <w:t>POC时间、地点</w:t>
      </w:r>
    </w:p>
    <w:p w14:paraId="662A9BC4">
      <w:pPr>
        <w:adjustRightInd w:val="0"/>
        <w:snapToGrid w:val="0"/>
        <w:ind w:firstLine="480" w:firstLineChars="200"/>
        <w:rPr>
          <w:rFonts w:hint="eastAsia"/>
          <w:szCs w:val="24"/>
          <w:highlight w:val="none"/>
        </w:rPr>
      </w:pPr>
      <w:r>
        <w:rPr>
          <w:rFonts w:hint="eastAsia" w:ascii="宋体" w:cs="宋体"/>
          <w:szCs w:val="24"/>
          <w:highlight w:val="none"/>
        </w:rPr>
        <w:t>本次</w:t>
      </w:r>
      <w:r>
        <w:rPr>
          <w:rFonts w:ascii="宋体" w:cs="宋体"/>
          <w:szCs w:val="24"/>
          <w:highlight w:val="none"/>
        </w:rPr>
        <w:t>POC测试</w:t>
      </w:r>
      <w:r>
        <w:rPr>
          <w:rFonts w:hint="eastAsia" w:ascii="宋体" w:cs="宋体"/>
          <w:szCs w:val="24"/>
          <w:highlight w:val="none"/>
        </w:rPr>
        <w:t>时间根据项目实际情况安排，在比选前完成，厂商根据安排</w:t>
      </w:r>
      <w:r>
        <w:rPr>
          <w:rFonts w:ascii="宋体" w:cs="宋体"/>
          <w:szCs w:val="24"/>
          <w:highlight w:val="none"/>
        </w:rPr>
        <w:t>分批次</w:t>
      </w:r>
      <w:r>
        <w:rPr>
          <w:rFonts w:hint="eastAsia" w:ascii="宋体" w:cs="宋体"/>
          <w:szCs w:val="24"/>
          <w:highlight w:val="none"/>
        </w:rPr>
        <w:t>入场实施，在规定时间内完成相关</w:t>
      </w:r>
      <w:r>
        <w:rPr>
          <w:rFonts w:ascii="宋体" w:cs="宋体"/>
          <w:szCs w:val="24"/>
          <w:highlight w:val="none"/>
        </w:rPr>
        <w:t>POC测试</w:t>
      </w:r>
      <w:r>
        <w:rPr>
          <w:rFonts w:hint="eastAsia" w:ascii="宋体" w:cs="宋体"/>
          <w:szCs w:val="24"/>
          <w:highlight w:val="none"/>
        </w:rPr>
        <w:t>案例内容。</w:t>
      </w:r>
    </w:p>
    <w:p w14:paraId="55EEFFEA">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（1）时间</w:t>
      </w:r>
    </w:p>
    <w:p w14:paraId="2190B482">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根据项目情况实际安排</w:t>
      </w:r>
    </w:p>
    <w:p w14:paraId="1221DFE0">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（2）地点</w:t>
      </w:r>
    </w:p>
    <w:p w14:paraId="12B4E840">
      <w:pPr>
        <w:adjustRightInd w:val="0"/>
        <w:snapToGrid w:val="0"/>
        <w:spacing w:line="360" w:lineRule="auto"/>
        <w:ind w:firstLine="480" w:firstLineChars="200"/>
        <w:rPr>
          <w:rFonts w:ascii="宋体" w:hAnsi="宋体" w:cs="宋体"/>
          <w:szCs w:val="24"/>
          <w:highlight w:val="none"/>
        </w:rPr>
      </w:pPr>
      <w:r>
        <w:rPr>
          <w:rFonts w:hint="eastAsia" w:ascii="宋体" w:hAnsi="宋体" w:cs="宋体"/>
          <w:szCs w:val="24"/>
          <w:highlight w:val="none"/>
        </w:rPr>
        <w:t>重庆三峡银行西永办公楼</w:t>
      </w:r>
    </w:p>
    <w:p w14:paraId="5360D45D">
      <w:pPr>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（重庆市沙坪坝区学城大道67号西永软件楼2号楼）</w:t>
      </w:r>
    </w:p>
    <w:p w14:paraId="3FEB787E">
      <w:pPr>
        <w:pStyle w:val="44"/>
        <w:numPr>
          <w:ilvl w:val="2"/>
          <w:numId w:val="5"/>
        </w:numPr>
        <w:spacing w:line="360" w:lineRule="auto"/>
        <w:ind w:firstLineChars="0"/>
        <w:rPr>
          <w:rFonts w:ascii="Times New Roman" w:hAnsi="Times New Roman" w:eastAsia="微软雅黑" w:cs="Times New Roman"/>
          <w:b/>
          <w:bCs/>
          <w:sz w:val="28"/>
          <w:szCs w:val="28"/>
          <w:highlight w:val="none"/>
        </w:rPr>
      </w:pPr>
      <w:r>
        <w:rPr>
          <w:rFonts w:ascii="Times New Roman" w:hAnsi="Times New Roman" w:eastAsia="微软雅黑" w:cs="Times New Roman"/>
          <w:b/>
          <w:bCs/>
          <w:sz w:val="28"/>
          <w:szCs w:val="28"/>
          <w:highlight w:val="none"/>
        </w:rPr>
        <w:t>POC计划</w:t>
      </w:r>
    </w:p>
    <w:p w14:paraId="4539F9BA">
      <w:pPr>
        <w:pStyle w:val="44"/>
        <w:adjustRightInd w:val="0"/>
        <w:snapToGrid w:val="0"/>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POC实施阶段包括环境的搭建、现场开发；</w:t>
      </w:r>
      <w:r>
        <w:rPr>
          <w:rFonts w:hint="eastAsia" w:ascii="宋体" w:hAnsi="宋体" w:cs="宋体"/>
          <w:color w:val="auto"/>
          <w:kern w:val="0"/>
          <w:szCs w:val="24"/>
          <w:highlight w:val="none"/>
        </w:rPr>
        <w:t>业务需求展示讲解，厂商与</w:t>
      </w:r>
      <w:r>
        <w:rPr>
          <w:rFonts w:hint="eastAsia" w:ascii="宋体" w:hAnsi="宋体" w:cs="宋体"/>
          <w:szCs w:val="24"/>
          <w:highlight w:val="none"/>
        </w:rPr>
        <w:t>行内业务、科技人员交流，以及根据POC案例进行测试评分。具体日程安排如下：</w:t>
      </w:r>
    </w:p>
    <w:tbl>
      <w:tblPr>
        <w:tblStyle w:val="24"/>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500"/>
        <w:gridCol w:w="5783"/>
      </w:tblGrid>
      <w:tr w14:paraId="3F77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35" w:type="dxa"/>
            <w:shd w:val="clear" w:color="FFFFFF" w:fill="D8D8D8"/>
            <w:vAlign w:val="center"/>
          </w:tcPr>
          <w:p w14:paraId="059373F1">
            <w:pPr>
              <w:keepNext w:val="0"/>
              <w:keepLines w:val="0"/>
              <w:widowControl/>
              <w:suppressLineNumbers w:val="0"/>
              <w:spacing w:before="0" w:beforeAutospacing="0" w:after="0" w:afterAutospacing="0" w:line="240" w:lineRule="auto"/>
              <w:ind w:left="0" w:right="0" w:firstLine="0"/>
              <w:jc w:val="center"/>
              <w:rPr>
                <w:rFonts w:hint="default"/>
                <w:b/>
                <w:bCs/>
                <w:color w:val="auto"/>
                <w:kern w:val="0"/>
                <w:sz w:val="24"/>
                <w:szCs w:val="24"/>
                <w:highlight w:val="none"/>
              </w:rPr>
            </w:pPr>
            <w:r>
              <w:rPr>
                <w:rFonts w:hint="default"/>
                <w:b/>
                <w:bCs/>
                <w:color w:val="auto"/>
                <w:kern w:val="0"/>
                <w:sz w:val="24"/>
                <w:szCs w:val="24"/>
                <w:highlight w:val="none"/>
              </w:rPr>
              <w:t>主要任务</w:t>
            </w:r>
          </w:p>
        </w:tc>
        <w:tc>
          <w:tcPr>
            <w:tcW w:w="1500" w:type="dxa"/>
            <w:shd w:val="clear" w:color="FFFFFF" w:fill="D8D8D8"/>
            <w:vAlign w:val="center"/>
          </w:tcPr>
          <w:p w14:paraId="6E7750E5">
            <w:pPr>
              <w:keepNext w:val="0"/>
              <w:keepLines w:val="0"/>
              <w:widowControl/>
              <w:suppressLineNumbers w:val="0"/>
              <w:spacing w:before="0" w:beforeAutospacing="0" w:after="0" w:afterAutospacing="0"/>
              <w:ind w:left="0" w:right="0" w:firstLine="0"/>
              <w:jc w:val="center"/>
              <w:rPr>
                <w:rFonts w:hint="default"/>
                <w:b/>
                <w:bCs/>
                <w:color w:val="auto"/>
                <w:kern w:val="0"/>
                <w:sz w:val="24"/>
                <w:szCs w:val="24"/>
                <w:highlight w:val="none"/>
              </w:rPr>
            </w:pPr>
            <w:r>
              <w:rPr>
                <w:rFonts w:hint="default"/>
                <w:b/>
                <w:bCs/>
                <w:color w:val="auto"/>
                <w:kern w:val="0"/>
                <w:sz w:val="24"/>
                <w:szCs w:val="24"/>
                <w:highlight w:val="none"/>
              </w:rPr>
              <w:t>人员</w:t>
            </w:r>
          </w:p>
        </w:tc>
        <w:tc>
          <w:tcPr>
            <w:tcW w:w="5783" w:type="dxa"/>
            <w:shd w:val="clear" w:color="FFFFFF" w:fill="D8D8D8"/>
            <w:vAlign w:val="center"/>
          </w:tcPr>
          <w:p w14:paraId="66585EA3">
            <w:pPr>
              <w:keepNext w:val="0"/>
              <w:keepLines w:val="0"/>
              <w:widowControl/>
              <w:suppressLineNumbers w:val="0"/>
              <w:spacing w:before="0" w:beforeAutospacing="0" w:after="0" w:afterAutospacing="0"/>
              <w:ind w:left="0" w:right="0" w:firstLine="0"/>
              <w:jc w:val="center"/>
              <w:rPr>
                <w:rFonts w:hint="default"/>
                <w:b/>
                <w:bCs/>
                <w:color w:val="auto"/>
                <w:kern w:val="0"/>
                <w:sz w:val="24"/>
                <w:szCs w:val="24"/>
                <w:highlight w:val="none"/>
              </w:rPr>
            </w:pPr>
            <w:r>
              <w:rPr>
                <w:rFonts w:hint="default"/>
                <w:b/>
                <w:bCs/>
                <w:color w:val="auto"/>
                <w:kern w:val="0"/>
                <w:sz w:val="24"/>
                <w:szCs w:val="24"/>
                <w:highlight w:val="none"/>
              </w:rPr>
              <w:t>备注</w:t>
            </w:r>
          </w:p>
        </w:tc>
      </w:tr>
      <w:tr w14:paraId="66DD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35" w:type="dxa"/>
            <w:shd w:val="clear" w:color="auto" w:fill="auto"/>
            <w:vAlign w:val="center"/>
          </w:tcPr>
          <w:p w14:paraId="509EEB20">
            <w:pPr>
              <w:keepNext w:val="0"/>
              <w:keepLines w:val="0"/>
              <w:widowControl/>
              <w:suppressLineNumbers w:val="0"/>
              <w:spacing w:before="0" w:beforeAutospacing="0" w:after="0" w:afterAutospacing="0"/>
              <w:ind w:left="0" w:right="0" w:firstLine="0"/>
              <w:jc w:val="both"/>
              <w:rPr>
                <w:rFonts w:hint="default"/>
                <w:color w:val="auto"/>
                <w:kern w:val="0"/>
                <w:sz w:val="22"/>
                <w:highlight w:val="none"/>
              </w:rPr>
            </w:pPr>
            <w:r>
              <w:rPr>
                <w:rFonts w:hint="default"/>
                <w:color w:val="auto"/>
                <w:kern w:val="0"/>
                <w:sz w:val="22"/>
                <w:highlight w:val="none"/>
              </w:rPr>
              <w:t>POC准备</w:t>
            </w:r>
          </w:p>
        </w:tc>
        <w:tc>
          <w:tcPr>
            <w:tcW w:w="1500" w:type="dxa"/>
            <w:tcBorders>
              <w:left w:val="single" w:color="auto" w:sz="4" w:space="0"/>
            </w:tcBorders>
            <w:shd w:val="clear" w:color="auto" w:fill="auto"/>
            <w:vAlign w:val="center"/>
          </w:tcPr>
          <w:p w14:paraId="0B0218EC">
            <w:pPr>
              <w:keepNext w:val="0"/>
              <w:keepLines w:val="0"/>
              <w:widowControl/>
              <w:suppressLineNumbers w:val="0"/>
              <w:spacing w:before="0" w:beforeAutospacing="0" w:after="0" w:afterAutospacing="0"/>
              <w:ind w:left="0" w:right="0" w:firstLine="0"/>
              <w:jc w:val="both"/>
              <w:rPr>
                <w:rFonts w:hint="default"/>
                <w:color w:val="auto"/>
                <w:kern w:val="0"/>
                <w:sz w:val="22"/>
                <w:highlight w:val="none"/>
              </w:rPr>
            </w:pPr>
            <w:r>
              <w:rPr>
                <w:rFonts w:hint="default"/>
                <w:color w:val="auto"/>
                <w:kern w:val="0"/>
                <w:sz w:val="22"/>
                <w:highlight w:val="none"/>
              </w:rPr>
              <w:t>厂商</w:t>
            </w:r>
          </w:p>
        </w:tc>
        <w:tc>
          <w:tcPr>
            <w:tcW w:w="5783" w:type="dxa"/>
            <w:tcBorders>
              <w:left w:val="single" w:color="auto" w:sz="4" w:space="0"/>
            </w:tcBorders>
            <w:shd w:val="clear" w:color="auto" w:fill="auto"/>
            <w:vAlign w:val="center"/>
          </w:tcPr>
          <w:p w14:paraId="1EE1E148">
            <w:pPr>
              <w:keepNext w:val="0"/>
              <w:keepLines w:val="0"/>
              <w:widowControl/>
              <w:suppressLineNumbers w:val="0"/>
              <w:spacing w:before="0" w:beforeAutospacing="0" w:after="0" w:afterAutospacing="0"/>
              <w:ind w:left="0" w:right="0" w:firstLine="0"/>
              <w:jc w:val="left"/>
              <w:rPr>
                <w:rFonts w:hint="default"/>
                <w:color w:val="auto"/>
                <w:kern w:val="0"/>
                <w:sz w:val="22"/>
                <w:highlight w:val="none"/>
              </w:rPr>
            </w:pPr>
            <w:r>
              <w:rPr>
                <w:rFonts w:hint="default"/>
                <w:color w:val="auto"/>
                <w:kern w:val="0"/>
                <w:sz w:val="22"/>
                <w:highlight w:val="none"/>
              </w:rPr>
              <w:t>环境搭建、系统开发测试</w:t>
            </w:r>
          </w:p>
        </w:tc>
      </w:tr>
      <w:tr w14:paraId="7B38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35" w:type="dxa"/>
            <w:vMerge w:val="restart"/>
            <w:shd w:val="clear" w:color="auto" w:fill="auto"/>
            <w:vAlign w:val="center"/>
          </w:tcPr>
          <w:p w14:paraId="56B9F4F0">
            <w:pPr>
              <w:keepNext w:val="0"/>
              <w:keepLines w:val="0"/>
              <w:widowControl/>
              <w:suppressLineNumbers w:val="0"/>
              <w:spacing w:before="0" w:beforeAutospacing="0" w:after="0" w:afterAutospacing="0"/>
              <w:ind w:left="0" w:right="0" w:firstLine="0"/>
              <w:jc w:val="both"/>
              <w:rPr>
                <w:rFonts w:hint="default"/>
                <w:color w:val="auto"/>
                <w:kern w:val="0"/>
                <w:sz w:val="22"/>
                <w:highlight w:val="none"/>
              </w:rPr>
            </w:pPr>
            <w:r>
              <w:rPr>
                <w:rFonts w:hint="default"/>
                <w:color w:val="auto"/>
                <w:kern w:val="0"/>
                <w:sz w:val="22"/>
                <w:highlight w:val="none"/>
              </w:rPr>
              <w:t>POC评测</w:t>
            </w:r>
          </w:p>
        </w:tc>
        <w:tc>
          <w:tcPr>
            <w:tcW w:w="1500" w:type="dxa"/>
            <w:vMerge w:val="restart"/>
            <w:tcBorders>
              <w:left w:val="single" w:color="auto" w:sz="4" w:space="0"/>
            </w:tcBorders>
            <w:shd w:val="clear" w:color="auto" w:fill="auto"/>
            <w:vAlign w:val="center"/>
          </w:tcPr>
          <w:p w14:paraId="4850CF90">
            <w:pPr>
              <w:keepNext w:val="0"/>
              <w:keepLines w:val="0"/>
              <w:widowControl/>
              <w:suppressLineNumbers w:val="0"/>
              <w:spacing w:before="0" w:beforeAutospacing="0" w:after="0" w:afterAutospacing="0"/>
              <w:ind w:left="0" w:right="0" w:firstLine="0"/>
              <w:jc w:val="both"/>
              <w:rPr>
                <w:rFonts w:hint="default"/>
                <w:color w:val="auto"/>
                <w:kern w:val="0"/>
                <w:sz w:val="22"/>
                <w:highlight w:val="none"/>
              </w:rPr>
            </w:pPr>
            <w:r>
              <w:rPr>
                <w:rFonts w:hint="default"/>
                <w:color w:val="auto"/>
                <w:kern w:val="0"/>
                <w:sz w:val="22"/>
                <w:highlight w:val="none"/>
              </w:rPr>
              <w:t>厂商、行内业务、科技人员</w:t>
            </w:r>
          </w:p>
        </w:tc>
        <w:tc>
          <w:tcPr>
            <w:tcW w:w="5783" w:type="dxa"/>
            <w:tcBorders>
              <w:left w:val="single" w:color="auto" w:sz="4" w:space="0"/>
            </w:tcBorders>
            <w:shd w:val="clear" w:color="auto" w:fill="auto"/>
            <w:vAlign w:val="center"/>
          </w:tcPr>
          <w:p w14:paraId="01037EC5">
            <w:pPr>
              <w:keepNext w:val="0"/>
              <w:keepLines w:val="0"/>
              <w:widowControl/>
              <w:suppressLineNumbers w:val="0"/>
              <w:spacing w:before="0" w:beforeAutospacing="0" w:after="0" w:afterAutospacing="0"/>
              <w:ind w:left="0" w:right="0" w:firstLine="0"/>
              <w:jc w:val="left"/>
              <w:rPr>
                <w:rFonts w:hint="default"/>
                <w:color w:val="auto"/>
                <w:kern w:val="0"/>
                <w:sz w:val="22"/>
                <w:highlight w:val="none"/>
              </w:rPr>
            </w:pPr>
            <w:r>
              <w:rPr>
                <w:rFonts w:hint="default"/>
                <w:color w:val="auto"/>
                <w:kern w:val="0"/>
                <w:sz w:val="22"/>
                <w:highlight w:val="none"/>
              </w:rPr>
              <w:t>1、业务需求展示讲解，业务、技术沟通交流</w:t>
            </w:r>
          </w:p>
        </w:tc>
      </w:tr>
      <w:tr w14:paraId="4D9F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0" w:type="dxa"/>
            <w:vMerge w:val="continue"/>
            <w:vAlign w:val="center"/>
          </w:tcPr>
          <w:p w14:paraId="4B5C70DA">
            <w:pPr>
              <w:keepNext w:val="0"/>
              <w:keepLines w:val="0"/>
              <w:suppressLineNumbers w:val="0"/>
              <w:spacing w:before="0" w:beforeAutospacing="0" w:after="0" w:afterAutospacing="0"/>
              <w:ind w:left="0" w:right="0"/>
              <w:rPr>
                <w:rFonts w:hint="default"/>
                <w:highlight w:val="none"/>
              </w:rPr>
            </w:pPr>
          </w:p>
        </w:tc>
        <w:tc>
          <w:tcPr>
            <w:tcW w:w="1663" w:type="dxa"/>
            <w:vMerge w:val="continue"/>
            <w:tcBorders>
              <w:left w:val="single" w:color="auto" w:sz="4" w:space="0"/>
            </w:tcBorders>
            <w:vAlign w:val="center"/>
          </w:tcPr>
          <w:p w14:paraId="78082BB2">
            <w:pPr>
              <w:keepNext w:val="0"/>
              <w:keepLines w:val="0"/>
              <w:suppressLineNumbers w:val="0"/>
              <w:spacing w:before="0" w:beforeAutospacing="0" w:after="0" w:afterAutospacing="0"/>
              <w:ind w:left="0" w:right="0"/>
              <w:rPr>
                <w:rFonts w:hint="default"/>
                <w:highlight w:val="none"/>
              </w:rPr>
            </w:pPr>
          </w:p>
        </w:tc>
        <w:tc>
          <w:tcPr>
            <w:tcW w:w="5783" w:type="dxa"/>
            <w:tcBorders>
              <w:left w:val="single" w:color="auto" w:sz="4" w:space="0"/>
            </w:tcBorders>
            <w:shd w:val="clear" w:color="auto" w:fill="auto"/>
            <w:vAlign w:val="center"/>
          </w:tcPr>
          <w:p w14:paraId="67F953B1">
            <w:pPr>
              <w:keepNext w:val="0"/>
              <w:keepLines w:val="0"/>
              <w:widowControl/>
              <w:suppressLineNumbers w:val="0"/>
              <w:spacing w:before="0" w:beforeAutospacing="0" w:after="0" w:afterAutospacing="0"/>
              <w:ind w:left="0" w:right="0" w:firstLine="0"/>
              <w:jc w:val="left"/>
              <w:rPr>
                <w:rFonts w:hint="default"/>
                <w:color w:val="auto"/>
                <w:kern w:val="0"/>
                <w:sz w:val="22"/>
                <w:highlight w:val="none"/>
              </w:rPr>
            </w:pPr>
            <w:r>
              <w:rPr>
                <w:rFonts w:hint="default"/>
                <w:color w:val="auto"/>
                <w:kern w:val="0"/>
                <w:sz w:val="22"/>
                <w:highlight w:val="none"/>
              </w:rPr>
              <w:t>2、业务与科技人员测试、评分</w:t>
            </w:r>
          </w:p>
        </w:tc>
      </w:tr>
    </w:tbl>
    <w:p w14:paraId="6B5A2B96">
      <w:pPr>
        <w:pStyle w:val="44"/>
        <w:numPr>
          <w:ilvl w:val="2"/>
          <w:numId w:val="5"/>
        </w:numPr>
        <w:ind w:firstLineChars="0"/>
        <w:rPr>
          <w:rFonts w:ascii="Times New Roman" w:hAnsi="Times New Roman" w:eastAsia="微软雅黑" w:cs="Times New Roman"/>
          <w:b/>
          <w:bCs/>
          <w:sz w:val="28"/>
          <w:szCs w:val="28"/>
          <w:highlight w:val="none"/>
        </w:rPr>
      </w:pPr>
      <w:r>
        <w:rPr>
          <w:rFonts w:ascii="Times New Roman" w:hAnsi="Times New Roman" w:eastAsia="微软雅黑" w:cs="Times New Roman"/>
          <w:b/>
          <w:bCs/>
          <w:sz w:val="28"/>
          <w:szCs w:val="28"/>
          <w:highlight w:val="none"/>
        </w:rPr>
        <w:t>POC环境</w:t>
      </w:r>
    </w:p>
    <w:tbl>
      <w:tblPr>
        <w:tblStyle w:val="24"/>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995"/>
        <w:gridCol w:w="3555"/>
        <w:gridCol w:w="1300"/>
      </w:tblGrid>
      <w:tr w14:paraId="2E81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93" w:type="dxa"/>
            <w:shd w:val="clear" w:color="FFFFFF" w:fill="D8D8D8"/>
            <w:vAlign w:val="center"/>
          </w:tcPr>
          <w:p w14:paraId="40ACF15A">
            <w:pPr>
              <w:keepNext w:val="0"/>
              <w:keepLines w:val="0"/>
              <w:widowControl/>
              <w:suppressLineNumbers w:val="0"/>
              <w:spacing w:before="0" w:beforeAutospacing="0" w:after="0" w:afterAutospacing="0"/>
              <w:ind w:left="0" w:right="0" w:firstLine="0"/>
              <w:jc w:val="center"/>
              <w:rPr>
                <w:rFonts w:hint="default"/>
                <w:b/>
                <w:bCs/>
                <w:color w:val="auto"/>
                <w:kern w:val="0"/>
                <w:sz w:val="24"/>
                <w:szCs w:val="24"/>
                <w:highlight w:val="none"/>
              </w:rPr>
            </w:pPr>
            <w:r>
              <w:rPr>
                <w:rFonts w:hint="default"/>
                <w:b/>
                <w:bCs/>
                <w:color w:val="auto"/>
                <w:kern w:val="0"/>
                <w:sz w:val="24"/>
                <w:szCs w:val="24"/>
                <w:highlight w:val="none"/>
              </w:rPr>
              <w:t>服务器名</w:t>
            </w:r>
          </w:p>
        </w:tc>
        <w:tc>
          <w:tcPr>
            <w:tcW w:w="1995" w:type="dxa"/>
            <w:shd w:val="clear" w:color="FFFFFF" w:fill="D8D8D8"/>
            <w:vAlign w:val="center"/>
          </w:tcPr>
          <w:p w14:paraId="4F398E5D">
            <w:pPr>
              <w:keepNext w:val="0"/>
              <w:keepLines w:val="0"/>
              <w:widowControl/>
              <w:suppressLineNumbers w:val="0"/>
              <w:spacing w:before="0" w:beforeAutospacing="0" w:after="0" w:afterAutospacing="0"/>
              <w:ind w:left="0" w:right="0" w:firstLine="0"/>
              <w:jc w:val="center"/>
              <w:rPr>
                <w:rFonts w:hint="default"/>
                <w:b/>
                <w:bCs/>
                <w:color w:val="auto"/>
                <w:kern w:val="0"/>
                <w:sz w:val="24"/>
                <w:szCs w:val="24"/>
                <w:highlight w:val="none"/>
              </w:rPr>
            </w:pPr>
            <w:r>
              <w:rPr>
                <w:rFonts w:hint="default"/>
                <w:b/>
                <w:bCs/>
                <w:color w:val="auto"/>
                <w:kern w:val="0"/>
                <w:sz w:val="24"/>
                <w:szCs w:val="24"/>
                <w:highlight w:val="none"/>
              </w:rPr>
              <w:t>用途</w:t>
            </w:r>
          </w:p>
        </w:tc>
        <w:tc>
          <w:tcPr>
            <w:tcW w:w="3555" w:type="dxa"/>
            <w:shd w:val="clear" w:color="FFFFFF" w:fill="D8D8D8"/>
            <w:vAlign w:val="center"/>
          </w:tcPr>
          <w:p w14:paraId="532A69DF">
            <w:pPr>
              <w:keepNext w:val="0"/>
              <w:keepLines w:val="0"/>
              <w:widowControl/>
              <w:suppressLineNumbers w:val="0"/>
              <w:spacing w:before="0" w:beforeAutospacing="0" w:after="0" w:afterAutospacing="0"/>
              <w:ind w:left="0" w:right="0" w:firstLine="0"/>
              <w:jc w:val="center"/>
              <w:rPr>
                <w:rFonts w:hint="default"/>
                <w:b/>
                <w:bCs/>
                <w:color w:val="auto"/>
                <w:kern w:val="0"/>
                <w:sz w:val="24"/>
                <w:szCs w:val="24"/>
                <w:highlight w:val="none"/>
              </w:rPr>
            </w:pPr>
            <w:r>
              <w:rPr>
                <w:rFonts w:hint="default"/>
                <w:b/>
                <w:bCs/>
                <w:color w:val="auto"/>
                <w:kern w:val="0"/>
                <w:sz w:val="24"/>
                <w:szCs w:val="24"/>
                <w:highlight w:val="none"/>
              </w:rPr>
              <w:t>软硬件配置</w:t>
            </w:r>
          </w:p>
        </w:tc>
        <w:tc>
          <w:tcPr>
            <w:tcW w:w="1299" w:type="dxa"/>
            <w:shd w:val="clear" w:color="FFFFFF" w:fill="D8D8D8"/>
            <w:vAlign w:val="center"/>
          </w:tcPr>
          <w:p w14:paraId="2D8FA9BB">
            <w:pPr>
              <w:keepNext w:val="0"/>
              <w:keepLines w:val="0"/>
              <w:widowControl/>
              <w:suppressLineNumbers w:val="0"/>
              <w:spacing w:before="0" w:beforeAutospacing="0" w:after="0" w:afterAutospacing="0"/>
              <w:ind w:left="0" w:right="0" w:firstLine="0"/>
              <w:jc w:val="center"/>
              <w:rPr>
                <w:rFonts w:hint="default"/>
                <w:b/>
                <w:bCs/>
                <w:color w:val="auto"/>
                <w:kern w:val="0"/>
                <w:sz w:val="24"/>
                <w:szCs w:val="24"/>
                <w:highlight w:val="none"/>
              </w:rPr>
            </w:pPr>
            <w:r>
              <w:rPr>
                <w:rFonts w:hint="default"/>
                <w:b/>
                <w:bCs/>
                <w:color w:val="auto"/>
                <w:kern w:val="0"/>
                <w:sz w:val="24"/>
                <w:szCs w:val="24"/>
                <w:highlight w:val="none"/>
              </w:rPr>
              <w:t>提供方</w:t>
            </w:r>
          </w:p>
        </w:tc>
      </w:tr>
      <w:tr w14:paraId="2836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1793" w:type="dxa"/>
            <w:shd w:val="clear" w:color="auto" w:fill="auto"/>
            <w:vAlign w:val="center"/>
          </w:tcPr>
          <w:p w14:paraId="5624D2DE">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应用服务器</w:t>
            </w:r>
          </w:p>
        </w:tc>
        <w:tc>
          <w:tcPr>
            <w:tcW w:w="1995" w:type="dxa"/>
            <w:tcBorders>
              <w:left w:val="single" w:color="auto" w:sz="4" w:space="0"/>
            </w:tcBorders>
            <w:shd w:val="clear" w:color="auto" w:fill="auto"/>
            <w:vAlign w:val="center"/>
          </w:tcPr>
          <w:p w14:paraId="66553D42">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应用部署</w:t>
            </w:r>
          </w:p>
        </w:tc>
        <w:tc>
          <w:tcPr>
            <w:tcW w:w="3555" w:type="dxa"/>
            <w:tcBorders>
              <w:left w:val="single" w:color="auto" w:sz="4" w:space="0"/>
            </w:tcBorders>
            <w:shd w:val="clear" w:color="auto" w:fill="auto"/>
            <w:vAlign w:val="center"/>
          </w:tcPr>
          <w:p w14:paraId="37516F51">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操作系统：麒麟V10</w:t>
            </w:r>
          </w:p>
          <w:p w14:paraId="1DFA539A">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CPU：鲲鹏/海光</w:t>
            </w:r>
          </w:p>
          <w:p w14:paraId="0E09F814">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中间件：东方通</w:t>
            </w:r>
          </w:p>
        </w:tc>
        <w:tc>
          <w:tcPr>
            <w:tcW w:w="1299" w:type="dxa"/>
            <w:tcBorders>
              <w:left w:val="single" w:color="auto" w:sz="4" w:space="0"/>
            </w:tcBorders>
            <w:shd w:val="clear" w:color="auto" w:fill="auto"/>
            <w:vAlign w:val="center"/>
          </w:tcPr>
          <w:p w14:paraId="474090A7">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比选人</w:t>
            </w:r>
          </w:p>
        </w:tc>
      </w:tr>
      <w:tr w14:paraId="1B99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93" w:type="dxa"/>
            <w:shd w:val="clear" w:color="auto" w:fill="auto"/>
            <w:vAlign w:val="center"/>
          </w:tcPr>
          <w:p w14:paraId="14866B4C">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数据库服务器</w:t>
            </w:r>
          </w:p>
        </w:tc>
        <w:tc>
          <w:tcPr>
            <w:tcW w:w="1995" w:type="dxa"/>
            <w:tcBorders>
              <w:left w:val="single" w:color="auto" w:sz="4" w:space="0"/>
            </w:tcBorders>
            <w:shd w:val="clear" w:color="auto" w:fill="auto"/>
            <w:vAlign w:val="center"/>
          </w:tcPr>
          <w:p w14:paraId="76A71D71">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数据库</w:t>
            </w:r>
          </w:p>
        </w:tc>
        <w:tc>
          <w:tcPr>
            <w:tcW w:w="3555" w:type="dxa"/>
            <w:tcBorders>
              <w:left w:val="single" w:color="auto" w:sz="4" w:space="0"/>
            </w:tcBorders>
            <w:shd w:val="clear" w:color="auto" w:fill="auto"/>
            <w:vAlign w:val="center"/>
          </w:tcPr>
          <w:p w14:paraId="6AC8C672">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数据库：OceanBase</w:t>
            </w:r>
          </w:p>
        </w:tc>
        <w:tc>
          <w:tcPr>
            <w:tcW w:w="1299" w:type="dxa"/>
            <w:tcBorders>
              <w:left w:val="single" w:color="auto" w:sz="4" w:space="0"/>
            </w:tcBorders>
            <w:shd w:val="clear" w:color="auto" w:fill="auto"/>
            <w:vAlign w:val="center"/>
          </w:tcPr>
          <w:p w14:paraId="5EBB2CE3">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比选人</w:t>
            </w:r>
          </w:p>
        </w:tc>
      </w:tr>
      <w:tr w14:paraId="60E2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793" w:type="dxa"/>
            <w:shd w:val="clear" w:color="auto" w:fill="auto"/>
            <w:vAlign w:val="center"/>
          </w:tcPr>
          <w:p w14:paraId="41A87BC1">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测试终端</w:t>
            </w:r>
          </w:p>
        </w:tc>
        <w:tc>
          <w:tcPr>
            <w:tcW w:w="1995" w:type="dxa"/>
            <w:tcBorders>
              <w:left w:val="single" w:color="auto" w:sz="4" w:space="0"/>
            </w:tcBorders>
            <w:shd w:val="clear" w:color="auto" w:fill="auto"/>
            <w:vAlign w:val="center"/>
          </w:tcPr>
          <w:p w14:paraId="7BD96152">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终端体验、测试</w:t>
            </w:r>
          </w:p>
        </w:tc>
        <w:tc>
          <w:tcPr>
            <w:tcW w:w="3555" w:type="dxa"/>
            <w:tcBorders>
              <w:left w:val="single" w:color="auto" w:sz="4" w:space="0"/>
            </w:tcBorders>
            <w:shd w:val="clear" w:color="auto" w:fill="auto"/>
            <w:vAlign w:val="center"/>
          </w:tcPr>
          <w:p w14:paraId="31E7AE35">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Windows:360/IE/火狐/谷歌等；</w:t>
            </w:r>
          </w:p>
          <w:p w14:paraId="36E56F95">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XC终端：自带浏览器/360/火狐等</w:t>
            </w:r>
          </w:p>
        </w:tc>
        <w:tc>
          <w:tcPr>
            <w:tcW w:w="1299" w:type="dxa"/>
            <w:tcBorders>
              <w:left w:val="single" w:color="auto" w:sz="4" w:space="0"/>
            </w:tcBorders>
            <w:shd w:val="clear" w:color="auto" w:fill="auto"/>
            <w:vAlign w:val="center"/>
          </w:tcPr>
          <w:p w14:paraId="4121BE28">
            <w:pPr>
              <w:keepNext w:val="0"/>
              <w:keepLines w:val="0"/>
              <w:widowControl/>
              <w:suppressLineNumbers w:val="0"/>
              <w:spacing w:before="0" w:beforeAutospacing="0" w:after="0" w:afterAutospacing="0"/>
              <w:ind w:left="0" w:right="0" w:firstLine="0"/>
              <w:rPr>
                <w:rFonts w:hint="default"/>
                <w:color w:val="auto"/>
                <w:kern w:val="0"/>
                <w:sz w:val="22"/>
                <w:highlight w:val="none"/>
              </w:rPr>
            </w:pPr>
            <w:r>
              <w:rPr>
                <w:rFonts w:hint="default"/>
                <w:color w:val="auto"/>
                <w:kern w:val="0"/>
                <w:sz w:val="22"/>
                <w:highlight w:val="none"/>
              </w:rPr>
              <w:t>比选人</w:t>
            </w:r>
          </w:p>
        </w:tc>
      </w:tr>
    </w:tbl>
    <w:p w14:paraId="601A19B4">
      <w:pPr>
        <w:pStyle w:val="44"/>
        <w:numPr>
          <w:ilvl w:val="2"/>
          <w:numId w:val="5"/>
        </w:numPr>
        <w:ind w:firstLineChars="0"/>
        <w:rPr>
          <w:rFonts w:ascii="Times New Roman" w:hAnsi="Times New Roman" w:eastAsia="微软雅黑" w:cs="Times New Roman"/>
          <w:b/>
          <w:bCs/>
          <w:sz w:val="28"/>
          <w:szCs w:val="28"/>
          <w:highlight w:val="none"/>
        </w:rPr>
      </w:pPr>
      <w:r>
        <w:rPr>
          <w:rFonts w:ascii="Times New Roman" w:hAnsi="Times New Roman" w:eastAsia="微软雅黑" w:cs="Times New Roman"/>
          <w:b/>
          <w:bCs/>
          <w:sz w:val="28"/>
          <w:szCs w:val="28"/>
          <w:highlight w:val="none"/>
        </w:rPr>
        <w:t>测试数据</w:t>
      </w:r>
    </w:p>
    <w:p w14:paraId="60144F21">
      <w:pPr>
        <w:ind w:firstLine="480" w:firstLineChars="200"/>
        <w:rPr>
          <w:rFonts w:ascii="Times New Roman" w:hAnsi="Times New Roman" w:eastAsia="方正仿宋_GBK" w:cs="Times New Roman"/>
          <w:sz w:val="28"/>
          <w:szCs w:val="28"/>
          <w:highlight w:val="none"/>
        </w:rPr>
      </w:pPr>
      <w:r>
        <w:rPr>
          <w:szCs w:val="24"/>
          <w:highlight w:val="none"/>
        </w:rPr>
        <w:t>各厂商自备本次POC测试数据</w:t>
      </w:r>
      <w:r>
        <w:rPr>
          <w:rFonts w:hint="eastAsia" w:ascii="宋体" w:hAnsi="宋体" w:cs="宋体"/>
          <w:szCs w:val="24"/>
          <w:highlight w:val="none"/>
        </w:rPr>
        <w:t>。</w:t>
      </w:r>
    </w:p>
    <w:p w14:paraId="6E1403DB">
      <w:pPr>
        <w:pStyle w:val="44"/>
        <w:numPr>
          <w:ilvl w:val="0"/>
          <w:numId w:val="5"/>
        </w:numPr>
        <w:ind w:firstLineChars="0"/>
        <w:rPr>
          <w:rFonts w:ascii="Times New Roman" w:hAnsi="Times New Roman" w:eastAsia="微软雅黑" w:cs="Times New Roman"/>
          <w:b/>
          <w:bCs/>
          <w:sz w:val="32"/>
          <w:szCs w:val="32"/>
          <w:highlight w:val="none"/>
        </w:rPr>
      </w:pPr>
      <w:r>
        <w:rPr>
          <w:rFonts w:ascii="Times New Roman" w:hAnsi="Times New Roman" w:eastAsia="微软雅黑" w:cs="Times New Roman"/>
          <w:b/>
          <w:bCs/>
          <w:sz w:val="32"/>
          <w:szCs w:val="32"/>
          <w:highlight w:val="none"/>
        </w:rPr>
        <w:t>POC案例</w:t>
      </w:r>
    </w:p>
    <w:tbl>
      <w:tblPr>
        <w:tblStyle w:val="24"/>
        <w:tblW w:w="86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1320"/>
        <w:gridCol w:w="1245"/>
        <w:gridCol w:w="5310"/>
      </w:tblGrid>
      <w:tr w14:paraId="6FA6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6"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32921392">
            <w:pPr>
              <w:keepNext w:val="0"/>
              <w:keepLines w:val="0"/>
              <w:widowControl/>
              <w:suppressLineNumbers w:val="0"/>
              <w:spacing w:before="0" w:beforeAutospacing="0" w:after="0" w:afterAutospacing="0"/>
              <w:ind w:left="0" w:right="0" w:firstLine="0"/>
              <w:jc w:val="center"/>
              <w:rPr>
                <w:rFonts w:hint="default"/>
                <w:b/>
                <w:bCs/>
                <w:color w:val="auto"/>
                <w:kern w:val="0"/>
                <w:szCs w:val="24"/>
                <w:highlight w:val="none"/>
              </w:rPr>
            </w:pPr>
            <w:r>
              <w:rPr>
                <w:rFonts w:hint="default"/>
                <w:b/>
                <w:bCs/>
                <w:color w:val="auto"/>
                <w:kern w:val="0"/>
                <w:szCs w:val="24"/>
                <w:highlight w:val="none"/>
              </w:rPr>
              <w:t>序号</w:t>
            </w:r>
          </w:p>
        </w:tc>
        <w:tc>
          <w:tcPr>
            <w:tcW w:w="1320"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1ABB4CF1">
            <w:pPr>
              <w:keepNext w:val="0"/>
              <w:keepLines w:val="0"/>
              <w:widowControl/>
              <w:suppressLineNumbers w:val="0"/>
              <w:spacing w:before="0" w:beforeAutospacing="0" w:after="0" w:afterAutospacing="0"/>
              <w:ind w:left="0" w:right="0" w:firstLine="0"/>
              <w:jc w:val="center"/>
              <w:rPr>
                <w:rFonts w:hint="default"/>
                <w:b/>
                <w:bCs/>
                <w:color w:val="auto"/>
                <w:kern w:val="0"/>
                <w:szCs w:val="24"/>
                <w:highlight w:val="none"/>
              </w:rPr>
            </w:pPr>
            <w:r>
              <w:rPr>
                <w:rFonts w:hint="default"/>
                <w:b/>
                <w:bCs/>
                <w:color w:val="auto"/>
                <w:kern w:val="0"/>
                <w:szCs w:val="24"/>
                <w:highlight w:val="none"/>
              </w:rPr>
              <w:t>评分类别</w:t>
            </w:r>
          </w:p>
        </w:tc>
        <w:tc>
          <w:tcPr>
            <w:tcW w:w="1245"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1F1D722C">
            <w:pPr>
              <w:keepNext w:val="0"/>
              <w:keepLines w:val="0"/>
              <w:widowControl/>
              <w:suppressLineNumbers w:val="0"/>
              <w:spacing w:before="0" w:beforeAutospacing="0" w:after="0" w:afterAutospacing="0"/>
              <w:ind w:left="0" w:right="0" w:firstLine="0"/>
              <w:jc w:val="center"/>
              <w:rPr>
                <w:rFonts w:hint="default"/>
                <w:b/>
                <w:bCs/>
                <w:color w:val="auto"/>
                <w:kern w:val="0"/>
                <w:szCs w:val="24"/>
                <w:highlight w:val="none"/>
              </w:rPr>
            </w:pPr>
            <w:r>
              <w:rPr>
                <w:rFonts w:hint="default"/>
                <w:b/>
                <w:bCs/>
                <w:color w:val="auto"/>
                <w:kern w:val="0"/>
                <w:szCs w:val="24"/>
                <w:highlight w:val="none"/>
              </w:rPr>
              <w:t>评分指标</w:t>
            </w:r>
          </w:p>
        </w:tc>
        <w:tc>
          <w:tcPr>
            <w:tcW w:w="5310" w:type="dxa"/>
            <w:tcBorders>
              <w:top w:val="single" w:color="auto" w:sz="6" w:space="0"/>
              <w:left w:val="single" w:color="auto" w:sz="6" w:space="0"/>
              <w:bottom w:val="single" w:color="auto" w:sz="6" w:space="0"/>
              <w:right w:val="single" w:color="auto" w:sz="6" w:space="0"/>
              <w:tl2br w:val="nil"/>
              <w:tr2bl w:val="nil"/>
            </w:tcBorders>
            <w:shd w:val="clear" w:color="auto" w:fill="D8D8D8"/>
            <w:noWrap/>
            <w:vAlign w:val="center"/>
          </w:tcPr>
          <w:p w14:paraId="1F9C01B9">
            <w:pPr>
              <w:keepNext w:val="0"/>
              <w:keepLines w:val="0"/>
              <w:widowControl/>
              <w:suppressLineNumbers w:val="0"/>
              <w:spacing w:before="0" w:beforeAutospacing="0" w:after="0" w:afterAutospacing="0"/>
              <w:ind w:left="0" w:right="0" w:firstLine="0"/>
              <w:jc w:val="center"/>
              <w:rPr>
                <w:rFonts w:hint="default"/>
                <w:b/>
                <w:bCs/>
                <w:color w:val="auto"/>
                <w:kern w:val="0"/>
                <w:szCs w:val="24"/>
                <w:highlight w:val="none"/>
              </w:rPr>
            </w:pPr>
            <w:r>
              <w:rPr>
                <w:rFonts w:hint="default"/>
                <w:b/>
                <w:bCs/>
                <w:color w:val="auto"/>
                <w:kern w:val="0"/>
                <w:szCs w:val="24"/>
                <w:highlight w:val="none"/>
              </w:rPr>
              <w:t>指标说明</w:t>
            </w:r>
          </w:p>
        </w:tc>
      </w:tr>
      <w:tr w14:paraId="3F57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7F15A109">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w:t>
            </w:r>
          </w:p>
        </w:tc>
        <w:tc>
          <w:tcPr>
            <w:tcW w:w="132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EC259E5">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业务（70分）</w:t>
            </w:r>
          </w:p>
        </w:tc>
        <w:tc>
          <w:tcPr>
            <w:tcW w:w="1245" w:type="dxa"/>
            <w:vMerge w:val="restart"/>
            <w:tcBorders>
              <w:top w:val="single" w:color="auto" w:sz="6" w:space="0"/>
              <w:left w:val="single" w:color="auto" w:sz="6" w:space="0"/>
              <w:bottom w:val="nil"/>
              <w:right w:val="single" w:color="auto" w:sz="6" w:space="0"/>
              <w:tl2br w:val="nil"/>
              <w:tr2bl w:val="nil"/>
            </w:tcBorders>
            <w:noWrap/>
            <w:vAlign w:val="center"/>
          </w:tcPr>
          <w:p w14:paraId="364CC15F">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功能性需求满足度</w:t>
            </w: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3D4E3C1D">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客户管理功能：能够准确展示客户的基本信息、信贷历史和绿色信贷状态；确保信息的实时性和准确性，并确保客户绿色信贷相关的全流程管理。</w:t>
            </w:r>
          </w:p>
        </w:tc>
      </w:tr>
      <w:tr w14:paraId="5750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8"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72330609">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9B0AFF1">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608346B6">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1FFA7B6C">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绿色智能识别：通过自动化识别技术快速识别符合绿色信贷标准、转型贷款标准以及碳减排支持工具相关标准的贷款，提供有效的分析工具帮助客户经理作出更准确的判断。</w:t>
            </w:r>
          </w:p>
        </w:tc>
      </w:tr>
      <w:tr w14:paraId="4525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5F457BE3">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3</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A62486D">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1A3A9CC2">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4610FC32">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环境效益测算：能够对符合条件贷款的环境效益进行量化分析，包括碳减排量的估算。包括但不限于银保监“绿色信贷项目节能减排量测算指引”中涵盖的相关行业。</w:t>
            </w:r>
          </w:p>
        </w:tc>
      </w:tr>
      <w:tr w14:paraId="6A2C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6"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650BDBDB">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4</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0D240C">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10D6C173">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674ADA86">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环境与社会风险管理：通过相关风险管理策略，系统能够及时针对外部违法违规行为（厂商如可提供）及时发出风险预警，帮助我行避免业务风险，保障资产安全性与合规性等。</w:t>
            </w:r>
          </w:p>
        </w:tc>
      </w:tr>
      <w:tr w14:paraId="51C2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5E98956F">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5</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D50CD95">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7CB6351F">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3E57CA3F">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投融资碳核算管理：通过专业核算方法，对我行投融资的碳排放进行较为准确的核算，助力我行实现投融资的近零排放。</w:t>
            </w:r>
          </w:p>
        </w:tc>
      </w:tr>
      <w:tr w14:paraId="188E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686E4806">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6</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999C71F">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192C2D49">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4677E90D">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自身运营碳核算管理：通过专业核算方法，对我行自身的碳排放进行较为准确的核算，助力我行努力实现自身运营的近零排放，探索“零碳银行”建设。</w:t>
            </w:r>
          </w:p>
        </w:tc>
      </w:tr>
      <w:tr w14:paraId="23CB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4CB344CF">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7</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177CA0E">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099EDE5E">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1360591C">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业务及监管报表：任意编辑字段及自动化生成相关报表，减少人工操作；并提供数据分析工具，以支持决策制定和监管要求等。</w:t>
            </w:r>
          </w:p>
        </w:tc>
      </w:tr>
      <w:tr w14:paraId="391D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0B3966B3">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8</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E29F8EA">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139EC207">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21961BAC">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企业碳账户：实时监控企业碳账户，为我行的企业客户提供碳账户管理服务。</w:t>
            </w:r>
          </w:p>
        </w:tc>
      </w:tr>
      <w:tr w14:paraId="5958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3B9F27CA">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9</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895D353">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3D952209">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78D0EC42">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个人碳账户：监控我行客户个人碳足迹、碳积分等，为我行的个人客户提供碳账户管理服务。</w:t>
            </w:r>
          </w:p>
        </w:tc>
      </w:tr>
      <w:tr w14:paraId="6586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7A3CDD52">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10</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3EBEC72">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13B44D68">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2D950531">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信息披露：确保定期更新相关数据并自动生成环境社会相关报告及气候环境信息披露报告等的固定格式相关内容，确保向公众披露气候与环境信息透明度。</w:t>
            </w:r>
          </w:p>
        </w:tc>
      </w:tr>
      <w:tr w14:paraId="2AB0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75335ED0">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11</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891EF02">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52F70ADA">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34BC0859">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辅助功能及其他：如绿色融资报告、学习中心、工作台、大屏展示、系统管理等。根据系统能满足功能情况进行评分。</w:t>
            </w:r>
          </w:p>
        </w:tc>
      </w:tr>
      <w:tr w14:paraId="6032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55E309DD">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12</w:t>
            </w:r>
          </w:p>
        </w:tc>
        <w:tc>
          <w:tcPr>
            <w:tcW w:w="132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3348F55D">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技术（30分）</w:t>
            </w:r>
          </w:p>
        </w:tc>
        <w:tc>
          <w:tcPr>
            <w:tcW w:w="1245" w:type="dxa"/>
            <w:vMerge w:val="restart"/>
            <w:tcBorders>
              <w:top w:val="single" w:color="auto" w:sz="6" w:space="0"/>
              <w:left w:val="single" w:color="auto" w:sz="6" w:space="0"/>
              <w:bottom w:val="nil"/>
              <w:right w:val="single" w:color="auto" w:sz="6" w:space="0"/>
              <w:tl2br w:val="nil"/>
              <w:tr2bl w:val="nil"/>
            </w:tcBorders>
            <w:noWrap/>
            <w:vAlign w:val="center"/>
          </w:tcPr>
          <w:p w14:paraId="675F5BEC">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身份认证</w:t>
            </w: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760A88AE">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可设置密码强度，密码长度8位及以上，至少包含大写字母，小写字母，数字，特殊字符中的三种或三种以上。</w:t>
            </w:r>
          </w:p>
        </w:tc>
      </w:tr>
      <w:tr w14:paraId="6AA1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652CC6DF">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13</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BBCF552">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1FC4A77E">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0BB547CC">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可设置用户首次登录时，强制用户修改密码。</w:t>
            </w:r>
          </w:p>
        </w:tc>
      </w:tr>
      <w:tr w14:paraId="421E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48882661">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14</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3E6BAF1">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18216C40">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2A26F973">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可设置强制修改密码周期。</w:t>
            </w:r>
          </w:p>
        </w:tc>
      </w:tr>
      <w:tr w14:paraId="7E4F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000329A8">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15</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8D5DF1C">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single" w:color="auto" w:sz="6" w:space="0"/>
              <w:right w:val="single" w:color="auto" w:sz="6" w:space="0"/>
              <w:tl2br w:val="nil"/>
              <w:tr2bl w:val="nil"/>
            </w:tcBorders>
            <w:noWrap/>
            <w:vAlign w:val="center"/>
          </w:tcPr>
          <w:p w14:paraId="3FEABF00">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3C36F578">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登录认证失败时给出通用的错误提示，可设置最大错误次数，超出阈值限制访问锁定用户。</w:t>
            </w:r>
          </w:p>
        </w:tc>
      </w:tr>
      <w:tr w14:paraId="0F00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78CA8277">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16</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5EE936B">
            <w:pPr>
              <w:keepNext w:val="0"/>
              <w:keepLines w:val="0"/>
              <w:suppressLineNumbers w:val="0"/>
              <w:spacing w:before="0" w:beforeAutospacing="0" w:after="0" w:afterAutospacing="0"/>
              <w:ind w:left="0" w:right="0"/>
              <w:rPr>
                <w:rFonts w:hint="default"/>
                <w:highlight w:val="none"/>
              </w:rPr>
            </w:pPr>
          </w:p>
        </w:tc>
        <w:tc>
          <w:tcPr>
            <w:tcW w:w="1245" w:type="dxa"/>
            <w:tcBorders>
              <w:top w:val="nil"/>
              <w:left w:val="single" w:color="auto" w:sz="6" w:space="0"/>
              <w:bottom w:val="nil"/>
              <w:right w:val="single" w:color="auto" w:sz="6" w:space="0"/>
              <w:tl2br w:val="nil"/>
              <w:tr2bl w:val="nil"/>
            </w:tcBorders>
            <w:noWrap/>
            <w:vAlign w:val="center"/>
          </w:tcPr>
          <w:p w14:paraId="46AE3AE5">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会话安全</w:t>
            </w: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11AF1CF6">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可限制用户的多重并发会话。</w:t>
            </w:r>
          </w:p>
        </w:tc>
      </w:tr>
      <w:tr w14:paraId="452A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44AFBAFE">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17</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AC465A0">
            <w:pPr>
              <w:keepNext w:val="0"/>
              <w:keepLines w:val="0"/>
              <w:suppressLineNumbers w:val="0"/>
              <w:spacing w:before="0" w:beforeAutospacing="0" w:after="0" w:afterAutospacing="0"/>
              <w:ind w:left="0" w:right="0"/>
              <w:rPr>
                <w:rFonts w:hint="default"/>
                <w:highlight w:val="none"/>
              </w:rPr>
            </w:pPr>
          </w:p>
        </w:tc>
        <w:tc>
          <w:tcPr>
            <w:tcW w:w="124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B9D1897">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数据安全</w:t>
            </w: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75782C8C">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敏感数据可设置脱敏展示，例如：姓名：张三脱敏为*三；身份证号1002**********1237。</w:t>
            </w:r>
          </w:p>
        </w:tc>
      </w:tr>
      <w:tr w14:paraId="7D89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4C8D5B97">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18</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AA8C3C5">
            <w:pPr>
              <w:keepNext w:val="0"/>
              <w:keepLines w:val="0"/>
              <w:suppressLineNumbers w:val="0"/>
              <w:spacing w:before="0" w:beforeAutospacing="0" w:after="0" w:afterAutospacing="0"/>
              <w:ind w:left="0" w:right="0"/>
              <w:rPr>
                <w:rFonts w:hint="default"/>
                <w:highlight w:val="none"/>
              </w:rPr>
            </w:pP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4D6CAF8">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3D309CD5">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配置文件敏感信息加密存储。</w:t>
            </w:r>
          </w:p>
        </w:tc>
      </w:tr>
      <w:tr w14:paraId="0002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636644C7">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19</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2BD733E">
            <w:pPr>
              <w:keepNext w:val="0"/>
              <w:keepLines w:val="0"/>
              <w:suppressLineNumbers w:val="0"/>
              <w:spacing w:before="0" w:beforeAutospacing="0" w:after="0" w:afterAutospacing="0"/>
              <w:ind w:left="0" w:right="0"/>
              <w:rPr>
                <w:rFonts w:hint="default"/>
                <w:highlight w:val="none"/>
              </w:rPr>
            </w:pP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8AF949B">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12D6B4F7">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数据库敏感字段加密存储。</w:t>
            </w:r>
          </w:p>
        </w:tc>
      </w:tr>
      <w:tr w14:paraId="7E03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274559D5">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20</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698DD4A">
            <w:pPr>
              <w:keepNext w:val="0"/>
              <w:keepLines w:val="0"/>
              <w:suppressLineNumbers w:val="0"/>
              <w:spacing w:before="0" w:beforeAutospacing="0" w:after="0" w:afterAutospacing="0"/>
              <w:ind w:left="0" w:right="0"/>
              <w:rPr>
                <w:rFonts w:hint="default"/>
                <w:highlight w:val="none"/>
              </w:rPr>
            </w:pP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3B18A1B">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670F940D">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对服务器返回的参数做严格的限制，保证不是功能必须的参数不在返回的参数中，防止多余信息引起的数据泄露。</w:t>
            </w:r>
          </w:p>
        </w:tc>
      </w:tr>
      <w:tr w14:paraId="5E5C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331B8E58">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21</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72E9F20">
            <w:pPr>
              <w:keepNext w:val="0"/>
              <w:keepLines w:val="0"/>
              <w:suppressLineNumbers w:val="0"/>
              <w:spacing w:before="0" w:beforeAutospacing="0" w:after="0" w:afterAutospacing="0"/>
              <w:ind w:left="0" w:right="0"/>
              <w:rPr>
                <w:rFonts w:hint="default"/>
                <w:highlight w:val="none"/>
              </w:rPr>
            </w:pPr>
          </w:p>
        </w:tc>
        <w:tc>
          <w:tcPr>
            <w:tcW w:w="1245" w:type="dxa"/>
            <w:vMerge w:val="restart"/>
            <w:tcBorders>
              <w:top w:val="single" w:color="auto" w:sz="6" w:space="0"/>
              <w:left w:val="single" w:color="auto" w:sz="6" w:space="0"/>
              <w:bottom w:val="nil"/>
              <w:right w:val="single" w:color="auto" w:sz="6" w:space="0"/>
              <w:tl2br w:val="nil"/>
              <w:tr2bl w:val="nil"/>
            </w:tcBorders>
            <w:noWrap/>
            <w:vAlign w:val="center"/>
          </w:tcPr>
          <w:p w14:paraId="2C4BE4C6">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系统运维</w:t>
            </w: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78E2DBC4">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应用包与配置文件分离。</w:t>
            </w:r>
          </w:p>
        </w:tc>
      </w:tr>
      <w:tr w14:paraId="0458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608D176D">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22</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D091871">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01310DFB">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677468D1">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执行批量任务管理。</w:t>
            </w:r>
          </w:p>
        </w:tc>
      </w:tr>
      <w:tr w14:paraId="68E2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5384C7A7">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23</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57F1B60">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6A93587D">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3C18B7D4">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系统部署、运维非必要不使用超级用户。</w:t>
            </w:r>
          </w:p>
        </w:tc>
      </w:tr>
      <w:tr w14:paraId="5487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2D00353A">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24</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B4D5FB3">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765707AD">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58B6EC70">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应用管理启停。</w:t>
            </w:r>
          </w:p>
        </w:tc>
      </w:tr>
      <w:tr w14:paraId="4A62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72659EAD">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25</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9C3221">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nil"/>
              <w:right w:val="single" w:color="auto" w:sz="6" w:space="0"/>
              <w:tl2br w:val="nil"/>
              <w:tr2bl w:val="nil"/>
            </w:tcBorders>
            <w:noWrap/>
            <w:vAlign w:val="center"/>
          </w:tcPr>
          <w:p w14:paraId="4EBFD7BF">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07D60B45">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数据库中表、字段注释清楚。</w:t>
            </w:r>
          </w:p>
        </w:tc>
      </w:tr>
      <w:tr w14:paraId="4698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5E4A018F">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26</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5E62F29">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single" w:color="auto" w:sz="6" w:space="0"/>
              <w:right w:val="single" w:color="auto" w:sz="6" w:space="0"/>
              <w:tl2br w:val="nil"/>
              <w:tr2bl w:val="nil"/>
            </w:tcBorders>
            <w:noWrap/>
            <w:vAlign w:val="center"/>
          </w:tcPr>
          <w:p w14:paraId="3C83CD0F">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4E918083">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日志按时间进行分片存储。</w:t>
            </w:r>
          </w:p>
        </w:tc>
      </w:tr>
      <w:tr w14:paraId="0441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7384B317">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27</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3396BEB">
            <w:pPr>
              <w:keepNext w:val="0"/>
              <w:keepLines w:val="0"/>
              <w:suppressLineNumbers w:val="0"/>
              <w:spacing w:before="0" w:beforeAutospacing="0" w:after="0" w:afterAutospacing="0"/>
              <w:ind w:left="0" w:right="0"/>
              <w:rPr>
                <w:rFonts w:hint="default"/>
                <w:highlight w:val="none"/>
              </w:rPr>
            </w:pPr>
          </w:p>
        </w:tc>
        <w:tc>
          <w:tcPr>
            <w:tcW w:w="1245" w:type="dxa"/>
            <w:vMerge w:val="restart"/>
            <w:tcBorders>
              <w:top w:val="single" w:color="auto" w:sz="6" w:space="0"/>
              <w:left w:val="single" w:color="auto" w:sz="6" w:space="0"/>
              <w:bottom w:val="nil"/>
              <w:right w:val="single" w:color="auto" w:sz="6" w:space="0"/>
              <w:tl2br w:val="nil"/>
              <w:tr2bl w:val="nil"/>
            </w:tcBorders>
            <w:noWrap/>
            <w:vAlign w:val="center"/>
          </w:tcPr>
          <w:p w14:paraId="02750D25">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技术架构</w:t>
            </w: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31D39FFF">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代码分层合理，设计合理，对修改封闭，对扩展开放。</w:t>
            </w:r>
          </w:p>
        </w:tc>
      </w:tr>
      <w:tr w14:paraId="77AE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66" w:type="dxa"/>
            <w:tcBorders>
              <w:top w:val="single" w:color="auto" w:sz="6" w:space="0"/>
              <w:left w:val="single" w:color="auto" w:sz="6" w:space="0"/>
              <w:bottom w:val="single" w:color="auto" w:sz="6" w:space="0"/>
              <w:right w:val="single" w:color="auto" w:sz="6" w:space="0"/>
              <w:tl2br w:val="nil"/>
              <w:tr2bl w:val="nil"/>
            </w:tcBorders>
            <w:noWrap/>
            <w:vAlign w:val="center"/>
          </w:tcPr>
          <w:p w14:paraId="79758829">
            <w:pPr>
              <w:keepNext w:val="0"/>
              <w:keepLines w:val="0"/>
              <w:suppressLineNumbers w:val="0"/>
              <w:spacing w:before="0" w:beforeAutospacing="0" w:after="0" w:afterAutospacing="0"/>
              <w:ind w:left="0" w:right="0"/>
              <w:jc w:val="center"/>
              <w:rPr>
                <w:rFonts w:hint="default"/>
                <w:color w:val="auto"/>
                <w:kern w:val="0"/>
                <w:sz w:val="22"/>
                <w:highlight w:val="none"/>
              </w:rPr>
            </w:pPr>
            <w:r>
              <w:rPr>
                <w:rFonts w:hint="default"/>
                <w:color w:val="auto"/>
                <w:kern w:val="0"/>
                <w:sz w:val="22"/>
                <w:highlight w:val="none"/>
              </w:rPr>
              <w:t>28</w:t>
            </w:r>
          </w:p>
        </w:tc>
        <w:tc>
          <w:tcPr>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FDC607">
            <w:pPr>
              <w:keepNext w:val="0"/>
              <w:keepLines w:val="0"/>
              <w:suppressLineNumbers w:val="0"/>
              <w:spacing w:before="0" w:beforeAutospacing="0" w:after="0" w:afterAutospacing="0"/>
              <w:ind w:left="0" w:right="0"/>
              <w:rPr>
                <w:rFonts w:hint="default"/>
                <w:highlight w:val="none"/>
              </w:rPr>
            </w:pPr>
          </w:p>
        </w:tc>
        <w:tc>
          <w:tcPr>
            <w:vMerge w:val="continue"/>
            <w:tcBorders>
              <w:top w:val="nil"/>
              <w:left w:val="single" w:color="auto" w:sz="6" w:space="0"/>
              <w:bottom w:val="single" w:color="auto" w:sz="6" w:space="0"/>
              <w:right w:val="single" w:color="auto" w:sz="6" w:space="0"/>
              <w:tl2br w:val="nil"/>
              <w:tr2bl w:val="nil"/>
            </w:tcBorders>
            <w:noWrap/>
            <w:vAlign w:val="center"/>
          </w:tcPr>
          <w:p w14:paraId="6415B6A5">
            <w:pPr>
              <w:keepNext w:val="0"/>
              <w:keepLines w:val="0"/>
              <w:suppressLineNumbers w:val="0"/>
              <w:spacing w:before="0" w:beforeAutospacing="0" w:after="0" w:afterAutospacing="0"/>
              <w:ind w:left="0" w:right="0"/>
              <w:rPr>
                <w:rFonts w:hint="default"/>
                <w:highlight w:val="none"/>
              </w:rPr>
            </w:pPr>
          </w:p>
        </w:tc>
        <w:tc>
          <w:tcPr>
            <w:tcW w:w="5310" w:type="dxa"/>
            <w:tcBorders>
              <w:top w:val="single" w:color="auto" w:sz="6" w:space="0"/>
              <w:left w:val="single" w:color="auto" w:sz="6" w:space="0"/>
              <w:bottom w:val="single" w:color="auto" w:sz="6" w:space="0"/>
              <w:right w:val="single" w:color="auto" w:sz="6" w:space="0"/>
              <w:tl2br w:val="nil"/>
              <w:tr2bl w:val="nil"/>
            </w:tcBorders>
            <w:noWrap/>
            <w:vAlign w:val="center"/>
          </w:tcPr>
          <w:p w14:paraId="0CAD7824">
            <w:pPr>
              <w:keepNext w:val="0"/>
              <w:keepLines w:val="0"/>
              <w:suppressLineNumbers w:val="0"/>
              <w:spacing w:before="0" w:beforeAutospacing="0" w:after="0" w:afterAutospacing="0"/>
              <w:ind w:left="0" w:right="0"/>
              <w:rPr>
                <w:rFonts w:hint="default"/>
                <w:color w:val="auto"/>
                <w:kern w:val="0"/>
                <w:sz w:val="22"/>
                <w:highlight w:val="none"/>
              </w:rPr>
            </w:pPr>
            <w:r>
              <w:rPr>
                <w:rFonts w:hint="default"/>
                <w:color w:val="auto"/>
                <w:kern w:val="0"/>
                <w:sz w:val="22"/>
                <w:highlight w:val="none"/>
              </w:rPr>
              <w:t>采用单体架构，支持集群部署方式，应用系统逻辑独立，启停服务不相互影响。</w:t>
            </w:r>
          </w:p>
        </w:tc>
      </w:tr>
    </w:tbl>
    <w:p w14:paraId="32409E0E">
      <w:pPr>
        <w:pStyle w:val="44"/>
        <w:ind w:firstLine="0" w:firstLineChars="0"/>
        <w:rPr>
          <w:rFonts w:ascii="Times New Roman" w:hAnsi="Times New Roman" w:eastAsia="微软雅黑" w:cs="Times New Roman"/>
          <w:b/>
          <w:bCs/>
          <w:sz w:val="32"/>
          <w:szCs w:val="32"/>
          <w:highlight w:val="none"/>
        </w:rPr>
      </w:pPr>
    </w:p>
    <w:p w14:paraId="751CBC67">
      <w:pPr>
        <w:pStyle w:val="44"/>
        <w:numPr>
          <w:ilvl w:val="0"/>
          <w:numId w:val="5"/>
        </w:numPr>
        <w:ind w:firstLineChars="0"/>
        <w:rPr>
          <w:rFonts w:ascii="Times New Roman" w:hAnsi="Times New Roman" w:eastAsia="微软雅黑" w:cs="Times New Roman"/>
          <w:b/>
          <w:bCs/>
          <w:sz w:val="32"/>
          <w:szCs w:val="32"/>
          <w:highlight w:val="none"/>
        </w:rPr>
      </w:pPr>
      <w:r>
        <w:rPr>
          <w:rFonts w:ascii="Times New Roman" w:hAnsi="Times New Roman" w:eastAsia="微软雅黑" w:cs="Times New Roman"/>
          <w:b/>
          <w:bCs/>
          <w:sz w:val="32"/>
          <w:szCs w:val="32"/>
          <w:highlight w:val="none"/>
        </w:rPr>
        <w:t>评分规则</w:t>
      </w:r>
    </w:p>
    <w:p w14:paraId="255DFEA2">
      <w:pPr>
        <w:spacing w:line="360" w:lineRule="auto"/>
        <w:ind w:firstLine="480" w:firstLineChars="200"/>
        <w:rPr>
          <w:szCs w:val="24"/>
          <w:highlight w:val="none"/>
        </w:rPr>
      </w:pPr>
      <w:r>
        <w:rPr>
          <w:szCs w:val="24"/>
          <w:highlight w:val="none"/>
        </w:rPr>
        <w:t>本次POC的功能点共计28个，总分为100分，各</w:t>
      </w:r>
      <w:r>
        <w:rPr>
          <w:bCs w:val="0"/>
          <w:snapToGrid w:val="0"/>
          <w:kern w:val="0"/>
          <w:szCs w:val="24"/>
          <w:highlight w:val="none"/>
        </w:rPr>
        <w:t>项案例评分的算数平均值之和为最终得分。</w:t>
      </w:r>
    </w:p>
    <w:p w14:paraId="45C6BEED">
      <w:pPr>
        <w:spacing w:line="360" w:lineRule="auto"/>
        <w:ind w:firstLine="480" w:firstLineChars="200"/>
        <w:rPr>
          <w:kern w:val="0"/>
          <w:szCs w:val="24"/>
          <w:highlight w:val="none"/>
        </w:rPr>
      </w:pPr>
      <w:r>
        <w:rPr>
          <w:szCs w:val="24"/>
          <w:highlight w:val="none"/>
        </w:rPr>
        <w:t>其中，系统搭建必须满足我行</w:t>
      </w:r>
      <w:r>
        <w:rPr>
          <w:kern w:val="0"/>
          <w:szCs w:val="24"/>
          <w:highlight w:val="none"/>
        </w:rPr>
        <w:t>XC基线建设要求，若不能适配我行XC基线产品，则不予通过POC。</w:t>
      </w:r>
    </w:p>
    <w:p w14:paraId="27A7B162">
      <w:pPr>
        <w:pStyle w:val="44"/>
        <w:numPr>
          <w:ilvl w:val="0"/>
          <w:numId w:val="5"/>
        </w:numPr>
        <w:ind w:firstLineChars="0"/>
        <w:rPr>
          <w:rFonts w:ascii="Times New Roman" w:hAnsi="Times New Roman" w:eastAsia="微软雅黑" w:cs="Times New Roman"/>
          <w:b/>
          <w:bCs/>
          <w:sz w:val="32"/>
          <w:szCs w:val="32"/>
          <w:highlight w:val="none"/>
        </w:rPr>
      </w:pPr>
      <w:bookmarkStart w:id="93" w:name="_Toc17723"/>
      <w:r>
        <w:rPr>
          <w:rFonts w:ascii="Times New Roman" w:hAnsi="Times New Roman" w:eastAsia="微软雅黑" w:cs="Times New Roman"/>
          <w:b/>
          <w:bCs/>
          <w:sz w:val="32"/>
          <w:szCs w:val="32"/>
          <w:highlight w:val="none"/>
          <w:lang w:bidi="ar-SA"/>
        </w:rPr>
        <w:t>系统安全与数据安全</w:t>
      </w:r>
      <w:bookmarkEnd w:id="93"/>
    </w:p>
    <w:p w14:paraId="0A4FF552">
      <w:pPr>
        <w:ind w:firstLine="420"/>
        <w:rPr>
          <w:rFonts w:hint="eastAsia" w:ascii="宋体" w:hAnsi="宋体" w:cs="宋体"/>
          <w:szCs w:val="24"/>
          <w:highlight w:val="none"/>
          <w:lang w:eastAsia="zh-CN" w:bidi="ar-SA"/>
        </w:rPr>
      </w:pPr>
      <w:r>
        <w:rPr>
          <w:rFonts w:hint="eastAsia" w:ascii="宋体" w:hAnsi="宋体" w:cs="宋体"/>
          <w:szCs w:val="24"/>
          <w:highlight w:val="none"/>
          <w:lang w:eastAsia="zh-CN" w:bidi="ar-SA"/>
        </w:rPr>
        <w:t>为了确保系统和数据的安全，将切实做好以下工作：</w:t>
      </w:r>
      <w:bookmarkStart w:id="94" w:name="_Toc26430"/>
    </w:p>
    <w:p w14:paraId="4615E33F">
      <w:pPr>
        <w:ind w:firstLine="420"/>
        <w:rPr>
          <w:rFonts w:hint="eastAsia" w:ascii="宋体" w:hAnsi="宋体" w:cs="宋体"/>
          <w:szCs w:val="24"/>
          <w:highlight w:val="none"/>
        </w:rPr>
      </w:pPr>
      <w:r>
        <w:rPr>
          <w:rFonts w:hint="eastAsia" w:ascii="宋体" w:hAnsi="宋体" w:cs="宋体"/>
          <w:szCs w:val="24"/>
          <w:highlight w:val="none"/>
          <w:lang w:eastAsia="zh-CN" w:bidi="ar-SA"/>
        </w:rPr>
        <w:t>（1）</w:t>
      </w:r>
      <w:r>
        <w:rPr>
          <w:rFonts w:hint="eastAsia" w:ascii="宋体" w:hAnsi="宋体" w:cs="宋体"/>
          <w:szCs w:val="24"/>
          <w:highlight w:val="none"/>
          <w:lang w:bidi="ar-SA"/>
        </w:rPr>
        <w:t>保密意识</w:t>
      </w:r>
      <w:bookmarkEnd w:id="94"/>
    </w:p>
    <w:p w14:paraId="660F2155">
      <w:pPr>
        <w:ind w:firstLine="420"/>
        <w:rPr>
          <w:rFonts w:hint="eastAsia" w:ascii="宋体" w:hAnsi="宋体" w:cs="宋体"/>
          <w:szCs w:val="24"/>
          <w:highlight w:val="none"/>
          <w:lang w:eastAsia="zh-CN" w:bidi="ar-SA"/>
        </w:rPr>
      </w:pPr>
      <w:r>
        <w:rPr>
          <w:rFonts w:hint="eastAsia" w:ascii="宋体" w:hAnsi="宋体" w:cs="宋体"/>
          <w:szCs w:val="24"/>
          <w:highlight w:val="none"/>
          <w:lang w:eastAsia="zh-CN" w:bidi="ar-SA"/>
        </w:rPr>
        <w:t>参加测试单位之间有共同的保密意识，明确此次测试数据只能用于该项目。测试人员不得以任何方式将数据拷贝带出，一经发现，我方将立即中断合作</w:t>
      </w:r>
      <w:bookmarkStart w:id="95" w:name="_Toc3053"/>
      <w:r>
        <w:rPr>
          <w:rFonts w:hint="eastAsia" w:ascii="宋体" w:hAnsi="宋体" w:cs="宋体"/>
          <w:szCs w:val="24"/>
          <w:highlight w:val="none"/>
          <w:lang w:eastAsia="zh-CN" w:bidi="ar-SA"/>
        </w:rPr>
        <w:t>。</w:t>
      </w:r>
    </w:p>
    <w:p w14:paraId="46B67429">
      <w:pPr>
        <w:ind w:firstLine="420"/>
        <w:rPr>
          <w:rFonts w:hint="eastAsia" w:ascii="宋体" w:hAnsi="宋体" w:cs="宋体"/>
          <w:szCs w:val="24"/>
          <w:highlight w:val="none"/>
        </w:rPr>
      </w:pPr>
      <w:r>
        <w:rPr>
          <w:rFonts w:hint="eastAsia" w:ascii="宋体" w:hAnsi="宋体" w:cs="宋体"/>
          <w:szCs w:val="24"/>
          <w:highlight w:val="none"/>
          <w:lang w:eastAsia="zh-CN" w:bidi="ar-SA"/>
        </w:rPr>
        <w:t>（2）</w:t>
      </w:r>
      <w:r>
        <w:rPr>
          <w:rFonts w:hint="eastAsia" w:ascii="宋体" w:hAnsi="宋体" w:cs="宋体"/>
          <w:szCs w:val="24"/>
          <w:highlight w:val="none"/>
          <w:lang w:bidi="ar-SA"/>
        </w:rPr>
        <w:t>数据删除</w:t>
      </w:r>
      <w:bookmarkEnd w:id="95"/>
    </w:p>
    <w:p w14:paraId="4824C6F7">
      <w:pPr>
        <w:ind w:firstLine="420"/>
        <w:rPr>
          <w:rFonts w:ascii="Times New Roman" w:hAnsi="Times New Roman" w:eastAsia="方正仿宋_GBK" w:cs="Times New Roman"/>
          <w:sz w:val="28"/>
          <w:szCs w:val="28"/>
          <w:highlight w:val="none"/>
          <w:lang w:eastAsia="zh-CN" w:bidi="ar-SA"/>
        </w:rPr>
      </w:pPr>
      <w:bookmarkStart w:id="96" w:name="_bookmark13"/>
      <w:bookmarkEnd w:id="96"/>
      <w:r>
        <w:rPr>
          <w:rFonts w:hint="eastAsia" w:ascii="宋体" w:hAnsi="宋体" w:cs="宋体"/>
          <w:szCs w:val="24"/>
          <w:highlight w:val="none"/>
          <w:lang w:eastAsia="zh-CN" w:bidi="ar-SA"/>
        </w:rPr>
        <w:t>完成测试后，参测单位对系统内所存储的敏感数据彻底清除。</w:t>
      </w:r>
    </w:p>
    <w:p w14:paraId="633F4BF6">
      <w:pPr>
        <w:keepNext w:val="0"/>
        <w:widowControl w:val="0"/>
        <w:rPr>
          <w:rFonts w:hint="eastAsia" w:eastAsia="方正仿宋_GBK"/>
          <w:sz w:val="28"/>
          <w:szCs w:val="28"/>
          <w:highlight w:val="none"/>
        </w:rPr>
      </w:pPr>
      <w:r>
        <w:rPr>
          <w:rFonts w:ascii="Times New Roman" w:hAnsi="Times New Roman" w:eastAsia="方正仿宋_GBK" w:cs="Times New Roman"/>
          <w:sz w:val="28"/>
          <w:szCs w:val="28"/>
          <w:highlight w:val="none"/>
        </w:rPr>
        <w:br w:type="page"/>
      </w:r>
    </w:p>
    <w:p w14:paraId="41E37136">
      <w:pPr>
        <w:pStyle w:val="3"/>
        <w:rPr>
          <w:rFonts w:ascii="Times New Roman" w:hAnsi="Times New Roman"/>
          <w:highlight w:val="none"/>
        </w:rPr>
      </w:pPr>
      <w:bookmarkStart w:id="97" w:name="_Toc1672247631"/>
      <w:bookmarkStart w:id="98" w:name="_Toc24542"/>
      <w:bookmarkStart w:id="99" w:name="_Toc1199686534"/>
      <w:bookmarkStart w:id="100" w:name="_Toc699300104"/>
      <w:r>
        <w:rPr>
          <w:rFonts w:hint="eastAsia" w:ascii="Times New Roman" w:hAnsi="Times New Roman"/>
          <w:highlight w:val="none"/>
        </w:rPr>
        <w:t>第四章 评审办法（综合评估法）</w:t>
      </w:r>
      <w:bookmarkEnd w:id="91"/>
      <w:bookmarkEnd w:id="97"/>
      <w:bookmarkEnd w:id="98"/>
      <w:bookmarkEnd w:id="99"/>
      <w:bookmarkEnd w:id="100"/>
    </w:p>
    <w:p w14:paraId="20BEB5CA">
      <w:pPr>
        <w:rPr>
          <w:rFonts w:ascii="Times New Roman" w:hAnsi="Times New Roman"/>
          <w:b/>
          <w:bCs/>
          <w:highlight w:val="none"/>
        </w:rPr>
      </w:pPr>
      <w:bookmarkStart w:id="101" w:name="_Toc27076"/>
      <w:bookmarkStart w:id="102" w:name="_Toc14810"/>
      <w:bookmarkStart w:id="103" w:name="_Toc2028"/>
      <w:bookmarkStart w:id="104" w:name="_Toc11471"/>
      <w:r>
        <w:rPr>
          <w:rFonts w:hint="eastAsia" w:ascii="Times New Roman" w:hAnsi="Times New Roman"/>
          <w:b/>
          <w:bCs/>
          <w:highlight w:val="none"/>
        </w:rPr>
        <w:t>评审办法前附表</w:t>
      </w:r>
      <w:bookmarkEnd w:id="101"/>
      <w:bookmarkEnd w:id="102"/>
      <w:bookmarkEnd w:id="103"/>
      <w:bookmarkEnd w:id="104"/>
    </w:p>
    <w:p w14:paraId="4A1480C2">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2C74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D975B40">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
                <w:kern w:val="0"/>
                <w:sz w:val="21"/>
                <w:szCs w:val="21"/>
                <w:highlight w:val="none"/>
              </w:rPr>
            </w:pPr>
            <w:bookmarkStart w:id="105" w:name="CQZH1_07"/>
            <w:r>
              <w:rPr>
                <w:rFonts w:hint="eastAsia" w:ascii="Times New Roman" w:hAnsi="Times New Roman" w:cs="宋体"/>
                <w:b/>
                <w:kern w:val="0"/>
                <w:sz w:val="21"/>
                <w:szCs w:val="21"/>
                <w:highlight w:val="none"/>
              </w:rPr>
              <w:t>条款号</w:t>
            </w:r>
          </w:p>
        </w:tc>
        <w:tc>
          <w:tcPr>
            <w:tcW w:w="1482" w:type="dxa"/>
            <w:vAlign w:val="center"/>
          </w:tcPr>
          <w:p w14:paraId="5BFC532D">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162" w:type="dxa"/>
            <w:gridSpan w:val="3"/>
            <w:vAlign w:val="center"/>
          </w:tcPr>
          <w:p w14:paraId="3841A06A">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3EAC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69C427F">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482" w:type="dxa"/>
            <w:tcBorders>
              <w:left w:val="single" w:color="auto" w:sz="4" w:space="0"/>
            </w:tcBorders>
            <w:vAlign w:val="center"/>
          </w:tcPr>
          <w:p w14:paraId="6086A9DF">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
                <w:kern w:val="0"/>
                <w:sz w:val="21"/>
                <w:szCs w:val="21"/>
                <w:highlight w:val="none"/>
              </w:rPr>
            </w:pPr>
            <w:r>
              <w:rPr>
                <w:rFonts w:hint="eastAsia" w:ascii="Times New Roman" w:hAnsi="Times New Roman" w:cs="Times New Roman"/>
                <w:sz w:val="21"/>
                <w:szCs w:val="21"/>
                <w:highlight w:val="none"/>
              </w:rPr>
              <w:t>评审办法</w:t>
            </w:r>
          </w:p>
        </w:tc>
        <w:tc>
          <w:tcPr>
            <w:tcW w:w="7162" w:type="dxa"/>
            <w:gridSpan w:val="3"/>
            <w:tcBorders>
              <w:left w:val="single" w:color="auto" w:sz="4" w:space="0"/>
            </w:tcBorders>
            <w:vAlign w:val="center"/>
          </w:tcPr>
          <w:p w14:paraId="2460A68E">
            <w:pPr>
              <w:keepNext w:val="0"/>
              <w:keepLines w:val="0"/>
              <w:suppressLineNumbers w:val="0"/>
              <w:spacing w:before="0" w:beforeAutospacing="0" w:after="0" w:afterAutospacing="0"/>
              <w:ind w:left="0" w:right="0" w:firstLine="0"/>
              <w:jc w:val="left"/>
              <w:rPr>
                <w:rFonts w:hint="default" w:ascii="Times New Roman" w:hAnsi="Times New Roman" w:cs="宋体"/>
                <w:b/>
                <w:kern w:val="0"/>
                <w:sz w:val="21"/>
                <w:szCs w:val="21"/>
                <w:highlight w:val="none"/>
              </w:rPr>
            </w:pPr>
            <w:r>
              <w:rPr>
                <w:rFonts w:hint="eastAsia" w:ascii="Times New Roman" w:hAnsi="Times New Roman" w:cs="Times New Roman"/>
                <w:kern w:val="0"/>
                <w:sz w:val="21"/>
                <w:szCs w:val="24"/>
                <w:highlight w:val="none"/>
              </w:rPr>
              <w:t>本次评审采用综合评估法。评审委员会按照评审办法前附表第2.2 条规定的评分标准进行打分，</w:t>
            </w:r>
            <w:r>
              <w:rPr>
                <w:rFonts w:hint="eastAsia" w:ascii="Times New Roman" w:hAnsi="Times New Roman" w:cs="Times New Roman"/>
                <w:kern w:val="0"/>
                <w:sz w:val="21"/>
                <w:szCs w:val="24"/>
                <w:highlight w:val="none"/>
                <w:lang w:eastAsia="zh-CN"/>
              </w:rPr>
              <w:t>初步评审</w:t>
            </w:r>
            <w:r>
              <w:rPr>
                <w:rFonts w:hint="eastAsia" w:ascii="Times New Roman" w:hAnsi="Times New Roman" w:cs="Times New Roman"/>
                <w:kern w:val="0"/>
                <w:sz w:val="21"/>
                <w:szCs w:val="24"/>
                <w:highlight w:val="none"/>
              </w:rPr>
              <w:t>合格的参选人中，按得分由高到低顺序推荐3名中选候选人，但参选报价低于其成本的除外。综合评分相等时，以参选报价低的优先；参选报价也相等的，</w:t>
            </w:r>
            <w:r>
              <w:rPr>
                <w:rFonts w:hint="eastAsia" w:ascii="Times New Roman" w:hAnsi="Times New Roman" w:cs="Times New Roman"/>
                <w:kern w:val="0"/>
                <w:sz w:val="21"/>
                <w:szCs w:val="24"/>
                <w:highlight w:val="none"/>
                <w:shd w:val="clear" w:color="auto" w:fill="auto"/>
              </w:rPr>
              <w:t>以POC分数高的优先。</w:t>
            </w:r>
          </w:p>
        </w:tc>
      </w:tr>
      <w:tr w14:paraId="74F9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4D1DA39">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Cs/>
                <w:kern w:val="0"/>
                <w:sz w:val="21"/>
                <w:szCs w:val="21"/>
                <w:highlight w:val="none"/>
              </w:rPr>
            </w:pPr>
            <w:r>
              <w:rPr>
                <w:rFonts w:hint="eastAsia" w:ascii="Times New Roman" w:hAnsi="Times New Roman" w:cs="宋体"/>
                <w:bCs/>
                <w:kern w:val="0"/>
                <w:sz w:val="21"/>
                <w:szCs w:val="21"/>
                <w:highlight w:val="none"/>
              </w:rPr>
              <w:t>2.1</w:t>
            </w:r>
          </w:p>
        </w:tc>
        <w:tc>
          <w:tcPr>
            <w:tcW w:w="1482" w:type="dxa"/>
            <w:tcBorders>
              <w:left w:val="single" w:color="auto" w:sz="4" w:space="0"/>
            </w:tcBorders>
            <w:vAlign w:val="center"/>
          </w:tcPr>
          <w:p w14:paraId="34B07D76">
            <w:pPr>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初步评审标准</w:t>
            </w:r>
          </w:p>
        </w:tc>
        <w:tc>
          <w:tcPr>
            <w:tcW w:w="7162" w:type="dxa"/>
            <w:gridSpan w:val="3"/>
            <w:tcBorders>
              <w:left w:val="single" w:color="auto" w:sz="4" w:space="0"/>
            </w:tcBorders>
            <w:vAlign w:val="center"/>
          </w:tcPr>
          <w:p w14:paraId="65FDAD63">
            <w:pPr>
              <w:keepNext w:val="0"/>
              <w:keepLines w:val="0"/>
              <w:suppressLineNumbers w:val="0"/>
              <w:spacing w:before="0" w:beforeAutospacing="0" w:after="0" w:afterAutospacing="0" w:line="360" w:lineRule="auto"/>
              <w:ind w:left="0" w:right="0" w:firstLine="0"/>
              <w:jc w:val="left"/>
              <w:rPr>
                <w:rFonts w:hint="default"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所有参选单位</w:t>
            </w:r>
            <w:r>
              <w:rPr>
                <w:rFonts w:hint="eastAsia" w:ascii="Times New Roman" w:hAnsi="Times New Roman" w:cs="Times New Roman"/>
                <w:spacing w:val="4"/>
                <w:kern w:val="0"/>
                <w:sz w:val="21"/>
                <w:szCs w:val="21"/>
                <w:highlight w:val="none"/>
              </w:rPr>
              <w:t>进行</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w:t>
            </w:r>
            <w:r>
              <w:rPr>
                <w:rFonts w:hint="eastAsia" w:ascii="Times New Roman" w:hAnsi="Times New Roman" w:cs="Times New Roman"/>
                <w:kern w:val="0"/>
                <w:sz w:val="21"/>
                <w:szCs w:val="24"/>
                <w:highlight w:val="none"/>
              </w:rPr>
              <w:t>初步评审</w:t>
            </w:r>
            <w:r>
              <w:rPr>
                <w:rFonts w:hint="eastAsia" w:ascii="Times New Roman" w:hAnsi="Times New Roman" w:cs="Times New Roman"/>
                <w:spacing w:val="4"/>
                <w:kern w:val="0"/>
                <w:sz w:val="21"/>
                <w:szCs w:val="21"/>
                <w:highlight w:val="none"/>
              </w:rPr>
              <w:t>内容：资格评审、形式评审、响应性评审。</w:t>
            </w:r>
          </w:p>
        </w:tc>
      </w:tr>
      <w:tr w14:paraId="1DB8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EDE6531">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bCs/>
                <w:kern w:val="0"/>
                <w:sz w:val="21"/>
                <w:szCs w:val="21"/>
                <w:highlight w:val="none"/>
              </w:rPr>
            </w:pPr>
            <w:r>
              <w:rPr>
                <w:rFonts w:hint="eastAsia" w:ascii="Times New Roman" w:hAnsi="Times New Roman" w:cs="宋体"/>
                <w:kern w:val="0"/>
                <w:sz w:val="21"/>
                <w:szCs w:val="21"/>
                <w:highlight w:val="none"/>
              </w:rPr>
              <w:t>2.1.1</w:t>
            </w:r>
          </w:p>
        </w:tc>
        <w:tc>
          <w:tcPr>
            <w:tcW w:w="1482" w:type="dxa"/>
            <w:tcBorders>
              <w:left w:val="single" w:color="auto" w:sz="4" w:space="0"/>
            </w:tcBorders>
            <w:vAlign w:val="center"/>
          </w:tcPr>
          <w:p w14:paraId="2BE4FE9D">
            <w:pPr>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资格评审标准</w:t>
            </w:r>
          </w:p>
        </w:tc>
        <w:tc>
          <w:tcPr>
            <w:tcW w:w="1686" w:type="dxa"/>
            <w:gridSpan w:val="2"/>
            <w:tcBorders>
              <w:left w:val="single" w:color="auto" w:sz="4" w:space="0"/>
            </w:tcBorders>
            <w:vAlign w:val="center"/>
          </w:tcPr>
          <w:p w14:paraId="4221B775">
            <w:pPr>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kern w:val="0"/>
                <w:sz w:val="21"/>
                <w:szCs w:val="24"/>
                <w:highlight w:val="none"/>
              </w:rPr>
            </w:pPr>
            <w:r>
              <w:rPr>
                <w:rFonts w:hint="eastAsia" w:ascii="Times New Roman" w:hAnsi="Times New Roman" w:cs="宋体"/>
                <w:kern w:val="0"/>
                <w:sz w:val="21"/>
                <w:szCs w:val="21"/>
                <w:highlight w:val="none"/>
              </w:rPr>
              <w:t>资格条件要求</w:t>
            </w:r>
          </w:p>
        </w:tc>
        <w:tc>
          <w:tcPr>
            <w:tcW w:w="5476" w:type="dxa"/>
            <w:tcBorders>
              <w:left w:val="single" w:color="auto" w:sz="4" w:space="0"/>
            </w:tcBorders>
            <w:vAlign w:val="center"/>
          </w:tcPr>
          <w:p w14:paraId="795E3F06">
            <w:pPr>
              <w:keepNext w:val="0"/>
              <w:keepLines w:val="0"/>
              <w:suppressLineNumbers w:val="0"/>
              <w:spacing w:before="0" w:beforeAutospacing="0" w:after="0" w:afterAutospacing="0" w:line="360" w:lineRule="auto"/>
              <w:ind w:left="0" w:right="0" w:firstLine="0"/>
              <w:jc w:val="left"/>
              <w:rPr>
                <w:rFonts w:hint="default" w:ascii="Times New Roman" w:hAnsi="Times New Roman" w:cs="Times New Roman"/>
                <w:kern w:val="0"/>
                <w:sz w:val="21"/>
                <w:szCs w:val="24"/>
                <w:highlight w:val="none"/>
              </w:rPr>
            </w:pPr>
            <w:r>
              <w:rPr>
                <w:rFonts w:hint="eastAsia" w:ascii="Times New Roman" w:hAnsi="Times New Roman" w:cs="宋体"/>
                <w:kern w:val="0"/>
                <w:sz w:val="21"/>
                <w:szCs w:val="21"/>
                <w:highlight w:val="none"/>
              </w:rPr>
              <w:t>符合第一章“2. 参选人资格要求”规定</w:t>
            </w:r>
          </w:p>
        </w:tc>
      </w:tr>
      <w:tr w14:paraId="1F0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017B5D1B">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2.1.2</w:t>
            </w:r>
          </w:p>
        </w:tc>
        <w:tc>
          <w:tcPr>
            <w:tcW w:w="1482" w:type="dxa"/>
            <w:vMerge w:val="restart"/>
            <w:tcBorders>
              <w:left w:val="single" w:color="auto" w:sz="4" w:space="0"/>
            </w:tcBorders>
            <w:vAlign w:val="center"/>
          </w:tcPr>
          <w:p w14:paraId="182EABCF">
            <w:pPr>
              <w:keepNext w:val="0"/>
              <w:keepLines w:val="0"/>
              <w:suppressLineNumbers w:val="0"/>
              <w:spacing w:before="0" w:beforeAutospacing="0" w:after="0" w:afterAutospacing="0" w:line="360" w:lineRule="auto"/>
              <w:ind w:left="0" w:right="0" w:firstLine="0"/>
              <w:jc w:val="center"/>
              <w:rPr>
                <w:rFonts w:hint="default" w:ascii="Times New Roman" w:hAnsi="Times New Roman" w:cs="Times New Roman"/>
                <w:kern w:val="0"/>
                <w:sz w:val="21"/>
                <w:szCs w:val="24"/>
                <w:highlight w:val="none"/>
              </w:rPr>
            </w:pPr>
            <w:r>
              <w:rPr>
                <w:rFonts w:hint="eastAsia" w:ascii="Times New Roman" w:hAnsi="Times New Roman" w:cs="Times New Roman"/>
                <w:kern w:val="0"/>
                <w:sz w:val="21"/>
                <w:szCs w:val="24"/>
                <w:highlight w:val="none"/>
              </w:rPr>
              <w:t>形式评审标准</w:t>
            </w:r>
          </w:p>
        </w:tc>
        <w:tc>
          <w:tcPr>
            <w:tcW w:w="1686" w:type="dxa"/>
            <w:gridSpan w:val="2"/>
            <w:tcBorders>
              <w:left w:val="single" w:color="auto" w:sz="4" w:space="0"/>
            </w:tcBorders>
            <w:vAlign w:val="center"/>
          </w:tcPr>
          <w:p w14:paraId="110AC902">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tcBorders>
              <w:left w:val="single" w:color="auto" w:sz="4" w:space="0"/>
            </w:tcBorders>
            <w:vAlign w:val="center"/>
          </w:tcPr>
          <w:p w14:paraId="1A6AEA7C">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37F7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634882A">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extDirection w:val="tbRlV"/>
            <w:vAlign w:val="center"/>
          </w:tcPr>
          <w:p w14:paraId="28A99BC7">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4695E461">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tcBorders>
              <w:left w:val="single" w:color="auto" w:sz="4" w:space="0"/>
            </w:tcBorders>
            <w:vAlign w:val="center"/>
          </w:tcPr>
          <w:p w14:paraId="58F8C68B">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4492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9F89646">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extDirection w:val="tbRlV"/>
            <w:vAlign w:val="center"/>
          </w:tcPr>
          <w:p w14:paraId="6B544FC9">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44AF8E52">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tcBorders>
              <w:left w:val="single" w:color="auto" w:sz="4" w:space="0"/>
            </w:tcBorders>
            <w:vAlign w:val="center"/>
          </w:tcPr>
          <w:p w14:paraId="760DA82C">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429C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10C0AE0">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extDirection w:val="tbRlV"/>
            <w:vAlign w:val="center"/>
          </w:tcPr>
          <w:p w14:paraId="5E770280">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1057F0C2">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tcBorders>
              <w:left w:val="single" w:color="auto" w:sz="4" w:space="0"/>
            </w:tcBorders>
            <w:vAlign w:val="center"/>
          </w:tcPr>
          <w:p w14:paraId="6A9407E2">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45A1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0216061">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extDirection w:val="tbRlV"/>
            <w:vAlign w:val="center"/>
          </w:tcPr>
          <w:p w14:paraId="045128D8">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4978793F">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tcBorders>
              <w:left w:val="single" w:color="auto" w:sz="4" w:space="0"/>
            </w:tcBorders>
            <w:vAlign w:val="center"/>
          </w:tcPr>
          <w:p w14:paraId="1CC1F437">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705D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CCBE84D">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extDirection w:val="tbRlV"/>
            <w:vAlign w:val="center"/>
          </w:tcPr>
          <w:p w14:paraId="29D20ED3">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2D706114">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tcBorders>
              <w:left w:val="single" w:color="auto" w:sz="4" w:space="0"/>
            </w:tcBorders>
            <w:vAlign w:val="center"/>
          </w:tcPr>
          <w:p w14:paraId="62D9F10F">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270F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3DD1D04">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sz w:val="21"/>
                <w:szCs w:val="21"/>
                <w:highlight w:val="none"/>
              </w:rPr>
            </w:pPr>
            <w:r>
              <w:rPr>
                <w:rFonts w:hint="eastAsia" w:ascii="Times New Roman" w:hAnsi="Times New Roman" w:cs="宋体"/>
                <w:kern w:val="0"/>
                <w:sz w:val="21"/>
                <w:szCs w:val="21"/>
                <w:highlight w:val="none"/>
              </w:rPr>
              <w:t>2.1.3</w:t>
            </w:r>
          </w:p>
        </w:tc>
        <w:tc>
          <w:tcPr>
            <w:tcW w:w="1482" w:type="dxa"/>
            <w:vMerge w:val="restart"/>
            <w:tcBorders>
              <w:left w:val="single" w:color="auto" w:sz="4" w:space="0"/>
            </w:tcBorders>
            <w:vAlign w:val="center"/>
          </w:tcPr>
          <w:p w14:paraId="69C5BA88">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686" w:type="dxa"/>
            <w:gridSpan w:val="2"/>
            <w:tcBorders>
              <w:left w:val="single" w:color="auto" w:sz="4" w:space="0"/>
            </w:tcBorders>
            <w:vAlign w:val="center"/>
          </w:tcPr>
          <w:p w14:paraId="7305C523">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tcBorders>
              <w:left w:val="single" w:color="auto" w:sz="4" w:space="0"/>
            </w:tcBorders>
            <w:vAlign w:val="center"/>
          </w:tcPr>
          <w:p w14:paraId="66140AD9">
            <w:pPr>
              <w:keepNext w:val="0"/>
              <w:keepLines w:val="0"/>
              <w:suppressLineNumbers w:val="0"/>
              <w:spacing w:before="0" w:beforeAutospacing="0" w:after="0" w:afterAutospacing="0" w:line="360" w:lineRule="auto"/>
              <w:ind w:left="0" w:right="0" w:firstLine="0"/>
              <w:jc w:val="left"/>
              <w:rPr>
                <w:rFonts w:hint="eastAsia" w:ascii="Times New Roman" w:hAnsi="Times New Roman" w:eastAsia="宋体" w:cs="宋体"/>
                <w:kern w:val="0"/>
                <w:sz w:val="21"/>
                <w:szCs w:val="21"/>
                <w:highlight w:val="none"/>
                <w:lang w:eastAsia="zh-CN"/>
              </w:rPr>
            </w:pPr>
            <w:r>
              <w:rPr>
                <w:rFonts w:hint="eastAsia" w:ascii="Times New Roman" w:hAnsi="Times New Roman" w:cs="宋体"/>
                <w:kern w:val="0"/>
                <w:sz w:val="21"/>
                <w:szCs w:val="21"/>
                <w:highlight w:val="none"/>
              </w:rPr>
              <w:t>1. 在响应承诺函中对第三章“项目要求”</w:t>
            </w:r>
            <w:r>
              <w:rPr>
                <w:rFonts w:hint="eastAsia" w:ascii="Times New Roman" w:hAnsi="Times New Roman" w:cs="宋体"/>
                <w:kern w:val="0"/>
                <w:sz w:val="21"/>
                <w:szCs w:val="21"/>
                <w:highlight w:val="none"/>
                <w:lang w:eastAsia="zh-CN"/>
              </w:rPr>
              <w:t>内容做出整体承诺。</w:t>
            </w:r>
          </w:p>
          <w:p w14:paraId="152AD491">
            <w:pPr>
              <w:keepNext w:val="0"/>
              <w:keepLines w:val="0"/>
              <w:suppressLineNumbers w:val="0"/>
              <w:spacing w:before="0" w:beforeAutospacing="0" w:after="0" w:afterAutospacing="0" w:line="360" w:lineRule="auto"/>
              <w:ind w:left="0" w:right="0" w:firstLine="0"/>
              <w:jc w:val="left"/>
              <w:rPr>
                <w:rFonts w:hint="default" w:cs="宋体"/>
                <w:color w:val="auto"/>
                <w:kern w:val="0"/>
                <w:sz w:val="21"/>
                <w:szCs w:val="21"/>
                <w:highlight w:val="none"/>
              </w:rPr>
            </w:pPr>
            <w:r>
              <w:rPr>
                <w:rFonts w:hint="eastAsia" w:ascii="Times New Roman" w:hAnsi="Times New Roman" w:cs="宋体"/>
                <w:kern w:val="0"/>
                <w:sz w:val="21"/>
                <w:szCs w:val="21"/>
                <w:highlight w:val="none"/>
              </w:rPr>
              <w:t xml:space="preserve">2. 根据第一章“2. </w:t>
            </w:r>
            <w:r>
              <w:rPr>
                <w:rFonts w:hint="default" w:ascii="Times New Roman" w:hAnsi="Times New Roman" w:cs="宋体"/>
                <w:kern w:val="0"/>
                <w:sz w:val="21"/>
                <w:szCs w:val="21"/>
                <w:highlight w:val="none"/>
              </w:rPr>
              <w:t>参选人资格要求”和第三章“项目要求”的要求规定，提供对应材料，内容齐全、无遗漏</w:t>
            </w:r>
            <w:r>
              <w:rPr>
                <w:rFonts w:hint="eastAsia" w:ascii="Times New Roman" w:hAnsi="Times New Roman" w:cs="宋体"/>
                <w:kern w:val="0"/>
                <w:sz w:val="21"/>
                <w:szCs w:val="21"/>
                <w:highlight w:val="none"/>
              </w:rPr>
              <w:t>。</w:t>
            </w:r>
          </w:p>
        </w:tc>
      </w:tr>
      <w:tr w14:paraId="0D7A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E64B4F9">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cPr>
          <w:p w14:paraId="472E23F1">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69E10ABC">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tcBorders>
              <w:left w:val="single" w:color="auto" w:sz="4" w:space="0"/>
            </w:tcBorders>
            <w:vAlign w:val="center"/>
          </w:tcPr>
          <w:p w14:paraId="04F1DFBC">
            <w:pPr>
              <w:keepNext w:val="0"/>
              <w:keepLines w:val="0"/>
              <w:suppressLineNumbers w:val="0"/>
              <w:spacing w:before="0" w:beforeAutospacing="0" w:after="0" w:afterAutospacing="0" w:line="240" w:lineRule="auto"/>
              <w:ind w:left="0" w:right="0" w:firstLine="0"/>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5CE4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9EB32AF">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cPr>
          <w:p w14:paraId="232BC56E">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6BC20B6A">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tcBorders>
              <w:left w:val="single" w:color="auto" w:sz="4" w:space="0"/>
            </w:tcBorders>
            <w:vAlign w:val="center"/>
          </w:tcPr>
          <w:p w14:paraId="2DBD8FBB">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4E28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7B615C6">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cPr>
          <w:p w14:paraId="04D0B420">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53E7B92F">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tcBorders>
              <w:left w:val="single" w:color="auto" w:sz="4" w:space="0"/>
            </w:tcBorders>
            <w:vAlign w:val="center"/>
          </w:tcPr>
          <w:p w14:paraId="5AD29A95">
            <w:pPr>
              <w:keepNext w:val="0"/>
              <w:keepLines w:val="0"/>
              <w:suppressLineNumbers w:val="0"/>
              <w:adjustRightInd w:val="0"/>
              <w:snapToGrid w:val="0"/>
              <w:spacing w:before="0" w:beforeAutospacing="0" w:after="0" w:afterAutospacing="0" w:line="360" w:lineRule="auto"/>
              <w:ind w:left="0" w:right="0" w:firstLine="0"/>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504F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1E889D5">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cPr>
          <w:p w14:paraId="367AA27D">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7882D03A">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Borders>
              <w:left w:val="single" w:color="auto" w:sz="4" w:space="0"/>
            </w:tcBorders>
          </w:tcPr>
          <w:p w14:paraId="53AC66CE">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33AB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AAA4B28">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tcPr>
          <w:p w14:paraId="12C837F4">
            <w:pPr>
              <w:keepNext w:val="0"/>
              <w:keepLines w:val="0"/>
              <w:suppressLineNumbers w:val="0"/>
              <w:spacing w:before="0" w:beforeAutospacing="0" w:after="0" w:afterAutospacing="0"/>
              <w:ind w:left="0" w:right="0"/>
              <w:rPr>
                <w:rFonts w:hint="default"/>
                <w:highlight w:val="none"/>
              </w:rPr>
            </w:pPr>
          </w:p>
        </w:tc>
        <w:tc>
          <w:tcPr>
            <w:tcW w:w="1686" w:type="dxa"/>
            <w:gridSpan w:val="2"/>
            <w:tcBorders>
              <w:left w:val="single" w:color="auto" w:sz="4" w:space="0"/>
            </w:tcBorders>
            <w:vAlign w:val="center"/>
          </w:tcPr>
          <w:p w14:paraId="40233135">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Borders>
              <w:left w:val="single" w:color="auto" w:sz="4" w:space="0"/>
            </w:tcBorders>
          </w:tcPr>
          <w:p w14:paraId="3871C276">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1961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820" w:type="dxa"/>
            <w:vMerge w:val="restart"/>
            <w:vAlign w:val="center"/>
          </w:tcPr>
          <w:p w14:paraId="1BD8F914">
            <w:pPr>
              <w:keepNext w:val="0"/>
              <w:keepLines w:val="0"/>
              <w:suppressLineNumbers w:val="0"/>
              <w:spacing w:before="0" w:beforeAutospacing="0" w:after="0" w:afterAutospacing="0" w:line="360" w:lineRule="auto"/>
              <w:ind w:left="0" w:right="0" w:firstLine="0"/>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2.2</w:t>
            </w:r>
          </w:p>
        </w:tc>
        <w:tc>
          <w:tcPr>
            <w:tcW w:w="1482" w:type="dxa"/>
            <w:vMerge w:val="restart"/>
            <w:tcBorders>
              <w:left w:val="single" w:color="auto" w:sz="4" w:space="0"/>
            </w:tcBorders>
            <w:vAlign w:val="center"/>
          </w:tcPr>
          <w:p w14:paraId="44A092D3">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详细评审</w:t>
            </w:r>
          </w:p>
        </w:tc>
        <w:tc>
          <w:tcPr>
            <w:tcW w:w="1686" w:type="dxa"/>
            <w:gridSpan w:val="2"/>
            <w:vMerge w:val="restart"/>
            <w:tcBorders>
              <w:left w:val="single" w:color="auto" w:sz="4" w:space="0"/>
            </w:tcBorders>
            <w:vAlign w:val="center"/>
          </w:tcPr>
          <w:p w14:paraId="65A03E00">
            <w:pPr>
              <w:keepNext w:val="0"/>
              <w:keepLines w:val="0"/>
              <w:suppressLineNumbers w:val="0"/>
              <w:tabs>
                <w:tab w:val="left" w:pos="1875"/>
              </w:tabs>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sz w:val="21"/>
                <w:szCs w:val="21"/>
                <w:highlight w:val="none"/>
              </w:rPr>
              <w:t>分值构成与评分标准</w:t>
            </w:r>
          </w:p>
          <w:p w14:paraId="541FFD33">
            <w:pPr>
              <w:keepNext w:val="0"/>
              <w:keepLines w:val="0"/>
              <w:suppressLineNumbers w:val="0"/>
              <w:tabs>
                <w:tab w:val="left" w:pos="1875"/>
              </w:tabs>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(总分1OO分)</w:t>
            </w:r>
          </w:p>
        </w:tc>
        <w:tc>
          <w:tcPr>
            <w:tcW w:w="5476" w:type="dxa"/>
            <w:tcBorders>
              <w:left w:val="single" w:color="auto" w:sz="4" w:space="0"/>
            </w:tcBorders>
            <w:vAlign w:val="center"/>
          </w:tcPr>
          <w:p w14:paraId="069AB1C0">
            <w:pPr>
              <w:keepNext w:val="0"/>
              <w:keepLines w:val="0"/>
              <w:pageBreakBefore w:val="0"/>
              <w:widowControl w:val="0"/>
              <w:suppressLineNumbers w:val="0"/>
              <w:kinsoku/>
              <w:wordWrap/>
              <w:overflowPunct/>
              <w:topLinePunct w:val="0"/>
              <w:autoSpaceDE/>
              <w:autoSpaceDN/>
              <w:spacing w:before="0" w:beforeAutospacing="0" w:after="0" w:afterAutospacing="0" w:line="600" w:lineRule="exact"/>
              <w:ind w:left="0" w:right="0" w:firstLine="0"/>
              <w:jc w:val="left"/>
              <w:rPr>
                <w:rFonts w:hint="eastAsia" w:cs="宋体"/>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lang w:val="en-US" w:eastAsia="zh-CN"/>
              </w:rPr>
              <w:t>一、参选报价（不含税报价）评分规则（分值：</w:t>
            </w:r>
            <w:r>
              <w:rPr>
                <w:rFonts w:hint="default" w:ascii="Times New Roman" w:hAnsi="Times New Roman" w:cs="宋体"/>
                <w:color w:val="auto"/>
                <w:kern w:val="0"/>
                <w:sz w:val="21"/>
                <w:szCs w:val="21"/>
                <w:highlight w:val="none"/>
                <w:shd w:val="clear" w:color="auto" w:fill="auto"/>
                <w:lang w:val="en-US" w:eastAsia="zh-CN"/>
              </w:rPr>
              <w:t>40</w:t>
            </w:r>
            <w:r>
              <w:rPr>
                <w:rFonts w:hint="eastAsia" w:ascii="Times New Roman" w:hAnsi="Times New Roman" w:cs="宋体"/>
                <w:color w:val="auto"/>
                <w:kern w:val="0"/>
                <w:sz w:val="21"/>
                <w:szCs w:val="21"/>
                <w:highlight w:val="none"/>
                <w:shd w:val="clear" w:color="auto" w:fill="auto"/>
                <w:lang w:val="en-US" w:eastAsia="zh-CN"/>
              </w:rPr>
              <w:t>分）</w:t>
            </w:r>
          </w:p>
          <w:p w14:paraId="15555123">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1.以各有效报价之和的平均价格作为评标基准价，基准分为</w:t>
            </w:r>
            <w:r>
              <w:rPr>
                <w:rFonts w:hint="default" w:ascii="Times New Roman" w:hAnsi="Times New Roman" w:cs="宋体"/>
                <w:kern w:val="0"/>
                <w:sz w:val="21"/>
                <w:szCs w:val="21"/>
                <w:highlight w:val="none"/>
              </w:rPr>
              <w:t>40</w:t>
            </w:r>
            <w:r>
              <w:rPr>
                <w:rFonts w:hint="eastAsia" w:ascii="Times New Roman" w:hAnsi="Times New Roman" w:cs="宋体"/>
                <w:kern w:val="0"/>
                <w:sz w:val="21"/>
                <w:szCs w:val="21"/>
                <w:highlight w:val="none"/>
              </w:rPr>
              <w:t>分</w:t>
            </w:r>
            <w:r>
              <w:rPr>
                <w:rFonts w:hint="default" w:ascii="Times New Roman" w:hAnsi="Times New Roman" w:cs="Times New Roman"/>
                <w:kern w:val="0"/>
                <w:sz w:val="21"/>
                <w:szCs w:val="21"/>
                <w:highlight w:val="none"/>
              </w:rPr>
              <w:t>（有效供应商超过5家</w:t>
            </w:r>
            <w:r>
              <w:rPr>
                <w:rFonts w:hint="eastAsia" w:ascii="Times New Roman" w:hAnsi="Times New Roman" w:cs="Times New Roman"/>
                <w:kern w:val="0"/>
                <w:sz w:val="21"/>
                <w:szCs w:val="21"/>
                <w:highlight w:val="none"/>
                <w:lang w:eastAsia="zh-CN"/>
              </w:rPr>
              <w:t>（含</w:t>
            </w:r>
            <w:r>
              <w:rPr>
                <w:rFonts w:hint="eastAsia" w:ascii="Times New Roman" w:hAnsi="Times New Roman" w:cs="Times New Roman"/>
                <w:kern w:val="0"/>
                <w:sz w:val="21"/>
                <w:szCs w:val="21"/>
                <w:highlight w:val="none"/>
                <w:lang w:val="en-US" w:eastAsia="zh-CN"/>
              </w:rPr>
              <w:t>5家</w:t>
            </w:r>
            <w:r>
              <w:rPr>
                <w:rFonts w:hint="eastAsia" w:ascii="Times New Roman" w:hAnsi="Times New Roman" w:cs="Times New Roman"/>
                <w:kern w:val="0"/>
                <w:sz w:val="21"/>
                <w:szCs w:val="21"/>
                <w:highlight w:val="none"/>
                <w:lang w:eastAsia="zh-CN"/>
              </w:rPr>
              <w:t>）</w:t>
            </w:r>
            <w:r>
              <w:rPr>
                <w:rFonts w:hint="default" w:ascii="Times New Roman" w:hAnsi="Times New Roman" w:cs="Times New Roman"/>
                <w:kern w:val="0"/>
                <w:sz w:val="21"/>
                <w:szCs w:val="21"/>
                <w:highlight w:val="none"/>
              </w:rPr>
              <w:t>时，去掉一个最高价和一个最低价进行平均值计算）</w:t>
            </w:r>
            <w:r>
              <w:rPr>
                <w:rFonts w:hint="eastAsia" w:ascii="Times New Roman" w:hAnsi="Times New Roman" w:cs="宋体"/>
                <w:kern w:val="0"/>
                <w:sz w:val="21"/>
                <w:szCs w:val="21"/>
                <w:highlight w:val="none"/>
              </w:rPr>
              <w:t>；</w:t>
            </w:r>
          </w:p>
          <w:p w14:paraId="35E09A0C">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2.计算各有效报价与评标基准价的偏离度。偏离度=（有效报价/评标基准价-1）*100%；</w:t>
            </w:r>
          </w:p>
          <w:p w14:paraId="56A94CFF">
            <w:pPr>
              <w:keepNext w:val="0"/>
              <w:keepLines w:val="0"/>
              <w:suppressLineNumbers w:val="0"/>
              <w:spacing w:before="0" w:beforeAutospacing="0" w:after="0" w:afterAutospacing="0" w:line="360" w:lineRule="auto"/>
              <w:ind w:left="0" w:right="0" w:firstLine="0"/>
              <w:jc w:val="left"/>
              <w:rPr>
                <w:rFonts w:hint="default" w:ascii="Times New Roman" w:hAnsi="Times New Roman" w:cs="宋体"/>
                <w:kern w:val="0"/>
                <w:sz w:val="21"/>
                <w:szCs w:val="21"/>
                <w:highlight w:val="none"/>
              </w:rPr>
            </w:pPr>
            <w:r>
              <w:rPr>
                <w:rFonts w:hint="eastAsia" w:ascii="Times New Roman" w:hAnsi="Times New Roman" w:cs="宋体"/>
                <w:kern w:val="0"/>
                <w:sz w:val="21"/>
                <w:szCs w:val="21"/>
                <w:highlight w:val="none"/>
              </w:rPr>
              <w:t>3.报价向上每偏离基准价的1%扣1分</w:t>
            </w:r>
            <w:r>
              <w:rPr>
                <w:rFonts w:hint="default" w:ascii="Times New Roman" w:hAnsi="Times New Roman" w:cs="宋体"/>
                <w:kern w:val="0"/>
                <w:sz w:val="21"/>
                <w:szCs w:val="21"/>
                <w:highlight w:val="none"/>
              </w:rPr>
              <w:t>；向下偏离基准价10%以内的，不扣分；向下偏离基准价超过10%的，在向下偏离基准价10%的基础上，</w:t>
            </w:r>
            <w:r>
              <w:rPr>
                <w:rFonts w:hint="eastAsia" w:ascii="Times New Roman" w:hAnsi="Times New Roman"/>
                <w:kern w:val="0"/>
                <w:sz w:val="21"/>
                <w:szCs w:val="21"/>
                <w:highlight w:val="none"/>
              </w:rPr>
              <w:t>向下偏离</w:t>
            </w:r>
            <w:r>
              <w:rPr>
                <w:rFonts w:hint="default" w:ascii="Times New Roman" w:hAnsi="Times New Roman"/>
                <w:kern w:val="0"/>
                <w:sz w:val="21"/>
                <w:szCs w:val="21"/>
                <w:highlight w:val="none"/>
              </w:rPr>
              <w:t>每多超过</w:t>
            </w:r>
            <w:r>
              <w:rPr>
                <w:rFonts w:hint="eastAsia" w:ascii="Times New Roman" w:hAnsi="Times New Roman"/>
                <w:kern w:val="0"/>
                <w:sz w:val="21"/>
                <w:szCs w:val="21"/>
                <w:highlight w:val="none"/>
              </w:rPr>
              <w:t>1%扣</w:t>
            </w:r>
            <w:r>
              <w:rPr>
                <w:rFonts w:hint="default" w:ascii="Times New Roman" w:hAnsi="Times New Roman"/>
                <w:kern w:val="0"/>
                <w:sz w:val="21"/>
                <w:szCs w:val="21"/>
                <w:highlight w:val="none"/>
              </w:rPr>
              <w:t>0.5</w:t>
            </w:r>
            <w:r>
              <w:rPr>
                <w:rFonts w:hint="eastAsia" w:ascii="Times New Roman" w:hAnsi="Times New Roman"/>
                <w:kern w:val="0"/>
                <w:sz w:val="21"/>
                <w:szCs w:val="21"/>
                <w:highlight w:val="none"/>
              </w:rPr>
              <w:t>分</w:t>
            </w:r>
            <w:r>
              <w:rPr>
                <w:rFonts w:hint="eastAsia" w:ascii="Times New Roman" w:hAnsi="Times New Roman" w:cs="宋体"/>
                <w:kern w:val="0"/>
                <w:sz w:val="21"/>
                <w:szCs w:val="21"/>
                <w:highlight w:val="none"/>
              </w:rPr>
              <w:t>，扣完为止，不足1%的不予扣减。</w:t>
            </w:r>
          </w:p>
        </w:tc>
      </w:tr>
      <w:tr w14:paraId="129B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0D0BBDCD">
            <w:pPr>
              <w:keepNext w:val="0"/>
              <w:keepLines w:val="0"/>
              <w:suppressLineNumbers w:val="0"/>
              <w:spacing w:before="0" w:beforeAutospacing="0" w:after="0" w:afterAutospacing="0"/>
              <w:ind w:left="0" w:right="0"/>
              <w:rPr>
                <w:rFonts w:hint="default"/>
                <w:highlight w:val="none"/>
              </w:rPr>
            </w:pPr>
          </w:p>
        </w:tc>
        <w:tc>
          <w:tcPr>
            <w:tcW w:w="1482" w:type="dxa"/>
            <w:vMerge w:val="continue"/>
            <w:tcBorders>
              <w:left w:val="single" w:color="auto" w:sz="4" w:space="0"/>
            </w:tcBorders>
            <w:vAlign w:val="center"/>
          </w:tcPr>
          <w:p w14:paraId="000805D0">
            <w:pPr>
              <w:keepNext w:val="0"/>
              <w:keepLines w:val="0"/>
              <w:suppressLineNumbers w:val="0"/>
              <w:spacing w:before="0" w:beforeAutospacing="0" w:after="0" w:afterAutospacing="0"/>
              <w:ind w:left="0" w:right="0"/>
              <w:rPr>
                <w:rFonts w:hint="default"/>
                <w:highlight w:val="none"/>
              </w:rPr>
            </w:pPr>
          </w:p>
        </w:tc>
        <w:tc>
          <w:tcPr>
            <w:tcW w:w="1686" w:type="dxa"/>
            <w:gridSpan w:val="2"/>
            <w:vMerge w:val="continue"/>
            <w:tcBorders>
              <w:left w:val="single" w:color="auto" w:sz="4" w:space="0"/>
            </w:tcBorders>
            <w:vAlign w:val="center"/>
          </w:tcPr>
          <w:p w14:paraId="7E9C20A3">
            <w:pPr>
              <w:keepNext w:val="0"/>
              <w:keepLines w:val="0"/>
              <w:suppressLineNumbers w:val="0"/>
              <w:spacing w:before="0" w:beforeAutospacing="0" w:after="0" w:afterAutospacing="0"/>
              <w:ind w:left="0" w:right="0"/>
              <w:rPr>
                <w:rFonts w:hint="default"/>
                <w:highlight w:val="none"/>
              </w:rPr>
            </w:pPr>
          </w:p>
        </w:tc>
        <w:tc>
          <w:tcPr>
            <w:tcW w:w="5476" w:type="dxa"/>
            <w:tcBorders>
              <w:left w:val="single" w:color="auto" w:sz="4" w:space="0"/>
            </w:tcBorders>
            <w:vAlign w:val="center"/>
          </w:tcPr>
          <w:p w14:paraId="184C8C98">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cs="宋体"/>
                <w:kern w:val="0"/>
                <w:sz w:val="21"/>
                <w:szCs w:val="21"/>
                <w:highlight w:val="none"/>
                <w:shd w:val="clear" w:color="auto" w:fill="auto"/>
              </w:rPr>
            </w:pPr>
            <w:r>
              <w:rPr>
                <w:rFonts w:hint="eastAsia" w:ascii="宋体" w:hAnsi="宋体" w:cs="宋体"/>
                <w:color w:val="auto"/>
                <w:kern w:val="0"/>
                <w:sz w:val="21"/>
                <w:szCs w:val="21"/>
                <w:highlight w:val="none"/>
                <w:shd w:val="clear" w:color="auto" w:fill="auto"/>
                <w:lang w:val="en-US" w:eastAsia="zh-CN"/>
              </w:rPr>
              <w:t>二、商务部分</w:t>
            </w:r>
            <w:r>
              <w:rPr>
                <w:rFonts w:hint="eastAsia" w:ascii="宋体" w:hAnsi="宋体" w:cs="宋体"/>
                <w:color w:val="auto"/>
                <w:kern w:val="0"/>
                <w:sz w:val="21"/>
                <w:szCs w:val="21"/>
                <w:highlight w:val="none"/>
                <w:shd w:val="clear" w:color="auto" w:fill="auto"/>
              </w:rPr>
              <w:t>评分规则</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lang w:val="en-US" w:eastAsia="zh-CN"/>
              </w:rPr>
              <w:t>分值：</w:t>
            </w:r>
            <w:r>
              <w:rPr>
                <w:rFonts w:hint="default" w:ascii="宋体" w:hAnsi="宋体" w:cs="宋体"/>
                <w:color w:val="auto"/>
                <w:kern w:val="0"/>
                <w:sz w:val="21"/>
                <w:szCs w:val="21"/>
                <w:highlight w:val="none"/>
                <w:shd w:val="clear" w:color="auto" w:fill="auto"/>
                <w:lang w:val="en-US" w:eastAsia="zh-CN"/>
              </w:rPr>
              <w:t>25</w:t>
            </w:r>
            <w:r>
              <w:rPr>
                <w:rFonts w:hint="eastAsia" w:ascii="宋体" w:hAnsi="宋体" w:cs="宋体"/>
                <w:color w:val="auto"/>
                <w:kern w:val="0"/>
                <w:sz w:val="21"/>
                <w:szCs w:val="21"/>
                <w:highlight w:val="none"/>
                <w:shd w:val="clear" w:color="auto" w:fill="auto"/>
                <w:lang w:val="en-US" w:eastAsia="zh-CN"/>
              </w:rPr>
              <w:t>分</w:t>
            </w:r>
            <w:r>
              <w:rPr>
                <w:rFonts w:hint="eastAsia" w:ascii="宋体" w:hAnsi="宋体" w:cs="宋体"/>
                <w:color w:val="auto"/>
                <w:kern w:val="0"/>
                <w:sz w:val="21"/>
                <w:szCs w:val="21"/>
                <w:highlight w:val="none"/>
                <w:shd w:val="clear" w:color="auto" w:fill="auto"/>
                <w:lang w:eastAsia="zh-CN"/>
              </w:rPr>
              <w:t>）</w:t>
            </w:r>
          </w:p>
          <w:p w14:paraId="183D452C">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cs="宋体"/>
                <w:color w:val="auto"/>
                <w:kern w:val="0"/>
                <w:sz w:val="21"/>
                <w:szCs w:val="21"/>
                <w:highlight w:val="none"/>
                <w:shd w:val="clear" w:color="auto" w:fill="auto"/>
                <w:lang w:val="en-US" w:eastAsia="zh-CN"/>
              </w:rPr>
            </w:pPr>
            <w:r>
              <w:rPr>
                <w:rStyle w:val="30"/>
                <w:rFonts w:hint="eastAsia" w:ascii="宋体" w:hAnsi="宋体" w:cs="宋体"/>
                <w:color w:val="auto"/>
                <w:highlight w:val="none"/>
                <w:shd w:val="clear" w:color="auto" w:fill="auto"/>
                <w:lang w:val="en-US" w:eastAsia="zh-CN"/>
              </w:rPr>
              <w:t>1.</w:t>
            </w:r>
            <w:r>
              <w:rPr>
                <w:rFonts w:hint="eastAsia" w:ascii="宋体" w:hAnsi="宋体" w:cs="宋体"/>
                <w:color w:val="auto"/>
                <w:kern w:val="0"/>
                <w:sz w:val="21"/>
                <w:szCs w:val="21"/>
                <w:highlight w:val="none"/>
                <w:shd w:val="clear" w:color="auto" w:fill="auto"/>
                <w:lang w:val="en-US" w:eastAsia="zh-CN"/>
              </w:rPr>
              <w:t>参选人管理资质（分值：</w:t>
            </w:r>
            <w:r>
              <w:rPr>
                <w:rFonts w:hint="default" w:ascii="宋体" w:hAnsi="宋体" w:cs="宋体"/>
                <w:color w:val="auto"/>
                <w:kern w:val="0"/>
                <w:sz w:val="21"/>
                <w:szCs w:val="21"/>
                <w:highlight w:val="none"/>
                <w:shd w:val="clear" w:color="auto" w:fill="auto"/>
                <w:lang w:val="en-US" w:eastAsia="zh-CN"/>
              </w:rPr>
              <w:t>4</w:t>
            </w:r>
            <w:r>
              <w:rPr>
                <w:rFonts w:hint="eastAsia" w:ascii="宋体" w:hAnsi="宋体" w:cs="宋体"/>
                <w:color w:val="auto"/>
                <w:kern w:val="0"/>
                <w:sz w:val="21"/>
                <w:szCs w:val="21"/>
                <w:highlight w:val="none"/>
                <w:shd w:val="clear" w:color="auto" w:fill="auto"/>
                <w:lang w:val="en-US" w:eastAsia="zh-CN"/>
              </w:rPr>
              <w:t>分）</w:t>
            </w:r>
          </w:p>
          <w:p w14:paraId="3D0BF368">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（1）</w:t>
            </w:r>
            <w:r>
              <w:rPr>
                <w:rFonts w:hint="eastAsia" w:ascii="宋体" w:hAnsi="宋体" w:cs="宋体"/>
                <w:color w:val="auto"/>
                <w:kern w:val="0"/>
                <w:sz w:val="21"/>
                <w:szCs w:val="21"/>
                <w:highlight w:val="none"/>
                <w:shd w:val="clear" w:color="auto" w:fill="auto"/>
              </w:rPr>
              <w:t>有ISO体系相关认证，如：ISO9001（质量管理）/ISO20000（服务管理）/ISO27001（信息安全）/ISO22301（业务连续性），每项有一项认证得0.5分</w:t>
            </w:r>
            <w:r>
              <w:rPr>
                <w:rFonts w:hint="default" w:ascii="宋体" w:hAnsi="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lang w:val="en-US" w:eastAsia="zh-CN"/>
              </w:rPr>
              <w:t>满分2分。</w:t>
            </w:r>
            <w:r>
              <w:rPr>
                <w:rFonts w:hint="eastAsia" w:ascii="宋体" w:hAnsi="宋体" w:cs="宋体"/>
                <w:color w:val="auto"/>
                <w:kern w:val="0"/>
                <w:sz w:val="21"/>
                <w:szCs w:val="21"/>
                <w:highlight w:val="none"/>
                <w:shd w:val="clear" w:color="auto" w:fill="auto"/>
              </w:rPr>
              <w:cr/>
            </w:r>
            <w:r>
              <w:rPr>
                <w:rFonts w:hint="eastAsia" w:ascii="宋体" w:hAnsi="宋体" w:cs="宋体"/>
                <w:color w:val="auto"/>
                <w:kern w:val="0"/>
                <w:sz w:val="21"/>
                <w:szCs w:val="21"/>
                <w:highlight w:val="none"/>
                <w:shd w:val="clear" w:color="auto" w:fill="auto"/>
                <w:lang w:val="en-US" w:eastAsia="zh-CN"/>
              </w:rPr>
              <w:t>（2）</w:t>
            </w:r>
            <w:r>
              <w:rPr>
                <w:rFonts w:hint="eastAsia" w:ascii="宋体" w:hAnsi="宋体" w:cs="宋体"/>
                <w:color w:val="auto"/>
                <w:kern w:val="0"/>
                <w:sz w:val="21"/>
                <w:szCs w:val="21"/>
                <w:highlight w:val="none"/>
                <w:shd w:val="clear" w:color="auto" w:fill="auto"/>
              </w:rPr>
              <w:t>有软件成熟度相关认证，CMMI 3级得</w:t>
            </w:r>
            <w:r>
              <w:rPr>
                <w:rFonts w:hint="eastAsia" w:ascii="宋体" w:hAnsi="宋体" w:cs="宋体"/>
                <w:color w:val="auto"/>
                <w:kern w:val="0"/>
                <w:sz w:val="21"/>
                <w:szCs w:val="21"/>
                <w:highlight w:val="none"/>
                <w:shd w:val="clear" w:color="auto" w:fill="auto"/>
                <w:lang w:val="en-US" w:eastAsia="zh-CN"/>
              </w:rPr>
              <w:t>1</w:t>
            </w:r>
            <w:r>
              <w:rPr>
                <w:rFonts w:hint="eastAsia" w:ascii="宋体" w:hAnsi="宋体" w:cs="宋体"/>
                <w:color w:val="auto"/>
                <w:kern w:val="0"/>
                <w:sz w:val="21"/>
                <w:szCs w:val="21"/>
                <w:highlight w:val="none"/>
                <w:shd w:val="clear" w:color="auto" w:fill="auto"/>
              </w:rPr>
              <w:t>分，CMMI 4级得</w:t>
            </w:r>
            <w:r>
              <w:rPr>
                <w:rFonts w:hint="eastAsia" w:ascii="宋体" w:hAnsi="宋体" w:cs="宋体"/>
                <w:color w:val="auto"/>
                <w:kern w:val="0"/>
                <w:sz w:val="21"/>
                <w:szCs w:val="21"/>
                <w:highlight w:val="none"/>
                <w:shd w:val="clear" w:color="auto" w:fill="auto"/>
                <w:lang w:val="en-US" w:eastAsia="zh-CN"/>
              </w:rPr>
              <w:t>2</w:t>
            </w:r>
            <w:r>
              <w:rPr>
                <w:rFonts w:hint="eastAsia" w:ascii="宋体" w:hAnsi="宋体" w:cs="宋体"/>
                <w:color w:val="auto"/>
                <w:kern w:val="0"/>
                <w:sz w:val="21"/>
                <w:szCs w:val="21"/>
                <w:highlight w:val="none"/>
                <w:shd w:val="clear" w:color="auto" w:fill="auto"/>
              </w:rPr>
              <w:t>分</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CMMI 3级</w:t>
            </w:r>
            <w:r>
              <w:rPr>
                <w:rFonts w:hint="eastAsia" w:ascii="宋体" w:hAnsi="宋体" w:cs="宋体"/>
                <w:color w:val="auto"/>
                <w:kern w:val="0"/>
                <w:sz w:val="21"/>
                <w:szCs w:val="21"/>
                <w:highlight w:val="none"/>
                <w:shd w:val="clear" w:color="auto" w:fill="auto"/>
                <w:lang w:val="en-US" w:eastAsia="zh-CN"/>
              </w:rPr>
              <w:t>以下不得分</w:t>
            </w:r>
            <w:r>
              <w:rPr>
                <w:rFonts w:hint="default" w:ascii="宋体" w:hAnsi="宋体" w:cs="宋体"/>
                <w:color w:val="auto"/>
                <w:kern w:val="0"/>
                <w:sz w:val="21"/>
                <w:szCs w:val="21"/>
                <w:highlight w:val="none"/>
                <w:shd w:val="clear" w:color="auto" w:fill="auto"/>
                <w:lang w:val="en-US" w:eastAsia="zh-CN"/>
              </w:rPr>
              <w:t>，</w:t>
            </w:r>
            <w:r>
              <w:rPr>
                <w:rFonts w:hint="eastAsia" w:ascii="宋体" w:hAnsi="宋体" w:cs="宋体"/>
                <w:color w:val="auto"/>
                <w:kern w:val="0"/>
                <w:sz w:val="21"/>
                <w:szCs w:val="21"/>
                <w:highlight w:val="none"/>
                <w:shd w:val="clear" w:color="auto" w:fill="auto"/>
                <w:lang w:val="en-US" w:eastAsia="zh-CN"/>
              </w:rPr>
              <w:t>满分</w:t>
            </w:r>
            <w:r>
              <w:rPr>
                <w:rFonts w:hint="default" w:ascii="宋体" w:hAnsi="宋体" w:cs="宋体"/>
                <w:color w:val="auto"/>
                <w:kern w:val="0"/>
                <w:sz w:val="21"/>
                <w:szCs w:val="21"/>
                <w:highlight w:val="none"/>
                <w:shd w:val="clear" w:color="auto" w:fill="auto"/>
                <w:lang w:val="en-US" w:eastAsia="zh-CN"/>
              </w:rPr>
              <w:t>2</w:t>
            </w:r>
            <w:r>
              <w:rPr>
                <w:rFonts w:hint="eastAsia" w:ascii="宋体" w:hAnsi="宋体" w:cs="宋体"/>
                <w:color w:val="auto"/>
                <w:kern w:val="0"/>
                <w:sz w:val="21"/>
                <w:szCs w:val="21"/>
                <w:highlight w:val="none"/>
                <w:shd w:val="clear" w:color="auto" w:fill="auto"/>
                <w:lang w:val="en-US" w:eastAsia="zh-CN"/>
              </w:rPr>
              <w:t>分。</w:t>
            </w:r>
          </w:p>
          <w:p w14:paraId="622D577C">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rPr>
              <w:t>注</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rPr>
              <w:t>需提供证书复印件。</w:t>
            </w:r>
          </w:p>
          <w:p w14:paraId="6CBF59F0">
            <w:pPr>
              <w:keepNext w:val="0"/>
              <w:keepLines w:val="0"/>
              <w:pageBreakBefore w:val="0"/>
              <w:widowControl w:val="0"/>
              <w:suppressLineNumbers w:val="0"/>
              <w:kinsoku/>
              <w:wordWrap/>
              <w:overflowPunct/>
              <w:topLinePunct w:val="0"/>
              <w:autoSpaceDE/>
              <w:autoSpaceDN/>
              <w:spacing w:before="0" w:beforeAutospacing="0" w:after="0" w:afterAutospacing="0"/>
              <w:ind w:left="210" w:right="0" w:hanging="210" w:hangingChars="100"/>
              <w:jc w:val="left"/>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val="en-US" w:eastAsia="zh-CN"/>
              </w:rPr>
              <w:t>2.参选人实施案例（分值：</w:t>
            </w:r>
            <w:r>
              <w:rPr>
                <w:rFonts w:hint="default" w:ascii="宋体" w:hAnsi="宋体" w:cs="宋体"/>
                <w:color w:val="auto"/>
                <w:kern w:val="0"/>
                <w:sz w:val="21"/>
                <w:szCs w:val="21"/>
                <w:highlight w:val="none"/>
                <w:shd w:val="clear" w:color="auto" w:fill="auto"/>
                <w:lang w:val="en-US" w:eastAsia="zh-CN"/>
              </w:rPr>
              <w:t>7</w:t>
            </w:r>
            <w:r>
              <w:rPr>
                <w:rFonts w:hint="eastAsia" w:ascii="宋体" w:hAnsi="宋体" w:cs="宋体"/>
                <w:kern w:val="0"/>
                <w:sz w:val="21"/>
                <w:szCs w:val="21"/>
                <w:highlight w:val="none"/>
                <w:shd w:val="clear" w:color="auto" w:fill="auto"/>
              </w:rPr>
              <w:t>分</w:t>
            </w:r>
            <w:r>
              <w:rPr>
                <w:rFonts w:hint="eastAsia" w:ascii="宋体" w:hAnsi="宋体" w:cs="宋体"/>
                <w:color w:val="auto"/>
                <w:kern w:val="0"/>
                <w:sz w:val="21"/>
                <w:szCs w:val="21"/>
                <w:highlight w:val="none"/>
                <w:shd w:val="clear" w:color="auto" w:fill="auto"/>
                <w:lang w:val="en-US" w:eastAsia="zh-CN"/>
              </w:rPr>
              <w:t>）</w:t>
            </w:r>
          </w:p>
          <w:p w14:paraId="0F9697DF">
            <w:pPr>
              <w:keepNext w:val="0"/>
              <w:keepLines w:val="0"/>
              <w:pageBreakBefore w:val="0"/>
              <w:widowControl w:val="0"/>
              <w:suppressLineNumbers w:val="0"/>
              <w:kinsoku/>
              <w:wordWrap/>
              <w:overflowPunct/>
              <w:topLinePunct w:val="0"/>
              <w:autoSpaceDE/>
              <w:autoSpaceDN/>
              <w:spacing w:before="0" w:beforeAutospacing="0" w:after="0" w:afterAutospacing="0"/>
              <w:ind w:left="0" w:right="0"/>
              <w:jc w:val="left"/>
              <w:rPr>
                <w:rFonts w:hint="eastAsia" w:ascii="宋体" w:hAnsi="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在</w:t>
            </w:r>
            <w:r>
              <w:rPr>
                <w:rFonts w:hint="eastAsia" w:ascii="宋体" w:hAnsi="宋体" w:cs="宋体"/>
                <w:color w:val="auto"/>
                <w:kern w:val="0"/>
                <w:sz w:val="21"/>
                <w:szCs w:val="21"/>
                <w:highlight w:val="none"/>
                <w:shd w:val="clear" w:color="auto" w:fill="auto"/>
                <w:lang w:val="en-US" w:eastAsia="zh-CN"/>
              </w:rPr>
              <w:t>具备</w:t>
            </w:r>
            <w:r>
              <w:rPr>
                <w:rFonts w:hint="eastAsia" w:cs="宋体"/>
                <w:color w:val="auto"/>
                <w:kern w:val="0"/>
                <w:sz w:val="21"/>
                <w:szCs w:val="21"/>
                <w:highlight w:val="none"/>
                <w:shd w:val="clear" w:color="auto" w:fill="auto"/>
                <w:lang w:val="en-US" w:eastAsia="zh-CN"/>
              </w:rPr>
              <w:t>1</w:t>
            </w:r>
            <w:r>
              <w:rPr>
                <w:rFonts w:hint="eastAsia" w:ascii="宋体" w:hAnsi="宋体" w:cs="宋体"/>
                <w:kern w:val="0"/>
                <w:sz w:val="21"/>
                <w:szCs w:val="21"/>
                <w:highlight w:val="none"/>
                <w:shd w:val="clear" w:color="auto" w:fill="auto"/>
                <w:lang w:val="en-US" w:eastAsia="zh-CN"/>
              </w:rPr>
              <w:t>个</w:t>
            </w:r>
            <w:r>
              <w:rPr>
                <w:rFonts w:hint="default" w:ascii="宋体" w:hAnsi="宋体" w:cs="宋体"/>
                <w:kern w:val="0"/>
                <w:sz w:val="21"/>
                <w:szCs w:val="21"/>
                <w:highlight w:val="none"/>
                <w:shd w:val="clear" w:color="auto" w:fill="auto"/>
                <w:lang w:val="en-US" w:eastAsia="zh-CN"/>
              </w:rPr>
              <w:t>绿色金融相关的</w:t>
            </w:r>
            <w:r>
              <w:rPr>
                <w:rFonts w:hint="eastAsia" w:ascii="宋体" w:hAnsi="宋体" w:cs="宋体"/>
                <w:kern w:val="0"/>
                <w:sz w:val="21"/>
                <w:szCs w:val="21"/>
                <w:highlight w:val="none"/>
                <w:shd w:val="clear" w:color="auto" w:fill="auto"/>
                <w:lang w:val="en-US" w:eastAsia="zh-CN"/>
              </w:rPr>
              <w:t>案例</w:t>
            </w:r>
            <w:r>
              <w:rPr>
                <w:rFonts w:hint="eastAsia" w:cs="宋体"/>
                <w:kern w:val="0"/>
                <w:sz w:val="21"/>
                <w:szCs w:val="21"/>
                <w:highlight w:val="none"/>
                <w:shd w:val="clear" w:color="auto" w:fill="auto"/>
                <w:lang w:val="en-US" w:eastAsia="zh-CN"/>
              </w:rPr>
              <w:t>的基础上</w:t>
            </w:r>
            <w:r>
              <w:rPr>
                <w:rFonts w:hint="default" w:ascii="宋体" w:hAnsi="宋体" w:cs="宋体"/>
                <w:kern w:val="0"/>
                <w:sz w:val="21"/>
                <w:szCs w:val="21"/>
                <w:highlight w:val="none"/>
                <w:shd w:val="clear" w:color="auto" w:fill="auto"/>
                <w:lang w:val="en-US" w:eastAsia="zh-CN"/>
              </w:rPr>
              <w:t>，</w:t>
            </w:r>
            <w:r>
              <w:rPr>
                <w:rFonts w:hint="default" w:ascii="宋体" w:cs="宋体"/>
                <w:kern w:val="0"/>
                <w:sz w:val="21"/>
                <w:szCs w:val="21"/>
                <w:highlight w:val="none"/>
                <w:shd w:val="clear" w:color="auto" w:fill="auto"/>
                <w:lang w:val="en-US" w:eastAsia="zh-CN"/>
              </w:rPr>
              <w:t>每增</w:t>
            </w:r>
            <w:r>
              <w:rPr>
                <w:rFonts w:hint="eastAsia" w:ascii="宋体" w:cs="宋体"/>
                <w:kern w:val="0"/>
                <w:sz w:val="21"/>
                <w:szCs w:val="21"/>
                <w:highlight w:val="none"/>
                <w:shd w:val="clear" w:color="auto" w:fill="auto"/>
                <w:lang w:val="en-US" w:eastAsia="zh-CN"/>
              </w:rPr>
              <w:t>加</w:t>
            </w:r>
            <w:r>
              <w:rPr>
                <w:rFonts w:hint="eastAsia" w:ascii="宋体" w:cs="宋体"/>
                <w:kern w:val="0"/>
                <w:sz w:val="21"/>
                <w:szCs w:val="21"/>
                <w:highlight w:val="none"/>
                <w:shd w:val="clear" w:color="auto" w:fill="auto"/>
              </w:rPr>
              <w:t>1个</w:t>
            </w:r>
            <w:r>
              <w:rPr>
                <w:rFonts w:hint="eastAsia" w:ascii="宋体" w:cs="宋体"/>
                <w:kern w:val="0"/>
                <w:sz w:val="21"/>
                <w:szCs w:val="21"/>
                <w:highlight w:val="none"/>
                <w:shd w:val="clear" w:color="auto" w:fill="auto"/>
                <w:lang w:val="en-US" w:eastAsia="zh-CN"/>
              </w:rPr>
              <w:t>案例得</w:t>
            </w:r>
            <w:r>
              <w:rPr>
                <w:rFonts w:hint="default" w:ascii="宋体" w:cs="宋体"/>
                <w:kern w:val="0"/>
                <w:sz w:val="21"/>
                <w:szCs w:val="21"/>
                <w:highlight w:val="none"/>
                <w:shd w:val="clear" w:color="auto" w:fill="auto"/>
                <w:lang w:val="en-US" w:eastAsia="zh-CN"/>
              </w:rPr>
              <w:t>1</w:t>
            </w:r>
            <w:r>
              <w:rPr>
                <w:rFonts w:hint="eastAsia" w:ascii="宋体" w:cs="宋体"/>
                <w:kern w:val="0"/>
                <w:sz w:val="21"/>
                <w:szCs w:val="21"/>
                <w:highlight w:val="none"/>
                <w:shd w:val="clear" w:color="auto" w:fill="auto"/>
                <w:lang w:val="en-US" w:eastAsia="zh-CN"/>
              </w:rPr>
              <w:t>分，</w:t>
            </w:r>
            <w:r>
              <w:rPr>
                <w:rFonts w:hint="default" w:ascii="宋体" w:cs="宋体"/>
                <w:kern w:val="0"/>
                <w:sz w:val="21"/>
                <w:szCs w:val="21"/>
                <w:highlight w:val="none"/>
                <w:shd w:val="clear" w:color="auto" w:fill="auto"/>
                <w:lang w:val="en-US" w:eastAsia="zh-CN"/>
              </w:rPr>
              <w:t>满分7</w:t>
            </w:r>
            <w:r>
              <w:rPr>
                <w:rFonts w:hint="eastAsia" w:ascii="宋体" w:cs="宋体"/>
                <w:kern w:val="0"/>
                <w:sz w:val="21"/>
                <w:szCs w:val="21"/>
                <w:highlight w:val="none"/>
                <w:shd w:val="clear" w:color="auto" w:fill="auto"/>
                <w:lang w:val="en-US" w:eastAsia="zh-CN"/>
              </w:rPr>
              <w:t>分</w:t>
            </w:r>
            <w:r>
              <w:rPr>
                <w:rFonts w:hint="default" w:ascii="宋体" w:hAnsi="宋体" w:cs="宋体"/>
                <w:kern w:val="0"/>
                <w:sz w:val="21"/>
                <w:szCs w:val="21"/>
                <w:highlight w:val="none"/>
                <w:shd w:val="clear" w:color="auto" w:fill="auto"/>
                <w:lang w:val="en-US" w:eastAsia="zh-CN"/>
              </w:rPr>
              <w:t>。满足以下</w:t>
            </w:r>
            <w:r>
              <w:rPr>
                <w:rFonts w:hint="eastAsia" w:ascii="宋体" w:hAnsi="宋体" w:cs="宋体"/>
                <w:kern w:val="0"/>
                <w:sz w:val="21"/>
                <w:szCs w:val="21"/>
                <w:highlight w:val="none"/>
                <w:shd w:val="clear" w:color="auto" w:fill="auto"/>
                <w:lang w:val="en-US" w:eastAsia="zh-CN"/>
              </w:rPr>
              <w:t>要求</w:t>
            </w:r>
            <w:r>
              <w:rPr>
                <w:rFonts w:hint="default" w:ascii="宋体" w:hAnsi="宋体" w:cs="宋体"/>
                <w:kern w:val="0"/>
                <w:sz w:val="21"/>
                <w:szCs w:val="21"/>
                <w:highlight w:val="none"/>
                <w:shd w:val="clear" w:color="auto" w:fill="auto"/>
                <w:lang w:val="en-US" w:eastAsia="zh-CN"/>
              </w:rPr>
              <w:t>：</w:t>
            </w:r>
          </w:p>
          <w:p w14:paraId="73E3DC05">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default"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rPr>
              <w:t>（1）必须为202</w:t>
            </w:r>
            <w:r>
              <w:rPr>
                <w:rFonts w:hint="default" w:ascii="宋体" w:hAnsi="宋体" w:cs="宋体"/>
                <w:kern w:val="0"/>
                <w:sz w:val="21"/>
                <w:szCs w:val="21"/>
                <w:highlight w:val="none"/>
                <w:shd w:val="clear" w:color="auto" w:fill="auto"/>
              </w:rPr>
              <w:t>1</w:t>
            </w:r>
            <w:r>
              <w:rPr>
                <w:rFonts w:hint="eastAsia" w:ascii="宋体" w:hAnsi="宋体" w:cs="宋体"/>
                <w:kern w:val="0"/>
                <w:sz w:val="21"/>
                <w:szCs w:val="21"/>
                <w:highlight w:val="none"/>
                <w:shd w:val="clear" w:color="auto" w:fill="auto"/>
              </w:rPr>
              <w:t>年1月1日之后签订合同并</w:t>
            </w:r>
            <w:r>
              <w:rPr>
                <w:rFonts w:hint="eastAsia" w:cs="宋体"/>
                <w:kern w:val="0"/>
                <w:sz w:val="21"/>
                <w:szCs w:val="21"/>
                <w:highlight w:val="none"/>
                <w:shd w:val="clear" w:color="auto" w:fill="auto"/>
                <w:lang w:val="en-US" w:eastAsia="zh-CN"/>
              </w:rPr>
              <w:t>实施</w:t>
            </w:r>
            <w:r>
              <w:rPr>
                <w:rFonts w:hint="eastAsia" w:ascii="宋体" w:hAnsi="宋体" w:cs="宋体"/>
                <w:kern w:val="0"/>
                <w:sz w:val="21"/>
                <w:szCs w:val="21"/>
                <w:highlight w:val="none"/>
                <w:shd w:val="clear" w:color="auto" w:fill="auto"/>
              </w:rPr>
              <w:t>的</w:t>
            </w:r>
            <w:r>
              <w:rPr>
                <w:rFonts w:hint="default" w:ascii="宋体" w:hAnsi="宋体" w:cs="宋体"/>
                <w:kern w:val="0"/>
                <w:sz w:val="21"/>
                <w:szCs w:val="21"/>
                <w:highlight w:val="none"/>
                <w:shd w:val="clear" w:color="auto" w:fill="auto"/>
              </w:rPr>
              <w:t>绿色金融相关</w:t>
            </w:r>
            <w:r>
              <w:rPr>
                <w:rFonts w:hint="eastAsia" w:ascii="宋体" w:hAnsi="宋体" w:cs="宋体"/>
                <w:kern w:val="0"/>
                <w:sz w:val="21"/>
                <w:szCs w:val="21"/>
                <w:highlight w:val="none"/>
                <w:shd w:val="clear" w:color="auto" w:fill="auto"/>
              </w:rPr>
              <w:t>项目；</w:t>
            </w:r>
            <w:r>
              <w:rPr>
                <w:rFonts w:hint="default" w:ascii="宋体" w:hAnsi="宋体" w:cs="宋体"/>
                <w:kern w:val="0"/>
                <w:sz w:val="21"/>
                <w:szCs w:val="21"/>
                <w:highlight w:val="none"/>
                <w:shd w:val="clear" w:color="auto" w:fill="auto"/>
              </w:rPr>
              <w:t>（2）实施案例中需包含如下功能之一：绿色识别</w:t>
            </w:r>
            <w:r>
              <w:rPr>
                <w:rFonts w:hint="eastAsia" w:cs="宋体"/>
                <w:kern w:val="0"/>
                <w:sz w:val="21"/>
                <w:szCs w:val="21"/>
                <w:highlight w:val="none"/>
                <w:shd w:val="clear" w:color="auto" w:fill="auto"/>
                <w:lang w:val="en-US" w:eastAsia="zh-CN"/>
              </w:rPr>
              <w:t>/认定</w:t>
            </w:r>
            <w:r>
              <w:rPr>
                <w:rFonts w:hint="default" w:ascii="宋体" w:hAnsi="宋体" w:cs="宋体"/>
                <w:kern w:val="0"/>
                <w:sz w:val="21"/>
                <w:szCs w:val="21"/>
                <w:highlight w:val="none"/>
                <w:shd w:val="clear" w:color="auto" w:fill="auto"/>
              </w:rPr>
              <w:t>、环境效益测算、碳核算、碳账户；</w:t>
            </w:r>
            <w:r>
              <w:rPr>
                <w:rFonts w:hint="eastAsia" w:ascii="宋体" w:hAnsi="宋体" w:cs="宋体"/>
                <w:kern w:val="0"/>
                <w:sz w:val="21"/>
                <w:szCs w:val="21"/>
                <w:highlight w:val="none"/>
                <w:shd w:val="clear" w:color="auto" w:fill="auto"/>
              </w:rPr>
              <w:t>（</w:t>
            </w:r>
            <w:r>
              <w:rPr>
                <w:rFonts w:hint="default" w:ascii="宋体" w:hAnsi="宋体" w:cs="宋体"/>
                <w:kern w:val="0"/>
                <w:sz w:val="21"/>
                <w:szCs w:val="21"/>
                <w:highlight w:val="none"/>
                <w:shd w:val="clear" w:color="auto" w:fill="auto"/>
              </w:rPr>
              <w:t>3</w:t>
            </w:r>
            <w:r>
              <w:rPr>
                <w:rFonts w:hint="eastAsia" w:ascii="宋体" w:hAnsi="宋体" w:cs="宋体"/>
                <w:kern w:val="0"/>
                <w:sz w:val="21"/>
                <w:szCs w:val="21"/>
                <w:highlight w:val="none"/>
                <w:shd w:val="clear" w:color="auto" w:fill="auto"/>
              </w:rPr>
              <w:t>）实施案例必须是一期平台搭建类项目，不含二期及以上升级或运维类项目；（</w:t>
            </w:r>
            <w:r>
              <w:rPr>
                <w:rFonts w:hint="default" w:ascii="宋体" w:hAnsi="宋体" w:cs="宋体"/>
                <w:kern w:val="0"/>
                <w:sz w:val="21"/>
                <w:szCs w:val="21"/>
                <w:highlight w:val="none"/>
                <w:shd w:val="clear" w:color="auto" w:fill="auto"/>
              </w:rPr>
              <w:t>4</w:t>
            </w:r>
            <w:r>
              <w:rPr>
                <w:rFonts w:hint="eastAsia" w:ascii="宋体" w:hAnsi="宋体" w:cs="宋体"/>
                <w:kern w:val="0"/>
                <w:sz w:val="21"/>
                <w:szCs w:val="21"/>
                <w:highlight w:val="none"/>
                <w:shd w:val="clear" w:color="auto" w:fill="auto"/>
              </w:rPr>
              <w:t>）提供合同关键页复印件，若合同无法证明，需提供合同甲方出具的证明材料原件。</w:t>
            </w:r>
            <w:r>
              <w:rPr>
                <w:rFonts w:hint="eastAsia" w:cs="宋体"/>
                <w:kern w:val="0"/>
                <w:sz w:val="21"/>
                <w:szCs w:val="21"/>
                <w:highlight w:val="none"/>
                <w:shd w:val="clear" w:color="auto" w:fill="auto"/>
                <w:lang w:eastAsia="zh-CN"/>
              </w:rPr>
              <w:t>（</w:t>
            </w:r>
            <w:r>
              <w:rPr>
                <w:rFonts w:hint="eastAsia" w:cs="宋体"/>
                <w:kern w:val="0"/>
                <w:sz w:val="21"/>
                <w:szCs w:val="21"/>
                <w:highlight w:val="none"/>
                <w:shd w:val="clear" w:color="auto" w:fill="auto"/>
                <w:lang w:val="en-US" w:eastAsia="zh-CN"/>
              </w:rPr>
              <w:t>5</w:t>
            </w:r>
            <w:r>
              <w:rPr>
                <w:rFonts w:hint="eastAsia" w:cs="宋体"/>
                <w:kern w:val="0"/>
                <w:sz w:val="21"/>
                <w:szCs w:val="21"/>
                <w:highlight w:val="none"/>
                <w:shd w:val="clear" w:color="auto" w:fill="auto"/>
                <w:lang w:eastAsia="zh-CN"/>
              </w:rPr>
              <w:t>）</w:t>
            </w:r>
            <w:r>
              <w:rPr>
                <w:rFonts w:hint="eastAsia" w:cs="宋体"/>
                <w:kern w:val="0"/>
                <w:sz w:val="21"/>
                <w:szCs w:val="21"/>
                <w:highlight w:val="none"/>
                <w:shd w:val="clear" w:color="auto" w:fill="auto"/>
                <w:lang w:val="en-US" w:eastAsia="zh-CN"/>
              </w:rPr>
              <w:t>需提供合同对应的发票之一和网上税务系统查询该发票截图（发票开具日期须晚于合同签订日期、发票购买方须与合同买方一致、发票销售方须与合同卖方（参选人）一致））。</w:t>
            </w:r>
          </w:p>
          <w:p w14:paraId="33546315">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default" w:ascii="宋体" w:hAnsi="宋体" w:cs="宋体"/>
                <w:kern w:val="0"/>
                <w:sz w:val="21"/>
                <w:szCs w:val="21"/>
                <w:highlight w:val="none"/>
                <w:shd w:val="clear" w:color="auto" w:fill="auto"/>
              </w:rPr>
            </w:pPr>
            <w:r>
              <w:rPr>
                <w:rFonts w:hint="default" w:ascii="宋体" w:hAnsi="宋体" w:cs="宋体"/>
                <w:kern w:val="0"/>
                <w:sz w:val="21"/>
                <w:szCs w:val="21"/>
                <w:highlight w:val="none"/>
                <w:shd w:val="clear" w:color="auto" w:fill="auto"/>
              </w:rPr>
              <w:t>3.实施团队要求（分值：3分）</w:t>
            </w:r>
          </w:p>
          <w:p w14:paraId="40FFF5D8">
            <w:pPr>
              <w:keepNext w:val="0"/>
              <w:keepLines w:val="0"/>
              <w:suppressLineNumbers w:val="0"/>
              <w:spacing w:before="0" w:beforeAutospacing="0" w:after="0" w:afterAutospacing="0"/>
              <w:ind w:left="0" w:right="0" w:firstLine="0"/>
              <w:rPr>
                <w:rFonts w:hint="default" w:ascii="宋体" w:cs="宋体"/>
                <w:kern w:val="0"/>
                <w:sz w:val="21"/>
                <w:szCs w:val="21"/>
                <w:highlight w:val="none"/>
              </w:rPr>
            </w:pPr>
            <w:r>
              <w:rPr>
                <w:rFonts w:hint="default" w:ascii="宋体" w:cs="宋体"/>
                <w:kern w:val="0"/>
                <w:sz w:val="21"/>
                <w:szCs w:val="21"/>
                <w:highlight w:val="none"/>
              </w:rPr>
              <w:t>（1）现场</w:t>
            </w:r>
            <w:r>
              <w:rPr>
                <w:rFonts w:hint="eastAsia" w:ascii="宋体" w:cs="宋体"/>
                <w:kern w:val="0"/>
                <w:sz w:val="21"/>
                <w:szCs w:val="21"/>
                <w:highlight w:val="none"/>
              </w:rPr>
              <w:t>项目经理：</w:t>
            </w:r>
            <w:r>
              <w:rPr>
                <w:rFonts w:hint="default" w:ascii="宋体" w:cs="宋体"/>
                <w:kern w:val="0"/>
                <w:sz w:val="21"/>
                <w:szCs w:val="21"/>
                <w:highlight w:val="none"/>
              </w:rPr>
              <w:t>具备7年及以上工作经验得0.5分</w:t>
            </w:r>
            <w:r>
              <w:rPr>
                <w:rFonts w:hint="eastAsia" w:ascii="宋体" w:cs="宋体"/>
                <w:kern w:val="0"/>
                <w:sz w:val="21"/>
                <w:szCs w:val="21"/>
                <w:highlight w:val="none"/>
              </w:rPr>
              <w:t>；</w:t>
            </w:r>
            <w:r>
              <w:rPr>
                <w:rFonts w:hint="default" w:ascii="宋体" w:cs="宋体"/>
                <w:kern w:val="0"/>
                <w:sz w:val="21"/>
                <w:szCs w:val="21"/>
                <w:highlight w:val="none"/>
              </w:rPr>
              <w:t>担任</w:t>
            </w:r>
            <w:r>
              <w:rPr>
                <w:rFonts w:hint="eastAsia" w:ascii="宋体" w:cs="宋体"/>
                <w:kern w:val="0"/>
                <w:sz w:val="21"/>
                <w:szCs w:val="21"/>
                <w:highlight w:val="none"/>
              </w:rPr>
              <w:t>过</w:t>
            </w:r>
            <w:r>
              <w:rPr>
                <w:rFonts w:hint="default" w:ascii="宋体" w:cs="宋体"/>
                <w:kern w:val="0"/>
                <w:sz w:val="21"/>
                <w:szCs w:val="21"/>
                <w:highlight w:val="none"/>
              </w:rPr>
              <w:t>2</w:t>
            </w:r>
            <w:r>
              <w:rPr>
                <w:rFonts w:hint="eastAsia" w:ascii="宋体" w:cs="宋体"/>
                <w:kern w:val="0"/>
                <w:sz w:val="21"/>
                <w:szCs w:val="21"/>
                <w:highlight w:val="none"/>
              </w:rPr>
              <w:t>个</w:t>
            </w:r>
            <w:r>
              <w:rPr>
                <w:rFonts w:hint="default" w:ascii="宋体" w:cs="宋体"/>
                <w:kern w:val="0"/>
                <w:sz w:val="21"/>
                <w:szCs w:val="21"/>
                <w:highlight w:val="none"/>
              </w:rPr>
              <w:t>及以上绿色金融相关项目</w:t>
            </w:r>
            <w:r>
              <w:rPr>
                <w:rFonts w:hint="eastAsia" w:ascii="宋体" w:cs="宋体"/>
                <w:kern w:val="0"/>
                <w:sz w:val="21"/>
                <w:szCs w:val="21"/>
                <w:highlight w:val="none"/>
              </w:rPr>
              <w:t>的项目经理得</w:t>
            </w:r>
            <w:r>
              <w:rPr>
                <w:rFonts w:hint="default" w:ascii="宋体" w:cs="宋体"/>
                <w:kern w:val="0"/>
                <w:sz w:val="21"/>
                <w:szCs w:val="21"/>
                <w:highlight w:val="none"/>
              </w:rPr>
              <w:t>0.5</w:t>
            </w:r>
            <w:r>
              <w:rPr>
                <w:rFonts w:hint="eastAsia" w:ascii="宋体" w:cs="宋体"/>
                <w:kern w:val="0"/>
                <w:sz w:val="21"/>
                <w:szCs w:val="21"/>
                <w:highlight w:val="none"/>
              </w:rPr>
              <w:t>分</w:t>
            </w:r>
            <w:r>
              <w:rPr>
                <w:rFonts w:hint="default" w:ascii="宋体" w:cs="宋体"/>
                <w:kern w:val="0"/>
                <w:sz w:val="21"/>
                <w:szCs w:val="21"/>
                <w:highlight w:val="none"/>
              </w:rPr>
              <w:t>。满分1分</w:t>
            </w:r>
            <w:r>
              <w:rPr>
                <w:rFonts w:hint="eastAsia" w:cs="宋体"/>
                <w:kern w:val="0"/>
                <w:sz w:val="21"/>
                <w:szCs w:val="21"/>
                <w:highlight w:val="none"/>
                <w:lang w:eastAsia="zh-CN"/>
              </w:rPr>
              <w:t>，如不满足，不得分。</w:t>
            </w:r>
          </w:p>
          <w:p w14:paraId="17A4CF41">
            <w:pPr>
              <w:keepNext w:val="0"/>
              <w:keepLines w:val="0"/>
              <w:suppressLineNumbers w:val="0"/>
              <w:spacing w:before="0" w:beforeAutospacing="0" w:after="0" w:afterAutospacing="0"/>
              <w:ind w:left="0" w:right="0" w:firstLine="0"/>
              <w:rPr>
                <w:rFonts w:hint="default" w:ascii="宋体" w:cs="宋体"/>
                <w:kern w:val="0"/>
                <w:sz w:val="21"/>
                <w:szCs w:val="21"/>
                <w:highlight w:val="none"/>
              </w:rPr>
            </w:pPr>
            <w:r>
              <w:rPr>
                <w:rFonts w:hint="default" w:ascii="宋体" w:cs="宋体"/>
                <w:kern w:val="0"/>
                <w:sz w:val="21"/>
                <w:szCs w:val="21"/>
                <w:highlight w:val="none"/>
              </w:rPr>
              <w:t>（2）现场</w:t>
            </w:r>
            <w:r>
              <w:rPr>
                <w:rFonts w:hint="eastAsia" w:ascii="宋体" w:cs="宋体"/>
                <w:kern w:val="0"/>
                <w:sz w:val="21"/>
                <w:szCs w:val="21"/>
                <w:highlight w:val="none"/>
              </w:rPr>
              <w:t>需求分析师：</w:t>
            </w:r>
            <w:r>
              <w:rPr>
                <w:rFonts w:hint="default" w:ascii="宋体" w:cs="宋体"/>
                <w:kern w:val="0"/>
                <w:sz w:val="21"/>
                <w:szCs w:val="21"/>
                <w:highlight w:val="none"/>
              </w:rPr>
              <w:t>具备7年及以上工作经验得0.5分；</w:t>
            </w:r>
            <w:r>
              <w:rPr>
                <w:rFonts w:hint="eastAsia" w:ascii="宋体" w:cs="宋体"/>
                <w:kern w:val="0"/>
                <w:sz w:val="21"/>
                <w:szCs w:val="21"/>
                <w:highlight w:val="none"/>
              </w:rPr>
              <w:t>担</w:t>
            </w:r>
            <w:r>
              <w:rPr>
                <w:rFonts w:hint="default" w:ascii="宋体" w:cs="宋体"/>
                <w:kern w:val="0"/>
                <w:sz w:val="21"/>
                <w:szCs w:val="21"/>
                <w:highlight w:val="none"/>
              </w:rPr>
              <w:t>任</w:t>
            </w:r>
            <w:r>
              <w:rPr>
                <w:rFonts w:hint="eastAsia" w:ascii="宋体" w:cs="宋体"/>
                <w:kern w:val="0"/>
                <w:sz w:val="21"/>
                <w:szCs w:val="21"/>
                <w:highlight w:val="none"/>
              </w:rPr>
              <w:t>过</w:t>
            </w:r>
            <w:r>
              <w:rPr>
                <w:rFonts w:hint="default" w:ascii="宋体" w:cs="宋体"/>
                <w:kern w:val="0"/>
                <w:sz w:val="21"/>
                <w:szCs w:val="21"/>
                <w:highlight w:val="none"/>
              </w:rPr>
              <w:t>2</w:t>
            </w:r>
            <w:r>
              <w:rPr>
                <w:rFonts w:hint="eastAsia" w:ascii="宋体" w:cs="宋体"/>
                <w:kern w:val="0"/>
                <w:sz w:val="21"/>
                <w:szCs w:val="21"/>
                <w:highlight w:val="none"/>
              </w:rPr>
              <w:t>个</w:t>
            </w:r>
            <w:r>
              <w:rPr>
                <w:rFonts w:hint="default" w:ascii="宋体" w:cs="宋体"/>
                <w:kern w:val="0"/>
                <w:sz w:val="21"/>
                <w:szCs w:val="21"/>
                <w:highlight w:val="none"/>
              </w:rPr>
              <w:t>及以上绿色金融相关项目</w:t>
            </w:r>
            <w:r>
              <w:rPr>
                <w:rFonts w:hint="eastAsia" w:ascii="宋体" w:cs="宋体"/>
                <w:kern w:val="0"/>
                <w:sz w:val="21"/>
                <w:szCs w:val="21"/>
                <w:highlight w:val="none"/>
              </w:rPr>
              <w:t>的业务分析工作得</w:t>
            </w:r>
            <w:r>
              <w:rPr>
                <w:rFonts w:hint="default" w:ascii="宋体" w:cs="宋体"/>
                <w:kern w:val="0"/>
                <w:sz w:val="21"/>
                <w:szCs w:val="21"/>
                <w:highlight w:val="none"/>
              </w:rPr>
              <w:t>0.5</w:t>
            </w:r>
            <w:r>
              <w:rPr>
                <w:rFonts w:hint="eastAsia" w:ascii="宋体" w:cs="宋体"/>
                <w:kern w:val="0"/>
                <w:sz w:val="21"/>
                <w:szCs w:val="21"/>
                <w:highlight w:val="none"/>
              </w:rPr>
              <w:t>分</w:t>
            </w:r>
            <w:r>
              <w:rPr>
                <w:rFonts w:hint="default" w:ascii="宋体" w:cs="宋体"/>
                <w:kern w:val="0"/>
                <w:sz w:val="21"/>
                <w:szCs w:val="21"/>
                <w:highlight w:val="none"/>
              </w:rPr>
              <w:t>。满分1分</w:t>
            </w:r>
            <w:r>
              <w:rPr>
                <w:rFonts w:hint="eastAsia" w:cs="宋体"/>
                <w:kern w:val="0"/>
                <w:sz w:val="21"/>
                <w:szCs w:val="21"/>
                <w:highlight w:val="none"/>
                <w:lang w:eastAsia="zh-CN"/>
              </w:rPr>
              <w:t>，如不满足，不得分。</w:t>
            </w:r>
          </w:p>
          <w:p w14:paraId="660FF53E">
            <w:pPr>
              <w:keepNext w:val="0"/>
              <w:keepLines w:val="0"/>
              <w:suppressLineNumbers w:val="0"/>
              <w:spacing w:before="0" w:beforeAutospacing="0" w:after="0" w:afterAutospacing="0"/>
              <w:ind w:left="0" w:right="0" w:firstLine="0"/>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w:t>
            </w:r>
            <w:r>
              <w:rPr>
                <w:rFonts w:hint="eastAsia" w:ascii="Times New Roman" w:hAnsi="Times New Roman" w:cs="Times New Roman"/>
                <w:kern w:val="0"/>
                <w:sz w:val="21"/>
                <w:szCs w:val="21"/>
                <w:highlight w:val="none"/>
              </w:rPr>
              <w:t>3</w:t>
            </w:r>
            <w:r>
              <w:rPr>
                <w:rFonts w:hint="default" w:ascii="Times New Roman" w:hAnsi="Times New Roman" w:cs="Times New Roman"/>
                <w:kern w:val="0"/>
                <w:sz w:val="21"/>
                <w:szCs w:val="21"/>
                <w:highlight w:val="none"/>
              </w:rPr>
              <w:t>）现场开发实施成员：具有2年及以上绿色金融相关项目开发实施经验3名（含）以上得1分，低于3名不得分。满分1分。</w:t>
            </w:r>
          </w:p>
          <w:p w14:paraId="5F818BBB">
            <w:pPr>
              <w:keepNext w:val="0"/>
              <w:keepLines w:val="0"/>
              <w:suppressLineNumbers w:val="0"/>
              <w:spacing w:before="0" w:beforeAutospacing="0" w:after="0" w:afterAutospacing="0"/>
              <w:ind w:left="0" w:right="0" w:firstLine="0"/>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参与本比选项目现场实施的项目组成员需要提供人员简历表。简历表中相关资质证书需要提供证书复印件及网站查询截图，相关工作及项目经历需提供相应的证明材料，包括但不限于满足要求的案例合同中项目组成员名单，盖有合作方公章的证明材料等。</w:t>
            </w:r>
          </w:p>
          <w:p w14:paraId="1E17CA5C">
            <w:pPr>
              <w:keepNext w:val="0"/>
              <w:keepLines w:val="0"/>
              <w:suppressLineNumbers w:val="0"/>
              <w:spacing w:before="0" w:beforeAutospacing="0" w:after="0" w:afterAutospacing="0"/>
              <w:ind w:left="0" w:right="0" w:firstLine="0"/>
              <w:rPr>
                <w:rFonts w:hint="eastAsia"/>
                <w:kern w:val="0"/>
                <w:sz w:val="21"/>
                <w:szCs w:val="21"/>
                <w:highlight w:val="none"/>
              </w:rPr>
            </w:pPr>
            <w:r>
              <w:rPr>
                <w:rFonts w:hint="default" w:ascii="Times New Roman" w:hAnsi="Times New Roman" w:cs="Times New Roman"/>
                <w:kern w:val="0"/>
                <w:sz w:val="21"/>
                <w:szCs w:val="21"/>
                <w:highlight w:val="none"/>
              </w:rPr>
              <w:t>工作经验年限需提供个人社保缴费记录。此处出示提供证明的人员必须作为本比选项目的项目组成员参与开发建设。</w:t>
            </w:r>
          </w:p>
          <w:p w14:paraId="39C199FC">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default" w:ascii="宋体" w:hAnsi="宋体" w:cs="宋体"/>
                <w:kern w:val="0"/>
                <w:sz w:val="21"/>
                <w:szCs w:val="21"/>
                <w:highlight w:val="none"/>
                <w:shd w:val="clear" w:color="auto" w:fill="auto"/>
                <w:lang w:val="en-US" w:eastAsia="zh-CN"/>
              </w:rPr>
            </w:pPr>
            <w:r>
              <w:rPr>
                <w:rFonts w:hint="default" w:ascii="宋体" w:hAnsi="宋体" w:cs="宋体"/>
                <w:kern w:val="0"/>
                <w:sz w:val="21"/>
                <w:szCs w:val="21"/>
                <w:highlight w:val="none"/>
                <w:shd w:val="clear" w:color="auto" w:fill="auto"/>
              </w:rPr>
              <w:t>4.</w:t>
            </w:r>
            <w:r>
              <w:rPr>
                <w:rFonts w:hint="default" w:ascii="宋体" w:hAnsi="宋体" w:cs="宋体"/>
                <w:kern w:val="0"/>
                <w:sz w:val="21"/>
                <w:szCs w:val="21"/>
                <w:highlight w:val="none"/>
                <w:shd w:val="clear" w:color="auto" w:fill="auto"/>
                <w:lang w:val="en-US" w:eastAsia="zh-CN"/>
              </w:rPr>
              <w:t>服务承诺（分值：7分）</w:t>
            </w:r>
          </w:p>
          <w:p w14:paraId="4F220C06">
            <w:pPr>
              <w:keepNext w:val="0"/>
              <w:keepLines w:val="0"/>
              <w:suppressLineNumbers w:val="0"/>
              <w:spacing w:before="0" w:beforeAutospacing="0" w:after="0" w:afterAutospacing="0"/>
              <w:ind w:left="0" w:right="0" w:firstLine="0"/>
              <w:jc w:val="left"/>
              <w:rPr>
                <w:rFonts w:hint="default" w:ascii="宋体" w:hAnsi="宋体" w:cs="宋体"/>
                <w:kern w:val="0"/>
                <w:sz w:val="21"/>
                <w:szCs w:val="21"/>
                <w:highlight w:val="none"/>
                <w:shd w:val="clear" w:color="auto" w:fill="auto"/>
                <w:lang w:val="en-US" w:eastAsia="zh-CN"/>
              </w:rPr>
            </w:pPr>
            <w:r>
              <w:rPr>
                <w:rFonts w:hint="default" w:ascii="宋体" w:hAnsi="宋体" w:cs="宋体"/>
                <w:kern w:val="0"/>
                <w:sz w:val="21"/>
                <w:szCs w:val="21"/>
                <w:highlight w:val="none"/>
                <w:shd w:val="clear" w:color="auto" w:fill="auto"/>
                <w:lang w:val="en-US" w:eastAsia="zh-CN"/>
              </w:rPr>
              <w:t>本项目最终验收后，</w:t>
            </w:r>
            <w:r>
              <w:rPr>
                <w:rFonts w:hint="eastAsia" w:cs="宋体"/>
                <w:kern w:val="0"/>
                <w:sz w:val="21"/>
                <w:szCs w:val="21"/>
                <w:highlight w:val="none"/>
                <w:shd w:val="clear" w:color="auto" w:fill="auto"/>
                <w:lang w:val="en-US" w:eastAsia="zh-CN"/>
              </w:rPr>
              <w:t>免费维保</w:t>
            </w:r>
            <w:r>
              <w:rPr>
                <w:rFonts w:hint="default" w:ascii="宋体" w:hAnsi="宋体" w:cs="宋体"/>
                <w:kern w:val="0"/>
                <w:sz w:val="21"/>
                <w:szCs w:val="21"/>
                <w:highlight w:val="none"/>
                <w:shd w:val="clear" w:color="auto" w:fill="auto"/>
                <w:lang w:val="en-US" w:eastAsia="zh-CN"/>
              </w:rPr>
              <w:t>期至少2年（</w:t>
            </w:r>
            <w:r>
              <w:rPr>
                <w:rFonts w:hint="eastAsia" w:cs="宋体"/>
                <w:kern w:val="0"/>
                <w:sz w:val="21"/>
                <w:szCs w:val="21"/>
                <w:highlight w:val="none"/>
                <w:shd w:val="clear" w:color="auto" w:fill="auto"/>
                <w:lang w:val="en-US" w:eastAsia="zh-CN"/>
              </w:rPr>
              <w:t>维保</w:t>
            </w:r>
            <w:r>
              <w:rPr>
                <w:rFonts w:hint="default" w:ascii="宋体" w:hAnsi="宋体" w:cs="宋体"/>
                <w:kern w:val="0"/>
                <w:sz w:val="21"/>
                <w:szCs w:val="21"/>
                <w:highlight w:val="none"/>
                <w:shd w:val="clear" w:color="auto" w:fill="auto"/>
                <w:lang w:val="en-US" w:eastAsia="zh-CN"/>
              </w:rPr>
              <w:t>期结束日需延期至当年的6月30日或12月31日中较近的日期），期满后，每年</w:t>
            </w:r>
            <w:r>
              <w:rPr>
                <w:rFonts w:hint="eastAsia" w:cs="宋体"/>
                <w:kern w:val="0"/>
                <w:sz w:val="21"/>
                <w:szCs w:val="21"/>
                <w:highlight w:val="none"/>
                <w:shd w:val="clear" w:color="auto" w:fill="auto"/>
                <w:lang w:val="en-US" w:eastAsia="zh-CN"/>
              </w:rPr>
              <w:t>维保</w:t>
            </w:r>
            <w:r>
              <w:rPr>
                <w:rFonts w:hint="default" w:ascii="宋体" w:hAnsi="宋体" w:cs="宋体"/>
                <w:kern w:val="0"/>
                <w:sz w:val="21"/>
                <w:szCs w:val="21"/>
                <w:highlight w:val="none"/>
                <w:shd w:val="clear" w:color="auto" w:fill="auto"/>
                <w:lang w:val="en-US" w:eastAsia="zh-CN"/>
              </w:rPr>
              <w:t>费用不高于合同</w:t>
            </w:r>
            <w:r>
              <w:rPr>
                <w:rFonts w:hint="eastAsia" w:cs="宋体"/>
                <w:kern w:val="0"/>
                <w:sz w:val="21"/>
                <w:szCs w:val="21"/>
                <w:highlight w:val="none"/>
                <w:shd w:val="clear" w:color="auto" w:fill="auto"/>
                <w:lang w:val="en-US" w:eastAsia="zh-CN"/>
              </w:rPr>
              <w:t>价</w:t>
            </w:r>
            <w:r>
              <w:rPr>
                <w:rFonts w:hint="default" w:ascii="宋体" w:hAnsi="宋体" w:cs="宋体"/>
                <w:kern w:val="0"/>
                <w:sz w:val="21"/>
                <w:szCs w:val="21"/>
                <w:highlight w:val="none"/>
                <w:shd w:val="clear" w:color="auto" w:fill="auto"/>
                <w:lang w:val="en-US" w:eastAsia="zh-CN"/>
              </w:rPr>
              <w:t>的8%。</w:t>
            </w:r>
          </w:p>
          <w:p w14:paraId="51EE0F39">
            <w:pPr>
              <w:keepNext w:val="0"/>
              <w:keepLines w:val="0"/>
              <w:numPr>
                <w:ilvl w:val="-1"/>
                <w:numId w:val="0"/>
              </w:numPr>
              <w:suppressLineNumbers w:val="0"/>
              <w:spacing w:before="0" w:beforeAutospacing="0" w:after="0" w:afterAutospacing="0"/>
              <w:ind w:left="0" w:right="0" w:firstLine="0"/>
              <w:jc w:val="left"/>
              <w:rPr>
                <w:rFonts w:hint="default" w:ascii="宋体" w:hAnsi="宋体" w:cs="宋体"/>
                <w:kern w:val="0"/>
                <w:sz w:val="21"/>
                <w:szCs w:val="21"/>
                <w:highlight w:val="none"/>
                <w:shd w:val="clear" w:color="auto" w:fill="auto"/>
                <w:lang w:val="en-US" w:eastAsia="zh-CN"/>
              </w:rPr>
            </w:pPr>
            <w:r>
              <w:rPr>
                <w:rFonts w:hint="default" w:ascii="Times New Roman" w:hAnsi="Times New Roman" w:cs="宋体"/>
                <w:kern w:val="0"/>
                <w:sz w:val="21"/>
                <w:szCs w:val="21"/>
                <w:highlight w:val="none"/>
              </w:rPr>
              <w:t>（</w:t>
            </w:r>
            <w:r>
              <w:rPr>
                <w:rFonts w:hint="eastAsia" w:ascii="Times New Roman" w:hAnsi="Times New Roman" w:cs="宋体"/>
                <w:kern w:val="0"/>
                <w:sz w:val="21"/>
                <w:szCs w:val="21"/>
                <w:highlight w:val="none"/>
                <w:lang w:val="en-US" w:eastAsia="zh-CN"/>
              </w:rPr>
              <w:t>1</w:t>
            </w:r>
            <w:r>
              <w:rPr>
                <w:rFonts w:hint="default" w:ascii="Times New Roman" w:hAnsi="Times New Roman" w:cs="宋体"/>
                <w:kern w:val="0"/>
                <w:sz w:val="21"/>
                <w:szCs w:val="21"/>
                <w:highlight w:val="none"/>
              </w:rPr>
              <w:t>）</w:t>
            </w:r>
            <w:r>
              <w:rPr>
                <w:rFonts w:hint="eastAsia" w:cs="宋体"/>
                <w:kern w:val="0"/>
                <w:sz w:val="21"/>
                <w:szCs w:val="21"/>
                <w:highlight w:val="none"/>
                <w:shd w:val="clear" w:color="auto" w:fill="auto"/>
                <w:lang w:val="en-US" w:eastAsia="zh-CN"/>
              </w:rPr>
              <w:t>在免费维保</w:t>
            </w:r>
            <w:r>
              <w:rPr>
                <w:rFonts w:hint="default" w:ascii="宋体" w:hAnsi="宋体" w:cs="宋体"/>
                <w:kern w:val="0"/>
                <w:sz w:val="21"/>
                <w:szCs w:val="21"/>
                <w:highlight w:val="none"/>
                <w:shd w:val="clear" w:color="auto" w:fill="auto"/>
                <w:lang w:val="en-US" w:eastAsia="zh-CN"/>
              </w:rPr>
              <w:t>期</w:t>
            </w:r>
            <w:r>
              <w:rPr>
                <w:rFonts w:hint="eastAsia" w:cs="宋体"/>
                <w:kern w:val="0"/>
                <w:sz w:val="21"/>
                <w:szCs w:val="21"/>
                <w:highlight w:val="none"/>
                <w:shd w:val="clear" w:color="auto" w:fill="auto"/>
                <w:lang w:val="en-US" w:eastAsia="zh-CN"/>
              </w:rPr>
              <w:t>基础上</w:t>
            </w:r>
            <w:r>
              <w:rPr>
                <w:rFonts w:hint="default" w:ascii="宋体" w:hAnsi="宋体" w:cs="宋体"/>
                <w:kern w:val="0"/>
                <w:sz w:val="21"/>
                <w:szCs w:val="21"/>
                <w:highlight w:val="none"/>
                <w:shd w:val="clear" w:color="auto" w:fill="auto"/>
                <w:lang w:val="en-US" w:eastAsia="zh-CN"/>
              </w:rPr>
              <w:t>每增加1年得1分，最高2分；</w:t>
            </w:r>
          </w:p>
          <w:p w14:paraId="4FB80012">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rPr>
                <w:rFonts w:hint="default" w:cs="宋体"/>
                <w:kern w:val="0"/>
                <w:sz w:val="21"/>
                <w:szCs w:val="21"/>
                <w:highlight w:val="none"/>
              </w:rPr>
            </w:pPr>
            <w:r>
              <w:rPr>
                <w:rFonts w:hint="default" w:ascii="Times New Roman" w:hAnsi="Times New Roman" w:cs="宋体"/>
                <w:kern w:val="0"/>
                <w:sz w:val="21"/>
                <w:szCs w:val="21"/>
                <w:highlight w:val="none"/>
              </w:rPr>
              <w:t>（2）出保后</w:t>
            </w:r>
            <w:r>
              <w:rPr>
                <w:rFonts w:hint="eastAsia" w:ascii="Times New Roman" w:hAnsi="Times New Roman" w:cs="宋体"/>
                <w:kern w:val="0"/>
                <w:sz w:val="21"/>
                <w:szCs w:val="21"/>
                <w:highlight w:val="none"/>
                <w:lang w:eastAsia="zh-CN"/>
              </w:rPr>
              <w:t>，</w:t>
            </w:r>
            <w:r>
              <w:rPr>
                <w:rFonts w:hint="default" w:ascii="Times New Roman" w:hAnsi="Times New Roman" w:cs="宋体"/>
                <w:kern w:val="0"/>
                <w:sz w:val="21"/>
                <w:szCs w:val="21"/>
                <w:highlight w:val="none"/>
              </w:rPr>
              <w:t>每年</w:t>
            </w:r>
            <w:r>
              <w:rPr>
                <w:rFonts w:hint="eastAsia" w:ascii="Times New Roman" w:hAnsi="Times New Roman" w:cs="宋体"/>
                <w:kern w:val="0"/>
                <w:sz w:val="21"/>
                <w:szCs w:val="21"/>
                <w:highlight w:val="none"/>
                <w:lang w:val="en-US" w:eastAsia="zh-CN"/>
              </w:rPr>
              <w:t>的维保费用在合同价的8%的基础上，每降低1%得1分，</w:t>
            </w:r>
            <w:r>
              <w:rPr>
                <w:rFonts w:hint="default" w:ascii="Times New Roman" w:hAnsi="Times New Roman" w:cs="宋体"/>
                <w:kern w:val="0"/>
                <w:sz w:val="21"/>
                <w:szCs w:val="21"/>
                <w:highlight w:val="none"/>
              </w:rPr>
              <w:t>不足1%不得分，最高5分；</w:t>
            </w:r>
          </w:p>
          <w:p w14:paraId="51E6A2AB">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default" w:ascii="宋体" w:hAnsi="宋体" w:cs="宋体"/>
                <w:color w:val="auto"/>
                <w:kern w:val="0"/>
                <w:sz w:val="21"/>
                <w:szCs w:val="21"/>
                <w:highlight w:val="none"/>
                <w:shd w:val="clear" w:color="auto" w:fill="auto"/>
                <w:lang w:val="en-US" w:eastAsia="zh-CN"/>
              </w:rPr>
            </w:pPr>
            <w:r>
              <w:rPr>
                <w:rFonts w:hint="default" w:ascii="宋体" w:hAnsi="宋体" w:cs="宋体"/>
                <w:kern w:val="0"/>
                <w:sz w:val="21"/>
                <w:szCs w:val="21"/>
                <w:highlight w:val="none"/>
                <w:lang w:val="en-US" w:eastAsia="zh-CN"/>
              </w:rPr>
              <w:t>注：需在</w:t>
            </w:r>
            <w:r>
              <w:rPr>
                <w:rFonts w:hint="eastAsia" w:cs="宋体"/>
                <w:kern w:val="0"/>
                <w:sz w:val="21"/>
                <w:szCs w:val="21"/>
                <w:highlight w:val="none"/>
                <w:lang w:val="en-US" w:eastAsia="zh-CN"/>
              </w:rPr>
              <w:t>参选函及报价一览表中明确</w:t>
            </w:r>
            <w:r>
              <w:rPr>
                <w:rFonts w:hint="default" w:ascii="宋体" w:hAnsi="宋体" w:cs="宋体"/>
                <w:kern w:val="0"/>
                <w:sz w:val="21"/>
                <w:szCs w:val="21"/>
                <w:highlight w:val="none"/>
                <w:lang w:val="en-US" w:eastAsia="zh-CN"/>
              </w:rPr>
              <w:t>。</w:t>
            </w:r>
          </w:p>
          <w:p w14:paraId="35CDBFEF">
            <w:pPr>
              <w:keepNext w:val="0"/>
              <w:keepLines w:val="0"/>
              <w:pageBreakBefore w:val="0"/>
              <w:widowControl w:val="0"/>
              <w:suppressLineNumbers w:val="0"/>
              <w:kinsoku/>
              <w:wordWrap/>
              <w:overflowPunct/>
              <w:topLinePunct w:val="0"/>
              <w:autoSpaceDE/>
              <w:autoSpaceDN/>
              <w:spacing w:before="0" w:beforeAutospacing="0" w:after="0" w:afterAutospacing="0"/>
              <w:ind w:left="0" w:right="0"/>
              <w:jc w:val="left"/>
              <w:rPr>
                <w:rFonts w:hint="eastAsia" w:hAnsi="宋体" w:cs="宋体"/>
                <w:kern w:val="0"/>
                <w:sz w:val="21"/>
                <w:szCs w:val="21"/>
                <w:highlight w:val="none"/>
                <w:lang w:val="en-US" w:eastAsia="zh-CN"/>
              </w:rPr>
            </w:pPr>
            <w:r>
              <w:rPr>
                <w:rFonts w:hint="default" w:hAnsi="宋体" w:cs="宋体"/>
                <w:kern w:val="0"/>
                <w:sz w:val="21"/>
                <w:szCs w:val="21"/>
                <w:highlight w:val="none"/>
                <w:lang w:val="en-US" w:eastAsia="zh-CN"/>
              </w:rPr>
              <w:t>5</w:t>
            </w:r>
            <w:r>
              <w:rPr>
                <w:rFonts w:hint="eastAsia" w:hAnsi="宋体" w:cs="宋体"/>
                <w:kern w:val="0"/>
                <w:sz w:val="21"/>
                <w:szCs w:val="21"/>
                <w:highlight w:val="none"/>
                <w:lang w:val="en-US" w:eastAsia="zh-CN"/>
              </w:rPr>
              <w:t>.参选人服务能力要求（分值：2</w:t>
            </w:r>
            <w:r>
              <w:rPr>
                <w:rFonts w:hint="eastAsia" w:hAnsi="宋体" w:cs="宋体"/>
                <w:kern w:val="0"/>
                <w:sz w:val="21"/>
                <w:szCs w:val="21"/>
                <w:highlight w:val="none"/>
              </w:rPr>
              <w:t>分</w:t>
            </w:r>
            <w:r>
              <w:rPr>
                <w:rFonts w:hint="eastAsia" w:hAnsi="宋体" w:cs="宋体"/>
                <w:kern w:val="0"/>
                <w:sz w:val="21"/>
                <w:szCs w:val="21"/>
                <w:highlight w:val="none"/>
                <w:lang w:val="en-US" w:eastAsia="zh-CN"/>
              </w:rPr>
              <w:t>）</w:t>
            </w:r>
          </w:p>
          <w:p w14:paraId="665229FA">
            <w:pPr>
              <w:keepNext w:val="0"/>
              <w:keepLines w:val="0"/>
              <w:pageBreakBefore w:val="0"/>
              <w:widowControl w:val="0"/>
              <w:suppressLineNumbers w:val="0"/>
              <w:kinsoku/>
              <w:wordWrap/>
              <w:overflowPunct/>
              <w:topLinePunct w:val="0"/>
              <w:autoSpaceDE/>
              <w:autoSpaceDN/>
              <w:spacing w:before="0" w:beforeAutospacing="0" w:after="0" w:afterAutospacing="0"/>
              <w:ind w:left="0" w:right="0"/>
              <w:jc w:val="left"/>
              <w:rPr>
                <w:rFonts w:hint="eastAsia" w:hAnsi="宋体" w:cs="宋体"/>
                <w:kern w:val="0"/>
                <w:sz w:val="21"/>
                <w:szCs w:val="21"/>
                <w:highlight w:val="none"/>
                <w:lang w:val="en-US" w:eastAsia="zh-CN"/>
              </w:rPr>
            </w:pPr>
            <w:r>
              <w:rPr>
                <w:rFonts w:hint="eastAsia" w:hAnsi="宋体" w:cs="宋体"/>
                <w:kern w:val="0"/>
                <w:sz w:val="21"/>
                <w:szCs w:val="21"/>
                <w:highlight w:val="none"/>
                <w:lang w:val="en-US" w:eastAsia="zh-CN"/>
              </w:rPr>
              <w:t>在重庆、成都有</w:t>
            </w:r>
            <w:r>
              <w:rPr>
                <w:rFonts w:hint="default" w:hAnsi="宋体" w:cs="宋体"/>
                <w:kern w:val="0"/>
                <w:sz w:val="21"/>
                <w:szCs w:val="21"/>
                <w:highlight w:val="none"/>
                <w:lang w:val="en-US" w:eastAsia="zh-CN"/>
              </w:rPr>
              <w:t>总公司、</w:t>
            </w:r>
            <w:r>
              <w:rPr>
                <w:rFonts w:hint="eastAsia" w:hAnsi="宋体" w:cs="宋体"/>
                <w:kern w:val="0"/>
                <w:sz w:val="21"/>
                <w:szCs w:val="21"/>
                <w:highlight w:val="none"/>
                <w:lang w:val="en-US" w:eastAsia="zh-CN"/>
              </w:rPr>
              <w:t>分公司或办事处，且在当地缴纳社保的员工超过</w:t>
            </w:r>
            <w:r>
              <w:rPr>
                <w:rFonts w:hint="default" w:hAnsi="宋体" w:cs="宋体"/>
                <w:kern w:val="0"/>
                <w:sz w:val="21"/>
                <w:szCs w:val="21"/>
                <w:highlight w:val="none"/>
                <w:lang w:val="en-US" w:eastAsia="zh-CN"/>
              </w:rPr>
              <w:t>1</w:t>
            </w:r>
            <w:r>
              <w:rPr>
                <w:rFonts w:hint="eastAsia" w:hAnsi="宋体" w:cs="宋体"/>
                <w:kern w:val="0"/>
                <w:sz w:val="21"/>
                <w:szCs w:val="21"/>
                <w:highlight w:val="none"/>
                <w:lang w:val="en-US" w:eastAsia="zh-CN"/>
              </w:rPr>
              <w:t>0人（含）</w:t>
            </w:r>
            <w:r>
              <w:rPr>
                <w:rFonts w:hint="eastAsia" w:hAnsi="宋体" w:cs="宋体"/>
                <w:kern w:val="0"/>
                <w:sz w:val="21"/>
                <w:szCs w:val="21"/>
                <w:highlight w:val="none"/>
              </w:rPr>
              <w:t>得</w:t>
            </w:r>
            <w:r>
              <w:rPr>
                <w:rFonts w:hint="eastAsia" w:hAnsi="宋体" w:cs="宋体"/>
                <w:kern w:val="0"/>
                <w:sz w:val="21"/>
                <w:szCs w:val="21"/>
                <w:highlight w:val="none"/>
                <w:lang w:val="en-US" w:eastAsia="zh-CN"/>
              </w:rPr>
              <w:t>2</w:t>
            </w:r>
            <w:r>
              <w:rPr>
                <w:rFonts w:hint="eastAsia" w:hAnsi="宋体" w:cs="宋体"/>
                <w:kern w:val="0"/>
                <w:sz w:val="21"/>
                <w:szCs w:val="21"/>
                <w:highlight w:val="none"/>
              </w:rPr>
              <w:t>分</w:t>
            </w:r>
            <w:r>
              <w:rPr>
                <w:rFonts w:hint="eastAsia" w:hAnsi="宋体" w:cs="宋体"/>
                <w:kern w:val="0"/>
                <w:sz w:val="21"/>
                <w:szCs w:val="21"/>
                <w:highlight w:val="none"/>
                <w:lang w:eastAsia="zh-CN"/>
              </w:rPr>
              <w:t>，</w:t>
            </w:r>
            <w:r>
              <w:rPr>
                <w:rFonts w:hint="eastAsia" w:hAnsi="宋体" w:cs="宋体"/>
                <w:kern w:val="0"/>
                <w:sz w:val="21"/>
                <w:szCs w:val="21"/>
                <w:highlight w:val="none"/>
                <w:lang w:val="en-US" w:eastAsia="zh-CN"/>
              </w:rPr>
              <w:t>满分2分，不满足条件不得分。</w:t>
            </w:r>
            <w:r>
              <w:rPr>
                <w:rFonts w:hint="default" w:hAnsi="宋体" w:cs="宋体"/>
                <w:kern w:val="0"/>
                <w:sz w:val="21"/>
                <w:szCs w:val="21"/>
                <w:highlight w:val="none"/>
                <w:lang w:val="en-US" w:eastAsia="zh-CN"/>
              </w:rPr>
              <w:t>要求如下：</w:t>
            </w:r>
          </w:p>
          <w:p w14:paraId="0E938E9F">
            <w:pPr>
              <w:keepNext w:val="0"/>
              <w:keepLines w:val="0"/>
              <w:pageBreakBefore w:val="0"/>
              <w:widowControl w:val="0"/>
              <w:suppressLineNumbers w:val="0"/>
              <w:kinsoku/>
              <w:wordWrap/>
              <w:overflowPunct/>
              <w:topLinePunct w:val="0"/>
              <w:autoSpaceDE/>
              <w:autoSpaceDN/>
              <w:spacing w:before="0" w:beforeAutospacing="0" w:after="0" w:afterAutospacing="0"/>
              <w:ind w:left="0" w:right="0"/>
              <w:jc w:val="left"/>
              <w:rPr>
                <w:rFonts w:hint="eastAsia" w:hAnsi="宋体" w:cs="宋体"/>
                <w:kern w:val="0"/>
                <w:sz w:val="21"/>
                <w:szCs w:val="21"/>
                <w:highlight w:val="none"/>
                <w:lang w:val="en-US" w:eastAsia="zh-CN"/>
              </w:rPr>
            </w:pPr>
            <w:r>
              <w:rPr>
                <w:rFonts w:hint="eastAsia" w:hAnsi="宋体" w:cs="宋体"/>
                <w:kern w:val="0"/>
                <w:sz w:val="21"/>
                <w:szCs w:val="21"/>
                <w:highlight w:val="none"/>
                <w:lang w:val="en-US" w:eastAsia="zh-CN"/>
              </w:rPr>
              <w:t>（1）提供</w:t>
            </w:r>
            <w:r>
              <w:rPr>
                <w:rFonts w:hint="default" w:hAnsi="宋体" w:cs="宋体"/>
                <w:kern w:val="0"/>
                <w:sz w:val="21"/>
                <w:szCs w:val="21"/>
                <w:highlight w:val="none"/>
                <w:lang w:val="en-US" w:eastAsia="zh-CN"/>
              </w:rPr>
              <w:t>总公司、</w:t>
            </w:r>
            <w:r>
              <w:rPr>
                <w:rFonts w:hint="eastAsia" w:hAnsi="宋体" w:cs="宋体"/>
                <w:kern w:val="0"/>
                <w:sz w:val="21"/>
                <w:szCs w:val="21"/>
                <w:highlight w:val="none"/>
                <w:lang w:val="en-US" w:eastAsia="zh-CN"/>
              </w:rPr>
              <w:t>分公司营业执照或在重庆、成都有办事处的承诺函；</w:t>
            </w:r>
          </w:p>
          <w:p w14:paraId="0AEBBA56">
            <w:pPr>
              <w:keepNext w:val="0"/>
              <w:keepLines w:val="0"/>
              <w:pageBreakBefore w:val="0"/>
              <w:widowControl w:val="0"/>
              <w:suppressLineNumbers w:val="0"/>
              <w:kinsoku/>
              <w:wordWrap/>
              <w:overflowPunct/>
              <w:topLinePunct w:val="0"/>
              <w:autoSpaceDE w:val="0"/>
              <w:autoSpaceDN w:val="0"/>
              <w:spacing w:before="0" w:beforeAutospacing="0" w:after="0" w:afterAutospacing="0" w:line="600" w:lineRule="exact"/>
              <w:ind w:left="0" w:right="0"/>
              <w:jc w:val="both"/>
              <w:rPr>
                <w:rFonts w:hint="default" w:hAnsi="宋体" w:cs="宋体"/>
                <w:kern w:val="0"/>
                <w:sz w:val="21"/>
                <w:szCs w:val="21"/>
                <w:highlight w:val="none"/>
                <w:lang w:val="en-US" w:eastAsia="zh-CN"/>
              </w:rPr>
            </w:pPr>
            <w:r>
              <w:rPr>
                <w:rFonts w:hint="eastAsia" w:hAnsi="宋体" w:cs="宋体"/>
                <w:kern w:val="0"/>
                <w:sz w:val="21"/>
                <w:szCs w:val="21"/>
                <w:highlight w:val="none"/>
                <w:lang w:val="en-US" w:eastAsia="zh-CN"/>
              </w:rPr>
              <w:t>（2）提供</w:t>
            </w:r>
            <w:r>
              <w:rPr>
                <w:rFonts w:hint="default" w:hAnsi="宋体" w:cs="宋体"/>
                <w:kern w:val="0"/>
                <w:sz w:val="21"/>
                <w:szCs w:val="21"/>
                <w:highlight w:val="none"/>
                <w:lang w:val="en-US" w:eastAsia="zh-CN"/>
              </w:rPr>
              <w:t>在重庆、成都缴纳</w:t>
            </w:r>
            <w:r>
              <w:rPr>
                <w:rFonts w:hint="eastAsia" w:hAnsi="宋体" w:cs="宋体"/>
                <w:kern w:val="0"/>
                <w:sz w:val="21"/>
                <w:szCs w:val="21"/>
                <w:highlight w:val="none"/>
                <w:lang w:val="en-US" w:eastAsia="zh-CN"/>
              </w:rPr>
              <w:t>社保证明</w:t>
            </w:r>
            <w:r>
              <w:rPr>
                <w:rFonts w:hint="eastAsia" w:cs="宋体"/>
                <w:kern w:val="0"/>
                <w:sz w:val="21"/>
                <w:szCs w:val="21"/>
                <w:highlight w:val="none"/>
                <w:lang w:val="en-US" w:eastAsia="zh-CN"/>
              </w:rPr>
              <w:t>。</w:t>
            </w:r>
            <w:r>
              <w:rPr>
                <w:rFonts w:hint="default" w:ascii="宋体" w:hAnsi="宋体" w:eastAsia="宋体" w:cs="宋体"/>
                <w:color w:val="auto"/>
                <w:kern w:val="0"/>
                <w:sz w:val="21"/>
                <w:szCs w:val="21"/>
                <w:highlight w:val="none"/>
                <w:shd w:val="clear" w:color="auto" w:fill="auto"/>
                <w:lang w:val="en-US" w:eastAsia="zh-CN" w:bidi="ar"/>
              </w:rPr>
              <w:t>员工参保单位为参选人或委托第三方公司代缴，均认定有效。总公司参选的，分公司员工可计算入内，子公司人员不计算入内。</w:t>
            </w:r>
          </w:p>
          <w:p w14:paraId="2FEDDEFD">
            <w:pPr>
              <w:keepNext w:val="0"/>
              <w:keepLines w:val="0"/>
              <w:pageBreakBefore w:val="0"/>
              <w:widowControl w:val="0"/>
              <w:suppressLineNumbers w:val="0"/>
              <w:kinsoku/>
              <w:wordWrap/>
              <w:overflowPunct/>
              <w:topLinePunct w:val="0"/>
              <w:autoSpaceDE/>
              <w:autoSpaceDN/>
              <w:spacing w:before="0" w:beforeAutospacing="0" w:after="0" w:afterAutospacing="0"/>
              <w:ind w:left="0" w:right="0"/>
              <w:jc w:val="left"/>
              <w:rPr>
                <w:rFonts w:hint="default" w:hAnsi="宋体" w:cs="宋体"/>
                <w:kern w:val="0"/>
                <w:sz w:val="21"/>
                <w:szCs w:val="21"/>
                <w:highlight w:val="none"/>
                <w:lang w:val="en-US" w:eastAsia="zh-CN"/>
              </w:rPr>
            </w:pPr>
            <w:r>
              <w:rPr>
                <w:rFonts w:hint="default" w:hAnsi="宋体" w:cs="宋体"/>
                <w:kern w:val="0"/>
                <w:sz w:val="21"/>
                <w:szCs w:val="21"/>
                <w:highlight w:val="none"/>
                <w:lang w:val="en-US" w:eastAsia="zh-CN"/>
              </w:rPr>
              <w:t>6.数据合规性要求</w:t>
            </w:r>
            <w:r>
              <w:rPr>
                <w:rFonts w:hint="eastAsia" w:hAnsi="宋体" w:cs="宋体"/>
                <w:kern w:val="0"/>
                <w:sz w:val="21"/>
                <w:szCs w:val="21"/>
                <w:highlight w:val="none"/>
                <w:lang w:val="en-US" w:eastAsia="zh-CN"/>
              </w:rPr>
              <w:t>（分值：</w:t>
            </w:r>
            <w:r>
              <w:rPr>
                <w:rFonts w:hint="default" w:hAnsi="宋体" w:cs="宋体"/>
                <w:kern w:val="0"/>
                <w:sz w:val="21"/>
                <w:szCs w:val="21"/>
                <w:highlight w:val="none"/>
                <w:lang w:val="en-US" w:eastAsia="zh-CN"/>
              </w:rPr>
              <w:t>2</w:t>
            </w:r>
            <w:r>
              <w:rPr>
                <w:rFonts w:hint="eastAsia" w:hAnsi="宋体" w:cs="宋体"/>
                <w:kern w:val="0"/>
                <w:sz w:val="21"/>
                <w:szCs w:val="21"/>
                <w:highlight w:val="none"/>
              </w:rPr>
              <w:t>分</w:t>
            </w:r>
            <w:r>
              <w:rPr>
                <w:rFonts w:hint="eastAsia" w:hAnsi="宋体" w:cs="宋体"/>
                <w:kern w:val="0"/>
                <w:sz w:val="21"/>
                <w:szCs w:val="21"/>
                <w:highlight w:val="none"/>
                <w:lang w:val="en-US" w:eastAsia="zh-CN"/>
              </w:rPr>
              <w:t>）</w:t>
            </w:r>
          </w:p>
          <w:p w14:paraId="0F940836">
            <w:pPr>
              <w:keepNext w:val="0"/>
              <w:keepLines w:val="0"/>
              <w:pageBreakBefore w:val="0"/>
              <w:widowControl w:val="0"/>
              <w:suppressLineNumbers w:val="0"/>
              <w:kinsoku/>
              <w:wordWrap/>
              <w:overflowPunct/>
              <w:topLinePunct w:val="0"/>
              <w:autoSpaceDE/>
              <w:autoSpaceDN/>
              <w:spacing w:before="0" w:beforeAutospacing="0" w:after="0" w:afterAutospacing="0"/>
              <w:ind w:left="0" w:right="0"/>
              <w:jc w:val="left"/>
              <w:rPr>
                <w:rFonts w:hint="default" w:hAnsi="宋体" w:cs="宋体"/>
                <w:kern w:val="0"/>
                <w:sz w:val="21"/>
                <w:szCs w:val="21"/>
                <w:highlight w:val="none"/>
                <w:lang w:val="en-US" w:eastAsia="zh-CN"/>
              </w:rPr>
            </w:pPr>
            <w:r>
              <w:rPr>
                <w:rFonts w:hint="default" w:hAnsi="宋体" w:cs="宋体"/>
                <w:kern w:val="0"/>
                <w:sz w:val="21"/>
                <w:szCs w:val="21"/>
                <w:highlight w:val="none"/>
                <w:lang w:val="en-US" w:eastAsia="zh-CN"/>
              </w:rPr>
              <w:t>本需求涉及通过厂商获取客户环境相关数据（如：环境处罚、重点排污等），需保证数据来源合法合规。要求如下：</w:t>
            </w:r>
          </w:p>
          <w:p w14:paraId="7B2F928D">
            <w:pPr>
              <w:keepNext w:val="0"/>
              <w:keepLines w:val="0"/>
              <w:pageBreakBefore w:val="0"/>
              <w:widowControl w:val="0"/>
              <w:suppressLineNumbers w:val="0"/>
              <w:kinsoku/>
              <w:wordWrap/>
              <w:overflowPunct/>
              <w:topLinePunct w:val="0"/>
              <w:autoSpaceDE/>
              <w:autoSpaceDN/>
              <w:spacing w:before="0" w:beforeAutospacing="0" w:after="0" w:afterAutospacing="0"/>
              <w:ind w:left="0" w:right="0"/>
              <w:jc w:val="left"/>
              <w:rPr>
                <w:rFonts w:hint="eastAsia" w:cs="宋体"/>
                <w:kern w:val="0"/>
                <w:sz w:val="21"/>
                <w:szCs w:val="21"/>
                <w:highlight w:val="none"/>
              </w:rPr>
            </w:pPr>
            <w:r>
              <w:rPr>
                <w:rFonts w:hint="default" w:hAnsi="宋体" w:cs="宋体"/>
                <w:kern w:val="0"/>
                <w:sz w:val="21"/>
                <w:szCs w:val="21"/>
                <w:highlight w:val="none"/>
                <w:lang w:val="en-US" w:eastAsia="zh-CN"/>
              </w:rPr>
              <w:t>（1）需提供获取数据合法合规的证明材料（包括不限于：征信牌照等）。</w:t>
            </w:r>
          </w:p>
        </w:tc>
      </w:tr>
      <w:tr w14:paraId="69FB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Align w:val="center"/>
          </w:tcPr>
          <w:p w14:paraId="74152F77">
            <w:pPr>
              <w:keepNext w:val="0"/>
              <w:keepLines w:val="0"/>
              <w:suppressLineNumbers w:val="0"/>
              <w:spacing w:before="0" w:beforeAutospacing="0" w:after="0" w:afterAutospacing="0" w:line="360" w:lineRule="auto"/>
              <w:ind w:left="0" w:right="0" w:firstLine="0"/>
              <w:rPr>
                <w:rFonts w:hint="default" w:ascii="Times New Roman" w:hAnsi="Times New Roman" w:cs="宋体"/>
                <w:kern w:val="0"/>
                <w:sz w:val="21"/>
                <w:szCs w:val="21"/>
                <w:highlight w:val="none"/>
              </w:rPr>
            </w:pPr>
          </w:p>
        </w:tc>
        <w:tc>
          <w:tcPr>
            <w:tcW w:w="1482" w:type="dxa"/>
            <w:vMerge w:val="continue"/>
            <w:tcBorders>
              <w:left w:val="single" w:color="auto" w:sz="4" w:space="0"/>
            </w:tcBorders>
            <w:vAlign w:val="center"/>
          </w:tcPr>
          <w:p w14:paraId="45B4CB37">
            <w:pPr>
              <w:keepNext w:val="0"/>
              <w:keepLines w:val="0"/>
              <w:suppressLineNumbers w:val="0"/>
              <w:spacing w:before="0" w:beforeAutospacing="0" w:after="0" w:afterAutospacing="0"/>
              <w:ind w:left="0" w:right="0"/>
              <w:rPr>
                <w:rFonts w:hint="default"/>
                <w:highlight w:val="none"/>
              </w:rPr>
            </w:pPr>
          </w:p>
        </w:tc>
        <w:tc>
          <w:tcPr>
            <w:tcW w:w="1686" w:type="dxa"/>
            <w:gridSpan w:val="2"/>
            <w:vMerge w:val="continue"/>
            <w:tcBorders>
              <w:left w:val="single" w:color="auto" w:sz="4" w:space="0"/>
            </w:tcBorders>
            <w:vAlign w:val="center"/>
          </w:tcPr>
          <w:p w14:paraId="496A9E9F">
            <w:pPr>
              <w:keepNext w:val="0"/>
              <w:keepLines w:val="0"/>
              <w:suppressLineNumbers w:val="0"/>
              <w:spacing w:before="0" w:beforeAutospacing="0" w:after="0" w:afterAutospacing="0"/>
              <w:ind w:left="0" w:right="0"/>
              <w:rPr>
                <w:rFonts w:hint="default"/>
                <w:highlight w:val="none"/>
              </w:rPr>
            </w:pPr>
          </w:p>
        </w:tc>
        <w:tc>
          <w:tcPr>
            <w:tcW w:w="5476" w:type="dxa"/>
            <w:tcBorders>
              <w:left w:val="single" w:color="auto" w:sz="4" w:space="0"/>
            </w:tcBorders>
            <w:vAlign w:val="center"/>
          </w:tcPr>
          <w:p w14:paraId="11406529">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cs="宋体"/>
                <w:color w:val="auto"/>
                <w:kern w:val="0"/>
                <w:sz w:val="21"/>
                <w:szCs w:val="21"/>
                <w:highlight w:val="none"/>
                <w:shd w:val="clear" w:color="auto" w:fill="auto"/>
                <w:lang w:val="en-US" w:eastAsia="zh-CN"/>
              </w:rPr>
            </w:pPr>
            <w:r>
              <w:rPr>
                <w:rFonts w:hint="eastAsia" w:ascii="宋体" w:hAnsi="宋体" w:cs="宋体"/>
                <w:color w:val="auto"/>
                <w:kern w:val="0"/>
                <w:sz w:val="21"/>
                <w:szCs w:val="21"/>
                <w:highlight w:val="none"/>
                <w:shd w:val="clear" w:color="auto" w:fill="auto"/>
                <w:lang w:eastAsia="zh-CN"/>
              </w:rPr>
              <w:t>三、</w:t>
            </w:r>
            <w:r>
              <w:rPr>
                <w:rFonts w:hint="eastAsia" w:ascii="宋体" w:hAnsi="宋体" w:cs="宋体"/>
                <w:color w:val="auto"/>
                <w:kern w:val="0"/>
                <w:sz w:val="21"/>
                <w:szCs w:val="21"/>
                <w:highlight w:val="none"/>
                <w:shd w:val="clear" w:color="auto" w:fill="auto"/>
                <w:lang w:val="en-US" w:eastAsia="zh-CN"/>
              </w:rPr>
              <w:t>技术部分评分</w:t>
            </w:r>
            <w:r>
              <w:rPr>
                <w:rFonts w:hint="eastAsia" w:ascii="宋体" w:hAnsi="宋体" w:cs="宋体"/>
                <w:color w:val="auto"/>
                <w:kern w:val="0"/>
                <w:sz w:val="21"/>
                <w:szCs w:val="21"/>
                <w:highlight w:val="none"/>
                <w:shd w:val="clear" w:color="auto" w:fill="auto"/>
              </w:rPr>
              <w:t>规则</w:t>
            </w:r>
            <w:r>
              <w:rPr>
                <w:rFonts w:hint="eastAsia" w:ascii="宋体" w:hAnsi="宋体" w:cs="宋体"/>
                <w:color w:val="auto"/>
                <w:kern w:val="0"/>
                <w:sz w:val="21"/>
                <w:szCs w:val="21"/>
                <w:highlight w:val="none"/>
                <w:shd w:val="clear" w:color="auto" w:fill="auto"/>
                <w:lang w:val="en-US" w:eastAsia="zh-CN"/>
              </w:rPr>
              <w:t>（</w:t>
            </w:r>
            <w:r>
              <w:rPr>
                <w:rFonts w:hint="eastAsia" w:ascii="宋体" w:hAnsi="宋体" w:cs="宋体"/>
                <w:kern w:val="0"/>
                <w:sz w:val="21"/>
                <w:szCs w:val="21"/>
                <w:highlight w:val="none"/>
                <w:shd w:val="clear" w:color="auto" w:fill="auto"/>
                <w:lang w:val="en-US" w:eastAsia="zh-CN"/>
              </w:rPr>
              <w:t>分值</w:t>
            </w:r>
            <w:r>
              <w:rPr>
                <w:rFonts w:hint="eastAsia" w:ascii="宋体" w:hAnsi="宋体" w:cs="宋体"/>
                <w:color w:val="auto"/>
                <w:kern w:val="0"/>
                <w:sz w:val="21"/>
                <w:szCs w:val="21"/>
                <w:highlight w:val="none"/>
                <w:shd w:val="clear" w:color="auto" w:fill="auto"/>
                <w:lang w:val="en-US" w:eastAsia="zh-CN"/>
              </w:rPr>
              <w:t>：</w:t>
            </w:r>
            <w:r>
              <w:rPr>
                <w:rFonts w:hint="default" w:ascii="宋体" w:hAnsi="宋体" w:cs="宋体"/>
                <w:color w:val="auto"/>
                <w:kern w:val="0"/>
                <w:sz w:val="21"/>
                <w:szCs w:val="21"/>
                <w:highlight w:val="none"/>
                <w:shd w:val="clear" w:color="auto" w:fill="auto"/>
                <w:lang w:val="en-US" w:eastAsia="zh-CN"/>
              </w:rPr>
              <w:t>35</w:t>
            </w:r>
            <w:r>
              <w:rPr>
                <w:rFonts w:hint="eastAsia" w:ascii="宋体" w:hAnsi="宋体" w:cs="宋体"/>
                <w:color w:val="auto"/>
                <w:kern w:val="0"/>
                <w:sz w:val="21"/>
                <w:szCs w:val="21"/>
                <w:highlight w:val="none"/>
                <w:shd w:val="clear" w:color="auto" w:fill="auto"/>
                <w:lang w:val="en-US" w:eastAsia="zh-CN"/>
              </w:rPr>
              <w:t>分）</w:t>
            </w:r>
          </w:p>
          <w:p w14:paraId="22B05E68">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cs="宋体"/>
                <w:kern w:val="0"/>
                <w:sz w:val="21"/>
                <w:szCs w:val="21"/>
                <w:highlight w:val="none"/>
              </w:rPr>
            </w:pPr>
            <w:r>
              <w:rPr>
                <w:rFonts w:hint="eastAsia" w:ascii="宋体" w:hAnsi="宋体" w:cs="宋体"/>
                <w:color w:val="auto"/>
                <w:kern w:val="0"/>
                <w:sz w:val="21"/>
                <w:szCs w:val="21"/>
                <w:highlight w:val="none"/>
                <w:shd w:val="clear" w:color="auto" w:fill="auto"/>
                <w:lang w:val="en-US" w:eastAsia="zh-CN"/>
              </w:rPr>
              <w:t>1.项目实施方案（分值：</w:t>
            </w:r>
            <w:r>
              <w:rPr>
                <w:rFonts w:hint="default" w:ascii="宋体" w:hAnsi="宋体" w:cs="宋体"/>
                <w:color w:val="auto"/>
                <w:kern w:val="0"/>
                <w:sz w:val="21"/>
                <w:szCs w:val="21"/>
                <w:highlight w:val="none"/>
                <w:shd w:val="clear" w:color="auto" w:fill="auto"/>
                <w:lang w:val="en-US" w:eastAsia="zh-CN"/>
              </w:rPr>
              <w:t>5</w:t>
            </w:r>
            <w:r>
              <w:rPr>
                <w:rFonts w:hint="eastAsia" w:ascii="宋体" w:hAnsi="宋体" w:cs="宋体"/>
                <w:color w:val="auto"/>
                <w:kern w:val="0"/>
                <w:sz w:val="21"/>
                <w:szCs w:val="21"/>
                <w:highlight w:val="none"/>
                <w:shd w:val="clear" w:color="auto" w:fill="auto"/>
                <w:lang w:val="en-US" w:eastAsia="zh-CN"/>
              </w:rPr>
              <w:t>分）</w:t>
            </w:r>
          </w:p>
          <w:p w14:paraId="2588C83E">
            <w:pPr>
              <w:pStyle w:val="2"/>
              <w:keepNext w:val="0"/>
              <w:keepLines w:val="0"/>
              <w:pageBreakBefore w:val="0"/>
              <w:widowControl w:val="0"/>
              <w:suppressLineNumbers w:val="0"/>
              <w:kinsoku/>
              <w:wordWrap/>
              <w:overflowPunct/>
              <w:topLinePunct w:val="0"/>
              <w:bidi w:val="0"/>
              <w:adjustRightInd w:val="0"/>
              <w:snapToGrid/>
              <w:spacing w:before="0" w:beforeAutospacing="0" w:after="0" w:afterAutospacing="0" w:line="240" w:lineRule="auto"/>
              <w:ind w:left="0" w:right="0" w:firstLine="0" w:firstLineChars="0"/>
              <w:textAlignment w:val="auto"/>
              <w:rPr>
                <w:rFonts w:hint="eastAsia" w:ascii="宋体" w:hAnsi="宋体" w:eastAsia="宋体" w:cs="宋体"/>
                <w:sz w:val="21"/>
                <w:szCs w:val="21"/>
                <w:highlight w:val="none"/>
                <w:lang w:val="en-US" w:eastAsia="zh-CN"/>
              </w:rPr>
            </w:pPr>
            <w:r>
              <w:rPr>
                <w:rFonts w:hint="eastAsia" w:cs="宋体"/>
                <w:color w:val="auto"/>
                <w:kern w:val="0"/>
                <w:sz w:val="21"/>
                <w:szCs w:val="21"/>
                <w:highlight w:val="none"/>
                <w:shd w:val="clear" w:color="auto" w:fill="auto"/>
                <w:lang w:eastAsia="zh-CN"/>
              </w:rPr>
              <w:t>根据</w:t>
            </w:r>
            <w:r>
              <w:rPr>
                <w:rFonts w:hint="eastAsia" w:ascii="宋体" w:hAnsi="宋体" w:cs="宋体"/>
                <w:color w:val="auto"/>
                <w:kern w:val="0"/>
                <w:sz w:val="21"/>
                <w:szCs w:val="21"/>
                <w:highlight w:val="none"/>
                <w:shd w:val="clear" w:color="auto" w:fill="auto"/>
              </w:rPr>
              <w:t>参选人所提供的实施方案完整、详细，实施步骤、计划明确，符合项目建设要求，可行性强</w:t>
            </w:r>
            <w:r>
              <w:rPr>
                <w:rFonts w:hint="eastAsia" w:cs="宋体"/>
                <w:color w:val="auto"/>
                <w:kern w:val="0"/>
                <w:sz w:val="21"/>
                <w:szCs w:val="21"/>
                <w:highlight w:val="none"/>
                <w:shd w:val="clear" w:color="auto" w:fill="auto"/>
                <w:lang w:eastAsia="zh-CN"/>
              </w:rPr>
              <w:t>等因素，</w:t>
            </w:r>
            <w:r>
              <w:rPr>
                <w:rFonts w:hint="eastAsia" w:ascii="宋体" w:hAnsi="宋体" w:eastAsia="宋体" w:cs="宋体"/>
                <w:color w:val="auto"/>
                <w:kern w:val="0"/>
                <w:sz w:val="21"/>
                <w:szCs w:val="21"/>
                <w:highlight w:val="none"/>
                <w:shd w:val="clear" w:color="auto" w:fill="auto"/>
                <w:lang w:val="en-US" w:eastAsia="zh-CN"/>
              </w:rPr>
              <w:t>由评审委员会酌情给分。</w:t>
            </w:r>
          </w:p>
          <w:p w14:paraId="0967CA7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val="en-US" w:eastAsia="zh-CN"/>
              </w:rPr>
              <w:t>（1）优秀</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得</w:t>
            </w:r>
            <w:r>
              <w:rPr>
                <w:rFonts w:hint="default" w:ascii="宋体" w:hAnsi="宋体" w:cs="宋体"/>
                <w:color w:val="auto"/>
                <w:kern w:val="0"/>
                <w:sz w:val="21"/>
                <w:szCs w:val="21"/>
                <w:highlight w:val="none"/>
                <w:shd w:val="clear" w:color="auto" w:fill="auto"/>
              </w:rPr>
              <w:t>4</w:t>
            </w:r>
            <w:r>
              <w:rPr>
                <w:rFonts w:hint="eastAsia" w:ascii="宋体" w:hAnsi="宋体" w:cs="宋体"/>
                <w:color w:val="auto"/>
                <w:kern w:val="0"/>
                <w:sz w:val="21"/>
                <w:szCs w:val="21"/>
                <w:highlight w:val="none"/>
                <w:shd w:val="clear" w:color="auto" w:fill="auto"/>
              </w:rPr>
              <w:t>-</w:t>
            </w:r>
            <w:r>
              <w:rPr>
                <w:rFonts w:hint="default" w:ascii="宋体" w:hAnsi="宋体" w:cs="宋体"/>
                <w:color w:val="auto"/>
                <w:kern w:val="0"/>
                <w:sz w:val="21"/>
                <w:szCs w:val="21"/>
                <w:highlight w:val="none"/>
                <w:shd w:val="clear" w:color="auto" w:fill="auto"/>
              </w:rPr>
              <w:t>5</w:t>
            </w:r>
            <w:r>
              <w:rPr>
                <w:rFonts w:hint="eastAsia" w:ascii="宋体" w:hAnsi="宋体" w:eastAsia="宋体" w:cs="宋体"/>
                <w:color w:val="auto"/>
                <w:kern w:val="0"/>
                <w:sz w:val="21"/>
                <w:szCs w:val="21"/>
                <w:highlight w:val="none"/>
                <w:shd w:val="clear" w:color="auto" w:fill="auto"/>
              </w:rPr>
              <w:t>分；</w:t>
            </w:r>
          </w:p>
          <w:p w14:paraId="27BF518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2</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一般，得</w:t>
            </w:r>
            <w:r>
              <w:rPr>
                <w:rFonts w:hint="default" w:ascii="宋体" w:hAnsi="宋体" w:cs="宋体"/>
                <w:color w:val="auto"/>
                <w:kern w:val="0"/>
                <w:sz w:val="21"/>
                <w:szCs w:val="21"/>
                <w:highlight w:val="none"/>
                <w:shd w:val="clear" w:color="auto" w:fill="auto"/>
              </w:rPr>
              <w:t>2</w:t>
            </w:r>
            <w:r>
              <w:rPr>
                <w:rFonts w:hint="eastAsia" w:ascii="宋体" w:hAnsi="宋体" w:cs="宋体"/>
                <w:color w:val="auto"/>
                <w:kern w:val="0"/>
                <w:sz w:val="21"/>
                <w:szCs w:val="21"/>
                <w:highlight w:val="none"/>
                <w:shd w:val="clear" w:color="auto" w:fill="auto"/>
                <w:lang w:val="en-US" w:eastAsia="zh-CN"/>
              </w:rPr>
              <w:t>-</w:t>
            </w:r>
            <w:r>
              <w:rPr>
                <w:rFonts w:hint="default" w:ascii="宋体" w:hAnsi="宋体" w:cs="宋体"/>
                <w:color w:val="auto"/>
                <w:kern w:val="0"/>
                <w:sz w:val="21"/>
                <w:szCs w:val="21"/>
                <w:highlight w:val="none"/>
                <w:shd w:val="clear" w:color="auto" w:fill="auto"/>
                <w:lang w:val="en-US" w:eastAsia="zh-CN"/>
              </w:rPr>
              <w:t>3</w:t>
            </w:r>
            <w:r>
              <w:rPr>
                <w:rFonts w:hint="eastAsia" w:ascii="宋体" w:hAnsi="宋体" w:eastAsia="宋体" w:cs="宋体"/>
                <w:color w:val="auto"/>
                <w:kern w:val="0"/>
                <w:sz w:val="21"/>
                <w:szCs w:val="21"/>
                <w:highlight w:val="none"/>
                <w:shd w:val="clear" w:color="auto" w:fill="auto"/>
              </w:rPr>
              <w:t>分；</w:t>
            </w:r>
          </w:p>
          <w:p w14:paraId="7B631B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3</w:t>
            </w:r>
            <w:r>
              <w:rPr>
                <w:rFonts w:hint="eastAsia" w:ascii="宋体" w:hAnsi="宋体" w:eastAsia="宋体" w:cs="宋体"/>
                <w:color w:val="auto"/>
                <w:kern w:val="0"/>
                <w:sz w:val="21"/>
                <w:szCs w:val="21"/>
                <w:highlight w:val="none"/>
                <w:shd w:val="clear" w:color="auto" w:fill="auto"/>
                <w:lang w:eastAsia="zh-CN"/>
              </w:rPr>
              <w:t>）</w:t>
            </w:r>
            <w:r>
              <w:rPr>
                <w:rFonts w:hint="eastAsia" w:ascii="宋体" w:hAnsi="宋体" w:eastAsia="宋体" w:cs="宋体"/>
                <w:color w:val="auto"/>
                <w:kern w:val="0"/>
                <w:sz w:val="21"/>
                <w:szCs w:val="21"/>
                <w:highlight w:val="none"/>
                <w:shd w:val="clear" w:color="auto" w:fill="auto"/>
                <w:lang w:val="en-US" w:eastAsia="zh-CN"/>
              </w:rPr>
              <w:t>差，得</w:t>
            </w:r>
            <w:r>
              <w:rPr>
                <w:rFonts w:hint="eastAsia" w:ascii="宋体" w:hAnsi="宋体" w:eastAsia="宋体" w:cs="宋体"/>
                <w:color w:val="auto"/>
                <w:kern w:val="0"/>
                <w:sz w:val="21"/>
                <w:szCs w:val="21"/>
                <w:highlight w:val="none"/>
                <w:shd w:val="clear" w:color="auto" w:fill="auto"/>
              </w:rPr>
              <w:t>（</w:t>
            </w:r>
            <w:r>
              <w:rPr>
                <w:rFonts w:hint="eastAsia" w:ascii="宋体" w:hAnsi="宋体" w:cs="宋体"/>
                <w:color w:val="auto"/>
                <w:kern w:val="0"/>
                <w:sz w:val="21"/>
                <w:szCs w:val="21"/>
                <w:highlight w:val="none"/>
                <w:shd w:val="clear" w:color="auto" w:fill="auto"/>
              </w:rPr>
              <w:t>0</w:t>
            </w:r>
            <w:r>
              <w:rPr>
                <w:rFonts w:hint="eastAsia" w:ascii="宋体" w:hAnsi="宋体" w:cs="宋体"/>
                <w:color w:val="auto"/>
                <w:kern w:val="0"/>
                <w:sz w:val="21"/>
                <w:szCs w:val="21"/>
                <w:highlight w:val="none"/>
                <w:shd w:val="clear" w:color="auto" w:fill="auto"/>
                <w:lang w:val="en-US" w:eastAsia="zh-CN"/>
              </w:rPr>
              <w:t>-</w:t>
            </w:r>
            <w:r>
              <w:rPr>
                <w:rFonts w:hint="default" w:ascii="宋体" w:hAnsi="宋体" w:cs="宋体"/>
                <w:color w:val="auto"/>
                <w:kern w:val="0"/>
                <w:sz w:val="21"/>
                <w:szCs w:val="21"/>
                <w:highlight w:val="none"/>
                <w:shd w:val="clear" w:color="auto" w:fill="auto"/>
                <w:lang w:val="en-US" w:eastAsia="zh-CN"/>
              </w:rPr>
              <w:t>1</w:t>
            </w:r>
            <w:r>
              <w:rPr>
                <w:rFonts w:hint="eastAsia" w:ascii="宋体" w:hAnsi="宋体" w:eastAsia="宋体" w:cs="宋体"/>
                <w:color w:val="auto"/>
                <w:kern w:val="0"/>
                <w:sz w:val="21"/>
                <w:szCs w:val="21"/>
                <w:highlight w:val="none"/>
                <w:shd w:val="clear" w:color="auto" w:fill="auto"/>
              </w:rPr>
              <w:t>分）。</w:t>
            </w:r>
          </w:p>
          <w:p w14:paraId="2F658653">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cs="宋体"/>
                <w:color w:val="auto"/>
                <w:kern w:val="0"/>
                <w:sz w:val="21"/>
                <w:szCs w:val="21"/>
                <w:highlight w:val="none"/>
                <w:shd w:val="clear" w:color="auto" w:fill="auto"/>
              </w:rPr>
            </w:pPr>
            <w:r>
              <w:rPr>
                <w:rFonts w:hint="eastAsia" w:ascii="宋体" w:hAnsi="宋体" w:cs="宋体"/>
                <w:color w:val="auto"/>
                <w:kern w:val="0"/>
                <w:sz w:val="21"/>
                <w:szCs w:val="21"/>
                <w:highlight w:val="none"/>
                <w:shd w:val="clear" w:color="auto" w:fill="auto"/>
                <w:lang w:val="en-US" w:eastAsia="zh-CN"/>
              </w:rPr>
              <w:t>2.功能满足度（分值：</w:t>
            </w:r>
            <w:r>
              <w:rPr>
                <w:rFonts w:hint="default" w:ascii="宋体" w:hAnsi="宋体" w:cs="宋体"/>
                <w:color w:val="auto"/>
                <w:kern w:val="0"/>
                <w:sz w:val="21"/>
                <w:szCs w:val="21"/>
                <w:highlight w:val="none"/>
                <w:shd w:val="clear" w:color="auto" w:fill="auto"/>
                <w:lang w:val="en-US" w:eastAsia="zh-CN"/>
              </w:rPr>
              <w:t>30</w:t>
            </w:r>
            <w:r>
              <w:rPr>
                <w:rFonts w:hint="eastAsia" w:ascii="宋体" w:hAnsi="宋体" w:cs="宋体"/>
                <w:color w:val="auto"/>
                <w:kern w:val="0"/>
                <w:sz w:val="21"/>
                <w:szCs w:val="21"/>
                <w:highlight w:val="none"/>
                <w:shd w:val="clear" w:color="auto" w:fill="auto"/>
                <w:lang w:val="en-US" w:eastAsia="zh-CN"/>
              </w:rPr>
              <w:t>分）</w:t>
            </w:r>
          </w:p>
          <w:p w14:paraId="33ED9A15">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cs="宋体"/>
                <w:color w:val="auto"/>
                <w:kern w:val="0"/>
                <w:sz w:val="21"/>
                <w:szCs w:val="21"/>
                <w:highlight w:val="none"/>
                <w:shd w:val="clear" w:color="auto" w:fill="auto"/>
                <w:lang w:eastAsia="zh-CN"/>
              </w:rPr>
            </w:pPr>
            <w:r>
              <w:rPr>
                <w:rFonts w:hint="eastAsia" w:ascii="宋体" w:hAnsi="宋体" w:cs="宋体"/>
                <w:color w:val="auto"/>
                <w:kern w:val="0"/>
                <w:sz w:val="21"/>
                <w:szCs w:val="21"/>
                <w:highlight w:val="none"/>
                <w:shd w:val="clear" w:color="auto" w:fill="auto"/>
              </w:rPr>
              <w:t>根据POC测试评分表中的得分*0.</w:t>
            </w:r>
            <w:r>
              <w:rPr>
                <w:rFonts w:hint="default" w:ascii="宋体" w:hAnsi="宋体" w:cs="宋体"/>
                <w:color w:val="auto"/>
                <w:kern w:val="0"/>
                <w:sz w:val="21"/>
                <w:szCs w:val="21"/>
                <w:highlight w:val="none"/>
                <w:shd w:val="clear" w:color="auto" w:fill="auto"/>
              </w:rPr>
              <w:t>3</w:t>
            </w:r>
            <w:r>
              <w:rPr>
                <w:rFonts w:hint="eastAsia" w:ascii="宋体" w:hAnsi="宋体" w:cs="宋体"/>
                <w:color w:val="auto"/>
                <w:kern w:val="0"/>
                <w:sz w:val="21"/>
                <w:szCs w:val="21"/>
                <w:highlight w:val="none"/>
                <w:shd w:val="clear" w:color="auto" w:fill="auto"/>
              </w:rPr>
              <w:t>即为本项得分</w:t>
            </w:r>
            <w:r>
              <w:rPr>
                <w:rFonts w:hint="eastAsia" w:ascii="宋体" w:hAnsi="宋体" w:cs="宋体"/>
                <w:color w:val="auto"/>
                <w:kern w:val="0"/>
                <w:sz w:val="21"/>
                <w:szCs w:val="21"/>
                <w:highlight w:val="none"/>
                <w:shd w:val="clear" w:color="auto" w:fill="auto"/>
                <w:lang w:eastAsia="zh-CN"/>
              </w:rPr>
              <w:t>。</w:t>
            </w:r>
          </w:p>
          <w:p w14:paraId="0DE45E4B">
            <w:pPr>
              <w:keepNext w:val="0"/>
              <w:keepLines w:val="0"/>
              <w:pageBreakBefore w:val="0"/>
              <w:widowControl w:val="0"/>
              <w:suppressLineNumbers w:val="0"/>
              <w:kinsoku/>
              <w:wordWrap/>
              <w:overflowPunct/>
              <w:topLinePunct w:val="0"/>
              <w:autoSpaceDE/>
              <w:autoSpaceDN/>
              <w:spacing w:before="0" w:beforeAutospacing="0" w:after="0" w:afterAutospacing="0"/>
              <w:ind w:left="0" w:right="0" w:firstLine="0"/>
              <w:jc w:val="left"/>
              <w:rPr>
                <w:rFonts w:hint="eastAsia" w:ascii="宋体" w:hAnsi="宋体" w:cs="宋体"/>
                <w:kern w:val="0"/>
                <w:sz w:val="21"/>
                <w:szCs w:val="21"/>
                <w:highlight w:val="none"/>
              </w:rPr>
            </w:pPr>
            <w:r>
              <w:rPr>
                <w:rFonts w:hint="eastAsia" w:ascii="宋体" w:hAnsi="宋体" w:cs="宋体"/>
                <w:color w:val="auto"/>
                <w:kern w:val="0"/>
                <w:sz w:val="21"/>
                <w:szCs w:val="21"/>
                <w:highlight w:val="none"/>
                <w:shd w:val="clear" w:color="auto" w:fill="auto"/>
              </w:rPr>
              <w:t>注：</w:t>
            </w:r>
            <w:r>
              <w:rPr>
                <w:rFonts w:hint="eastAsia" w:ascii="宋体" w:hAnsi="宋体" w:cs="宋体"/>
                <w:color w:val="auto"/>
                <w:kern w:val="0"/>
                <w:sz w:val="21"/>
                <w:szCs w:val="21"/>
                <w:highlight w:val="none"/>
                <w:shd w:val="clear" w:color="auto" w:fill="auto"/>
                <w:lang w:val="en-US" w:eastAsia="zh-CN"/>
              </w:rPr>
              <w:t>由比选人根据POC方案进行</w:t>
            </w:r>
            <w:r>
              <w:rPr>
                <w:rFonts w:hint="eastAsia" w:ascii="宋体" w:hAnsi="宋体" w:cs="宋体"/>
                <w:color w:val="auto"/>
                <w:kern w:val="0"/>
                <w:sz w:val="21"/>
                <w:szCs w:val="21"/>
                <w:highlight w:val="none"/>
                <w:shd w:val="clear" w:color="auto" w:fill="auto"/>
                <w:lang w:eastAsia="zh-CN"/>
              </w:rPr>
              <w:t>。</w:t>
            </w:r>
          </w:p>
        </w:tc>
      </w:tr>
      <w:tr w14:paraId="2B50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7CA1E979">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482" w:type="dxa"/>
            <w:tcBorders>
              <w:left w:val="single" w:color="auto" w:sz="4" w:space="0"/>
            </w:tcBorders>
            <w:vAlign w:val="center"/>
          </w:tcPr>
          <w:p w14:paraId="1FD31131">
            <w:pPr>
              <w:keepNext w:val="0"/>
              <w:keepLines w:val="0"/>
              <w:suppressLineNumbers w:val="0"/>
              <w:spacing w:before="0" w:beforeAutospacing="0" w:after="0" w:afterAutospacing="0" w:line="360" w:lineRule="auto"/>
              <w:ind w:left="0" w:right="0" w:firstLine="0"/>
              <w:jc w:val="center"/>
              <w:rPr>
                <w:rFonts w:hint="default"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162" w:type="dxa"/>
            <w:gridSpan w:val="3"/>
            <w:tcBorders>
              <w:left w:val="single" w:color="auto" w:sz="4" w:space="0"/>
            </w:tcBorders>
          </w:tcPr>
          <w:p w14:paraId="447E6A5C">
            <w:pPr>
              <w:keepNext w:val="0"/>
              <w:keepLines w:val="0"/>
              <w:widowControl/>
              <w:suppressLineNumbers w:val="0"/>
              <w:spacing w:before="0" w:beforeAutospacing="0" w:after="0" w:afterAutospacing="0" w:line="240" w:lineRule="auto"/>
              <w:ind w:left="0" w:right="0" w:firstLine="0"/>
              <w:jc w:val="both"/>
              <w:rPr>
                <w:rFonts w:hint="eastAsia" w:ascii="宋体" w:hAnsi="宋体" w:eastAsia="宋体" w:cs="宋体"/>
                <w:sz w:val="21"/>
                <w:szCs w:val="21"/>
                <w:highlight w:val="none"/>
                <w:shd w:val="clear" w:color="auto" w:fill="auto"/>
                <w:lang w:bidi="ar"/>
              </w:rPr>
            </w:pPr>
            <w:r>
              <w:rPr>
                <w:rFonts w:hint="eastAsia" w:ascii="宋体" w:hAnsi="宋体" w:eastAsia="宋体" w:cs="宋体"/>
                <w:sz w:val="21"/>
                <w:szCs w:val="21"/>
                <w:highlight w:val="none"/>
                <w:shd w:val="clear" w:color="auto" w:fill="auto"/>
                <w:lang w:bidi="ar"/>
              </w:rPr>
              <w:t>1.比选人组织POC测试打分环节。</w:t>
            </w:r>
          </w:p>
          <w:p w14:paraId="59C43472">
            <w:pPr>
              <w:keepNext w:val="0"/>
              <w:keepLines w:val="0"/>
              <w:widowControl/>
              <w:suppressLineNumbers w:val="0"/>
              <w:spacing w:before="0" w:beforeAutospacing="0" w:after="0" w:afterAutospacing="0"/>
              <w:ind w:left="0" w:right="0" w:firstLine="0"/>
              <w:jc w:val="both"/>
              <w:rPr>
                <w:rFonts w:hint="eastAsia" w:ascii="宋体" w:hAnsi="宋体" w:eastAsia="宋体" w:cs="宋体"/>
                <w:sz w:val="21"/>
                <w:szCs w:val="21"/>
                <w:highlight w:val="none"/>
                <w:shd w:val="clear" w:color="auto" w:fill="auto"/>
                <w:lang w:bidi="ar"/>
              </w:rPr>
            </w:pPr>
            <w:r>
              <w:rPr>
                <w:rFonts w:hint="eastAsia" w:ascii="宋体" w:hAnsi="宋体" w:eastAsia="宋体" w:cs="宋体"/>
                <w:sz w:val="21"/>
                <w:szCs w:val="21"/>
                <w:highlight w:val="none"/>
                <w:shd w:val="clear" w:color="auto" w:fill="auto"/>
                <w:lang w:bidi="ar"/>
              </w:rPr>
              <w:t>2.评审委员会在初步评审前，按本章第3.1.3项的规定对参选报价有算术性错误的进行算术性错误修正。</w:t>
            </w:r>
          </w:p>
          <w:p w14:paraId="5D6EA4DB">
            <w:pPr>
              <w:keepNext w:val="0"/>
              <w:keepLines w:val="0"/>
              <w:widowControl/>
              <w:suppressLineNumbers w:val="0"/>
              <w:spacing w:before="0" w:beforeAutospacing="0" w:after="0" w:afterAutospacing="0"/>
              <w:ind w:left="0" w:right="0" w:firstLine="0"/>
              <w:jc w:val="both"/>
              <w:rPr>
                <w:rFonts w:hint="eastAsia" w:ascii="宋体" w:hAnsi="宋体" w:eastAsia="宋体" w:cs="宋体"/>
                <w:sz w:val="21"/>
                <w:szCs w:val="21"/>
                <w:highlight w:val="none"/>
                <w:shd w:val="clear" w:color="auto" w:fill="auto"/>
                <w:lang w:bidi="ar"/>
              </w:rPr>
            </w:pPr>
            <w:r>
              <w:rPr>
                <w:rFonts w:hint="eastAsia" w:ascii="宋体" w:hAnsi="宋体" w:eastAsia="宋体" w:cs="宋体"/>
                <w:sz w:val="21"/>
                <w:szCs w:val="21"/>
                <w:highlight w:val="none"/>
                <w:shd w:val="clear" w:color="auto" w:fill="auto"/>
                <w:lang w:bidi="ar"/>
              </w:rPr>
              <w:t>3.评审委员会对参选文件进行初步评审。</w:t>
            </w:r>
          </w:p>
          <w:p w14:paraId="2AAD71AB">
            <w:pPr>
              <w:keepNext w:val="0"/>
              <w:keepLines w:val="0"/>
              <w:widowControl/>
              <w:suppressLineNumbers w:val="0"/>
              <w:spacing w:before="0" w:beforeAutospacing="0" w:after="0" w:afterAutospacing="0"/>
              <w:ind w:left="0" w:right="0" w:firstLine="0"/>
              <w:jc w:val="both"/>
              <w:rPr>
                <w:rFonts w:hint="eastAsia" w:ascii="宋体" w:hAnsi="宋体" w:eastAsia="宋体" w:cs="宋体"/>
                <w:sz w:val="21"/>
                <w:szCs w:val="21"/>
                <w:highlight w:val="none"/>
                <w:shd w:val="clear" w:color="auto" w:fill="auto"/>
                <w:lang w:bidi="ar"/>
              </w:rPr>
            </w:pPr>
            <w:r>
              <w:rPr>
                <w:rFonts w:hint="eastAsia" w:ascii="宋体" w:hAnsi="宋体" w:eastAsia="宋体" w:cs="宋体"/>
                <w:sz w:val="21"/>
                <w:szCs w:val="21"/>
                <w:highlight w:val="none"/>
                <w:shd w:val="clear" w:color="auto" w:fill="auto"/>
                <w:lang w:bidi="ar"/>
              </w:rPr>
              <w:t>4.评审委员会对初步评审合格的参选文件进行详细评审，主观评审部分由各专家独立评审打分，最后取平均得分，保留2位小数。</w:t>
            </w:r>
          </w:p>
          <w:p w14:paraId="16A62628">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lang w:bidi="ar"/>
              </w:rPr>
            </w:pPr>
            <w:r>
              <w:rPr>
                <w:rFonts w:hint="eastAsia" w:ascii="宋体" w:hAnsi="宋体" w:eastAsia="宋体" w:cs="宋体"/>
                <w:color w:val="auto"/>
                <w:kern w:val="2"/>
                <w:sz w:val="21"/>
                <w:szCs w:val="21"/>
                <w:highlight w:val="none"/>
                <w:shd w:val="clear" w:color="auto" w:fill="auto"/>
                <w:lang w:val="en-US" w:eastAsia="zh-CN" w:bidi="ar"/>
              </w:rPr>
              <w:t>注：详细评审的部分打分项需评审委员会根据比选人POC测试得分给出对应分值。</w:t>
            </w:r>
          </w:p>
          <w:p w14:paraId="34DF38F6">
            <w:pPr>
              <w:keepNext w:val="0"/>
              <w:keepLines w:val="0"/>
              <w:widowControl/>
              <w:suppressLineNumbers w:val="0"/>
              <w:spacing w:before="0" w:beforeAutospacing="0" w:after="0" w:afterAutospacing="0" w:line="240" w:lineRule="auto"/>
              <w:ind w:left="0" w:right="0" w:firstLine="0"/>
              <w:jc w:val="both"/>
              <w:rPr>
                <w:rFonts w:hint="eastAsia" w:ascii="宋体" w:hAnsi="宋体" w:eastAsia="宋体" w:cs="宋体"/>
                <w:sz w:val="21"/>
                <w:szCs w:val="21"/>
                <w:highlight w:val="none"/>
                <w:lang w:bidi="ar"/>
              </w:rPr>
            </w:pPr>
            <w:r>
              <w:rPr>
                <w:rFonts w:hint="eastAsia" w:ascii="宋体" w:hAnsi="宋体" w:eastAsia="宋体" w:cs="宋体"/>
                <w:sz w:val="21"/>
                <w:szCs w:val="21"/>
                <w:highlight w:val="none"/>
                <w:shd w:val="clear" w:color="auto" w:fill="auto"/>
                <w:lang w:bidi="ar"/>
              </w:rPr>
              <w:t>5.评审委员会汇总详细评审得分，综合得分由高至低进行排序，推荐1-3家合格的中选候选人。并依次为第一、二、三中选候选人。</w:t>
            </w:r>
          </w:p>
        </w:tc>
      </w:tr>
      <w:tr w14:paraId="567C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19A0B8B">
            <w:pPr>
              <w:keepNext w:val="0"/>
              <w:keepLines w:val="0"/>
              <w:suppressLineNumbers w:val="0"/>
              <w:spacing w:before="0" w:beforeAutospacing="0" w:after="0" w:afterAutospacing="0" w:line="360" w:lineRule="auto"/>
              <w:ind w:left="0" w:right="0" w:firstLine="0"/>
              <w:rPr>
                <w:rFonts w:hint="default" w:ascii="Times New Roman" w:hAnsi="Times New Roman" w:cs="宋体"/>
                <w:sz w:val="21"/>
                <w:szCs w:val="21"/>
                <w:highlight w:val="none"/>
              </w:rPr>
            </w:pPr>
            <w:r>
              <w:rPr>
                <w:rFonts w:hint="eastAsia" w:ascii="Times New Roman" w:hAnsi="Times New Roman" w:cs="宋体"/>
                <w:sz w:val="21"/>
                <w:szCs w:val="21"/>
                <w:highlight w:val="none"/>
              </w:rPr>
              <w:t>3.2.3</w:t>
            </w:r>
          </w:p>
        </w:tc>
        <w:tc>
          <w:tcPr>
            <w:tcW w:w="1511" w:type="dxa"/>
            <w:tcBorders>
              <w:left w:val="single" w:color="auto" w:sz="4" w:space="0"/>
            </w:tcBorders>
            <w:vAlign w:val="center"/>
          </w:tcPr>
          <w:p w14:paraId="543CC4EC">
            <w:pPr>
              <w:keepNext w:val="0"/>
              <w:keepLines w:val="0"/>
              <w:widowControl/>
              <w:suppressLineNumbers w:val="0"/>
              <w:spacing w:before="0" w:beforeAutospacing="0" w:after="0" w:afterAutospacing="0" w:line="240" w:lineRule="auto"/>
              <w:ind w:left="0" w:right="0" w:firstLine="0"/>
              <w:jc w:val="both"/>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参选人得分</w:t>
            </w:r>
          </w:p>
        </w:tc>
        <w:tc>
          <w:tcPr>
            <w:tcW w:w="5651" w:type="dxa"/>
            <w:gridSpan w:val="2"/>
            <w:tcBorders>
              <w:left w:val="single" w:color="auto" w:sz="4" w:space="0"/>
            </w:tcBorders>
            <w:vAlign w:val="center"/>
          </w:tcPr>
          <w:p w14:paraId="0471BF3A">
            <w:pPr>
              <w:keepNext w:val="0"/>
              <w:keepLines w:val="0"/>
              <w:widowControl/>
              <w:suppressLineNumbers w:val="0"/>
              <w:spacing w:before="0" w:beforeAutospacing="0" w:after="0" w:afterAutospacing="0" w:line="240" w:lineRule="auto"/>
              <w:ind w:left="0" w:right="0" w:firstLine="0"/>
              <w:jc w:val="both"/>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参选人得分=</w:t>
            </w:r>
            <w:r>
              <w:rPr>
                <w:rFonts w:hint="eastAsia" w:ascii="宋体" w:hAnsi="宋体" w:eastAsia="宋体" w:cs="宋体"/>
                <w:sz w:val="21"/>
                <w:szCs w:val="21"/>
                <w:highlight w:val="none"/>
                <w:shd w:val="clear" w:color="auto" w:fill="auto"/>
                <w:lang w:bidi="ar"/>
              </w:rPr>
              <w:t>参选报价得分+商务部分得分+技术部分评分</w:t>
            </w:r>
          </w:p>
        </w:tc>
      </w:tr>
      <w:bookmarkEnd w:id="105"/>
    </w:tbl>
    <w:p w14:paraId="11FEBD59">
      <w:pPr>
        <w:rPr>
          <w:rFonts w:ascii="Times New Roman" w:hAnsi="Times New Roman" w:cs="宋体"/>
          <w:snapToGrid w:val="0"/>
          <w:sz w:val="21"/>
          <w:szCs w:val="21"/>
          <w:highlight w:val="none"/>
        </w:rPr>
      </w:pPr>
      <w:bookmarkStart w:id="106" w:name="_Toc636"/>
      <w:bookmarkStart w:id="107" w:name="_Toc21111"/>
    </w:p>
    <w:p w14:paraId="7AE034E2">
      <w:pPr>
        <w:pStyle w:val="4"/>
        <w:rPr>
          <w:rFonts w:ascii="Times New Roman" w:hAnsi="Times New Roman"/>
          <w:highlight w:val="none"/>
        </w:rPr>
      </w:pPr>
      <w:bookmarkStart w:id="108" w:name="_Toc28684"/>
      <w:bookmarkStart w:id="109" w:name="_Toc27234"/>
      <w:bookmarkStart w:id="110" w:name="_Toc18283"/>
      <w:r>
        <w:rPr>
          <w:rFonts w:hint="eastAsia" w:ascii="Times New Roman" w:hAnsi="Times New Roman"/>
          <w:highlight w:val="none"/>
        </w:rPr>
        <w:t>1. 评审方法</w:t>
      </w:r>
      <w:bookmarkEnd w:id="106"/>
      <w:bookmarkEnd w:id="107"/>
      <w:bookmarkEnd w:id="108"/>
      <w:bookmarkEnd w:id="109"/>
      <w:bookmarkEnd w:id="110"/>
    </w:p>
    <w:p w14:paraId="7D73F334">
      <w:pPr>
        <w:ind w:firstLine="420"/>
        <w:rPr>
          <w:rFonts w:hint="eastAsia" w:ascii="Times New Roman" w:hAnsi="Times New Roman" w:eastAsia="宋体" w:cs="宋体"/>
          <w:highlight w:val="none"/>
        </w:rPr>
      </w:pPr>
      <w:bookmarkStart w:id="111" w:name="_Toc407195379"/>
      <w:bookmarkStart w:id="112" w:name="_Toc440022827"/>
      <w:bookmarkStart w:id="113" w:name="_Toc200513199"/>
      <w:bookmarkStart w:id="114" w:name="_Toc287607813"/>
      <w:bookmarkStart w:id="115" w:name="_Toc377067339"/>
      <w:bookmarkStart w:id="116" w:name="_Toc224103385"/>
      <w:bookmarkStart w:id="117" w:name="_Toc277082619"/>
      <w:bookmarkStart w:id="118" w:name="_Toc287620752"/>
      <w:bookmarkStart w:id="119" w:name="_Toc377115419"/>
      <w:bookmarkStart w:id="120" w:name="_Toc376114120"/>
      <w:bookmarkStart w:id="121" w:name="_Toc330569206"/>
      <w:r>
        <w:rPr>
          <w:rFonts w:hint="eastAsia" w:ascii="Times New Roman" w:hAnsi="Times New Roman"/>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w:t>
      </w:r>
      <w:r>
        <w:rPr>
          <w:rFonts w:hint="eastAsia" w:ascii="Times New Roman" w:hAnsi="Times New Roman" w:eastAsia="宋体" w:cs="宋体"/>
          <w:highlight w:val="none"/>
          <w:shd w:val="clear" w:color="auto" w:fill="auto"/>
        </w:rPr>
        <w:t>由评审委员会按照评分表中POC部分得分由高到低的原则确定。</w:t>
      </w:r>
    </w:p>
    <w:p w14:paraId="0FA6940F">
      <w:pPr>
        <w:pStyle w:val="4"/>
        <w:rPr>
          <w:rFonts w:ascii="Times New Roman" w:hAnsi="Times New Roman"/>
          <w:highlight w:val="none"/>
        </w:rPr>
      </w:pPr>
      <w:bookmarkStart w:id="122" w:name="_Toc27406"/>
      <w:bookmarkStart w:id="123" w:name="_Toc5950"/>
      <w:bookmarkStart w:id="124" w:name="_Toc16716"/>
      <w:bookmarkStart w:id="125" w:name="_Toc2274"/>
      <w:bookmarkStart w:id="126" w:name="_Toc765"/>
      <w:bookmarkStart w:id="127" w:name="_Toc444155968"/>
      <w:bookmarkStart w:id="128" w:name="_Toc23969"/>
      <w:bookmarkStart w:id="129" w:name="_Toc27931"/>
      <w:bookmarkStart w:id="130" w:name="_Toc31615"/>
      <w:r>
        <w:rPr>
          <w:rFonts w:hint="eastAsia" w:ascii="Times New Roman" w:hAnsi="Times New Roman"/>
          <w:highlight w:val="none"/>
        </w:rPr>
        <w:t>2. 评审标准</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4868ED4">
      <w:pPr>
        <w:pStyle w:val="5"/>
        <w:ind w:firstLine="420"/>
        <w:rPr>
          <w:rFonts w:ascii="Times New Roman" w:hAnsi="Times New Roman"/>
          <w:highlight w:val="none"/>
        </w:rPr>
      </w:pPr>
      <w:bookmarkStart w:id="131" w:name="_Toc330569207"/>
      <w:bookmarkStart w:id="132" w:name="_Toc440022828"/>
      <w:bookmarkStart w:id="133" w:name="_Toc287607814"/>
      <w:bookmarkStart w:id="134" w:name="_Toc287620753"/>
      <w:bookmarkStart w:id="135" w:name="_Toc377115420"/>
      <w:bookmarkStart w:id="136" w:name="_Toc1358"/>
      <w:bookmarkStart w:id="137" w:name="_Toc376114121"/>
      <w:bookmarkStart w:id="138" w:name="_Toc377067340"/>
      <w:bookmarkStart w:id="139" w:name="_Toc200513200"/>
      <w:bookmarkStart w:id="140" w:name="_Toc444155969"/>
      <w:bookmarkStart w:id="141" w:name="_Toc224103386"/>
      <w:bookmarkStart w:id="142" w:name="_Toc16537"/>
      <w:bookmarkStart w:id="143" w:name="_Toc407195380"/>
      <w:bookmarkStart w:id="144" w:name="_Toc277082620"/>
      <w:bookmarkStart w:id="145" w:name="_Toc11839"/>
      <w:bookmarkStart w:id="146" w:name="_Toc7584"/>
      <w:bookmarkStart w:id="147" w:name="_Toc10533"/>
      <w:bookmarkStart w:id="148" w:name="_Toc23425"/>
      <w:bookmarkStart w:id="149" w:name="_Toc21593"/>
      <w:r>
        <w:rPr>
          <w:rFonts w:hint="eastAsia" w:ascii="Times New Roman" w:hAnsi="Times New Roman"/>
          <w:highlight w:val="none"/>
        </w:rPr>
        <w:t>2.1 初步评审标准</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E8E4685">
      <w:pPr>
        <w:ind w:firstLine="420"/>
        <w:rPr>
          <w:rFonts w:ascii="Times New Roman" w:hAnsi="Times New Roman"/>
          <w:highlight w:val="none"/>
        </w:rPr>
      </w:pPr>
      <w:r>
        <w:rPr>
          <w:rFonts w:hint="eastAsia" w:ascii="Times New Roman" w:hAnsi="Times New Roman"/>
          <w:highlight w:val="none"/>
        </w:rPr>
        <w:t>2.1.1 资格评审标准：见评审办法前附表。</w:t>
      </w:r>
    </w:p>
    <w:p w14:paraId="125119D2">
      <w:pPr>
        <w:ind w:firstLine="420"/>
        <w:rPr>
          <w:rFonts w:ascii="Times New Roman" w:hAnsi="Times New Roman"/>
          <w:highlight w:val="none"/>
        </w:rPr>
      </w:pPr>
      <w:r>
        <w:rPr>
          <w:rFonts w:hint="eastAsia" w:ascii="Times New Roman" w:hAnsi="Times New Roman"/>
          <w:highlight w:val="none"/>
        </w:rPr>
        <w:t>2.1.2 形式评审标准：见评审办法前附表。</w:t>
      </w:r>
    </w:p>
    <w:p w14:paraId="0BAB6185">
      <w:pPr>
        <w:ind w:firstLine="420"/>
        <w:rPr>
          <w:rFonts w:ascii="Times New Roman" w:hAnsi="Times New Roman"/>
          <w:highlight w:val="none"/>
        </w:rPr>
      </w:pPr>
      <w:r>
        <w:rPr>
          <w:rFonts w:hint="eastAsia" w:ascii="Times New Roman" w:hAnsi="Times New Roman"/>
          <w:highlight w:val="none"/>
        </w:rPr>
        <w:t>2.1.3 响应性评审标准：见评审办法前附表。</w:t>
      </w:r>
    </w:p>
    <w:p w14:paraId="663F3025">
      <w:pPr>
        <w:pStyle w:val="5"/>
        <w:ind w:firstLine="420"/>
        <w:rPr>
          <w:rFonts w:ascii="Times New Roman" w:hAnsi="Times New Roman"/>
          <w:highlight w:val="none"/>
        </w:rPr>
      </w:pPr>
      <w:bookmarkStart w:id="150" w:name="_Toc440022829"/>
      <w:bookmarkStart w:id="151" w:name="_Toc444155970"/>
      <w:bookmarkStart w:id="152" w:name="_Toc287607815"/>
      <w:bookmarkStart w:id="153" w:name="_Toc23296"/>
      <w:bookmarkStart w:id="154" w:name="_Toc407195381"/>
      <w:bookmarkStart w:id="155" w:name="_Toc9090"/>
      <w:bookmarkStart w:id="156" w:name="_Toc2340"/>
      <w:bookmarkStart w:id="157" w:name="_Toc277082621"/>
      <w:bookmarkStart w:id="158" w:name="_Toc330569208"/>
      <w:bookmarkStart w:id="159" w:name="_Toc376114122"/>
      <w:bookmarkStart w:id="160" w:name="_Toc377115421"/>
      <w:bookmarkStart w:id="161" w:name="_Toc1387"/>
      <w:bookmarkStart w:id="162" w:name="_Toc287620754"/>
      <w:bookmarkStart w:id="163" w:name="_Toc6503"/>
      <w:bookmarkStart w:id="164" w:name="_Toc377067341"/>
      <w:bookmarkStart w:id="165" w:name="_Toc20840"/>
      <w:bookmarkStart w:id="166" w:name="_Toc25129"/>
      <w:bookmarkStart w:id="167" w:name="_Toc200513201"/>
      <w:bookmarkStart w:id="168" w:name="_Toc224103387"/>
      <w:r>
        <w:rPr>
          <w:rFonts w:hint="eastAsia" w:ascii="Times New Roman" w:hAnsi="Times New Roman"/>
          <w:highlight w:val="none"/>
        </w:rPr>
        <w:t>2.2 分值构成与评分标准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F2C02B5">
      <w:pPr>
        <w:ind w:firstLine="420"/>
        <w:rPr>
          <w:rFonts w:ascii="Times New Roman" w:hAnsi="Times New Roman"/>
          <w:highlight w:val="none"/>
        </w:rPr>
      </w:pPr>
      <w:r>
        <w:rPr>
          <w:rFonts w:hint="eastAsia" w:ascii="Times New Roman" w:hAnsi="Times New Roman"/>
          <w:highlight w:val="none"/>
        </w:rPr>
        <w:t xml:space="preserve">2.2.1 分值构成：见评审办法前附表。 </w:t>
      </w:r>
    </w:p>
    <w:p w14:paraId="0BA3BD62">
      <w:pPr>
        <w:ind w:firstLine="420"/>
        <w:rPr>
          <w:rFonts w:ascii="Times New Roman" w:hAnsi="Times New Roman"/>
          <w:highlight w:val="none"/>
        </w:rPr>
      </w:pPr>
      <w:r>
        <w:rPr>
          <w:rFonts w:hint="eastAsia" w:ascii="Times New Roman" w:hAnsi="Times New Roman"/>
          <w:highlight w:val="none"/>
        </w:rPr>
        <w:t>2.2.2 评审基准价计算方法：见评审办法前附表。</w:t>
      </w:r>
    </w:p>
    <w:p w14:paraId="69453F29">
      <w:pPr>
        <w:ind w:firstLine="420"/>
        <w:rPr>
          <w:rFonts w:ascii="Times New Roman" w:hAnsi="Times New Roman"/>
          <w:highlight w:val="none"/>
        </w:rPr>
      </w:pPr>
      <w:r>
        <w:rPr>
          <w:rFonts w:hint="eastAsia" w:ascii="Times New Roman" w:hAnsi="Times New Roman"/>
          <w:highlight w:val="none"/>
        </w:rPr>
        <w:t>2.2.3 评分标准：</w:t>
      </w:r>
    </w:p>
    <w:p w14:paraId="37E84952">
      <w:pPr>
        <w:ind w:left="420" w:firstLine="420"/>
        <w:rPr>
          <w:rFonts w:ascii="Times New Roman" w:hAnsi="Times New Roman"/>
          <w:highlight w:val="none"/>
        </w:rPr>
      </w:pPr>
      <w:r>
        <w:rPr>
          <w:rFonts w:hint="eastAsia" w:ascii="Times New Roman" w:hAnsi="Times New Roman"/>
          <w:highlight w:val="none"/>
        </w:rPr>
        <w:t>（1）参选报价评分标准：见评审办法前附表；</w:t>
      </w:r>
    </w:p>
    <w:p w14:paraId="679887E3">
      <w:pPr>
        <w:ind w:left="420" w:firstLine="420"/>
        <w:rPr>
          <w:rFonts w:ascii="Times New Roman" w:hAnsi="Times New Roman"/>
          <w:highlight w:val="none"/>
        </w:rPr>
      </w:pPr>
      <w:r>
        <w:rPr>
          <w:rFonts w:hint="eastAsia" w:ascii="Times New Roman" w:hAnsi="Times New Roman"/>
          <w:highlight w:val="none"/>
        </w:rPr>
        <w:t>（2）商务部分评分标准：见评审办法前附表；</w:t>
      </w:r>
    </w:p>
    <w:p w14:paraId="31E78F30">
      <w:pPr>
        <w:pStyle w:val="4"/>
        <w:rPr>
          <w:rFonts w:ascii="Times New Roman" w:hAnsi="Times New Roman"/>
          <w:highlight w:val="none"/>
        </w:rPr>
      </w:pPr>
      <w:bookmarkStart w:id="169" w:name="_Toc15132"/>
      <w:bookmarkStart w:id="170" w:name="_Toc12538"/>
      <w:bookmarkStart w:id="171" w:name="_Toc287620755"/>
      <w:bookmarkStart w:id="172" w:name="_Toc287607816"/>
      <w:bookmarkStart w:id="173" w:name="_Toc200513202"/>
      <w:bookmarkStart w:id="174" w:name="_Toc407195382"/>
      <w:bookmarkStart w:id="175" w:name="_Toc8004"/>
      <w:bookmarkStart w:id="176" w:name="_Toc5546"/>
      <w:bookmarkStart w:id="177" w:name="_Toc224103388"/>
      <w:bookmarkStart w:id="178" w:name="_Toc440022830"/>
      <w:bookmarkStart w:id="179" w:name="_Toc2982"/>
      <w:bookmarkStart w:id="180" w:name="_Toc444155971"/>
      <w:bookmarkStart w:id="181" w:name="_Toc9488"/>
      <w:bookmarkStart w:id="182" w:name="_Toc377115422"/>
      <w:bookmarkStart w:id="183" w:name="_Toc330569209"/>
      <w:bookmarkStart w:id="184" w:name="_Toc23633"/>
      <w:bookmarkStart w:id="185" w:name="_Toc277082622"/>
      <w:bookmarkStart w:id="186" w:name="_Toc376114123"/>
      <w:bookmarkStart w:id="187" w:name="_Toc377067342"/>
      <w:bookmarkStart w:id="188" w:name="_Toc14353"/>
      <w:r>
        <w:rPr>
          <w:rFonts w:hint="eastAsia" w:ascii="Times New Roman" w:hAnsi="Times New Roman"/>
          <w:highlight w:val="none"/>
        </w:rPr>
        <w:t>3. 评审程序</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5632827">
      <w:pPr>
        <w:pStyle w:val="5"/>
        <w:ind w:firstLine="420"/>
        <w:rPr>
          <w:rFonts w:ascii="Times New Roman" w:hAnsi="Times New Roman"/>
          <w:highlight w:val="none"/>
        </w:rPr>
      </w:pPr>
      <w:bookmarkStart w:id="189" w:name="_Toc407195383"/>
      <w:bookmarkStart w:id="190" w:name="_Toc377067343"/>
      <w:bookmarkStart w:id="191" w:name="_Toc330569210"/>
      <w:bookmarkStart w:id="192" w:name="_Toc440022831"/>
      <w:bookmarkStart w:id="193" w:name="_Toc287620756"/>
      <w:bookmarkStart w:id="194" w:name="_Toc200513203"/>
      <w:bookmarkStart w:id="195" w:name="_Toc287607817"/>
      <w:bookmarkStart w:id="196" w:name="_Toc5462"/>
      <w:bookmarkStart w:id="197" w:name="_Toc377115423"/>
      <w:bookmarkStart w:id="198" w:name="_Toc13851"/>
      <w:bookmarkStart w:id="199" w:name="_Toc9683"/>
      <w:bookmarkStart w:id="200" w:name="_Toc376114124"/>
      <w:bookmarkStart w:id="201" w:name="_Toc6448"/>
      <w:bookmarkStart w:id="202" w:name="_Toc19840"/>
      <w:bookmarkStart w:id="203" w:name="_Toc32002"/>
      <w:bookmarkStart w:id="204" w:name="_Toc22279"/>
      <w:bookmarkStart w:id="205" w:name="_Toc277082623"/>
      <w:bookmarkStart w:id="206" w:name="_Toc444155972"/>
      <w:bookmarkStart w:id="207" w:name="_Toc224103389"/>
      <w:r>
        <w:rPr>
          <w:rFonts w:hint="eastAsia" w:ascii="Times New Roman" w:hAnsi="Times New Roman"/>
          <w:highlight w:val="none"/>
        </w:rPr>
        <w:t>3.1 初步评审</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0D520969">
      <w:pPr>
        <w:ind w:firstLine="420"/>
        <w:rPr>
          <w:rFonts w:ascii="Times New Roman" w:hAnsi="Times New Roman"/>
          <w:highlight w:val="none"/>
        </w:rPr>
      </w:pPr>
      <w:bookmarkStart w:id="208" w:name="_Toc27164"/>
      <w:bookmarkStart w:id="209" w:name="_Toc334002333"/>
      <w:bookmarkStart w:id="210" w:name="_Toc354387014"/>
      <w:bookmarkStart w:id="211" w:name="_Toc373264792"/>
      <w:bookmarkStart w:id="212" w:name="_Toc377067344"/>
      <w:bookmarkStart w:id="213" w:name="_Toc330569211"/>
      <w:bookmarkStart w:id="214" w:name="_Toc331232649"/>
      <w:bookmarkStart w:id="215" w:name="_Toc376114125"/>
      <w:bookmarkStart w:id="216" w:name="_Toc444155973"/>
      <w:bookmarkStart w:id="217" w:name="_Toc356243677"/>
      <w:bookmarkStart w:id="218" w:name="_Toc331232467"/>
      <w:bookmarkStart w:id="219" w:name="_Toc373172234"/>
      <w:bookmarkStart w:id="220" w:name="_Toc356484119"/>
      <w:bookmarkStart w:id="221" w:name="_Toc377115424"/>
      <w:bookmarkStart w:id="222" w:name="_Toc332015984"/>
      <w:bookmarkStart w:id="223" w:name="_Toc332028970"/>
      <w:bookmarkStart w:id="224" w:name="_Toc332380970"/>
      <w:bookmarkStart w:id="225" w:name="_Toc407195384"/>
      <w:bookmarkStart w:id="226" w:name="_Toc440022832"/>
      <w:r>
        <w:rPr>
          <w:rFonts w:hint="eastAsia" w:ascii="Times New Roman" w:hAnsi="Times New Roman"/>
          <w:highlight w:val="none"/>
        </w:rPr>
        <w:t>3.1.1 评审委员会依据本章第2.1 条规定的标准对参选文件进行初步评审。有一项不符合评审标准的，作否决参选处理。</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1BA15A5D">
      <w:pPr>
        <w:ind w:firstLine="420"/>
        <w:rPr>
          <w:rFonts w:ascii="Times New Roman" w:hAnsi="Times New Roman"/>
          <w:highlight w:val="none"/>
        </w:rPr>
      </w:pPr>
      <w:r>
        <w:rPr>
          <w:rFonts w:hint="eastAsia" w:ascii="Times New Roman" w:hAnsi="Times New Roman"/>
          <w:highlight w:val="none"/>
        </w:rPr>
        <w:t>3.1.2 参选人有以下情形之一的，其参选作否决参选处理：</w:t>
      </w:r>
    </w:p>
    <w:p w14:paraId="3DF1C481">
      <w:pPr>
        <w:ind w:left="420"/>
        <w:rPr>
          <w:rFonts w:ascii="Times New Roman" w:hAnsi="Times New Roman"/>
          <w:highlight w:val="none"/>
        </w:rPr>
      </w:pPr>
      <w:r>
        <w:rPr>
          <w:rFonts w:hint="eastAsia" w:ascii="Times New Roman" w:hAnsi="Times New Roman"/>
          <w:highlight w:val="none"/>
        </w:rPr>
        <w:t>3.1.2.1 有第二章“参选人须知”第9.条以及第11. 条规定的任何一种情形的；</w:t>
      </w:r>
    </w:p>
    <w:p w14:paraId="7F1DB7E9">
      <w:pPr>
        <w:ind w:firstLine="420"/>
        <w:rPr>
          <w:rFonts w:ascii="Times New Roman" w:hAnsi="Times New Roman"/>
          <w:highlight w:val="none"/>
        </w:rPr>
      </w:pPr>
      <w:r>
        <w:rPr>
          <w:rFonts w:hint="eastAsia" w:ascii="Times New Roman" w:hAnsi="Times New Roman"/>
          <w:highlight w:val="none"/>
        </w:rPr>
        <w:t>3.1.2.2 有串通参选、弄虚作假等其他违反相关法律、法规行为的；</w:t>
      </w:r>
    </w:p>
    <w:p w14:paraId="3B554C73">
      <w:pPr>
        <w:ind w:firstLine="420"/>
        <w:rPr>
          <w:rFonts w:ascii="Times New Roman" w:hAnsi="Times New Roman"/>
          <w:highlight w:val="none"/>
        </w:rPr>
      </w:pPr>
      <w:r>
        <w:rPr>
          <w:rFonts w:hint="eastAsia" w:ascii="Times New Roman" w:hAnsi="Times New Roman"/>
          <w:highlight w:val="none"/>
        </w:rPr>
        <w:t>3.1.2.3 不按评审委员会要求澄清、说明或补正的。</w:t>
      </w:r>
    </w:p>
    <w:p w14:paraId="27D54B5C">
      <w:pPr>
        <w:ind w:firstLine="420"/>
        <w:rPr>
          <w:rFonts w:ascii="Times New Roman" w:hAnsi="Times New Roman"/>
          <w:highlight w:val="none"/>
        </w:rPr>
      </w:pPr>
      <w:r>
        <w:rPr>
          <w:rFonts w:hint="eastAsia" w:ascii="Times New Roman" w:hAnsi="Times New Roman"/>
          <w:highlight w:val="none"/>
        </w:rPr>
        <w:t>3.1.2.4 本参选文件约定的其它情形。</w:t>
      </w:r>
    </w:p>
    <w:p w14:paraId="35C43AFD">
      <w:pPr>
        <w:ind w:firstLine="420"/>
        <w:rPr>
          <w:rFonts w:ascii="Times New Roman" w:hAnsi="Times New Roman"/>
          <w:highlight w:val="none"/>
        </w:rPr>
      </w:pPr>
      <w:r>
        <w:rPr>
          <w:rFonts w:hint="eastAsia" w:ascii="Times New Roman" w:hAnsi="Times New Roman"/>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highlight w:val="none"/>
        </w:rPr>
        <w:t>第二章“</w:t>
      </w:r>
      <w:r>
        <w:rPr>
          <w:rFonts w:hint="eastAsia" w:ascii="Times New Roman" w:hAnsi="Times New Roman"/>
          <w:highlight w:val="none"/>
        </w:rPr>
        <w:t>参选人</w:t>
      </w:r>
      <w:r>
        <w:rPr>
          <w:rFonts w:ascii="Times New Roman" w:hAnsi="Times New Roman"/>
          <w:highlight w:val="none"/>
        </w:rPr>
        <w:t>须知”第</w:t>
      </w:r>
      <w:r>
        <w:rPr>
          <w:rFonts w:hint="eastAsia" w:ascii="Times New Roman" w:hAnsi="Times New Roman"/>
          <w:highlight w:val="none"/>
        </w:rPr>
        <w:t>4.8 条。</w:t>
      </w:r>
    </w:p>
    <w:p w14:paraId="57FA00AF">
      <w:pPr>
        <w:pStyle w:val="5"/>
        <w:rPr>
          <w:rFonts w:ascii="Times New Roman" w:hAnsi="Times New Roman"/>
          <w:highlight w:val="none"/>
        </w:rPr>
      </w:pPr>
      <w:bookmarkStart w:id="227" w:name="_Toc277082624"/>
      <w:bookmarkStart w:id="228" w:name="_Toc444155974"/>
      <w:bookmarkStart w:id="229" w:name="_Toc407195385"/>
      <w:bookmarkStart w:id="230" w:name="_Toc330569212"/>
      <w:bookmarkStart w:id="231" w:name="_Toc287620757"/>
      <w:bookmarkStart w:id="232" w:name="_Toc200513204"/>
      <w:bookmarkStart w:id="233" w:name="_Toc440022833"/>
      <w:bookmarkStart w:id="234" w:name="_Toc224103390"/>
      <w:bookmarkStart w:id="235" w:name="_Toc7832"/>
      <w:bookmarkStart w:id="236" w:name="_Toc287607818"/>
      <w:bookmarkStart w:id="237" w:name="_Toc11246"/>
      <w:bookmarkStart w:id="238" w:name="_Toc377067345"/>
      <w:bookmarkStart w:id="239" w:name="_Toc377115425"/>
      <w:bookmarkStart w:id="240" w:name="_Toc22848"/>
      <w:bookmarkStart w:id="241" w:name="_Toc376114126"/>
      <w:bookmarkStart w:id="242" w:name="_Toc29925"/>
      <w:bookmarkStart w:id="243" w:name="_Toc19604"/>
      <w:bookmarkStart w:id="244" w:name="_Toc10847"/>
      <w:bookmarkStart w:id="245" w:name="_Toc22246"/>
      <w:r>
        <w:rPr>
          <w:rFonts w:hint="eastAsia" w:ascii="Times New Roman" w:hAnsi="Times New Roman"/>
          <w:highlight w:val="none"/>
        </w:rPr>
        <w:t>3.2 详细评审</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2D846D6">
      <w:pPr>
        <w:ind w:firstLine="420"/>
        <w:rPr>
          <w:rFonts w:ascii="Times New Roman" w:hAnsi="Times New Roman"/>
          <w:highlight w:val="none"/>
        </w:rPr>
      </w:pPr>
      <w:r>
        <w:rPr>
          <w:rFonts w:hint="eastAsia" w:ascii="Times New Roman" w:hAnsi="Times New Roman"/>
          <w:highlight w:val="none"/>
        </w:rPr>
        <w:t>3.2.1 评审委员会按本章第2.2 条规定的量化因素和分值进行打分，并计算出综合评估得分。</w:t>
      </w:r>
    </w:p>
    <w:p w14:paraId="4C6B42AA">
      <w:pPr>
        <w:ind w:firstLine="420"/>
        <w:rPr>
          <w:rFonts w:ascii="Times New Roman" w:hAnsi="Times New Roman"/>
          <w:highlight w:val="none"/>
        </w:rPr>
      </w:pPr>
      <w:r>
        <w:rPr>
          <w:rFonts w:hint="eastAsia" w:ascii="Times New Roman" w:hAnsi="Times New Roman"/>
          <w:highlight w:val="none"/>
        </w:rPr>
        <w:t>3.2.1.1 按本章第2.2 条规定的评审因素和分值对参选报价计算出得分；</w:t>
      </w:r>
    </w:p>
    <w:p w14:paraId="7BCB8B66">
      <w:pPr>
        <w:ind w:firstLine="420"/>
        <w:rPr>
          <w:rFonts w:ascii="Times New Roman" w:hAnsi="Times New Roman"/>
          <w:highlight w:val="none"/>
        </w:rPr>
      </w:pPr>
      <w:r>
        <w:rPr>
          <w:rFonts w:hint="eastAsia" w:ascii="Times New Roman" w:hAnsi="Times New Roman"/>
          <w:highlight w:val="none"/>
        </w:rPr>
        <w:t>3.2.1.2 按本章第2.2 条规定的评审因素和分值对商务部分计算出得分（评审委员会统一打分）；</w:t>
      </w:r>
    </w:p>
    <w:p w14:paraId="3EB63B34">
      <w:pPr>
        <w:ind w:firstLine="420"/>
        <w:rPr>
          <w:rFonts w:ascii="Times New Roman" w:hAnsi="Times New Roman"/>
          <w:highlight w:val="none"/>
        </w:rPr>
      </w:pPr>
      <w:r>
        <w:rPr>
          <w:rFonts w:hint="eastAsia" w:ascii="Times New Roman" w:hAnsi="Times New Roman"/>
          <w:highlight w:val="none"/>
        </w:rPr>
        <w:t>3.2.2 评分分值计算保留小数点后两位，小数点后第三位“四舍五入”。</w:t>
      </w:r>
    </w:p>
    <w:p w14:paraId="21C50D11">
      <w:pPr>
        <w:ind w:firstLine="420"/>
        <w:rPr>
          <w:rFonts w:ascii="Times New Roman" w:hAnsi="Times New Roman"/>
          <w:highlight w:val="none"/>
        </w:rPr>
      </w:pPr>
      <w:r>
        <w:rPr>
          <w:rFonts w:hint="eastAsia" w:ascii="Times New Roman" w:hAnsi="Times New Roman"/>
          <w:highlight w:val="none"/>
        </w:rPr>
        <w:t>3.2.3 参选人得分=参选报价得分+商务部分得分。</w:t>
      </w:r>
    </w:p>
    <w:p w14:paraId="6EC57A67">
      <w:pPr>
        <w:pStyle w:val="5"/>
        <w:rPr>
          <w:rFonts w:ascii="Times New Roman" w:hAnsi="Times New Roman"/>
          <w:highlight w:val="none"/>
        </w:rPr>
      </w:pPr>
      <w:bookmarkStart w:id="246" w:name="_Toc200513205"/>
      <w:bookmarkStart w:id="247" w:name="_Toc277082625"/>
      <w:bookmarkStart w:id="248" w:name="_Toc20948"/>
      <w:bookmarkStart w:id="249" w:name="_Toc407195386"/>
      <w:bookmarkStart w:id="250" w:name="_Toc377067346"/>
      <w:bookmarkStart w:id="251" w:name="_Toc32039"/>
      <w:bookmarkStart w:id="252" w:name="_Toc18708"/>
      <w:bookmarkStart w:id="253" w:name="_Toc376114127"/>
      <w:bookmarkStart w:id="254" w:name="_Toc1080"/>
      <w:bookmarkStart w:id="255" w:name="_Toc444155975"/>
      <w:bookmarkStart w:id="256" w:name="_Toc287620758"/>
      <w:bookmarkStart w:id="257" w:name="_Toc29261"/>
      <w:bookmarkStart w:id="258" w:name="_Toc2542"/>
      <w:bookmarkStart w:id="259" w:name="_Toc377115426"/>
      <w:bookmarkStart w:id="260" w:name="_Toc440022834"/>
      <w:bookmarkStart w:id="261" w:name="_Toc287607819"/>
      <w:bookmarkStart w:id="262" w:name="_Toc330569213"/>
      <w:bookmarkStart w:id="263" w:name="_Toc7176"/>
      <w:bookmarkStart w:id="264" w:name="_Toc224103391"/>
      <w:r>
        <w:rPr>
          <w:rFonts w:hint="eastAsia" w:ascii="Times New Roman" w:hAnsi="Times New Roman"/>
          <w:highlight w:val="none"/>
        </w:rPr>
        <w:t>3.3 参选文件的澄清和补正</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ED0AC1B">
      <w:pPr>
        <w:ind w:firstLine="420"/>
        <w:rPr>
          <w:rFonts w:ascii="Times New Roman" w:hAnsi="Times New Roman"/>
          <w:highlight w:val="none"/>
        </w:rPr>
      </w:pPr>
      <w:r>
        <w:rPr>
          <w:rFonts w:hint="eastAsia" w:ascii="Times New Roman" w:hAnsi="Times New Roman"/>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2D05BD7E">
      <w:pPr>
        <w:ind w:firstLine="420"/>
        <w:rPr>
          <w:rFonts w:ascii="Times New Roman" w:hAnsi="Times New Roman"/>
          <w:highlight w:val="none"/>
        </w:rPr>
      </w:pPr>
      <w:r>
        <w:rPr>
          <w:rFonts w:hint="eastAsia" w:ascii="Times New Roman" w:hAnsi="Times New Roman"/>
          <w:highlight w:val="none"/>
        </w:rPr>
        <w:t>3.3.2 澄清、说明和补正不得改变参选文件的实质性内容（算术性错误修正的除外）。参选人的书面澄清、说明和补正属于参选文件的组成部分。</w:t>
      </w:r>
    </w:p>
    <w:p w14:paraId="68A3B726">
      <w:pPr>
        <w:ind w:firstLine="420"/>
        <w:rPr>
          <w:rFonts w:ascii="Times New Roman" w:hAnsi="Times New Roman"/>
          <w:highlight w:val="none"/>
        </w:rPr>
      </w:pPr>
      <w:r>
        <w:rPr>
          <w:rFonts w:hint="eastAsia" w:ascii="Times New Roman" w:hAnsi="Times New Roman"/>
          <w:highlight w:val="none"/>
        </w:rPr>
        <w:t>3.3.3 评审委员会对参选人提交的澄清、说明或补正有疑问的，可以要求参选人进一步澄清、说明或补正，直至满足评审委员会的要求。</w:t>
      </w:r>
    </w:p>
    <w:p w14:paraId="1DFA97C3">
      <w:pPr>
        <w:pStyle w:val="5"/>
        <w:rPr>
          <w:rFonts w:ascii="Times New Roman" w:hAnsi="Times New Roman"/>
          <w:highlight w:val="none"/>
        </w:rPr>
      </w:pPr>
      <w:bookmarkStart w:id="265" w:name="_Toc30672"/>
      <w:bookmarkStart w:id="266" w:name="_Toc4814"/>
      <w:bookmarkStart w:id="267" w:name="_Toc407195387"/>
      <w:bookmarkStart w:id="268" w:name="_Toc6310"/>
      <w:bookmarkStart w:id="269" w:name="_Toc21450"/>
      <w:bookmarkStart w:id="270" w:name="_Toc287620759"/>
      <w:bookmarkStart w:id="271" w:name="_Toc376114128"/>
      <w:bookmarkStart w:id="272" w:name="_Toc287607820"/>
      <w:bookmarkStart w:id="273" w:name="_Toc14840"/>
      <w:bookmarkStart w:id="274" w:name="_Toc200513206"/>
      <w:bookmarkStart w:id="275" w:name="_Toc277082626"/>
      <w:bookmarkStart w:id="276" w:name="_Toc224103392"/>
      <w:bookmarkStart w:id="277" w:name="_Toc19054"/>
      <w:bookmarkStart w:id="278" w:name="_Toc444155976"/>
      <w:bookmarkStart w:id="279" w:name="_Toc377067347"/>
      <w:bookmarkStart w:id="280" w:name="_Toc440022835"/>
      <w:bookmarkStart w:id="281" w:name="_Toc330569214"/>
      <w:bookmarkStart w:id="282" w:name="_Toc377115427"/>
      <w:bookmarkStart w:id="283" w:name="_Toc31270"/>
      <w:r>
        <w:rPr>
          <w:rFonts w:hint="eastAsia" w:ascii="Times New Roman" w:hAnsi="Times New Roman"/>
          <w:highlight w:val="none"/>
        </w:rPr>
        <w:t>3.4 评审结果</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7F52FD7">
      <w:pPr>
        <w:ind w:firstLine="420"/>
        <w:rPr>
          <w:rFonts w:ascii="Times New Roman" w:hAnsi="Times New Roman"/>
          <w:highlight w:val="none"/>
        </w:rPr>
      </w:pPr>
      <w:r>
        <w:rPr>
          <w:rFonts w:hint="eastAsia" w:ascii="Times New Roman" w:hAnsi="Times New Roman"/>
          <w:highlight w:val="none"/>
        </w:rPr>
        <w:t>3.4.1 评审委员会按照得分由高到低的顺序推荐中选候选人。</w:t>
      </w:r>
    </w:p>
    <w:p w14:paraId="25738EC1">
      <w:pPr>
        <w:ind w:firstLine="420"/>
        <w:rPr>
          <w:rFonts w:ascii="Times New Roman" w:hAnsi="Times New Roman"/>
          <w:highlight w:val="none"/>
        </w:rPr>
      </w:pPr>
      <w:r>
        <w:rPr>
          <w:rFonts w:hint="eastAsia" w:ascii="Times New Roman" w:hAnsi="Times New Roman"/>
          <w:highlight w:val="none"/>
        </w:rPr>
        <w:t>3.4.2 评审委员会完成评审后，应当向比选人提交书面评审报告。</w:t>
      </w:r>
    </w:p>
    <w:p w14:paraId="4E6BBDE5">
      <w:pPr>
        <w:ind w:firstLine="420"/>
        <w:rPr>
          <w:rFonts w:ascii="Times New Roman" w:hAnsi="Times New Roman"/>
          <w:highlight w:val="none"/>
        </w:rPr>
      </w:pPr>
      <w:r>
        <w:rPr>
          <w:rFonts w:hint="eastAsia" w:ascii="Times New Roman" w:hAnsi="Times New Roman"/>
          <w:highlight w:val="none"/>
        </w:rPr>
        <w:t>3.4.3 有效参选不足两个的，经评审委员会判定，参选人具有相对行业竞争力的，可继续进行评审。</w:t>
      </w:r>
    </w:p>
    <w:p w14:paraId="753B2082">
      <w:pPr>
        <w:pStyle w:val="5"/>
        <w:rPr>
          <w:rFonts w:ascii="Times New Roman" w:hAnsi="Times New Roman"/>
          <w:highlight w:val="none"/>
        </w:rPr>
      </w:pPr>
      <w:r>
        <w:rPr>
          <w:rFonts w:hint="eastAsia" w:ascii="Times New Roman" w:hAnsi="Times New Roman"/>
          <w:highlight w:val="none"/>
        </w:rPr>
        <w:t>3.5 对评审委员会成员的纪律要求</w:t>
      </w:r>
    </w:p>
    <w:p w14:paraId="1B168604">
      <w:pPr>
        <w:ind w:firstLine="420"/>
        <w:rPr>
          <w:rFonts w:ascii="Times New Roman" w:hAnsi="Times New Roman"/>
          <w:highlight w:val="none"/>
        </w:rPr>
      </w:pPr>
      <w:r>
        <w:rPr>
          <w:rFonts w:hint="eastAsia" w:ascii="Times New Roman" w:hAnsi="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39D45986">
      <w:pPr>
        <w:pStyle w:val="5"/>
        <w:rPr>
          <w:rFonts w:ascii="Times New Roman" w:hAnsi="Times New Roman"/>
          <w:highlight w:val="none"/>
        </w:rPr>
      </w:pPr>
      <w:r>
        <w:rPr>
          <w:rFonts w:hint="eastAsia" w:ascii="Times New Roman" w:hAnsi="Times New Roman"/>
          <w:highlight w:val="none"/>
        </w:rPr>
        <w:t>3.6 对与评审活动有关的工作人员的纪律要求</w:t>
      </w:r>
    </w:p>
    <w:p w14:paraId="0D7F913E">
      <w:pPr>
        <w:ind w:firstLine="420"/>
        <w:rPr>
          <w:rFonts w:ascii="Times New Roman" w:hAnsi="Times New Roman"/>
          <w:highlight w:val="none"/>
        </w:rPr>
      </w:pPr>
      <w:r>
        <w:rPr>
          <w:rFonts w:hint="eastAsia" w:ascii="Times New Roman" w:hAnsi="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476A54B4">
      <w:pPr>
        <w:rPr>
          <w:rFonts w:ascii="Times New Roman" w:hAnsi="Times New Roman"/>
          <w:highlight w:val="none"/>
        </w:rPr>
      </w:pPr>
    </w:p>
    <w:p w14:paraId="3B2F693E">
      <w:pPr>
        <w:rPr>
          <w:rFonts w:ascii="Times New Roman" w:hAnsi="Times New Roman"/>
          <w:highlight w:val="none"/>
        </w:rPr>
      </w:pPr>
      <w:bookmarkStart w:id="284" w:name="_Toc150953074"/>
      <w:bookmarkStart w:id="285" w:name="_Toc89675170"/>
      <w:bookmarkStart w:id="286" w:name="_Toc303066034"/>
      <w:r>
        <w:rPr>
          <w:rFonts w:hint="eastAsia" w:ascii="Times New Roman" w:hAnsi="Times New Roman"/>
          <w:highlight w:val="none"/>
        </w:rPr>
        <w:br w:type="page"/>
      </w:r>
    </w:p>
    <w:p w14:paraId="02CD5E9E">
      <w:pPr>
        <w:pStyle w:val="3"/>
        <w:rPr>
          <w:rFonts w:ascii="Times New Roman" w:hAnsi="Times New Roman"/>
          <w:highlight w:val="none"/>
        </w:rPr>
      </w:pPr>
      <w:bookmarkStart w:id="287" w:name="_Toc6341"/>
      <w:bookmarkStart w:id="288" w:name="_Toc738866542"/>
      <w:bookmarkStart w:id="289" w:name="_Toc1988490530"/>
      <w:bookmarkStart w:id="290" w:name="_Toc70870690"/>
      <w:r>
        <w:rPr>
          <w:rFonts w:hint="eastAsia" w:ascii="Times New Roman" w:hAnsi="Times New Roman"/>
          <w:highlight w:val="none"/>
        </w:rPr>
        <w:t>第五章 合同</w:t>
      </w:r>
      <w:r>
        <w:rPr>
          <w:rFonts w:ascii="Times New Roman" w:hAnsi="Times New Roman"/>
          <w:highlight w:val="none"/>
        </w:rPr>
        <w:t>模板</w:t>
      </w:r>
      <w:bookmarkEnd w:id="284"/>
      <w:bookmarkEnd w:id="287"/>
      <w:bookmarkEnd w:id="288"/>
      <w:bookmarkEnd w:id="289"/>
      <w:bookmarkEnd w:id="290"/>
    </w:p>
    <w:p w14:paraId="75972990">
      <w:pPr>
        <w:ind w:firstLine="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1CE136C5">
      <w:pPr>
        <w:spacing w:line="360" w:lineRule="auto"/>
        <w:jc w:val="right"/>
        <w:rPr>
          <w:rStyle w:val="26"/>
          <w:rFonts w:ascii="宋体" w:eastAsia="宋体"/>
          <w:b w:val="0"/>
          <w:bCs/>
          <w:spacing w:val="0"/>
          <w:sz w:val="28"/>
          <w:szCs w:val="28"/>
          <w:highlight w:val="none"/>
        </w:rPr>
      </w:pPr>
      <w:r>
        <w:rPr>
          <w:rFonts w:ascii="Times New Roman" w:hAnsi="Times New Roman"/>
          <w:highlight w:val="none"/>
        </w:rPr>
        <w:br w:type="page"/>
      </w:r>
      <w:r>
        <w:rPr>
          <w:rStyle w:val="26"/>
          <w:rFonts w:hint="eastAsia" w:ascii="宋体" w:eastAsia="宋体"/>
          <w:b w:val="0"/>
          <w:bCs/>
          <w:spacing w:val="0"/>
          <w:sz w:val="28"/>
          <w:szCs w:val="28"/>
          <w:highlight w:val="none"/>
        </w:rPr>
        <w:t>编号：SXYH20220101018_</w:t>
      </w:r>
      <w:r>
        <w:rPr>
          <w:rStyle w:val="26"/>
          <w:rFonts w:ascii="宋体" w:eastAsia="宋体"/>
          <w:b w:val="0"/>
          <w:bCs/>
          <w:spacing w:val="0"/>
          <w:sz w:val="28"/>
          <w:szCs w:val="28"/>
          <w:highlight w:val="none"/>
        </w:rPr>
        <w:t>__</w:t>
      </w:r>
    </w:p>
    <w:p w14:paraId="1E40B52D">
      <w:pPr>
        <w:spacing w:line="360" w:lineRule="auto"/>
        <w:jc w:val="center"/>
        <w:rPr>
          <w:rStyle w:val="26"/>
          <w:b/>
          <w:bCs/>
          <w:spacing w:val="0"/>
          <w:szCs w:val="21"/>
          <w:highlight w:val="none"/>
        </w:rPr>
      </w:pPr>
    </w:p>
    <w:p w14:paraId="452BCCB3">
      <w:pPr>
        <w:spacing w:line="360" w:lineRule="auto"/>
        <w:jc w:val="center"/>
        <w:rPr>
          <w:rStyle w:val="26"/>
          <w:b/>
          <w:bCs/>
          <w:spacing w:val="0"/>
          <w:szCs w:val="21"/>
          <w:highlight w:val="none"/>
        </w:rPr>
      </w:pPr>
    </w:p>
    <w:p w14:paraId="46DD8C30">
      <w:pPr>
        <w:spacing w:line="360" w:lineRule="auto"/>
        <w:jc w:val="center"/>
        <w:rPr>
          <w:rStyle w:val="26"/>
          <w:b/>
          <w:bCs/>
          <w:spacing w:val="0"/>
          <w:szCs w:val="21"/>
          <w:highlight w:val="none"/>
        </w:rPr>
      </w:pPr>
    </w:p>
    <w:p w14:paraId="39729912">
      <w:pPr>
        <w:spacing w:line="360" w:lineRule="auto"/>
        <w:jc w:val="center"/>
        <w:rPr>
          <w:rStyle w:val="26"/>
          <w:b/>
          <w:bCs/>
          <w:spacing w:val="0"/>
          <w:szCs w:val="21"/>
          <w:highlight w:val="none"/>
        </w:rPr>
      </w:pPr>
    </w:p>
    <w:p w14:paraId="1E22747F">
      <w:pPr>
        <w:spacing w:line="360" w:lineRule="auto"/>
        <w:jc w:val="center"/>
        <w:rPr>
          <w:rStyle w:val="26"/>
          <w:rFonts w:ascii="宋体" w:eastAsia="宋体"/>
          <w:b/>
          <w:bCs/>
          <w:spacing w:val="0"/>
          <w:sz w:val="52"/>
          <w:szCs w:val="52"/>
          <w:highlight w:val="none"/>
        </w:rPr>
      </w:pPr>
      <w:r>
        <w:rPr>
          <w:rStyle w:val="26"/>
          <w:rFonts w:hint="eastAsia" w:ascii="宋体" w:eastAsia="宋体"/>
          <w:b/>
          <w:bCs/>
          <w:spacing w:val="0"/>
          <w:sz w:val="52"/>
          <w:szCs w:val="52"/>
          <w:highlight w:val="none"/>
        </w:rPr>
        <w:t>重庆三峡银行</w:t>
      </w:r>
    </w:p>
    <w:p w14:paraId="1F180241">
      <w:pPr>
        <w:spacing w:line="360" w:lineRule="auto"/>
        <w:jc w:val="center"/>
        <w:rPr>
          <w:rStyle w:val="26"/>
          <w:rFonts w:ascii="宋体" w:eastAsia="宋体"/>
          <w:b/>
          <w:bCs/>
          <w:spacing w:val="0"/>
          <w:sz w:val="52"/>
          <w:szCs w:val="52"/>
          <w:highlight w:val="none"/>
        </w:rPr>
      </w:pPr>
      <w:r>
        <w:rPr>
          <w:rStyle w:val="26"/>
          <w:rFonts w:ascii="宋体" w:eastAsia="宋体"/>
          <w:b/>
          <w:bCs/>
          <w:spacing w:val="0"/>
          <w:sz w:val="52"/>
          <w:szCs w:val="52"/>
          <w:highlight w:val="none"/>
        </w:rPr>
        <w:t>绿色金融管理系统</w:t>
      </w:r>
      <w:r>
        <w:rPr>
          <w:rStyle w:val="26"/>
          <w:rFonts w:hint="eastAsia" w:ascii="宋体" w:eastAsia="宋体"/>
          <w:b/>
          <w:bCs/>
          <w:spacing w:val="0"/>
          <w:sz w:val="52"/>
          <w:szCs w:val="52"/>
          <w:highlight w:val="none"/>
        </w:rPr>
        <w:t>项目合同</w:t>
      </w:r>
    </w:p>
    <w:p w14:paraId="17E83E8C">
      <w:pPr>
        <w:spacing w:line="360" w:lineRule="auto"/>
        <w:jc w:val="center"/>
        <w:rPr>
          <w:rStyle w:val="26"/>
          <w:b/>
          <w:bCs/>
          <w:spacing w:val="0"/>
          <w:szCs w:val="21"/>
          <w:highlight w:val="none"/>
        </w:rPr>
      </w:pPr>
    </w:p>
    <w:p w14:paraId="2E3C0F4A">
      <w:pPr>
        <w:spacing w:line="360" w:lineRule="auto"/>
        <w:jc w:val="center"/>
        <w:rPr>
          <w:rStyle w:val="26"/>
          <w:b/>
          <w:bCs/>
          <w:spacing w:val="0"/>
          <w:szCs w:val="21"/>
          <w:highlight w:val="none"/>
        </w:rPr>
      </w:pPr>
    </w:p>
    <w:p w14:paraId="2166E3C8">
      <w:pPr>
        <w:spacing w:line="360" w:lineRule="auto"/>
        <w:jc w:val="center"/>
        <w:rPr>
          <w:b/>
          <w:bCs/>
          <w:spacing w:val="0"/>
          <w:highlight w:val="none"/>
        </w:rPr>
      </w:pPr>
    </w:p>
    <w:p w14:paraId="18C31135">
      <w:pPr>
        <w:spacing w:line="360" w:lineRule="auto"/>
        <w:jc w:val="center"/>
        <w:rPr>
          <w:b/>
          <w:bCs/>
          <w:spacing w:val="0"/>
          <w:highlight w:val="none"/>
        </w:rPr>
      </w:pPr>
    </w:p>
    <w:p w14:paraId="7FC981A1">
      <w:pPr>
        <w:spacing w:line="360" w:lineRule="auto"/>
        <w:jc w:val="center"/>
        <w:rPr>
          <w:b/>
          <w:bCs/>
          <w:spacing w:val="0"/>
          <w:highlight w:val="none"/>
        </w:rPr>
      </w:pPr>
    </w:p>
    <w:p w14:paraId="3B07A456">
      <w:pPr>
        <w:spacing w:line="360" w:lineRule="auto"/>
        <w:rPr>
          <w:b/>
          <w:bCs/>
          <w:spacing w:val="0"/>
          <w:highlight w:val="none"/>
        </w:rPr>
      </w:pPr>
    </w:p>
    <w:p w14:paraId="05766B5B">
      <w:pPr>
        <w:spacing w:line="360" w:lineRule="auto"/>
        <w:jc w:val="center"/>
        <w:rPr>
          <w:b/>
          <w:bCs/>
          <w:spacing w:val="0"/>
          <w:highlight w:val="none"/>
        </w:rPr>
      </w:pPr>
    </w:p>
    <w:p w14:paraId="43763CC0">
      <w:pPr>
        <w:spacing w:line="360" w:lineRule="auto"/>
        <w:jc w:val="center"/>
        <w:rPr>
          <w:b/>
          <w:bCs/>
          <w:spacing w:val="0"/>
          <w:highlight w:val="none"/>
        </w:rPr>
      </w:pPr>
    </w:p>
    <w:p w14:paraId="7EC91D6C">
      <w:pPr>
        <w:spacing w:line="360" w:lineRule="auto"/>
        <w:jc w:val="center"/>
        <w:rPr>
          <w:b/>
          <w:bCs/>
          <w:spacing w:val="0"/>
          <w:highlight w:val="none"/>
        </w:rPr>
      </w:pPr>
    </w:p>
    <w:p w14:paraId="04BE1916">
      <w:pPr>
        <w:spacing w:line="360" w:lineRule="auto"/>
        <w:ind w:left="840" w:firstLine="420"/>
        <w:rPr>
          <w:rFonts w:ascii="宋体" w:eastAsia="宋体"/>
          <w:b/>
          <w:bCs/>
          <w:spacing w:val="0"/>
          <w:sz w:val="28"/>
          <w:highlight w:val="none"/>
        </w:rPr>
      </w:pPr>
      <w:r>
        <w:rPr>
          <w:rFonts w:hint="eastAsia" w:ascii="宋体" w:eastAsia="宋体"/>
          <w:b/>
          <w:bCs/>
          <w:spacing w:val="0"/>
          <w:sz w:val="28"/>
          <w:highlight w:val="none"/>
        </w:rPr>
        <w:t>委托方（甲方）：重庆三峡银行股份有限公司</w:t>
      </w:r>
    </w:p>
    <w:p w14:paraId="3CCC3563">
      <w:pPr>
        <w:tabs>
          <w:tab w:val="right" w:pos="8312"/>
        </w:tabs>
        <w:spacing w:line="360" w:lineRule="auto"/>
        <w:ind w:left="840" w:firstLine="420"/>
        <w:rPr>
          <w:rFonts w:ascii="宋体" w:eastAsia="宋体"/>
          <w:b/>
          <w:bCs/>
          <w:spacing w:val="0"/>
          <w:sz w:val="28"/>
          <w:highlight w:val="none"/>
        </w:rPr>
      </w:pPr>
      <w:r>
        <w:rPr>
          <w:rFonts w:hint="eastAsia" w:ascii="宋体" w:eastAsia="宋体"/>
          <w:b/>
          <w:bCs/>
          <w:spacing w:val="0"/>
          <w:sz w:val="28"/>
          <w:highlight w:val="none"/>
        </w:rPr>
        <w:t>受托方（乙方）：</w:t>
      </w:r>
      <w:r>
        <w:rPr>
          <w:rFonts w:ascii="宋体" w:eastAsia="宋体"/>
          <w:b/>
          <w:bCs/>
          <w:spacing w:val="0"/>
          <w:sz w:val="28"/>
          <w:highlight w:val="none"/>
        </w:rPr>
        <w:tab/>
      </w:r>
    </w:p>
    <w:p w14:paraId="527F1E93">
      <w:pPr>
        <w:spacing w:line="360" w:lineRule="auto"/>
        <w:ind w:left="840" w:firstLine="420"/>
        <w:rPr>
          <w:rFonts w:ascii="宋体" w:eastAsia="宋体"/>
          <w:b/>
          <w:spacing w:val="0"/>
          <w:highlight w:val="none"/>
        </w:rPr>
      </w:pPr>
      <w:r>
        <w:rPr>
          <w:rFonts w:hint="eastAsia" w:ascii="宋体" w:eastAsia="宋体"/>
          <w:b/>
          <w:bCs/>
          <w:spacing w:val="0"/>
          <w:sz w:val="28"/>
          <w:highlight w:val="none"/>
        </w:rPr>
        <w:t>签订地点</w:t>
      </w:r>
      <w:r>
        <w:rPr>
          <w:rFonts w:hint="eastAsia" w:ascii="宋体" w:eastAsia="宋体"/>
          <w:b/>
          <w:spacing w:val="0"/>
          <w:sz w:val="28"/>
          <w:highlight w:val="none"/>
        </w:rPr>
        <w:t>：重庆</w:t>
      </w:r>
    </w:p>
    <w:p w14:paraId="277C0212">
      <w:pPr>
        <w:spacing w:line="360" w:lineRule="auto"/>
        <w:rPr>
          <w:b/>
          <w:spacing w:val="0"/>
          <w:sz w:val="32"/>
          <w:highlight w:val="none"/>
        </w:rPr>
      </w:pPr>
    </w:p>
    <w:p w14:paraId="62871CEC">
      <w:pPr>
        <w:spacing w:line="360" w:lineRule="auto"/>
        <w:jc w:val="center"/>
        <w:rPr>
          <w:rFonts w:ascii="宋体" w:eastAsia="宋体"/>
          <w:b/>
          <w:spacing w:val="0"/>
          <w:sz w:val="32"/>
          <w:szCs w:val="32"/>
          <w:highlight w:val="none"/>
        </w:rPr>
      </w:pPr>
      <w:r>
        <w:rPr>
          <w:spacing w:val="0"/>
          <w:highlight w:val="none"/>
        </w:rPr>
        <w:br w:type="page"/>
      </w:r>
      <w:r>
        <w:rPr>
          <w:rFonts w:hint="eastAsia" w:ascii="宋体" w:eastAsia="宋体"/>
          <w:b/>
          <w:spacing w:val="0"/>
          <w:sz w:val="32"/>
          <w:szCs w:val="32"/>
          <w:highlight w:val="none"/>
        </w:rPr>
        <w:t>目录</w:t>
      </w:r>
    </w:p>
    <w:p w14:paraId="45438C9F">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"_Toc63757457"</w:instrText>
      </w:r>
      <w:r>
        <w:rPr>
          <w:rFonts w:hint="eastAsia" w:ascii="宋体"/>
          <w:b/>
          <w:highlight w:val="none"/>
        </w:rPr>
        <w:fldChar w:fldCharType="separate"/>
      </w:r>
      <w:r>
        <w:rPr>
          <w:rFonts w:hint="eastAsia" w:ascii="宋体"/>
          <w:b/>
          <w:highlight w:val="none"/>
        </w:rPr>
        <w:t>第一条  定义</w:t>
      </w:r>
      <w:r>
        <w:rPr>
          <w:rFonts w:hint="eastAsia" w:ascii="宋体"/>
          <w:b/>
          <w:highlight w:val="none"/>
        </w:rPr>
        <w:fldChar w:fldCharType="end"/>
      </w:r>
    </w:p>
    <w:p w14:paraId="4E58B684">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"_Toc63757458"</w:instrText>
      </w:r>
      <w:r>
        <w:rPr>
          <w:rFonts w:hint="eastAsia" w:ascii="宋体"/>
          <w:b/>
          <w:highlight w:val="none"/>
        </w:rPr>
        <w:fldChar w:fldCharType="separate"/>
      </w:r>
      <w:r>
        <w:rPr>
          <w:rFonts w:hint="eastAsia" w:ascii="宋体"/>
          <w:b/>
          <w:highlight w:val="none"/>
        </w:rPr>
        <w:t>第二条  外包开发内容</w:t>
      </w:r>
      <w:r>
        <w:rPr>
          <w:rFonts w:hint="eastAsia" w:ascii="宋体"/>
          <w:b/>
          <w:highlight w:val="none"/>
        </w:rPr>
        <w:fldChar w:fldCharType="end"/>
      </w:r>
    </w:p>
    <w:p w14:paraId="304AB844">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"_Toc63757459"</w:instrText>
      </w:r>
      <w:r>
        <w:rPr>
          <w:rFonts w:hint="eastAsia" w:ascii="宋体"/>
          <w:b/>
          <w:highlight w:val="none"/>
        </w:rPr>
        <w:fldChar w:fldCharType="separate"/>
      </w:r>
      <w:r>
        <w:rPr>
          <w:rFonts w:hint="eastAsia" w:ascii="宋体"/>
          <w:b/>
          <w:highlight w:val="none"/>
        </w:rPr>
        <w:t>第三条  项目履行的进度、期限、地点、地域、方式</w:t>
      </w:r>
      <w:r>
        <w:rPr>
          <w:rFonts w:hint="eastAsia" w:ascii="宋体"/>
          <w:b/>
          <w:highlight w:val="none"/>
        </w:rPr>
        <w:fldChar w:fldCharType="end"/>
      </w:r>
    </w:p>
    <w:p w14:paraId="38B167C7">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"_Toc63757460"</w:instrText>
      </w:r>
      <w:r>
        <w:rPr>
          <w:rFonts w:hint="eastAsia" w:ascii="宋体"/>
          <w:b/>
          <w:highlight w:val="none"/>
        </w:rPr>
        <w:fldChar w:fldCharType="separate"/>
      </w:r>
      <w:r>
        <w:rPr>
          <w:rFonts w:hint="eastAsia" w:ascii="宋体"/>
          <w:b/>
          <w:highlight w:val="none"/>
        </w:rPr>
        <w:t>第四条  方案调整</w:t>
      </w:r>
      <w:r>
        <w:rPr>
          <w:rFonts w:hint="eastAsia" w:ascii="宋体"/>
          <w:b/>
          <w:highlight w:val="none"/>
        </w:rPr>
        <w:fldChar w:fldCharType="end"/>
      </w:r>
    </w:p>
    <w:p w14:paraId="67635D04">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"_Toc63757461"</w:instrText>
      </w:r>
      <w:r>
        <w:rPr>
          <w:rFonts w:hint="eastAsia" w:ascii="宋体"/>
          <w:b/>
          <w:highlight w:val="none"/>
        </w:rPr>
        <w:fldChar w:fldCharType="separate"/>
      </w:r>
      <w:r>
        <w:rPr>
          <w:rFonts w:hint="eastAsia" w:ascii="宋体"/>
          <w:b/>
          <w:highlight w:val="none"/>
        </w:rPr>
        <w:t>第五条  项目验收</w:t>
      </w:r>
      <w:r>
        <w:rPr>
          <w:rFonts w:hint="eastAsia" w:ascii="宋体"/>
          <w:b/>
          <w:highlight w:val="none"/>
        </w:rPr>
        <w:fldChar w:fldCharType="end"/>
      </w:r>
    </w:p>
    <w:p w14:paraId="08987DAD">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"_Toc63757462"</w:instrText>
      </w:r>
      <w:r>
        <w:rPr>
          <w:rFonts w:hint="eastAsia" w:ascii="宋体"/>
          <w:b/>
          <w:highlight w:val="none"/>
        </w:rPr>
        <w:fldChar w:fldCharType="separate"/>
      </w:r>
      <w:r>
        <w:rPr>
          <w:rFonts w:hint="eastAsia" w:ascii="宋体"/>
          <w:b/>
          <w:highlight w:val="none"/>
        </w:rPr>
        <w:t>第六条  交付使用后维护期、系统完善和保修维护服务</w:t>
      </w:r>
      <w:r>
        <w:rPr>
          <w:rFonts w:hint="eastAsia" w:ascii="宋体"/>
          <w:b/>
          <w:highlight w:val="none"/>
        </w:rPr>
        <w:fldChar w:fldCharType="end"/>
      </w:r>
    </w:p>
    <w:p w14:paraId="5333EE86">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"_Toc63757463"</w:instrText>
      </w:r>
      <w:r>
        <w:rPr>
          <w:rFonts w:hint="eastAsia" w:ascii="宋体"/>
          <w:b/>
          <w:highlight w:val="none"/>
        </w:rPr>
        <w:fldChar w:fldCharType="separate"/>
      </w:r>
      <w:r>
        <w:rPr>
          <w:rFonts w:hint="eastAsia" w:ascii="宋体"/>
          <w:b/>
          <w:highlight w:val="none"/>
        </w:rPr>
        <w:t>第七条  技术辅导与培训</w:t>
      </w:r>
      <w:r>
        <w:rPr>
          <w:rFonts w:hint="eastAsia" w:ascii="宋体"/>
          <w:b/>
          <w:highlight w:val="none"/>
        </w:rPr>
        <w:fldChar w:fldCharType="end"/>
      </w:r>
    </w:p>
    <w:p w14:paraId="66A88DD6">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"_Toc63757464"</w:instrText>
      </w:r>
      <w:r>
        <w:rPr>
          <w:rFonts w:hint="eastAsia" w:ascii="宋体"/>
          <w:b/>
          <w:highlight w:val="none"/>
        </w:rPr>
        <w:fldChar w:fldCharType="separate"/>
      </w:r>
      <w:r>
        <w:rPr>
          <w:rFonts w:hint="eastAsia" w:ascii="宋体"/>
          <w:b/>
          <w:highlight w:val="none"/>
        </w:rPr>
        <w:t>第八条  双方的权利、义务</w:t>
      </w:r>
      <w:r>
        <w:rPr>
          <w:rFonts w:hint="eastAsia" w:ascii="宋体"/>
          <w:b/>
          <w:highlight w:val="none"/>
        </w:rPr>
        <w:fldChar w:fldCharType="end"/>
      </w:r>
    </w:p>
    <w:p w14:paraId="6A34EEB4">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"_Toc63757465"</w:instrText>
      </w:r>
      <w:r>
        <w:rPr>
          <w:rFonts w:hint="eastAsia" w:ascii="宋体"/>
          <w:b/>
          <w:highlight w:val="none"/>
        </w:rPr>
        <w:fldChar w:fldCharType="separate"/>
      </w:r>
      <w:r>
        <w:rPr>
          <w:rFonts w:hint="eastAsia" w:ascii="宋体"/>
          <w:b/>
          <w:highlight w:val="none"/>
        </w:rPr>
        <w:t>第九条  乙方的声明与保证</w:t>
      </w:r>
      <w:r>
        <w:rPr>
          <w:rFonts w:hint="eastAsia" w:ascii="宋体"/>
          <w:b/>
          <w:highlight w:val="none"/>
        </w:rPr>
        <w:fldChar w:fldCharType="end"/>
      </w:r>
    </w:p>
    <w:p w14:paraId="7C7030BC">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"_Toc63757466"</w:instrText>
      </w:r>
      <w:r>
        <w:rPr>
          <w:rFonts w:hint="eastAsia" w:ascii="宋体"/>
          <w:b/>
          <w:highlight w:val="none"/>
        </w:rPr>
        <w:fldChar w:fldCharType="separate"/>
      </w:r>
      <w:r>
        <w:rPr>
          <w:rFonts w:hint="eastAsia" w:ascii="宋体"/>
          <w:b/>
          <w:highlight w:val="none"/>
        </w:rPr>
        <w:t>第十条  知识产权</w:t>
      </w:r>
      <w:r>
        <w:rPr>
          <w:rFonts w:hint="eastAsia" w:ascii="宋体"/>
          <w:b/>
          <w:highlight w:val="none"/>
        </w:rPr>
        <w:fldChar w:fldCharType="end"/>
      </w:r>
    </w:p>
    <w:p w14:paraId="07AF5045">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"_Toc63757467"</w:instrText>
      </w:r>
      <w:r>
        <w:rPr>
          <w:rFonts w:hint="eastAsia" w:ascii="宋体"/>
          <w:b/>
          <w:highlight w:val="none"/>
        </w:rPr>
        <w:fldChar w:fldCharType="separate"/>
      </w:r>
      <w:r>
        <w:rPr>
          <w:rFonts w:hint="eastAsia" w:ascii="宋体"/>
          <w:b/>
          <w:highlight w:val="none"/>
        </w:rPr>
        <w:t>第十一条  第三方索赔</w:t>
      </w:r>
      <w:r>
        <w:rPr>
          <w:rFonts w:hint="eastAsia" w:ascii="宋体"/>
          <w:b/>
          <w:highlight w:val="none"/>
        </w:rPr>
        <w:fldChar w:fldCharType="end"/>
      </w:r>
    </w:p>
    <w:p w14:paraId="1210B5BD">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"_Toc63757468"</w:instrText>
      </w:r>
      <w:r>
        <w:rPr>
          <w:rFonts w:hint="eastAsia" w:ascii="宋体"/>
          <w:b/>
          <w:highlight w:val="none"/>
        </w:rPr>
        <w:fldChar w:fldCharType="separate"/>
      </w:r>
      <w:r>
        <w:rPr>
          <w:rFonts w:hint="eastAsia" w:ascii="宋体"/>
          <w:b/>
          <w:highlight w:val="none"/>
        </w:rPr>
        <w:t>第十二条  保密</w:t>
      </w:r>
      <w:r>
        <w:rPr>
          <w:rFonts w:hint="eastAsia" w:ascii="宋体"/>
          <w:b/>
          <w:highlight w:val="none"/>
        </w:rPr>
        <w:fldChar w:fldCharType="end"/>
      </w:r>
    </w:p>
    <w:p w14:paraId="00646FEF">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"_Toc63757469"</w:instrText>
      </w:r>
      <w:r>
        <w:rPr>
          <w:rFonts w:hint="eastAsia" w:ascii="宋体"/>
          <w:b/>
          <w:highlight w:val="none"/>
        </w:rPr>
        <w:fldChar w:fldCharType="separate"/>
      </w:r>
      <w:r>
        <w:rPr>
          <w:rFonts w:hint="eastAsia" w:ascii="宋体"/>
          <w:b/>
          <w:highlight w:val="none"/>
        </w:rPr>
        <w:t>第十三条  价</w:t>
      </w:r>
      <w:bookmarkStart w:id="291" w:name="_Hlt107490703"/>
      <w:r>
        <w:rPr>
          <w:rFonts w:hint="eastAsia" w:ascii="宋体"/>
          <w:b/>
          <w:highlight w:val="none"/>
        </w:rPr>
        <w:t>格</w:t>
      </w:r>
      <w:bookmarkEnd w:id="291"/>
      <w:r>
        <w:rPr>
          <w:rFonts w:hint="eastAsia" w:ascii="宋体"/>
          <w:b/>
          <w:highlight w:val="none"/>
        </w:rPr>
        <w:t>与支付</w:t>
      </w:r>
      <w:r>
        <w:rPr>
          <w:rFonts w:hint="eastAsia" w:ascii="宋体"/>
          <w:b/>
          <w:highlight w:val="none"/>
        </w:rPr>
        <w:fldChar w:fldCharType="end"/>
      </w:r>
    </w:p>
    <w:p w14:paraId="797A89F7">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"_Toc63757470"</w:instrText>
      </w:r>
      <w:r>
        <w:rPr>
          <w:rFonts w:hint="eastAsia" w:ascii="宋体"/>
          <w:b/>
          <w:highlight w:val="none"/>
        </w:rPr>
        <w:fldChar w:fldCharType="separate"/>
      </w:r>
      <w:r>
        <w:rPr>
          <w:rFonts w:hint="eastAsia" w:ascii="宋体"/>
          <w:b/>
          <w:highlight w:val="none"/>
        </w:rPr>
        <w:t>第十四条  风险责任的承担</w:t>
      </w:r>
      <w:r>
        <w:rPr>
          <w:rFonts w:hint="eastAsia" w:ascii="宋体"/>
          <w:b/>
          <w:highlight w:val="none"/>
        </w:rPr>
        <w:fldChar w:fldCharType="end"/>
      </w:r>
    </w:p>
    <w:p w14:paraId="342C4657">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"_Toc63757471"</w:instrText>
      </w:r>
      <w:r>
        <w:rPr>
          <w:rFonts w:hint="eastAsia" w:ascii="宋体"/>
          <w:b/>
          <w:highlight w:val="none"/>
        </w:rPr>
        <w:fldChar w:fldCharType="separate"/>
      </w:r>
      <w:r>
        <w:rPr>
          <w:rFonts w:hint="eastAsia" w:ascii="宋体"/>
          <w:b/>
          <w:highlight w:val="none"/>
        </w:rPr>
        <w:t>第十五条  违约与赔偿</w:t>
      </w:r>
      <w:r>
        <w:rPr>
          <w:rFonts w:hint="eastAsia" w:ascii="宋体"/>
          <w:b/>
          <w:highlight w:val="none"/>
        </w:rPr>
        <w:fldChar w:fldCharType="end"/>
      </w:r>
    </w:p>
    <w:p w14:paraId="1ED4003B">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"_Toc63757472"</w:instrText>
      </w:r>
      <w:r>
        <w:rPr>
          <w:rFonts w:hint="eastAsia" w:ascii="宋体"/>
          <w:b/>
          <w:highlight w:val="none"/>
        </w:rPr>
        <w:fldChar w:fldCharType="separate"/>
      </w:r>
      <w:r>
        <w:rPr>
          <w:rFonts w:hint="eastAsia" w:ascii="宋体"/>
          <w:b/>
          <w:highlight w:val="none"/>
        </w:rPr>
        <w:t>第十六条  合同的解除</w:t>
      </w:r>
      <w:r>
        <w:rPr>
          <w:rFonts w:hint="eastAsia" w:ascii="宋体"/>
          <w:b/>
          <w:highlight w:val="none"/>
        </w:rPr>
        <w:fldChar w:fldCharType="end"/>
      </w:r>
    </w:p>
    <w:p w14:paraId="5585820F">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"_Toc63757473"</w:instrText>
      </w:r>
      <w:r>
        <w:rPr>
          <w:rFonts w:hint="eastAsia" w:ascii="宋体"/>
          <w:b/>
          <w:highlight w:val="none"/>
        </w:rPr>
        <w:fldChar w:fldCharType="separate"/>
      </w:r>
      <w:r>
        <w:rPr>
          <w:rFonts w:hint="eastAsia" w:ascii="宋体"/>
          <w:b/>
          <w:highlight w:val="none"/>
        </w:rPr>
        <w:t>第十七条  合同变更及转让</w:t>
      </w:r>
      <w:r>
        <w:rPr>
          <w:rFonts w:hint="eastAsia" w:ascii="宋体"/>
          <w:b/>
          <w:highlight w:val="none"/>
        </w:rPr>
        <w:fldChar w:fldCharType="end"/>
      </w:r>
    </w:p>
    <w:p w14:paraId="168C2FF8">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"_Toc63757474"</w:instrText>
      </w:r>
      <w:r>
        <w:rPr>
          <w:rFonts w:hint="eastAsia" w:ascii="宋体"/>
          <w:b/>
          <w:highlight w:val="none"/>
        </w:rPr>
        <w:fldChar w:fldCharType="separate"/>
      </w:r>
      <w:r>
        <w:rPr>
          <w:rFonts w:hint="eastAsia" w:ascii="宋体"/>
          <w:b/>
          <w:highlight w:val="none"/>
        </w:rPr>
        <w:t>第十八条  争议解决</w:t>
      </w:r>
      <w:r>
        <w:rPr>
          <w:rFonts w:hint="eastAsia" w:ascii="宋体"/>
          <w:b/>
          <w:highlight w:val="none"/>
        </w:rPr>
        <w:fldChar w:fldCharType="end"/>
      </w:r>
    </w:p>
    <w:p w14:paraId="7336A847">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"_Toc63757475"</w:instrText>
      </w:r>
      <w:r>
        <w:rPr>
          <w:rFonts w:hint="eastAsia" w:ascii="宋体"/>
          <w:b/>
          <w:highlight w:val="none"/>
        </w:rPr>
        <w:fldChar w:fldCharType="separate"/>
      </w:r>
      <w:r>
        <w:rPr>
          <w:rFonts w:hint="eastAsia" w:ascii="宋体"/>
          <w:b/>
          <w:highlight w:val="none"/>
        </w:rPr>
        <w:t>第十九条 通知与送达</w:t>
      </w:r>
      <w:r>
        <w:rPr>
          <w:rFonts w:hint="eastAsia" w:ascii="宋体"/>
          <w:b/>
          <w:highlight w:val="none"/>
        </w:rPr>
        <w:fldChar w:fldCharType="end"/>
      </w:r>
    </w:p>
    <w:p w14:paraId="6F57EC52">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"_Toc63757476"</w:instrText>
      </w:r>
      <w:r>
        <w:rPr>
          <w:rFonts w:hint="eastAsia" w:ascii="宋体"/>
          <w:b/>
          <w:highlight w:val="none"/>
        </w:rPr>
        <w:fldChar w:fldCharType="separate"/>
      </w:r>
      <w:r>
        <w:rPr>
          <w:rFonts w:hint="eastAsia" w:ascii="宋体"/>
          <w:b/>
          <w:highlight w:val="none"/>
        </w:rPr>
        <w:t>第二十条  合同生效</w:t>
      </w:r>
      <w:r>
        <w:rPr>
          <w:rFonts w:hint="eastAsia" w:ascii="宋体"/>
          <w:b/>
          <w:highlight w:val="none"/>
        </w:rPr>
        <w:fldChar w:fldCharType="end"/>
      </w:r>
    </w:p>
    <w:p w14:paraId="7BFC7CB8">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"_Toc63757477"</w:instrText>
      </w:r>
      <w:r>
        <w:rPr>
          <w:rFonts w:hint="eastAsia" w:ascii="宋体"/>
          <w:b/>
          <w:highlight w:val="none"/>
        </w:rPr>
        <w:fldChar w:fldCharType="separate"/>
      </w:r>
      <w:r>
        <w:rPr>
          <w:rFonts w:hint="eastAsia" w:ascii="宋体"/>
          <w:b/>
          <w:highlight w:val="none"/>
        </w:rPr>
        <w:t>第二十一条  不可抗力</w:t>
      </w:r>
      <w:r>
        <w:rPr>
          <w:rFonts w:hint="eastAsia" w:ascii="宋体"/>
          <w:b/>
          <w:highlight w:val="none"/>
        </w:rPr>
        <w:fldChar w:fldCharType="end"/>
      </w:r>
    </w:p>
    <w:p w14:paraId="03C13BA7">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"_Toc63757478"</w:instrText>
      </w:r>
      <w:r>
        <w:rPr>
          <w:rFonts w:hint="eastAsia" w:ascii="宋体"/>
          <w:b/>
          <w:highlight w:val="none"/>
        </w:rPr>
        <w:fldChar w:fldCharType="separate"/>
      </w:r>
      <w:r>
        <w:rPr>
          <w:rFonts w:hint="eastAsia" w:ascii="宋体"/>
          <w:b/>
          <w:highlight w:val="none"/>
        </w:rPr>
        <w:t>第二十二条  反商业贿赂</w:t>
      </w:r>
      <w:r>
        <w:rPr>
          <w:rFonts w:hint="eastAsia" w:ascii="宋体"/>
          <w:b/>
          <w:highlight w:val="none"/>
        </w:rPr>
        <w:fldChar w:fldCharType="end"/>
      </w:r>
    </w:p>
    <w:p w14:paraId="0ADDF0E3">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"_Toc63757479"</w:instrText>
      </w:r>
      <w:r>
        <w:rPr>
          <w:rFonts w:hint="eastAsia" w:ascii="宋体"/>
          <w:b/>
          <w:highlight w:val="none"/>
        </w:rPr>
        <w:fldChar w:fldCharType="separate"/>
      </w:r>
      <w:r>
        <w:rPr>
          <w:rFonts w:hint="eastAsia" w:ascii="宋体"/>
          <w:b/>
          <w:highlight w:val="none"/>
        </w:rPr>
        <w:t>第二十三条  附件</w:t>
      </w:r>
      <w:r>
        <w:rPr>
          <w:rFonts w:hint="eastAsia" w:ascii="宋体"/>
          <w:b/>
          <w:highlight w:val="none"/>
        </w:rPr>
        <w:fldChar w:fldCharType="end"/>
      </w:r>
    </w:p>
    <w:p w14:paraId="2B50A17E">
      <w:pPr>
        <w:pStyle w:val="14"/>
        <w:tabs>
          <w:tab w:val="right" w:leader="dot" w:pos="8302"/>
        </w:tabs>
        <w:rPr>
          <w:rFonts w:ascii="等线" w:eastAsia="等线"/>
          <w:sz w:val="21"/>
          <w:szCs w:val="22"/>
          <w:highlight w:val="none"/>
        </w:rPr>
      </w:pPr>
      <w:r>
        <w:rPr>
          <w:rFonts w:hint="eastAsia" w:ascii="宋体"/>
          <w:b/>
          <w:highlight w:val="none"/>
        </w:rPr>
        <w:fldChar w:fldCharType="begin"/>
      </w:r>
      <w:r>
        <w:rPr>
          <w:highlight w:val="none"/>
        </w:rPr>
        <w:instrText xml:space="preserve">HYPERLINK  \l "_Toc63757480"</w:instrText>
      </w:r>
      <w:r>
        <w:rPr>
          <w:rFonts w:hint="eastAsia" w:ascii="宋体"/>
          <w:b/>
          <w:highlight w:val="none"/>
        </w:rPr>
        <w:fldChar w:fldCharType="separate"/>
      </w:r>
      <w:r>
        <w:rPr>
          <w:rFonts w:hint="eastAsia" w:ascii="宋体"/>
          <w:b/>
          <w:highlight w:val="none"/>
        </w:rPr>
        <w:t>第二十四条  其他</w:t>
      </w:r>
      <w:r>
        <w:rPr>
          <w:rFonts w:hint="eastAsia" w:ascii="宋体"/>
          <w:b/>
          <w:highlight w:val="none"/>
        </w:rPr>
        <w:fldChar w:fldCharType="end"/>
      </w:r>
    </w:p>
    <w:p w14:paraId="7FA7B773">
      <w:pPr>
        <w:pStyle w:val="14"/>
        <w:tabs>
          <w:tab w:val="right" w:leader="dot" w:pos="8302"/>
        </w:tabs>
        <w:spacing w:line="350" w:lineRule="auto"/>
        <w:rPr>
          <w:rFonts w:ascii="宋体" w:eastAsia="宋体"/>
          <w:spacing w:val="0"/>
          <w:highlight w:val="none"/>
        </w:rPr>
      </w:pPr>
    </w:p>
    <w:p w14:paraId="42407FCF">
      <w:pPr>
        <w:spacing w:line="360" w:lineRule="auto"/>
        <w:rPr>
          <w:rFonts w:ascii="宋体" w:eastAsia="宋体"/>
          <w:spacing w:val="0"/>
          <w:highlight w:val="none"/>
        </w:rPr>
      </w:pPr>
    </w:p>
    <w:p w14:paraId="4102F28F">
      <w:pPr>
        <w:spacing w:line="360" w:lineRule="auto"/>
        <w:rPr>
          <w:rFonts w:ascii="宋体" w:eastAsia="宋体"/>
          <w:b/>
          <w:spacing w:val="0"/>
          <w:highlight w:val="none"/>
          <w:u w:val="single"/>
        </w:rPr>
      </w:pPr>
      <w:r>
        <w:rPr>
          <w:rFonts w:hint="eastAsia" w:ascii="宋体" w:eastAsia="宋体"/>
          <w:spacing w:val="0"/>
          <w:highlight w:val="none"/>
        </w:rPr>
        <w:br w:type="page"/>
      </w:r>
      <w:r>
        <w:rPr>
          <w:rFonts w:hint="eastAsia" w:ascii="宋体" w:eastAsia="宋体"/>
          <w:b/>
          <w:spacing w:val="0"/>
          <w:highlight w:val="none"/>
        </w:rPr>
        <w:t>委托方: 重庆三峡银行股份有限公司（以下简称“甲方”）</w:t>
      </w:r>
    </w:p>
    <w:p w14:paraId="4A1F1731">
      <w:pPr>
        <w:spacing w:line="360" w:lineRule="auto"/>
        <w:rPr>
          <w:rFonts w:ascii="宋体" w:eastAsia="宋体"/>
          <w:spacing w:val="0"/>
          <w:highlight w:val="none"/>
        </w:rPr>
      </w:pPr>
      <w:r>
        <w:rPr>
          <w:rFonts w:hint="eastAsia" w:ascii="宋体" w:eastAsia="宋体"/>
          <w:spacing w:val="0"/>
          <w:highlight w:val="none"/>
        </w:rPr>
        <w:t>法定代表人：刘江桥</w:t>
      </w:r>
    </w:p>
    <w:p w14:paraId="00C84D64">
      <w:pPr>
        <w:spacing w:line="360" w:lineRule="auto"/>
        <w:rPr>
          <w:rFonts w:ascii="宋体" w:eastAsia="宋体"/>
          <w:spacing w:val="0"/>
          <w:highlight w:val="none"/>
        </w:rPr>
      </w:pPr>
      <w:r>
        <w:rPr>
          <w:rFonts w:hint="eastAsia" w:ascii="宋体" w:eastAsia="宋体"/>
          <w:spacing w:val="0"/>
          <w:highlight w:val="none"/>
        </w:rPr>
        <w:t>地址：</w:t>
      </w:r>
      <w:r>
        <w:rPr>
          <w:rFonts w:ascii="宋体" w:eastAsia="宋体"/>
          <w:spacing w:val="0"/>
          <w:highlight w:val="none"/>
        </w:rPr>
        <w:t>重庆市渝北区嘉州路88号中渝国际都会4号写字楼</w:t>
      </w:r>
    </w:p>
    <w:p w14:paraId="52D9A470">
      <w:pPr>
        <w:spacing w:line="360" w:lineRule="auto"/>
        <w:rPr>
          <w:rFonts w:ascii="宋体" w:eastAsia="宋体"/>
          <w:spacing w:val="0"/>
          <w:highlight w:val="none"/>
        </w:rPr>
      </w:pPr>
      <w:r>
        <w:rPr>
          <w:rFonts w:hint="eastAsia" w:ascii="宋体" w:eastAsia="宋体"/>
          <w:spacing w:val="0"/>
          <w:highlight w:val="none"/>
        </w:rPr>
        <w:t>邮政编码：</w:t>
      </w:r>
    </w:p>
    <w:p w14:paraId="109F4F7D">
      <w:pPr>
        <w:spacing w:line="360" w:lineRule="auto"/>
        <w:rPr>
          <w:rFonts w:ascii="宋体" w:eastAsia="宋体"/>
          <w:spacing w:val="0"/>
          <w:highlight w:val="none"/>
        </w:rPr>
      </w:pPr>
      <w:r>
        <w:rPr>
          <w:rFonts w:hint="eastAsia" w:ascii="宋体" w:eastAsia="宋体"/>
          <w:spacing w:val="0"/>
          <w:highlight w:val="none"/>
        </w:rPr>
        <w:t>联系人：</w:t>
      </w:r>
    </w:p>
    <w:p w14:paraId="35CF938A">
      <w:pPr>
        <w:spacing w:line="360" w:lineRule="auto"/>
        <w:rPr>
          <w:rFonts w:ascii="宋体" w:eastAsia="宋体"/>
          <w:spacing w:val="0"/>
          <w:highlight w:val="none"/>
        </w:rPr>
      </w:pPr>
      <w:r>
        <w:rPr>
          <w:rFonts w:hint="eastAsia" w:ascii="宋体" w:eastAsia="宋体"/>
          <w:spacing w:val="0"/>
          <w:highlight w:val="none"/>
        </w:rPr>
        <w:t>电话：</w:t>
      </w:r>
    </w:p>
    <w:p w14:paraId="7F174BDD">
      <w:pPr>
        <w:spacing w:line="360" w:lineRule="auto"/>
        <w:rPr>
          <w:rFonts w:ascii="宋体" w:eastAsia="宋体"/>
          <w:spacing w:val="0"/>
          <w:highlight w:val="none"/>
        </w:rPr>
      </w:pPr>
      <w:r>
        <w:rPr>
          <w:rFonts w:hint="eastAsia" w:ascii="宋体" w:eastAsia="宋体"/>
          <w:spacing w:val="0"/>
          <w:highlight w:val="none"/>
        </w:rPr>
        <w:t>电子邮箱：</w:t>
      </w:r>
    </w:p>
    <w:p w14:paraId="1E85283B">
      <w:pPr>
        <w:spacing w:line="360" w:lineRule="auto"/>
        <w:rPr>
          <w:rFonts w:ascii="宋体" w:eastAsia="宋体"/>
          <w:spacing w:val="0"/>
          <w:highlight w:val="none"/>
        </w:rPr>
      </w:pPr>
    </w:p>
    <w:p w14:paraId="38022EF3">
      <w:pPr>
        <w:spacing w:line="360" w:lineRule="auto"/>
        <w:rPr>
          <w:rFonts w:ascii="宋体" w:eastAsia="宋体"/>
          <w:b/>
          <w:spacing w:val="0"/>
          <w:highlight w:val="none"/>
        </w:rPr>
      </w:pPr>
      <w:r>
        <w:rPr>
          <w:rFonts w:hint="eastAsia" w:ascii="宋体" w:eastAsia="宋体"/>
          <w:b/>
          <w:spacing w:val="0"/>
          <w:highlight w:val="none"/>
        </w:rPr>
        <w:t>受托方：XXXXXXXXXXXXX（以下简称“乙方”）</w:t>
      </w:r>
    </w:p>
    <w:p w14:paraId="08C33A40">
      <w:pPr>
        <w:spacing w:line="360" w:lineRule="auto"/>
        <w:rPr>
          <w:rFonts w:ascii="宋体" w:eastAsia="宋体"/>
          <w:spacing w:val="0"/>
          <w:highlight w:val="none"/>
        </w:rPr>
      </w:pPr>
      <w:r>
        <w:rPr>
          <w:rFonts w:hint="eastAsia" w:ascii="宋体" w:eastAsia="宋体"/>
          <w:spacing w:val="0"/>
          <w:highlight w:val="none"/>
        </w:rPr>
        <w:t xml:space="preserve">法定代表人： </w:t>
      </w:r>
    </w:p>
    <w:p w14:paraId="1570C5FC">
      <w:pPr>
        <w:spacing w:line="360" w:lineRule="auto"/>
        <w:rPr>
          <w:rFonts w:ascii="宋体" w:eastAsia="宋体"/>
          <w:spacing w:val="0"/>
          <w:highlight w:val="none"/>
        </w:rPr>
      </w:pPr>
      <w:r>
        <w:rPr>
          <w:rFonts w:hint="eastAsia" w:ascii="宋体" w:eastAsia="宋体"/>
          <w:spacing w:val="0"/>
          <w:highlight w:val="none"/>
        </w:rPr>
        <w:t>地址：</w:t>
      </w:r>
    </w:p>
    <w:p w14:paraId="37EA52A6">
      <w:pPr>
        <w:spacing w:line="360" w:lineRule="auto"/>
        <w:rPr>
          <w:rFonts w:ascii="宋体" w:eastAsia="宋体"/>
          <w:spacing w:val="0"/>
          <w:highlight w:val="none"/>
        </w:rPr>
      </w:pPr>
      <w:r>
        <w:rPr>
          <w:rFonts w:hint="eastAsia" w:ascii="宋体" w:eastAsia="宋体"/>
          <w:spacing w:val="0"/>
          <w:highlight w:val="none"/>
        </w:rPr>
        <w:t>邮政编码：</w:t>
      </w:r>
    </w:p>
    <w:p w14:paraId="7B87A3D3">
      <w:pPr>
        <w:spacing w:line="360" w:lineRule="auto"/>
        <w:rPr>
          <w:rFonts w:ascii="宋体" w:eastAsia="宋体"/>
          <w:spacing w:val="0"/>
          <w:highlight w:val="none"/>
        </w:rPr>
      </w:pPr>
      <w:r>
        <w:rPr>
          <w:rFonts w:hint="eastAsia" w:ascii="宋体" w:eastAsia="宋体"/>
          <w:spacing w:val="0"/>
          <w:highlight w:val="none"/>
        </w:rPr>
        <w:t xml:space="preserve">开户银行： </w:t>
      </w:r>
    </w:p>
    <w:p w14:paraId="68DD46A0">
      <w:pPr>
        <w:spacing w:line="360" w:lineRule="auto"/>
        <w:rPr>
          <w:rFonts w:ascii="宋体" w:eastAsia="宋体"/>
          <w:spacing w:val="0"/>
          <w:highlight w:val="none"/>
        </w:rPr>
      </w:pPr>
      <w:r>
        <w:rPr>
          <w:rFonts w:hint="eastAsia" w:ascii="宋体" w:eastAsia="宋体"/>
          <w:spacing w:val="0"/>
          <w:highlight w:val="none"/>
        </w:rPr>
        <w:t>账号：</w:t>
      </w:r>
    </w:p>
    <w:p w14:paraId="5F0C215D">
      <w:pPr>
        <w:spacing w:line="360" w:lineRule="auto"/>
        <w:rPr>
          <w:rFonts w:ascii="宋体" w:eastAsia="宋体"/>
          <w:spacing w:val="0"/>
          <w:highlight w:val="none"/>
        </w:rPr>
      </w:pPr>
      <w:r>
        <w:rPr>
          <w:rFonts w:hint="eastAsia" w:ascii="宋体" w:eastAsia="宋体"/>
          <w:spacing w:val="0"/>
          <w:highlight w:val="none"/>
        </w:rPr>
        <w:t>税号：</w:t>
      </w:r>
    </w:p>
    <w:p w14:paraId="4D287E6C">
      <w:pPr>
        <w:spacing w:line="360" w:lineRule="auto"/>
        <w:rPr>
          <w:rFonts w:ascii="宋体" w:eastAsia="宋体"/>
          <w:spacing w:val="0"/>
          <w:highlight w:val="none"/>
        </w:rPr>
      </w:pPr>
      <w:r>
        <w:rPr>
          <w:rFonts w:hint="eastAsia" w:ascii="宋体" w:eastAsia="宋体"/>
          <w:spacing w:val="0"/>
          <w:highlight w:val="none"/>
        </w:rPr>
        <w:t xml:space="preserve">联系人： </w:t>
      </w:r>
    </w:p>
    <w:p w14:paraId="690A383F">
      <w:pPr>
        <w:spacing w:line="360" w:lineRule="auto"/>
        <w:rPr>
          <w:rFonts w:ascii="宋体" w:eastAsia="宋体"/>
          <w:spacing w:val="0"/>
          <w:highlight w:val="none"/>
        </w:rPr>
      </w:pPr>
      <w:r>
        <w:rPr>
          <w:rFonts w:hint="eastAsia" w:ascii="宋体" w:eastAsia="宋体"/>
          <w:spacing w:val="0"/>
          <w:highlight w:val="none"/>
        </w:rPr>
        <w:t>电话：</w:t>
      </w:r>
    </w:p>
    <w:p w14:paraId="09747E95">
      <w:pPr>
        <w:spacing w:line="360" w:lineRule="auto"/>
        <w:rPr>
          <w:rFonts w:ascii="宋体" w:eastAsia="宋体"/>
          <w:spacing w:val="0"/>
          <w:highlight w:val="none"/>
        </w:rPr>
      </w:pPr>
      <w:r>
        <w:rPr>
          <w:rFonts w:hint="eastAsia" w:ascii="宋体" w:eastAsia="宋体"/>
          <w:spacing w:val="0"/>
          <w:highlight w:val="none"/>
        </w:rPr>
        <w:t>手机：</w:t>
      </w:r>
    </w:p>
    <w:p w14:paraId="554221FD">
      <w:pPr>
        <w:spacing w:line="360" w:lineRule="auto"/>
        <w:rPr>
          <w:rFonts w:ascii="宋体" w:eastAsia="宋体"/>
          <w:spacing w:val="0"/>
          <w:highlight w:val="none"/>
        </w:rPr>
      </w:pPr>
      <w:r>
        <w:rPr>
          <w:rFonts w:hint="eastAsia" w:ascii="宋体" w:eastAsia="宋体"/>
          <w:spacing w:val="0"/>
          <w:highlight w:val="none"/>
        </w:rPr>
        <w:t>传真：</w:t>
      </w:r>
    </w:p>
    <w:p w14:paraId="1FD32428">
      <w:pPr>
        <w:spacing w:line="360" w:lineRule="auto"/>
        <w:rPr>
          <w:rFonts w:ascii="宋体" w:eastAsia="宋体"/>
          <w:spacing w:val="0"/>
          <w:highlight w:val="none"/>
          <w:lang w:val="en-GB"/>
        </w:rPr>
      </w:pPr>
      <w:r>
        <w:rPr>
          <w:rFonts w:hint="eastAsia" w:ascii="宋体" w:eastAsia="宋体"/>
          <w:spacing w:val="0"/>
          <w:highlight w:val="none"/>
        </w:rPr>
        <w:t>电子邮箱：</w:t>
      </w:r>
    </w:p>
    <w:p w14:paraId="35ADC2FB">
      <w:pPr>
        <w:spacing w:line="360" w:lineRule="auto"/>
        <w:ind w:firstLine="482" w:firstLineChars="200"/>
        <w:rPr>
          <w:rFonts w:ascii="宋体" w:eastAsia="宋体"/>
          <w:b/>
          <w:spacing w:val="0"/>
          <w:highlight w:val="none"/>
        </w:rPr>
      </w:pPr>
      <w:r>
        <w:rPr>
          <w:rFonts w:ascii="宋体" w:eastAsia="宋体"/>
          <w:b/>
          <w:spacing w:val="0"/>
          <w:highlight w:val="none"/>
        </w:rPr>
        <w:br w:type="page"/>
      </w:r>
      <w:r>
        <w:rPr>
          <w:rFonts w:hint="eastAsia" w:ascii="宋体" w:eastAsia="宋体"/>
          <w:b/>
          <w:spacing w:val="0"/>
          <w:highlight w:val="none"/>
        </w:rPr>
        <w:t>鉴于：</w:t>
      </w:r>
    </w:p>
    <w:p w14:paraId="590E27FB">
      <w:pPr>
        <w:spacing w:line="360" w:lineRule="auto"/>
        <w:ind w:firstLine="480" w:firstLineChars="200"/>
        <w:rPr>
          <w:rFonts w:ascii="宋体" w:eastAsia="宋体"/>
          <w:spacing w:val="0"/>
          <w:highlight w:val="none"/>
        </w:rPr>
      </w:pPr>
      <w:r>
        <w:rPr>
          <w:rStyle w:val="45"/>
          <w:rFonts w:hint="eastAsia" w:ascii="宋体" w:eastAsia="宋体"/>
          <w:spacing w:val="0"/>
          <w:kern w:val="0"/>
          <w:highlight w:val="none"/>
        </w:rPr>
        <w:t>乙方具有良好的开发实施能力，甲乙双方经友好协商并达成一致，依据相关法律、法规的规定，就甲方委托</w:t>
      </w:r>
      <w:r>
        <w:rPr>
          <w:rStyle w:val="45"/>
          <w:rFonts w:ascii="宋体" w:eastAsia="宋体"/>
          <w:spacing w:val="0"/>
          <w:kern w:val="0"/>
          <w:highlight w:val="none"/>
        </w:rPr>
        <w:t>乙方</w:t>
      </w:r>
      <w:r>
        <w:rPr>
          <w:rStyle w:val="45"/>
          <w:rFonts w:hint="eastAsia" w:ascii="宋体" w:eastAsia="宋体"/>
          <w:spacing w:val="0"/>
          <w:kern w:val="0"/>
          <w:highlight w:val="none"/>
        </w:rPr>
        <w:t>进行</w:t>
      </w:r>
      <w:r>
        <w:rPr>
          <w:rStyle w:val="45"/>
          <w:rFonts w:ascii="宋体" w:eastAsia="宋体"/>
          <w:spacing w:val="0"/>
          <w:kern w:val="0"/>
          <w:highlight w:val="none"/>
        </w:rPr>
        <w:t>项目实施与技术支持</w:t>
      </w:r>
      <w:r>
        <w:rPr>
          <w:rStyle w:val="45"/>
          <w:rFonts w:hint="eastAsia" w:ascii="宋体" w:eastAsia="宋体"/>
          <w:spacing w:val="0"/>
          <w:kern w:val="0"/>
          <w:highlight w:val="none"/>
        </w:rPr>
        <w:t>，向乙方订购</w:t>
      </w:r>
      <w:r>
        <w:rPr>
          <w:rStyle w:val="45"/>
          <w:rFonts w:ascii="宋体" w:eastAsia="宋体"/>
          <w:spacing w:val="0"/>
          <w:kern w:val="0"/>
          <w:highlight w:val="none"/>
          <w:u w:val="single"/>
        </w:rPr>
        <w:t>绿色金融管理系统</w:t>
      </w:r>
      <w:r>
        <w:rPr>
          <w:rStyle w:val="45"/>
          <w:rFonts w:hint="eastAsia" w:ascii="宋体" w:eastAsia="宋体"/>
          <w:spacing w:val="0"/>
          <w:kern w:val="0"/>
          <w:highlight w:val="none"/>
        </w:rPr>
        <w:t>（含定制化开发）的相关事宜订立本合同，</w:t>
      </w:r>
      <w:r>
        <w:rPr>
          <w:rFonts w:hint="eastAsia" w:ascii="宋体" w:eastAsia="宋体"/>
          <w:spacing w:val="0"/>
          <w:highlight w:val="none"/>
        </w:rPr>
        <w:t>以资信守：</w:t>
      </w:r>
    </w:p>
    <w:p w14:paraId="7C716579">
      <w:pPr>
        <w:rPr>
          <w:rFonts w:ascii="宋体" w:eastAsia="宋体"/>
          <w:b/>
          <w:spacing w:val="0"/>
          <w:highlight w:val="none"/>
        </w:rPr>
      </w:pPr>
      <w:r>
        <w:rPr>
          <w:rFonts w:hint="eastAsia" w:ascii="宋体" w:eastAsia="宋体"/>
          <w:b/>
          <w:spacing w:val="0"/>
          <w:highlight w:val="none"/>
        </w:rPr>
        <w:t>第一条 定义</w:t>
      </w:r>
    </w:p>
    <w:p w14:paraId="395DC4CC">
      <w:pPr>
        <w:spacing w:line="360" w:lineRule="auto"/>
        <w:ind w:firstLine="480" w:firstLineChars="200"/>
        <w:rPr>
          <w:rFonts w:ascii="宋体" w:eastAsia="宋体"/>
          <w:spacing w:val="0"/>
          <w:highlight w:val="none"/>
        </w:rPr>
      </w:pPr>
      <w:r>
        <w:rPr>
          <w:rFonts w:hint="eastAsia" w:ascii="宋体" w:eastAsia="宋体"/>
          <w:spacing w:val="0"/>
          <w:highlight w:val="none"/>
        </w:rPr>
        <w:t>在本合同中，除非有相反的表述，下列术语具有如下含义：</w:t>
      </w:r>
    </w:p>
    <w:p w14:paraId="027BD94A">
      <w:pPr>
        <w:spacing w:line="360" w:lineRule="auto"/>
        <w:ind w:firstLine="480" w:firstLineChars="200"/>
        <w:rPr>
          <w:rFonts w:ascii="宋体" w:eastAsia="宋体"/>
          <w:spacing w:val="0"/>
          <w:highlight w:val="none"/>
        </w:rPr>
      </w:pPr>
      <w:r>
        <w:rPr>
          <w:rFonts w:hint="eastAsia" w:ascii="宋体" w:eastAsia="宋体"/>
          <w:spacing w:val="0"/>
          <w:highlight w:val="none"/>
        </w:rPr>
        <w:t>1.1“项目”系指乙方受甲方委托，单独为本合同目的依据合同附件一《工作（需求）说明书》的产品实施与数据迁移服务。</w:t>
      </w:r>
    </w:p>
    <w:p w14:paraId="378D5A33">
      <w:pPr>
        <w:spacing w:line="360" w:lineRule="auto"/>
        <w:ind w:firstLine="480" w:firstLineChars="200"/>
        <w:rPr>
          <w:rFonts w:ascii="宋体" w:eastAsia="宋体"/>
          <w:spacing w:val="0"/>
          <w:highlight w:val="none"/>
        </w:rPr>
      </w:pPr>
      <w:r>
        <w:rPr>
          <w:rFonts w:hint="eastAsia" w:ascii="宋体" w:eastAsia="宋体"/>
          <w:spacing w:val="0"/>
          <w:highlight w:val="none"/>
        </w:rPr>
        <w:t>1.2“客户化工作”指项目交付乙方后乙方对甲方的需求进行开发实施。</w:t>
      </w:r>
    </w:p>
    <w:p w14:paraId="40026D1D">
      <w:pPr>
        <w:spacing w:line="360" w:lineRule="auto"/>
        <w:ind w:firstLine="480" w:firstLineChars="200"/>
        <w:rPr>
          <w:rFonts w:ascii="宋体" w:eastAsia="宋体"/>
          <w:spacing w:val="0"/>
          <w:highlight w:val="none"/>
        </w:rPr>
      </w:pPr>
      <w:r>
        <w:rPr>
          <w:rFonts w:hint="eastAsia" w:ascii="宋体" w:eastAsia="宋体"/>
          <w:spacing w:val="0"/>
          <w:highlight w:val="none"/>
        </w:rPr>
        <w:t>1.3“产品实施数据迁移”指乙方产品的安装配置和业务数据迁移服务。</w:t>
      </w:r>
    </w:p>
    <w:p w14:paraId="5942F131">
      <w:pPr>
        <w:spacing w:line="360" w:lineRule="auto"/>
        <w:ind w:firstLine="480" w:firstLineChars="200"/>
        <w:rPr>
          <w:rFonts w:ascii="宋体" w:eastAsia="宋体"/>
          <w:spacing w:val="0"/>
          <w:highlight w:val="none"/>
        </w:rPr>
      </w:pPr>
      <w:r>
        <w:rPr>
          <w:rFonts w:hint="eastAsia" w:ascii="宋体" w:eastAsia="宋体"/>
          <w:spacing w:val="0"/>
          <w:highlight w:val="none"/>
        </w:rPr>
        <w:t>1.4“X</w:t>
      </w:r>
      <w:r>
        <w:rPr>
          <w:rFonts w:ascii="宋体" w:eastAsia="宋体"/>
          <w:spacing w:val="0"/>
          <w:highlight w:val="none"/>
        </w:rPr>
        <w:t>XXXXXXX</w:t>
      </w:r>
      <w:r>
        <w:rPr>
          <w:rFonts w:hint="eastAsia" w:ascii="宋体" w:eastAsia="宋体"/>
          <w:spacing w:val="0"/>
          <w:highlight w:val="none"/>
          <w:lang w:val="en-GB"/>
        </w:rPr>
        <w:t>系统</w:t>
      </w:r>
      <w:r>
        <w:rPr>
          <w:rFonts w:hint="eastAsia" w:ascii="宋体" w:eastAsia="宋体"/>
          <w:spacing w:val="0"/>
          <w:highlight w:val="none"/>
        </w:rPr>
        <w:t>业务”指乙方提供给甲方的附件一中所涵盖的业务功能。</w:t>
      </w:r>
    </w:p>
    <w:p w14:paraId="16383C23">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5</w:t>
      </w:r>
      <w:r>
        <w:rPr>
          <w:rFonts w:hint="eastAsia" w:ascii="宋体" w:eastAsia="宋体" w:cs="宋体"/>
          <w:spacing w:val="0"/>
          <w:szCs w:val="24"/>
          <w:highlight w:val="none"/>
        </w:rPr>
        <w:t>“缺陷逃逸率”：后一测试阶段测试期间发现的缺陷个数/（当前测试期间所发现的缺陷个数+后一测试期间发现的缺陷个数）。</w:t>
      </w:r>
    </w:p>
    <w:p w14:paraId="1B1D819E">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6</w:t>
      </w:r>
      <w:r>
        <w:rPr>
          <w:rFonts w:hint="eastAsia" w:ascii="宋体" w:eastAsia="宋体" w:cs="宋体"/>
          <w:spacing w:val="0"/>
          <w:szCs w:val="24"/>
          <w:highlight w:val="none"/>
        </w:rPr>
        <w:t>“试运行”：项目上线后进入试运行阶段，项目试运行至少3个月。在试运行期间，甲方随时将发现的逃逸的缺陷通知乙方，乙方在最快的时间内予以响应。</w:t>
      </w:r>
    </w:p>
    <w:p w14:paraId="636FD10D">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7</w:t>
      </w:r>
      <w:r>
        <w:rPr>
          <w:rFonts w:hint="eastAsia" w:ascii="宋体" w:eastAsia="宋体" w:cs="宋体"/>
          <w:spacing w:val="0"/>
          <w:szCs w:val="24"/>
          <w:highlight w:val="none"/>
        </w:rPr>
        <w:t>“响应时间”：指乙方就甲方提出的问题予以答复的时间。</w:t>
      </w:r>
    </w:p>
    <w:p w14:paraId="0C64AF28">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8</w:t>
      </w:r>
      <w:r>
        <w:rPr>
          <w:rFonts w:hint="eastAsia" w:ascii="宋体" w:eastAsia="宋体" w:cs="宋体"/>
          <w:spacing w:val="0"/>
          <w:szCs w:val="24"/>
          <w:highlight w:val="none"/>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5A259C63">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w:t>
      </w:r>
      <w:r>
        <w:rPr>
          <w:rFonts w:ascii="宋体" w:eastAsia="宋体" w:cs="宋体"/>
          <w:spacing w:val="0"/>
          <w:szCs w:val="24"/>
          <w:highlight w:val="none"/>
        </w:rPr>
        <w:t>9</w:t>
      </w:r>
      <w:r>
        <w:rPr>
          <w:rFonts w:hint="eastAsia" w:ascii="宋体" w:eastAsia="宋体" w:cs="宋体"/>
          <w:spacing w:val="0"/>
          <w:szCs w:val="24"/>
          <w:highlight w:val="none"/>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7C7B758F">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0</w:t>
      </w:r>
      <w:r>
        <w:rPr>
          <w:rFonts w:hint="eastAsia" w:ascii="宋体" w:eastAsia="宋体" w:cs="宋体"/>
          <w:spacing w:val="0"/>
          <w:szCs w:val="24"/>
          <w:highlight w:val="none"/>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26AC8827">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1</w:t>
      </w:r>
      <w:r>
        <w:rPr>
          <w:rFonts w:hint="eastAsia" w:ascii="宋体" w:eastAsia="宋体" w:cs="宋体"/>
          <w:spacing w:val="0"/>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099D0E21">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2</w:t>
      </w:r>
      <w:r>
        <w:rPr>
          <w:rFonts w:hint="eastAsia" w:ascii="宋体" w:eastAsia="宋体" w:cs="宋体"/>
          <w:spacing w:val="0"/>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4D1E4A6">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3</w:t>
      </w:r>
      <w:r>
        <w:rPr>
          <w:rFonts w:hint="eastAsia" w:ascii="宋体" w:eastAsia="宋体" w:cs="宋体"/>
          <w:spacing w:val="0"/>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6ED1A669">
      <w:pPr>
        <w:spacing w:line="360" w:lineRule="auto"/>
        <w:ind w:left="-2" w:leftChars="-1" w:firstLine="480" w:firstLineChars="200"/>
        <w:rPr>
          <w:rFonts w:ascii="宋体" w:eastAsia="宋体" w:cs="宋体"/>
          <w:spacing w:val="0"/>
          <w:szCs w:val="24"/>
          <w:highlight w:val="none"/>
        </w:rPr>
      </w:pPr>
      <w:r>
        <w:rPr>
          <w:rFonts w:hint="eastAsia" w:ascii="宋体" w:eastAsia="宋体" w:cs="宋体"/>
          <w:spacing w:val="0"/>
          <w:szCs w:val="24"/>
          <w:highlight w:val="none"/>
        </w:rPr>
        <w:t>1.1</w:t>
      </w:r>
      <w:r>
        <w:rPr>
          <w:rFonts w:ascii="宋体" w:eastAsia="宋体" w:cs="宋体"/>
          <w:spacing w:val="0"/>
          <w:szCs w:val="24"/>
          <w:highlight w:val="none"/>
        </w:rPr>
        <w:t>4</w:t>
      </w:r>
      <w:r>
        <w:rPr>
          <w:rFonts w:hint="eastAsia" w:ascii="宋体" w:eastAsia="宋体" w:cs="宋体"/>
          <w:spacing w:val="0"/>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40544326">
      <w:pPr>
        <w:spacing w:line="360" w:lineRule="auto"/>
        <w:ind w:left="-2" w:leftChars="-1" w:firstLine="480" w:firstLineChars="200"/>
        <w:rPr>
          <w:rFonts w:ascii="宋体" w:eastAsia="宋体"/>
          <w:spacing w:val="0"/>
          <w:szCs w:val="24"/>
          <w:highlight w:val="none"/>
        </w:rPr>
      </w:pPr>
      <w:r>
        <w:rPr>
          <w:rFonts w:hint="eastAsia" w:ascii="宋体" w:eastAsia="宋体"/>
          <w:spacing w:val="0"/>
          <w:szCs w:val="24"/>
          <w:highlight w:val="none"/>
        </w:rPr>
        <w:t>1.1</w:t>
      </w:r>
      <w:r>
        <w:rPr>
          <w:rFonts w:ascii="宋体" w:eastAsia="宋体"/>
          <w:spacing w:val="0"/>
          <w:szCs w:val="24"/>
          <w:highlight w:val="none"/>
        </w:rPr>
        <w:t>5</w:t>
      </w:r>
      <w:r>
        <w:rPr>
          <w:rFonts w:hint="eastAsia" w:ascii="宋体" w:eastAsia="宋体"/>
          <w:spacing w:val="0"/>
          <w:szCs w:val="24"/>
          <w:highlight w:val="none"/>
        </w:rPr>
        <w:t>“重大缺陷”：指严重缺陷和致命缺陷。</w:t>
      </w:r>
    </w:p>
    <w:p w14:paraId="314E9F25">
      <w:pPr>
        <w:spacing w:line="360" w:lineRule="auto"/>
        <w:ind w:left="-2" w:leftChars="-1" w:firstLine="480" w:firstLineChars="200"/>
        <w:rPr>
          <w:rFonts w:ascii="宋体" w:eastAsia="宋体"/>
          <w:spacing w:val="0"/>
          <w:highlight w:val="none"/>
        </w:rPr>
      </w:pPr>
    </w:p>
    <w:p w14:paraId="501047C6">
      <w:pPr>
        <w:rPr>
          <w:rFonts w:ascii="宋体" w:eastAsia="宋体"/>
          <w:b/>
          <w:spacing w:val="0"/>
          <w:highlight w:val="none"/>
        </w:rPr>
      </w:pPr>
      <w:r>
        <w:rPr>
          <w:rFonts w:hint="eastAsia" w:ascii="宋体" w:eastAsia="宋体"/>
          <w:b/>
          <w:spacing w:val="0"/>
          <w:highlight w:val="none"/>
        </w:rPr>
        <w:t>第二条</w:t>
      </w:r>
      <w:bookmarkStart w:id="292" w:name="_Toc58337493"/>
      <w:r>
        <w:rPr>
          <w:rFonts w:hint="eastAsia" w:ascii="宋体" w:eastAsia="宋体"/>
          <w:b/>
          <w:spacing w:val="0"/>
          <w:highlight w:val="none"/>
        </w:rPr>
        <w:t xml:space="preserve"> 项目名称</w:t>
      </w:r>
      <w:r>
        <w:rPr>
          <w:rFonts w:ascii="宋体" w:eastAsia="宋体"/>
          <w:b/>
          <w:spacing w:val="0"/>
          <w:highlight w:val="none"/>
        </w:rPr>
        <w:t>、</w:t>
      </w:r>
      <w:r>
        <w:rPr>
          <w:rFonts w:hint="eastAsia" w:ascii="宋体" w:eastAsia="宋体"/>
          <w:b/>
          <w:spacing w:val="0"/>
          <w:highlight w:val="none"/>
        </w:rPr>
        <w:t>内容及要求</w:t>
      </w:r>
      <w:bookmarkEnd w:id="292"/>
    </w:p>
    <w:p w14:paraId="650E4FCB">
      <w:pPr>
        <w:spacing w:line="360" w:lineRule="auto"/>
        <w:ind w:firstLine="480" w:firstLineChars="200"/>
        <w:rPr>
          <w:rFonts w:ascii="宋体" w:eastAsia="宋体"/>
          <w:spacing w:val="0"/>
          <w:highlight w:val="none"/>
        </w:rPr>
      </w:pPr>
      <w:r>
        <w:rPr>
          <w:rFonts w:hint="eastAsia" w:ascii="宋体" w:eastAsia="宋体"/>
          <w:spacing w:val="0"/>
          <w:highlight w:val="none"/>
        </w:rPr>
        <w:t>2.1项目名称</w:t>
      </w:r>
      <w:r>
        <w:rPr>
          <w:rFonts w:ascii="宋体" w:eastAsia="宋体"/>
          <w:spacing w:val="0"/>
          <w:highlight w:val="none"/>
        </w:rPr>
        <w:t>：重庆三峡银行绿色金融管理系统项目</w:t>
      </w:r>
    </w:p>
    <w:p w14:paraId="02EFD962">
      <w:pPr>
        <w:spacing w:beforeAutospacing="0" w:afterAutospacing="0" w:line="360" w:lineRule="auto"/>
        <w:ind w:firstLine="480" w:firstLineChars="200"/>
        <w:rPr>
          <w:rFonts w:ascii="宋体" w:eastAsia="宋体"/>
          <w:spacing w:val="0"/>
          <w:highlight w:val="none"/>
        </w:rPr>
      </w:pPr>
      <w:bookmarkStart w:id="293" w:name="_Toc58337494"/>
      <w:r>
        <w:rPr>
          <w:rFonts w:hint="eastAsia" w:ascii="宋体" w:eastAsia="宋体"/>
          <w:spacing w:val="0"/>
          <w:highlight w:val="none"/>
        </w:rPr>
        <w:t>2.2项目内容</w:t>
      </w:r>
      <w:r>
        <w:rPr>
          <w:rFonts w:ascii="宋体" w:eastAsia="宋体"/>
          <w:spacing w:val="0"/>
          <w:highlight w:val="none"/>
        </w:rPr>
        <w:t>、</w:t>
      </w:r>
      <w:r>
        <w:rPr>
          <w:rFonts w:hint="eastAsia" w:ascii="宋体" w:eastAsia="宋体"/>
          <w:spacing w:val="0"/>
          <w:highlight w:val="none"/>
        </w:rPr>
        <w:t>范围及要求</w:t>
      </w:r>
      <w:bookmarkEnd w:id="293"/>
    </w:p>
    <w:p w14:paraId="2B9BB117">
      <w:pPr>
        <w:keepLines w:val="0"/>
        <w:pageBreakBefore w:val="0"/>
        <w:widowControl w:val="0"/>
        <w:kinsoku/>
        <w:wordWrap/>
        <w:overflowPunct/>
        <w:topLinePunct w:val="0"/>
        <w:autoSpaceDE/>
        <w:autoSpaceDN/>
        <w:snapToGrid w:val="0"/>
        <w:spacing w:beforeAutospacing="0" w:afterAutospacing="0" w:line="360" w:lineRule="auto"/>
        <w:ind w:firstLine="480" w:firstLineChars="200"/>
        <w:rPr>
          <w:rFonts w:ascii="宋体" w:hAnsi="Times New Roman"/>
          <w:highlight w:val="none"/>
        </w:rPr>
      </w:pPr>
      <w:r>
        <w:rPr>
          <w:rFonts w:ascii="宋体" w:hAnsi="Times New Roman"/>
          <w:highlight w:val="none"/>
        </w:rPr>
        <w:t>我行建设绿色金融系统将与我行信贷系统连通，将指导客户经理对所有存量业务进行补录及重新识别，对新增业务进行及时识别，并根据监管要求准确、有效地辨别绿色贷款相关规则，自动生成环境效益测算结果，辅助我行绿色贷款的识别测算、统计分析、报表生成、环境信息预警及环境社会信息披露等，降低人工差错率。</w:t>
      </w:r>
    </w:p>
    <w:p w14:paraId="01E8F42F">
      <w:pPr>
        <w:keepLines w:val="0"/>
        <w:pageBreakBefore w:val="0"/>
        <w:widowControl w:val="0"/>
        <w:kinsoku/>
        <w:wordWrap/>
        <w:overflowPunct/>
        <w:topLinePunct w:val="0"/>
        <w:autoSpaceDE/>
        <w:autoSpaceDN/>
        <w:snapToGrid w:val="0"/>
        <w:spacing w:beforeAutospacing="0" w:afterAutospacing="0" w:line="360" w:lineRule="auto"/>
        <w:ind w:firstLine="480" w:firstLineChars="200"/>
        <w:rPr>
          <w:rFonts w:ascii="宋体" w:eastAsia="宋体"/>
          <w:i/>
          <w:spacing w:val="0"/>
          <w:highlight w:val="none"/>
        </w:rPr>
      </w:pPr>
      <w:r>
        <w:rPr>
          <w:rFonts w:hint="eastAsia" w:ascii="宋体" w:eastAsia="宋体"/>
          <w:spacing w:val="0"/>
          <w:highlight w:val="none"/>
        </w:rPr>
        <w:t>详细内容参考附件一《工作（需求）说明书》，最终以附件一中双方约定的内容为准。</w:t>
      </w:r>
    </w:p>
    <w:p w14:paraId="01D9B86F">
      <w:pPr>
        <w:snapToGrid w:val="0"/>
        <w:spacing w:line="360" w:lineRule="auto"/>
        <w:ind w:firstLine="480" w:firstLineChars="200"/>
        <w:rPr>
          <w:rFonts w:ascii="宋体" w:eastAsia="宋体"/>
          <w:spacing w:val="0"/>
          <w:highlight w:val="none"/>
        </w:rPr>
      </w:pPr>
      <w:bookmarkStart w:id="294" w:name="_Toc58337495"/>
      <w:r>
        <w:rPr>
          <w:rFonts w:hint="eastAsia" w:ascii="宋体" w:eastAsia="宋体"/>
          <w:spacing w:val="0"/>
          <w:highlight w:val="none"/>
        </w:rPr>
        <w:t>2.3技术指标和质量要求</w:t>
      </w:r>
      <w:bookmarkEnd w:id="294"/>
      <w:r>
        <w:rPr>
          <w:rFonts w:hint="eastAsia" w:ascii="宋体" w:eastAsia="宋体"/>
          <w:spacing w:val="0"/>
          <w:highlight w:val="none"/>
        </w:rPr>
        <w:t>。</w:t>
      </w:r>
    </w:p>
    <w:p w14:paraId="1237ADCF">
      <w:pPr>
        <w:snapToGrid w:val="0"/>
        <w:spacing w:line="360" w:lineRule="auto"/>
        <w:ind w:firstLine="480" w:firstLineChars="200"/>
        <w:rPr>
          <w:rFonts w:ascii="宋体" w:eastAsia="宋体"/>
          <w:spacing w:val="0"/>
          <w:highlight w:val="none"/>
        </w:rPr>
      </w:pPr>
      <w:r>
        <w:rPr>
          <w:rFonts w:hint="eastAsia" w:ascii="宋体" w:eastAsia="宋体"/>
          <w:spacing w:val="0"/>
          <w:highlight w:val="none"/>
        </w:rPr>
        <w:t>见附件一、附件四。</w:t>
      </w:r>
    </w:p>
    <w:p w14:paraId="1C4A300F">
      <w:pPr>
        <w:snapToGrid w:val="0"/>
        <w:spacing w:line="360" w:lineRule="auto"/>
        <w:ind w:firstLine="480" w:firstLineChars="200"/>
        <w:rPr>
          <w:rFonts w:ascii="宋体" w:eastAsia="宋体"/>
          <w:spacing w:val="0"/>
          <w:highlight w:val="none"/>
        </w:rPr>
      </w:pPr>
      <w:bookmarkStart w:id="295" w:name="_Toc58337496"/>
      <w:r>
        <w:rPr>
          <w:rFonts w:hint="eastAsia" w:ascii="宋体" w:eastAsia="宋体"/>
          <w:spacing w:val="0"/>
          <w:highlight w:val="none"/>
        </w:rPr>
        <w:t>2.4应当遵循的标准和规范</w:t>
      </w:r>
      <w:bookmarkEnd w:id="295"/>
      <w:r>
        <w:rPr>
          <w:rFonts w:hint="eastAsia" w:ascii="宋体" w:eastAsia="宋体"/>
          <w:spacing w:val="0"/>
          <w:highlight w:val="none"/>
        </w:rPr>
        <w:t>。</w:t>
      </w:r>
    </w:p>
    <w:p w14:paraId="65ABA7F4">
      <w:pPr>
        <w:snapToGrid w:val="0"/>
        <w:spacing w:line="360" w:lineRule="auto"/>
        <w:ind w:firstLine="420"/>
        <w:rPr>
          <w:rFonts w:ascii="宋体" w:eastAsia="宋体"/>
          <w:spacing w:val="0"/>
          <w:highlight w:val="none"/>
        </w:rPr>
      </w:pPr>
      <w:r>
        <w:rPr>
          <w:rFonts w:hint="eastAsia" w:ascii="宋体" w:eastAsia="宋体"/>
          <w:spacing w:val="0"/>
          <w:highlight w:val="none"/>
        </w:rPr>
        <w:t>乙方交付的</w:t>
      </w:r>
      <w:r>
        <w:rPr>
          <w:rFonts w:ascii="宋体" w:eastAsia="宋体"/>
          <w:spacing w:val="0"/>
          <w:highlight w:val="none"/>
        </w:rPr>
        <w:t>绿色金融管理系统项目</w:t>
      </w:r>
      <w:r>
        <w:rPr>
          <w:rFonts w:hint="eastAsia" w:ascii="宋体" w:eastAsia="宋体"/>
          <w:spacing w:val="0"/>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68156F47">
      <w:pPr>
        <w:snapToGrid w:val="0"/>
        <w:spacing w:line="360" w:lineRule="auto"/>
        <w:ind w:firstLine="420"/>
        <w:rPr>
          <w:rFonts w:ascii="宋体" w:eastAsia="宋体"/>
          <w:spacing w:val="0"/>
          <w:highlight w:val="none"/>
        </w:rPr>
      </w:pPr>
    </w:p>
    <w:p w14:paraId="301E3AF2">
      <w:pPr>
        <w:rPr>
          <w:rFonts w:ascii="宋体" w:eastAsia="宋体"/>
          <w:b/>
          <w:spacing w:val="0"/>
          <w:highlight w:val="none"/>
        </w:rPr>
      </w:pPr>
      <w:r>
        <w:rPr>
          <w:rFonts w:hint="eastAsia" w:ascii="宋体" w:eastAsia="宋体"/>
          <w:b/>
          <w:spacing w:val="0"/>
          <w:highlight w:val="none"/>
        </w:rPr>
        <w:t>第三条 项目履行的进度、期限、地点、地域、方式</w:t>
      </w:r>
    </w:p>
    <w:p w14:paraId="76419DE2">
      <w:pPr>
        <w:spacing w:line="360" w:lineRule="auto"/>
        <w:ind w:firstLine="480" w:firstLineChars="200"/>
        <w:rPr>
          <w:rFonts w:ascii="宋体" w:eastAsia="宋体"/>
          <w:spacing w:val="0"/>
          <w:highlight w:val="none"/>
        </w:rPr>
      </w:pPr>
      <w:r>
        <w:rPr>
          <w:rFonts w:hint="eastAsia" w:ascii="宋体" w:eastAsia="宋体"/>
          <w:spacing w:val="0"/>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eastAsia="宋体"/>
          <w:spacing w:val="0"/>
          <w:kern w:val="0"/>
          <w:highlight w:val="none"/>
        </w:rPr>
        <w:t>替换人员技术水平或级别需不低于</w:t>
      </w:r>
      <w:r>
        <w:rPr>
          <w:rFonts w:hint="eastAsia" w:ascii="宋体" w:eastAsia="宋体"/>
          <w:spacing w:val="0"/>
          <w:highlight w:val="none"/>
        </w:rPr>
        <w:t>被替换的人员</w:t>
      </w:r>
      <w:r>
        <w:rPr>
          <w:rFonts w:hint="eastAsia" w:ascii="宋体" w:eastAsia="宋体"/>
          <w:spacing w:val="0"/>
          <w:kern w:val="0"/>
          <w:highlight w:val="none"/>
        </w:rPr>
        <w:t>水平或级别</w:t>
      </w:r>
      <w:r>
        <w:rPr>
          <w:rFonts w:hint="eastAsia" w:ascii="宋体" w:eastAsia="宋体"/>
          <w:spacing w:val="0"/>
          <w:highlight w:val="none"/>
        </w:rPr>
        <w:t>，并需通过甲方考察并取得甲方同意，否则甲方有权要求更换。</w:t>
      </w:r>
    </w:p>
    <w:p w14:paraId="1D070B84">
      <w:pPr>
        <w:spacing w:line="360" w:lineRule="auto"/>
        <w:ind w:firstLine="480" w:firstLineChars="200"/>
        <w:rPr>
          <w:rFonts w:ascii="宋体" w:eastAsia="宋体"/>
          <w:spacing w:val="0"/>
          <w:highlight w:val="none"/>
        </w:rPr>
      </w:pPr>
      <w:r>
        <w:rPr>
          <w:rFonts w:hint="eastAsia" w:ascii="宋体" w:eastAsia="宋体"/>
          <w:spacing w:val="0"/>
          <w:highlight w:val="none"/>
        </w:rPr>
        <w:t>3.2进度：乙方应严格按照3.3所列示的期限完成项目实施任务。</w:t>
      </w:r>
    </w:p>
    <w:p w14:paraId="53DEB607">
      <w:pPr>
        <w:spacing w:line="360" w:lineRule="auto"/>
        <w:ind w:firstLine="480" w:firstLineChars="200"/>
        <w:rPr>
          <w:rFonts w:ascii="宋体" w:eastAsia="宋体"/>
          <w:spacing w:val="0"/>
          <w:highlight w:val="none"/>
        </w:rPr>
      </w:pPr>
      <w:r>
        <w:rPr>
          <w:rFonts w:hint="eastAsia" w:ascii="宋体" w:eastAsia="宋体"/>
          <w:spacing w:val="0"/>
          <w:highlight w:val="none"/>
        </w:rPr>
        <w:t>3.3期限：上线时间为    年    月     日</w:t>
      </w:r>
      <w:r>
        <w:rPr>
          <w:rFonts w:ascii="宋体" w:eastAsia="宋体"/>
          <w:spacing w:val="0"/>
          <w:highlight w:val="none"/>
        </w:rPr>
        <w:t>前</w:t>
      </w:r>
      <w:r>
        <w:rPr>
          <w:rFonts w:hint="eastAsia" w:ascii="宋体" w:eastAsia="宋体"/>
          <w:spacing w:val="0"/>
          <w:highlight w:val="none"/>
        </w:rPr>
        <w:t>。</w:t>
      </w:r>
    </w:p>
    <w:p w14:paraId="3D98E1A7">
      <w:pPr>
        <w:spacing w:line="360" w:lineRule="auto"/>
        <w:ind w:firstLine="480" w:firstLineChars="200"/>
        <w:rPr>
          <w:rFonts w:ascii="宋体" w:eastAsia="宋体"/>
          <w:spacing w:val="0"/>
          <w:highlight w:val="none"/>
        </w:rPr>
      </w:pPr>
      <w:r>
        <w:rPr>
          <w:rFonts w:hint="eastAsia" w:ascii="宋体" w:eastAsia="宋体"/>
          <w:spacing w:val="0"/>
          <w:highlight w:val="none"/>
        </w:rPr>
        <w:t>3.4地点：乙方完成项目实施工作的地点为：</w:t>
      </w:r>
      <w:r>
        <w:rPr>
          <w:rFonts w:hint="eastAsia" w:ascii="宋体" w:eastAsia="宋体"/>
          <w:spacing w:val="0"/>
          <w:highlight w:val="none"/>
          <w:u w:val="single"/>
        </w:rPr>
        <w:t>重庆</w:t>
      </w:r>
      <w:r>
        <w:rPr>
          <w:rFonts w:hint="eastAsia" w:ascii="宋体" w:eastAsia="宋体"/>
          <w:spacing w:val="0"/>
          <w:highlight w:val="none"/>
        </w:rPr>
        <w:t>；【驻场】实施。</w:t>
      </w:r>
    </w:p>
    <w:p w14:paraId="6F7C385D">
      <w:pPr>
        <w:spacing w:line="360" w:lineRule="auto"/>
        <w:ind w:firstLine="480" w:firstLineChars="200"/>
        <w:rPr>
          <w:rFonts w:ascii="宋体" w:eastAsia="宋体"/>
          <w:spacing w:val="0"/>
          <w:highlight w:val="none"/>
        </w:rPr>
      </w:pPr>
      <w:r>
        <w:rPr>
          <w:rFonts w:hint="eastAsia" w:ascii="宋体" w:eastAsia="宋体"/>
          <w:spacing w:val="0"/>
          <w:highlight w:val="none"/>
        </w:rPr>
        <w:t>3.5地域：本项目适用机构所在地域包括：</w:t>
      </w:r>
      <w:r>
        <w:rPr>
          <w:rFonts w:hint="eastAsia" w:ascii="宋体" w:eastAsia="宋体"/>
          <w:spacing w:val="0"/>
          <w:highlight w:val="none"/>
          <w:u w:val="single"/>
        </w:rPr>
        <w:t>重庆三峡银行总行各部门及辖内各经营机构</w:t>
      </w:r>
      <w:r>
        <w:rPr>
          <w:rFonts w:hint="eastAsia" w:ascii="宋体" w:eastAsia="宋体"/>
          <w:spacing w:val="0"/>
          <w:highlight w:val="none"/>
        </w:rPr>
        <w:t>。</w:t>
      </w:r>
    </w:p>
    <w:p w14:paraId="1D7391E5">
      <w:pPr>
        <w:spacing w:line="360" w:lineRule="auto"/>
        <w:ind w:firstLine="480" w:firstLineChars="200"/>
        <w:rPr>
          <w:rFonts w:ascii="宋体" w:eastAsia="宋体"/>
          <w:spacing w:val="0"/>
          <w:highlight w:val="none"/>
        </w:rPr>
      </w:pPr>
      <w:r>
        <w:rPr>
          <w:rFonts w:hint="eastAsia" w:ascii="宋体" w:eastAsia="宋体"/>
          <w:spacing w:val="0"/>
          <w:highlight w:val="none"/>
        </w:rPr>
        <w:t>3.6方式：</w:t>
      </w:r>
    </w:p>
    <w:p w14:paraId="34423880">
      <w:pPr>
        <w:spacing w:line="360" w:lineRule="auto"/>
        <w:ind w:firstLine="480" w:firstLineChars="200"/>
        <w:rPr>
          <w:rFonts w:ascii="宋体" w:eastAsia="宋体"/>
          <w:spacing w:val="0"/>
          <w:highlight w:val="none"/>
        </w:rPr>
      </w:pPr>
      <w:r>
        <w:rPr>
          <w:rFonts w:hint="eastAsia" w:ascii="宋体" w:eastAsia="宋体"/>
          <w:spacing w:val="0"/>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54A4962">
      <w:pPr>
        <w:spacing w:line="360" w:lineRule="auto"/>
        <w:ind w:firstLine="480" w:firstLineChars="200"/>
        <w:rPr>
          <w:rFonts w:ascii="宋体" w:eastAsia="宋体"/>
          <w:spacing w:val="0"/>
          <w:highlight w:val="none"/>
        </w:rPr>
      </w:pPr>
      <w:r>
        <w:rPr>
          <w:rFonts w:hint="eastAsia" w:ascii="宋体" w:eastAsia="宋体"/>
          <w:spacing w:val="0"/>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2D620E35">
      <w:pPr>
        <w:spacing w:line="360" w:lineRule="auto"/>
        <w:ind w:firstLine="480" w:firstLineChars="200"/>
        <w:rPr>
          <w:rFonts w:ascii="宋体" w:eastAsia="宋体"/>
          <w:spacing w:val="0"/>
          <w:highlight w:val="none"/>
        </w:rPr>
      </w:pPr>
    </w:p>
    <w:p w14:paraId="126CB9C7">
      <w:pPr>
        <w:rPr>
          <w:highlight w:val="none"/>
        </w:rPr>
      </w:pPr>
      <w:r>
        <w:rPr>
          <w:rFonts w:hint="eastAsia" w:ascii="宋体" w:eastAsia="宋体"/>
          <w:b/>
          <w:spacing w:val="0"/>
          <w:highlight w:val="none"/>
        </w:rPr>
        <w:t>第四条 方案调整</w:t>
      </w:r>
    </w:p>
    <w:p w14:paraId="4A2C4136">
      <w:pPr>
        <w:spacing w:line="360" w:lineRule="auto"/>
        <w:ind w:firstLine="480" w:firstLineChars="200"/>
        <w:rPr>
          <w:rFonts w:ascii="宋体" w:eastAsia="宋体"/>
          <w:spacing w:val="0"/>
          <w:highlight w:val="none"/>
        </w:rPr>
      </w:pPr>
      <w:r>
        <w:rPr>
          <w:rStyle w:val="45"/>
          <w:rFonts w:hint="eastAsia" w:ascii="宋体" w:eastAsia="宋体"/>
          <w:spacing w:val="0"/>
          <w:kern w:val="0"/>
          <w:highlight w:val="none"/>
        </w:rPr>
        <w:t>4.1因甲方原因提出导致增加【</w:t>
      </w:r>
      <w:r>
        <w:rPr>
          <w:rStyle w:val="45"/>
          <w:rFonts w:ascii="宋体" w:eastAsia="宋体"/>
          <w:spacing w:val="0"/>
          <w:kern w:val="0"/>
          <w:highlight w:val="none"/>
        </w:rPr>
        <w:t>2</w:t>
      </w:r>
      <w:r>
        <w:rPr>
          <w:rStyle w:val="45"/>
          <w:rFonts w:hint="eastAsia" w:ascii="宋体" w:eastAsia="宋体"/>
          <w:spacing w:val="0"/>
          <w:kern w:val="0"/>
          <w:highlight w:val="none"/>
        </w:rPr>
        <w:t>】∕人∕月以上工作量的需求变更，</w:t>
      </w:r>
      <w:r>
        <w:rPr>
          <w:rFonts w:hint="eastAsia" w:ascii="宋体" w:eastAsia="宋体"/>
          <w:spacing w:val="0"/>
          <w:highlight w:val="none"/>
        </w:rPr>
        <w:t>须通知乙方并由乙方确认</w:t>
      </w:r>
      <w:r>
        <w:rPr>
          <w:rStyle w:val="45"/>
          <w:rFonts w:hint="eastAsia" w:ascii="宋体" w:eastAsia="宋体"/>
          <w:spacing w:val="0"/>
          <w:kern w:val="0"/>
          <w:highlight w:val="none"/>
        </w:rPr>
        <w:t>，对此</w:t>
      </w:r>
      <w:r>
        <w:rPr>
          <w:rFonts w:hint="eastAsia" w:ascii="宋体" w:eastAsia="宋体"/>
          <w:spacing w:val="0"/>
          <w:highlight w:val="none"/>
        </w:rPr>
        <w:t>变更给乙方带来的额外劳动部分甲乙双方协商解决，由此变更导致项目进度延期不构成违约。但4.2款确认的，由乙方原因引起的工作量，甲方无需承担任何费用。</w:t>
      </w:r>
    </w:p>
    <w:p w14:paraId="340FE8FD">
      <w:pPr>
        <w:spacing w:line="360" w:lineRule="auto"/>
        <w:ind w:firstLine="480" w:firstLineChars="200"/>
        <w:rPr>
          <w:rFonts w:ascii="宋体" w:eastAsia="宋体"/>
          <w:spacing w:val="0"/>
          <w:highlight w:val="none"/>
        </w:rPr>
      </w:pPr>
      <w:r>
        <w:rPr>
          <w:rFonts w:hint="eastAsia" w:ascii="宋体" w:eastAsia="宋体"/>
          <w:spacing w:val="0"/>
          <w:highlight w:val="none"/>
        </w:rPr>
        <w:t>4.2 方案一经双方确认，任何一方有方案调整意见，均需与对方签字确认。</w:t>
      </w:r>
    </w:p>
    <w:p w14:paraId="65E8DE55">
      <w:pPr>
        <w:spacing w:line="360" w:lineRule="auto"/>
        <w:ind w:firstLine="480" w:firstLineChars="200"/>
        <w:rPr>
          <w:rFonts w:ascii="宋体" w:eastAsia="宋体"/>
          <w:spacing w:val="0"/>
          <w:highlight w:val="none"/>
        </w:rPr>
      </w:pPr>
    </w:p>
    <w:p w14:paraId="65568804">
      <w:pPr>
        <w:rPr>
          <w:rFonts w:ascii="宋体" w:eastAsia="宋体"/>
          <w:b/>
          <w:spacing w:val="0"/>
          <w:highlight w:val="none"/>
        </w:rPr>
      </w:pPr>
      <w:r>
        <w:rPr>
          <w:rFonts w:hint="eastAsia" w:ascii="宋体" w:eastAsia="宋体"/>
          <w:b/>
          <w:spacing w:val="0"/>
          <w:highlight w:val="none"/>
        </w:rPr>
        <w:t>第五条 验收</w:t>
      </w:r>
    </w:p>
    <w:p w14:paraId="15A8D090">
      <w:pPr>
        <w:pStyle w:val="10"/>
        <w:spacing w:before="50" w:beforeLines="0" w:line="360" w:lineRule="auto"/>
        <w:ind w:left="0" w:leftChars="0" w:firstLine="480" w:firstLineChars="200"/>
        <w:rPr>
          <w:rFonts w:ascii="宋体" w:eastAsia="宋体"/>
          <w:spacing w:val="0"/>
          <w:kern w:val="0"/>
          <w:highlight w:val="none"/>
        </w:rPr>
      </w:pPr>
      <w:r>
        <w:rPr>
          <w:rFonts w:hint="eastAsia" w:ascii="宋体" w:eastAsia="宋体"/>
          <w:spacing w:val="0"/>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eastAsia="宋体"/>
          <w:bCs/>
          <w:spacing w:val="0"/>
          <w:kern w:val="0"/>
          <w:highlight w:val="none"/>
        </w:rPr>
        <w:t>本合同中的系统出现的任何问题，乙方应及时解决，保证试运行期间的稳定运行；试运行期间若出现</w:t>
      </w:r>
      <w:r>
        <w:rPr>
          <w:rFonts w:hint="eastAsia" w:ascii="宋体" w:eastAsia="宋体" w:cs="宋体"/>
          <w:bCs/>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highlight w:val="none"/>
        </w:rPr>
        <w:t>在符合甲方项目预期目标且试运行满</w:t>
      </w:r>
      <w:r>
        <w:rPr>
          <w:rFonts w:hint="eastAsia" w:ascii="宋体" w:eastAsia="宋体"/>
          <w:spacing w:val="0"/>
          <w:kern w:val="0"/>
          <w:highlight w:val="none"/>
          <w:u w:val="single"/>
        </w:rPr>
        <w:t>三个月</w:t>
      </w:r>
      <w:r>
        <w:rPr>
          <w:rFonts w:hint="eastAsia" w:ascii="宋体" w:eastAsia="宋体"/>
          <w:spacing w:val="0"/>
          <w:kern w:val="0"/>
          <w:highlight w:val="none"/>
        </w:rPr>
        <w:t>后，由甲方按照合同约定进行正式验收，验收通过后签署验收表或验收报告。</w:t>
      </w:r>
    </w:p>
    <w:p w14:paraId="187473B4">
      <w:pPr>
        <w:pStyle w:val="10"/>
        <w:spacing w:before="50" w:beforeLines="0" w:line="360" w:lineRule="auto"/>
        <w:ind w:left="0" w:leftChars="0" w:firstLine="480" w:firstLineChars="200"/>
        <w:rPr>
          <w:rFonts w:ascii="宋体" w:eastAsia="宋体"/>
          <w:spacing w:val="0"/>
          <w:kern w:val="0"/>
          <w:highlight w:val="none"/>
        </w:rPr>
      </w:pPr>
      <w:r>
        <w:rPr>
          <w:rFonts w:hint="eastAsia" w:ascii="宋体" w:eastAsia="宋体"/>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066E4FA9">
      <w:pPr>
        <w:pStyle w:val="10"/>
        <w:spacing w:before="50" w:beforeLines="0" w:line="360" w:lineRule="auto"/>
        <w:ind w:left="0" w:leftChars="0" w:firstLine="480" w:firstLineChars="200"/>
        <w:rPr>
          <w:rStyle w:val="45"/>
          <w:rFonts w:ascii="宋体" w:eastAsia="宋体"/>
          <w:spacing w:val="0"/>
          <w:kern w:val="0"/>
          <w:highlight w:val="none"/>
        </w:rPr>
      </w:pPr>
    </w:p>
    <w:p w14:paraId="4A842586">
      <w:pPr>
        <w:rPr>
          <w:rFonts w:ascii="宋体" w:eastAsia="宋体"/>
          <w:b/>
          <w:spacing w:val="0"/>
          <w:highlight w:val="none"/>
        </w:rPr>
      </w:pPr>
      <w:r>
        <w:rPr>
          <w:rFonts w:hint="eastAsia" w:ascii="宋体" w:eastAsia="宋体"/>
          <w:b/>
          <w:spacing w:val="0"/>
          <w:highlight w:val="none"/>
        </w:rPr>
        <w:t>第六条 交付使用后维护期、系统完善和保修维护服务</w:t>
      </w:r>
    </w:p>
    <w:p w14:paraId="34C50271">
      <w:pPr>
        <w:tabs>
          <w:tab w:val="left" w:pos="851"/>
        </w:tabs>
        <w:spacing w:line="360" w:lineRule="auto"/>
        <w:ind w:firstLine="480" w:firstLineChars="200"/>
        <w:rPr>
          <w:rFonts w:ascii="宋体" w:eastAsia="宋体"/>
          <w:spacing w:val="0"/>
          <w:highlight w:val="none"/>
        </w:rPr>
      </w:pPr>
      <w:r>
        <w:rPr>
          <w:rFonts w:hint="eastAsia" w:ascii="宋体" w:eastAsia="宋体"/>
          <w:spacing w:val="0"/>
          <w:highlight w:val="none"/>
        </w:rPr>
        <w:t>6.1本合同金额包含【】年维护，维护期为自本产品</w:t>
      </w:r>
      <w:r>
        <w:rPr>
          <w:rFonts w:hint="eastAsia" w:ascii="宋体" w:eastAsia="宋体"/>
          <w:spacing w:val="0"/>
          <w:kern w:val="0"/>
          <w:highlight w:val="none"/>
        </w:rPr>
        <w:t>正式</w:t>
      </w:r>
      <w:r>
        <w:rPr>
          <w:rFonts w:hint="eastAsia" w:ascii="宋体" w:eastAsia="宋体"/>
          <w:spacing w:val="0"/>
          <w:highlight w:val="none"/>
        </w:rPr>
        <w:t>验收合格后次日至次年并延期至6月30日或12月31日中较近日期（即维保延期最长不超过半年）。</w:t>
      </w:r>
    </w:p>
    <w:p w14:paraId="0D200BCF">
      <w:pPr>
        <w:tabs>
          <w:tab w:val="left" w:pos="851"/>
        </w:tabs>
        <w:spacing w:line="360" w:lineRule="auto"/>
        <w:ind w:firstLine="480" w:firstLineChars="200"/>
        <w:rPr>
          <w:rFonts w:ascii="宋体" w:eastAsia="宋体"/>
          <w:spacing w:val="0"/>
          <w:highlight w:val="none"/>
        </w:rPr>
      </w:pPr>
      <w:r>
        <w:rPr>
          <w:rFonts w:hint="eastAsia" w:ascii="宋体" w:eastAsia="宋体"/>
          <w:spacing w:val="0"/>
          <w:highlight w:val="none"/>
        </w:rPr>
        <w:t>6.2本合同产品的有偿技术服务期为本合同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维护期到期之日起</w:t>
      </w:r>
      <w:r>
        <w:rPr>
          <w:rFonts w:hint="eastAsia" w:ascii="宋体" w:eastAsia="宋体"/>
          <w:spacing w:val="0"/>
          <w:highlight w:val="none"/>
          <w:u w:val="single"/>
        </w:rPr>
        <w:t>10</w:t>
      </w:r>
      <w:r>
        <w:rPr>
          <w:rFonts w:hint="eastAsia" w:ascii="宋体" w:eastAsia="宋体"/>
          <w:spacing w:val="0"/>
          <w:highlight w:val="none"/>
        </w:rPr>
        <w:t>年。本项目产品服务期内（包括本合同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维护期与有偿技术服务期）如甲方对照附件一发现项目存在技术缺陷和隐蔽瑕疵，乙方应负责予以解决并应承担相应法律责任。</w:t>
      </w:r>
    </w:p>
    <w:p w14:paraId="1E50CE25">
      <w:pPr>
        <w:spacing w:line="360" w:lineRule="auto"/>
        <w:ind w:firstLine="480" w:firstLineChars="200"/>
        <w:rPr>
          <w:rFonts w:ascii="宋体" w:eastAsia="宋体"/>
          <w:spacing w:val="0"/>
          <w:highlight w:val="none"/>
        </w:rPr>
      </w:pPr>
      <w:r>
        <w:rPr>
          <w:rFonts w:hint="eastAsia" w:ascii="宋体" w:eastAsia="宋体"/>
          <w:spacing w:val="0"/>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9AE027E">
      <w:pPr>
        <w:spacing w:line="360" w:lineRule="auto"/>
        <w:ind w:firstLine="480" w:firstLineChars="200"/>
        <w:rPr>
          <w:rFonts w:ascii="宋体" w:eastAsia="宋体"/>
          <w:spacing w:val="0"/>
          <w:highlight w:val="none"/>
        </w:rPr>
      </w:pPr>
      <w:r>
        <w:rPr>
          <w:rFonts w:hint="eastAsia" w:ascii="宋体" w:eastAsia="宋体"/>
          <w:spacing w:val="0"/>
          <w:highlight w:val="none"/>
        </w:rPr>
        <w:t>6.4 维护服务期内（包括本合同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维护期与有偿技术服务期）的服务内容和服务方式详见附件四《维护服务条款》。</w:t>
      </w:r>
    </w:p>
    <w:p w14:paraId="478A444B">
      <w:pPr>
        <w:spacing w:line="360" w:lineRule="auto"/>
        <w:ind w:firstLine="480" w:firstLineChars="200"/>
        <w:rPr>
          <w:rFonts w:ascii="宋体" w:eastAsia="宋体"/>
          <w:spacing w:val="0"/>
          <w:highlight w:val="none"/>
        </w:rPr>
      </w:pPr>
      <w:r>
        <w:rPr>
          <w:rFonts w:hint="eastAsia" w:ascii="宋体" w:eastAsia="宋体"/>
          <w:spacing w:val="0"/>
          <w:highlight w:val="none"/>
        </w:rPr>
        <w:t>6.5上述服务，不包括由下列事件引起的故障：</w:t>
      </w:r>
    </w:p>
    <w:p w14:paraId="51E369D6">
      <w:pPr>
        <w:spacing w:line="360" w:lineRule="auto"/>
        <w:ind w:firstLine="480" w:firstLineChars="200"/>
        <w:rPr>
          <w:rFonts w:ascii="宋体" w:eastAsia="宋体"/>
          <w:spacing w:val="0"/>
          <w:highlight w:val="none"/>
        </w:rPr>
      </w:pPr>
      <w:r>
        <w:rPr>
          <w:rFonts w:hint="eastAsia" w:ascii="宋体" w:eastAsia="宋体"/>
          <w:spacing w:val="0"/>
          <w:highlight w:val="none"/>
        </w:rPr>
        <w:t>6.5.1 未能为系统提供适当的外部环境-如必要的系统环境、必要的管理体系、未能按照乙方要求配备资源等。</w:t>
      </w:r>
    </w:p>
    <w:p w14:paraId="25D14283">
      <w:pPr>
        <w:spacing w:line="360" w:lineRule="auto"/>
        <w:ind w:firstLine="480" w:firstLineChars="200"/>
        <w:rPr>
          <w:rFonts w:ascii="宋体" w:eastAsia="宋体"/>
          <w:spacing w:val="0"/>
          <w:highlight w:val="none"/>
        </w:rPr>
      </w:pPr>
      <w:r>
        <w:rPr>
          <w:rFonts w:hint="eastAsia" w:ascii="宋体" w:eastAsia="宋体"/>
          <w:spacing w:val="0"/>
          <w:highlight w:val="none"/>
        </w:rPr>
        <w:t>6.5.2 使用并非由乙方提供的产品或服务。</w:t>
      </w:r>
    </w:p>
    <w:p w14:paraId="06C0E320">
      <w:pPr>
        <w:spacing w:line="360" w:lineRule="auto"/>
        <w:ind w:firstLine="480" w:firstLineChars="200"/>
        <w:rPr>
          <w:rFonts w:ascii="宋体" w:eastAsia="宋体"/>
          <w:spacing w:val="0"/>
          <w:highlight w:val="none"/>
        </w:rPr>
      </w:pPr>
      <w:r>
        <w:rPr>
          <w:rFonts w:hint="eastAsia" w:ascii="宋体" w:eastAsia="宋体"/>
          <w:spacing w:val="0"/>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eastAsia="宋体"/>
          <w:spacing w:val="0"/>
          <w:highlight w:val="none"/>
          <w:u w:val="single"/>
        </w:rPr>
        <w:t xml:space="preserve"> 3 </w:t>
      </w:r>
      <w:r>
        <w:rPr>
          <w:rFonts w:hint="eastAsia" w:ascii="宋体" w:eastAsia="宋体"/>
          <w:spacing w:val="0"/>
          <w:highlight w:val="none"/>
        </w:rPr>
        <w:t>日内不到甲方现场进行检修，或在收到甲方通知后</w:t>
      </w:r>
      <w:r>
        <w:rPr>
          <w:rFonts w:hint="eastAsia" w:ascii="宋体" w:eastAsia="宋体"/>
          <w:spacing w:val="0"/>
          <w:highlight w:val="none"/>
          <w:u w:val="single"/>
        </w:rPr>
        <w:t xml:space="preserve"> 10 </w:t>
      </w:r>
      <w:r>
        <w:rPr>
          <w:rFonts w:hint="eastAsia" w:ascii="宋体" w:eastAsia="宋体"/>
          <w:spacing w:val="0"/>
          <w:highlight w:val="none"/>
        </w:rPr>
        <w:t>日内仍不能纠正不符之处的，甲方有权采取其他措施（包括聘请第三方替代履行）以减少损失，由此产生的费用及相关损失由乙方负责。乙方承</w:t>
      </w:r>
    </w:p>
    <w:p w14:paraId="5B165267">
      <w:pPr>
        <w:spacing w:line="360" w:lineRule="auto"/>
        <w:rPr>
          <w:rFonts w:ascii="宋体" w:eastAsia="宋体"/>
          <w:spacing w:val="0"/>
          <w:highlight w:val="none"/>
        </w:rPr>
      </w:pPr>
      <w:r>
        <w:rPr>
          <w:rFonts w:hint="eastAsia" w:ascii="宋体" w:eastAsia="宋体"/>
          <w:spacing w:val="0"/>
          <w:highlight w:val="none"/>
        </w:rPr>
        <w:t>诺，甲方采取上述措施不必征得乙方事先同意，且不构成对乙方的任何侵权。</w:t>
      </w:r>
    </w:p>
    <w:p w14:paraId="1ADF3A05">
      <w:pPr>
        <w:spacing w:line="360" w:lineRule="auto"/>
        <w:ind w:firstLine="480" w:firstLineChars="200"/>
        <w:rPr>
          <w:rFonts w:ascii="宋体" w:eastAsia="宋体"/>
          <w:spacing w:val="0"/>
          <w:highlight w:val="none"/>
        </w:rPr>
      </w:pPr>
      <w:r>
        <w:rPr>
          <w:rFonts w:hint="eastAsia" w:ascii="宋体" w:eastAsia="宋体"/>
          <w:spacing w:val="0"/>
          <w:highlight w:val="none"/>
        </w:rPr>
        <w:t>6</w:t>
      </w:r>
      <w:r>
        <w:rPr>
          <w:rStyle w:val="45"/>
          <w:rFonts w:hint="eastAsia" w:ascii="宋体" w:eastAsia="宋体"/>
          <w:spacing w:val="0"/>
          <w:kern w:val="0"/>
          <w:highlight w:val="none"/>
        </w:rPr>
        <w:t xml:space="preserve">.7 </w:t>
      </w:r>
      <w:r>
        <w:rPr>
          <w:rFonts w:hint="eastAsia" w:ascii="宋体" w:eastAsia="宋体"/>
          <w:spacing w:val="0"/>
          <w:highlight w:val="none"/>
        </w:rPr>
        <w:t>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维护期结束后的</w:t>
      </w:r>
      <w:r>
        <w:rPr>
          <w:rFonts w:hint="eastAsia" w:ascii="宋体" w:eastAsia="宋体"/>
          <w:spacing w:val="0"/>
          <w:highlight w:val="none"/>
          <w:u w:val="single"/>
        </w:rPr>
        <w:t>10年</w:t>
      </w:r>
      <w:r>
        <w:rPr>
          <w:rFonts w:hint="eastAsia" w:ascii="宋体" w:eastAsia="宋体"/>
          <w:spacing w:val="0"/>
          <w:highlight w:val="none"/>
        </w:rPr>
        <w:t>有偿技术服务期内，</w:t>
      </w:r>
      <w:r>
        <w:rPr>
          <w:rStyle w:val="45"/>
          <w:rFonts w:hint="eastAsia" w:ascii="宋体" w:eastAsia="宋体"/>
          <w:spacing w:val="0"/>
          <w:kern w:val="0"/>
          <w:highlight w:val="none"/>
        </w:rPr>
        <w:t>如</w:t>
      </w:r>
      <w:r>
        <w:rPr>
          <w:rFonts w:hint="eastAsia" w:ascii="宋体" w:eastAsia="宋体"/>
          <w:spacing w:val="0"/>
          <w:highlight w:val="none"/>
        </w:rPr>
        <w:t>甲方需要乙方提供维护服务,乙方应予提供。双方确认，甲方有权选择是否购买维护，乙方无权要求甲方对未使用维护服务的期间支付费用。</w:t>
      </w:r>
    </w:p>
    <w:p w14:paraId="7D382784">
      <w:pPr>
        <w:spacing w:line="360" w:lineRule="auto"/>
        <w:ind w:firstLine="480" w:firstLineChars="200"/>
        <w:rPr>
          <w:rFonts w:ascii="宋体" w:eastAsia="宋体"/>
          <w:b/>
          <w:spacing w:val="0"/>
          <w:highlight w:val="none"/>
        </w:rPr>
      </w:pPr>
      <w:r>
        <w:rPr>
          <w:rFonts w:hint="eastAsia" w:ascii="宋体" w:eastAsia="宋体"/>
          <w:spacing w:val="0"/>
          <w:highlight w:val="none"/>
        </w:rPr>
        <w:t>6.8 维护期结束后</w:t>
      </w:r>
      <w:r>
        <w:rPr>
          <w:rStyle w:val="45"/>
          <w:rFonts w:hint="eastAsia" w:ascii="宋体" w:eastAsia="宋体"/>
          <w:spacing w:val="0"/>
          <w:kern w:val="0"/>
          <w:highlight w:val="none"/>
        </w:rPr>
        <w:t>有偿技术服务期</w:t>
      </w:r>
      <w:r>
        <w:rPr>
          <w:rFonts w:hint="eastAsia" w:ascii="宋体" w:eastAsia="宋体"/>
          <w:spacing w:val="0"/>
          <w:highlight w:val="none"/>
        </w:rPr>
        <w:t>每年的维护价格【不超过/为】</w:t>
      </w:r>
      <w:r>
        <w:rPr>
          <w:rFonts w:hint="eastAsia" w:ascii="宋体"/>
          <w:iCs/>
          <w:highlight w:val="none"/>
          <w:u w:val="single"/>
        </w:rPr>
        <w:t>合同总额的【8%】</w:t>
      </w:r>
      <w:r>
        <w:rPr>
          <w:rFonts w:hint="eastAsia" w:ascii="宋体" w:eastAsia="宋体"/>
          <w:spacing w:val="0"/>
          <w:highlight w:val="none"/>
        </w:rPr>
        <w:t>，具体服务内容详见附件四《维护服务条款》。有偿技术服务期的服务水平不低于附件四承诺的维护期的服务水平。</w:t>
      </w:r>
      <w:r>
        <w:rPr>
          <w:rFonts w:hint="eastAsia" w:ascii="宋体" w:eastAsia="宋体"/>
          <w:b/>
          <w:spacing w:val="0"/>
          <w:highlight w:val="none"/>
        </w:rPr>
        <w:t>后续改造类项目维护费用以系统首期建设合同（即本合同）约定为准，不得叠加、单独收取。</w:t>
      </w:r>
    </w:p>
    <w:p w14:paraId="0C950DD3">
      <w:pPr>
        <w:spacing w:line="360" w:lineRule="auto"/>
        <w:ind w:firstLine="482" w:firstLineChars="200"/>
        <w:rPr>
          <w:rFonts w:ascii="宋体" w:eastAsia="宋体"/>
          <w:b/>
          <w:spacing w:val="0"/>
          <w:highlight w:val="none"/>
        </w:rPr>
      </w:pPr>
      <w:r>
        <w:rPr>
          <w:rFonts w:hint="eastAsia" w:ascii="宋体" w:eastAsia="宋体"/>
          <w:b/>
          <w:spacing w:val="0"/>
          <w:highlight w:val="none"/>
        </w:rPr>
        <w:t>本合同为改造类项目合同，后续维保费用以系统首期建设合同（可注明首期建设合同名称及编号）约定为准，不得叠加、单独收取。</w:t>
      </w:r>
    </w:p>
    <w:p w14:paraId="1F6D35F7">
      <w:pPr>
        <w:spacing w:line="360" w:lineRule="auto"/>
        <w:ind w:firstLine="480" w:firstLineChars="200"/>
        <w:rPr>
          <w:rFonts w:ascii="宋体" w:eastAsia="宋体"/>
          <w:spacing w:val="0"/>
          <w:highlight w:val="none"/>
        </w:rPr>
      </w:pPr>
      <w:r>
        <w:rPr>
          <w:rFonts w:hint="eastAsia" w:ascii="宋体" w:eastAsia="宋体"/>
          <w:spacing w:val="0"/>
          <w:highlight w:val="none"/>
        </w:rPr>
        <w:t>6.9本合同并非维护期结束后的维护服务合同，有偿技术服务的合同由双方另行签订。</w:t>
      </w:r>
    </w:p>
    <w:p w14:paraId="6060C26C">
      <w:pPr>
        <w:spacing w:line="360" w:lineRule="auto"/>
        <w:ind w:firstLine="480" w:firstLineChars="200"/>
        <w:rPr>
          <w:rFonts w:ascii="宋体" w:eastAsia="宋体"/>
          <w:spacing w:val="0"/>
          <w:highlight w:val="none"/>
        </w:rPr>
      </w:pPr>
    </w:p>
    <w:p w14:paraId="2477D679">
      <w:pPr>
        <w:rPr>
          <w:rFonts w:ascii="宋体" w:eastAsia="宋体"/>
          <w:b/>
          <w:spacing w:val="0"/>
          <w:highlight w:val="none"/>
        </w:rPr>
      </w:pPr>
      <w:r>
        <w:rPr>
          <w:rFonts w:hint="eastAsia" w:ascii="宋体" w:eastAsia="宋体"/>
          <w:b/>
          <w:spacing w:val="0"/>
          <w:highlight w:val="none"/>
        </w:rPr>
        <w:t>第七条 技术辅导与培训</w:t>
      </w:r>
    </w:p>
    <w:p w14:paraId="7035C70A">
      <w:pPr>
        <w:pStyle w:val="16"/>
        <w:spacing w:before="50" w:beforeLines="0" w:line="360" w:lineRule="auto"/>
        <w:ind w:firstLine="560" w:firstLineChars="0"/>
        <w:rPr>
          <w:rFonts w:ascii="宋体" w:eastAsia="宋体"/>
          <w:spacing w:val="0"/>
          <w:highlight w:val="none"/>
        </w:rPr>
      </w:pPr>
      <w:r>
        <w:rPr>
          <w:rFonts w:hint="eastAsia" w:ascii="宋体" w:eastAsia="宋体"/>
          <w:spacing w:val="0"/>
          <w:highlight w:val="none"/>
        </w:rPr>
        <w:t>乙方应负责向甲方提供技术辅导与培训，以使甲方人员熟练掌握该项目产品的应用和日常维护。培训内容包括：</w:t>
      </w:r>
      <w:r>
        <w:rPr>
          <w:rFonts w:ascii="宋体" w:eastAsia="宋体"/>
          <w:spacing w:val="0"/>
          <w:highlight w:val="none"/>
        </w:rPr>
        <w:t>业务操作培训、系统架构培训、运行维护培训等。</w:t>
      </w:r>
      <w:r>
        <w:rPr>
          <w:rFonts w:hint="eastAsia" w:ascii="宋体" w:eastAsia="宋体"/>
          <w:spacing w:val="0"/>
          <w:highlight w:val="none"/>
        </w:rPr>
        <w:t>具体培训内容由双方共同商定，并由甲方项目经理签字确认。</w:t>
      </w:r>
    </w:p>
    <w:p w14:paraId="105A25D5">
      <w:pPr>
        <w:pStyle w:val="16"/>
        <w:spacing w:before="50" w:beforeLines="0" w:line="360" w:lineRule="auto"/>
        <w:rPr>
          <w:rFonts w:ascii="宋体" w:eastAsia="宋体"/>
          <w:spacing w:val="0"/>
          <w:highlight w:val="none"/>
        </w:rPr>
      </w:pPr>
    </w:p>
    <w:p w14:paraId="2042FBC5">
      <w:pPr>
        <w:rPr>
          <w:rFonts w:ascii="宋体" w:eastAsia="宋体"/>
          <w:b/>
          <w:spacing w:val="0"/>
          <w:highlight w:val="none"/>
        </w:rPr>
      </w:pPr>
      <w:r>
        <w:rPr>
          <w:rFonts w:hint="eastAsia" w:ascii="宋体" w:eastAsia="宋体"/>
          <w:b/>
          <w:spacing w:val="0"/>
          <w:highlight w:val="none"/>
        </w:rPr>
        <w:t>第八条 双方的权利、义务</w:t>
      </w:r>
    </w:p>
    <w:p w14:paraId="17CDF899">
      <w:pPr>
        <w:spacing w:line="360" w:lineRule="auto"/>
        <w:ind w:firstLine="480" w:firstLineChars="200"/>
        <w:rPr>
          <w:rFonts w:ascii="宋体" w:eastAsia="宋体"/>
          <w:spacing w:val="0"/>
          <w:highlight w:val="none"/>
        </w:rPr>
      </w:pPr>
      <w:r>
        <w:rPr>
          <w:rFonts w:hint="eastAsia" w:ascii="宋体" w:eastAsia="宋体"/>
          <w:spacing w:val="0"/>
          <w:highlight w:val="none"/>
        </w:rPr>
        <w:t>8.1除本合同其他条款外，甲方应承担如下义务：</w:t>
      </w:r>
    </w:p>
    <w:p w14:paraId="3DA7290B">
      <w:pPr>
        <w:spacing w:line="360" w:lineRule="auto"/>
        <w:ind w:firstLine="480" w:firstLineChars="200"/>
        <w:rPr>
          <w:rFonts w:ascii="宋体" w:eastAsia="宋体"/>
          <w:spacing w:val="0"/>
          <w:highlight w:val="none"/>
        </w:rPr>
      </w:pPr>
      <w:r>
        <w:rPr>
          <w:rFonts w:hint="eastAsia" w:ascii="宋体" w:eastAsia="宋体"/>
          <w:spacing w:val="0"/>
          <w:highlight w:val="none"/>
        </w:rPr>
        <w:t>8.1.1 按照本合同第十三条的规定向乙方支付报酬。</w:t>
      </w:r>
    </w:p>
    <w:p w14:paraId="22993256">
      <w:pPr>
        <w:spacing w:line="360" w:lineRule="auto"/>
        <w:ind w:firstLine="480" w:firstLineChars="200"/>
        <w:rPr>
          <w:rFonts w:ascii="宋体" w:eastAsia="宋体"/>
          <w:spacing w:val="0"/>
          <w:highlight w:val="none"/>
        </w:rPr>
      </w:pPr>
      <w:r>
        <w:rPr>
          <w:rFonts w:hint="eastAsia" w:ascii="宋体" w:eastAsia="宋体"/>
          <w:spacing w:val="0"/>
          <w:highlight w:val="none"/>
        </w:rPr>
        <w:t>8.1.2 向乙方提供本合同约定的业务协作：如参与各方的资源协调与进度管理、商务保障、项目环境保障等，确保参与各方按期、按质协同工作。</w:t>
      </w:r>
    </w:p>
    <w:p w14:paraId="51030446">
      <w:pPr>
        <w:spacing w:line="360" w:lineRule="auto"/>
        <w:ind w:firstLine="480" w:firstLineChars="200"/>
        <w:rPr>
          <w:rFonts w:ascii="宋体" w:eastAsia="宋体"/>
          <w:spacing w:val="0"/>
          <w:highlight w:val="none"/>
        </w:rPr>
      </w:pPr>
      <w:r>
        <w:rPr>
          <w:rFonts w:hint="eastAsia" w:ascii="宋体" w:eastAsia="宋体"/>
          <w:spacing w:val="0"/>
          <w:highlight w:val="none"/>
        </w:rPr>
        <w:t>8.1.3 指派一名项目主要负责人参加甲、乙双方为本项目召开的会议并协调相关工作和签署有关文件。</w:t>
      </w:r>
    </w:p>
    <w:p w14:paraId="4108A745">
      <w:pPr>
        <w:spacing w:line="360" w:lineRule="auto"/>
        <w:ind w:firstLine="480" w:firstLineChars="200"/>
        <w:rPr>
          <w:rFonts w:ascii="宋体" w:eastAsia="宋体"/>
          <w:spacing w:val="0"/>
          <w:highlight w:val="none"/>
        </w:rPr>
      </w:pPr>
      <w:r>
        <w:rPr>
          <w:rFonts w:hint="eastAsia" w:ascii="宋体" w:eastAsia="宋体"/>
          <w:spacing w:val="0"/>
          <w:highlight w:val="none"/>
        </w:rPr>
        <w:t>8.1.4 甲方为乙方解决现场人员正常开展工作的开发测试系统环境和场地。</w:t>
      </w:r>
    </w:p>
    <w:p w14:paraId="069F1729">
      <w:pPr>
        <w:spacing w:line="360" w:lineRule="auto"/>
        <w:ind w:firstLine="480" w:firstLineChars="200"/>
        <w:rPr>
          <w:rFonts w:ascii="宋体" w:eastAsia="宋体"/>
          <w:spacing w:val="0"/>
          <w:highlight w:val="none"/>
        </w:rPr>
      </w:pPr>
      <w:r>
        <w:rPr>
          <w:rFonts w:hint="eastAsia" w:ascii="宋体" w:eastAsia="宋体"/>
          <w:spacing w:val="0"/>
          <w:highlight w:val="none"/>
        </w:rPr>
        <w:t>8.2除本合同其他条款外，乙方应承担如下义务：</w:t>
      </w:r>
    </w:p>
    <w:p w14:paraId="524F35ED">
      <w:pPr>
        <w:pStyle w:val="13"/>
        <w:tabs>
          <w:tab w:val="left" w:pos="0"/>
        </w:tabs>
        <w:spacing w:line="360" w:lineRule="auto"/>
        <w:ind w:left="-2" w:leftChars="-1" w:firstLine="480" w:firstLineChars="200"/>
        <w:jc w:val="left"/>
        <w:rPr>
          <w:sz w:val="24"/>
          <w:szCs w:val="20"/>
          <w:highlight w:val="none"/>
        </w:rPr>
      </w:pPr>
      <w:r>
        <w:rPr>
          <w:sz w:val="24"/>
          <w:szCs w:val="20"/>
          <w:highlight w:val="none"/>
        </w:rPr>
        <w:t>8.2.1 遵守法律法规及银行业金融机构内部管理制度</w:t>
      </w:r>
      <w:r>
        <w:rPr>
          <w:rFonts w:hint="eastAsia"/>
          <w:sz w:val="24"/>
          <w:szCs w:val="20"/>
          <w:highlight w:val="none"/>
        </w:rPr>
        <w:t>及规定</w:t>
      </w:r>
      <w:r>
        <w:rPr>
          <w:sz w:val="24"/>
          <w:szCs w:val="20"/>
          <w:highlight w:val="none"/>
        </w:rPr>
        <w:t>，贯彻执行相关监管政策。</w:t>
      </w:r>
    </w:p>
    <w:p w14:paraId="028C8BA2">
      <w:pPr>
        <w:spacing w:line="360" w:lineRule="auto"/>
        <w:ind w:firstLine="480" w:firstLineChars="200"/>
        <w:rPr>
          <w:rFonts w:ascii="宋体" w:eastAsia="宋体"/>
          <w:spacing w:val="0"/>
          <w:highlight w:val="none"/>
        </w:rPr>
      </w:pPr>
      <w:r>
        <w:rPr>
          <w:rFonts w:hint="eastAsia" w:ascii="宋体" w:eastAsia="宋体"/>
          <w:spacing w:val="0"/>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0B5832ED">
      <w:pPr>
        <w:spacing w:line="360" w:lineRule="auto"/>
        <w:ind w:firstLine="480" w:firstLineChars="200"/>
        <w:rPr>
          <w:rFonts w:ascii="宋体" w:eastAsia="宋体"/>
          <w:spacing w:val="0"/>
          <w:highlight w:val="none"/>
        </w:rPr>
      </w:pPr>
      <w:r>
        <w:rPr>
          <w:rFonts w:hint="eastAsia" w:ascii="宋体" w:eastAsia="宋体"/>
          <w:spacing w:val="0"/>
          <w:highlight w:val="none"/>
        </w:rPr>
        <w:t>8.2.3 负责在甲方的环境内安装并调试实施项目。</w:t>
      </w:r>
    </w:p>
    <w:p w14:paraId="69772C48">
      <w:pPr>
        <w:spacing w:line="360" w:lineRule="auto"/>
        <w:ind w:firstLine="480" w:firstLineChars="200"/>
        <w:rPr>
          <w:rFonts w:ascii="宋体" w:eastAsia="宋体"/>
          <w:spacing w:val="0"/>
          <w:highlight w:val="none"/>
        </w:rPr>
      </w:pPr>
      <w:r>
        <w:rPr>
          <w:rFonts w:hint="eastAsia" w:ascii="宋体" w:eastAsia="宋体"/>
          <w:spacing w:val="0"/>
          <w:highlight w:val="none"/>
        </w:rPr>
        <w:t>8.2.4 指派一名项目主要负责人参加甲、乙双方为本项目召开的会议并协调相关工作和签署有关文件。</w:t>
      </w:r>
    </w:p>
    <w:p w14:paraId="1382ECD1">
      <w:pPr>
        <w:spacing w:line="360" w:lineRule="auto"/>
        <w:ind w:firstLine="480" w:firstLineChars="200"/>
        <w:rPr>
          <w:rFonts w:ascii="宋体" w:eastAsia="宋体"/>
          <w:spacing w:val="0"/>
          <w:highlight w:val="none"/>
        </w:rPr>
      </w:pPr>
      <w:r>
        <w:rPr>
          <w:rFonts w:hint="eastAsia" w:ascii="宋体" w:eastAsia="宋体"/>
          <w:spacing w:val="0"/>
          <w:highlight w:val="none"/>
        </w:rPr>
        <w:t>8.2.5指派独立于开发团队的测试人员负责项目系统测试，并承诺按照甲方质量管理要求完成项目系统测试、性能测试、安全测试等。</w:t>
      </w:r>
    </w:p>
    <w:p w14:paraId="48834680">
      <w:pPr>
        <w:spacing w:line="360" w:lineRule="auto"/>
        <w:ind w:firstLine="480" w:firstLineChars="200"/>
        <w:rPr>
          <w:rFonts w:ascii="宋体" w:eastAsia="宋体"/>
          <w:spacing w:val="0"/>
          <w:highlight w:val="none"/>
        </w:rPr>
      </w:pPr>
      <w:r>
        <w:rPr>
          <w:rFonts w:hint="eastAsia" w:ascii="宋体" w:eastAsia="宋体"/>
          <w:spacing w:val="0"/>
          <w:highlight w:val="none"/>
        </w:rPr>
        <w:t>8.2.6 按照本合同的约定向甲方提供相关技术资料并提供技术指导。</w:t>
      </w:r>
    </w:p>
    <w:p w14:paraId="082494AE">
      <w:pPr>
        <w:spacing w:line="360" w:lineRule="auto"/>
        <w:ind w:firstLine="480" w:firstLineChars="200"/>
        <w:rPr>
          <w:rFonts w:ascii="宋体" w:eastAsia="宋体"/>
          <w:spacing w:val="0"/>
          <w:highlight w:val="none"/>
        </w:rPr>
      </w:pPr>
      <w:r>
        <w:rPr>
          <w:rFonts w:hint="eastAsia" w:ascii="宋体" w:eastAsia="宋体"/>
          <w:spacing w:val="0"/>
          <w:highlight w:val="none"/>
        </w:rPr>
        <w:t>8.2.7乙方需为甲方提供持续的项目风险识别和控制措施，并按甲方要求提供公司财务分析报告、项目进度报告以及重大事项报告等。</w:t>
      </w:r>
    </w:p>
    <w:p w14:paraId="3EE4EE3E">
      <w:pPr>
        <w:spacing w:line="360" w:lineRule="auto"/>
        <w:ind w:firstLine="480" w:firstLineChars="200"/>
        <w:rPr>
          <w:rFonts w:ascii="宋体" w:eastAsia="宋体"/>
          <w:spacing w:val="0"/>
          <w:highlight w:val="none"/>
        </w:rPr>
      </w:pPr>
      <w:r>
        <w:rPr>
          <w:rFonts w:hint="eastAsia" w:ascii="宋体" w:eastAsia="宋体"/>
          <w:spacing w:val="0"/>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60097F08">
      <w:pPr>
        <w:spacing w:line="360" w:lineRule="auto"/>
        <w:ind w:firstLine="480" w:firstLineChars="200"/>
        <w:rPr>
          <w:rFonts w:ascii="宋体" w:eastAsia="宋体"/>
          <w:spacing w:val="0"/>
          <w:highlight w:val="none"/>
        </w:rPr>
      </w:pPr>
      <w:r>
        <w:rPr>
          <w:rFonts w:hint="eastAsia" w:ascii="宋体" w:eastAsia="宋体"/>
          <w:spacing w:val="0"/>
          <w:highlight w:val="none"/>
        </w:rPr>
        <w:t>8.2</w:t>
      </w:r>
      <w:r>
        <w:rPr>
          <w:rFonts w:ascii="宋体" w:eastAsia="宋体"/>
          <w:spacing w:val="0"/>
          <w:highlight w:val="none"/>
        </w:rPr>
        <w:t>.</w:t>
      </w:r>
      <w:r>
        <w:rPr>
          <w:rFonts w:hint="eastAsia" w:ascii="宋体" w:eastAsia="宋体"/>
          <w:spacing w:val="0"/>
          <w:highlight w:val="none"/>
        </w:rPr>
        <w:t>9</w:t>
      </w:r>
      <w:r>
        <w:rPr>
          <w:rFonts w:ascii="宋体" w:eastAsia="宋体"/>
          <w:spacing w:val="0"/>
          <w:highlight w:val="none"/>
        </w:rPr>
        <w:t xml:space="preserve"> 乙方应针对服务内容为甲方制定业务连续性计划和应急计划并维护好相关资源</w:t>
      </w:r>
      <w:r>
        <w:rPr>
          <w:rFonts w:hint="eastAsia" w:ascii="宋体" w:eastAsia="宋体"/>
          <w:spacing w:val="0"/>
          <w:highlight w:val="none"/>
        </w:rPr>
        <w:t>，</w:t>
      </w:r>
      <w:r>
        <w:rPr>
          <w:rFonts w:ascii="宋体" w:eastAsia="宋体"/>
          <w:spacing w:val="0"/>
          <w:highlight w:val="none"/>
        </w:rPr>
        <w:t>在服务质量不能满足合同要求时</w:t>
      </w:r>
      <w:r>
        <w:rPr>
          <w:rFonts w:hint="eastAsia" w:ascii="宋体" w:eastAsia="宋体"/>
          <w:spacing w:val="0"/>
          <w:highlight w:val="none"/>
        </w:rPr>
        <w:t>，甲方具有</w:t>
      </w:r>
      <w:r>
        <w:rPr>
          <w:rFonts w:ascii="宋体" w:eastAsia="宋体"/>
          <w:spacing w:val="0"/>
          <w:highlight w:val="none"/>
        </w:rPr>
        <w:t>优先获取服务资源的权利</w:t>
      </w:r>
      <w:r>
        <w:rPr>
          <w:rFonts w:hint="eastAsia" w:ascii="宋体" w:eastAsia="宋体"/>
          <w:spacing w:val="0"/>
          <w:highlight w:val="none"/>
        </w:rPr>
        <w:t>。</w:t>
      </w:r>
    </w:p>
    <w:p w14:paraId="7DACED71">
      <w:pPr>
        <w:spacing w:line="360" w:lineRule="auto"/>
        <w:ind w:firstLine="480" w:firstLineChars="200"/>
        <w:rPr>
          <w:rFonts w:ascii="宋体" w:eastAsia="宋体"/>
          <w:spacing w:val="0"/>
          <w:highlight w:val="none"/>
        </w:rPr>
      </w:pPr>
      <w:r>
        <w:rPr>
          <w:rFonts w:hint="eastAsia" w:ascii="宋体" w:eastAsia="宋体"/>
          <w:spacing w:val="0"/>
          <w:highlight w:val="none"/>
        </w:rPr>
        <w:t>8.2.10 乙方应当自己完成本合同项下的开发、测试或维护等工作，而不得分包给任何第三方，也不得进行转包或变相转包。</w:t>
      </w:r>
    </w:p>
    <w:p w14:paraId="06B301EF">
      <w:pPr>
        <w:spacing w:line="360" w:lineRule="auto"/>
        <w:ind w:firstLine="480" w:firstLineChars="200"/>
        <w:rPr>
          <w:rFonts w:ascii="宋体" w:eastAsia="宋体"/>
          <w:bCs/>
          <w:spacing w:val="0"/>
          <w:highlight w:val="none"/>
        </w:rPr>
      </w:pPr>
      <w:r>
        <w:rPr>
          <w:rFonts w:ascii="宋体" w:eastAsia="宋体"/>
          <w:spacing w:val="0"/>
          <w:highlight w:val="none"/>
        </w:rPr>
        <w:t xml:space="preserve">8.2.11 </w:t>
      </w:r>
      <w:r>
        <w:rPr>
          <w:rFonts w:ascii="宋体" w:eastAsia="宋体"/>
          <w:bCs/>
          <w:spacing w:val="0"/>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7935034D">
      <w:pPr>
        <w:spacing w:line="360" w:lineRule="auto"/>
        <w:ind w:firstLine="480" w:firstLineChars="200"/>
        <w:rPr>
          <w:rFonts w:ascii="宋体" w:eastAsia="宋体"/>
          <w:spacing w:val="0"/>
          <w:highlight w:val="none"/>
        </w:rPr>
      </w:pPr>
    </w:p>
    <w:p w14:paraId="5DDB0A28">
      <w:pPr>
        <w:rPr>
          <w:rFonts w:ascii="宋体" w:eastAsia="宋体"/>
          <w:b/>
          <w:spacing w:val="0"/>
          <w:highlight w:val="none"/>
        </w:rPr>
      </w:pPr>
      <w:r>
        <w:rPr>
          <w:rFonts w:hint="eastAsia" w:ascii="宋体" w:eastAsia="宋体"/>
          <w:b/>
          <w:spacing w:val="0"/>
          <w:highlight w:val="none"/>
        </w:rPr>
        <w:t>第九条 乙方的声明与保证</w:t>
      </w:r>
    </w:p>
    <w:p w14:paraId="77B96F5C">
      <w:pPr>
        <w:spacing w:line="360" w:lineRule="auto"/>
        <w:ind w:firstLine="480" w:firstLineChars="200"/>
        <w:rPr>
          <w:rFonts w:ascii="宋体" w:eastAsia="宋体"/>
          <w:spacing w:val="0"/>
          <w:highlight w:val="none"/>
        </w:rPr>
      </w:pPr>
      <w:r>
        <w:rPr>
          <w:rFonts w:hint="eastAsia" w:ascii="宋体" w:eastAsia="宋体"/>
          <w:spacing w:val="0"/>
          <w:highlight w:val="none"/>
        </w:rPr>
        <w:t>乙方向甲方做出如下声明与保证：</w:t>
      </w:r>
    </w:p>
    <w:p w14:paraId="64C94BCE">
      <w:pPr>
        <w:spacing w:line="360" w:lineRule="auto"/>
        <w:ind w:firstLine="480" w:firstLineChars="200"/>
        <w:rPr>
          <w:rFonts w:ascii="宋体" w:eastAsia="宋体"/>
          <w:spacing w:val="0"/>
          <w:highlight w:val="none"/>
        </w:rPr>
      </w:pPr>
      <w:r>
        <w:rPr>
          <w:rFonts w:hint="eastAsia" w:ascii="宋体" w:eastAsia="宋体"/>
          <w:spacing w:val="0"/>
          <w:highlight w:val="none"/>
        </w:rPr>
        <w:t>9.1乙方完全具有本合同项下项目实施的技术资质与实力，包括开发技术人员、硬件设施等。</w:t>
      </w:r>
    </w:p>
    <w:p w14:paraId="289EA44F">
      <w:pPr>
        <w:spacing w:line="360" w:lineRule="auto"/>
        <w:ind w:firstLine="480" w:firstLineChars="200"/>
        <w:rPr>
          <w:rFonts w:ascii="宋体" w:eastAsia="宋体"/>
          <w:spacing w:val="0"/>
          <w:highlight w:val="none"/>
        </w:rPr>
      </w:pPr>
      <w:r>
        <w:rPr>
          <w:rFonts w:hint="eastAsia" w:ascii="宋体" w:eastAsia="宋体"/>
          <w:spacing w:val="0"/>
          <w:highlight w:val="none"/>
        </w:rPr>
        <w:t>9.2乙方已对照本合同附件一中甲方确认的需求，确认乙方的设计方案已经涵盖了设计需求的各方面，并且乙方实施的产品是先进的、适用的、兼容的，能够满足甲方核心业务扩展的需求。</w:t>
      </w:r>
    </w:p>
    <w:p w14:paraId="6FC9B542">
      <w:pPr>
        <w:spacing w:line="360" w:lineRule="auto"/>
        <w:ind w:firstLine="480" w:firstLineChars="200"/>
        <w:rPr>
          <w:rFonts w:ascii="宋体" w:eastAsia="宋体"/>
          <w:spacing w:val="0"/>
          <w:highlight w:val="none"/>
        </w:rPr>
      </w:pPr>
      <w:r>
        <w:rPr>
          <w:rStyle w:val="45"/>
          <w:rFonts w:hint="eastAsia" w:ascii="宋体" w:eastAsia="宋体"/>
          <w:spacing w:val="0"/>
          <w:kern w:val="0"/>
          <w:highlight w:val="none"/>
        </w:rPr>
        <w:t>9.3乙方在本项目中【使用】第三方</w:t>
      </w:r>
      <w:r>
        <w:rPr>
          <w:rStyle w:val="45"/>
          <w:rFonts w:ascii="宋体" w:eastAsia="宋体"/>
          <w:spacing w:val="0"/>
          <w:kern w:val="0"/>
          <w:highlight w:val="none"/>
        </w:rPr>
        <w:t>产品</w:t>
      </w:r>
      <w:r>
        <w:rPr>
          <w:rStyle w:val="45"/>
          <w:rFonts w:hint="eastAsia" w:ascii="宋体" w:eastAsia="宋体"/>
          <w:spacing w:val="0"/>
          <w:kern w:val="0"/>
          <w:highlight w:val="none"/>
        </w:rPr>
        <w:t>，</w:t>
      </w:r>
      <w:r>
        <w:rPr>
          <w:rStyle w:val="45"/>
          <w:rFonts w:ascii="宋体" w:eastAsia="宋体"/>
          <w:spacing w:val="0"/>
          <w:kern w:val="0"/>
          <w:highlight w:val="none"/>
        </w:rPr>
        <w:t>包括第三方</w:t>
      </w:r>
      <w:r>
        <w:rPr>
          <w:rStyle w:val="45"/>
          <w:rFonts w:hint="eastAsia" w:ascii="宋体" w:eastAsia="宋体"/>
          <w:spacing w:val="0"/>
          <w:kern w:val="0"/>
          <w:highlight w:val="none"/>
        </w:rPr>
        <w:t>SDK、小程序、软件、开源组件等，例：第三方SDK：XXXX、XXX；第三方小程序：XXX等。</w:t>
      </w:r>
      <w:r>
        <w:rPr>
          <w:rFonts w:hint="eastAsia" w:ascii="宋体" w:eastAsia="宋体"/>
          <w:spacing w:val="0"/>
          <w:highlight w:val="none"/>
        </w:rPr>
        <w:t>若乙方在项目中使用了第三方产品，乙方须按如下要求执行：</w:t>
      </w:r>
    </w:p>
    <w:p w14:paraId="5ACC225A">
      <w:pPr>
        <w:spacing w:line="360" w:lineRule="auto"/>
        <w:ind w:firstLine="480" w:firstLineChars="200"/>
        <w:rPr>
          <w:rFonts w:ascii="宋体" w:eastAsia="宋体"/>
          <w:spacing w:val="0"/>
          <w:highlight w:val="none"/>
        </w:rPr>
      </w:pPr>
      <w:r>
        <w:rPr>
          <w:rFonts w:hint="eastAsia" w:ascii="宋体" w:eastAsia="宋体"/>
          <w:spacing w:val="0"/>
          <w:highlight w:val="none"/>
        </w:rPr>
        <w:t>（1）针对第三方SDK：乙方应开展安全评估和个人信息保护评估，并提供无中高风险的评估报告；</w:t>
      </w:r>
    </w:p>
    <w:p w14:paraId="315D7C84">
      <w:pPr>
        <w:spacing w:line="360" w:lineRule="auto"/>
        <w:ind w:firstLine="480" w:firstLineChars="200"/>
        <w:rPr>
          <w:rFonts w:ascii="宋体" w:eastAsia="宋体"/>
          <w:spacing w:val="0"/>
          <w:highlight w:val="none"/>
        </w:rPr>
      </w:pPr>
      <w:r>
        <w:rPr>
          <w:rFonts w:hint="eastAsia" w:ascii="宋体" w:eastAsia="宋体"/>
          <w:spacing w:val="0"/>
          <w:highlight w:val="none"/>
        </w:rPr>
        <w:t>（2）针对第三方小程序：乙方应开展安全评估，并提供无中高风险漏洞的安全评估报告。</w:t>
      </w:r>
    </w:p>
    <w:p w14:paraId="477E9F2E">
      <w:pPr>
        <w:spacing w:line="360" w:lineRule="auto"/>
        <w:ind w:firstLine="480" w:firstLineChars="200"/>
        <w:rPr>
          <w:rStyle w:val="45"/>
          <w:rFonts w:ascii="宋体" w:eastAsia="宋体"/>
          <w:spacing w:val="0"/>
          <w:kern w:val="0"/>
          <w:highlight w:val="none"/>
        </w:rPr>
      </w:pPr>
      <w:r>
        <w:rPr>
          <w:rFonts w:hint="eastAsia" w:ascii="宋体" w:eastAsia="宋体"/>
          <w:spacing w:val="0"/>
          <w:highlight w:val="none"/>
        </w:rPr>
        <w:t>（</w:t>
      </w:r>
      <w:r>
        <w:rPr>
          <w:rFonts w:ascii="宋体" w:eastAsia="宋体"/>
          <w:spacing w:val="0"/>
          <w:highlight w:val="none"/>
        </w:rPr>
        <w:t>3</w:t>
      </w:r>
      <w:r>
        <w:rPr>
          <w:rFonts w:hint="eastAsia" w:ascii="宋体" w:eastAsia="宋体"/>
          <w:spacing w:val="0"/>
          <w:highlight w:val="none"/>
        </w:rPr>
        <w:t>）若</w:t>
      </w:r>
      <w:r>
        <w:rPr>
          <w:rStyle w:val="45"/>
          <w:rFonts w:hint="eastAsia" w:ascii="宋体" w:eastAsia="宋体"/>
          <w:spacing w:val="0"/>
          <w:kern w:val="0"/>
          <w:highlight w:val="none"/>
        </w:rPr>
        <w:t>第三方产品出现安全漏洞</w:t>
      </w:r>
      <w:r>
        <w:rPr>
          <w:rFonts w:hint="eastAsia" w:ascii="宋体" w:eastAsia="宋体"/>
          <w:spacing w:val="0"/>
          <w:highlight w:val="none"/>
        </w:rPr>
        <w:t>或违反个人信息保护相关法规，</w:t>
      </w:r>
      <w:r>
        <w:rPr>
          <w:rStyle w:val="45"/>
          <w:rFonts w:hint="eastAsia" w:ascii="宋体" w:eastAsia="宋体"/>
          <w:spacing w:val="0"/>
          <w:kern w:val="0"/>
          <w:highlight w:val="none"/>
        </w:rPr>
        <w:t>甲方有权要求乙方进行修复，若因此给甲方造成损失的，甲方有权随时向乙方追偿。</w:t>
      </w:r>
    </w:p>
    <w:p w14:paraId="509FD4C8">
      <w:pPr>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9</w:t>
      </w:r>
      <w:r>
        <w:rPr>
          <w:rStyle w:val="45"/>
          <w:rFonts w:ascii="宋体" w:eastAsia="宋体"/>
          <w:spacing w:val="0"/>
          <w:kern w:val="0"/>
          <w:highlight w:val="none"/>
        </w:rPr>
        <w:t>.4</w:t>
      </w:r>
      <w:r>
        <w:rPr>
          <w:rStyle w:val="45"/>
          <w:rFonts w:hint="eastAsia" w:ascii="宋体" w:eastAsia="宋体"/>
          <w:spacing w:val="0"/>
          <w:kern w:val="0"/>
          <w:highlight w:val="none"/>
        </w:rPr>
        <w:t>乙方保证向甲方提供的项目产品（含第三方产品）的安全性、合规性，保证无恶意脚本、后门及恶意漏洞，不携带任何病毒，不越权收集、处理客户信息。</w:t>
      </w:r>
    </w:p>
    <w:p w14:paraId="102E382C">
      <w:pPr>
        <w:spacing w:line="360" w:lineRule="auto"/>
        <w:ind w:firstLine="480" w:firstLineChars="200"/>
        <w:rPr>
          <w:rFonts w:ascii="宋体" w:eastAsia="宋体"/>
          <w:spacing w:val="0"/>
          <w:highlight w:val="none"/>
        </w:rPr>
      </w:pPr>
      <w:r>
        <w:rPr>
          <w:rFonts w:hint="eastAsia" w:ascii="宋体" w:eastAsia="宋体"/>
          <w:spacing w:val="0"/>
          <w:highlight w:val="none"/>
        </w:rPr>
        <w:t>9.5乙方向甲方提供的产品和服务不会有任何第三方主张权利，也不会侵害任何第三方的合法权益，包括知识产权。</w:t>
      </w:r>
    </w:p>
    <w:p w14:paraId="7A131706">
      <w:pPr>
        <w:spacing w:line="360" w:lineRule="auto"/>
        <w:ind w:firstLine="480" w:firstLineChars="200"/>
        <w:rPr>
          <w:rFonts w:ascii="宋体" w:eastAsia="宋体"/>
          <w:spacing w:val="0"/>
          <w:highlight w:val="none"/>
        </w:rPr>
      </w:pPr>
      <w:r>
        <w:rPr>
          <w:rFonts w:hint="eastAsia" w:ascii="宋体" w:eastAsia="宋体"/>
          <w:spacing w:val="0"/>
          <w:highlight w:val="none"/>
        </w:rPr>
        <w:t>9.</w:t>
      </w:r>
      <w:r>
        <w:rPr>
          <w:rFonts w:ascii="宋体" w:eastAsia="宋体"/>
          <w:spacing w:val="0"/>
          <w:highlight w:val="none"/>
        </w:rPr>
        <w:t>6</w:t>
      </w:r>
      <w:r>
        <w:rPr>
          <w:rFonts w:hint="eastAsia" w:ascii="宋体" w:eastAsia="宋体"/>
          <w:spacing w:val="0"/>
          <w:highlight w:val="none"/>
        </w:rPr>
        <w:t>乙方保证遵守甲方《重庆三峡银行员工回避管理办法》中招录回避、任职回避、公务回避的相关要求。若发现乙方人员与甲方内部人员存在亲属关系，乙方应主动报告，并采取相应回避措施。</w:t>
      </w:r>
    </w:p>
    <w:p w14:paraId="52804465">
      <w:pPr>
        <w:spacing w:line="360" w:lineRule="auto"/>
        <w:ind w:firstLine="480" w:firstLineChars="200"/>
        <w:rPr>
          <w:rFonts w:ascii="宋体" w:eastAsia="宋体"/>
          <w:spacing w:val="0"/>
          <w:highlight w:val="none"/>
        </w:rPr>
      </w:pPr>
      <w:r>
        <w:rPr>
          <w:rFonts w:hint="eastAsia" w:ascii="宋体" w:eastAsia="宋体"/>
          <w:spacing w:val="0"/>
          <w:highlight w:val="none"/>
        </w:rPr>
        <w:t>9.</w:t>
      </w:r>
      <w:r>
        <w:rPr>
          <w:rFonts w:ascii="宋体" w:eastAsia="宋体"/>
          <w:spacing w:val="0"/>
          <w:highlight w:val="none"/>
        </w:rPr>
        <w:t>7</w:t>
      </w:r>
      <w:r>
        <w:rPr>
          <w:rFonts w:hint="eastAsia" w:ascii="宋体" w:eastAsia="宋体"/>
          <w:spacing w:val="0"/>
          <w:highlight w:val="none"/>
        </w:rPr>
        <w:t xml:space="preserve"> 乙方保证其人员无不良记录，服务商与其建立合法的雇佣关系，依法履行用工管理职责。</w:t>
      </w:r>
    </w:p>
    <w:p w14:paraId="2E9EEAB3">
      <w:pPr>
        <w:spacing w:line="360" w:lineRule="auto"/>
        <w:ind w:firstLine="480" w:firstLineChars="200"/>
        <w:rPr>
          <w:rFonts w:ascii="宋体" w:eastAsia="宋体"/>
          <w:spacing w:val="0"/>
          <w:highlight w:val="none"/>
        </w:rPr>
      </w:pPr>
      <w:r>
        <w:rPr>
          <w:rFonts w:hint="eastAsia" w:ascii="宋体" w:eastAsia="宋体"/>
          <w:spacing w:val="0"/>
          <w:highlight w:val="none"/>
        </w:rPr>
        <w:t>9.</w:t>
      </w:r>
      <w:r>
        <w:rPr>
          <w:rFonts w:ascii="宋体" w:eastAsia="宋体"/>
          <w:spacing w:val="0"/>
          <w:highlight w:val="none"/>
        </w:rPr>
        <w:t>8</w:t>
      </w:r>
      <w:r>
        <w:rPr>
          <w:rFonts w:hint="eastAsia" w:ascii="宋体" w:eastAsia="宋体"/>
          <w:spacing w:val="0"/>
          <w:highlight w:val="none"/>
        </w:rPr>
        <w:t xml:space="preserve"> 乙方定期通报外包事项，及时通报外包突发性事件及解决情况。</w:t>
      </w:r>
    </w:p>
    <w:p w14:paraId="756BD8F7">
      <w:pPr>
        <w:spacing w:line="360" w:lineRule="auto"/>
        <w:ind w:firstLine="480" w:firstLineChars="200"/>
        <w:rPr>
          <w:rFonts w:ascii="宋体" w:eastAsia="宋体"/>
          <w:spacing w:val="0"/>
          <w:highlight w:val="none"/>
        </w:rPr>
      </w:pPr>
    </w:p>
    <w:p w14:paraId="41D0A1D0">
      <w:pPr>
        <w:rPr>
          <w:rFonts w:ascii="宋体" w:eastAsia="宋体"/>
          <w:b/>
          <w:spacing w:val="0"/>
          <w:highlight w:val="none"/>
        </w:rPr>
      </w:pPr>
      <w:r>
        <w:rPr>
          <w:rFonts w:hint="eastAsia" w:ascii="宋体" w:eastAsia="宋体"/>
          <w:b/>
          <w:spacing w:val="0"/>
          <w:highlight w:val="none"/>
        </w:rPr>
        <w:t>第十条 知识产权</w:t>
      </w:r>
    </w:p>
    <w:p w14:paraId="71E9E906">
      <w:pPr>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1BA0A220">
      <w:pPr>
        <w:spacing w:line="360" w:lineRule="auto"/>
        <w:ind w:firstLine="480" w:firstLineChars="200"/>
        <w:rPr>
          <w:rStyle w:val="45"/>
          <w:rFonts w:ascii="宋体" w:eastAsia="宋体"/>
          <w:spacing w:val="0"/>
          <w:highlight w:val="none"/>
        </w:rPr>
      </w:pPr>
      <w:r>
        <w:rPr>
          <w:rFonts w:ascii="宋体" w:eastAsia="宋体"/>
          <w:spacing w:val="0"/>
          <w:highlight w:val="none"/>
        </w:rPr>
        <w:t>10</w:t>
      </w:r>
      <w:r>
        <w:rPr>
          <w:rFonts w:hint="eastAsia" w:ascii="宋体" w:eastAsia="宋体"/>
          <w:spacing w:val="0"/>
          <w:highlight w:val="none"/>
        </w:rPr>
        <w:t>.</w:t>
      </w:r>
      <w:r>
        <w:rPr>
          <w:rFonts w:ascii="宋体" w:eastAsia="宋体"/>
          <w:spacing w:val="0"/>
          <w:highlight w:val="none"/>
        </w:rPr>
        <w:t xml:space="preserve">2 </w:t>
      </w:r>
      <w:r>
        <w:rPr>
          <w:rFonts w:hint="eastAsia" w:ascii="宋体" w:eastAsia="宋体"/>
          <w:spacing w:val="0"/>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0131A96">
      <w:pPr>
        <w:spacing w:line="360" w:lineRule="auto"/>
        <w:ind w:firstLine="480" w:firstLineChars="200"/>
        <w:rPr>
          <w:rStyle w:val="45"/>
          <w:rFonts w:ascii="宋体" w:eastAsia="宋体"/>
          <w:spacing w:val="0"/>
          <w:highlight w:val="none"/>
        </w:rPr>
      </w:pPr>
      <w:r>
        <w:rPr>
          <w:rFonts w:hint="eastAsia" w:ascii="宋体" w:eastAsia="宋体"/>
          <w:spacing w:val="0"/>
          <w:highlight w:val="none"/>
        </w:rPr>
        <w:t>10.</w:t>
      </w:r>
      <w:r>
        <w:rPr>
          <w:rFonts w:ascii="宋体" w:eastAsia="宋体"/>
          <w:spacing w:val="0"/>
          <w:highlight w:val="none"/>
        </w:rPr>
        <w:t>3</w:t>
      </w:r>
      <w:r>
        <w:rPr>
          <w:rFonts w:hint="eastAsia" w:ascii="宋体" w:eastAsia="宋体"/>
          <w:spacing w:val="0"/>
          <w:highlight w:val="none"/>
        </w:rPr>
        <w:t>乙方应将有关资料（数据库设计文件、技术文件和用户手册等全部资料）在甲方要求期限内，按国家有关项目开发标准以文字等载体的形式交给甲方，甲方拥有永久的使用权。</w:t>
      </w:r>
      <w:r>
        <w:rPr>
          <w:rStyle w:val="45"/>
          <w:rFonts w:hint="eastAsia" w:ascii="宋体" w:eastAsia="宋体"/>
          <w:spacing w:val="0"/>
          <w:highlight w:val="none"/>
        </w:rPr>
        <w:t>乙方须提供全部源代码（包含以下内容：产品源代码、客户化源代码、系统平台源代码、</w:t>
      </w:r>
      <w:r>
        <w:rPr>
          <w:rStyle w:val="45"/>
          <w:rFonts w:hint="eastAsia" w:ascii="宋体" w:hAnsi="Times New Roman" w:eastAsia="宋体"/>
          <w:spacing w:val="0"/>
          <w:highlight w:val="none"/>
          <w:lang w:val="en-US" w:eastAsia="zh-CN"/>
        </w:rPr>
        <w:t>移动开发平台及</w:t>
      </w:r>
      <w:r>
        <w:rPr>
          <w:rStyle w:val="45"/>
          <w:rFonts w:hint="eastAsia" w:ascii="宋体" w:eastAsia="宋体"/>
          <w:spacing w:val="0"/>
          <w:highlight w:val="none"/>
        </w:rPr>
        <w:t>第三方产品源代码，底层架构和通讯层的源代码）、代码解析平台（若有）及源代码说明文档、源代码注释说明、基线版本号等相关内容，乙方应进行无保留的知识转移。</w:t>
      </w:r>
    </w:p>
    <w:p w14:paraId="3F57487C">
      <w:pPr>
        <w:spacing w:line="360" w:lineRule="auto"/>
        <w:ind w:firstLine="480" w:firstLineChars="200"/>
        <w:rPr>
          <w:rStyle w:val="45"/>
          <w:rFonts w:ascii="宋体" w:eastAsia="宋体"/>
          <w:spacing w:val="0"/>
          <w:highlight w:val="none"/>
        </w:rPr>
      </w:pPr>
      <w:r>
        <w:rPr>
          <w:rStyle w:val="45"/>
          <w:rFonts w:hint="eastAsia" w:ascii="宋体" w:eastAsia="宋体"/>
          <w:spacing w:val="0"/>
          <w:highlight w:val="none"/>
        </w:rPr>
        <w:t>1</w:t>
      </w:r>
      <w:r>
        <w:rPr>
          <w:rStyle w:val="45"/>
          <w:rFonts w:ascii="宋体" w:eastAsia="宋体"/>
          <w:spacing w:val="0"/>
          <w:highlight w:val="none"/>
        </w:rPr>
        <w:t>0.4本项目</w:t>
      </w:r>
      <w:r>
        <w:rPr>
          <w:rStyle w:val="45"/>
          <w:rFonts w:hint="eastAsia" w:ascii="宋体" w:eastAsia="宋体"/>
          <w:spacing w:val="0"/>
          <w:highlight w:val="none"/>
        </w:rPr>
        <w:t>客户化源代码的知识产权归甲方单独所有，其余部分归双方共有。</w:t>
      </w:r>
    </w:p>
    <w:p w14:paraId="1A7C0352">
      <w:pPr>
        <w:spacing w:line="360" w:lineRule="auto"/>
        <w:ind w:firstLine="480" w:firstLineChars="200"/>
        <w:rPr>
          <w:rStyle w:val="45"/>
          <w:rFonts w:ascii="宋体" w:eastAsia="宋体"/>
          <w:spacing w:val="0"/>
          <w:kern w:val="0"/>
          <w:highlight w:val="none"/>
        </w:rPr>
      </w:pPr>
      <w:r>
        <w:rPr>
          <w:rStyle w:val="45"/>
          <w:rFonts w:hint="eastAsia" w:ascii="宋体" w:eastAsia="宋体"/>
          <w:spacing w:val="0"/>
          <w:highlight w:val="none"/>
        </w:rPr>
        <w:t>1</w:t>
      </w:r>
      <w:r>
        <w:rPr>
          <w:rStyle w:val="45"/>
          <w:rFonts w:ascii="宋体" w:eastAsia="宋体"/>
          <w:spacing w:val="0"/>
          <w:highlight w:val="none"/>
        </w:rPr>
        <w:t>0.4.1</w:t>
      </w:r>
      <w:r>
        <w:rPr>
          <w:rStyle w:val="45"/>
          <w:rFonts w:hint="eastAsia" w:ascii="宋体" w:eastAsia="宋体"/>
          <w:spacing w:val="0"/>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3E395F96">
      <w:pPr>
        <w:spacing w:line="360" w:lineRule="auto"/>
        <w:ind w:firstLine="480" w:firstLineChars="200"/>
        <w:rPr>
          <w:rStyle w:val="45"/>
          <w:rFonts w:ascii="宋体" w:eastAsia="宋体"/>
          <w:spacing w:val="0"/>
          <w:highlight w:val="none"/>
        </w:rPr>
      </w:pPr>
      <w:r>
        <w:rPr>
          <w:rStyle w:val="45"/>
          <w:rFonts w:ascii="宋体" w:eastAsia="宋体"/>
          <w:spacing w:val="0"/>
          <w:highlight w:val="none"/>
        </w:rPr>
        <w:t>10.4.2</w:t>
      </w:r>
      <w:r>
        <w:rPr>
          <w:rStyle w:val="45"/>
          <w:rFonts w:hint="eastAsia" w:ascii="宋体" w:eastAsia="宋体"/>
          <w:spacing w:val="0"/>
          <w:highlight w:val="none"/>
        </w:rPr>
        <w:t>针对共有部分，甲方拥有在甲方及其分支机构使用及后续开发的权利，</w:t>
      </w:r>
      <w:r>
        <w:rPr>
          <w:rFonts w:hint="eastAsia" w:ascii="宋体" w:eastAsia="宋体"/>
          <w:spacing w:val="0"/>
          <w:highlight w:val="none"/>
        </w:rPr>
        <w:t>甲方在乙方交付的系统版本上进行自主开发或交由第三方公司开发，开发成果的知识产权归甲方所有。</w:t>
      </w:r>
      <w:r>
        <w:rPr>
          <w:rStyle w:val="45"/>
          <w:rFonts w:hint="eastAsia" w:ascii="宋体" w:eastAsia="宋体"/>
          <w:spacing w:val="0"/>
          <w:highlight w:val="none"/>
        </w:rPr>
        <w:t>乙方拥有在其公司和其他组织范围内使用的权利，但乙方使用时不得侵犯甲方利益。</w:t>
      </w:r>
    </w:p>
    <w:p w14:paraId="5996F101">
      <w:pPr>
        <w:spacing w:line="360" w:lineRule="auto"/>
        <w:ind w:firstLine="480" w:firstLineChars="200"/>
        <w:rPr>
          <w:rStyle w:val="45"/>
          <w:rFonts w:ascii="宋体" w:eastAsia="宋体"/>
          <w:spacing w:val="0"/>
          <w:highlight w:val="none"/>
        </w:rPr>
      </w:pPr>
      <w:r>
        <w:rPr>
          <w:rStyle w:val="45"/>
          <w:rFonts w:ascii="宋体" w:eastAsia="宋体"/>
          <w:spacing w:val="0"/>
          <w:highlight w:val="none"/>
        </w:rPr>
        <w:t>10.4.</w:t>
      </w:r>
      <w:r>
        <w:rPr>
          <w:rStyle w:val="45"/>
          <w:rFonts w:hint="eastAsia" w:ascii="宋体" w:eastAsia="宋体"/>
          <w:spacing w:val="0"/>
          <w:highlight w:val="none"/>
        </w:rPr>
        <w:t>3</w:t>
      </w:r>
      <w:r>
        <w:rPr>
          <w:rStyle w:val="45"/>
          <w:rFonts w:hint="eastAsia" w:eastAsia="宋体"/>
          <w:spacing w:val="0"/>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272E9886">
      <w:pPr>
        <w:spacing w:line="360" w:lineRule="auto"/>
        <w:ind w:firstLine="480" w:firstLineChars="200"/>
        <w:rPr>
          <w:rFonts w:ascii="宋体" w:eastAsia="宋体"/>
          <w:spacing w:val="0"/>
          <w:kern w:val="0"/>
          <w:highlight w:val="none"/>
        </w:rPr>
      </w:pPr>
    </w:p>
    <w:p w14:paraId="1FEEE978">
      <w:pPr>
        <w:rPr>
          <w:rFonts w:ascii="宋体" w:eastAsia="宋体"/>
          <w:b/>
          <w:spacing w:val="0"/>
          <w:highlight w:val="none"/>
        </w:rPr>
      </w:pPr>
      <w:r>
        <w:rPr>
          <w:rFonts w:hint="eastAsia" w:ascii="宋体" w:eastAsia="宋体"/>
          <w:b/>
          <w:spacing w:val="0"/>
          <w:highlight w:val="none"/>
        </w:rPr>
        <w:t>第十一条 第三方索赔</w:t>
      </w:r>
    </w:p>
    <w:p w14:paraId="205AF0C6">
      <w:pPr>
        <w:spacing w:line="360" w:lineRule="auto"/>
        <w:ind w:firstLine="480" w:firstLineChars="200"/>
        <w:rPr>
          <w:rFonts w:ascii="宋体" w:eastAsia="宋体"/>
          <w:spacing w:val="0"/>
          <w:highlight w:val="none"/>
        </w:rPr>
      </w:pPr>
      <w:r>
        <w:rPr>
          <w:rFonts w:hint="eastAsia" w:ascii="宋体" w:eastAsia="宋体"/>
          <w:spacing w:val="0"/>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75660672">
      <w:pPr>
        <w:spacing w:line="360" w:lineRule="auto"/>
        <w:ind w:firstLine="480" w:firstLineChars="200"/>
        <w:rPr>
          <w:rFonts w:ascii="宋体" w:eastAsia="宋体"/>
          <w:spacing w:val="0"/>
          <w:highlight w:val="none"/>
        </w:rPr>
      </w:pPr>
      <w:r>
        <w:rPr>
          <w:rFonts w:hint="eastAsia" w:ascii="宋体" w:eastAsia="宋体"/>
          <w:spacing w:val="0"/>
          <w:highlight w:val="none"/>
        </w:rPr>
        <w:t>11.2对于第11.1条涉及的侵权索赔，乙方将承担全部费用，包括</w:t>
      </w:r>
      <w:r>
        <w:rPr>
          <w:rStyle w:val="45"/>
          <w:rFonts w:hint="eastAsia" w:ascii="宋体" w:eastAsia="宋体"/>
          <w:spacing w:val="0"/>
          <w:kern w:val="0"/>
          <w:highlight w:val="none"/>
        </w:rPr>
        <w:t>诉讼费、仲裁费、甲方支付的律师费、差旅住宿费、公证费、鉴定费、调解费及仲裁裁决、法院判决或调解协议中由甲方承担的赔偿金。</w:t>
      </w:r>
    </w:p>
    <w:p w14:paraId="2115E683">
      <w:pPr>
        <w:spacing w:line="360" w:lineRule="auto"/>
        <w:ind w:firstLine="480" w:firstLineChars="200"/>
        <w:rPr>
          <w:rFonts w:ascii="宋体" w:eastAsia="宋体"/>
          <w:spacing w:val="0"/>
          <w:highlight w:val="none"/>
        </w:rPr>
      </w:pPr>
      <w:r>
        <w:rPr>
          <w:rFonts w:hint="eastAsia" w:ascii="宋体" w:eastAsia="宋体"/>
          <w:spacing w:val="0"/>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5"/>
          <w:rFonts w:hint="eastAsia" w:ascii="宋体" w:eastAsia="宋体"/>
          <w:spacing w:val="0"/>
          <w:kern w:val="0"/>
          <w:highlight w:val="none"/>
        </w:rPr>
        <w:t>部损失</w:t>
      </w:r>
      <w:r>
        <w:rPr>
          <w:rFonts w:hint="eastAsia" w:ascii="宋体" w:eastAsia="宋体"/>
          <w:spacing w:val="0"/>
          <w:highlight w:val="none"/>
        </w:rPr>
        <w:t>。</w:t>
      </w:r>
    </w:p>
    <w:p w14:paraId="40AC60D9">
      <w:pPr>
        <w:spacing w:line="360" w:lineRule="auto"/>
        <w:ind w:firstLine="480" w:firstLineChars="200"/>
        <w:rPr>
          <w:rFonts w:ascii="宋体" w:eastAsia="宋体"/>
          <w:spacing w:val="0"/>
          <w:highlight w:val="none"/>
        </w:rPr>
      </w:pPr>
      <w:r>
        <w:rPr>
          <w:rFonts w:hint="eastAsia" w:ascii="宋体" w:eastAsia="宋体"/>
          <w:spacing w:val="0"/>
          <w:highlight w:val="none"/>
        </w:rPr>
        <w:t>11.4乙方对由以下非乙方的过错引起的侵权索赔不承担责任：</w:t>
      </w:r>
    </w:p>
    <w:p w14:paraId="45DD3F0F">
      <w:pPr>
        <w:spacing w:line="360" w:lineRule="auto"/>
        <w:ind w:firstLine="480" w:firstLineChars="200"/>
        <w:rPr>
          <w:rFonts w:ascii="宋体" w:eastAsia="宋体"/>
          <w:spacing w:val="0"/>
          <w:highlight w:val="none"/>
        </w:rPr>
      </w:pPr>
      <w:r>
        <w:rPr>
          <w:rStyle w:val="45"/>
          <w:rFonts w:hint="eastAsia" w:ascii="宋体" w:eastAsia="宋体"/>
          <w:spacing w:val="0"/>
          <w:kern w:val="0"/>
          <w:highlight w:val="none"/>
        </w:rPr>
        <w:t>11.4.1 甲方使用不当所造成的侵权。</w:t>
      </w:r>
    </w:p>
    <w:p w14:paraId="4F8B8E14">
      <w:pPr>
        <w:spacing w:line="360" w:lineRule="auto"/>
        <w:ind w:firstLine="480" w:firstLineChars="200"/>
        <w:rPr>
          <w:rFonts w:ascii="宋体" w:eastAsia="宋体"/>
          <w:spacing w:val="0"/>
          <w:highlight w:val="none"/>
        </w:rPr>
      </w:pPr>
      <w:r>
        <w:rPr>
          <w:rFonts w:hint="eastAsia" w:ascii="宋体" w:eastAsia="宋体"/>
          <w:spacing w:val="0"/>
          <w:highlight w:val="none"/>
        </w:rPr>
        <w:t>11.4.2 因甲方或第三方对开发软件或资料进行修改所直接造成的侵权。</w:t>
      </w:r>
    </w:p>
    <w:p w14:paraId="1B0E3051">
      <w:pPr>
        <w:spacing w:line="360" w:lineRule="auto"/>
        <w:ind w:firstLine="480" w:firstLineChars="200"/>
        <w:rPr>
          <w:rFonts w:ascii="宋体" w:eastAsia="宋体"/>
          <w:spacing w:val="0"/>
          <w:highlight w:val="none"/>
        </w:rPr>
      </w:pPr>
    </w:p>
    <w:p w14:paraId="6790F57D">
      <w:pPr>
        <w:rPr>
          <w:rFonts w:ascii="宋体" w:eastAsia="宋体"/>
          <w:b/>
          <w:spacing w:val="0"/>
          <w:highlight w:val="none"/>
        </w:rPr>
      </w:pPr>
      <w:r>
        <w:rPr>
          <w:rFonts w:hint="eastAsia" w:ascii="宋体" w:eastAsia="宋体"/>
          <w:b/>
          <w:spacing w:val="0"/>
          <w:highlight w:val="none"/>
        </w:rPr>
        <w:t>第十二条 保密</w:t>
      </w:r>
    </w:p>
    <w:p w14:paraId="4905013B">
      <w:pPr>
        <w:spacing w:line="360" w:lineRule="auto"/>
        <w:ind w:firstLine="480" w:firstLineChars="200"/>
        <w:rPr>
          <w:rFonts w:ascii="宋体" w:eastAsia="宋体"/>
          <w:bCs/>
          <w:spacing w:val="0"/>
          <w:kern w:val="0"/>
          <w:highlight w:val="none"/>
        </w:rPr>
      </w:pPr>
      <w:r>
        <w:rPr>
          <w:rFonts w:hint="eastAsia" w:ascii="宋体" w:eastAsia="宋体"/>
          <w:bCs/>
          <w:spacing w:val="0"/>
          <w:kern w:val="0"/>
          <w:highlight w:val="none"/>
        </w:rPr>
        <w:t>12.1乙方须对本合同项下的所有条款保密。乙方人员入场前须与甲方签订相应诚信安全承诺书。</w:t>
      </w:r>
    </w:p>
    <w:p w14:paraId="001FAF69">
      <w:pPr>
        <w:tabs>
          <w:tab w:val="left" w:pos="1134"/>
        </w:tabs>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12.</w:t>
      </w:r>
      <w:r>
        <w:rPr>
          <w:rFonts w:ascii="宋体" w:eastAsia="宋体"/>
          <w:spacing w:val="0"/>
          <w:kern w:val="0"/>
          <w:highlight w:val="none"/>
        </w:rPr>
        <w:t>2</w:t>
      </w:r>
      <w:r>
        <w:rPr>
          <w:rFonts w:hint="eastAsia" w:ascii="宋体" w:eastAsia="宋体"/>
          <w:spacing w:val="0"/>
          <w:kern w:val="0"/>
          <w:highlight w:val="none"/>
        </w:rPr>
        <w:t>乙方应对本合同所述的客户信息、</w:t>
      </w:r>
      <w:r>
        <w:rPr>
          <w:rFonts w:hint="eastAsia" w:ascii="宋体" w:eastAsia="宋体"/>
          <w:bCs/>
          <w:spacing w:val="0"/>
          <w:kern w:val="0"/>
          <w:highlight w:val="none"/>
        </w:rPr>
        <w:t>技术资料、业务流程、源代码</w:t>
      </w:r>
      <w:r>
        <w:rPr>
          <w:rFonts w:ascii="宋体" w:eastAsia="宋体"/>
          <w:bCs/>
          <w:spacing w:val="0"/>
          <w:kern w:val="0"/>
          <w:highlight w:val="none"/>
        </w:rPr>
        <w:t>、</w:t>
      </w:r>
      <w:r>
        <w:rPr>
          <w:rFonts w:hint="eastAsia" w:ascii="宋体" w:eastAsia="宋体"/>
          <w:bCs/>
          <w:spacing w:val="0"/>
          <w:kern w:val="0"/>
          <w:highlight w:val="none"/>
        </w:rPr>
        <w:t>数据等</w:t>
      </w:r>
      <w:r>
        <w:rPr>
          <w:rFonts w:ascii="宋体" w:eastAsia="宋体"/>
          <w:bCs/>
          <w:spacing w:val="0"/>
          <w:kern w:val="0"/>
          <w:highlight w:val="none"/>
        </w:rPr>
        <w:t>重要</w:t>
      </w:r>
      <w:r>
        <w:rPr>
          <w:rFonts w:hint="eastAsia" w:ascii="宋体" w:eastAsia="宋体"/>
          <w:bCs/>
          <w:spacing w:val="0"/>
          <w:kern w:val="0"/>
          <w:highlight w:val="none"/>
        </w:rPr>
        <w:t>信息</w:t>
      </w:r>
      <w:r>
        <w:rPr>
          <w:rFonts w:hint="eastAsia" w:ascii="宋体" w:eastAsia="宋体"/>
          <w:spacing w:val="0"/>
          <w:kern w:val="0"/>
          <w:highlight w:val="none"/>
        </w:rPr>
        <w:t>采取保密措施，未经甲方的书面同意，乙方不得在合同允许范围外使用、披露、存放于</w:t>
      </w:r>
      <w:r>
        <w:rPr>
          <w:rFonts w:ascii="宋体" w:eastAsia="宋体"/>
          <w:spacing w:val="0"/>
          <w:kern w:val="0"/>
          <w:highlight w:val="none"/>
        </w:rPr>
        <w:t>第三方托管平台</w:t>
      </w:r>
      <w:r>
        <w:rPr>
          <w:rFonts w:hint="eastAsia" w:ascii="宋体" w:eastAsia="宋体"/>
          <w:spacing w:val="0"/>
          <w:kern w:val="0"/>
          <w:highlight w:val="none"/>
        </w:rPr>
        <w:t>、向无关人员或第三方透露，也不能就有关合同内容的任何部分进行新闻的发布、公开的宣称、否认或承认。</w:t>
      </w:r>
    </w:p>
    <w:p w14:paraId="6C63D101">
      <w:pPr>
        <w:spacing w:line="360" w:lineRule="auto"/>
        <w:ind w:firstLine="480" w:firstLineChars="200"/>
        <w:rPr>
          <w:rFonts w:ascii="宋体" w:eastAsia="宋体"/>
          <w:bCs/>
          <w:spacing w:val="0"/>
          <w:kern w:val="0"/>
          <w:highlight w:val="none"/>
        </w:rPr>
      </w:pPr>
      <w:r>
        <w:rPr>
          <w:rFonts w:hint="eastAsia" w:ascii="宋体" w:eastAsia="宋体"/>
          <w:bCs/>
          <w:spacing w:val="0"/>
          <w:kern w:val="0"/>
          <w:highlight w:val="none"/>
        </w:rPr>
        <w:t>12.</w:t>
      </w:r>
      <w:r>
        <w:rPr>
          <w:rFonts w:ascii="宋体" w:eastAsia="宋体"/>
          <w:bCs/>
          <w:spacing w:val="0"/>
          <w:kern w:val="0"/>
          <w:highlight w:val="none"/>
        </w:rPr>
        <w:t>3</w:t>
      </w:r>
      <w:r>
        <w:rPr>
          <w:rFonts w:hint="eastAsia" w:ascii="宋体" w:eastAsia="宋体"/>
          <w:bCs/>
          <w:spacing w:val="0"/>
          <w:kern w:val="0"/>
          <w:highlight w:val="none"/>
        </w:rPr>
        <w:t>乙方不得以甲方名义开展活动，不得将甲方数据、信息以任何形式转移、挪用或谋取合同约定以外的利益。</w:t>
      </w:r>
    </w:p>
    <w:p w14:paraId="08407E47">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12.4乙方知道违反本条规定将给甲方客户权利以及甲方造成难以弥补的损失，为此同意承担由此产生的经济上和法律上的责任和</w:t>
      </w:r>
      <w:r>
        <w:rPr>
          <w:rFonts w:ascii="宋体" w:eastAsia="宋体"/>
          <w:spacing w:val="0"/>
          <w:kern w:val="0"/>
          <w:highlight w:val="none"/>
        </w:rPr>
        <w:t>损失</w:t>
      </w:r>
      <w:r>
        <w:rPr>
          <w:rFonts w:hint="eastAsia" w:ascii="宋体" w:eastAsia="宋体"/>
          <w:spacing w:val="0"/>
          <w:kern w:val="0"/>
          <w:highlight w:val="none"/>
        </w:rPr>
        <w:t>。</w:t>
      </w:r>
    </w:p>
    <w:p w14:paraId="2DD40C1A">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12.5乙方承认本合同中的技术资料和技术秘密为甲方所专有，将其对乙方进行披露并不意味着任何所有权、专利权的转让。</w:t>
      </w:r>
    </w:p>
    <w:p w14:paraId="5055B66A">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5823273F">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22EE0FBF">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12.8除非甲方特别声明，乙方对于保密信息的保密义务为无限期保密，直至甲方宣布解密或者保密信息实际上已经公开。</w:t>
      </w:r>
    </w:p>
    <w:p w14:paraId="422266D7">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12.9 本合同</w:t>
      </w:r>
      <w:r>
        <w:rPr>
          <w:rFonts w:ascii="宋体" w:eastAsia="宋体"/>
          <w:spacing w:val="0"/>
          <w:kern w:val="0"/>
          <w:highlight w:val="none"/>
        </w:rPr>
        <w:t>项下乙方</w:t>
      </w:r>
      <w:r>
        <w:rPr>
          <w:rFonts w:hint="eastAsia" w:ascii="宋体" w:eastAsia="宋体"/>
          <w:spacing w:val="0"/>
          <w:kern w:val="0"/>
          <w:highlight w:val="none"/>
        </w:rPr>
        <w:t>人员</w:t>
      </w:r>
      <w:r>
        <w:rPr>
          <w:rFonts w:ascii="宋体" w:eastAsia="宋体"/>
          <w:spacing w:val="0"/>
          <w:kern w:val="0"/>
          <w:highlight w:val="none"/>
        </w:rPr>
        <w:t>行为视为乙方行为，</w:t>
      </w:r>
      <w:r>
        <w:rPr>
          <w:rFonts w:hint="eastAsia" w:ascii="宋体" w:eastAsia="宋体"/>
          <w:spacing w:val="0"/>
          <w:kern w:val="0"/>
          <w:highlight w:val="none"/>
        </w:rPr>
        <w:t>乙方应承担全部责任及损失</w:t>
      </w:r>
      <w:r>
        <w:rPr>
          <w:rFonts w:ascii="宋体" w:eastAsia="宋体"/>
          <w:spacing w:val="0"/>
          <w:kern w:val="0"/>
          <w:highlight w:val="none"/>
        </w:rPr>
        <w:t>。</w:t>
      </w:r>
    </w:p>
    <w:p w14:paraId="424F67EE">
      <w:pPr>
        <w:spacing w:line="360" w:lineRule="auto"/>
        <w:ind w:firstLine="480" w:firstLineChars="200"/>
        <w:rPr>
          <w:rFonts w:ascii="宋体" w:eastAsia="宋体"/>
          <w:spacing w:val="0"/>
          <w:highlight w:val="none"/>
        </w:rPr>
      </w:pPr>
    </w:p>
    <w:p w14:paraId="5303A430">
      <w:pPr>
        <w:rPr>
          <w:rFonts w:ascii="宋体" w:eastAsia="宋体"/>
          <w:b/>
          <w:spacing w:val="0"/>
          <w:highlight w:val="none"/>
        </w:rPr>
      </w:pPr>
      <w:r>
        <w:rPr>
          <w:rFonts w:hint="eastAsia" w:ascii="宋体" w:eastAsia="宋体"/>
          <w:b/>
          <w:spacing w:val="0"/>
          <w:highlight w:val="none"/>
        </w:rPr>
        <w:t>第十三条 价格与支付</w:t>
      </w:r>
    </w:p>
    <w:p w14:paraId="5732413D">
      <w:pPr>
        <w:spacing w:line="360" w:lineRule="auto"/>
        <w:ind w:left="122" w:leftChars="51" w:firstLine="417" w:firstLineChars="174"/>
        <w:jc w:val="left"/>
        <w:rPr>
          <w:rStyle w:val="45"/>
          <w:rFonts w:ascii="宋体" w:eastAsia="宋体"/>
          <w:spacing w:val="0"/>
          <w:kern w:val="0"/>
          <w:highlight w:val="none"/>
        </w:rPr>
      </w:pPr>
      <w:r>
        <w:rPr>
          <w:rStyle w:val="45"/>
          <w:rFonts w:hint="eastAsia" w:ascii="宋体" w:eastAsia="宋体"/>
          <w:spacing w:val="0"/>
          <w:kern w:val="0"/>
          <w:highlight w:val="none"/>
        </w:rPr>
        <w:t>13.1本项目合同总金额（价税合计）为</w:t>
      </w:r>
      <w:r>
        <w:rPr>
          <w:rStyle w:val="45"/>
          <w:rFonts w:hint="eastAsia" w:ascii="宋体" w:eastAsia="宋体"/>
          <w:spacing w:val="0"/>
          <w:szCs w:val="2"/>
          <w:highlight w:val="none"/>
        </w:rPr>
        <w:t>_______</w:t>
      </w:r>
      <w:r>
        <w:rPr>
          <w:rStyle w:val="45"/>
          <w:rFonts w:hint="eastAsia" w:ascii="宋体" w:eastAsia="宋体"/>
          <w:spacing w:val="0"/>
          <w:szCs w:val="2"/>
          <w:highlight w:val="none"/>
          <w:u w:val="single"/>
        </w:rPr>
        <w:t>元</w:t>
      </w:r>
      <w:r>
        <w:rPr>
          <w:rStyle w:val="45"/>
          <w:rFonts w:hint="eastAsia" w:ascii="宋体" w:eastAsia="宋体"/>
          <w:spacing w:val="0"/>
          <w:kern w:val="0"/>
          <w:highlight w:val="none"/>
          <w:u w:val="single"/>
        </w:rPr>
        <w:t>（大写：</w:t>
      </w:r>
      <w:r>
        <w:rPr>
          <w:rStyle w:val="45"/>
          <w:rFonts w:ascii="宋体" w:eastAsia="宋体"/>
          <w:spacing w:val="0"/>
          <w:szCs w:val="2"/>
          <w:highlight w:val="none"/>
          <w:u w:val="single"/>
        </w:rPr>
        <w:t>整</w:t>
      </w:r>
      <w:r>
        <w:rPr>
          <w:rStyle w:val="45"/>
          <w:rFonts w:hint="eastAsia" w:ascii="宋体" w:eastAsia="宋体"/>
          <w:spacing w:val="0"/>
          <w:kern w:val="0"/>
          <w:highlight w:val="none"/>
          <w:u w:val="single"/>
        </w:rPr>
        <w:t>）</w:t>
      </w:r>
      <w:r>
        <w:rPr>
          <w:rStyle w:val="45"/>
          <w:rFonts w:hint="eastAsia" w:ascii="宋体" w:eastAsia="宋体"/>
          <w:spacing w:val="0"/>
          <w:kern w:val="0"/>
          <w:highlight w:val="none"/>
        </w:rPr>
        <w:t>，</w:t>
      </w:r>
      <w:r>
        <w:rPr>
          <w:rStyle w:val="45"/>
          <w:rFonts w:ascii="宋体" w:eastAsia="宋体"/>
          <w:spacing w:val="0"/>
          <w:kern w:val="0"/>
          <w:highlight w:val="none"/>
        </w:rPr>
        <w:t>税率为13%，</w:t>
      </w:r>
      <w:r>
        <w:rPr>
          <w:rStyle w:val="45"/>
          <w:rFonts w:hint="eastAsia" w:ascii="宋体" w:eastAsia="宋体"/>
          <w:spacing w:val="0"/>
          <w:szCs w:val="2"/>
          <w:highlight w:val="none"/>
        </w:rPr>
        <w:t>不含税价为：_______</w:t>
      </w:r>
      <w:r>
        <w:rPr>
          <w:rStyle w:val="45"/>
          <w:rFonts w:hint="eastAsia" w:ascii="宋体" w:eastAsia="宋体"/>
          <w:spacing w:val="0"/>
          <w:szCs w:val="2"/>
          <w:highlight w:val="none"/>
          <w:u w:val="single"/>
        </w:rPr>
        <w:t>元（大写：</w:t>
      </w:r>
      <w:r>
        <w:rPr>
          <w:rStyle w:val="45"/>
          <w:rFonts w:ascii="宋体" w:eastAsia="宋体"/>
          <w:spacing w:val="0"/>
          <w:szCs w:val="2"/>
          <w:highlight w:val="none"/>
          <w:u w:val="single"/>
        </w:rPr>
        <w:t>整</w:t>
      </w:r>
      <w:r>
        <w:rPr>
          <w:rStyle w:val="45"/>
          <w:rFonts w:hint="eastAsia" w:ascii="宋体" w:eastAsia="宋体"/>
          <w:spacing w:val="0"/>
          <w:szCs w:val="2"/>
          <w:highlight w:val="none"/>
          <w:u w:val="single"/>
        </w:rPr>
        <w:t>）</w:t>
      </w:r>
      <w:r>
        <w:rPr>
          <w:rStyle w:val="45"/>
          <w:rFonts w:hint="eastAsia" w:ascii="宋体" w:eastAsia="宋体"/>
          <w:spacing w:val="0"/>
          <w:szCs w:val="2"/>
          <w:highlight w:val="none"/>
        </w:rPr>
        <w:t>,税额为：_______</w:t>
      </w:r>
      <w:r>
        <w:rPr>
          <w:rStyle w:val="45"/>
          <w:rFonts w:hint="eastAsia" w:ascii="宋体" w:eastAsia="宋体"/>
          <w:spacing w:val="0"/>
          <w:szCs w:val="2"/>
          <w:highlight w:val="none"/>
          <w:u w:val="single"/>
        </w:rPr>
        <w:t>元（大写：</w:t>
      </w:r>
      <w:r>
        <w:rPr>
          <w:rStyle w:val="45"/>
          <w:rFonts w:ascii="宋体" w:eastAsia="宋体"/>
          <w:spacing w:val="0"/>
          <w:szCs w:val="2"/>
          <w:highlight w:val="none"/>
          <w:u w:val="single"/>
        </w:rPr>
        <w:t>整</w:t>
      </w:r>
      <w:r>
        <w:rPr>
          <w:rStyle w:val="45"/>
          <w:rFonts w:hint="eastAsia" w:ascii="宋体" w:eastAsia="宋体"/>
          <w:spacing w:val="0"/>
          <w:szCs w:val="2"/>
          <w:highlight w:val="none"/>
          <w:u w:val="single"/>
        </w:rPr>
        <w:t>）</w:t>
      </w:r>
      <w:r>
        <w:rPr>
          <w:rStyle w:val="45"/>
          <w:rFonts w:hint="eastAsia" w:ascii="宋体" w:eastAsia="宋体"/>
          <w:spacing w:val="0"/>
          <w:szCs w:val="2"/>
          <w:highlight w:val="none"/>
        </w:rPr>
        <w:t>。</w:t>
      </w:r>
      <w:r>
        <w:rPr>
          <w:rStyle w:val="45"/>
          <w:rFonts w:ascii="宋体" w:eastAsia="宋体"/>
          <w:spacing w:val="0"/>
          <w:szCs w:val="2"/>
          <w:highlight w:val="none"/>
        </w:rPr>
        <w:t>其中产品金额（价税合计）为</w:t>
      </w:r>
      <w:r>
        <w:rPr>
          <w:rStyle w:val="45"/>
          <w:rFonts w:hint="eastAsia" w:ascii="宋体" w:eastAsia="宋体"/>
          <w:spacing w:val="0"/>
          <w:szCs w:val="2"/>
          <w:highlight w:val="none"/>
        </w:rPr>
        <w:t>_______</w:t>
      </w:r>
      <w:r>
        <w:rPr>
          <w:rStyle w:val="45"/>
          <w:rFonts w:hint="eastAsia" w:ascii="宋体" w:eastAsia="宋体"/>
          <w:spacing w:val="0"/>
          <w:szCs w:val="2"/>
          <w:highlight w:val="none"/>
          <w:u w:val="single"/>
        </w:rPr>
        <w:t>元（大写：</w:t>
      </w:r>
      <w:r>
        <w:rPr>
          <w:rStyle w:val="45"/>
          <w:rFonts w:ascii="宋体" w:eastAsia="宋体"/>
          <w:spacing w:val="0"/>
          <w:szCs w:val="2"/>
          <w:highlight w:val="none"/>
          <w:u w:val="single"/>
        </w:rPr>
        <w:t>整</w:t>
      </w:r>
      <w:r>
        <w:rPr>
          <w:rStyle w:val="45"/>
          <w:rFonts w:hint="eastAsia" w:ascii="宋体" w:eastAsia="宋体"/>
          <w:spacing w:val="0"/>
          <w:szCs w:val="2"/>
          <w:highlight w:val="none"/>
          <w:u w:val="single"/>
        </w:rPr>
        <w:t>）</w:t>
      </w:r>
      <w:r>
        <w:rPr>
          <w:rStyle w:val="45"/>
          <w:rFonts w:ascii="宋体" w:eastAsia="宋体"/>
          <w:spacing w:val="0"/>
          <w:szCs w:val="2"/>
          <w:highlight w:val="none"/>
          <w:u w:val="single"/>
        </w:rPr>
        <w:t>，实施金额（价税合计）为</w:t>
      </w:r>
      <w:r>
        <w:rPr>
          <w:rStyle w:val="45"/>
          <w:rFonts w:hint="eastAsia" w:ascii="宋体" w:eastAsia="宋体"/>
          <w:spacing w:val="0"/>
          <w:szCs w:val="2"/>
          <w:highlight w:val="none"/>
        </w:rPr>
        <w:t>_______</w:t>
      </w:r>
      <w:r>
        <w:rPr>
          <w:rStyle w:val="45"/>
          <w:rFonts w:hint="eastAsia" w:ascii="宋体" w:eastAsia="宋体"/>
          <w:spacing w:val="0"/>
          <w:szCs w:val="2"/>
          <w:highlight w:val="none"/>
          <w:u w:val="single"/>
        </w:rPr>
        <w:t>元（大写：</w:t>
      </w:r>
      <w:r>
        <w:rPr>
          <w:rStyle w:val="45"/>
          <w:rFonts w:ascii="宋体" w:eastAsia="宋体"/>
          <w:spacing w:val="0"/>
          <w:szCs w:val="2"/>
          <w:highlight w:val="none"/>
          <w:u w:val="single"/>
        </w:rPr>
        <w:t>整</w:t>
      </w:r>
      <w:r>
        <w:rPr>
          <w:rStyle w:val="45"/>
          <w:rFonts w:hint="eastAsia" w:ascii="宋体" w:eastAsia="宋体"/>
          <w:spacing w:val="0"/>
          <w:szCs w:val="2"/>
          <w:highlight w:val="none"/>
          <w:u w:val="single"/>
        </w:rPr>
        <w:t>）</w:t>
      </w:r>
      <w:r>
        <w:rPr>
          <w:rStyle w:val="45"/>
          <w:rFonts w:ascii="宋体" w:eastAsia="宋体"/>
          <w:spacing w:val="0"/>
          <w:szCs w:val="2"/>
          <w:highlight w:val="none"/>
        </w:rPr>
        <w:t>。</w:t>
      </w:r>
      <w:r>
        <w:rPr>
          <w:rStyle w:val="45"/>
          <w:rFonts w:hint="eastAsia" w:ascii="宋体" w:eastAsia="宋体"/>
          <w:spacing w:val="0"/>
          <w:szCs w:val="2"/>
          <w:highlight w:val="none"/>
        </w:rPr>
        <w:t>不含税价格不因国家税率变化而变化，若在合同履行期间，如遇国家的税率调整，则价税合计应相应调整，以开具发票的时间为准。</w:t>
      </w:r>
      <w:r>
        <w:rPr>
          <w:rStyle w:val="45"/>
          <w:rFonts w:hint="eastAsia" w:ascii="宋体" w:eastAsia="宋体"/>
          <w:spacing w:val="0"/>
          <w:kern w:val="0"/>
          <w:highlight w:val="none"/>
        </w:rPr>
        <w:t>该金额为本合同约定项目的全部费用，除双方另有约定外，甲方无须向乙方支付其他任何费用。</w:t>
      </w:r>
    </w:p>
    <w:p w14:paraId="45010512">
      <w:pPr>
        <w:spacing w:line="360" w:lineRule="auto"/>
        <w:ind w:firstLine="480" w:firstLineChars="200"/>
        <w:jc w:val="left"/>
        <w:rPr>
          <w:rStyle w:val="45"/>
          <w:rFonts w:ascii="宋体" w:eastAsia="宋体"/>
          <w:spacing w:val="0"/>
          <w:kern w:val="0"/>
          <w:highlight w:val="none"/>
        </w:rPr>
      </w:pPr>
      <w:r>
        <w:rPr>
          <w:rStyle w:val="45"/>
          <w:rFonts w:hint="eastAsia" w:ascii="宋体" w:eastAsia="宋体"/>
          <w:spacing w:val="0"/>
          <w:kern w:val="0"/>
          <w:highlight w:val="none"/>
        </w:rPr>
        <w:t>本项目产品价格（含实施</w:t>
      </w:r>
      <w:r>
        <w:rPr>
          <w:rStyle w:val="45"/>
          <w:rFonts w:ascii="宋体" w:eastAsia="宋体"/>
          <w:spacing w:val="0"/>
          <w:kern w:val="0"/>
          <w:highlight w:val="none"/>
        </w:rPr>
        <w:t>金额部分</w:t>
      </w:r>
      <w:r>
        <w:rPr>
          <w:rStyle w:val="45"/>
          <w:rFonts w:hint="eastAsia" w:ascii="宋体" w:eastAsia="宋体"/>
          <w:spacing w:val="0"/>
          <w:kern w:val="0"/>
          <w:highlight w:val="none"/>
        </w:rPr>
        <w:t>）如下表所示：</w:t>
      </w:r>
    </w:p>
    <w:tbl>
      <w:tblPr>
        <w:tblStyle w:val="24"/>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27A2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0EF284B8">
            <w:pPr>
              <w:keepNext w:val="0"/>
              <w:keepLines w:val="0"/>
              <w:suppressLineNumbers w:val="0"/>
              <w:spacing w:before="0" w:beforeAutospacing="0" w:after="0" w:afterAutospacing="0"/>
              <w:ind w:left="0" w:right="0"/>
              <w:jc w:val="center"/>
              <w:rPr>
                <w:rFonts w:hint="default" w:eastAsia="宋体"/>
                <w:b/>
                <w:spacing w:val="0"/>
                <w:sz w:val="21"/>
                <w:szCs w:val="24"/>
                <w:highlight w:val="none"/>
              </w:rPr>
            </w:pPr>
            <w:r>
              <w:rPr>
                <w:rFonts w:hint="default" w:eastAsia="宋体"/>
                <w:b/>
                <w:spacing w:val="0"/>
                <w:sz w:val="21"/>
                <w:szCs w:val="24"/>
                <w:highlight w:val="none"/>
              </w:rPr>
              <w:t>产品名称</w:t>
            </w:r>
          </w:p>
        </w:tc>
        <w:tc>
          <w:tcPr>
            <w:tcW w:w="1701" w:type="dxa"/>
            <w:tcBorders>
              <w:tl2br w:val="nil"/>
              <w:tr2bl w:val="nil"/>
            </w:tcBorders>
            <w:vAlign w:val="center"/>
          </w:tcPr>
          <w:p w14:paraId="541DAD32">
            <w:pPr>
              <w:keepNext w:val="0"/>
              <w:keepLines w:val="0"/>
              <w:suppressLineNumbers w:val="0"/>
              <w:spacing w:before="0" w:beforeAutospacing="0" w:after="0" w:afterAutospacing="0"/>
              <w:ind w:left="0" w:right="0"/>
              <w:jc w:val="center"/>
              <w:rPr>
                <w:rFonts w:hint="default" w:eastAsia="宋体"/>
                <w:b/>
                <w:spacing w:val="0"/>
                <w:sz w:val="21"/>
                <w:szCs w:val="24"/>
                <w:highlight w:val="none"/>
              </w:rPr>
            </w:pPr>
            <w:r>
              <w:rPr>
                <w:rFonts w:hint="default" w:eastAsia="宋体"/>
                <w:b/>
                <w:spacing w:val="0"/>
                <w:sz w:val="21"/>
                <w:szCs w:val="24"/>
                <w:highlight w:val="none"/>
              </w:rPr>
              <w:t>模块</w:t>
            </w:r>
          </w:p>
        </w:tc>
        <w:tc>
          <w:tcPr>
            <w:tcW w:w="1134" w:type="dxa"/>
            <w:tcBorders>
              <w:tl2br w:val="nil"/>
              <w:tr2bl w:val="nil"/>
            </w:tcBorders>
            <w:vAlign w:val="center"/>
          </w:tcPr>
          <w:p w14:paraId="7B052BC6">
            <w:pPr>
              <w:keepNext w:val="0"/>
              <w:keepLines w:val="0"/>
              <w:suppressLineNumbers w:val="0"/>
              <w:spacing w:before="0" w:beforeAutospacing="0" w:after="0" w:afterAutospacing="0"/>
              <w:ind w:left="0" w:right="0"/>
              <w:jc w:val="center"/>
              <w:rPr>
                <w:rFonts w:hint="default" w:eastAsia="宋体"/>
                <w:b/>
                <w:spacing w:val="0"/>
                <w:sz w:val="21"/>
                <w:szCs w:val="24"/>
                <w:highlight w:val="none"/>
              </w:rPr>
            </w:pPr>
            <w:r>
              <w:rPr>
                <w:rFonts w:hint="eastAsia" w:eastAsia="宋体"/>
                <w:b/>
                <w:spacing w:val="0"/>
                <w:sz w:val="21"/>
                <w:szCs w:val="24"/>
                <w:highlight w:val="none"/>
              </w:rPr>
              <w:t>单价（元）</w:t>
            </w:r>
          </w:p>
        </w:tc>
        <w:tc>
          <w:tcPr>
            <w:tcW w:w="1276" w:type="dxa"/>
            <w:tcBorders>
              <w:tl2br w:val="nil"/>
              <w:tr2bl w:val="nil"/>
            </w:tcBorders>
            <w:vAlign w:val="center"/>
          </w:tcPr>
          <w:p w14:paraId="53E6D6ED">
            <w:pPr>
              <w:keepNext w:val="0"/>
              <w:keepLines w:val="0"/>
              <w:suppressLineNumbers w:val="0"/>
              <w:spacing w:before="0" w:beforeAutospacing="0" w:after="0" w:afterAutospacing="0"/>
              <w:ind w:left="0" w:right="0"/>
              <w:jc w:val="center"/>
              <w:rPr>
                <w:rFonts w:hint="default" w:eastAsia="宋体"/>
                <w:b/>
                <w:spacing w:val="0"/>
                <w:sz w:val="21"/>
                <w:szCs w:val="24"/>
                <w:highlight w:val="none"/>
              </w:rPr>
            </w:pPr>
            <w:r>
              <w:rPr>
                <w:rFonts w:hint="eastAsia" w:eastAsia="宋体"/>
                <w:b/>
                <w:spacing w:val="0"/>
                <w:sz w:val="21"/>
                <w:szCs w:val="24"/>
                <w:highlight w:val="none"/>
              </w:rPr>
              <w:t>数量（套）</w:t>
            </w:r>
          </w:p>
        </w:tc>
        <w:tc>
          <w:tcPr>
            <w:tcW w:w="1276" w:type="dxa"/>
            <w:tcBorders>
              <w:tl2br w:val="nil"/>
              <w:tr2bl w:val="nil"/>
            </w:tcBorders>
            <w:vAlign w:val="center"/>
          </w:tcPr>
          <w:p w14:paraId="69DF0CBD">
            <w:pPr>
              <w:keepNext w:val="0"/>
              <w:keepLines w:val="0"/>
              <w:suppressLineNumbers w:val="0"/>
              <w:spacing w:before="0" w:beforeAutospacing="0" w:after="0" w:afterAutospacing="0"/>
              <w:ind w:left="0" w:right="0"/>
              <w:jc w:val="center"/>
              <w:rPr>
                <w:rFonts w:hint="default" w:eastAsia="宋体"/>
                <w:b/>
                <w:spacing w:val="0"/>
                <w:sz w:val="21"/>
                <w:szCs w:val="24"/>
                <w:highlight w:val="none"/>
              </w:rPr>
            </w:pPr>
            <w:r>
              <w:rPr>
                <w:rFonts w:hint="eastAsia" w:eastAsia="宋体"/>
                <w:b/>
                <w:spacing w:val="0"/>
                <w:sz w:val="21"/>
                <w:szCs w:val="24"/>
                <w:highlight w:val="none"/>
              </w:rPr>
              <w:t>金额</w:t>
            </w:r>
            <w:r>
              <w:rPr>
                <w:rFonts w:hint="default" w:eastAsia="宋体"/>
                <w:b/>
                <w:spacing w:val="0"/>
                <w:sz w:val="21"/>
                <w:szCs w:val="24"/>
                <w:highlight w:val="none"/>
              </w:rPr>
              <w:t>小计</w:t>
            </w:r>
            <w:r>
              <w:rPr>
                <w:rFonts w:hint="eastAsia" w:eastAsia="宋体"/>
                <w:b/>
                <w:spacing w:val="0"/>
                <w:sz w:val="21"/>
                <w:szCs w:val="24"/>
                <w:highlight w:val="none"/>
              </w:rPr>
              <w:t>（元）</w:t>
            </w:r>
          </w:p>
        </w:tc>
      </w:tr>
      <w:tr w14:paraId="6397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0E0B1F9F">
            <w:pPr>
              <w:keepNext w:val="0"/>
              <w:keepLines w:val="0"/>
              <w:suppressLineNumbers w:val="0"/>
              <w:spacing w:before="0" w:beforeAutospacing="0" w:after="0" w:afterAutospacing="0" w:line="360" w:lineRule="auto"/>
              <w:ind w:left="0" w:right="0"/>
              <w:jc w:val="center"/>
              <w:rPr>
                <w:rFonts w:hint="default" w:ascii="宋体" w:eastAsia="宋体"/>
                <w:spacing w:val="0"/>
                <w:sz w:val="21"/>
                <w:szCs w:val="24"/>
                <w:highlight w:val="none"/>
              </w:rPr>
            </w:pPr>
          </w:p>
        </w:tc>
        <w:tc>
          <w:tcPr>
            <w:tcW w:w="1701" w:type="dxa"/>
            <w:tcBorders>
              <w:tl2br w:val="nil"/>
              <w:tr2bl w:val="nil"/>
            </w:tcBorders>
            <w:vAlign w:val="center"/>
          </w:tcPr>
          <w:p w14:paraId="3AEDB848">
            <w:pPr>
              <w:keepNext w:val="0"/>
              <w:keepLines w:val="0"/>
              <w:suppressLineNumbers w:val="0"/>
              <w:spacing w:before="0" w:beforeAutospacing="0" w:after="0" w:afterAutospacing="0" w:line="360" w:lineRule="auto"/>
              <w:ind w:left="0" w:right="0"/>
              <w:jc w:val="center"/>
              <w:rPr>
                <w:rFonts w:hint="default" w:eastAsia="宋体"/>
                <w:spacing w:val="0"/>
                <w:sz w:val="21"/>
                <w:szCs w:val="24"/>
                <w:highlight w:val="none"/>
              </w:rPr>
            </w:pPr>
          </w:p>
        </w:tc>
        <w:tc>
          <w:tcPr>
            <w:tcW w:w="1134" w:type="dxa"/>
            <w:tcBorders>
              <w:tl2br w:val="nil"/>
              <w:tr2bl w:val="nil"/>
            </w:tcBorders>
            <w:vAlign w:val="center"/>
          </w:tcPr>
          <w:p w14:paraId="6842BFCF">
            <w:pPr>
              <w:keepNext w:val="0"/>
              <w:keepLines w:val="0"/>
              <w:suppressLineNumbers w:val="0"/>
              <w:spacing w:before="0" w:beforeAutospacing="0" w:after="0" w:afterAutospacing="0" w:line="360" w:lineRule="auto"/>
              <w:ind w:left="0" w:right="0"/>
              <w:jc w:val="center"/>
              <w:rPr>
                <w:rFonts w:hint="default" w:ascii="宋体" w:eastAsia="宋体"/>
                <w:spacing w:val="0"/>
                <w:sz w:val="21"/>
                <w:szCs w:val="24"/>
                <w:highlight w:val="none"/>
              </w:rPr>
            </w:pPr>
          </w:p>
        </w:tc>
        <w:tc>
          <w:tcPr>
            <w:tcW w:w="1276" w:type="dxa"/>
            <w:tcBorders>
              <w:tl2br w:val="nil"/>
              <w:tr2bl w:val="nil"/>
            </w:tcBorders>
            <w:vAlign w:val="center"/>
          </w:tcPr>
          <w:p w14:paraId="20D47F25">
            <w:pPr>
              <w:keepNext w:val="0"/>
              <w:keepLines w:val="0"/>
              <w:suppressLineNumbers w:val="0"/>
              <w:spacing w:before="0" w:beforeAutospacing="0" w:after="0" w:afterAutospacing="0" w:line="360" w:lineRule="auto"/>
              <w:ind w:left="0" w:right="0"/>
              <w:jc w:val="center"/>
              <w:rPr>
                <w:rFonts w:hint="default" w:ascii="宋体" w:eastAsia="宋体"/>
                <w:spacing w:val="0"/>
                <w:sz w:val="21"/>
                <w:szCs w:val="24"/>
                <w:highlight w:val="none"/>
              </w:rPr>
            </w:pPr>
          </w:p>
        </w:tc>
        <w:tc>
          <w:tcPr>
            <w:tcW w:w="1276" w:type="dxa"/>
            <w:tcBorders>
              <w:tl2br w:val="nil"/>
              <w:tr2bl w:val="nil"/>
            </w:tcBorders>
            <w:vAlign w:val="center"/>
          </w:tcPr>
          <w:p w14:paraId="1584D3ED">
            <w:pPr>
              <w:keepNext w:val="0"/>
              <w:keepLines w:val="0"/>
              <w:suppressLineNumbers w:val="0"/>
              <w:spacing w:before="0" w:beforeAutospacing="0" w:after="0" w:afterAutospacing="0" w:line="360" w:lineRule="auto"/>
              <w:ind w:left="0" w:right="0"/>
              <w:jc w:val="center"/>
              <w:rPr>
                <w:rFonts w:hint="default" w:ascii="宋体" w:eastAsia="宋体"/>
                <w:spacing w:val="0"/>
                <w:sz w:val="21"/>
                <w:szCs w:val="24"/>
                <w:highlight w:val="none"/>
              </w:rPr>
            </w:pPr>
          </w:p>
        </w:tc>
      </w:tr>
      <w:tr w14:paraId="0AB0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32857B79">
            <w:pPr>
              <w:keepNext w:val="0"/>
              <w:keepLines w:val="0"/>
              <w:suppressLineNumbers w:val="0"/>
              <w:spacing w:before="0" w:beforeAutospacing="0" w:after="0" w:afterAutospacing="0"/>
              <w:ind w:left="0" w:right="0"/>
              <w:rPr>
                <w:rFonts w:hint="default"/>
                <w:highlight w:val="none"/>
              </w:rPr>
            </w:pPr>
          </w:p>
        </w:tc>
        <w:tc>
          <w:tcPr>
            <w:tcW w:w="1701" w:type="dxa"/>
            <w:tcBorders>
              <w:tl2br w:val="nil"/>
              <w:tr2bl w:val="nil"/>
            </w:tcBorders>
            <w:vAlign w:val="center"/>
          </w:tcPr>
          <w:p w14:paraId="5232B2D4">
            <w:pPr>
              <w:keepNext w:val="0"/>
              <w:keepLines w:val="0"/>
              <w:suppressLineNumbers w:val="0"/>
              <w:spacing w:before="0" w:beforeAutospacing="0" w:after="0" w:afterAutospacing="0" w:line="360" w:lineRule="auto"/>
              <w:ind w:left="0" w:right="0"/>
              <w:jc w:val="center"/>
              <w:rPr>
                <w:rFonts w:hint="default" w:eastAsia="宋体"/>
                <w:spacing w:val="0"/>
                <w:sz w:val="21"/>
                <w:szCs w:val="24"/>
                <w:highlight w:val="none"/>
              </w:rPr>
            </w:pPr>
          </w:p>
        </w:tc>
        <w:tc>
          <w:tcPr>
            <w:tcW w:w="1134" w:type="dxa"/>
            <w:tcBorders>
              <w:tl2br w:val="nil"/>
              <w:tr2bl w:val="nil"/>
            </w:tcBorders>
            <w:vAlign w:val="center"/>
          </w:tcPr>
          <w:p w14:paraId="64191F30">
            <w:pPr>
              <w:keepNext w:val="0"/>
              <w:keepLines w:val="0"/>
              <w:suppressLineNumbers w:val="0"/>
              <w:spacing w:before="0" w:beforeAutospacing="0" w:after="0" w:afterAutospacing="0" w:line="360" w:lineRule="auto"/>
              <w:ind w:left="0" w:right="0"/>
              <w:jc w:val="center"/>
              <w:rPr>
                <w:rFonts w:hint="default" w:ascii="宋体" w:eastAsia="宋体"/>
                <w:spacing w:val="0"/>
                <w:sz w:val="21"/>
                <w:szCs w:val="24"/>
                <w:highlight w:val="none"/>
              </w:rPr>
            </w:pPr>
          </w:p>
        </w:tc>
        <w:tc>
          <w:tcPr>
            <w:tcW w:w="1276" w:type="dxa"/>
            <w:tcBorders>
              <w:tl2br w:val="nil"/>
              <w:tr2bl w:val="nil"/>
            </w:tcBorders>
            <w:vAlign w:val="center"/>
          </w:tcPr>
          <w:p w14:paraId="3194F29A">
            <w:pPr>
              <w:keepNext w:val="0"/>
              <w:keepLines w:val="0"/>
              <w:suppressLineNumbers w:val="0"/>
              <w:spacing w:before="0" w:beforeAutospacing="0" w:after="0" w:afterAutospacing="0" w:line="360" w:lineRule="auto"/>
              <w:ind w:left="0" w:right="0"/>
              <w:jc w:val="center"/>
              <w:rPr>
                <w:rFonts w:hint="default" w:ascii="宋体" w:eastAsia="宋体"/>
                <w:spacing w:val="0"/>
                <w:sz w:val="21"/>
                <w:szCs w:val="24"/>
                <w:highlight w:val="none"/>
              </w:rPr>
            </w:pPr>
          </w:p>
        </w:tc>
        <w:tc>
          <w:tcPr>
            <w:tcW w:w="1276" w:type="dxa"/>
            <w:tcBorders>
              <w:tl2br w:val="nil"/>
              <w:tr2bl w:val="nil"/>
            </w:tcBorders>
            <w:vAlign w:val="center"/>
          </w:tcPr>
          <w:p w14:paraId="49C21D18">
            <w:pPr>
              <w:keepNext w:val="0"/>
              <w:keepLines w:val="0"/>
              <w:suppressLineNumbers w:val="0"/>
              <w:spacing w:before="0" w:beforeAutospacing="0" w:after="0" w:afterAutospacing="0" w:line="360" w:lineRule="auto"/>
              <w:ind w:left="0" w:right="0"/>
              <w:jc w:val="center"/>
              <w:rPr>
                <w:rFonts w:hint="default" w:ascii="宋体" w:eastAsia="宋体"/>
                <w:spacing w:val="0"/>
                <w:sz w:val="21"/>
                <w:szCs w:val="24"/>
                <w:highlight w:val="none"/>
              </w:rPr>
            </w:pPr>
          </w:p>
        </w:tc>
      </w:tr>
      <w:tr w14:paraId="44DB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AF61059">
            <w:pPr>
              <w:keepNext w:val="0"/>
              <w:keepLines w:val="0"/>
              <w:suppressLineNumbers w:val="0"/>
              <w:spacing w:before="0" w:beforeAutospacing="0" w:after="0" w:afterAutospacing="0" w:line="360" w:lineRule="auto"/>
              <w:ind w:left="0" w:right="0"/>
              <w:jc w:val="center"/>
              <w:rPr>
                <w:rStyle w:val="45"/>
                <w:rFonts w:hint="default" w:ascii="宋体" w:eastAsia="宋体"/>
                <w:bCs/>
                <w:kern w:val="0"/>
                <w:sz w:val="21"/>
                <w:szCs w:val="21"/>
                <w:highlight w:val="none"/>
              </w:rPr>
            </w:pPr>
            <w:r>
              <w:rPr>
                <w:rStyle w:val="45"/>
                <w:rFonts w:hint="default" w:ascii="宋体" w:eastAsia="宋体"/>
                <w:bCs/>
                <w:kern w:val="0"/>
                <w:sz w:val="21"/>
                <w:szCs w:val="21"/>
                <w:highlight w:val="none"/>
              </w:rPr>
              <w:t>合计</w:t>
            </w:r>
            <w:r>
              <w:rPr>
                <w:rFonts w:hint="eastAsia" w:eastAsia="宋体"/>
                <w:spacing w:val="0"/>
                <w:sz w:val="21"/>
                <w:szCs w:val="24"/>
                <w:highlight w:val="none"/>
              </w:rPr>
              <w:t>（含税）</w:t>
            </w:r>
          </w:p>
        </w:tc>
        <w:tc>
          <w:tcPr>
            <w:tcW w:w="5387" w:type="dxa"/>
            <w:gridSpan w:val="4"/>
            <w:tcBorders>
              <w:tl2br w:val="nil"/>
              <w:tr2bl w:val="nil"/>
            </w:tcBorders>
            <w:vAlign w:val="center"/>
          </w:tcPr>
          <w:p w14:paraId="3DAA50E2">
            <w:pPr>
              <w:keepNext w:val="0"/>
              <w:keepLines w:val="0"/>
              <w:suppressLineNumbers w:val="0"/>
              <w:spacing w:before="0" w:beforeAutospacing="0" w:after="0" w:afterAutospacing="0" w:line="360" w:lineRule="auto"/>
              <w:ind w:left="0" w:right="0"/>
              <w:jc w:val="center"/>
              <w:rPr>
                <w:rFonts w:hint="default" w:ascii="宋体" w:eastAsia="宋体"/>
                <w:spacing w:val="0"/>
                <w:sz w:val="21"/>
                <w:szCs w:val="24"/>
                <w:highlight w:val="none"/>
              </w:rPr>
            </w:pPr>
            <w:r>
              <w:rPr>
                <w:rFonts w:hint="eastAsia" w:eastAsia="宋体"/>
                <w:spacing w:val="0"/>
                <w:sz w:val="21"/>
                <w:szCs w:val="24"/>
                <w:highlight w:val="none"/>
              </w:rPr>
              <w:t>大写（人民币）：元整</w:t>
            </w:r>
          </w:p>
        </w:tc>
      </w:tr>
    </w:tbl>
    <w:p w14:paraId="71FB27DE">
      <w:pPr>
        <w:spacing w:line="360" w:lineRule="auto"/>
        <w:ind w:firstLine="480" w:firstLineChars="200"/>
        <w:jc w:val="left"/>
        <w:rPr>
          <w:rStyle w:val="45"/>
          <w:rFonts w:ascii="宋体" w:eastAsia="宋体"/>
          <w:spacing w:val="0"/>
          <w:kern w:val="0"/>
          <w:highlight w:val="none"/>
        </w:rPr>
      </w:pPr>
    </w:p>
    <w:p w14:paraId="2462A42E">
      <w:pPr>
        <w:spacing w:line="360" w:lineRule="auto"/>
        <w:ind w:firstLine="480" w:firstLineChars="200"/>
        <w:rPr>
          <w:rFonts w:ascii="宋体" w:eastAsia="宋体"/>
          <w:spacing w:val="0"/>
          <w:highlight w:val="none"/>
        </w:rPr>
      </w:pPr>
      <w:r>
        <w:rPr>
          <w:rFonts w:hint="eastAsia" w:ascii="宋体" w:eastAsia="宋体"/>
          <w:spacing w:val="0"/>
          <w:highlight w:val="none"/>
        </w:rPr>
        <w:t>13.2支付方式：</w:t>
      </w:r>
    </w:p>
    <w:p w14:paraId="79FF822C">
      <w:pPr>
        <w:spacing w:line="360" w:lineRule="auto"/>
        <w:ind w:firstLine="480" w:firstLineChars="200"/>
        <w:rPr>
          <w:rFonts w:ascii="宋体" w:eastAsia="宋体"/>
          <w:spacing w:val="0"/>
          <w:highlight w:val="none"/>
        </w:rPr>
      </w:pPr>
      <w:r>
        <w:rPr>
          <w:rFonts w:hint="eastAsia" w:ascii="宋体" w:eastAsia="宋体"/>
          <w:spacing w:val="0"/>
          <w:highlight w:val="none"/>
        </w:rPr>
        <w:t>本合同款项采用分期付款：</w:t>
      </w:r>
    </w:p>
    <w:p w14:paraId="4297893B">
      <w:pPr>
        <w:spacing w:line="360" w:lineRule="auto"/>
        <w:ind w:firstLine="480" w:firstLineChars="200"/>
        <w:rPr>
          <w:rFonts w:ascii="宋体" w:eastAsia="宋体"/>
          <w:spacing w:val="0"/>
          <w:highlight w:val="none"/>
        </w:rPr>
      </w:pPr>
      <w:r>
        <w:rPr>
          <w:rFonts w:hint="eastAsia" w:ascii="宋体" w:eastAsia="宋体"/>
          <w:spacing w:val="0"/>
          <w:highlight w:val="none"/>
        </w:rPr>
        <w:t>13.2.1项目安装、调试并投入试运行后30个工作日内,乙方向甲方提供合法足额的增值税专用发票，甲方向乙方支付合同总额的60％，即元（大写：</w:t>
      </w:r>
      <w:r>
        <w:rPr>
          <w:rFonts w:hint="eastAsia" w:ascii="宋体" w:eastAsia="宋体"/>
          <w:spacing w:val="0"/>
          <w:highlight w:val="none"/>
          <w:u w:val="single"/>
        </w:rPr>
        <w:t xml:space="preserve">      元整 </w:t>
      </w:r>
      <w:r>
        <w:rPr>
          <w:rFonts w:hint="eastAsia" w:ascii="宋体" w:eastAsia="宋体"/>
          <w:spacing w:val="0"/>
          <w:highlight w:val="none"/>
        </w:rPr>
        <w:t>）。</w:t>
      </w:r>
    </w:p>
    <w:p w14:paraId="66194A91">
      <w:pPr>
        <w:spacing w:line="360" w:lineRule="auto"/>
        <w:ind w:firstLine="480" w:firstLineChars="200"/>
        <w:rPr>
          <w:rFonts w:ascii="宋体" w:eastAsia="宋体"/>
          <w:spacing w:val="0"/>
          <w:highlight w:val="none"/>
        </w:rPr>
      </w:pPr>
      <w:r>
        <w:rPr>
          <w:rFonts w:hint="eastAsia" w:ascii="宋体" w:eastAsia="宋体"/>
          <w:spacing w:val="0"/>
          <w:highlight w:val="none"/>
        </w:rPr>
        <w:t>13.2.2项目正式验收合格后30个工作日内, 甲方依据附件五《服务水平协议（</w:t>
      </w:r>
      <w:bookmarkStart w:id="296" w:name="突出显示"/>
      <w:r>
        <w:rPr>
          <w:rFonts w:hint="eastAsia" w:ascii="宋体" w:eastAsia="宋体"/>
          <w:spacing w:val="0"/>
          <w:highlight w:val="none"/>
        </w:rPr>
        <w:t>SLA</w:t>
      </w:r>
      <w:bookmarkEnd w:id="296"/>
      <w:r>
        <w:rPr>
          <w:rFonts w:hint="eastAsia" w:ascii="宋体" w:eastAsia="宋体"/>
          <w:spacing w:val="0"/>
          <w:highlight w:val="none"/>
        </w:rPr>
        <w:t>）》对乙方服务质量作出评价，评价合格后，乙方向甲方提供合法足额的增值税专用发票，甲方向乙方支付合同总价的30％</w:t>
      </w:r>
      <w:r>
        <w:rPr>
          <w:rFonts w:hint="eastAsia" w:ascii="宋体" w:hAnsi="宋体"/>
          <w:spacing w:val="0"/>
          <w:kern w:val="0"/>
          <w:highlight w:val="none"/>
        </w:rPr>
        <w:t>，</w:t>
      </w:r>
      <w:r>
        <w:rPr>
          <w:rFonts w:hint="eastAsia" w:ascii="宋体" w:eastAsia="宋体"/>
          <w:spacing w:val="0"/>
          <w:highlight w:val="none"/>
        </w:rPr>
        <w:t>即元（大写：</w:t>
      </w:r>
      <w:r>
        <w:rPr>
          <w:rFonts w:hint="eastAsia" w:ascii="宋体" w:eastAsia="宋体"/>
          <w:spacing w:val="0"/>
          <w:highlight w:val="none"/>
          <w:u w:val="single"/>
        </w:rPr>
        <w:t xml:space="preserve">          元整 </w:t>
      </w:r>
      <w:r>
        <w:rPr>
          <w:rFonts w:hint="eastAsia" w:ascii="宋体" w:eastAsia="宋体"/>
          <w:spacing w:val="0"/>
          <w:highlight w:val="none"/>
        </w:rPr>
        <w:t>），否则按《服务水平协议（</w:t>
      </w:r>
      <w:bookmarkStart w:id="297" w:name="突出显示"/>
      <w:r>
        <w:rPr>
          <w:rFonts w:hint="eastAsia" w:ascii="宋体" w:eastAsia="宋体"/>
          <w:spacing w:val="0"/>
          <w:highlight w:val="none"/>
        </w:rPr>
        <w:t>SLA</w:t>
      </w:r>
      <w:bookmarkEnd w:id="297"/>
      <w:r>
        <w:rPr>
          <w:rFonts w:hint="eastAsia" w:ascii="宋体" w:eastAsia="宋体"/>
          <w:spacing w:val="0"/>
          <w:highlight w:val="none"/>
        </w:rPr>
        <w:t>）》进行相应金额扣除。</w:t>
      </w:r>
    </w:p>
    <w:p w14:paraId="4E6BEDCA">
      <w:pPr>
        <w:spacing w:line="360" w:lineRule="auto"/>
        <w:ind w:firstLine="480" w:firstLineChars="200"/>
        <w:rPr>
          <w:rFonts w:ascii="宋体" w:eastAsia="宋体"/>
          <w:spacing w:val="0"/>
          <w:highlight w:val="none"/>
        </w:rPr>
      </w:pPr>
      <w:r>
        <w:rPr>
          <w:rFonts w:hint="eastAsia" w:ascii="宋体" w:eastAsia="宋体"/>
          <w:spacing w:val="0"/>
          <w:highlight w:val="none"/>
        </w:rPr>
        <w:t>13.2.3本合同</w:t>
      </w:r>
      <w:r>
        <w:rPr>
          <w:rFonts w:ascii="宋体" w:eastAsia="宋体"/>
          <w:spacing w:val="0"/>
          <w:highlight w:val="none"/>
        </w:rPr>
        <w:t>第</w:t>
      </w:r>
      <w:r>
        <w:rPr>
          <w:rFonts w:hint="eastAsia" w:ascii="宋体" w:eastAsia="宋体"/>
          <w:spacing w:val="0"/>
          <w:highlight w:val="none"/>
        </w:rPr>
        <w:t>6.1条</w:t>
      </w:r>
      <w:r>
        <w:rPr>
          <w:rFonts w:ascii="宋体" w:eastAsia="宋体"/>
          <w:spacing w:val="0"/>
          <w:highlight w:val="none"/>
        </w:rPr>
        <w:t>约定的</w:t>
      </w:r>
      <w:r>
        <w:rPr>
          <w:rFonts w:hint="eastAsia" w:ascii="宋体" w:eastAsia="宋体"/>
          <w:spacing w:val="0"/>
          <w:highlight w:val="none"/>
        </w:rPr>
        <w:t>维护到期后30个工作日内，甲方依据附件五《服务水平协议（</w:t>
      </w:r>
      <w:bookmarkStart w:id="298" w:name="突出显示"/>
      <w:r>
        <w:rPr>
          <w:rFonts w:hint="eastAsia" w:ascii="宋体" w:eastAsia="宋体"/>
          <w:spacing w:val="0"/>
          <w:highlight w:val="none"/>
        </w:rPr>
        <w:t>SLA</w:t>
      </w:r>
      <w:bookmarkEnd w:id="298"/>
      <w:r>
        <w:rPr>
          <w:rFonts w:hint="eastAsia" w:ascii="宋体" w:eastAsia="宋体"/>
          <w:spacing w:val="0"/>
          <w:highlight w:val="none"/>
        </w:rPr>
        <w:t>）》对乙方服务质量作出评价，评价合格后，乙方向甲方提供合法足额的增值税专用发票，甲方向乙方支付合同总额的全部余款，即元（大写：</w:t>
      </w:r>
      <w:r>
        <w:rPr>
          <w:rFonts w:hint="eastAsia" w:ascii="宋体" w:eastAsia="宋体"/>
          <w:spacing w:val="0"/>
          <w:highlight w:val="none"/>
          <w:u w:val="single"/>
        </w:rPr>
        <w:t xml:space="preserve">      元整 </w:t>
      </w:r>
      <w:r>
        <w:rPr>
          <w:rFonts w:hint="eastAsia" w:ascii="宋体" w:eastAsia="宋体"/>
          <w:spacing w:val="0"/>
          <w:highlight w:val="none"/>
        </w:rPr>
        <w:t>），否则按《服务水平协议（</w:t>
      </w:r>
      <w:bookmarkStart w:id="299" w:name="突出显示"/>
      <w:r>
        <w:rPr>
          <w:rFonts w:hint="eastAsia" w:ascii="宋体" w:eastAsia="宋体"/>
          <w:spacing w:val="0"/>
          <w:highlight w:val="none"/>
        </w:rPr>
        <w:t>SLA</w:t>
      </w:r>
      <w:bookmarkEnd w:id="299"/>
      <w:r>
        <w:rPr>
          <w:rFonts w:hint="eastAsia" w:ascii="宋体" w:eastAsia="宋体"/>
          <w:spacing w:val="0"/>
          <w:highlight w:val="none"/>
        </w:rPr>
        <w:t>）》进行相应金额扣除（13.2.2中已扣除部分，本条不重复扣减）。</w:t>
      </w:r>
    </w:p>
    <w:p w14:paraId="075A7668">
      <w:pPr>
        <w:spacing w:line="360" w:lineRule="auto"/>
        <w:ind w:firstLine="480" w:firstLineChars="200"/>
        <w:rPr>
          <w:rFonts w:ascii="宋体" w:eastAsia="宋体"/>
          <w:spacing w:val="0"/>
          <w:highlight w:val="none"/>
        </w:rPr>
      </w:pPr>
      <w:r>
        <w:rPr>
          <w:rFonts w:hint="eastAsia" w:ascii="宋体" w:eastAsia="宋体"/>
          <w:spacing w:val="0"/>
          <w:highlight w:val="none"/>
        </w:rPr>
        <w:t>13.3发票要求：</w:t>
      </w:r>
    </w:p>
    <w:p w14:paraId="64EE71AC">
      <w:pPr>
        <w:spacing w:line="360" w:lineRule="auto"/>
        <w:ind w:firstLine="480" w:firstLineChars="200"/>
        <w:rPr>
          <w:rFonts w:ascii="宋体" w:eastAsia="宋体"/>
          <w:spacing w:val="0"/>
          <w:highlight w:val="none"/>
        </w:rPr>
      </w:pPr>
      <w:r>
        <w:rPr>
          <w:rFonts w:hint="eastAsia" w:ascii="宋体" w:eastAsia="宋体"/>
          <w:spacing w:val="0"/>
          <w:highlight w:val="none"/>
        </w:rPr>
        <w:t>乙方须严格按照合同内容开具税率为</w:t>
      </w:r>
      <w:r>
        <w:rPr>
          <w:rFonts w:ascii="宋体" w:eastAsia="宋体"/>
          <w:spacing w:val="0"/>
          <w:highlight w:val="none"/>
          <w:u w:val="single"/>
        </w:rPr>
        <w:t>13%</w:t>
      </w:r>
      <w:r>
        <w:rPr>
          <w:rFonts w:hint="eastAsia" w:ascii="宋体" w:eastAsia="宋体"/>
          <w:spacing w:val="0"/>
          <w:highlight w:val="none"/>
        </w:rPr>
        <w:t>的增值税专用发票（若遇国家税率调整另议），乙方在甲方每次付款前</w:t>
      </w:r>
      <w:r>
        <w:rPr>
          <w:rFonts w:ascii="宋体" w:eastAsia="宋体"/>
          <w:spacing w:val="0"/>
          <w:highlight w:val="none"/>
        </w:rPr>
        <w:t>30</w:t>
      </w:r>
      <w:r>
        <w:rPr>
          <w:rFonts w:hint="eastAsia" w:ascii="宋体" w:eastAsia="宋体"/>
          <w:spacing w:val="0"/>
          <w:highlight w:val="none"/>
        </w:rPr>
        <w:t>个工作日需向甲方交付合法足额发票，否则甲方有权拒绝支付任何费用且不承担逾期付款违约责任。</w:t>
      </w:r>
    </w:p>
    <w:p w14:paraId="39331E92">
      <w:pPr>
        <w:spacing w:line="360" w:lineRule="auto"/>
        <w:ind w:firstLine="480" w:firstLineChars="200"/>
        <w:rPr>
          <w:rFonts w:ascii="宋体" w:eastAsia="宋体"/>
          <w:spacing w:val="0"/>
          <w:highlight w:val="none"/>
        </w:rPr>
      </w:pPr>
    </w:p>
    <w:p w14:paraId="54B51B86">
      <w:pPr>
        <w:rPr>
          <w:rFonts w:ascii="宋体" w:eastAsia="宋体"/>
          <w:b/>
          <w:spacing w:val="0"/>
          <w:highlight w:val="none"/>
        </w:rPr>
      </w:pPr>
      <w:r>
        <w:rPr>
          <w:rFonts w:hint="eastAsia" w:ascii="宋体" w:eastAsia="宋体"/>
          <w:b/>
          <w:spacing w:val="0"/>
          <w:highlight w:val="none"/>
        </w:rPr>
        <w:t>第十四条 风险责任的承担</w:t>
      </w:r>
    </w:p>
    <w:p w14:paraId="0611F5E3">
      <w:pPr>
        <w:tabs>
          <w:tab w:val="left" w:pos="6020"/>
        </w:tabs>
        <w:spacing w:line="360" w:lineRule="auto"/>
        <w:ind w:firstLine="480" w:firstLineChars="200"/>
        <w:rPr>
          <w:rFonts w:ascii="宋体" w:eastAsia="宋体"/>
          <w:spacing w:val="0"/>
          <w:highlight w:val="none"/>
        </w:rPr>
      </w:pPr>
      <w:r>
        <w:rPr>
          <w:rFonts w:hint="eastAsia" w:ascii="宋体" w:eastAsia="宋体"/>
          <w:spacing w:val="0"/>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6C2593F9">
      <w:pPr>
        <w:tabs>
          <w:tab w:val="left" w:pos="6020"/>
        </w:tabs>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14C50104">
      <w:pPr>
        <w:tabs>
          <w:tab w:val="left" w:pos="6020"/>
        </w:tabs>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0D094591">
      <w:pPr>
        <w:tabs>
          <w:tab w:val="left" w:pos="6020"/>
        </w:tabs>
        <w:spacing w:line="360" w:lineRule="auto"/>
        <w:ind w:firstLine="480" w:firstLineChars="200"/>
        <w:rPr>
          <w:rFonts w:ascii="宋体" w:eastAsia="宋体"/>
          <w:spacing w:val="0"/>
          <w:highlight w:val="none"/>
        </w:rPr>
      </w:pPr>
    </w:p>
    <w:p w14:paraId="73724A4C">
      <w:pPr>
        <w:rPr>
          <w:rFonts w:ascii="宋体" w:eastAsia="宋体"/>
          <w:b/>
          <w:spacing w:val="0"/>
          <w:highlight w:val="none"/>
        </w:rPr>
      </w:pPr>
      <w:r>
        <w:rPr>
          <w:rFonts w:hint="eastAsia" w:ascii="宋体" w:eastAsia="宋体"/>
          <w:b/>
          <w:spacing w:val="0"/>
          <w:highlight w:val="none"/>
        </w:rPr>
        <w:t>第十五条</w:t>
      </w:r>
      <w:bookmarkStart w:id="300" w:name="_Toc58337511"/>
      <w:r>
        <w:rPr>
          <w:rFonts w:hint="eastAsia" w:ascii="宋体" w:eastAsia="宋体"/>
          <w:b/>
          <w:spacing w:val="0"/>
          <w:highlight w:val="none"/>
        </w:rPr>
        <w:t xml:space="preserve"> 违约与赔偿</w:t>
      </w:r>
      <w:bookmarkEnd w:id="300"/>
    </w:p>
    <w:p w14:paraId="337706E2">
      <w:pPr>
        <w:spacing w:line="360" w:lineRule="auto"/>
        <w:ind w:firstLine="480" w:firstLineChars="200"/>
        <w:rPr>
          <w:rFonts w:ascii="宋体" w:eastAsia="宋体"/>
          <w:spacing w:val="0"/>
          <w:highlight w:val="none"/>
        </w:rPr>
      </w:pPr>
      <w:r>
        <w:rPr>
          <w:rFonts w:hint="eastAsia" w:ascii="宋体" w:eastAsia="宋体"/>
          <w:spacing w:val="0"/>
          <w:highlight w:val="none"/>
        </w:rPr>
        <w:t>15.1因甲方原因未按本合同规定支付第一期款项</w:t>
      </w:r>
      <w:r>
        <w:rPr>
          <w:rFonts w:ascii="宋体" w:eastAsia="宋体"/>
          <w:spacing w:val="0"/>
          <w:highlight w:val="none"/>
        </w:rPr>
        <w:t>，且经乙方合理催告后，仍无正当理由并逾期支付达【</w:t>
      </w:r>
      <w:r>
        <w:rPr>
          <w:rFonts w:hint="eastAsia" w:ascii="宋体" w:eastAsia="宋体"/>
          <w:spacing w:val="0"/>
          <w:highlight w:val="none"/>
        </w:rPr>
        <w:t>30</w:t>
      </w:r>
      <w:r>
        <w:rPr>
          <w:rFonts w:ascii="宋体" w:eastAsia="宋体"/>
          <w:spacing w:val="0"/>
          <w:highlight w:val="none"/>
        </w:rPr>
        <w:t>】</w:t>
      </w:r>
      <w:r>
        <w:rPr>
          <w:rFonts w:hint="eastAsia" w:ascii="宋体" w:eastAsia="宋体"/>
          <w:spacing w:val="0"/>
          <w:highlight w:val="none"/>
        </w:rPr>
        <w:t>个工作</w:t>
      </w:r>
      <w:r>
        <w:rPr>
          <w:rFonts w:ascii="宋体" w:eastAsia="宋体"/>
          <w:spacing w:val="0"/>
          <w:highlight w:val="none"/>
        </w:rPr>
        <w:t>日以上的</w:t>
      </w:r>
      <w:r>
        <w:rPr>
          <w:rFonts w:hint="eastAsia" w:ascii="宋体" w:eastAsia="宋体"/>
          <w:spacing w:val="0"/>
          <w:highlight w:val="none"/>
        </w:rPr>
        <w:t>，乙方有权解除合同。</w:t>
      </w:r>
    </w:p>
    <w:p w14:paraId="2E130A01">
      <w:pPr>
        <w:spacing w:line="360" w:lineRule="auto"/>
        <w:ind w:firstLine="480" w:firstLineChars="200"/>
        <w:rPr>
          <w:rFonts w:ascii="宋体" w:eastAsia="宋体"/>
          <w:spacing w:val="0"/>
          <w:highlight w:val="none"/>
        </w:rPr>
      </w:pPr>
      <w:r>
        <w:rPr>
          <w:rFonts w:hint="eastAsia" w:ascii="宋体" w:eastAsia="宋体"/>
          <w:spacing w:val="0"/>
          <w:highlight w:val="none"/>
        </w:rPr>
        <w:t>15.2因甲方原因逾期支付第二期或第三期款项的，自逾期一个月后的第二天起，每逾期一天支付应付逾期付款金额的万分之五的违约金，违约金总额不超过应付款额的20%。</w:t>
      </w:r>
    </w:p>
    <w:p w14:paraId="0DD7B828">
      <w:pPr>
        <w:spacing w:line="360" w:lineRule="auto"/>
        <w:ind w:firstLine="480" w:firstLineChars="200"/>
        <w:rPr>
          <w:rFonts w:ascii="宋体" w:eastAsia="宋体"/>
          <w:spacing w:val="0"/>
          <w:highlight w:val="none"/>
        </w:rPr>
      </w:pPr>
      <w:r>
        <w:rPr>
          <w:rFonts w:hint="eastAsia" w:ascii="宋体" w:eastAsia="宋体"/>
          <w:spacing w:val="0"/>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07C34E89">
      <w:pPr>
        <w:spacing w:line="360" w:lineRule="auto"/>
        <w:ind w:firstLine="480" w:firstLineChars="200"/>
        <w:rPr>
          <w:rFonts w:ascii="宋体" w:eastAsia="宋体"/>
          <w:spacing w:val="0"/>
          <w:highlight w:val="none"/>
        </w:rPr>
      </w:pPr>
      <w:r>
        <w:rPr>
          <w:rFonts w:hint="eastAsia" w:ascii="宋体" w:eastAsia="宋体"/>
          <w:spacing w:val="0"/>
          <w:highlight w:val="none"/>
        </w:rPr>
        <w:t>15.4乙方应按本合同规定的研究开发进程完成开发项目。若因乙方自身原因未按时完成开发项目，则按照附件五《服务水平协议（</w:t>
      </w:r>
      <w:bookmarkStart w:id="301" w:name="突出显示"/>
      <w:r>
        <w:rPr>
          <w:rFonts w:hint="eastAsia" w:ascii="宋体" w:eastAsia="宋体"/>
          <w:spacing w:val="0"/>
          <w:highlight w:val="none"/>
        </w:rPr>
        <w:t>SLA</w:t>
      </w:r>
      <w:bookmarkEnd w:id="301"/>
      <w:r>
        <w:rPr>
          <w:rFonts w:hint="eastAsia" w:ascii="宋体" w:eastAsia="宋体"/>
          <w:spacing w:val="0"/>
          <w:highlight w:val="none"/>
        </w:rPr>
        <w:t>）》扣除延期违约金。</w:t>
      </w:r>
    </w:p>
    <w:p w14:paraId="3D070FA4">
      <w:pPr>
        <w:spacing w:line="360" w:lineRule="auto"/>
        <w:ind w:firstLine="480" w:firstLineChars="200"/>
        <w:rPr>
          <w:rFonts w:ascii="宋体" w:eastAsia="宋体"/>
          <w:spacing w:val="0"/>
          <w:highlight w:val="none"/>
        </w:rPr>
      </w:pPr>
      <w:r>
        <w:rPr>
          <w:rFonts w:hint="eastAsia" w:ascii="宋体" w:eastAsia="宋体"/>
          <w:spacing w:val="0"/>
          <w:highlight w:val="none"/>
        </w:rPr>
        <w:t>15.5乙方未能完成甲方委托的开发项目或开发成果不符合本合同约定的要求，乙方承担本合同总额20%的违约金，并返还甲方已支付的费用。</w:t>
      </w:r>
    </w:p>
    <w:p w14:paraId="6FCC4C04">
      <w:pPr>
        <w:spacing w:line="360" w:lineRule="auto"/>
        <w:ind w:firstLine="480" w:firstLineChars="200"/>
        <w:rPr>
          <w:rFonts w:ascii="宋体" w:eastAsia="宋体"/>
          <w:spacing w:val="0"/>
          <w:highlight w:val="none"/>
        </w:rPr>
      </w:pPr>
      <w:r>
        <w:rPr>
          <w:rFonts w:hint="eastAsia" w:ascii="宋体" w:eastAsia="宋体"/>
          <w:spacing w:val="0"/>
          <w:highlight w:val="none"/>
        </w:rPr>
        <w:t>15.6乙方将甲方支付的费用于履行合同以外的目的，甲方有权制止并要求其纠正。如因此造成本合同项目停滞、延误或失败的，乙方应当承担给甲方造成的损失赔偿责任。</w:t>
      </w:r>
    </w:p>
    <w:p w14:paraId="6A750716">
      <w:pPr>
        <w:spacing w:line="360" w:lineRule="auto"/>
        <w:ind w:firstLine="480" w:firstLineChars="200"/>
        <w:rPr>
          <w:rFonts w:ascii="宋体" w:eastAsia="宋体"/>
          <w:spacing w:val="0"/>
          <w:highlight w:val="none"/>
        </w:rPr>
      </w:pPr>
      <w:r>
        <w:rPr>
          <w:rFonts w:hint="eastAsia" w:ascii="宋体" w:eastAsia="宋体"/>
          <w:spacing w:val="0"/>
          <w:highlight w:val="none"/>
        </w:rPr>
        <w:t>15.7除本条、附件五《服务水平协议（</w:t>
      </w:r>
      <w:bookmarkStart w:id="302" w:name="突出显示"/>
      <w:r>
        <w:rPr>
          <w:rFonts w:hint="eastAsia" w:ascii="宋体" w:eastAsia="宋体"/>
          <w:spacing w:val="0"/>
          <w:highlight w:val="none"/>
        </w:rPr>
        <w:t>SLA</w:t>
      </w:r>
      <w:bookmarkEnd w:id="302"/>
      <w:r>
        <w:rPr>
          <w:rFonts w:hint="eastAsia" w:ascii="宋体" w:eastAsia="宋体"/>
          <w:spacing w:val="0"/>
          <w:highlight w:val="none"/>
        </w:rPr>
        <w:t>）》及</w:t>
      </w:r>
      <w:r>
        <w:rPr>
          <w:rFonts w:ascii="宋体" w:eastAsia="宋体"/>
          <w:spacing w:val="0"/>
          <w:highlight w:val="none"/>
        </w:rPr>
        <w:t>其他条款</w:t>
      </w:r>
      <w:r>
        <w:rPr>
          <w:rFonts w:hint="eastAsia" w:ascii="宋体" w:eastAsia="宋体"/>
          <w:spacing w:val="0"/>
          <w:highlight w:val="none"/>
        </w:rPr>
        <w:t>另有约定外，乙方违反本合同任一条款的，应向甲方支付合同总额</w:t>
      </w:r>
      <w:r>
        <w:rPr>
          <w:rFonts w:ascii="宋体" w:eastAsia="宋体"/>
          <w:spacing w:val="0"/>
          <w:highlight w:val="none"/>
        </w:rPr>
        <w:t>5</w:t>
      </w:r>
      <w:r>
        <w:rPr>
          <w:rFonts w:hint="eastAsia" w:ascii="宋体" w:eastAsia="宋体"/>
          <w:spacing w:val="0"/>
          <w:highlight w:val="none"/>
        </w:rPr>
        <w:t>%的违约金并赔偿甲方产生的损失。</w:t>
      </w:r>
    </w:p>
    <w:p w14:paraId="3D56F5CC">
      <w:pPr>
        <w:spacing w:line="360" w:lineRule="auto"/>
        <w:ind w:firstLine="480" w:firstLineChars="200"/>
        <w:rPr>
          <w:rFonts w:ascii="宋体" w:eastAsia="宋体"/>
          <w:spacing w:val="0"/>
          <w:highlight w:val="none"/>
        </w:rPr>
      </w:pPr>
      <w:r>
        <w:rPr>
          <w:rFonts w:hint="eastAsia" w:ascii="宋体" w:eastAsia="宋体"/>
          <w:spacing w:val="0"/>
          <w:highlight w:val="none"/>
        </w:rPr>
        <w:t>15.8本合同项下乙方应支付的违约金、赔偿金等，甲方均有权从应支付给乙方的款项中优先扣除，若有不足，乙方应另行筹措资金补足。</w:t>
      </w:r>
    </w:p>
    <w:p w14:paraId="7F6C8051">
      <w:pPr>
        <w:spacing w:line="360" w:lineRule="auto"/>
        <w:ind w:firstLine="480" w:firstLineChars="200"/>
        <w:rPr>
          <w:rFonts w:ascii="宋体" w:eastAsia="宋体"/>
          <w:spacing w:val="0"/>
          <w:highlight w:val="none"/>
        </w:rPr>
      </w:pPr>
    </w:p>
    <w:p w14:paraId="5AC9C0E2">
      <w:pPr>
        <w:rPr>
          <w:rFonts w:ascii="宋体" w:eastAsia="宋体"/>
          <w:b/>
          <w:spacing w:val="0"/>
          <w:highlight w:val="none"/>
        </w:rPr>
      </w:pPr>
      <w:r>
        <w:rPr>
          <w:rFonts w:hint="eastAsia" w:ascii="宋体" w:eastAsia="宋体"/>
          <w:b/>
          <w:spacing w:val="0"/>
          <w:highlight w:val="none"/>
        </w:rPr>
        <w:t>第十六条 合同的解除</w:t>
      </w:r>
    </w:p>
    <w:p w14:paraId="45716FBB">
      <w:pPr>
        <w:spacing w:line="360" w:lineRule="auto"/>
        <w:ind w:firstLine="480" w:firstLineChars="200"/>
        <w:rPr>
          <w:rFonts w:ascii="宋体" w:eastAsia="宋体"/>
          <w:spacing w:val="0"/>
          <w:highlight w:val="none"/>
        </w:rPr>
      </w:pPr>
      <w:r>
        <w:rPr>
          <w:rFonts w:hint="eastAsia" w:ascii="宋体" w:eastAsia="宋体"/>
          <w:spacing w:val="0"/>
          <w:highlight w:val="none"/>
        </w:rPr>
        <w:t>16.1如果满足以下条件，任一方在通知对方后，都可以解除本合同。</w:t>
      </w:r>
    </w:p>
    <w:p w14:paraId="2E83C6CE">
      <w:pPr>
        <w:spacing w:line="360" w:lineRule="auto"/>
        <w:ind w:firstLine="480" w:firstLineChars="200"/>
        <w:rPr>
          <w:rFonts w:ascii="宋体" w:eastAsia="宋体"/>
          <w:spacing w:val="0"/>
          <w:highlight w:val="none"/>
        </w:rPr>
      </w:pPr>
      <w:r>
        <w:rPr>
          <w:rFonts w:hint="eastAsia" w:ascii="宋体" w:eastAsia="宋体"/>
          <w:spacing w:val="0"/>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2CA2A2BB">
      <w:pPr>
        <w:spacing w:line="360" w:lineRule="auto"/>
        <w:ind w:firstLine="480" w:firstLineChars="200"/>
        <w:rPr>
          <w:rFonts w:ascii="宋体" w:eastAsia="宋体"/>
          <w:spacing w:val="0"/>
          <w:highlight w:val="none"/>
        </w:rPr>
      </w:pPr>
      <w:r>
        <w:rPr>
          <w:rFonts w:hint="eastAsia" w:ascii="宋体" w:eastAsia="宋体"/>
          <w:spacing w:val="0"/>
          <w:highlight w:val="none"/>
        </w:rPr>
        <w:t>（2）当一方按正常程序停止经营业务、破产、处于付款拖欠、延期偿付、公司重组或倒闭状况，或全部转让利润与债权人、书面承认无力偿还到期债务、委派清算人清算其业务或财产。</w:t>
      </w:r>
    </w:p>
    <w:p w14:paraId="13F6D842">
      <w:pPr>
        <w:spacing w:line="360" w:lineRule="auto"/>
        <w:ind w:firstLine="480" w:firstLineChars="200"/>
        <w:rPr>
          <w:rFonts w:ascii="宋体" w:eastAsia="宋体"/>
          <w:spacing w:val="0"/>
          <w:highlight w:val="none"/>
        </w:rPr>
      </w:pPr>
      <w:r>
        <w:rPr>
          <w:rFonts w:hint="eastAsia" w:ascii="宋体" w:eastAsia="宋体"/>
          <w:spacing w:val="0"/>
          <w:highlight w:val="none"/>
        </w:rPr>
        <w:t>16.2除本合同约定的情形外，甲方若认为乙方无法胜任本合同项下工作的，有权随时通知乙方后解除本合同。甲方除据实与乙方结算费用外，不承担其他违约责任。</w:t>
      </w:r>
    </w:p>
    <w:p w14:paraId="49674DB2">
      <w:pPr>
        <w:spacing w:line="360" w:lineRule="auto"/>
        <w:ind w:firstLine="480" w:firstLineChars="200"/>
        <w:rPr>
          <w:rFonts w:ascii="宋体" w:eastAsia="宋体"/>
          <w:spacing w:val="0"/>
          <w:highlight w:val="none"/>
        </w:rPr>
      </w:pPr>
      <w:r>
        <w:rPr>
          <w:rFonts w:hint="eastAsia" w:ascii="宋体" w:eastAsia="宋体"/>
          <w:spacing w:val="0"/>
          <w:highlight w:val="none"/>
        </w:rPr>
        <w:t>16.3当本合同以任何原因解除</w:t>
      </w:r>
      <w:r>
        <w:rPr>
          <w:rFonts w:ascii="宋体" w:eastAsia="宋体"/>
          <w:spacing w:val="0"/>
          <w:highlight w:val="none"/>
        </w:rPr>
        <w:t>或</w:t>
      </w:r>
      <w:r>
        <w:rPr>
          <w:rFonts w:hint="eastAsia" w:ascii="宋体" w:eastAsia="宋体"/>
          <w:spacing w:val="0"/>
          <w:highlight w:val="none"/>
        </w:rPr>
        <w:t>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5DFE63B1">
      <w:pPr>
        <w:spacing w:line="360" w:lineRule="auto"/>
        <w:ind w:firstLine="482" w:firstLineChars="200"/>
        <w:rPr>
          <w:rFonts w:ascii="宋体" w:eastAsia="宋体"/>
          <w:b/>
          <w:spacing w:val="0"/>
          <w:highlight w:val="none"/>
        </w:rPr>
      </w:pPr>
    </w:p>
    <w:p w14:paraId="0E6FD41F">
      <w:pPr>
        <w:rPr>
          <w:rFonts w:ascii="宋体" w:eastAsia="宋体"/>
          <w:b/>
          <w:spacing w:val="0"/>
          <w:highlight w:val="none"/>
        </w:rPr>
      </w:pPr>
      <w:r>
        <w:rPr>
          <w:rFonts w:hint="eastAsia" w:ascii="宋体" w:eastAsia="宋体"/>
          <w:b/>
          <w:spacing w:val="0"/>
          <w:highlight w:val="none"/>
        </w:rPr>
        <w:t>第十七条 合同变更及转让</w:t>
      </w:r>
    </w:p>
    <w:p w14:paraId="23932639">
      <w:pPr>
        <w:spacing w:line="360" w:lineRule="auto"/>
        <w:ind w:firstLine="480" w:firstLineChars="200"/>
        <w:rPr>
          <w:rFonts w:ascii="宋体" w:eastAsia="宋体"/>
          <w:spacing w:val="0"/>
          <w:highlight w:val="none"/>
        </w:rPr>
      </w:pPr>
      <w:r>
        <w:rPr>
          <w:rFonts w:hint="eastAsia" w:ascii="宋体" w:eastAsia="宋体"/>
          <w:spacing w:val="0"/>
          <w:highlight w:val="none"/>
        </w:rPr>
        <w:t>17.1对本合同及其附件的内容进行变更，必须经双方协商一致并签订补充协议，方能生效，本合同另有约定的除外。</w:t>
      </w:r>
    </w:p>
    <w:p w14:paraId="1C6CFB50">
      <w:pPr>
        <w:spacing w:line="360" w:lineRule="auto"/>
        <w:ind w:firstLine="480" w:firstLineChars="200"/>
        <w:rPr>
          <w:rFonts w:ascii="宋体" w:eastAsia="宋体"/>
          <w:spacing w:val="0"/>
          <w:highlight w:val="none"/>
        </w:rPr>
      </w:pPr>
      <w:r>
        <w:rPr>
          <w:rFonts w:hint="eastAsia" w:ascii="宋体" w:eastAsia="宋体"/>
          <w:spacing w:val="0"/>
          <w:highlight w:val="none"/>
        </w:rPr>
        <w:t>17.2本合同双方在未取得对方事先书面同意的前提下，均不得将各自本合同项下的任何权利或义务转让给第三方。</w:t>
      </w:r>
    </w:p>
    <w:p w14:paraId="2CAA4944">
      <w:pPr>
        <w:spacing w:line="360" w:lineRule="auto"/>
        <w:ind w:firstLine="482" w:firstLineChars="200"/>
        <w:rPr>
          <w:rFonts w:ascii="宋体" w:eastAsia="宋体"/>
          <w:b/>
          <w:spacing w:val="0"/>
          <w:highlight w:val="none"/>
        </w:rPr>
      </w:pPr>
    </w:p>
    <w:p w14:paraId="5E917EBF">
      <w:pPr>
        <w:rPr>
          <w:rFonts w:ascii="宋体" w:eastAsia="宋体"/>
          <w:b/>
          <w:spacing w:val="0"/>
          <w:highlight w:val="none"/>
        </w:rPr>
      </w:pPr>
      <w:r>
        <w:rPr>
          <w:rFonts w:hint="eastAsia" w:ascii="宋体" w:eastAsia="宋体"/>
          <w:b/>
          <w:spacing w:val="0"/>
          <w:highlight w:val="none"/>
        </w:rPr>
        <w:t>第十八条 争议解决</w:t>
      </w:r>
    </w:p>
    <w:p w14:paraId="54CA888E">
      <w:pPr>
        <w:spacing w:line="360" w:lineRule="auto"/>
        <w:ind w:firstLine="480" w:firstLineChars="200"/>
        <w:rPr>
          <w:rFonts w:ascii="宋体" w:eastAsia="宋体"/>
          <w:spacing w:val="0"/>
          <w:highlight w:val="none"/>
        </w:rPr>
      </w:pPr>
      <w:r>
        <w:rPr>
          <w:rFonts w:hint="eastAsia" w:ascii="宋体" w:eastAsia="宋体"/>
          <w:spacing w:val="0"/>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eastAsia="宋体"/>
          <w:spacing w:val="0"/>
          <w:highlight w:val="none"/>
        </w:rPr>
        <w:t>委员会按照该会届时有效的仲裁规则</w:t>
      </w:r>
      <w:r>
        <w:rPr>
          <w:rFonts w:hint="eastAsia" w:ascii="宋体" w:eastAsia="宋体"/>
          <w:spacing w:val="0"/>
          <w:highlight w:val="none"/>
        </w:rPr>
        <w:t>申请</w:t>
      </w:r>
      <w:r>
        <w:rPr>
          <w:rFonts w:ascii="宋体" w:eastAsia="宋体"/>
          <w:spacing w:val="0"/>
          <w:highlight w:val="none"/>
        </w:rPr>
        <w:t>仲裁，仲裁裁决是终局性的，对双方均有约束力</w:t>
      </w:r>
      <w:r>
        <w:rPr>
          <w:rFonts w:hint="eastAsia" w:ascii="宋体" w:eastAsia="宋体"/>
          <w:spacing w:val="0"/>
          <w:highlight w:val="none"/>
        </w:rPr>
        <w:t>。</w:t>
      </w:r>
    </w:p>
    <w:p w14:paraId="7BF75ABB">
      <w:pPr>
        <w:spacing w:line="360" w:lineRule="auto"/>
        <w:ind w:firstLine="480" w:firstLineChars="200"/>
        <w:rPr>
          <w:rFonts w:ascii="宋体" w:eastAsia="宋体"/>
          <w:spacing w:val="0"/>
          <w:highlight w:val="none"/>
        </w:rPr>
      </w:pPr>
    </w:p>
    <w:p w14:paraId="77D59711">
      <w:pPr>
        <w:rPr>
          <w:rFonts w:ascii="宋体" w:eastAsia="宋体"/>
          <w:b/>
          <w:spacing w:val="0"/>
          <w:highlight w:val="none"/>
        </w:rPr>
      </w:pPr>
      <w:r>
        <w:rPr>
          <w:rFonts w:hint="eastAsia" w:ascii="宋体" w:eastAsia="宋体"/>
          <w:b/>
          <w:spacing w:val="0"/>
          <w:highlight w:val="none"/>
        </w:rPr>
        <w:t>第十九条 通知与送达</w:t>
      </w:r>
    </w:p>
    <w:p w14:paraId="067C0743">
      <w:pPr>
        <w:spacing w:line="360" w:lineRule="auto"/>
        <w:ind w:firstLine="480" w:firstLineChars="200"/>
        <w:rPr>
          <w:rFonts w:ascii="宋体" w:eastAsia="宋体"/>
          <w:spacing w:val="0"/>
          <w:highlight w:val="none"/>
        </w:rPr>
      </w:pPr>
      <w:r>
        <w:rPr>
          <w:rFonts w:hint="eastAsia" w:ascii="宋体" w:eastAsia="宋体"/>
          <w:spacing w:val="0"/>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22F1FC0">
      <w:pPr>
        <w:adjustRightInd w:val="0"/>
        <w:spacing w:line="336" w:lineRule="auto"/>
        <w:ind w:firstLine="537" w:firstLineChars="224"/>
        <w:jc w:val="left"/>
        <w:rPr>
          <w:rFonts w:ascii="宋体" w:eastAsia="宋体"/>
          <w:spacing w:val="0"/>
          <w:highlight w:val="none"/>
        </w:rPr>
      </w:pPr>
      <w:r>
        <w:rPr>
          <w:rFonts w:hint="eastAsia" w:ascii="宋体" w:eastAsia="宋体"/>
          <w:spacing w:val="0"/>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AED182D">
      <w:pPr>
        <w:adjustRightInd w:val="0"/>
        <w:spacing w:line="336" w:lineRule="auto"/>
        <w:ind w:firstLine="537" w:firstLineChars="224"/>
        <w:jc w:val="left"/>
        <w:rPr>
          <w:rFonts w:ascii="宋体" w:eastAsia="宋体"/>
          <w:spacing w:val="0"/>
          <w:highlight w:val="none"/>
        </w:rPr>
      </w:pPr>
    </w:p>
    <w:p w14:paraId="426D0D8B">
      <w:pPr>
        <w:rPr>
          <w:rFonts w:ascii="宋体" w:eastAsia="宋体"/>
          <w:b/>
          <w:spacing w:val="0"/>
          <w:highlight w:val="none"/>
        </w:rPr>
      </w:pPr>
      <w:r>
        <w:rPr>
          <w:rFonts w:hint="eastAsia" w:ascii="宋体" w:eastAsia="宋体"/>
          <w:b/>
          <w:spacing w:val="0"/>
          <w:highlight w:val="none"/>
        </w:rPr>
        <w:t>第二十条 合同生效</w:t>
      </w:r>
    </w:p>
    <w:p w14:paraId="7F75A772">
      <w:pPr>
        <w:spacing w:line="360" w:lineRule="auto"/>
        <w:ind w:firstLine="480" w:firstLineChars="200"/>
        <w:rPr>
          <w:rFonts w:ascii="宋体" w:eastAsia="宋体"/>
          <w:spacing w:val="0"/>
          <w:highlight w:val="none"/>
        </w:rPr>
      </w:pPr>
      <w:r>
        <w:rPr>
          <w:rFonts w:hint="eastAsia" w:ascii="宋体" w:eastAsia="宋体"/>
          <w:spacing w:val="0"/>
          <w:highlight w:val="none"/>
        </w:rPr>
        <w:t>本合同自下列条件全部满足之日起生效：</w:t>
      </w:r>
    </w:p>
    <w:p w14:paraId="30C4ED90">
      <w:pPr>
        <w:spacing w:line="360" w:lineRule="auto"/>
        <w:ind w:firstLine="480" w:firstLineChars="200"/>
        <w:rPr>
          <w:rFonts w:ascii="宋体" w:eastAsia="宋体"/>
          <w:spacing w:val="0"/>
          <w:highlight w:val="none"/>
        </w:rPr>
      </w:pPr>
      <w:r>
        <w:rPr>
          <w:rFonts w:hint="eastAsia" w:ascii="宋体" w:eastAsia="宋体"/>
          <w:spacing w:val="0"/>
          <w:highlight w:val="none"/>
        </w:rPr>
        <w:t>双方对本合同及其全部附件内容达成一致并加盖公章。</w:t>
      </w:r>
    </w:p>
    <w:p w14:paraId="3834C1DD">
      <w:pPr>
        <w:spacing w:line="360" w:lineRule="auto"/>
        <w:ind w:firstLine="482" w:firstLineChars="200"/>
        <w:rPr>
          <w:rFonts w:ascii="宋体" w:eastAsia="宋体"/>
          <w:b/>
          <w:spacing w:val="0"/>
          <w:highlight w:val="none"/>
        </w:rPr>
      </w:pPr>
    </w:p>
    <w:p w14:paraId="598049F7">
      <w:pPr>
        <w:rPr>
          <w:rFonts w:ascii="宋体" w:eastAsia="宋体"/>
          <w:b/>
          <w:spacing w:val="0"/>
          <w:highlight w:val="none"/>
        </w:rPr>
      </w:pPr>
      <w:r>
        <w:rPr>
          <w:rFonts w:hint="eastAsia" w:ascii="宋体" w:eastAsia="宋体"/>
          <w:b/>
          <w:spacing w:val="0"/>
          <w:highlight w:val="none"/>
        </w:rPr>
        <w:t>第二十一条 不可抗力</w:t>
      </w:r>
    </w:p>
    <w:p w14:paraId="4C9E9732">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4AE4474D">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21.2发生不可抗力的一方应立即通知对方，并在十五天内提供不可抗力的详情及将有关证明文件送交对方。</w:t>
      </w:r>
    </w:p>
    <w:p w14:paraId="3B7FACA5">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21.3发生不可抗力事件时，甲乙双方应协商以寻找一个合理的解决方法，并尽一切努力减轻不可抗力产生的后果。</w:t>
      </w:r>
    </w:p>
    <w:p w14:paraId="39C431F3">
      <w:pPr>
        <w:spacing w:line="360" w:lineRule="auto"/>
        <w:ind w:firstLine="480" w:firstLineChars="200"/>
        <w:rPr>
          <w:rFonts w:ascii="宋体" w:eastAsia="宋体"/>
          <w:spacing w:val="0"/>
          <w:kern w:val="0"/>
          <w:highlight w:val="none"/>
        </w:rPr>
      </w:pPr>
      <w:r>
        <w:rPr>
          <w:rFonts w:hint="eastAsia" w:ascii="宋体" w:eastAsia="宋体"/>
          <w:spacing w:val="0"/>
          <w:kern w:val="0"/>
          <w:highlight w:val="none"/>
        </w:rPr>
        <w:t>21.4如不可抗力事件持续三十天时，甲乙双方应友好协商解决本合同是否继续履行或终止的问题。</w:t>
      </w:r>
    </w:p>
    <w:p w14:paraId="60C79A98">
      <w:pPr>
        <w:spacing w:line="360" w:lineRule="auto"/>
        <w:ind w:firstLine="482" w:firstLineChars="200"/>
        <w:rPr>
          <w:rFonts w:ascii="宋体" w:eastAsia="宋体"/>
          <w:b/>
          <w:spacing w:val="0"/>
          <w:highlight w:val="none"/>
        </w:rPr>
      </w:pPr>
    </w:p>
    <w:p w14:paraId="1D3687F2">
      <w:pPr>
        <w:rPr>
          <w:rFonts w:ascii="宋体" w:eastAsia="宋体"/>
          <w:b/>
          <w:spacing w:val="0"/>
          <w:highlight w:val="none"/>
        </w:rPr>
      </w:pPr>
      <w:r>
        <w:rPr>
          <w:rFonts w:hint="eastAsia" w:ascii="宋体" w:eastAsia="宋体"/>
          <w:b/>
          <w:spacing w:val="0"/>
          <w:highlight w:val="none"/>
        </w:rPr>
        <w:t>第二十二条 反商业贿赂</w:t>
      </w:r>
    </w:p>
    <w:p w14:paraId="11DAA7C3">
      <w:pPr>
        <w:spacing w:line="360" w:lineRule="auto"/>
        <w:ind w:firstLine="480" w:firstLineChars="200"/>
        <w:rPr>
          <w:rFonts w:ascii="宋体" w:eastAsia="宋体"/>
          <w:spacing w:val="0"/>
          <w:highlight w:val="none"/>
        </w:rPr>
      </w:pPr>
      <w:r>
        <w:rPr>
          <w:rFonts w:hint="eastAsia" w:ascii="宋体" w:eastAsia="宋体"/>
          <w:spacing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31BA28D2">
      <w:pPr>
        <w:spacing w:line="360" w:lineRule="auto"/>
        <w:ind w:firstLine="482" w:firstLineChars="200"/>
        <w:rPr>
          <w:rFonts w:ascii="宋体" w:eastAsia="宋体"/>
          <w:b/>
          <w:spacing w:val="0"/>
          <w:highlight w:val="none"/>
        </w:rPr>
      </w:pPr>
    </w:p>
    <w:p w14:paraId="6E803C63">
      <w:pPr>
        <w:rPr>
          <w:rFonts w:ascii="宋体" w:eastAsia="宋体"/>
          <w:b/>
          <w:spacing w:val="0"/>
          <w:highlight w:val="none"/>
        </w:rPr>
      </w:pPr>
      <w:r>
        <w:rPr>
          <w:rFonts w:hint="eastAsia" w:ascii="宋体" w:eastAsia="宋体"/>
          <w:b/>
          <w:spacing w:val="0"/>
          <w:highlight w:val="none"/>
        </w:rPr>
        <w:t>第二十三条 附件</w:t>
      </w:r>
    </w:p>
    <w:p w14:paraId="24E6CAC5">
      <w:pPr>
        <w:spacing w:line="360" w:lineRule="auto"/>
        <w:ind w:firstLine="559" w:firstLineChars="233"/>
        <w:rPr>
          <w:rFonts w:ascii="宋体" w:eastAsia="宋体"/>
          <w:spacing w:val="0"/>
          <w:highlight w:val="none"/>
        </w:rPr>
      </w:pPr>
      <w:r>
        <w:rPr>
          <w:rFonts w:hint="eastAsia" w:ascii="宋体" w:eastAsia="宋体"/>
          <w:spacing w:val="0"/>
          <w:highlight w:val="none"/>
        </w:rPr>
        <w:t>本合同的附件与合同正本具有同等法律效力，主合同与附件如有冲突，以主合同为准。本合同附件如下：</w:t>
      </w:r>
    </w:p>
    <w:p w14:paraId="02BED609">
      <w:pPr>
        <w:spacing w:line="360" w:lineRule="auto"/>
        <w:ind w:left="560"/>
        <w:rPr>
          <w:rFonts w:ascii="宋体" w:eastAsia="宋体"/>
          <w:spacing w:val="0"/>
          <w:highlight w:val="none"/>
        </w:rPr>
      </w:pPr>
      <w:r>
        <w:rPr>
          <w:rFonts w:hint="eastAsia" w:ascii="宋体" w:eastAsia="宋体"/>
          <w:spacing w:val="0"/>
          <w:highlight w:val="none"/>
        </w:rPr>
        <w:t>附件一：工作（需求）说明书</w:t>
      </w:r>
    </w:p>
    <w:p w14:paraId="729D7A17">
      <w:pPr>
        <w:spacing w:line="360" w:lineRule="auto"/>
        <w:ind w:left="560"/>
        <w:rPr>
          <w:rFonts w:ascii="宋体" w:eastAsia="宋体"/>
          <w:spacing w:val="0"/>
          <w:highlight w:val="none"/>
        </w:rPr>
      </w:pPr>
      <w:r>
        <w:rPr>
          <w:rFonts w:hint="eastAsia" w:ascii="宋体" w:eastAsia="宋体"/>
          <w:spacing w:val="0"/>
          <w:highlight w:val="none"/>
        </w:rPr>
        <w:t>附件二：项目人员名单及人员应急退出机制</w:t>
      </w:r>
    </w:p>
    <w:p w14:paraId="0A0F40E1">
      <w:pPr>
        <w:spacing w:line="360" w:lineRule="auto"/>
        <w:ind w:left="560"/>
        <w:rPr>
          <w:rFonts w:ascii="宋体" w:eastAsia="宋体"/>
          <w:spacing w:val="0"/>
          <w:highlight w:val="none"/>
        </w:rPr>
      </w:pPr>
      <w:r>
        <w:rPr>
          <w:rFonts w:hint="eastAsia" w:ascii="宋体" w:eastAsia="宋体"/>
          <w:spacing w:val="0"/>
          <w:highlight w:val="none"/>
        </w:rPr>
        <w:t>附件三：验收标准及流程</w:t>
      </w:r>
    </w:p>
    <w:p w14:paraId="37CF32AA">
      <w:pPr>
        <w:spacing w:line="360" w:lineRule="auto"/>
        <w:ind w:left="560"/>
        <w:rPr>
          <w:rFonts w:ascii="宋体" w:eastAsia="宋体"/>
          <w:spacing w:val="0"/>
          <w:highlight w:val="none"/>
        </w:rPr>
      </w:pPr>
      <w:r>
        <w:rPr>
          <w:rFonts w:hint="eastAsia" w:ascii="宋体" w:eastAsia="宋体"/>
          <w:spacing w:val="0"/>
          <w:highlight w:val="none"/>
        </w:rPr>
        <w:t>附件四：维护服务条款</w:t>
      </w:r>
    </w:p>
    <w:p w14:paraId="62C869CD">
      <w:pPr>
        <w:spacing w:line="360" w:lineRule="auto"/>
        <w:ind w:left="560"/>
        <w:rPr>
          <w:rFonts w:ascii="宋体" w:eastAsia="宋体"/>
          <w:spacing w:val="0"/>
          <w:highlight w:val="none"/>
        </w:rPr>
      </w:pPr>
      <w:r>
        <w:rPr>
          <w:rFonts w:hint="eastAsia" w:ascii="宋体" w:eastAsia="宋体"/>
          <w:spacing w:val="0"/>
          <w:highlight w:val="none"/>
        </w:rPr>
        <w:t>附件五：服务水平协议（</w:t>
      </w:r>
      <w:bookmarkStart w:id="303" w:name="突出显示"/>
      <w:r>
        <w:rPr>
          <w:rFonts w:hint="eastAsia" w:ascii="宋体" w:eastAsia="宋体"/>
          <w:spacing w:val="0"/>
          <w:highlight w:val="none"/>
        </w:rPr>
        <w:t>SLA</w:t>
      </w:r>
      <w:bookmarkEnd w:id="303"/>
      <w:r>
        <w:rPr>
          <w:rFonts w:hint="eastAsia" w:ascii="宋体" w:eastAsia="宋体"/>
          <w:spacing w:val="0"/>
          <w:highlight w:val="none"/>
        </w:rPr>
        <w:t>）</w:t>
      </w:r>
    </w:p>
    <w:p w14:paraId="07F8CC93">
      <w:pPr>
        <w:spacing w:line="360" w:lineRule="auto"/>
        <w:ind w:left="560"/>
        <w:rPr>
          <w:rFonts w:ascii="宋体" w:eastAsia="宋体"/>
          <w:spacing w:val="0"/>
          <w:highlight w:val="none"/>
        </w:rPr>
      </w:pPr>
      <w:r>
        <w:rPr>
          <w:rFonts w:hint="eastAsia" w:ascii="宋体" w:eastAsia="宋体"/>
          <w:spacing w:val="0"/>
          <w:highlight w:val="none"/>
        </w:rPr>
        <w:t>附件六：服务连续性预案</w:t>
      </w:r>
    </w:p>
    <w:p w14:paraId="2F86E97E">
      <w:pPr>
        <w:spacing w:line="360" w:lineRule="auto"/>
        <w:ind w:left="560"/>
        <w:rPr>
          <w:rFonts w:ascii="宋体" w:eastAsia="宋体"/>
          <w:spacing w:val="0"/>
          <w:highlight w:val="none"/>
        </w:rPr>
      </w:pPr>
    </w:p>
    <w:p w14:paraId="7828196B">
      <w:pPr>
        <w:rPr>
          <w:rFonts w:ascii="宋体" w:eastAsia="宋体"/>
          <w:b/>
          <w:spacing w:val="0"/>
          <w:highlight w:val="none"/>
        </w:rPr>
      </w:pPr>
      <w:r>
        <w:rPr>
          <w:rFonts w:hint="eastAsia" w:ascii="宋体" w:eastAsia="宋体"/>
          <w:b/>
          <w:spacing w:val="0"/>
          <w:highlight w:val="none"/>
        </w:rPr>
        <w:t>第二十四条 其他</w:t>
      </w:r>
    </w:p>
    <w:p w14:paraId="28F6667F">
      <w:pPr>
        <w:pStyle w:val="16"/>
        <w:spacing w:before="50" w:beforeLines="0" w:line="360" w:lineRule="auto"/>
        <w:rPr>
          <w:rFonts w:ascii="宋体" w:eastAsia="宋体"/>
          <w:spacing w:val="0"/>
          <w:highlight w:val="none"/>
        </w:rPr>
      </w:pPr>
      <w:r>
        <w:rPr>
          <w:rStyle w:val="45"/>
          <w:rFonts w:hint="eastAsia" w:ascii="宋体" w:eastAsia="宋体"/>
          <w:spacing w:val="0"/>
          <w:kern w:val="0"/>
          <w:highlight w:val="none"/>
        </w:rPr>
        <w:t>24.1除本</w:t>
      </w:r>
      <w:r>
        <w:rPr>
          <w:rFonts w:hint="eastAsia" w:ascii="宋体" w:eastAsia="宋体"/>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21AC2AED">
      <w:pPr>
        <w:pStyle w:val="16"/>
        <w:spacing w:before="50" w:beforeLines="0" w:line="360" w:lineRule="auto"/>
        <w:rPr>
          <w:rFonts w:ascii="宋体" w:eastAsia="宋体"/>
          <w:spacing w:val="0"/>
          <w:highlight w:val="none"/>
        </w:rPr>
      </w:pPr>
      <w:r>
        <w:rPr>
          <w:rFonts w:hint="eastAsia" w:ascii="宋体" w:eastAsia="宋体"/>
          <w:spacing w:val="0"/>
          <w:highlight w:val="none"/>
        </w:rPr>
        <w:t>24.</w:t>
      </w:r>
      <w:r>
        <w:rPr>
          <w:rStyle w:val="45"/>
          <w:rFonts w:hint="eastAsia" w:ascii="宋体" w:eastAsia="宋体"/>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highlight w:val="none"/>
        </w:rPr>
        <w:t>同其他条款或内容的合法性、有效性和可执行性不受影响。</w:t>
      </w:r>
    </w:p>
    <w:p w14:paraId="79A2F48B">
      <w:pPr>
        <w:spacing w:line="360" w:lineRule="auto"/>
        <w:ind w:firstLine="480" w:firstLineChars="200"/>
        <w:rPr>
          <w:rFonts w:ascii="宋体" w:eastAsia="宋体"/>
          <w:spacing w:val="0"/>
          <w:highlight w:val="none"/>
        </w:rPr>
      </w:pPr>
      <w:r>
        <w:rPr>
          <w:rStyle w:val="45"/>
          <w:rFonts w:hint="eastAsia" w:ascii="宋体" w:eastAsia="宋体"/>
          <w:spacing w:val="0"/>
          <w:kern w:val="0"/>
          <w:highlight w:val="none"/>
        </w:rPr>
        <w:t>24.3本</w:t>
      </w:r>
      <w:r>
        <w:rPr>
          <w:rFonts w:hint="eastAsia" w:ascii="宋体" w:eastAsia="宋体"/>
          <w:spacing w:val="0"/>
          <w:highlight w:val="none"/>
        </w:rPr>
        <w:t>合同签订后，如需要就与合同执行有关的事项签订补充合同，应由双方加盖公章后，补充合同即生效。</w:t>
      </w:r>
      <w:r>
        <w:rPr>
          <w:rFonts w:ascii="宋体" w:eastAsia="宋体"/>
          <w:spacing w:val="0"/>
          <w:highlight w:val="none"/>
        </w:rPr>
        <w:t>本合同附件为本合同的组成部分，本</w:t>
      </w:r>
      <w:r>
        <w:rPr>
          <w:rFonts w:hint="eastAsia" w:ascii="宋体" w:eastAsia="宋体"/>
          <w:spacing w:val="0"/>
          <w:highlight w:val="none"/>
        </w:rPr>
        <w:t>合同与附件如有冲突，以</w:t>
      </w:r>
      <w:r>
        <w:rPr>
          <w:rFonts w:ascii="宋体" w:eastAsia="宋体"/>
          <w:spacing w:val="0"/>
          <w:highlight w:val="none"/>
        </w:rPr>
        <w:t>本</w:t>
      </w:r>
      <w:r>
        <w:rPr>
          <w:rFonts w:hint="eastAsia" w:ascii="宋体" w:eastAsia="宋体"/>
          <w:spacing w:val="0"/>
          <w:highlight w:val="none"/>
        </w:rPr>
        <w:t>合同为准。</w:t>
      </w:r>
    </w:p>
    <w:p w14:paraId="61076911">
      <w:pPr>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24.4本合同以中文版本为准，除非本合同明确规定或双方另有约定，为履行本合同的所有文件及信函均以中文书写。</w:t>
      </w:r>
    </w:p>
    <w:p w14:paraId="7639C9EC">
      <w:pPr>
        <w:spacing w:line="360" w:lineRule="auto"/>
        <w:ind w:firstLine="480" w:firstLineChars="200"/>
        <w:rPr>
          <w:rFonts w:ascii="宋体" w:eastAsia="宋体"/>
          <w:b/>
          <w:i/>
          <w:spacing w:val="0"/>
          <w:highlight w:val="none"/>
        </w:rPr>
      </w:pPr>
      <w:r>
        <w:rPr>
          <w:rStyle w:val="45"/>
          <w:rFonts w:hint="eastAsia" w:ascii="宋体" w:eastAsia="宋体"/>
          <w:spacing w:val="0"/>
          <w:kern w:val="0"/>
          <w:highlight w:val="none"/>
        </w:rPr>
        <w:t>24.5本合同一式肆份，甲方执贰份，乙方执贰份，每份具有同等法律</w:t>
      </w:r>
      <w:r>
        <w:rPr>
          <w:rFonts w:hint="eastAsia" w:ascii="宋体" w:eastAsia="宋体"/>
          <w:spacing w:val="0"/>
          <w:highlight w:val="none"/>
        </w:rPr>
        <w:t>效力。</w:t>
      </w:r>
    </w:p>
    <w:p w14:paraId="7EA324CA">
      <w:pPr>
        <w:spacing w:line="360" w:lineRule="auto"/>
        <w:rPr>
          <w:rFonts w:ascii="宋体" w:eastAsia="宋体"/>
          <w:b/>
          <w:iCs/>
          <w:spacing w:val="0"/>
          <w:highlight w:val="none"/>
        </w:rPr>
      </w:pPr>
      <w:r>
        <w:rPr>
          <w:rFonts w:hint="eastAsia" w:ascii="宋体" w:eastAsia="宋体"/>
          <w:b/>
          <w:iCs/>
          <w:spacing w:val="0"/>
          <w:highlight w:val="none"/>
        </w:rPr>
        <w:t>（以下无正文）</w:t>
      </w:r>
    </w:p>
    <w:p w14:paraId="66AA4463">
      <w:pPr>
        <w:spacing w:line="360" w:lineRule="auto"/>
        <w:rPr>
          <w:rFonts w:ascii="宋体"/>
          <w:b/>
          <w:iCs/>
          <w:highlight w:val="none"/>
        </w:rPr>
      </w:pPr>
    </w:p>
    <w:p w14:paraId="7FA065CA">
      <w:pPr>
        <w:tabs>
          <w:tab w:val="left" w:pos="851"/>
        </w:tabs>
        <w:adjustRightInd w:val="0"/>
        <w:spacing w:line="360" w:lineRule="auto"/>
        <w:textAlignment w:val="baseline"/>
        <w:rPr>
          <w:rFonts w:ascii="宋体"/>
          <w:kern w:val="0"/>
          <w:highlight w:val="none"/>
        </w:rPr>
      </w:pPr>
      <w:r>
        <w:rPr>
          <w:rFonts w:hint="eastAsia" w:ascii="宋体" w:eastAsia="宋体"/>
          <w:spacing w:val="0"/>
          <w:kern w:val="0"/>
          <w:highlight w:val="none"/>
        </w:rPr>
        <w:t>甲方：</w:t>
      </w:r>
      <w:r>
        <w:rPr>
          <w:rFonts w:hint="eastAsia" w:ascii="宋体" w:eastAsia="宋体"/>
          <w:b/>
          <w:spacing w:val="0"/>
          <w:highlight w:val="none"/>
        </w:rPr>
        <w:t>重庆三峡银行股份有限公司</w:t>
      </w:r>
      <w:r>
        <w:rPr>
          <w:rFonts w:hint="eastAsia" w:ascii="宋体" w:eastAsia="宋体"/>
          <w:spacing w:val="0"/>
          <w:kern w:val="0"/>
          <w:highlight w:val="none"/>
        </w:rPr>
        <w:t>（公章）</w:t>
      </w:r>
    </w:p>
    <w:p w14:paraId="6BBBBE1C">
      <w:pPr>
        <w:spacing w:line="360" w:lineRule="auto"/>
        <w:rPr>
          <w:rFonts w:ascii="宋体" w:eastAsia="宋体"/>
          <w:spacing w:val="0"/>
          <w:highlight w:val="none"/>
        </w:rPr>
      </w:pPr>
      <w:r>
        <w:rPr>
          <w:rFonts w:hint="eastAsia" w:ascii="宋体" w:eastAsia="宋体"/>
          <w:spacing w:val="0"/>
          <w:highlight w:val="none"/>
        </w:rPr>
        <w:t>乙方：</w:t>
      </w:r>
      <w:r>
        <w:rPr>
          <w:rFonts w:hint="eastAsia" w:ascii="宋体" w:eastAsia="宋体"/>
          <w:b/>
          <w:spacing w:val="0"/>
          <w:highlight w:val="none"/>
        </w:rPr>
        <w:t>X</w:t>
      </w:r>
      <w:r>
        <w:rPr>
          <w:rFonts w:ascii="宋体" w:eastAsia="宋体"/>
          <w:b/>
          <w:spacing w:val="0"/>
          <w:highlight w:val="none"/>
        </w:rPr>
        <w:t>XXXXXXXXXXXXXXX</w:t>
      </w:r>
      <w:r>
        <w:rPr>
          <w:rFonts w:hint="eastAsia" w:ascii="宋体" w:eastAsia="宋体"/>
          <w:b/>
          <w:spacing w:val="0"/>
          <w:highlight w:val="none"/>
        </w:rPr>
        <w:t>公司</w:t>
      </w:r>
      <w:r>
        <w:rPr>
          <w:rFonts w:hint="eastAsia" w:ascii="宋体" w:eastAsia="宋体"/>
          <w:spacing w:val="0"/>
          <w:highlight w:val="none"/>
        </w:rPr>
        <w:t>（公章）</w:t>
      </w:r>
    </w:p>
    <w:p w14:paraId="36A50847">
      <w:pPr>
        <w:spacing w:line="360" w:lineRule="auto"/>
        <w:rPr>
          <w:rFonts w:ascii="宋体" w:eastAsia="宋体"/>
          <w:spacing w:val="0"/>
          <w:highlight w:val="none"/>
        </w:rPr>
      </w:pPr>
    </w:p>
    <w:p w14:paraId="20F68ADA">
      <w:pPr>
        <w:spacing w:line="360" w:lineRule="auto"/>
        <w:ind w:firstLine="5280" w:firstLineChars="2200"/>
        <w:rPr>
          <w:rFonts w:ascii="宋体" w:eastAsia="宋体"/>
          <w:spacing w:val="0"/>
          <w:highlight w:val="none"/>
        </w:rPr>
      </w:pPr>
      <w:r>
        <w:rPr>
          <w:rFonts w:hint="eastAsia" w:ascii="宋体" w:eastAsia="宋体"/>
          <w:spacing w:val="0"/>
          <w:highlight w:val="none"/>
        </w:rPr>
        <w:t>日期：  年  月  日</w:t>
      </w:r>
    </w:p>
    <w:p w14:paraId="5400F6C5">
      <w:pPr>
        <w:rPr>
          <w:rStyle w:val="45"/>
          <w:rFonts w:ascii="宋体" w:eastAsia="宋体"/>
          <w:spacing w:val="0"/>
          <w:kern w:val="0"/>
          <w:sz w:val="30"/>
          <w:highlight w:val="none"/>
        </w:rPr>
      </w:pPr>
      <w:bookmarkStart w:id="304" w:name="_Toc84948049"/>
      <w:bookmarkStart w:id="305" w:name="_Toc63757481"/>
      <w:r>
        <w:rPr>
          <w:rStyle w:val="45"/>
          <w:rFonts w:ascii="宋体" w:eastAsia="宋体"/>
          <w:spacing w:val="0"/>
          <w:kern w:val="0"/>
          <w:sz w:val="30"/>
          <w:highlight w:val="none"/>
        </w:rPr>
        <w:br w:type="page"/>
      </w:r>
    </w:p>
    <w:p w14:paraId="764468B3">
      <w:pPr>
        <w:ind w:left="0" w:firstLine="0"/>
        <w:rPr>
          <w:rStyle w:val="45"/>
          <w:rFonts w:ascii="宋体" w:eastAsia="宋体"/>
          <w:spacing w:val="0"/>
          <w:kern w:val="0"/>
          <w:sz w:val="30"/>
          <w:highlight w:val="none"/>
        </w:rPr>
      </w:pPr>
      <w:r>
        <w:rPr>
          <w:rStyle w:val="45"/>
          <w:rFonts w:hint="eastAsia" w:ascii="宋体" w:eastAsia="宋体"/>
          <w:spacing w:val="0"/>
          <w:kern w:val="0"/>
          <w:sz w:val="30"/>
          <w:highlight w:val="none"/>
        </w:rPr>
        <w:t>附件一：工作（需求）说明书</w:t>
      </w:r>
      <w:bookmarkEnd w:id="304"/>
      <w:bookmarkEnd w:id="305"/>
    </w:p>
    <w:p w14:paraId="614A634D">
      <w:pPr>
        <w:keepNext/>
        <w:widowControl w:val="0"/>
        <w:snapToGrid w:val="0"/>
        <w:ind w:firstLine="0"/>
        <w:rPr>
          <w:rFonts w:hAnsi="Times New Roman"/>
          <w:highlight w:val="none"/>
        </w:rPr>
      </w:pPr>
      <w:bookmarkStart w:id="306" w:name="_Toc165014895"/>
      <w:bookmarkStart w:id="307" w:name="_Toc83630014"/>
      <w:bookmarkStart w:id="308" w:name="_Toc527550321"/>
      <w:bookmarkStart w:id="309" w:name="_Toc83630512"/>
      <w:r>
        <w:rPr>
          <w:rFonts w:hAnsi="Times New Roman"/>
          <w:highlight w:val="none"/>
        </w:rPr>
        <w:t xml:space="preserve">1. </w:t>
      </w:r>
      <w:r>
        <w:rPr>
          <w:rFonts w:hint="eastAsia" w:hAnsi="Times New Roman"/>
          <w:highlight w:val="none"/>
        </w:rPr>
        <w:t>需求概述</w:t>
      </w:r>
      <w:bookmarkEnd w:id="306"/>
      <w:bookmarkEnd w:id="307"/>
      <w:bookmarkEnd w:id="308"/>
      <w:bookmarkEnd w:id="309"/>
    </w:p>
    <w:p w14:paraId="5F560244">
      <w:pPr>
        <w:adjustRightInd w:val="0"/>
        <w:snapToGrid w:val="0"/>
        <w:ind w:firstLine="480" w:firstLineChars="200"/>
        <w:rPr>
          <w:rFonts w:hAnsi="Times New Roman"/>
          <w:highlight w:val="none"/>
        </w:rPr>
      </w:pPr>
      <w:r>
        <w:rPr>
          <w:rFonts w:hAnsi="Times New Roman"/>
          <w:highlight w:val="none"/>
        </w:rPr>
        <w:t>绿色金融业务管理系统可为本行绿色信贷业务的高效开展和快速规范增长提供强有力的支撑，具体体现在：一是客户管理功能，对我行绿色信贷的企业及个人客户进行展示，并实时调用信贷系统中的基本信息及贷款信息等。二是项目绿色、转型及碳减排识别和环境效益测算等功能，可大幅提高绿色信贷业务认定效率，提高客户经理工作效率及识别准确率。三是环境与社会风险管理功能、违法违规客户管理等功能，可规避部分业务风险，保障资产质量。四是通过业务及监管报表功能，可极大提高绿色信贷数据统计及报表填报等工作效率，并为后续的数据挖掘、分析与运用提供坚实基础。五是碳核算管理功能，通过对我行机构自身运营及投融资的相关碳核算，可以助力我行探索“零碳银行”的建设。六是碳账户功能，可以对企业碳账户及个人碳足迹、碳积分等进行监控并管理。七是信息披露功能，可实现我行对环境社会责任（ESG）报告及气候与环境信息披露报告部分固定格式内容的数据更新及自动生成，保证我行对外披露信息的准确性及真实性。</w:t>
      </w:r>
    </w:p>
    <w:p w14:paraId="7E06D12E">
      <w:pPr>
        <w:adjustRightInd w:val="0"/>
        <w:snapToGrid w:val="0"/>
        <w:ind w:left="0" w:firstLine="0"/>
        <w:rPr>
          <w:bCs/>
          <w:highlight w:val="none"/>
        </w:rPr>
      </w:pPr>
      <w:r>
        <w:rPr>
          <w:bCs/>
          <w:highlight w:val="none"/>
        </w:rPr>
        <w:t>2. 功能模块</w:t>
      </w:r>
    </w:p>
    <w:p w14:paraId="5620D087">
      <w:pPr>
        <w:adjustRightInd w:val="0"/>
        <w:snapToGrid w:val="0"/>
        <w:ind w:left="0" w:firstLine="240" w:firstLineChars="100"/>
        <w:rPr>
          <w:bCs/>
          <w:highlight w:val="none"/>
        </w:rPr>
      </w:pPr>
      <w:r>
        <w:rPr>
          <w:rFonts w:hint="eastAsia" w:hAnsi="Times New Roman"/>
          <w:bCs/>
          <w:highlight w:val="none"/>
        </w:rPr>
        <w:t>2.1客户管理模块</w:t>
      </w:r>
    </w:p>
    <w:p w14:paraId="3C547F63">
      <w:pPr>
        <w:adjustRightInd w:val="0"/>
        <w:snapToGrid w:val="0"/>
        <w:ind w:firstLine="480" w:firstLineChars="200"/>
        <w:rPr>
          <w:rFonts w:hAnsi="Times New Roman"/>
          <w:highlight w:val="none"/>
        </w:rPr>
      </w:pPr>
      <w:r>
        <w:rPr>
          <w:rFonts w:hAnsi="Times New Roman"/>
          <w:highlight w:val="none"/>
        </w:rPr>
        <w:t>2.1.1绿色企业客户管理功能</w:t>
      </w:r>
    </w:p>
    <w:p w14:paraId="0B03238E">
      <w:pPr>
        <w:adjustRightInd w:val="0"/>
        <w:snapToGrid w:val="0"/>
        <w:ind w:firstLine="480" w:firstLineChars="200"/>
        <w:rPr>
          <w:rFonts w:hAnsi="Times New Roman"/>
          <w:highlight w:val="none"/>
        </w:rPr>
      </w:pPr>
      <w:r>
        <w:rPr>
          <w:rFonts w:hAnsi="Times New Roman"/>
          <w:highlight w:val="none"/>
        </w:rPr>
        <w:t>对涉及绿色信贷的企业客户进行展示（标识绿色贷款、绿色票据等），并实时调用信贷系统中的基本信息及贷款信息等。</w:t>
      </w:r>
    </w:p>
    <w:p w14:paraId="4DB4AD71">
      <w:pPr>
        <w:adjustRightInd w:val="0"/>
        <w:snapToGrid w:val="0"/>
        <w:ind w:firstLine="480" w:firstLineChars="200"/>
        <w:rPr>
          <w:rFonts w:hAnsi="Times New Roman"/>
          <w:highlight w:val="none"/>
        </w:rPr>
      </w:pPr>
      <w:r>
        <w:rPr>
          <w:rFonts w:hAnsi="Times New Roman"/>
          <w:highlight w:val="none"/>
        </w:rPr>
        <w:t>2.1.2绿色个人客户管理功能</w:t>
      </w:r>
    </w:p>
    <w:p w14:paraId="18081045">
      <w:pPr>
        <w:adjustRightInd w:val="0"/>
        <w:snapToGrid w:val="0"/>
        <w:ind w:firstLine="480" w:firstLineChars="200"/>
        <w:rPr>
          <w:rFonts w:hAnsi="Times New Roman"/>
          <w:highlight w:val="none"/>
        </w:rPr>
      </w:pPr>
      <w:r>
        <w:rPr>
          <w:rFonts w:hAnsi="Times New Roman"/>
          <w:highlight w:val="none"/>
        </w:rPr>
        <w:t>（1）对涉及绿色信贷的个人客户进行展示（标识绿色贷款、绿色消费等），并实时调用信贷系统中的基本信息及贷款信息等。</w:t>
      </w:r>
    </w:p>
    <w:p w14:paraId="24E6B780">
      <w:pPr>
        <w:adjustRightInd w:val="0"/>
        <w:snapToGrid w:val="0"/>
        <w:ind w:firstLine="480" w:firstLineChars="200"/>
        <w:rPr>
          <w:rFonts w:hAnsi="Times New Roman"/>
          <w:highlight w:val="none"/>
        </w:rPr>
      </w:pPr>
      <w:r>
        <w:rPr>
          <w:rFonts w:hAnsi="Times New Roman"/>
          <w:highlight w:val="none"/>
        </w:rPr>
        <w:t>（2）对涉及手机银行个人碳账户开户的个人客户进行展示，并实时调用其碳减排数据。</w:t>
      </w:r>
    </w:p>
    <w:p w14:paraId="7B7BBA85">
      <w:pPr>
        <w:adjustRightInd w:val="0"/>
        <w:snapToGrid w:val="0"/>
        <w:ind w:left="0" w:firstLine="240" w:firstLineChars="100"/>
        <w:rPr>
          <w:bCs/>
          <w:highlight w:val="none"/>
        </w:rPr>
      </w:pPr>
      <w:r>
        <w:rPr>
          <w:rFonts w:hAnsi="Times New Roman"/>
          <w:bCs/>
          <w:highlight w:val="none"/>
        </w:rPr>
        <w:t>2</w:t>
      </w:r>
      <w:r>
        <w:rPr>
          <w:rFonts w:hint="eastAsia" w:hAnsi="Times New Roman"/>
          <w:bCs/>
          <w:highlight w:val="none"/>
        </w:rPr>
        <w:t>.2绿色认定管理模块</w:t>
      </w:r>
    </w:p>
    <w:p w14:paraId="7A0230F8">
      <w:pPr>
        <w:adjustRightInd w:val="0"/>
        <w:snapToGrid w:val="0"/>
        <w:ind w:firstLine="480" w:firstLineChars="200"/>
        <w:rPr>
          <w:rFonts w:hAnsi="Times New Roman"/>
          <w:highlight w:val="none"/>
        </w:rPr>
      </w:pPr>
      <w:r>
        <w:rPr>
          <w:rFonts w:hAnsi="Times New Roman"/>
          <w:highlight w:val="none"/>
        </w:rPr>
        <w:t>2.2.1授信系统内项目类绿色认定功能</w:t>
      </w:r>
    </w:p>
    <w:p w14:paraId="43894954">
      <w:pPr>
        <w:adjustRightInd w:val="0"/>
        <w:snapToGrid w:val="0"/>
        <w:ind w:firstLine="480" w:firstLineChars="200"/>
        <w:rPr>
          <w:rFonts w:hAnsi="Times New Roman"/>
          <w:highlight w:val="none"/>
        </w:rPr>
      </w:pPr>
      <w:r>
        <w:rPr>
          <w:rFonts w:hAnsi="Times New Roman"/>
          <w:highlight w:val="none"/>
        </w:rPr>
        <w:t>构建绿色产业的知识库，并持续迭代升级。绿色智能识别引擎模型通过项目可行性研究报告、发改委批复、环评批复等信息，自动判断各类金融资产是否符合相应的绿色金融标准并提供绿色标准分类结果（标识绿色贷款等）。</w:t>
      </w:r>
    </w:p>
    <w:p w14:paraId="3A09D5A9">
      <w:pPr>
        <w:adjustRightInd w:val="0"/>
        <w:snapToGrid w:val="0"/>
        <w:ind w:firstLine="480" w:firstLineChars="200"/>
        <w:rPr>
          <w:rFonts w:hAnsi="Times New Roman"/>
          <w:highlight w:val="none"/>
        </w:rPr>
      </w:pPr>
      <w:r>
        <w:rPr>
          <w:rFonts w:hAnsi="Times New Roman"/>
          <w:highlight w:val="none"/>
        </w:rPr>
        <w:t>2.2.2授信系统内非项目类绿色认定功能</w:t>
      </w:r>
    </w:p>
    <w:p w14:paraId="53CC171E">
      <w:pPr>
        <w:adjustRightInd w:val="0"/>
        <w:snapToGrid w:val="0"/>
        <w:ind w:firstLine="480" w:firstLineChars="200"/>
        <w:rPr>
          <w:rFonts w:hAnsi="Times New Roman"/>
          <w:highlight w:val="none"/>
        </w:rPr>
      </w:pPr>
      <w:r>
        <w:rPr>
          <w:rFonts w:hAnsi="Times New Roman"/>
          <w:highlight w:val="none"/>
        </w:rPr>
        <w:t>绿色智能识别引擎模型通过绿色贷款的资金用途进行自动识别，提供绿色标准分类结果；通过对客户绿色收入占比情况进行自动识别，提供绿色标准分类结果（标识绿色贷款、绿色票据及绿色消费等）。</w:t>
      </w:r>
    </w:p>
    <w:p w14:paraId="541253D6">
      <w:pPr>
        <w:adjustRightInd w:val="0"/>
        <w:snapToGrid w:val="0"/>
        <w:ind w:firstLine="480" w:firstLineChars="200"/>
        <w:rPr>
          <w:rFonts w:hAnsi="Times New Roman"/>
          <w:highlight w:val="none"/>
        </w:rPr>
      </w:pPr>
      <w:r>
        <w:rPr>
          <w:rFonts w:hAnsi="Times New Roman"/>
          <w:highlight w:val="none"/>
        </w:rPr>
        <w:t>2.2.3碳减排支持工具功能</w:t>
      </w:r>
    </w:p>
    <w:p w14:paraId="3678EDFF">
      <w:pPr>
        <w:adjustRightInd w:val="0"/>
        <w:snapToGrid w:val="0"/>
        <w:ind w:firstLine="480" w:firstLineChars="200"/>
        <w:rPr>
          <w:rFonts w:hAnsi="Times New Roman"/>
          <w:highlight w:val="none"/>
        </w:rPr>
      </w:pPr>
      <w:r>
        <w:rPr>
          <w:rFonts w:hAnsi="Times New Roman"/>
          <w:highlight w:val="none"/>
        </w:rPr>
        <w:t>对是否属于碳减排重点领域进行识别及认定，并在认定后根据提示进行环境效益测算；总行绿色金融部将定期上传获得碳减排支持工具台账，便于管理碳减排支持工具再贷款情况及到期前提醒。</w:t>
      </w:r>
    </w:p>
    <w:p w14:paraId="11562F1B">
      <w:pPr>
        <w:adjustRightInd w:val="0"/>
        <w:snapToGrid w:val="0"/>
        <w:ind w:firstLine="480" w:firstLineChars="200"/>
        <w:rPr>
          <w:rFonts w:hAnsi="Times New Roman"/>
          <w:highlight w:val="none"/>
        </w:rPr>
      </w:pPr>
      <w:r>
        <w:rPr>
          <w:rFonts w:hAnsi="Times New Roman"/>
          <w:highlight w:val="none"/>
        </w:rPr>
        <w:t>2.2.4转型金融认定功能</w:t>
      </w:r>
    </w:p>
    <w:p w14:paraId="4D1A1442">
      <w:pPr>
        <w:adjustRightInd w:val="0"/>
        <w:snapToGrid w:val="0"/>
        <w:ind w:firstLine="480" w:firstLineChars="200"/>
        <w:rPr>
          <w:rFonts w:hAnsi="Times New Roman"/>
          <w:highlight w:val="none"/>
        </w:rPr>
      </w:pPr>
      <w:r>
        <w:rPr>
          <w:rFonts w:hAnsi="Times New Roman"/>
          <w:highlight w:val="none"/>
        </w:rPr>
        <w:t>总行绿色金融部将不定期上传转型金融支持企业或项目目录及相关台账，经营机构可查看企业或项目目录，或者上传企业或项目相关信息，对是否属于转型金融支持企业或项目目录进行识别及认定，对已进行贷款支持的在认定后进行标识，并根据提示进行碳减排的计划设定，客户经理按月或季度对名下客户设定的碳减排计划进行跟踪监测；根据权限设置总行人员对我行转型金融支持情况进行管理查询。</w:t>
      </w:r>
    </w:p>
    <w:p w14:paraId="23D02461">
      <w:pPr>
        <w:adjustRightInd w:val="0"/>
        <w:snapToGrid w:val="0"/>
        <w:ind w:firstLine="480" w:firstLineChars="200"/>
        <w:rPr>
          <w:rFonts w:hAnsi="Times New Roman"/>
          <w:highlight w:val="none"/>
        </w:rPr>
      </w:pPr>
      <w:r>
        <w:rPr>
          <w:rFonts w:hAnsi="Times New Roman"/>
          <w:highlight w:val="none"/>
        </w:rPr>
        <w:t>2.2.5贷后绿色认定变更功能</w:t>
      </w:r>
    </w:p>
    <w:p w14:paraId="03655BCF">
      <w:pPr>
        <w:adjustRightInd w:val="0"/>
        <w:snapToGrid w:val="0"/>
        <w:ind w:firstLine="480" w:firstLineChars="200"/>
        <w:rPr>
          <w:rFonts w:hAnsi="Times New Roman"/>
          <w:highlight w:val="none"/>
        </w:rPr>
      </w:pPr>
      <w:r>
        <w:rPr>
          <w:rFonts w:hAnsi="Times New Roman"/>
          <w:highlight w:val="none"/>
        </w:rPr>
        <w:t>因佐证资料不完备未能认定、前期遗漏或者错认相关问题，支持通过补认定流程进行识别和认定。此功能从信贷系统获取业务信息后，进行绿色业务补充认定操作，最终实现将未认定业务进行补充认定、非绿业务认定为绿色业务、绿色业务认定为非绿、绿色分类变更等场景。</w:t>
      </w:r>
    </w:p>
    <w:p w14:paraId="07E02D35">
      <w:pPr>
        <w:adjustRightInd w:val="0"/>
        <w:snapToGrid w:val="0"/>
        <w:ind w:left="0" w:firstLine="240" w:firstLineChars="100"/>
        <w:rPr>
          <w:rFonts w:hAnsi="Times New Roman"/>
          <w:bCs/>
          <w:highlight w:val="none"/>
        </w:rPr>
      </w:pPr>
      <w:r>
        <w:rPr>
          <w:rFonts w:hAnsi="Times New Roman"/>
          <w:bCs/>
          <w:highlight w:val="none"/>
        </w:rPr>
        <w:t>2.3环境效益测算模块</w:t>
      </w:r>
    </w:p>
    <w:p w14:paraId="4E697D33">
      <w:pPr>
        <w:adjustRightInd w:val="0"/>
        <w:snapToGrid w:val="0"/>
        <w:ind w:firstLine="480" w:firstLineChars="200"/>
        <w:rPr>
          <w:rFonts w:hAnsi="Times New Roman"/>
          <w:highlight w:val="none"/>
        </w:rPr>
      </w:pPr>
      <w:r>
        <w:rPr>
          <w:rFonts w:hAnsi="Times New Roman"/>
          <w:highlight w:val="none"/>
        </w:rPr>
        <w:t>2.3.1环境效益测算功能</w:t>
      </w:r>
    </w:p>
    <w:p w14:paraId="03B06CB6">
      <w:pPr>
        <w:adjustRightInd w:val="0"/>
        <w:snapToGrid w:val="0"/>
        <w:ind w:firstLine="480" w:firstLineChars="200"/>
        <w:rPr>
          <w:rFonts w:hAnsi="Times New Roman"/>
          <w:highlight w:val="none"/>
        </w:rPr>
      </w:pPr>
      <w:r>
        <w:rPr>
          <w:rFonts w:hAnsi="Times New Roman"/>
          <w:highlight w:val="none"/>
        </w:rPr>
        <w:t>按照银保监会发布的《绿色信贷项目节能减排量测算指引》开发环境效益测算模型，尽可能涵盖所有测算公式及算法并及时根据最新测算方法及要求进行更新。客户经理只需根据绿色项目分类，手工录入环境相关参数，系统即可自动算出监管部门认可的该绿色项目的环境效益，并生成详细的环境效益测算报告。</w:t>
      </w:r>
    </w:p>
    <w:p w14:paraId="6E26425E">
      <w:pPr>
        <w:keepNext/>
        <w:widowControl w:val="0"/>
        <w:adjustRightInd w:val="0"/>
        <w:snapToGrid w:val="0"/>
        <w:ind w:left="0" w:firstLine="240" w:firstLineChars="100"/>
        <w:rPr>
          <w:rFonts w:hAnsi="Times New Roman"/>
          <w:highlight w:val="none"/>
        </w:rPr>
      </w:pPr>
      <w:r>
        <w:rPr>
          <w:rFonts w:hAnsi="Times New Roman"/>
          <w:highlight w:val="none"/>
        </w:rPr>
        <w:t>2.4环境风险管理模块</w:t>
      </w:r>
    </w:p>
    <w:p w14:paraId="465FC841">
      <w:pPr>
        <w:keepNext/>
        <w:widowControl w:val="0"/>
        <w:adjustRightInd w:val="0"/>
        <w:snapToGrid w:val="0"/>
        <w:ind w:firstLine="480" w:firstLineChars="200"/>
        <w:rPr>
          <w:rFonts w:hAnsi="Times New Roman"/>
          <w:highlight w:val="none"/>
        </w:rPr>
      </w:pPr>
      <w:r>
        <w:rPr>
          <w:rFonts w:hAnsi="Times New Roman"/>
          <w:highlight w:val="none"/>
        </w:rPr>
        <w:t>2.4.1客户环境信息管理及预警功能</w:t>
      </w:r>
    </w:p>
    <w:p w14:paraId="09D214C9">
      <w:pPr>
        <w:keepNext/>
        <w:widowControl w:val="0"/>
        <w:adjustRightInd w:val="0"/>
        <w:snapToGrid w:val="0"/>
        <w:ind w:firstLine="480" w:firstLineChars="200"/>
        <w:rPr>
          <w:rFonts w:hAnsi="Times New Roman"/>
          <w:highlight w:val="none"/>
        </w:rPr>
      </w:pPr>
      <w:r>
        <w:rPr>
          <w:rFonts w:hAnsi="Times New Roman"/>
          <w:highlight w:val="none"/>
        </w:rPr>
        <w:t>通过与我行信贷业务系统连接，获取客户基本信息及贷款信息。通过与行内外大数据平台对接获取客户的环境表现信息（明确使用期限），包括行政处罚信息、环境处罚信息、重点排污源等环境相关数据，建立客户环境画像。同时，对有更新的不良环境表现信息进行预警。支持我行相关部门上传我行自身获取的相关风险信息。</w:t>
      </w:r>
    </w:p>
    <w:p w14:paraId="4A70942F">
      <w:pPr>
        <w:keepNext/>
        <w:widowControl w:val="0"/>
        <w:adjustRightInd w:val="0"/>
        <w:snapToGrid w:val="0"/>
        <w:ind w:left="0" w:firstLine="240" w:firstLineChars="100"/>
        <w:rPr>
          <w:rFonts w:hAnsi="Times New Roman"/>
          <w:highlight w:val="none"/>
        </w:rPr>
      </w:pPr>
      <w:r>
        <w:rPr>
          <w:rFonts w:hAnsi="Times New Roman"/>
          <w:highlight w:val="none"/>
        </w:rPr>
        <w:t>2.5统计分析模块</w:t>
      </w:r>
    </w:p>
    <w:p w14:paraId="350A20B8">
      <w:pPr>
        <w:keepNext/>
        <w:widowControl w:val="0"/>
        <w:adjustRightInd w:val="0"/>
        <w:snapToGrid w:val="0"/>
        <w:ind w:firstLine="480" w:firstLineChars="200"/>
        <w:rPr>
          <w:rFonts w:hAnsi="Times New Roman"/>
          <w:highlight w:val="none"/>
        </w:rPr>
      </w:pPr>
      <w:r>
        <w:rPr>
          <w:rFonts w:hAnsi="Times New Roman"/>
          <w:highlight w:val="none"/>
        </w:rPr>
        <w:t>2.5.1绿色金融业务台账查询功能</w:t>
      </w:r>
    </w:p>
    <w:p w14:paraId="27DD11CD">
      <w:pPr>
        <w:keepNext/>
        <w:widowControl w:val="0"/>
        <w:adjustRightInd w:val="0"/>
        <w:snapToGrid w:val="0"/>
        <w:ind w:firstLine="480" w:firstLineChars="200"/>
        <w:rPr>
          <w:rFonts w:hAnsi="Times New Roman"/>
          <w:highlight w:val="none"/>
        </w:rPr>
      </w:pPr>
      <w:r>
        <w:rPr>
          <w:rFonts w:hAnsi="Times New Roman"/>
          <w:highlight w:val="none"/>
        </w:rPr>
        <w:t>支持本行员工按权限查询绿色金融台账信息。并可按监管要求分口径、分要求查询绿色贷款、碳减排支持工具台账、转型金融台账、绿色票据台账、绿色债券台账明细等余额及环境效益等信息。</w:t>
      </w:r>
    </w:p>
    <w:p w14:paraId="22CAF112">
      <w:pPr>
        <w:adjustRightInd w:val="0"/>
        <w:snapToGrid w:val="0"/>
        <w:ind w:firstLine="480" w:firstLineChars="200"/>
        <w:rPr>
          <w:rFonts w:hAnsi="Times New Roman"/>
          <w:highlight w:val="none"/>
        </w:rPr>
      </w:pPr>
      <w:r>
        <w:rPr>
          <w:rFonts w:hAnsi="Times New Roman"/>
          <w:highlight w:val="none"/>
        </w:rPr>
        <w:t>2.5.2绿色融资监管报表功能</w:t>
      </w:r>
    </w:p>
    <w:p w14:paraId="33AAF83B">
      <w:pPr>
        <w:adjustRightInd w:val="0"/>
        <w:snapToGrid w:val="0"/>
        <w:ind w:firstLine="480" w:firstLineChars="200"/>
        <w:rPr>
          <w:rFonts w:hAnsi="Times New Roman"/>
          <w:highlight w:val="none"/>
        </w:rPr>
      </w:pPr>
      <w:r>
        <w:rPr>
          <w:rFonts w:hAnsi="Times New Roman"/>
          <w:highlight w:val="none"/>
        </w:rPr>
        <w:t>绿色融资监管报表（各口径的月报、季报、年报等）的自动生成及可自定义编辑报表制作等，通过接口，支持生成T-1日或指定时点相关的监管报表。</w:t>
      </w:r>
    </w:p>
    <w:p w14:paraId="69ECFDED">
      <w:pPr>
        <w:adjustRightInd w:val="0"/>
        <w:snapToGrid w:val="0"/>
        <w:ind w:firstLine="480" w:firstLineChars="200"/>
        <w:rPr>
          <w:rFonts w:hAnsi="Times New Roman"/>
          <w:highlight w:val="none"/>
        </w:rPr>
      </w:pPr>
      <w:r>
        <w:rPr>
          <w:rFonts w:hAnsi="Times New Roman"/>
          <w:highlight w:val="none"/>
        </w:rPr>
        <w:t>2.5.3绿色金融业务信息统计分析功能</w:t>
      </w:r>
    </w:p>
    <w:p w14:paraId="283F4986">
      <w:pPr>
        <w:adjustRightInd w:val="0"/>
        <w:snapToGrid w:val="0"/>
        <w:ind w:firstLine="480" w:firstLineChars="200"/>
        <w:rPr>
          <w:rFonts w:hAnsi="Times New Roman"/>
          <w:highlight w:val="none"/>
        </w:rPr>
      </w:pPr>
      <w:r>
        <w:rPr>
          <w:rFonts w:hAnsi="Times New Roman"/>
          <w:highlight w:val="none"/>
        </w:rPr>
        <w:t>分行业、分机构、分产业板块等对我行绿色金融信息进行统计分析及历史数据的相关比较。</w:t>
      </w:r>
    </w:p>
    <w:p w14:paraId="1A99BFCE">
      <w:pPr>
        <w:adjustRightInd w:val="0"/>
        <w:snapToGrid w:val="0"/>
        <w:ind w:left="0" w:firstLine="240" w:firstLineChars="100"/>
        <w:rPr>
          <w:rFonts w:hAnsi="Times New Roman"/>
          <w:bCs/>
          <w:highlight w:val="none"/>
        </w:rPr>
      </w:pPr>
      <w:r>
        <w:rPr>
          <w:rFonts w:hAnsi="Times New Roman"/>
          <w:bCs/>
          <w:highlight w:val="none"/>
        </w:rPr>
        <w:t>2.6绿色金融考核管理模块</w:t>
      </w:r>
    </w:p>
    <w:p w14:paraId="47D7349F">
      <w:pPr>
        <w:adjustRightInd w:val="0"/>
        <w:snapToGrid w:val="0"/>
        <w:ind w:firstLine="480" w:firstLineChars="200"/>
        <w:rPr>
          <w:rFonts w:hAnsi="Times New Roman"/>
          <w:highlight w:val="none"/>
        </w:rPr>
      </w:pPr>
      <w:r>
        <w:rPr>
          <w:rFonts w:hAnsi="Times New Roman"/>
          <w:highlight w:val="none"/>
        </w:rPr>
        <w:t>2.6.1绿色金融业务KPI下发功能</w:t>
      </w:r>
    </w:p>
    <w:p w14:paraId="20C6E209">
      <w:pPr>
        <w:adjustRightInd w:val="0"/>
        <w:snapToGrid w:val="0"/>
        <w:ind w:firstLine="480" w:firstLineChars="200"/>
        <w:rPr>
          <w:rFonts w:hAnsi="Times New Roman"/>
          <w:highlight w:val="none"/>
        </w:rPr>
      </w:pPr>
      <w:r>
        <w:rPr>
          <w:rFonts w:hAnsi="Times New Roman"/>
          <w:highlight w:val="none"/>
        </w:rPr>
        <w:t>每年年初由总行相关负责人员对已审核的KPI指标进行系统上的录入（可通过EXCEL统一上传），对每个经营机构进行绿色金融业务该年度的KPI指标下发，并支持有权限的管理人员对机构下达的KPI指标进行修改。同时，经营机构领导可对该KPI指标进行再分配给客户经理，并可对其进行修改（其他分支机构包括总行人员对此不可见，客户经理可查看自己的KPI任务情况）。</w:t>
      </w:r>
    </w:p>
    <w:p w14:paraId="63F82BD0">
      <w:pPr>
        <w:adjustRightInd w:val="0"/>
        <w:snapToGrid w:val="0"/>
        <w:ind w:firstLine="480" w:firstLineChars="200"/>
        <w:rPr>
          <w:rFonts w:hAnsi="Times New Roman"/>
          <w:highlight w:val="none"/>
        </w:rPr>
      </w:pPr>
      <w:r>
        <w:rPr>
          <w:rFonts w:hAnsi="Times New Roman"/>
          <w:highlight w:val="none"/>
        </w:rPr>
        <w:t>2.6.2机构指标完成情况监控管理功能</w:t>
      </w:r>
    </w:p>
    <w:p w14:paraId="69BDD286">
      <w:pPr>
        <w:adjustRightInd w:val="0"/>
        <w:snapToGrid w:val="0"/>
        <w:ind w:firstLine="480" w:firstLineChars="200"/>
        <w:rPr>
          <w:rFonts w:hAnsi="Times New Roman"/>
          <w:highlight w:val="none"/>
        </w:rPr>
      </w:pPr>
      <w:r>
        <w:rPr>
          <w:rFonts w:hAnsi="Times New Roman"/>
          <w:highlight w:val="none"/>
        </w:rPr>
        <w:t>支持根据权限配置查看本机构或全行的绿色金融相关指标完成情况及按月筛选后的增速情况；该完成情况可按照T-1日或任意时段进行查询（总行开通对应权限人员可以查看各机构各指标完成情况进度、增速情况及对应的排名比较）。同时，经营机构领导可对下发给客户经理的KPI指标进行实时查看完成情况（其他分支机构包括总行人员对此不可见，客户经理可以查看自己的KPI任务序时进度）。</w:t>
      </w:r>
    </w:p>
    <w:p w14:paraId="0BEA673C">
      <w:pPr>
        <w:keepNext/>
        <w:widowControl w:val="0"/>
        <w:adjustRightInd w:val="0"/>
        <w:snapToGrid w:val="0"/>
        <w:ind w:left="0" w:firstLine="240" w:firstLineChars="100"/>
        <w:rPr>
          <w:rFonts w:hAnsi="Times New Roman"/>
          <w:highlight w:val="none"/>
        </w:rPr>
      </w:pPr>
      <w:r>
        <w:rPr>
          <w:rFonts w:hAnsi="Times New Roman"/>
          <w:highlight w:val="none"/>
        </w:rPr>
        <w:t>2.7碳核算管理模块</w:t>
      </w:r>
    </w:p>
    <w:p w14:paraId="1CC6FA8F">
      <w:pPr>
        <w:keepNext/>
        <w:widowControl w:val="0"/>
        <w:adjustRightInd w:val="0"/>
        <w:snapToGrid w:val="0"/>
        <w:ind w:firstLine="480" w:firstLineChars="200"/>
        <w:rPr>
          <w:rFonts w:hAnsi="Times New Roman"/>
          <w:highlight w:val="none"/>
        </w:rPr>
      </w:pPr>
      <w:r>
        <w:rPr>
          <w:rFonts w:hAnsi="Times New Roman"/>
          <w:highlight w:val="none"/>
        </w:rPr>
        <w:t>2.7.1机构运营碳核算功能</w:t>
      </w:r>
    </w:p>
    <w:p w14:paraId="1188FE22">
      <w:pPr>
        <w:adjustRightInd w:val="0"/>
        <w:snapToGrid w:val="0"/>
        <w:ind w:firstLine="480" w:firstLineChars="200"/>
        <w:rPr>
          <w:rFonts w:hAnsi="Times New Roman"/>
          <w:highlight w:val="none"/>
        </w:rPr>
      </w:pPr>
      <w:r>
        <w:rPr>
          <w:rFonts w:hAnsi="Times New Roman"/>
          <w:highlight w:val="none"/>
        </w:rPr>
        <w:t>调取其他系统数据或录入自身运营碳排放活动水平的相关数据，系统实现自动核算每项碳排放量并汇总各机构自身运营碳排放量，其中包括总行及分支机构：办公耗材的领用及采购明细记录、办公场所水电气的用量记录、差旅住宿、差旅行程目的地及交通工具相关记录、会议相关记录、总行公车用油、员工通勤数据等。按权限对碳排放变化情况进行相关的统计分析及比较。按部门及机构汇总后的自身运营碳排放活动水平测算对应的人均碳排放量。</w:t>
      </w:r>
    </w:p>
    <w:p w14:paraId="69F2A636">
      <w:pPr>
        <w:keepNext/>
        <w:widowControl w:val="0"/>
        <w:adjustRightInd w:val="0"/>
        <w:snapToGrid w:val="0"/>
        <w:ind w:firstLine="480" w:firstLineChars="200"/>
        <w:rPr>
          <w:rFonts w:hAnsi="Times New Roman"/>
          <w:highlight w:val="none"/>
        </w:rPr>
      </w:pPr>
      <w:r>
        <w:rPr>
          <w:rFonts w:hAnsi="Times New Roman"/>
          <w:highlight w:val="none"/>
        </w:rPr>
        <w:t>2.7.2非项目融资碳核算功能</w:t>
      </w:r>
    </w:p>
    <w:p w14:paraId="5F5A4981">
      <w:pPr>
        <w:adjustRightInd w:val="0"/>
        <w:snapToGrid w:val="0"/>
        <w:ind w:firstLine="480" w:firstLineChars="200"/>
        <w:rPr>
          <w:rFonts w:hAnsi="Times New Roman"/>
          <w:highlight w:val="none"/>
        </w:rPr>
      </w:pPr>
      <w:r>
        <w:rPr>
          <w:rFonts w:hAnsi="Times New Roman"/>
          <w:highlight w:val="none"/>
        </w:rPr>
        <w:t>对存在碳核查相关报告的融资主体，从相关核查报告获取碳排放量数据直接录入系统。对不存在碳核算相关报告的融资主体，通过录入融资主体碳排放核算相关数据，提交碳排放核算，系统自动核算融资主体及融资对应的碳排放量。</w:t>
      </w:r>
    </w:p>
    <w:p w14:paraId="08A36BFD">
      <w:pPr>
        <w:keepNext/>
        <w:widowControl w:val="0"/>
        <w:adjustRightInd w:val="0"/>
        <w:snapToGrid w:val="0"/>
        <w:ind w:firstLine="480" w:firstLineChars="200"/>
        <w:rPr>
          <w:rFonts w:hAnsi="Times New Roman"/>
          <w:highlight w:val="none"/>
        </w:rPr>
      </w:pPr>
      <w:r>
        <w:rPr>
          <w:rFonts w:hAnsi="Times New Roman"/>
          <w:highlight w:val="none"/>
        </w:rPr>
        <w:t>2.7.3项目融资碳核算功能</w:t>
      </w:r>
    </w:p>
    <w:p w14:paraId="6CF516E7">
      <w:pPr>
        <w:adjustRightInd w:val="0"/>
        <w:snapToGrid w:val="0"/>
        <w:ind w:firstLine="480" w:firstLineChars="200"/>
        <w:rPr>
          <w:rFonts w:hAnsi="Times New Roman"/>
          <w:highlight w:val="none"/>
        </w:rPr>
      </w:pPr>
      <w:r>
        <w:rPr>
          <w:rFonts w:hAnsi="Times New Roman"/>
          <w:highlight w:val="none"/>
        </w:rPr>
        <w:t>对存在碳核查相关报告的融资项目，从相关核查报告获取碳排放量数据直接录入系统。对不存在碳核算相关报告的融资项目，通过录入融资项目碳排放核算相关数据，提交碳排放核算，系统自动核算融资项目及融资对应的碳排放量。</w:t>
      </w:r>
    </w:p>
    <w:p w14:paraId="379241E6">
      <w:pPr>
        <w:adjustRightInd w:val="0"/>
        <w:snapToGrid w:val="0"/>
        <w:ind w:left="0" w:firstLine="240" w:firstLineChars="100"/>
        <w:rPr>
          <w:rFonts w:hAnsi="Times New Roman"/>
          <w:highlight w:val="none"/>
        </w:rPr>
      </w:pPr>
      <w:r>
        <w:rPr>
          <w:rFonts w:hAnsi="Times New Roman"/>
          <w:highlight w:val="none"/>
        </w:rPr>
        <w:t>2.8碳账户管理模块</w:t>
      </w:r>
    </w:p>
    <w:p w14:paraId="6E39E528">
      <w:pPr>
        <w:adjustRightInd w:val="0"/>
        <w:snapToGrid w:val="0"/>
        <w:ind w:firstLine="480" w:firstLineChars="200"/>
        <w:rPr>
          <w:rFonts w:hAnsi="Times New Roman"/>
          <w:highlight w:val="none"/>
        </w:rPr>
      </w:pPr>
      <w:r>
        <w:rPr>
          <w:rFonts w:hAnsi="Times New Roman"/>
          <w:highlight w:val="none"/>
        </w:rPr>
        <w:t>2.8.1企业碳账户管理功能</w:t>
      </w:r>
    </w:p>
    <w:p w14:paraId="76428029">
      <w:pPr>
        <w:adjustRightInd w:val="0"/>
        <w:snapToGrid w:val="0"/>
        <w:ind w:firstLine="480" w:firstLineChars="200"/>
        <w:rPr>
          <w:rFonts w:hAnsi="Times New Roman"/>
          <w:highlight w:val="none"/>
        </w:rPr>
      </w:pPr>
      <w:r>
        <w:rPr>
          <w:rFonts w:hAnsi="Times New Roman"/>
          <w:highlight w:val="none"/>
        </w:rPr>
        <w:t>根据监管后续相关要求建立企业碳账户，并对其进行监控并管理。（暂不建设，预留板块并纳入统一预算）</w:t>
      </w:r>
    </w:p>
    <w:p w14:paraId="26939C9B">
      <w:pPr>
        <w:adjustRightInd w:val="0"/>
        <w:snapToGrid w:val="0"/>
        <w:ind w:firstLine="480" w:firstLineChars="200"/>
        <w:rPr>
          <w:rFonts w:hAnsi="Times New Roman"/>
          <w:highlight w:val="none"/>
        </w:rPr>
      </w:pPr>
      <w:r>
        <w:rPr>
          <w:rFonts w:hAnsi="Times New Roman"/>
          <w:highlight w:val="none"/>
        </w:rPr>
        <w:t>2.8.2个人碳账户管理功能</w:t>
      </w:r>
    </w:p>
    <w:p w14:paraId="4908DE94">
      <w:pPr>
        <w:adjustRightInd w:val="0"/>
        <w:snapToGrid w:val="0"/>
        <w:ind w:firstLine="480" w:firstLineChars="200"/>
        <w:rPr>
          <w:rFonts w:hAnsi="Times New Roman"/>
          <w:highlight w:val="none"/>
        </w:rPr>
      </w:pPr>
      <w:r>
        <w:rPr>
          <w:rFonts w:hAnsi="Times New Roman"/>
          <w:highlight w:val="none"/>
        </w:rPr>
        <w:t>对我行个人碳足迹及碳积分等进行管理。前期功能为调用三峡付云管家中个人碳积分相关数据，包括开户量及明细、碳减排数据条数、碳减排量等。</w:t>
      </w:r>
    </w:p>
    <w:p w14:paraId="082F5EFB">
      <w:pPr>
        <w:adjustRightInd w:val="0"/>
        <w:snapToGrid w:val="0"/>
        <w:ind w:left="0" w:firstLine="240" w:firstLineChars="100"/>
        <w:rPr>
          <w:rFonts w:hAnsi="Times New Roman"/>
          <w:highlight w:val="none"/>
        </w:rPr>
      </w:pPr>
      <w:r>
        <w:rPr>
          <w:rFonts w:hAnsi="Times New Roman"/>
          <w:highlight w:val="none"/>
        </w:rPr>
        <w:t>2.9信息披露模块</w:t>
      </w:r>
    </w:p>
    <w:p w14:paraId="1DF7EE9D">
      <w:pPr>
        <w:adjustRightInd w:val="0"/>
        <w:snapToGrid w:val="0"/>
        <w:ind w:firstLine="480" w:firstLineChars="200"/>
        <w:rPr>
          <w:rFonts w:hAnsi="Times New Roman"/>
          <w:highlight w:val="none"/>
        </w:rPr>
      </w:pPr>
      <w:r>
        <w:rPr>
          <w:rFonts w:hAnsi="Times New Roman"/>
          <w:highlight w:val="none"/>
        </w:rPr>
        <w:t>2.9.1环境社会责任（ESG）报告的自动生成功能</w:t>
      </w:r>
    </w:p>
    <w:p w14:paraId="02C80925">
      <w:pPr>
        <w:adjustRightInd w:val="0"/>
        <w:snapToGrid w:val="0"/>
        <w:ind w:firstLine="480" w:firstLineChars="200"/>
        <w:rPr>
          <w:rFonts w:hAnsi="Times New Roman"/>
          <w:highlight w:val="none"/>
        </w:rPr>
      </w:pPr>
      <w:r>
        <w:rPr>
          <w:rFonts w:hAnsi="Times New Roman"/>
          <w:highlight w:val="none"/>
        </w:rPr>
        <w:t>ESG报告中部分固定格式内容的数据更新及自动生成。</w:t>
      </w:r>
    </w:p>
    <w:p w14:paraId="241C52F0">
      <w:pPr>
        <w:adjustRightInd w:val="0"/>
        <w:snapToGrid w:val="0"/>
        <w:ind w:firstLine="480" w:firstLineChars="200"/>
        <w:rPr>
          <w:rFonts w:hAnsi="Times New Roman"/>
          <w:highlight w:val="none"/>
        </w:rPr>
      </w:pPr>
      <w:r>
        <w:rPr>
          <w:rFonts w:hAnsi="Times New Roman"/>
          <w:highlight w:val="none"/>
        </w:rPr>
        <w:t>2.9.2气候与环境信息披露报告的自动生成功能</w:t>
      </w:r>
    </w:p>
    <w:p w14:paraId="7D8DCA2E">
      <w:pPr>
        <w:adjustRightInd w:val="0"/>
        <w:snapToGrid w:val="0"/>
        <w:ind w:firstLine="480" w:firstLineChars="200"/>
        <w:rPr>
          <w:rFonts w:hAnsi="Times New Roman"/>
          <w:highlight w:val="none"/>
        </w:rPr>
      </w:pPr>
      <w:r>
        <w:rPr>
          <w:rFonts w:hAnsi="Times New Roman"/>
          <w:highlight w:val="none"/>
        </w:rPr>
        <w:t>气候与环境信息披露报告部分固定格式内容的数据更新及自动生成。</w:t>
      </w:r>
    </w:p>
    <w:p w14:paraId="25F6A897">
      <w:pPr>
        <w:adjustRightInd w:val="0"/>
        <w:snapToGrid w:val="0"/>
        <w:ind w:left="0" w:firstLine="240" w:firstLineChars="100"/>
        <w:rPr>
          <w:rFonts w:hAnsi="Times New Roman"/>
          <w:highlight w:val="none"/>
        </w:rPr>
      </w:pPr>
      <w:r>
        <w:rPr>
          <w:rFonts w:hAnsi="Times New Roman"/>
          <w:highlight w:val="none"/>
        </w:rPr>
        <w:t>2.10工作台模块</w:t>
      </w:r>
    </w:p>
    <w:p w14:paraId="011F57B3">
      <w:pPr>
        <w:adjustRightInd w:val="0"/>
        <w:snapToGrid w:val="0"/>
        <w:ind w:left="0" w:firstLine="480" w:firstLineChars="200"/>
        <w:rPr>
          <w:rFonts w:hAnsi="Times New Roman"/>
          <w:highlight w:val="none"/>
        </w:rPr>
      </w:pPr>
      <w:r>
        <w:rPr>
          <w:rFonts w:hAnsi="Times New Roman"/>
          <w:highlight w:val="none"/>
        </w:rPr>
        <w:t>2.10.1展示个人任务列表、绿色金融统计数据功能</w:t>
      </w:r>
    </w:p>
    <w:p w14:paraId="246DA810">
      <w:pPr>
        <w:keepNext/>
        <w:widowControl w:val="0"/>
        <w:adjustRightInd w:val="0"/>
        <w:snapToGrid w:val="0"/>
        <w:ind w:firstLine="480" w:firstLineChars="200"/>
        <w:rPr>
          <w:rFonts w:hAnsi="Times New Roman"/>
          <w:highlight w:val="none"/>
        </w:rPr>
      </w:pPr>
      <w:r>
        <w:rPr>
          <w:rFonts w:hAnsi="Times New Roman"/>
          <w:highlight w:val="none"/>
        </w:rPr>
        <w:t>展现当前用户的流程中待办任务、待发起任务、绿色金融概况信息，按权限可查询包括按人民银行绿色信贷专项统计标准、银监绿色融资统计标准、绿债标准统计的绿色金融余额、绿色金融发放额及贷款户数等。</w:t>
      </w:r>
    </w:p>
    <w:p w14:paraId="72458F94">
      <w:pPr>
        <w:keepNext/>
        <w:widowControl w:val="0"/>
        <w:adjustRightInd w:val="0"/>
        <w:snapToGrid w:val="0"/>
        <w:ind w:firstLine="480" w:firstLineChars="200"/>
        <w:rPr>
          <w:rFonts w:hAnsi="Times New Roman"/>
          <w:highlight w:val="none"/>
        </w:rPr>
      </w:pPr>
      <w:r>
        <w:rPr>
          <w:rFonts w:hAnsi="Times New Roman"/>
          <w:highlight w:val="none"/>
        </w:rPr>
        <w:t>2.10.2大屏展示功能</w:t>
      </w:r>
    </w:p>
    <w:p w14:paraId="0C566E98">
      <w:pPr>
        <w:keepNext/>
        <w:widowControl w:val="0"/>
        <w:adjustRightInd w:val="0"/>
        <w:snapToGrid w:val="0"/>
        <w:ind w:firstLine="480" w:firstLineChars="200"/>
        <w:rPr>
          <w:rFonts w:hAnsi="Times New Roman"/>
          <w:highlight w:val="none"/>
        </w:rPr>
      </w:pPr>
      <w:r>
        <w:rPr>
          <w:rFonts w:hAnsi="Times New Roman"/>
          <w:highlight w:val="none"/>
        </w:rPr>
        <w:t>对我行绿色金融整体情况及各种分类的数据进行大屏展示及图像对比等。</w:t>
      </w:r>
    </w:p>
    <w:p w14:paraId="723FAB66">
      <w:pPr>
        <w:keepNext/>
        <w:widowControl w:val="0"/>
        <w:adjustRightInd w:val="0"/>
        <w:snapToGrid w:val="0"/>
        <w:ind w:left="0" w:firstLine="240" w:firstLineChars="100"/>
        <w:rPr>
          <w:rFonts w:hAnsi="Times New Roman"/>
          <w:highlight w:val="none"/>
        </w:rPr>
      </w:pPr>
      <w:r>
        <w:rPr>
          <w:rFonts w:hAnsi="Times New Roman"/>
          <w:highlight w:val="none"/>
        </w:rPr>
        <w:t>2.11移交平台模块</w:t>
      </w:r>
    </w:p>
    <w:p w14:paraId="01BE7038">
      <w:pPr>
        <w:keepNext/>
        <w:widowControl w:val="0"/>
        <w:adjustRightInd w:val="0"/>
        <w:snapToGrid w:val="0"/>
        <w:ind w:firstLine="480" w:firstLineChars="200"/>
        <w:rPr>
          <w:rFonts w:hAnsi="Times New Roman"/>
          <w:highlight w:val="none"/>
        </w:rPr>
      </w:pPr>
      <w:r>
        <w:rPr>
          <w:rFonts w:hAnsi="Times New Roman"/>
          <w:highlight w:val="none"/>
        </w:rPr>
        <w:t>2.11.1处理相关客户的历史数据移交工作功能</w:t>
      </w:r>
    </w:p>
    <w:p w14:paraId="76E01963">
      <w:pPr>
        <w:keepNext/>
        <w:widowControl w:val="0"/>
        <w:adjustRightInd w:val="0"/>
        <w:snapToGrid w:val="0"/>
        <w:ind w:firstLine="480" w:firstLineChars="200"/>
        <w:rPr>
          <w:rFonts w:hAnsi="Times New Roman"/>
          <w:highlight w:val="none"/>
        </w:rPr>
      </w:pPr>
      <w:r>
        <w:rPr>
          <w:rFonts w:hAnsi="Times New Roman"/>
          <w:highlight w:val="none"/>
        </w:rPr>
        <w:t>根据岗位变动等情况，对客户经理管辖的客户及其历史数据进行移交，便于接手人员了解历史情况，同时规范绿色客户的管理工作。</w:t>
      </w:r>
    </w:p>
    <w:p w14:paraId="231A64C7">
      <w:pPr>
        <w:keepNext/>
        <w:widowControl w:val="0"/>
        <w:adjustRightInd w:val="0"/>
        <w:snapToGrid w:val="0"/>
        <w:ind w:left="0" w:firstLine="240" w:firstLineChars="100"/>
        <w:rPr>
          <w:rFonts w:hAnsi="Times New Roman"/>
          <w:highlight w:val="none"/>
        </w:rPr>
      </w:pPr>
      <w:r>
        <w:rPr>
          <w:rFonts w:hAnsi="Times New Roman"/>
          <w:highlight w:val="none"/>
        </w:rPr>
        <w:t>2.12系统管理模块</w:t>
      </w:r>
    </w:p>
    <w:p w14:paraId="7C27AD92">
      <w:pPr>
        <w:keepNext/>
        <w:widowControl w:val="0"/>
        <w:adjustRightInd w:val="0"/>
        <w:snapToGrid w:val="0"/>
        <w:ind w:firstLine="480" w:firstLineChars="200"/>
        <w:rPr>
          <w:rFonts w:hAnsi="Times New Roman"/>
          <w:highlight w:val="none"/>
        </w:rPr>
      </w:pPr>
      <w:r>
        <w:rPr>
          <w:rFonts w:hAnsi="Times New Roman"/>
          <w:highlight w:val="none"/>
        </w:rPr>
        <w:t>2.12.1系统管理功能</w:t>
      </w:r>
    </w:p>
    <w:p w14:paraId="35540B37">
      <w:pPr>
        <w:ind w:firstLine="480" w:firstLineChars="200"/>
        <w:rPr>
          <w:rFonts w:ascii="Times New Roman" w:hAnsi="Times New Roman"/>
          <w:highlight w:val="none"/>
        </w:rPr>
      </w:pPr>
      <w:r>
        <w:rPr>
          <w:rFonts w:hAnsi="Times New Roman"/>
          <w:highlight w:val="none"/>
        </w:rPr>
        <w:t>通过系统管理功能，实现对系统机构、用户进行新增、修改、删除。并对用户赋予指定角色等。</w:t>
      </w:r>
    </w:p>
    <w:p w14:paraId="760231CF">
      <w:pPr>
        <w:rPr>
          <w:highlight w:val="none"/>
        </w:rPr>
      </w:pPr>
      <w:r>
        <w:rPr>
          <w:highlight w:val="none"/>
        </w:rPr>
        <w:br w:type="page"/>
      </w:r>
    </w:p>
    <w:p w14:paraId="5EFD9619">
      <w:pPr>
        <w:ind w:left="0" w:firstLine="0"/>
        <w:rPr>
          <w:highlight w:val="none"/>
        </w:rPr>
      </w:pPr>
      <w:r>
        <w:rPr>
          <w:rStyle w:val="45"/>
          <w:rFonts w:hint="eastAsia" w:ascii="宋体" w:eastAsia="宋体"/>
          <w:spacing w:val="0"/>
          <w:kern w:val="0"/>
          <w:sz w:val="30"/>
          <w:highlight w:val="none"/>
        </w:rPr>
        <w:t>附件二：项目人员名单及人员应急退出机制</w:t>
      </w:r>
    </w:p>
    <w:p w14:paraId="3B7EE1B9">
      <w:pPr>
        <w:spacing w:line="360" w:lineRule="auto"/>
        <w:rPr>
          <w:rStyle w:val="45"/>
          <w:rFonts w:ascii="宋体" w:eastAsia="宋体"/>
          <w:spacing w:val="0"/>
          <w:kern w:val="0"/>
          <w:highlight w:val="none"/>
        </w:rPr>
      </w:pPr>
    </w:p>
    <w:p w14:paraId="14CFE2DB">
      <w:pPr>
        <w:spacing w:line="360" w:lineRule="auto"/>
        <w:ind w:firstLine="482" w:firstLineChars="200"/>
        <w:rPr>
          <w:rStyle w:val="45"/>
          <w:rFonts w:ascii="宋体" w:eastAsia="宋体"/>
          <w:b/>
          <w:spacing w:val="0"/>
          <w:kern w:val="0"/>
          <w:highlight w:val="none"/>
        </w:rPr>
      </w:pPr>
      <w:r>
        <w:rPr>
          <w:rStyle w:val="45"/>
          <w:rFonts w:hint="eastAsia" w:ascii="宋体" w:eastAsia="宋体"/>
          <w:b/>
          <w:spacing w:val="0"/>
          <w:kern w:val="0"/>
          <w:highlight w:val="none"/>
        </w:rPr>
        <w:t>一、项目人员名单</w:t>
      </w:r>
    </w:p>
    <w:p w14:paraId="25281CFB">
      <w:pPr>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 xml:space="preserve">项目经理： </w:t>
      </w:r>
    </w:p>
    <w:p w14:paraId="29AFAE6B">
      <w:pPr>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技术骨干：</w:t>
      </w:r>
    </w:p>
    <w:p w14:paraId="466B91B8">
      <w:pPr>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 xml:space="preserve">项目组成员： </w:t>
      </w:r>
    </w:p>
    <w:p w14:paraId="4C88A7B3">
      <w:pPr>
        <w:spacing w:line="360" w:lineRule="auto"/>
        <w:ind w:firstLine="480" w:firstLineChars="200"/>
        <w:rPr>
          <w:rStyle w:val="45"/>
          <w:rFonts w:ascii="宋体" w:eastAsia="宋体"/>
          <w:spacing w:val="0"/>
          <w:kern w:val="0"/>
          <w:highlight w:val="none"/>
        </w:rPr>
      </w:pPr>
    </w:p>
    <w:p w14:paraId="56C89FD7">
      <w:pPr>
        <w:spacing w:line="360" w:lineRule="auto"/>
        <w:ind w:firstLine="482" w:firstLineChars="200"/>
        <w:rPr>
          <w:rStyle w:val="45"/>
          <w:rFonts w:ascii="宋体" w:eastAsia="宋体"/>
          <w:b/>
          <w:spacing w:val="0"/>
          <w:kern w:val="0"/>
          <w:highlight w:val="none"/>
        </w:rPr>
      </w:pPr>
      <w:r>
        <w:rPr>
          <w:rStyle w:val="45"/>
          <w:rFonts w:hint="eastAsia" w:ascii="宋体" w:eastAsia="宋体"/>
          <w:b/>
          <w:spacing w:val="0"/>
          <w:kern w:val="0"/>
          <w:highlight w:val="none"/>
        </w:rPr>
        <w:t>二、人员应急退出机制</w:t>
      </w:r>
    </w:p>
    <w:p w14:paraId="33988826">
      <w:pPr>
        <w:spacing w:line="360" w:lineRule="auto"/>
        <w:ind w:firstLine="480" w:firstLineChars="200"/>
        <w:rPr>
          <w:rStyle w:val="45"/>
          <w:rFonts w:ascii="宋体" w:eastAsia="宋体"/>
          <w:spacing w:val="0"/>
          <w:kern w:val="0"/>
          <w:highlight w:val="none"/>
        </w:rPr>
      </w:pPr>
      <w:r>
        <w:rPr>
          <w:rStyle w:val="45"/>
          <w:rFonts w:hint="eastAsia" w:ascii="宋体" w:eastAsia="宋体"/>
          <w:spacing w:val="0"/>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88648E5">
      <w:pPr>
        <w:spacing w:line="360" w:lineRule="auto"/>
        <w:ind w:firstLine="465"/>
        <w:rPr>
          <w:rStyle w:val="45"/>
          <w:rFonts w:ascii="宋体" w:eastAsia="宋体"/>
          <w:spacing w:val="0"/>
          <w:kern w:val="0"/>
          <w:highlight w:val="none"/>
        </w:rPr>
      </w:pPr>
      <w:r>
        <w:rPr>
          <w:rStyle w:val="45"/>
          <w:rFonts w:hint="eastAsia" w:ascii="宋体" w:eastAsia="宋体"/>
          <w:spacing w:val="0"/>
          <w:kern w:val="0"/>
          <w:highlight w:val="none"/>
        </w:rPr>
        <w:t>备用项目经理：</w:t>
      </w:r>
    </w:p>
    <w:p w14:paraId="66669CA9">
      <w:pPr>
        <w:spacing w:line="360" w:lineRule="auto"/>
        <w:ind w:firstLine="465"/>
        <w:rPr>
          <w:rStyle w:val="45"/>
          <w:rFonts w:ascii="宋体" w:eastAsia="宋体"/>
          <w:spacing w:val="0"/>
          <w:kern w:val="0"/>
          <w:highlight w:val="none"/>
        </w:rPr>
      </w:pPr>
      <w:r>
        <w:rPr>
          <w:rStyle w:val="45"/>
          <w:rFonts w:hint="eastAsia" w:ascii="宋体" w:eastAsia="宋体"/>
          <w:spacing w:val="0"/>
          <w:kern w:val="0"/>
          <w:highlight w:val="none"/>
        </w:rPr>
        <w:t>备用技术骨干：</w:t>
      </w:r>
    </w:p>
    <w:p w14:paraId="09B5CBE7">
      <w:pPr>
        <w:rPr>
          <w:rFonts w:ascii="Times New Roman" w:hAnsi="Times New Roman"/>
          <w:highlight w:val="none"/>
        </w:rPr>
      </w:pPr>
    </w:p>
    <w:p w14:paraId="597C8F4F">
      <w:pPr>
        <w:rPr>
          <w:rFonts w:ascii="Times New Roman" w:hAnsi="Times New Roman"/>
          <w:highlight w:val="none"/>
        </w:rPr>
      </w:pPr>
    </w:p>
    <w:p w14:paraId="1C7EB95D">
      <w:pPr>
        <w:rPr>
          <w:rFonts w:ascii="Times New Roman" w:hAnsi="Times New Roman"/>
          <w:highlight w:val="none"/>
        </w:rPr>
      </w:pPr>
    </w:p>
    <w:p w14:paraId="71A490CF">
      <w:pPr>
        <w:rPr>
          <w:rFonts w:ascii="Times New Roman" w:hAnsi="Times New Roman"/>
          <w:highlight w:val="none"/>
        </w:rPr>
      </w:pPr>
    </w:p>
    <w:p w14:paraId="4D4786C2">
      <w:pPr>
        <w:rPr>
          <w:rFonts w:ascii="Times New Roman" w:hAnsi="Times New Roman"/>
          <w:highlight w:val="none"/>
        </w:rPr>
      </w:pPr>
      <w:r>
        <w:rPr>
          <w:rFonts w:ascii="Times New Roman" w:hAnsi="Times New Roman"/>
          <w:highlight w:val="none"/>
        </w:rPr>
        <w:br w:type="page"/>
      </w:r>
    </w:p>
    <w:p w14:paraId="376AC85D">
      <w:pPr>
        <w:ind w:left="0" w:firstLine="0"/>
        <w:rPr>
          <w:rStyle w:val="45"/>
          <w:rFonts w:ascii="宋体" w:eastAsia="宋体"/>
          <w:spacing w:val="0"/>
          <w:kern w:val="0"/>
          <w:sz w:val="30"/>
          <w:highlight w:val="none"/>
        </w:rPr>
      </w:pPr>
      <w:bookmarkStart w:id="310" w:name="_Toc63757483"/>
      <w:bookmarkStart w:id="311" w:name="_Toc84948051"/>
      <w:r>
        <w:rPr>
          <w:rStyle w:val="45"/>
          <w:rFonts w:hint="eastAsia" w:ascii="宋体" w:eastAsia="宋体"/>
          <w:spacing w:val="0"/>
          <w:kern w:val="0"/>
          <w:sz w:val="30"/>
          <w:highlight w:val="none"/>
        </w:rPr>
        <w:t>附件三：验收标准及流程</w:t>
      </w:r>
      <w:bookmarkEnd w:id="310"/>
      <w:bookmarkEnd w:id="311"/>
    </w:p>
    <w:p w14:paraId="7F924DB6">
      <w:pPr>
        <w:ind w:left="0" w:firstLine="0"/>
        <w:rPr>
          <w:rStyle w:val="45"/>
          <w:rFonts w:ascii="宋体" w:eastAsia="宋体"/>
          <w:spacing w:val="0"/>
          <w:kern w:val="0"/>
          <w:sz w:val="30"/>
          <w:highlight w:val="none"/>
        </w:rPr>
      </w:pPr>
    </w:p>
    <w:p w14:paraId="46EEF7BB">
      <w:pPr>
        <w:spacing w:line="360" w:lineRule="auto"/>
        <w:ind w:firstLine="482" w:firstLineChars="200"/>
        <w:rPr>
          <w:rStyle w:val="45"/>
          <w:rFonts w:ascii="宋体" w:eastAsia="宋体"/>
          <w:spacing w:val="0"/>
          <w:kern w:val="0"/>
          <w:highlight w:val="none"/>
        </w:rPr>
      </w:pPr>
      <w:r>
        <w:rPr>
          <w:rStyle w:val="45"/>
          <w:rFonts w:hint="eastAsia" w:ascii="宋体" w:eastAsia="宋体"/>
          <w:b/>
          <w:spacing w:val="0"/>
          <w:kern w:val="0"/>
          <w:highlight w:val="none"/>
        </w:rPr>
        <w:t>一、验收标准</w:t>
      </w:r>
    </w:p>
    <w:p w14:paraId="4189C232">
      <w:pPr>
        <w:numPr>
          <w:ilvl w:val="0"/>
          <w:numId w:val="6"/>
        </w:numPr>
        <w:spacing w:line="360" w:lineRule="auto"/>
        <w:rPr>
          <w:rStyle w:val="45"/>
          <w:rFonts w:ascii="宋体" w:eastAsia="宋体"/>
          <w:spacing w:val="0"/>
          <w:kern w:val="0"/>
          <w:highlight w:val="none"/>
        </w:rPr>
      </w:pPr>
      <w:r>
        <w:rPr>
          <w:rStyle w:val="45"/>
          <w:rFonts w:hint="eastAsia" w:ascii="宋体" w:eastAsia="宋体"/>
          <w:spacing w:val="0"/>
          <w:kern w:val="0"/>
          <w:highlight w:val="none"/>
        </w:rPr>
        <w:t>验收系统须满足试运行期内项目产品运行稳定、无遗留问题。</w:t>
      </w:r>
    </w:p>
    <w:p w14:paraId="1D65EFFB">
      <w:pPr>
        <w:numPr>
          <w:ilvl w:val="0"/>
          <w:numId w:val="6"/>
        </w:numPr>
        <w:spacing w:line="360" w:lineRule="auto"/>
        <w:rPr>
          <w:rStyle w:val="45"/>
          <w:rFonts w:ascii="宋体" w:eastAsia="宋体"/>
          <w:spacing w:val="0"/>
          <w:kern w:val="0"/>
          <w:highlight w:val="none"/>
        </w:rPr>
      </w:pPr>
      <w:r>
        <w:rPr>
          <w:rStyle w:val="45"/>
          <w:rFonts w:hint="eastAsia" w:ascii="宋体" w:eastAsia="宋体"/>
          <w:spacing w:val="0"/>
          <w:kern w:val="0"/>
          <w:highlight w:val="none"/>
        </w:rPr>
        <w:t>项目知识及文档已全部完成转移。</w:t>
      </w:r>
    </w:p>
    <w:p w14:paraId="65839CA2">
      <w:pPr>
        <w:spacing w:line="360" w:lineRule="auto"/>
        <w:ind w:firstLine="360" w:firstLineChars="150"/>
        <w:rPr>
          <w:rStyle w:val="45"/>
          <w:rFonts w:ascii="宋体" w:eastAsia="宋体"/>
          <w:spacing w:val="0"/>
          <w:kern w:val="0"/>
          <w:highlight w:val="none"/>
        </w:rPr>
      </w:pPr>
      <w:r>
        <w:rPr>
          <w:rStyle w:val="45"/>
          <w:rFonts w:hint="eastAsia" w:ascii="宋体" w:eastAsia="宋体"/>
          <w:spacing w:val="0"/>
          <w:kern w:val="0"/>
          <w:highlight w:val="none"/>
        </w:rPr>
        <w:t>3、验收交付物包括：</w:t>
      </w:r>
    </w:p>
    <w:p w14:paraId="5509A5C0">
      <w:pPr>
        <w:spacing w:line="360" w:lineRule="auto"/>
        <w:rPr>
          <w:rStyle w:val="45"/>
          <w:rFonts w:hint="eastAsia" w:ascii="宋体" w:eastAsia="宋体"/>
          <w:iCs/>
          <w:spacing w:val="0"/>
          <w:kern w:val="0"/>
          <w:highlight w:val="none"/>
        </w:rPr>
      </w:pPr>
      <w:r>
        <w:rPr>
          <w:rStyle w:val="45"/>
          <w:rFonts w:hint="eastAsia" w:ascii="宋体" w:eastAsia="宋体"/>
          <w:iCs/>
          <w:spacing w:val="0"/>
          <w:kern w:val="0"/>
          <w:highlight w:val="none"/>
        </w:rPr>
        <w:t>《项目需求分析说明书》、《概要设计说明书》、《详细设计说明书》、《数据库设计说明书》、《系统安装部署手册》、《系统运行维护手册》、《用户操作手册》、《试运行报告》、《验收报告》</w:t>
      </w:r>
      <w:r>
        <w:rPr>
          <w:rStyle w:val="45"/>
          <w:rFonts w:ascii="宋体" w:eastAsia="宋体"/>
          <w:iCs/>
          <w:spacing w:val="0"/>
          <w:kern w:val="0"/>
          <w:highlight w:val="none"/>
        </w:rPr>
        <w:t>、</w:t>
      </w:r>
      <w:r>
        <w:rPr>
          <w:rStyle w:val="45"/>
          <w:rFonts w:hint="eastAsia" w:ascii="宋体" w:eastAsia="宋体"/>
          <w:iCs/>
          <w:spacing w:val="0"/>
          <w:kern w:val="0"/>
          <w:highlight w:val="none"/>
        </w:rPr>
        <w:t>《数据迁移方案》、《软件兼容性方案》、《系统测试计划》、《系统测试报告》、《性能测试报告》、《安全测试报告》</w:t>
      </w:r>
    </w:p>
    <w:p w14:paraId="34E5B1DC">
      <w:pPr>
        <w:spacing w:line="360" w:lineRule="auto"/>
        <w:rPr>
          <w:rStyle w:val="45"/>
          <w:rFonts w:ascii="宋体" w:eastAsia="宋体"/>
          <w:iCs/>
          <w:spacing w:val="0"/>
          <w:kern w:val="0"/>
          <w:highlight w:val="none"/>
        </w:rPr>
      </w:pPr>
    </w:p>
    <w:p w14:paraId="77C2CAC2">
      <w:pPr>
        <w:spacing w:line="360" w:lineRule="auto"/>
        <w:ind w:firstLine="482" w:firstLineChars="200"/>
        <w:rPr>
          <w:rStyle w:val="45"/>
          <w:rFonts w:ascii="宋体" w:eastAsia="宋体"/>
          <w:b/>
          <w:spacing w:val="0"/>
          <w:kern w:val="0"/>
          <w:highlight w:val="none"/>
        </w:rPr>
      </w:pPr>
      <w:r>
        <w:rPr>
          <w:rStyle w:val="45"/>
          <w:rFonts w:hint="eastAsia" w:ascii="宋体" w:eastAsia="宋体"/>
          <w:b/>
          <w:spacing w:val="0"/>
          <w:kern w:val="0"/>
          <w:highlight w:val="none"/>
        </w:rPr>
        <w:t>二、验收流程</w:t>
      </w:r>
    </w:p>
    <w:p w14:paraId="07A2668F">
      <w:pPr>
        <w:spacing w:line="360" w:lineRule="auto"/>
        <w:ind w:left="2" w:leftChars="1" w:firstLine="360" w:firstLineChars="150"/>
        <w:rPr>
          <w:rStyle w:val="45"/>
          <w:rFonts w:ascii="宋体" w:eastAsia="宋体"/>
          <w:spacing w:val="0"/>
          <w:kern w:val="0"/>
          <w:highlight w:val="none"/>
        </w:rPr>
      </w:pPr>
      <w:r>
        <w:rPr>
          <w:rStyle w:val="45"/>
          <w:rFonts w:hint="eastAsia" w:ascii="宋体" w:eastAsia="宋体"/>
          <w:spacing w:val="0"/>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74696F18">
      <w:pPr>
        <w:rPr>
          <w:rFonts w:ascii="Times New Roman" w:hAnsi="Times New Roman"/>
          <w:highlight w:val="none"/>
        </w:rPr>
      </w:pPr>
    </w:p>
    <w:p w14:paraId="5A2E57F8">
      <w:pPr>
        <w:rPr>
          <w:rFonts w:ascii="Times New Roman" w:hAnsi="Times New Roman"/>
          <w:highlight w:val="none"/>
        </w:rPr>
      </w:pPr>
      <w:r>
        <w:rPr>
          <w:rFonts w:ascii="Times New Roman" w:hAnsi="Times New Roman"/>
          <w:highlight w:val="none"/>
        </w:rPr>
        <w:br w:type="page"/>
      </w:r>
    </w:p>
    <w:p w14:paraId="06ADFD34">
      <w:pPr>
        <w:ind w:left="0" w:firstLine="0"/>
        <w:rPr>
          <w:rStyle w:val="45"/>
          <w:rFonts w:ascii="宋体" w:eastAsia="宋体"/>
          <w:spacing w:val="0"/>
          <w:kern w:val="0"/>
          <w:sz w:val="30"/>
          <w:highlight w:val="none"/>
        </w:rPr>
      </w:pPr>
      <w:bookmarkStart w:id="312" w:name="_Toc84948052"/>
      <w:bookmarkStart w:id="313" w:name="_Toc63757484"/>
      <w:r>
        <w:rPr>
          <w:rStyle w:val="45"/>
          <w:rFonts w:hint="eastAsia" w:ascii="宋体" w:eastAsia="宋体"/>
          <w:spacing w:val="0"/>
          <w:kern w:val="0"/>
          <w:sz w:val="30"/>
          <w:highlight w:val="none"/>
        </w:rPr>
        <w:t>附件四：维护服务条款</w:t>
      </w:r>
      <w:bookmarkEnd w:id="312"/>
      <w:bookmarkEnd w:id="313"/>
    </w:p>
    <w:p w14:paraId="2486BBA7">
      <w:pPr>
        <w:rPr>
          <w:rStyle w:val="45"/>
          <w:rFonts w:ascii="宋体" w:eastAsia="宋体"/>
          <w:spacing w:val="0"/>
          <w:kern w:val="0"/>
          <w:sz w:val="30"/>
          <w:highlight w:val="none"/>
        </w:rPr>
      </w:pPr>
    </w:p>
    <w:p w14:paraId="33DB8ABA">
      <w:pPr>
        <w:spacing w:line="360" w:lineRule="auto"/>
        <w:ind w:firstLine="480"/>
        <w:rPr>
          <w:rStyle w:val="45"/>
          <w:rFonts w:ascii="宋体" w:eastAsia="宋体"/>
          <w:spacing w:val="0"/>
          <w:kern w:val="0"/>
          <w:highlight w:val="none"/>
        </w:rPr>
      </w:pPr>
      <w:r>
        <w:rPr>
          <w:rStyle w:val="45"/>
          <w:rFonts w:hint="eastAsia" w:ascii="宋体" w:eastAsia="宋体"/>
          <w:spacing w:val="0"/>
          <w:kern w:val="0"/>
          <w:highlight w:val="none"/>
        </w:rPr>
        <w:t>乙方业务代表作为技术服务的第一联系人，项目经理作为该项目的技术服务第二联系人，随时接受客户的电话服务支持，并申请调配相关资源为客户提供及时服务。</w:t>
      </w:r>
    </w:p>
    <w:p w14:paraId="62943646">
      <w:pPr>
        <w:numPr>
          <w:ilvl w:val="0"/>
          <w:numId w:val="7"/>
        </w:numPr>
        <w:tabs>
          <w:tab w:val="left" w:pos="420"/>
          <w:tab w:val="clear" w:pos="0"/>
        </w:tabs>
        <w:spacing w:line="360" w:lineRule="auto"/>
        <w:rPr>
          <w:rStyle w:val="45"/>
          <w:rFonts w:ascii="宋体" w:eastAsia="宋体"/>
          <w:spacing w:val="0"/>
          <w:highlight w:val="none"/>
        </w:rPr>
      </w:pPr>
      <w:r>
        <w:rPr>
          <w:rStyle w:val="45"/>
          <w:rFonts w:hint="eastAsia" w:ascii="宋体" w:eastAsia="宋体"/>
          <w:spacing w:val="0"/>
          <w:highlight w:val="none"/>
        </w:rPr>
        <w:t>系统正式验收通过，上线后提供三个月免费人员现场驻场维护，</w:t>
      </w:r>
      <w:r>
        <w:rPr>
          <w:rFonts w:hint="eastAsia" w:ascii="宋体" w:eastAsia="宋体"/>
          <w:spacing w:val="0"/>
          <w:kern w:val="0"/>
          <w:highlight w:val="none"/>
        </w:rPr>
        <w:t>正式</w:t>
      </w:r>
      <w:r>
        <w:rPr>
          <w:rFonts w:hint="eastAsia" w:ascii="宋体" w:eastAsia="宋体"/>
          <w:spacing w:val="0"/>
          <w:highlight w:val="none"/>
        </w:rPr>
        <w:t>验收合格次日</w:t>
      </w:r>
      <w:r>
        <w:rPr>
          <w:rStyle w:val="45"/>
          <w:rFonts w:hint="eastAsia" w:ascii="宋体" w:eastAsia="宋体"/>
          <w:spacing w:val="0"/>
          <w:highlight w:val="none"/>
        </w:rPr>
        <w:t>至次年</w:t>
      </w:r>
      <w:r>
        <w:rPr>
          <w:rFonts w:hint="eastAsia" w:ascii="宋体" w:eastAsia="宋体"/>
          <w:spacing w:val="0"/>
          <w:highlight w:val="none"/>
        </w:rPr>
        <w:t>并延期至6月30日或12月31日中较近日期（即维保延期最长不超过半年）</w:t>
      </w:r>
      <w:r>
        <w:rPr>
          <w:rStyle w:val="45"/>
          <w:rFonts w:hint="eastAsia" w:ascii="宋体" w:eastAsia="宋体"/>
          <w:spacing w:val="0"/>
          <w:highlight w:val="none"/>
        </w:rPr>
        <w:t>提供支持和服务。</w:t>
      </w:r>
    </w:p>
    <w:p w14:paraId="5B275E22">
      <w:pPr>
        <w:numPr>
          <w:ilvl w:val="0"/>
          <w:numId w:val="7"/>
        </w:numPr>
        <w:tabs>
          <w:tab w:val="left" w:pos="420"/>
          <w:tab w:val="clear" w:pos="0"/>
        </w:tabs>
        <w:spacing w:line="360" w:lineRule="auto"/>
        <w:rPr>
          <w:rStyle w:val="45"/>
          <w:rFonts w:ascii="宋体" w:eastAsia="宋体"/>
          <w:spacing w:val="0"/>
          <w:highlight w:val="none"/>
        </w:rPr>
      </w:pPr>
      <w:r>
        <w:rPr>
          <w:rStyle w:val="45"/>
          <w:rFonts w:hint="eastAsia" w:ascii="宋体" w:eastAsia="宋体"/>
          <w:spacing w:val="0"/>
          <w:highlight w:val="none"/>
        </w:rPr>
        <w:t>维护期内，提供平台升级及优化服务。</w:t>
      </w:r>
    </w:p>
    <w:p w14:paraId="25C04DB4">
      <w:pPr>
        <w:numPr>
          <w:ilvl w:val="0"/>
          <w:numId w:val="7"/>
        </w:numPr>
        <w:tabs>
          <w:tab w:val="left" w:pos="420"/>
          <w:tab w:val="clear" w:pos="0"/>
        </w:tabs>
        <w:spacing w:line="360" w:lineRule="auto"/>
        <w:rPr>
          <w:rStyle w:val="45"/>
          <w:rFonts w:ascii="宋体" w:eastAsia="宋体"/>
          <w:spacing w:val="0"/>
          <w:highlight w:val="none"/>
        </w:rPr>
      </w:pPr>
      <w:r>
        <w:rPr>
          <w:rStyle w:val="45"/>
          <w:rFonts w:hint="eastAsia" w:ascii="宋体" w:eastAsia="宋体"/>
          <w:spacing w:val="0"/>
          <w:highlight w:val="none"/>
        </w:rPr>
        <w:t>系统上线后，提供二次系统和产品的培训，时间为每次1天。在维护期内，也可以根据用户需求，随时到客户现场进行系统和产品的培训。</w:t>
      </w:r>
    </w:p>
    <w:p w14:paraId="458CE12F">
      <w:pPr>
        <w:numPr>
          <w:ilvl w:val="0"/>
          <w:numId w:val="7"/>
        </w:numPr>
        <w:tabs>
          <w:tab w:val="left" w:pos="420"/>
          <w:tab w:val="clear" w:pos="0"/>
        </w:tabs>
        <w:spacing w:line="360" w:lineRule="auto"/>
        <w:rPr>
          <w:rFonts w:ascii="宋体" w:eastAsia="宋体"/>
          <w:spacing w:val="0"/>
          <w:highlight w:val="none"/>
        </w:rPr>
      </w:pPr>
      <w:r>
        <w:rPr>
          <w:rStyle w:val="45"/>
          <w:rFonts w:hint="eastAsia" w:ascii="宋体" w:eastAsia="宋体"/>
          <w:spacing w:val="0"/>
          <w:highlight w:val="none"/>
        </w:rPr>
        <w:t>维护期内，每季度派工程师现场巡检一次，并在巡检后提交巡检报告，针对巡检中发现的问题立即组织整改。</w:t>
      </w:r>
    </w:p>
    <w:p w14:paraId="3AC06084">
      <w:pPr>
        <w:spacing w:line="360" w:lineRule="auto"/>
        <w:rPr>
          <w:rFonts w:ascii="宋体" w:eastAsia="宋体"/>
          <w:spacing w:val="0"/>
          <w:highlight w:val="none"/>
        </w:rPr>
      </w:pPr>
      <w:r>
        <w:rPr>
          <w:rFonts w:hint="eastAsia" w:ascii="宋体" w:eastAsia="宋体"/>
          <w:spacing w:val="0"/>
          <w:highlight w:val="none"/>
        </w:rPr>
        <w:t>支持方式和手段</w:t>
      </w:r>
    </w:p>
    <w:p w14:paraId="2BA72E82">
      <w:pPr>
        <w:numPr>
          <w:ilvl w:val="0"/>
          <w:numId w:val="8"/>
        </w:numPr>
        <w:tabs>
          <w:tab w:val="left" w:pos="420"/>
          <w:tab w:val="clear" w:pos="0"/>
        </w:tabs>
        <w:spacing w:line="360" w:lineRule="auto"/>
        <w:rPr>
          <w:rFonts w:ascii="宋体" w:eastAsia="宋体"/>
          <w:spacing w:val="0"/>
          <w:highlight w:val="none"/>
        </w:rPr>
      </w:pPr>
      <w:r>
        <w:rPr>
          <w:rFonts w:hint="eastAsia" w:ascii="宋体" w:eastAsia="宋体"/>
          <w:spacing w:val="0"/>
          <w:highlight w:val="none"/>
        </w:rPr>
        <w:t>热线电话</w:t>
      </w:r>
      <w:r>
        <w:rPr>
          <w:rFonts w:hint="eastAsia" w:ascii="宋体" w:eastAsia="宋体"/>
          <w:spacing w:val="0"/>
          <w:highlight w:val="none"/>
        </w:rPr>
        <w:br w:type="textWrapping"/>
      </w:r>
      <w:r>
        <w:rPr>
          <w:rFonts w:hint="eastAsia" w:ascii="宋体" w:eastAsia="宋体"/>
          <w:spacing w:val="0"/>
          <w:highlight w:val="none"/>
        </w:rPr>
        <w:t>针对具体业务过程中产生的各种技术咨询，开设专线，提供7*24小时的技术服务支持。</w:t>
      </w:r>
    </w:p>
    <w:p w14:paraId="2114639A">
      <w:pPr>
        <w:numPr>
          <w:ilvl w:val="0"/>
          <w:numId w:val="8"/>
        </w:numPr>
        <w:tabs>
          <w:tab w:val="left" w:pos="420"/>
          <w:tab w:val="clear" w:pos="0"/>
        </w:tabs>
        <w:spacing w:line="360" w:lineRule="auto"/>
        <w:rPr>
          <w:rFonts w:ascii="宋体" w:eastAsia="宋体"/>
          <w:spacing w:val="0"/>
          <w:highlight w:val="none"/>
        </w:rPr>
      </w:pPr>
      <w:r>
        <w:rPr>
          <w:rFonts w:hint="eastAsia" w:ascii="宋体" w:eastAsia="宋体"/>
          <w:spacing w:val="0"/>
          <w:highlight w:val="none"/>
        </w:rPr>
        <w:t>E-mail</w:t>
      </w:r>
      <w:r>
        <w:rPr>
          <w:rFonts w:hint="eastAsia" w:ascii="宋体" w:eastAsia="宋体"/>
          <w:spacing w:val="0"/>
          <w:highlight w:val="none"/>
        </w:rPr>
        <w:br w:type="textWrapping"/>
      </w:r>
      <w:r>
        <w:rPr>
          <w:rFonts w:hint="eastAsia" w:ascii="宋体" w:eastAsia="宋体"/>
          <w:spacing w:val="0"/>
          <w:highlight w:val="none"/>
        </w:rPr>
        <w:t>客户建议、意见及技术支持同样可以通过</w:t>
      </w:r>
      <w:r>
        <w:rPr>
          <w:rFonts w:hint="eastAsia" w:ascii="宋体" w:eastAsia="宋体"/>
          <w:spacing w:val="0"/>
          <w:highlight w:val="none"/>
          <w:u w:val="single"/>
        </w:rPr>
        <w:t xml:space="preserve">    XXXXX公司（乙方）  </w:t>
      </w:r>
      <w:r>
        <w:rPr>
          <w:rFonts w:hint="eastAsia" w:ascii="宋体" w:eastAsia="宋体"/>
          <w:spacing w:val="0"/>
          <w:highlight w:val="none"/>
        </w:rPr>
        <w:t>提供的服务支持电子信箱获得响应，我们将做出详细、全面的服务解答，在半天内给予E-mail回复。</w:t>
      </w:r>
    </w:p>
    <w:p w14:paraId="1B75FA81">
      <w:pPr>
        <w:numPr>
          <w:ilvl w:val="0"/>
          <w:numId w:val="8"/>
        </w:numPr>
        <w:tabs>
          <w:tab w:val="left" w:pos="420"/>
          <w:tab w:val="clear" w:pos="0"/>
        </w:tabs>
        <w:spacing w:line="360" w:lineRule="auto"/>
        <w:rPr>
          <w:rFonts w:ascii="宋体" w:eastAsia="宋体"/>
          <w:spacing w:val="0"/>
          <w:highlight w:val="none"/>
        </w:rPr>
      </w:pPr>
      <w:r>
        <w:rPr>
          <w:rFonts w:hint="eastAsia" w:ascii="宋体" w:eastAsia="宋体"/>
          <w:spacing w:val="0"/>
          <w:highlight w:val="none"/>
        </w:rPr>
        <w:t>远程登录</w:t>
      </w:r>
      <w:r>
        <w:rPr>
          <w:rFonts w:hint="eastAsia" w:ascii="宋体" w:eastAsia="宋体"/>
          <w:spacing w:val="0"/>
          <w:highlight w:val="none"/>
        </w:rPr>
        <w:br w:type="textWrapping"/>
      </w:r>
      <w:r>
        <w:rPr>
          <w:rFonts w:hint="eastAsia" w:ascii="宋体" w:eastAsia="宋体"/>
          <w:spacing w:val="0"/>
          <w:highlight w:val="none"/>
        </w:rPr>
        <w:t>对客户所遇到技术问题可以在客户条件许可的情况下进行远程访问排除故障，以方便客户能够及时解决疑难杂症。</w:t>
      </w:r>
    </w:p>
    <w:p w14:paraId="444A140D">
      <w:pPr>
        <w:numPr>
          <w:ilvl w:val="0"/>
          <w:numId w:val="8"/>
        </w:numPr>
        <w:tabs>
          <w:tab w:val="left" w:pos="420"/>
          <w:tab w:val="clear" w:pos="0"/>
        </w:tabs>
        <w:spacing w:line="360" w:lineRule="auto"/>
        <w:rPr>
          <w:rFonts w:ascii="宋体" w:eastAsia="宋体"/>
          <w:spacing w:val="0"/>
          <w:highlight w:val="none"/>
        </w:rPr>
      </w:pPr>
      <w:r>
        <w:rPr>
          <w:rFonts w:hint="eastAsia" w:ascii="宋体" w:eastAsia="宋体"/>
          <w:spacing w:val="0"/>
          <w:highlight w:val="none"/>
        </w:rPr>
        <w:t>现场支持</w:t>
      </w:r>
      <w:r>
        <w:rPr>
          <w:rFonts w:hint="eastAsia" w:ascii="宋体" w:eastAsia="宋体"/>
          <w:spacing w:val="0"/>
          <w:highlight w:val="none"/>
        </w:rPr>
        <w:br w:type="textWrapping"/>
      </w:r>
      <w:r>
        <w:rPr>
          <w:rFonts w:hint="eastAsia" w:ascii="宋体" w:eastAsia="宋体"/>
          <w:spacing w:val="0"/>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1F6214F7">
      <w:pPr>
        <w:numPr>
          <w:ilvl w:val="0"/>
          <w:numId w:val="8"/>
        </w:numPr>
        <w:tabs>
          <w:tab w:val="left" w:pos="420"/>
          <w:tab w:val="clear" w:pos="0"/>
        </w:tabs>
        <w:spacing w:line="360" w:lineRule="auto"/>
        <w:rPr>
          <w:rFonts w:ascii="宋体" w:eastAsia="宋体"/>
          <w:spacing w:val="0"/>
          <w:highlight w:val="none"/>
        </w:rPr>
      </w:pPr>
      <w:r>
        <w:rPr>
          <w:rFonts w:hint="eastAsia" w:ascii="宋体" w:eastAsia="宋体"/>
          <w:spacing w:val="0"/>
          <w:highlight w:val="none"/>
        </w:rPr>
        <w:t>运行日志定期检查</w:t>
      </w:r>
      <w:r>
        <w:rPr>
          <w:rFonts w:hint="eastAsia" w:ascii="宋体" w:eastAsia="宋体"/>
          <w:spacing w:val="0"/>
          <w:highlight w:val="none"/>
        </w:rPr>
        <w:br w:type="textWrapping"/>
      </w:r>
      <w:r>
        <w:rPr>
          <w:rFonts w:hint="eastAsia" w:ascii="宋体" w:eastAsia="宋体"/>
          <w:spacing w:val="0"/>
          <w:highlight w:val="none"/>
        </w:rPr>
        <w:t>最好的服务方式是提前发现问题，将问题解决于发生前，在</w:t>
      </w:r>
      <w:r>
        <w:rPr>
          <w:rStyle w:val="45"/>
          <w:rFonts w:hint="eastAsia" w:ascii="宋体" w:eastAsia="宋体"/>
          <w:spacing w:val="0"/>
          <w:kern w:val="0"/>
          <w:highlight w:val="none"/>
        </w:rPr>
        <w:t>乙方</w:t>
      </w:r>
      <w:r>
        <w:rPr>
          <w:rFonts w:hint="eastAsia" w:ascii="宋体" w:eastAsia="宋体"/>
          <w:spacing w:val="0"/>
          <w:highlight w:val="none"/>
        </w:rPr>
        <w:t>实施的系统中，提供了相关的运行日志，通过和客户的协商，通过客户定期提供的运行日志，可实现定期的日志检查，可以提前发现系统的运行问题，以起到防患于未然的效果。</w:t>
      </w:r>
    </w:p>
    <w:p w14:paraId="2012AE3D">
      <w:pPr>
        <w:numPr>
          <w:ilvl w:val="0"/>
          <w:numId w:val="8"/>
        </w:numPr>
        <w:tabs>
          <w:tab w:val="left" w:pos="420"/>
          <w:tab w:val="clear" w:pos="0"/>
        </w:tabs>
        <w:spacing w:line="360" w:lineRule="auto"/>
        <w:rPr>
          <w:rFonts w:ascii="宋体" w:eastAsia="宋体"/>
          <w:spacing w:val="0"/>
          <w:highlight w:val="none"/>
        </w:rPr>
      </w:pPr>
      <w:r>
        <w:rPr>
          <w:rFonts w:hint="eastAsia" w:ascii="宋体" w:eastAsia="宋体"/>
          <w:spacing w:val="0"/>
          <w:highlight w:val="none"/>
        </w:rPr>
        <w:t>故障处理流程</w:t>
      </w:r>
    </w:p>
    <w:p w14:paraId="54FDB2A8">
      <w:pPr>
        <w:rPr>
          <w:rFonts w:ascii="宋体" w:eastAsia="宋体"/>
          <w:spacing w:val="0"/>
          <w:highlight w:val="none"/>
        </w:rPr>
      </w:pPr>
      <w:r>
        <w:rPr>
          <w:rFonts w:hint="eastAsia" w:ascii="宋体" w:eastAsia="宋体"/>
          <w:spacing w:val="0"/>
          <w:highlight w:val="none"/>
        </w:rPr>
        <w:t>通过现象定位错误原因，编写处理说明书（包含处理完成时间）。</w:t>
      </w:r>
    </w:p>
    <w:p w14:paraId="7D1EA3EF">
      <w:pPr>
        <w:rPr>
          <w:rFonts w:ascii="宋体" w:eastAsia="宋体"/>
          <w:spacing w:val="0"/>
          <w:highlight w:val="none"/>
        </w:rPr>
      </w:pPr>
      <w:r>
        <w:rPr>
          <w:rFonts w:ascii="宋体" w:eastAsia="宋体"/>
          <w:spacing w:val="0"/>
          <w:highlight w:val="none"/>
        </w:rPr>
        <w:br w:type="page"/>
      </w:r>
    </w:p>
    <w:p w14:paraId="3D6CC1DD">
      <w:pPr>
        <w:ind w:left="0" w:firstLine="0"/>
        <w:rPr>
          <w:rFonts w:ascii="宋体"/>
          <w:highlight w:val="none"/>
        </w:rPr>
      </w:pPr>
      <w:r>
        <w:rPr>
          <w:rStyle w:val="45"/>
          <w:rFonts w:hint="eastAsia" w:ascii="宋体" w:eastAsia="宋体"/>
          <w:spacing w:val="0"/>
          <w:kern w:val="0"/>
          <w:sz w:val="30"/>
          <w:highlight w:val="none"/>
        </w:rPr>
        <w:t>附件五：服务水平协议（</w:t>
      </w:r>
      <w:bookmarkStart w:id="314" w:name="突出显示"/>
      <w:r>
        <w:rPr>
          <w:rStyle w:val="45"/>
          <w:rFonts w:hint="eastAsia" w:ascii="宋体" w:eastAsia="宋体"/>
          <w:spacing w:val="0"/>
          <w:kern w:val="0"/>
          <w:sz w:val="30"/>
          <w:highlight w:val="none"/>
        </w:rPr>
        <w:t>SLA</w:t>
      </w:r>
      <w:bookmarkEnd w:id="314"/>
      <w:r>
        <w:rPr>
          <w:rStyle w:val="45"/>
          <w:rFonts w:hint="eastAsia" w:ascii="宋体" w:eastAsia="宋体"/>
          <w:spacing w:val="0"/>
          <w:kern w:val="0"/>
          <w:sz w:val="30"/>
          <w:highlight w:val="none"/>
        </w:rPr>
        <w:t>）</w:t>
      </w:r>
    </w:p>
    <w:p w14:paraId="1BFC1611">
      <w:pPr>
        <w:rPr>
          <w:rFonts w:ascii="宋体" w:eastAsia="宋体"/>
          <w:b/>
          <w:bCs/>
          <w:spacing w:val="0"/>
          <w:szCs w:val="24"/>
          <w:highlight w:val="none"/>
        </w:rPr>
      </w:pPr>
      <w:r>
        <w:rPr>
          <w:rFonts w:hint="eastAsia" w:ascii="宋体" w:eastAsia="宋体"/>
          <w:b/>
          <w:bCs/>
          <w:spacing w:val="0"/>
          <w:kern w:val="32"/>
          <w:szCs w:val="24"/>
          <w:highlight w:val="none"/>
        </w:rPr>
        <w:t>1. 目标</w:t>
      </w:r>
    </w:p>
    <w:p w14:paraId="43FB5B58">
      <w:pPr>
        <w:spacing w:line="360" w:lineRule="auto"/>
        <w:ind w:firstLine="480" w:firstLineChars="200"/>
        <w:rPr>
          <w:rFonts w:ascii="宋体" w:eastAsia="宋体"/>
          <w:spacing w:val="0"/>
          <w:szCs w:val="24"/>
          <w:highlight w:val="none"/>
        </w:rPr>
      </w:pPr>
      <w:r>
        <w:rPr>
          <w:rFonts w:hint="eastAsia" w:ascii="宋体" w:eastAsia="宋体"/>
          <w:spacing w:val="0"/>
          <w:szCs w:val="24"/>
          <w:highlight w:val="none"/>
        </w:rPr>
        <w:t>本服务水平协议（</w:t>
      </w:r>
      <w:bookmarkStart w:id="315" w:name="突出显示"/>
      <w:r>
        <w:rPr>
          <w:rFonts w:hint="eastAsia" w:ascii="宋体" w:eastAsia="宋体"/>
          <w:spacing w:val="0"/>
          <w:szCs w:val="24"/>
          <w:highlight w:val="none"/>
        </w:rPr>
        <w:t>SLA</w:t>
      </w:r>
      <w:bookmarkEnd w:id="315"/>
      <w:r>
        <w:rPr>
          <w:rFonts w:hint="eastAsia" w:ascii="宋体" w:eastAsia="宋体"/>
          <w:spacing w:val="0"/>
          <w:szCs w:val="24"/>
          <w:highlight w:val="none"/>
        </w:rPr>
        <w:t>）的目标是为了清晰地定义由X</w:t>
      </w:r>
      <w:r>
        <w:rPr>
          <w:rFonts w:ascii="宋体" w:eastAsia="宋体"/>
          <w:spacing w:val="0"/>
          <w:szCs w:val="24"/>
          <w:highlight w:val="none"/>
        </w:rPr>
        <w:t>XXXXXXXXXXXXXXXXXX</w:t>
      </w:r>
      <w:r>
        <w:rPr>
          <w:rFonts w:hint="eastAsia" w:ascii="宋体" w:eastAsia="宋体"/>
          <w:spacing w:val="0"/>
          <w:szCs w:val="24"/>
          <w:highlight w:val="none"/>
        </w:rPr>
        <w:t>公司（乙方）在本项目中为重庆三峡银行（甲方）提供的服务水平，本</w:t>
      </w:r>
      <w:bookmarkStart w:id="316" w:name="突出显示"/>
      <w:r>
        <w:rPr>
          <w:rFonts w:hint="eastAsia" w:ascii="宋体" w:eastAsia="宋体"/>
          <w:spacing w:val="0"/>
          <w:szCs w:val="24"/>
          <w:highlight w:val="none"/>
        </w:rPr>
        <w:t>SLA</w:t>
      </w:r>
      <w:bookmarkEnd w:id="316"/>
      <w:r>
        <w:rPr>
          <w:rFonts w:hint="eastAsia" w:ascii="宋体" w:eastAsia="宋体"/>
          <w:spacing w:val="0"/>
          <w:szCs w:val="24"/>
          <w:highlight w:val="none"/>
        </w:rPr>
        <w:t>主要：</w:t>
      </w:r>
    </w:p>
    <w:p w14:paraId="448107AA">
      <w:pPr>
        <w:widowControl/>
        <w:numPr>
          <w:ilvl w:val="0"/>
          <w:numId w:val="9"/>
        </w:numPr>
        <w:spacing w:line="360" w:lineRule="auto"/>
        <w:jc w:val="left"/>
        <w:rPr>
          <w:rFonts w:ascii="宋体" w:eastAsia="宋体"/>
          <w:spacing w:val="0"/>
          <w:szCs w:val="24"/>
          <w:highlight w:val="none"/>
        </w:rPr>
      </w:pPr>
      <w:r>
        <w:rPr>
          <w:rFonts w:hint="eastAsia" w:ascii="宋体" w:eastAsia="宋体"/>
          <w:spacing w:val="0"/>
          <w:szCs w:val="24"/>
          <w:highlight w:val="none"/>
        </w:rPr>
        <w:t>明确甲方对外包乙方所提供服务水平的期望</w:t>
      </w:r>
    </w:p>
    <w:p w14:paraId="2CEB119F">
      <w:pPr>
        <w:widowControl/>
        <w:numPr>
          <w:ilvl w:val="0"/>
          <w:numId w:val="9"/>
        </w:numPr>
        <w:spacing w:line="360" w:lineRule="auto"/>
        <w:jc w:val="left"/>
        <w:rPr>
          <w:rFonts w:ascii="宋体" w:eastAsia="宋体"/>
          <w:spacing w:val="0"/>
          <w:szCs w:val="24"/>
          <w:highlight w:val="none"/>
        </w:rPr>
      </w:pPr>
      <w:r>
        <w:rPr>
          <w:rFonts w:hint="eastAsia" w:ascii="宋体" w:eastAsia="宋体"/>
          <w:spacing w:val="0"/>
          <w:szCs w:val="24"/>
          <w:highlight w:val="none"/>
        </w:rPr>
        <w:t>规范和加强甲方对乙方所提供服务水平的控制</w:t>
      </w:r>
    </w:p>
    <w:p w14:paraId="41DBF9BF">
      <w:pPr>
        <w:spacing w:line="360" w:lineRule="auto"/>
        <w:ind w:firstLine="480" w:firstLineChars="200"/>
        <w:rPr>
          <w:rFonts w:ascii="宋体" w:eastAsia="宋体"/>
          <w:spacing w:val="0"/>
          <w:szCs w:val="24"/>
          <w:highlight w:val="none"/>
        </w:rPr>
      </w:pPr>
      <w:r>
        <w:rPr>
          <w:rFonts w:hint="eastAsia" w:ascii="宋体" w:eastAsia="宋体"/>
          <w:spacing w:val="0"/>
          <w:szCs w:val="24"/>
          <w:highlight w:val="none"/>
        </w:rPr>
        <w:t>双方将针对本项目制定明确的职责分工表用来确定计划和管理服务水平协议的角色和职责。</w:t>
      </w:r>
    </w:p>
    <w:p w14:paraId="3E66377D">
      <w:pPr>
        <w:rPr>
          <w:rFonts w:ascii="宋体" w:eastAsia="宋体"/>
          <w:b/>
          <w:bCs/>
          <w:spacing w:val="0"/>
          <w:kern w:val="32"/>
          <w:szCs w:val="24"/>
          <w:highlight w:val="none"/>
        </w:rPr>
      </w:pPr>
      <w:r>
        <w:rPr>
          <w:rFonts w:hint="eastAsia" w:ascii="宋体" w:eastAsia="宋体"/>
          <w:b/>
          <w:bCs/>
          <w:spacing w:val="0"/>
          <w:kern w:val="32"/>
          <w:szCs w:val="24"/>
          <w:highlight w:val="none"/>
        </w:rPr>
        <w:t>2. 协议期限</w:t>
      </w:r>
    </w:p>
    <w:p w14:paraId="67083736">
      <w:pPr>
        <w:spacing w:line="360" w:lineRule="auto"/>
        <w:ind w:firstLine="424" w:firstLineChars="177"/>
        <w:rPr>
          <w:rFonts w:ascii="宋体" w:eastAsia="宋体"/>
          <w:spacing w:val="0"/>
          <w:szCs w:val="24"/>
          <w:highlight w:val="none"/>
        </w:rPr>
      </w:pPr>
      <w:r>
        <w:rPr>
          <w:rFonts w:hint="eastAsia" w:ascii="宋体" w:eastAsia="宋体"/>
          <w:spacing w:val="0"/>
          <w:szCs w:val="24"/>
          <w:highlight w:val="none"/>
        </w:rPr>
        <w:t>根据双方达成的一致要求，本协议的有效期从本项目实施之日起到合同正文</w:t>
      </w:r>
      <w:r>
        <w:rPr>
          <w:rFonts w:hint="eastAsia" w:ascii="宋体" w:eastAsia="宋体"/>
          <w:spacing w:val="0"/>
          <w:highlight w:val="none"/>
        </w:rPr>
        <w:t>6.1承诺的</w:t>
      </w:r>
      <w:r>
        <w:rPr>
          <w:rFonts w:hint="eastAsia" w:ascii="宋体" w:eastAsia="宋体"/>
          <w:spacing w:val="0"/>
          <w:szCs w:val="24"/>
          <w:highlight w:val="none"/>
        </w:rPr>
        <w:t>维护期结束。</w:t>
      </w:r>
    </w:p>
    <w:p w14:paraId="680ADDC0">
      <w:pPr>
        <w:rPr>
          <w:rFonts w:ascii="宋体" w:eastAsia="宋体"/>
          <w:b/>
          <w:bCs/>
          <w:spacing w:val="0"/>
          <w:kern w:val="32"/>
          <w:szCs w:val="24"/>
          <w:highlight w:val="none"/>
        </w:rPr>
      </w:pPr>
      <w:r>
        <w:rPr>
          <w:rFonts w:hint="eastAsia" w:ascii="宋体" w:eastAsia="宋体"/>
          <w:b/>
          <w:bCs/>
          <w:spacing w:val="0"/>
          <w:kern w:val="32"/>
          <w:szCs w:val="24"/>
          <w:highlight w:val="none"/>
        </w:rPr>
        <w:t>3. 双方职责</w:t>
      </w:r>
    </w:p>
    <w:p w14:paraId="78450274">
      <w:pPr>
        <w:rPr>
          <w:rFonts w:ascii="宋体" w:eastAsia="宋体"/>
          <w:b/>
          <w:bCs/>
          <w:spacing w:val="0"/>
          <w:kern w:val="32"/>
          <w:szCs w:val="24"/>
          <w:highlight w:val="none"/>
        </w:rPr>
      </w:pPr>
      <w:r>
        <w:rPr>
          <w:rFonts w:hint="eastAsia" w:ascii="宋体" w:eastAsia="宋体"/>
          <w:b/>
          <w:bCs/>
          <w:spacing w:val="0"/>
          <w:kern w:val="32"/>
          <w:szCs w:val="24"/>
          <w:highlight w:val="none"/>
        </w:rPr>
        <w:t>3.1乙方</w:t>
      </w:r>
    </w:p>
    <w:p w14:paraId="5C928D5F">
      <w:pPr>
        <w:spacing w:line="360" w:lineRule="auto"/>
        <w:ind w:firstLine="480" w:firstLineChars="200"/>
        <w:rPr>
          <w:rFonts w:ascii="宋体" w:eastAsia="宋体"/>
          <w:spacing w:val="0"/>
          <w:szCs w:val="24"/>
          <w:highlight w:val="none"/>
        </w:rPr>
      </w:pPr>
      <w:r>
        <w:rPr>
          <w:rFonts w:hint="eastAsia" w:ascii="宋体" w:eastAsia="宋体"/>
          <w:spacing w:val="0"/>
          <w:szCs w:val="24"/>
          <w:highlight w:val="none"/>
        </w:rPr>
        <w:t>除本协议描述的服务水平衡量和目标外，乙方还应：</w:t>
      </w:r>
    </w:p>
    <w:p w14:paraId="59A84F19">
      <w:pPr>
        <w:widowControl/>
        <w:numPr>
          <w:ilvl w:val="0"/>
          <w:numId w:val="9"/>
        </w:numPr>
        <w:spacing w:line="360" w:lineRule="auto"/>
        <w:jc w:val="left"/>
        <w:rPr>
          <w:rFonts w:ascii="宋体" w:eastAsia="宋体"/>
          <w:spacing w:val="0"/>
          <w:szCs w:val="24"/>
          <w:highlight w:val="none"/>
        </w:rPr>
      </w:pPr>
      <w:r>
        <w:rPr>
          <w:rFonts w:hint="eastAsia" w:ascii="宋体" w:eastAsia="宋体"/>
          <w:spacing w:val="0"/>
          <w:szCs w:val="24"/>
          <w:highlight w:val="none"/>
        </w:rPr>
        <w:t>尽快向甲方管理层汇报发现的问题；</w:t>
      </w:r>
    </w:p>
    <w:p w14:paraId="5AC9B61D">
      <w:pPr>
        <w:widowControl/>
        <w:numPr>
          <w:ilvl w:val="0"/>
          <w:numId w:val="9"/>
        </w:numPr>
        <w:spacing w:line="360" w:lineRule="auto"/>
        <w:jc w:val="left"/>
        <w:rPr>
          <w:rFonts w:ascii="宋体" w:eastAsia="宋体"/>
          <w:spacing w:val="0"/>
          <w:szCs w:val="24"/>
          <w:highlight w:val="none"/>
        </w:rPr>
      </w:pPr>
      <w:r>
        <w:rPr>
          <w:rFonts w:hint="eastAsia" w:ascii="宋体" w:eastAsia="宋体"/>
          <w:spacing w:val="0"/>
          <w:szCs w:val="24"/>
          <w:highlight w:val="none"/>
        </w:rPr>
        <w:t>任何可能影响</w:t>
      </w:r>
      <w:bookmarkStart w:id="317" w:name="突出显示"/>
      <w:r>
        <w:rPr>
          <w:rFonts w:hint="eastAsia" w:ascii="宋体" w:eastAsia="宋体"/>
          <w:spacing w:val="0"/>
          <w:szCs w:val="24"/>
          <w:highlight w:val="none"/>
        </w:rPr>
        <w:t>SLA</w:t>
      </w:r>
      <w:bookmarkEnd w:id="317"/>
      <w:r>
        <w:rPr>
          <w:rFonts w:hint="eastAsia" w:ascii="宋体" w:eastAsia="宋体"/>
          <w:spacing w:val="0"/>
          <w:szCs w:val="24"/>
          <w:highlight w:val="none"/>
        </w:rPr>
        <w:t>中规定服务的服务能力的事件，乙方应尽早向甲方提供预警信息，以及可能的影响和处置措施。事件包括：</w:t>
      </w:r>
    </w:p>
    <w:p w14:paraId="2C9F82D7">
      <w:pPr>
        <w:widowControl/>
        <w:numPr>
          <w:ilvl w:val="0"/>
          <w:numId w:val="10"/>
        </w:numPr>
        <w:spacing w:line="360" w:lineRule="auto"/>
        <w:jc w:val="left"/>
        <w:rPr>
          <w:rFonts w:ascii="宋体" w:eastAsia="宋体"/>
          <w:spacing w:val="0"/>
          <w:szCs w:val="24"/>
          <w:highlight w:val="none"/>
        </w:rPr>
      </w:pPr>
      <w:r>
        <w:rPr>
          <w:rFonts w:hint="eastAsia" w:ascii="宋体" w:eastAsia="宋体"/>
          <w:spacing w:val="0"/>
          <w:szCs w:val="24"/>
          <w:highlight w:val="none"/>
        </w:rPr>
        <w:t>组织架构变更</w:t>
      </w:r>
    </w:p>
    <w:p w14:paraId="3D432599">
      <w:pPr>
        <w:widowControl/>
        <w:numPr>
          <w:ilvl w:val="0"/>
          <w:numId w:val="10"/>
        </w:numPr>
        <w:spacing w:line="360" w:lineRule="auto"/>
        <w:jc w:val="left"/>
        <w:rPr>
          <w:rFonts w:ascii="宋体" w:eastAsia="宋体"/>
          <w:spacing w:val="0"/>
          <w:szCs w:val="24"/>
          <w:highlight w:val="none"/>
        </w:rPr>
      </w:pPr>
      <w:r>
        <w:rPr>
          <w:rFonts w:hint="eastAsia" w:ascii="宋体" w:eastAsia="宋体"/>
          <w:spacing w:val="0"/>
          <w:szCs w:val="24"/>
          <w:highlight w:val="none"/>
        </w:rPr>
        <w:t>技术变更</w:t>
      </w:r>
    </w:p>
    <w:p w14:paraId="746E09FC">
      <w:pPr>
        <w:widowControl/>
        <w:numPr>
          <w:ilvl w:val="0"/>
          <w:numId w:val="10"/>
        </w:numPr>
        <w:spacing w:line="360" w:lineRule="auto"/>
        <w:jc w:val="left"/>
        <w:rPr>
          <w:rFonts w:ascii="宋体" w:eastAsia="宋体"/>
          <w:spacing w:val="0"/>
          <w:szCs w:val="24"/>
          <w:highlight w:val="none"/>
        </w:rPr>
      </w:pPr>
      <w:r>
        <w:rPr>
          <w:rFonts w:hint="eastAsia" w:ascii="宋体" w:eastAsia="宋体"/>
          <w:spacing w:val="0"/>
          <w:szCs w:val="24"/>
          <w:highlight w:val="none"/>
        </w:rPr>
        <w:t>职能变更</w:t>
      </w:r>
    </w:p>
    <w:p w14:paraId="6E897DB8">
      <w:pPr>
        <w:widowControl/>
        <w:numPr>
          <w:ilvl w:val="0"/>
          <w:numId w:val="10"/>
        </w:numPr>
        <w:spacing w:line="360" w:lineRule="auto"/>
        <w:jc w:val="left"/>
        <w:rPr>
          <w:rFonts w:ascii="宋体" w:eastAsia="宋体"/>
          <w:spacing w:val="0"/>
          <w:szCs w:val="24"/>
          <w:highlight w:val="none"/>
        </w:rPr>
      </w:pPr>
      <w:r>
        <w:rPr>
          <w:rFonts w:ascii="宋体" w:eastAsia="宋体"/>
          <w:spacing w:val="0"/>
          <w:szCs w:val="24"/>
          <w:highlight w:val="none"/>
        </w:rPr>
        <w:t>其他可能影响对甲方服务的突发事件</w:t>
      </w:r>
    </w:p>
    <w:p w14:paraId="4CC5627F">
      <w:pPr>
        <w:widowControl/>
        <w:numPr>
          <w:ilvl w:val="0"/>
          <w:numId w:val="9"/>
        </w:numPr>
        <w:spacing w:line="360" w:lineRule="auto"/>
        <w:ind w:left="709" w:hanging="229"/>
        <w:jc w:val="left"/>
        <w:rPr>
          <w:rFonts w:ascii="宋体" w:eastAsia="宋体"/>
          <w:spacing w:val="0"/>
          <w:szCs w:val="24"/>
          <w:highlight w:val="none"/>
        </w:rPr>
      </w:pPr>
      <w:r>
        <w:rPr>
          <w:rFonts w:hint="eastAsia" w:ascii="宋体" w:eastAsia="宋体"/>
          <w:spacing w:val="0"/>
          <w:szCs w:val="24"/>
          <w:highlight w:val="none"/>
        </w:rPr>
        <w:t>协助甲方及时解决生产事件。当问题产生时，应尽快采取适当的措施识别并修复问题。</w:t>
      </w:r>
    </w:p>
    <w:p w14:paraId="35467B6C">
      <w:pPr>
        <w:rPr>
          <w:rFonts w:ascii="宋体" w:eastAsia="宋体"/>
          <w:spacing w:val="0"/>
          <w:szCs w:val="24"/>
          <w:highlight w:val="none"/>
        </w:rPr>
      </w:pPr>
    </w:p>
    <w:p w14:paraId="535757B4">
      <w:pPr>
        <w:rPr>
          <w:rFonts w:ascii="宋体" w:eastAsia="宋体"/>
          <w:b/>
          <w:bCs/>
          <w:spacing w:val="0"/>
          <w:kern w:val="32"/>
          <w:szCs w:val="24"/>
          <w:highlight w:val="none"/>
        </w:rPr>
      </w:pPr>
      <w:r>
        <w:rPr>
          <w:rFonts w:hint="eastAsia" w:ascii="宋体" w:eastAsia="宋体"/>
          <w:b/>
          <w:bCs/>
          <w:spacing w:val="0"/>
          <w:kern w:val="32"/>
          <w:szCs w:val="24"/>
          <w:highlight w:val="none"/>
        </w:rPr>
        <w:t>3.2甲方</w:t>
      </w:r>
    </w:p>
    <w:p w14:paraId="15058353">
      <w:pPr>
        <w:widowControl/>
        <w:numPr>
          <w:ilvl w:val="0"/>
          <w:numId w:val="9"/>
        </w:numPr>
        <w:spacing w:line="360" w:lineRule="auto"/>
        <w:ind w:left="709" w:hanging="229"/>
        <w:jc w:val="left"/>
        <w:rPr>
          <w:rFonts w:ascii="宋体" w:eastAsia="宋体"/>
          <w:spacing w:val="0"/>
          <w:szCs w:val="24"/>
          <w:highlight w:val="none"/>
        </w:rPr>
      </w:pPr>
      <w:r>
        <w:rPr>
          <w:rFonts w:hint="eastAsia" w:ascii="宋体" w:eastAsia="宋体"/>
          <w:spacing w:val="0"/>
          <w:szCs w:val="24"/>
          <w:highlight w:val="none"/>
        </w:rPr>
        <w:t>甲方将尽快将问题汇报给乙方管理层；</w:t>
      </w:r>
    </w:p>
    <w:p w14:paraId="541B2122">
      <w:pPr>
        <w:widowControl/>
        <w:numPr>
          <w:ilvl w:val="0"/>
          <w:numId w:val="9"/>
        </w:numPr>
        <w:spacing w:line="360" w:lineRule="auto"/>
        <w:ind w:left="709" w:hanging="229"/>
        <w:jc w:val="left"/>
        <w:rPr>
          <w:rFonts w:ascii="宋体" w:eastAsia="宋体"/>
          <w:spacing w:val="0"/>
          <w:szCs w:val="24"/>
          <w:highlight w:val="none"/>
        </w:rPr>
      </w:pPr>
      <w:r>
        <w:rPr>
          <w:rFonts w:hint="eastAsia" w:ascii="宋体" w:eastAsia="宋体"/>
          <w:spacing w:val="0"/>
          <w:szCs w:val="24"/>
          <w:highlight w:val="none"/>
        </w:rPr>
        <w:t>提供任何可能影响乙方向甲方提供</w:t>
      </w:r>
      <w:bookmarkStart w:id="318" w:name="突出显示"/>
      <w:r>
        <w:rPr>
          <w:rFonts w:hint="eastAsia" w:ascii="宋体" w:eastAsia="宋体"/>
          <w:spacing w:val="0"/>
          <w:szCs w:val="24"/>
          <w:highlight w:val="none"/>
        </w:rPr>
        <w:t>SLA</w:t>
      </w:r>
      <w:bookmarkEnd w:id="318"/>
      <w:r>
        <w:rPr>
          <w:rFonts w:hint="eastAsia" w:ascii="宋体" w:eastAsia="宋体"/>
          <w:spacing w:val="0"/>
          <w:szCs w:val="24"/>
          <w:highlight w:val="none"/>
        </w:rPr>
        <w:t>中规定服务的服务能力的事件信息，包括：</w:t>
      </w:r>
    </w:p>
    <w:p w14:paraId="57EE8540">
      <w:pPr>
        <w:widowControl/>
        <w:numPr>
          <w:ilvl w:val="0"/>
          <w:numId w:val="10"/>
        </w:numPr>
        <w:spacing w:line="360" w:lineRule="auto"/>
        <w:jc w:val="left"/>
        <w:rPr>
          <w:rFonts w:ascii="宋体" w:eastAsia="宋体"/>
          <w:spacing w:val="0"/>
          <w:szCs w:val="24"/>
          <w:highlight w:val="none"/>
        </w:rPr>
      </w:pPr>
      <w:r>
        <w:rPr>
          <w:rFonts w:hint="eastAsia" w:ascii="宋体" w:eastAsia="宋体"/>
          <w:spacing w:val="0"/>
          <w:szCs w:val="24"/>
          <w:highlight w:val="none"/>
        </w:rPr>
        <w:t>组织架构变更</w:t>
      </w:r>
    </w:p>
    <w:p w14:paraId="76ACCAFA">
      <w:pPr>
        <w:widowControl/>
        <w:numPr>
          <w:ilvl w:val="0"/>
          <w:numId w:val="10"/>
        </w:numPr>
        <w:spacing w:line="360" w:lineRule="auto"/>
        <w:jc w:val="left"/>
        <w:rPr>
          <w:rFonts w:ascii="宋体" w:eastAsia="宋体"/>
          <w:spacing w:val="0"/>
          <w:szCs w:val="24"/>
          <w:highlight w:val="none"/>
        </w:rPr>
      </w:pPr>
      <w:r>
        <w:rPr>
          <w:rFonts w:hint="eastAsia" w:ascii="宋体" w:eastAsia="宋体"/>
          <w:spacing w:val="0"/>
          <w:szCs w:val="24"/>
          <w:highlight w:val="none"/>
        </w:rPr>
        <w:t>技术变更</w:t>
      </w:r>
    </w:p>
    <w:p w14:paraId="72690035">
      <w:pPr>
        <w:widowControl/>
        <w:numPr>
          <w:ilvl w:val="0"/>
          <w:numId w:val="10"/>
        </w:numPr>
        <w:spacing w:line="360" w:lineRule="auto"/>
        <w:jc w:val="left"/>
        <w:rPr>
          <w:rFonts w:ascii="宋体" w:eastAsia="宋体"/>
          <w:spacing w:val="0"/>
          <w:szCs w:val="24"/>
          <w:highlight w:val="none"/>
        </w:rPr>
      </w:pPr>
      <w:r>
        <w:rPr>
          <w:rFonts w:hint="eastAsia" w:ascii="宋体" w:eastAsia="宋体"/>
          <w:spacing w:val="0"/>
          <w:szCs w:val="24"/>
          <w:highlight w:val="none"/>
        </w:rPr>
        <w:t>职能变更</w:t>
      </w:r>
    </w:p>
    <w:p w14:paraId="1DC5EE97">
      <w:pPr>
        <w:rPr>
          <w:rFonts w:ascii="宋体" w:eastAsia="宋体"/>
          <w:b/>
          <w:bCs/>
          <w:spacing w:val="0"/>
          <w:kern w:val="32"/>
          <w:szCs w:val="24"/>
          <w:highlight w:val="none"/>
        </w:rPr>
      </w:pPr>
      <w:r>
        <w:rPr>
          <w:rFonts w:hint="eastAsia" w:ascii="宋体" w:eastAsia="宋体"/>
          <w:b/>
          <w:bCs/>
          <w:spacing w:val="0"/>
          <w:kern w:val="32"/>
          <w:szCs w:val="24"/>
          <w:highlight w:val="none"/>
        </w:rPr>
        <w:t>4. 服务内容</w:t>
      </w:r>
    </w:p>
    <w:tbl>
      <w:tblPr>
        <w:tblStyle w:val="24"/>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659"/>
        <w:gridCol w:w="6422"/>
      </w:tblGrid>
      <w:tr w14:paraId="5608E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exact"/>
        </w:trPr>
        <w:tc>
          <w:tcPr>
            <w:tcW w:w="8897" w:type="dxa"/>
            <w:gridSpan w:val="3"/>
            <w:tcBorders>
              <w:tl2br w:val="nil"/>
              <w:tr2bl w:val="nil"/>
            </w:tcBorders>
            <w:vAlign w:val="center"/>
          </w:tcPr>
          <w:p w14:paraId="7755501F">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b/>
                <w:bCs/>
                <w:spacing w:val="0"/>
                <w:kern w:val="32"/>
                <w:sz w:val="22"/>
                <w:szCs w:val="22"/>
                <w:highlight w:val="none"/>
              </w:rPr>
              <w:t>4.1技术管理</w:t>
            </w:r>
          </w:p>
        </w:tc>
      </w:tr>
      <w:tr w14:paraId="699F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trPr>
        <w:tc>
          <w:tcPr>
            <w:tcW w:w="816" w:type="dxa"/>
            <w:tcBorders>
              <w:tl2br w:val="nil"/>
              <w:tr2bl w:val="nil"/>
            </w:tcBorders>
            <w:vAlign w:val="center"/>
          </w:tcPr>
          <w:p w14:paraId="1E6A5ECE">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4.1.1</w:t>
            </w:r>
          </w:p>
        </w:tc>
        <w:tc>
          <w:tcPr>
            <w:tcW w:w="1659" w:type="dxa"/>
            <w:tcBorders>
              <w:tl2br w:val="nil"/>
              <w:tr2bl w:val="nil"/>
            </w:tcBorders>
            <w:vAlign w:val="center"/>
          </w:tcPr>
          <w:p w14:paraId="53B1AC7D">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项目执行控制</w:t>
            </w:r>
          </w:p>
        </w:tc>
        <w:tc>
          <w:tcPr>
            <w:tcW w:w="6422" w:type="dxa"/>
            <w:tcBorders>
              <w:tl2br w:val="nil"/>
              <w:tr2bl w:val="nil"/>
            </w:tcBorders>
            <w:vAlign w:val="center"/>
          </w:tcPr>
          <w:p w14:paraId="3DFDC858">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管理目标、沟通和范围</w:t>
            </w:r>
          </w:p>
        </w:tc>
      </w:tr>
      <w:tr w14:paraId="04AC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077AA179">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4.1.2</w:t>
            </w:r>
          </w:p>
        </w:tc>
        <w:tc>
          <w:tcPr>
            <w:tcW w:w="1659" w:type="dxa"/>
            <w:tcBorders>
              <w:tl2br w:val="nil"/>
              <w:tr2bl w:val="nil"/>
            </w:tcBorders>
            <w:vAlign w:val="center"/>
          </w:tcPr>
          <w:p w14:paraId="19A2EAD2">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系统部署</w:t>
            </w:r>
          </w:p>
        </w:tc>
        <w:tc>
          <w:tcPr>
            <w:tcW w:w="6422" w:type="dxa"/>
            <w:tcBorders>
              <w:tl2br w:val="nil"/>
              <w:tr2bl w:val="nil"/>
            </w:tcBorders>
            <w:vAlign w:val="center"/>
          </w:tcPr>
          <w:p w14:paraId="42851CAC">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在甲方所提供的技术环境内配置和部署系统接入所需的资源</w:t>
            </w:r>
          </w:p>
        </w:tc>
      </w:tr>
      <w:tr w14:paraId="1EF01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61922CFC">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4.1.3</w:t>
            </w:r>
          </w:p>
        </w:tc>
        <w:tc>
          <w:tcPr>
            <w:tcW w:w="1659" w:type="dxa"/>
            <w:tcBorders>
              <w:tl2br w:val="nil"/>
              <w:tr2bl w:val="nil"/>
            </w:tcBorders>
            <w:vAlign w:val="center"/>
          </w:tcPr>
          <w:p w14:paraId="2C354853">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管理系统</w:t>
            </w:r>
          </w:p>
        </w:tc>
        <w:tc>
          <w:tcPr>
            <w:tcW w:w="6422" w:type="dxa"/>
            <w:tcBorders>
              <w:tl2br w:val="nil"/>
              <w:tr2bl w:val="nil"/>
            </w:tcBorders>
            <w:vAlign w:val="center"/>
          </w:tcPr>
          <w:p w14:paraId="56373C2C">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管理运行过程中的各个环节和环境（如测试、培训、维护等）</w:t>
            </w:r>
          </w:p>
        </w:tc>
      </w:tr>
      <w:tr w14:paraId="739F0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exact"/>
        </w:trPr>
        <w:tc>
          <w:tcPr>
            <w:tcW w:w="8897" w:type="dxa"/>
            <w:gridSpan w:val="3"/>
            <w:tcBorders>
              <w:tl2br w:val="nil"/>
              <w:tr2bl w:val="nil"/>
            </w:tcBorders>
            <w:vAlign w:val="center"/>
          </w:tcPr>
          <w:p w14:paraId="3D75705C">
            <w:pPr>
              <w:keepNext w:val="0"/>
              <w:keepLines w:val="0"/>
              <w:suppressLineNumbers w:val="0"/>
              <w:spacing w:before="0" w:beforeAutospacing="0" w:after="0" w:afterAutospacing="0"/>
              <w:ind w:left="0" w:right="0" w:firstLine="0"/>
              <w:rPr>
                <w:rFonts w:hint="default" w:ascii="宋体" w:eastAsia="宋体"/>
                <w:b/>
                <w:spacing w:val="0"/>
                <w:sz w:val="22"/>
                <w:szCs w:val="22"/>
                <w:highlight w:val="none"/>
              </w:rPr>
            </w:pPr>
            <w:r>
              <w:rPr>
                <w:rFonts w:hint="eastAsia" w:ascii="宋体" w:eastAsia="宋体"/>
                <w:b/>
                <w:spacing w:val="0"/>
                <w:sz w:val="22"/>
                <w:szCs w:val="22"/>
                <w:highlight w:val="none"/>
              </w:rPr>
              <w:t>4.2系统处理</w:t>
            </w:r>
          </w:p>
        </w:tc>
      </w:tr>
      <w:tr w14:paraId="6981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26448183">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4.2.1</w:t>
            </w:r>
          </w:p>
        </w:tc>
        <w:tc>
          <w:tcPr>
            <w:tcW w:w="1659" w:type="dxa"/>
            <w:tcBorders>
              <w:tl2br w:val="nil"/>
              <w:tr2bl w:val="nil"/>
            </w:tcBorders>
            <w:vAlign w:val="center"/>
          </w:tcPr>
          <w:p w14:paraId="41E805D9">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备份</w:t>
            </w:r>
          </w:p>
        </w:tc>
        <w:tc>
          <w:tcPr>
            <w:tcW w:w="6422" w:type="dxa"/>
            <w:tcBorders>
              <w:tl2br w:val="nil"/>
              <w:tr2bl w:val="nil"/>
            </w:tcBorders>
            <w:vAlign w:val="center"/>
          </w:tcPr>
          <w:p w14:paraId="69393007">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提供数据容量规划咨询，设计系统的备份策略，完成其有效性验证</w:t>
            </w:r>
          </w:p>
        </w:tc>
      </w:tr>
      <w:tr w14:paraId="08460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3EB86282">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4.2.2</w:t>
            </w:r>
          </w:p>
        </w:tc>
        <w:tc>
          <w:tcPr>
            <w:tcW w:w="1659" w:type="dxa"/>
            <w:tcBorders>
              <w:tl2br w:val="nil"/>
              <w:tr2bl w:val="nil"/>
            </w:tcBorders>
            <w:vAlign w:val="center"/>
          </w:tcPr>
          <w:p w14:paraId="52822B9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恢复</w:t>
            </w:r>
          </w:p>
        </w:tc>
        <w:tc>
          <w:tcPr>
            <w:tcW w:w="6422" w:type="dxa"/>
            <w:tcBorders>
              <w:tl2br w:val="nil"/>
              <w:tr2bl w:val="nil"/>
            </w:tcBorders>
            <w:vAlign w:val="center"/>
          </w:tcPr>
          <w:p w14:paraId="1D9C173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设计系统的恢复策略，完成其有效性验证</w:t>
            </w:r>
          </w:p>
        </w:tc>
      </w:tr>
      <w:tr w14:paraId="42581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exact"/>
        </w:trPr>
        <w:tc>
          <w:tcPr>
            <w:tcW w:w="8897" w:type="dxa"/>
            <w:gridSpan w:val="3"/>
            <w:tcBorders>
              <w:tl2br w:val="nil"/>
              <w:tr2bl w:val="nil"/>
            </w:tcBorders>
            <w:vAlign w:val="center"/>
          </w:tcPr>
          <w:p w14:paraId="1D8DA32E">
            <w:pPr>
              <w:keepNext w:val="0"/>
              <w:keepLines w:val="0"/>
              <w:suppressLineNumbers w:val="0"/>
              <w:spacing w:before="0" w:beforeAutospacing="0" w:after="0" w:afterAutospacing="0"/>
              <w:ind w:left="0" w:right="0" w:firstLine="0"/>
              <w:rPr>
                <w:rFonts w:hint="default" w:ascii="宋体" w:eastAsia="宋体"/>
                <w:b/>
                <w:spacing w:val="0"/>
                <w:sz w:val="22"/>
                <w:szCs w:val="22"/>
                <w:highlight w:val="none"/>
              </w:rPr>
            </w:pPr>
            <w:r>
              <w:rPr>
                <w:rFonts w:hint="eastAsia" w:ascii="宋体" w:eastAsia="宋体"/>
                <w:b/>
                <w:spacing w:val="0"/>
                <w:sz w:val="22"/>
                <w:szCs w:val="22"/>
                <w:highlight w:val="none"/>
              </w:rPr>
              <w:t>4.3软件开发及测试</w:t>
            </w:r>
          </w:p>
        </w:tc>
      </w:tr>
      <w:tr w14:paraId="1C5B5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0BF56F61">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4.3.1</w:t>
            </w:r>
          </w:p>
        </w:tc>
        <w:tc>
          <w:tcPr>
            <w:tcW w:w="1659" w:type="dxa"/>
            <w:tcBorders>
              <w:tl2br w:val="nil"/>
              <w:tr2bl w:val="nil"/>
            </w:tcBorders>
            <w:vAlign w:val="center"/>
          </w:tcPr>
          <w:p w14:paraId="69B21455">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软件管理</w:t>
            </w:r>
          </w:p>
        </w:tc>
        <w:tc>
          <w:tcPr>
            <w:tcW w:w="6422" w:type="dxa"/>
            <w:tcBorders>
              <w:tl2br w:val="nil"/>
              <w:tr2bl w:val="nil"/>
            </w:tcBorders>
            <w:vAlign w:val="center"/>
          </w:tcPr>
          <w:p w14:paraId="0DA430B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负责管理和设计应用软件，配合进行软件过程开发管理</w:t>
            </w:r>
          </w:p>
        </w:tc>
      </w:tr>
      <w:tr w14:paraId="025B1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exact"/>
        </w:trPr>
        <w:tc>
          <w:tcPr>
            <w:tcW w:w="816" w:type="dxa"/>
            <w:tcBorders>
              <w:tl2br w:val="nil"/>
              <w:tr2bl w:val="nil"/>
            </w:tcBorders>
            <w:vAlign w:val="center"/>
          </w:tcPr>
          <w:p w14:paraId="0DC74B20">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4.3.2</w:t>
            </w:r>
          </w:p>
        </w:tc>
        <w:tc>
          <w:tcPr>
            <w:tcW w:w="1659" w:type="dxa"/>
            <w:tcBorders>
              <w:tl2br w:val="nil"/>
              <w:tr2bl w:val="nil"/>
            </w:tcBorders>
            <w:vAlign w:val="center"/>
          </w:tcPr>
          <w:p w14:paraId="2E7503B8">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系统接口开发</w:t>
            </w:r>
          </w:p>
        </w:tc>
        <w:tc>
          <w:tcPr>
            <w:tcW w:w="6422" w:type="dxa"/>
            <w:tcBorders>
              <w:tl2br w:val="nil"/>
              <w:tr2bl w:val="nil"/>
            </w:tcBorders>
            <w:vAlign w:val="center"/>
          </w:tcPr>
          <w:p w14:paraId="69EE5FA0">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设计和开发系统内部各模块的接口以及与外部系统进行数据交互的接口</w:t>
            </w:r>
          </w:p>
        </w:tc>
      </w:tr>
      <w:tr w14:paraId="1CE6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trPr>
        <w:tc>
          <w:tcPr>
            <w:tcW w:w="816" w:type="dxa"/>
            <w:tcBorders>
              <w:tl2br w:val="nil"/>
              <w:tr2bl w:val="nil"/>
            </w:tcBorders>
            <w:vAlign w:val="center"/>
          </w:tcPr>
          <w:p w14:paraId="77662419">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4.3.3</w:t>
            </w:r>
          </w:p>
        </w:tc>
        <w:tc>
          <w:tcPr>
            <w:tcW w:w="1659" w:type="dxa"/>
            <w:tcBorders>
              <w:tl2br w:val="nil"/>
              <w:tr2bl w:val="nil"/>
            </w:tcBorders>
            <w:vAlign w:val="center"/>
          </w:tcPr>
          <w:p w14:paraId="115050D2">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代码开发和测试</w:t>
            </w:r>
          </w:p>
        </w:tc>
        <w:tc>
          <w:tcPr>
            <w:tcW w:w="6422" w:type="dxa"/>
            <w:tcBorders>
              <w:tl2br w:val="nil"/>
              <w:tr2bl w:val="nil"/>
            </w:tcBorders>
            <w:vAlign w:val="center"/>
          </w:tcPr>
          <w:p w14:paraId="59597E21">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编写代码并且完成开发自测与系统测试</w:t>
            </w:r>
          </w:p>
        </w:tc>
      </w:tr>
      <w:tr w14:paraId="21AA3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trPr>
        <w:tc>
          <w:tcPr>
            <w:tcW w:w="816" w:type="dxa"/>
            <w:tcBorders>
              <w:tl2br w:val="nil"/>
              <w:tr2bl w:val="nil"/>
            </w:tcBorders>
            <w:vAlign w:val="center"/>
          </w:tcPr>
          <w:p w14:paraId="26439A1D">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4.3.4</w:t>
            </w:r>
          </w:p>
        </w:tc>
        <w:tc>
          <w:tcPr>
            <w:tcW w:w="1659" w:type="dxa"/>
            <w:tcBorders>
              <w:tl2br w:val="nil"/>
              <w:tr2bl w:val="nil"/>
            </w:tcBorders>
            <w:vAlign w:val="center"/>
          </w:tcPr>
          <w:p w14:paraId="489354B9">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知识转移</w:t>
            </w:r>
          </w:p>
        </w:tc>
        <w:tc>
          <w:tcPr>
            <w:tcW w:w="6422" w:type="dxa"/>
            <w:tcBorders>
              <w:tl2br w:val="nil"/>
              <w:tr2bl w:val="nil"/>
            </w:tcBorders>
            <w:vAlign w:val="center"/>
          </w:tcPr>
          <w:p w14:paraId="769172A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负责现场培训</w:t>
            </w:r>
          </w:p>
        </w:tc>
      </w:tr>
      <w:tr w14:paraId="00AE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072CACCE">
            <w:pPr>
              <w:keepNext w:val="0"/>
              <w:keepLines w:val="0"/>
              <w:suppressLineNumbers w:val="0"/>
              <w:spacing w:before="0" w:beforeAutospacing="0" w:after="0" w:afterAutospacing="0"/>
              <w:ind w:left="0" w:right="0" w:firstLine="0"/>
              <w:rPr>
                <w:rFonts w:hint="default" w:ascii="宋体" w:eastAsia="宋体"/>
                <w:b/>
                <w:spacing w:val="0"/>
                <w:sz w:val="22"/>
                <w:szCs w:val="22"/>
                <w:highlight w:val="none"/>
              </w:rPr>
            </w:pPr>
            <w:r>
              <w:rPr>
                <w:rFonts w:hint="eastAsia" w:ascii="宋体" w:eastAsia="宋体"/>
                <w:b/>
                <w:spacing w:val="0"/>
                <w:sz w:val="22"/>
                <w:szCs w:val="22"/>
                <w:highlight w:val="none"/>
              </w:rPr>
              <w:t>4.4 支持和维护</w:t>
            </w:r>
          </w:p>
        </w:tc>
      </w:tr>
      <w:tr w14:paraId="6A340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exact"/>
        </w:trPr>
        <w:tc>
          <w:tcPr>
            <w:tcW w:w="816" w:type="dxa"/>
            <w:tcBorders>
              <w:tl2br w:val="nil"/>
              <w:tr2bl w:val="nil"/>
            </w:tcBorders>
            <w:vAlign w:val="center"/>
          </w:tcPr>
          <w:p w14:paraId="653FCB7D">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4.4.1</w:t>
            </w:r>
          </w:p>
        </w:tc>
        <w:tc>
          <w:tcPr>
            <w:tcW w:w="1659" w:type="dxa"/>
            <w:tcBorders>
              <w:tl2br w:val="nil"/>
              <w:tr2bl w:val="nil"/>
            </w:tcBorders>
            <w:vAlign w:val="center"/>
          </w:tcPr>
          <w:p w14:paraId="283ED070">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变更管理</w:t>
            </w:r>
          </w:p>
        </w:tc>
        <w:tc>
          <w:tcPr>
            <w:tcW w:w="6422" w:type="dxa"/>
            <w:tcBorders>
              <w:tl2br w:val="nil"/>
              <w:tr2bl w:val="nil"/>
            </w:tcBorders>
            <w:vAlign w:val="center"/>
          </w:tcPr>
          <w:p w14:paraId="28336463">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根据变更需求在甲方的技术环境内设计并且执行所有平台和应用软件变更程序</w:t>
            </w:r>
          </w:p>
        </w:tc>
      </w:tr>
      <w:tr w14:paraId="7E8CB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exact"/>
        </w:trPr>
        <w:tc>
          <w:tcPr>
            <w:tcW w:w="816" w:type="dxa"/>
            <w:tcBorders>
              <w:tl2br w:val="nil"/>
              <w:tr2bl w:val="nil"/>
            </w:tcBorders>
            <w:vAlign w:val="center"/>
          </w:tcPr>
          <w:p w14:paraId="2A18E4D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4.4.2</w:t>
            </w:r>
          </w:p>
        </w:tc>
        <w:tc>
          <w:tcPr>
            <w:tcW w:w="1659" w:type="dxa"/>
            <w:tcBorders>
              <w:tl2br w:val="nil"/>
              <w:tr2bl w:val="nil"/>
            </w:tcBorders>
            <w:vAlign w:val="center"/>
          </w:tcPr>
          <w:p w14:paraId="6AC931E4">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系统监控</w:t>
            </w:r>
          </w:p>
        </w:tc>
        <w:tc>
          <w:tcPr>
            <w:tcW w:w="6422" w:type="dxa"/>
            <w:tcBorders>
              <w:tl2br w:val="nil"/>
              <w:tr2bl w:val="nil"/>
            </w:tcBorders>
            <w:vAlign w:val="center"/>
          </w:tcPr>
          <w:p w14:paraId="0F638EE9">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提供对系统监控的支持，包括专有硬件设备（如有）、应用系统进程、日志、连接等</w:t>
            </w:r>
          </w:p>
        </w:tc>
      </w:tr>
      <w:tr w14:paraId="4C5C3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exact"/>
        </w:trPr>
        <w:tc>
          <w:tcPr>
            <w:tcW w:w="816" w:type="dxa"/>
            <w:tcBorders>
              <w:tl2br w:val="nil"/>
              <w:tr2bl w:val="nil"/>
            </w:tcBorders>
            <w:vAlign w:val="center"/>
          </w:tcPr>
          <w:p w14:paraId="0C9B1EE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4.4.3</w:t>
            </w:r>
          </w:p>
        </w:tc>
        <w:tc>
          <w:tcPr>
            <w:tcW w:w="1659" w:type="dxa"/>
            <w:tcBorders>
              <w:tl2br w:val="nil"/>
              <w:tr2bl w:val="nil"/>
            </w:tcBorders>
            <w:vAlign w:val="center"/>
          </w:tcPr>
          <w:p w14:paraId="307E973F">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发布管理</w:t>
            </w:r>
          </w:p>
        </w:tc>
        <w:tc>
          <w:tcPr>
            <w:tcW w:w="6422" w:type="dxa"/>
            <w:tcBorders>
              <w:tl2br w:val="nil"/>
              <w:tr2bl w:val="nil"/>
            </w:tcBorders>
            <w:vAlign w:val="center"/>
          </w:tcPr>
          <w:p w14:paraId="2980D7C0">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制定测试环境发布方案，协助将具体的目标系统从测试环境移植到生产的上线方案</w:t>
            </w:r>
          </w:p>
        </w:tc>
      </w:tr>
      <w:tr w14:paraId="0555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816" w:type="dxa"/>
            <w:tcBorders>
              <w:tl2br w:val="nil"/>
              <w:tr2bl w:val="nil"/>
            </w:tcBorders>
            <w:vAlign w:val="center"/>
          </w:tcPr>
          <w:p w14:paraId="45EC64CC">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4.4.4</w:t>
            </w:r>
          </w:p>
        </w:tc>
        <w:tc>
          <w:tcPr>
            <w:tcW w:w="1659" w:type="dxa"/>
            <w:tcBorders>
              <w:tl2br w:val="nil"/>
              <w:tr2bl w:val="nil"/>
            </w:tcBorders>
            <w:vAlign w:val="center"/>
          </w:tcPr>
          <w:p w14:paraId="528D0483">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安全管理</w:t>
            </w:r>
          </w:p>
        </w:tc>
        <w:tc>
          <w:tcPr>
            <w:tcW w:w="6422" w:type="dxa"/>
            <w:tcBorders>
              <w:tl2br w:val="nil"/>
              <w:tr2bl w:val="nil"/>
            </w:tcBorders>
            <w:vAlign w:val="center"/>
          </w:tcPr>
          <w:p w14:paraId="449F6F25">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配合甲方完成上线前的漏洞扫描、渗透测试等安全评估工作，根据甲方要求完成发现漏洞的整改工作</w:t>
            </w:r>
          </w:p>
        </w:tc>
      </w:tr>
      <w:tr w14:paraId="2F83B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897" w:type="dxa"/>
            <w:gridSpan w:val="3"/>
            <w:tcBorders>
              <w:tl2br w:val="nil"/>
              <w:tr2bl w:val="nil"/>
            </w:tcBorders>
            <w:vAlign w:val="center"/>
          </w:tcPr>
          <w:p w14:paraId="65285D6E">
            <w:pPr>
              <w:keepNext w:val="0"/>
              <w:keepLines w:val="0"/>
              <w:suppressLineNumbers w:val="0"/>
              <w:spacing w:before="0" w:beforeAutospacing="0" w:after="0" w:afterAutospacing="0"/>
              <w:ind w:left="0" w:right="0" w:firstLine="0"/>
              <w:rPr>
                <w:rFonts w:hint="default" w:ascii="宋体" w:eastAsia="宋体"/>
                <w:b/>
                <w:spacing w:val="0"/>
                <w:sz w:val="22"/>
                <w:szCs w:val="22"/>
                <w:highlight w:val="none"/>
              </w:rPr>
            </w:pPr>
            <w:r>
              <w:rPr>
                <w:rFonts w:hint="eastAsia" w:ascii="宋体" w:eastAsia="宋体"/>
                <w:b/>
                <w:spacing w:val="0"/>
                <w:sz w:val="22"/>
                <w:szCs w:val="22"/>
                <w:highlight w:val="none"/>
              </w:rPr>
              <w:t>4.5 后续支持</w:t>
            </w:r>
          </w:p>
        </w:tc>
      </w:tr>
      <w:tr w14:paraId="19FC4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trPr>
        <w:tc>
          <w:tcPr>
            <w:tcW w:w="816" w:type="dxa"/>
            <w:tcBorders>
              <w:tl2br w:val="nil"/>
              <w:tr2bl w:val="nil"/>
            </w:tcBorders>
            <w:vAlign w:val="center"/>
          </w:tcPr>
          <w:p w14:paraId="4F215DC9">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4.5.1</w:t>
            </w:r>
          </w:p>
        </w:tc>
        <w:tc>
          <w:tcPr>
            <w:tcW w:w="1659" w:type="dxa"/>
            <w:tcBorders>
              <w:tl2br w:val="nil"/>
              <w:tr2bl w:val="nil"/>
            </w:tcBorders>
            <w:vAlign w:val="center"/>
          </w:tcPr>
          <w:p w14:paraId="39ACD4F3">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版本安装、更新和升级</w:t>
            </w:r>
          </w:p>
        </w:tc>
        <w:tc>
          <w:tcPr>
            <w:tcW w:w="6422" w:type="dxa"/>
            <w:tcBorders>
              <w:tl2br w:val="nil"/>
              <w:tr2bl w:val="nil"/>
            </w:tcBorders>
            <w:vAlign w:val="center"/>
          </w:tcPr>
          <w:p w14:paraId="703294C6">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提供系统版本安装和升级支持，包括响应甲方对生产、测试、开发、培训环境的安装和升级要求；提供硬件更换服务</w:t>
            </w:r>
          </w:p>
        </w:tc>
      </w:tr>
      <w:tr w14:paraId="1D990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exact"/>
        </w:trPr>
        <w:tc>
          <w:tcPr>
            <w:tcW w:w="816" w:type="dxa"/>
            <w:tcBorders>
              <w:tl2br w:val="nil"/>
              <w:tr2bl w:val="nil"/>
            </w:tcBorders>
            <w:vAlign w:val="center"/>
          </w:tcPr>
          <w:p w14:paraId="235570B2">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4.5.2</w:t>
            </w:r>
          </w:p>
        </w:tc>
        <w:tc>
          <w:tcPr>
            <w:tcW w:w="1659" w:type="dxa"/>
            <w:tcBorders>
              <w:tl2br w:val="nil"/>
              <w:tr2bl w:val="nil"/>
            </w:tcBorders>
            <w:vAlign w:val="center"/>
          </w:tcPr>
          <w:p w14:paraId="1E6EAD0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安全漏洞整改</w:t>
            </w:r>
          </w:p>
        </w:tc>
        <w:tc>
          <w:tcPr>
            <w:tcW w:w="6422" w:type="dxa"/>
            <w:tcBorders>
              <w:tl2br w:val="nil"/>
              <w:tr2bl w:val="nil"/>
            </w:tcBorders>
            <w:vAlign w:val="center"/>
          </w:tcPr>
          <w:p w14:paraId="0DA34C58">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针对系统运行过程中发现的安全漏洞，根据甲方要求完成整改工作</w:t>
            </w:r>
          </w:p>
        </w:tc>
      </w:tr>
      <w:tr w14:paraId="451C4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exact"/>
        </w:trPr>
        <w:tc>
          <w:tcPr>
            <w:tcW w:w="816" w:type="dxa"/>
            <w:tcBorders>
              <w:tl2br w:val="nil"/>
              <w:tr2bl w:val="nil"/>
            </w:tcBorders>
            <w:vAlign w:val="center"/>
          </w:tcPr>
          <w:p w14:paraId="48628F90">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4.5.3</w:t>
            </w:r>
          </w:p>
        </w:tc>
        <w:tc>
          <w:tcPr>
            <w:tcW w:w="1659" w:type="dxa"/>
            <w:tcBorders>
              <w:tl2br w:val="nil"/>
              <w:tr2bl w:val="nil"/>
            </w:tcBorders>
            <w:vAlign w:val="center"/>
          </w:tcPr>
          <w:p w14:paraId="6DF49DC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服务台支持</w:t>
            </w:r>
          </w:p>
        </w:tc>
        <w:tc>
          <w:tcPr>
            <w:tcW w:w="6422" w:type="dxa"/>
            <w:tcBorders>
              <w:tl2br w:val="nil"/>
              <w:tr2bl w:val="nil"/>
            </w:tcBorders>
            <w:vAlign w:val="center"/>
          </w:tcPr>
          <w:p w14:paraId="17643E5A">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提供7×24小时的技术支持服务</w:t>
            </w:r>
          </w:p>
        </w:tc>
      </w:tr>
      <w:tr w14:paraId="5CAAD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exact"/>
        </w:trPr>
        <w:tc>
          <w:tcPr>
            <w:tcW w:w="816" w:type="dxa"/>
            <w:tcBorders>
              <w:tl2br w:val="nil"/>
              <w:tr2bl w:val="nil"/>
            </w:tcBorders>
            <w:vAlign w:val="center"/>
          </w:tcPr>
          <w:p w14:paraId="764DC761">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4.5.4</w:t>
            </w:r>
          </w:p>
        </w:tc>
        <w:tc>
          <w:tcPr>
            <w:tcW w:w="1659" w:type="dxa"/>
            <w:tcBorders>
              <w:tl2br w:val="nil"/>
              <w:tr2bl w:val="nil"/>
            </w:tcBorders>
            <w:vAlign w:val="center"/>
          </w:tcPr>
          <w:p w14:paraId="2F76FD55">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巡检服务</w:t>
            </w:r>
          </w:p>
        </w:tc>
        <w:tc>
          <w:tcPr>
            <w:tcW w:w="6422" w:type="dxa"/>
            <w:tcBorders>
              <w:tl2br w:val="nil"/>
              <w:tr2bl w:val="nil"/>
            </w:tcBorders>
            <w:vAlign w:val="center"/>
          </w:tcPr>
          <w:p w14:paraId="75D96128">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提供系统运行状况报告</w:t>
            </w:r>
          </w:p>
        </w:tc>
      </w:tr>
      <w:tr w14:paraId="2B0D4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5C9B886F">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4.5.5</w:t>
            </w:r>
          </w:p>
        </w:tc>
        <w:tc>
          <w:tcPr>
            <w:tcW w:w="1659" w:type="dxa"/>
            <w:tcBorders>
              <w:tl2br w:val="nil"/>
              <w:tr2bl w:val="nil"/>
            </w:tcBorders>
            <w:vAlign w:val="center"/>
          </w:tcPr>
          <w:p w14:paraId="3F9D880F">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现场问题解决</w:t>
            </w:r>
          </w:p>
        </w:tc>
        <w:tc>
          <w:tcPr>
            <w:tcW w:w="6422" w:type="dxa"/>
            <w:tcBorders>
              <w:tl2br w:val="nil"/>
              <w:tr2bl w:val="nil"/>
            </w:tcBorders>
            <w:vAlign w:val="center"/>
          </w:tcPr>
          <w:p w14:paraId="403F12F2">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提供重大问题现场解决，提供系统性能、容量、问题报告</w:t>
            </w:r>
          </w:p>
        </w:tc>
      </w:tr>
      <w:tr w14:paraId="41DF4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252074D1">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4.5.6</w:t>
            </w:r>
          </w:p>
        </w:tc>
        <w:tc>
          <w:tcPr>
            <w:tcW w:w="1659" w:type="dxa"/>
            <w:tcBorders>
              <w:tl2br w:val="nil"/>
              <w:tr2bl w:val="nil"/>
            </w:tcBorders>
            <w:vAlign w:val="center"/>
          </w:tcPr>
          <w:p w14:paraId="10836F81">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响应要求</w:t>
            </w:r>
          </w:p>
        </w:tc>
        <w:tc>
          <w:tcPr>
            <w:tcW w:w="6422" w:type="dxa"/>
            <w:tcBorders>
              <w:tl2br w:val="nil"/>
              <w:tr2bl w:val="nil"/>
            </w:tcBorders>
            <w:vAlign w:val="center"/>
          </w:tcPr>
          <w:p w14:paraId="2D3BEFE8">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要求按服务水平和指标及时响应：</w:t>
            </w:r>
          </w:p>
          <w:p w14:paraId="25A0DBA7">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62586712">
            <w:pPr>
              <w:keepNext w:val="0"/>
              <w:keepLines w:val="0"/>
              <w:suppressLineNumbers w:val="0"/>
              <w:spacing w:before="0" w:beforeAutospacing="0" w:after="0" w:afterAutospacing="0"/>
              <w:ind w:left="0" w:right="0" w:firstLine="0"/>
              <w:rPr>
                <w:rFonts w:hint="default" w:ascii="宋体" w:eastAsia="宋体"/>
                <w:spacing w:val="0"/>
                <w:sz w:val="22"/>
                <w:szCs w:val="22"/>
                <w:highlight w:val="none"/>
              </w:rPr>
            </w:pPr>
            <w:r>
              <w:rPr>
                <w:rFonts w:hint="eastAsia" w:ascii="宋体" w:eastAsia="宋体"/>
                <w:spacing w:val="0"/>
                <w:sz w:val="22"/>
                <w:szCs w:val="22"/>
                <w:highlight w:val="none"/>
              </w:rPr>
              <w:t>二级响应：系统的运行性能严重下降，或性能明显下降，对业务运作产生明显影响。响应时间1小时内，必要时4小时到达，8小时内排除问题；</w:t>
            </w:r>
          </w:p>
          <w:p w14:paraId="7114D652">
            <w:pPr>
              <w:keepNext w:val="0"/>
              <w:keepLines w:val="0"/>
              <w:suppressLineNumbers w:val="0"/>
              <w:spacing w:before="0" w:beforeAutospacing="0" w:after="0" w:afterAutospacing="0"/>
              <w:ind w:left="0" w:right="0"/>
              <w:rPr>
                <w:rFonts w:hint="default" w:ascii="宋体" w:eastAsia="宋体"/>
                <w:spacing w:val="0"/>
                <w:sz w:val="22"/>
                <w:szCs w:val="22"/>
                <w:highlight w:val="none"/>
              </w:rPr>
            </w:pPr>
            <w:r>
              <w:rPr>
                <w:rFonts w:hint="eastAsia" w:ascii="宋体" w:eastAsia="宋体"/>
                <w:spacing w:val="0"/>
                <w:sz w:val="22"/>
                <w:szCs w:val="22"/>
                <w:highlight w:val="none"/>
              </w:rPr>
              <w:t>三级响应：系统的运作性能受损，但业务仍可正常运行，响应时间12小时内，必要时24小时到达，1周内排除问题；</w:t>
            </w:r>
          </w:p>
          <w:p w14:paraId="157A8B03">
            <w:pPr>
              <w:keepNext w:val="0"/>
              <w:keepLines w:val="0"/>
              <w:suppressLineNumbers w:val="0"/>
              <w:spacing w:before="0" w:beforeAutospacing="0" w:after="0" w:afterAutospacing="0"/>
              <w:ind w:left="0" w:right="0"/>
              <w:rPr>
                <w:rFonts w:hint="default" w:ascii="宋体" w:eastAsia="宋体"/>
                <w:spacing w:val="0"/>
                <w:sz w:val="22"/>
                <w:szCs w:val="22"/>
                <w:highlight w:val="none"/>
              </w:rPr>
            </w:pPr>
            <w:r>
              <w:rPr>
                <w:rFonts w:hint="eastAsia" w:ascii="宋体" w:eastAsia="宋体"/>
                <w:spacing w:val="0"/>
                <w:sz w:val="22"/>
                <w:szCs w:val="22"/>
                <w:highlight w:val="none"/>
              </w:rPr>
              <w:t>四级响应：对系统安装或配置方面需要咨询或支援，很显然对业务运作几乎无影响，或根本没有影响。响应时间24小时内，必要时48小时到达，2周内排除问题。</w:t>
            </w:r>
          </w:p>
        </w:tc>
      </w:tr>
    </w:tbl>
    <w:p w14:paraId="6A03170A">
      <w:pPr>
        <w:rPr>
          <w:rFonts w:ascii="宋体" w:eastAsia="宋体"/>
          <w:b/>
          <w:bCs/>
          <w:spacing w:val="0"/>
          <w:kern w:val="32"/>
          <w:szCs w:val="24"/>
          <w:highlight w:val="none"/>
        </w:rPr>
      </w:pPr>
      <w:r>
        <w:rPr>
          <w:rFonts w:hint="eastAsia" w:ascii="宋体" w:eastAsia="宋体"/>
          <w:b/>
          <w:bCs/>
          <w:spacing w:val="0"/>
          <w:kern w:val="32"/>
          <w:szCs w:val="24"/>
          <w:highlight w:val="none"/>
        </w:rPr>
        <w:t>5. 问题管理流程</w:t>
      </w:r>
    </w:p>
    <w:p w14:paraId="75CF002E">
      <w:pPr>
        <w:rPr>
          <w:rFonts w:ascii="宋体" w:eastAsia="宋体"/>
          <w:b/>
          <w:bCs/>
          <w:spacing w:val="0"/>
          <w:kern w:val="32"/>
          <w:szCs w:val="24"/>
          <w:highlight w:val="none"/>
        </w:rPr>
      </w:pPr>
      <w:r>
        <w:rPr>
          <w:rFonts w:hint="eastAsia" w:ascii="宋体" w:eastAsia="宋体"/>
          <w:b/>
          <w:bCs/>
          <w:spacing w:val="0"/>
          <w:kern w:val="32"/>
          <w:szCs w:val="24"/>
          <w:highlight w:val="none"/>
        </w:rPr>
        <w:t>5.1问题处理流程</w:t>
      </w:r>
    </w:p>
    <w:p w14:paraId="01DAC0D9">
      <w:pPr>
        <w:widowControl/>
        <w:numPr>
          <w:ilvl w:val="0"/>
          <w:numId w:val="11"/>
        </w:numPr>
        <w:spacing w:line="360" w:lineRule="auto"/>
        <w:ind w:left="0" w:firstLine="648" w:firstLineChars="270"/>
        <w:rPr>
          <w:rFonts w:ascii="宋体" w:eastAsia="宋体"/>
          <w:spacing w:val="0"/>
          <w:szCs w:val="24"/>
          <w:highlight w:val="none"/>
        </w:rPr>
      </w:pPr>
      <w:r>
        <w:rPr>
          <w:rFonts w:hint="eastAsia" w:ascii="宋体" w:eastAsia="宋体"/>
          <w:spacing w:val="0"/>
          <w:szCs w:val="24"/>
          <w:highlight w:val="none"/>
        </w:rPr>
        <w:t>甲方或乙方均可以首先提出对问题解决方案有不同意见的看法；</w:t>
      </w:r>
    </w:p>
    <w:p w14:paraId="24B870E2">
      <w:pPr>
        <w:widowControl/>
        <w:numPr>
          <w:ilvl w:val="0"/>
          <w:numId w:val="11"/>
        </w:numPr>
        <w:spacing w:line="360" w:lineRule="auto"/>
        <w:ind w:left="0" w:firstLine="648" w:firstLineChars="270"/>
        <w:rPr>
          <w:rFonts w:ascii="宋体" w:eastAsia="宋体"/>
          <w:spacing w:val="0"/>
          <w:szCs w:val="24"/>
          <w:highlight w:val="none"/>
        </w:rPr>
      </w:pPr>
      <w:r>
        <w:rPr>
          <w:rFonts w:hint="eastAsia" w:ascii="宋体" w:eastAsia="宋体"/>
          <w:spacing w:val="0"/>
          <w:szCs w:val="24"/>
          <w:highlight w:val="none"/>
        </w:rPr>
        <w:t>甲方管理层和乙方管理层将决定问题是否需要提升到更高的管理层；</w:t>
      </w:r>
    </w:p>
    <w:p w14:paraId="41F23125">
      <w:pPr>
        <w:widowControl/>
        <w:numPr>
          <w:ilvl w:val="0"/>
          <w:numId w:val="11"/>
        </w:numPr>
        <w:spacing w:line="360" w:lineRule="auto"/>
        <w:ind w:left="0" w:firstLine="648" w:firstLineChars="270"/>
        <w:rPr>
          <w:rFonts w:ascii="宋体" w:eastAsia="宋体"/>
          <w:spacing w:val="0"/>
          <w:szCs w:val="24"/>
          <w:highlight w:val="none"/>
        </w:rPr>
      </w:pPr>
      <w:r>
        <w:rPr>
          <w:rFonts w:hint="eastAsia" w:ascii="宋体" w:eastAsia="宋体"/>
          <w:spacing w:val="0"/>
          <w:szCs w:val="24"/>
          <w:highlight w:val="none"/>
        </w:rPr>
        <w:t>及时召开相关的会议讨论和解决问题，问题的相关文档应提前一天发送到与会者；</w:t>
      </w:r>
    </w:p>
    <w:p w14:paraId="39E10EB8">
      <w:pPr>
        <w:widowControl/>
        <w:numPr>
          <w:ilvl w:val="0"/>
          <w:numId w:val="11"/>
        </w:numPr>
        <w:spacing w:line="360" w:lineRule="auto"/>
        <w:ind w:left="0" w:firstLine="648" w:firstLineChars="270"/>
        <w:rPr>
          <w:rFonts w:ascii="宋体" w:eastAsia="宋体"/>
          <w:spacing w:val="0"/>
          <w:szCs w:val="24"/>
          <w:highlight w:val="none"/>
        </w:rPr>
      </w:pPr>
      <w:r>
        <w:rPr>
          <w:rFonts w:hint="eastAsia" w:ascii="宋体" w:eastAsia="宋体"/>
          <w:spacing w:val="0"/>
          <w:szCs w:val="24"/>
          <w:highlight w:val="none"/>
        </w:rPr>
        <w:t>如有必要，甲方和乙方管理层在永久性解决方案出台之前可以先共同达成一套临时性的解决方案。乙方可以在会后与各利益相关方沟通并达成永久性的解决方案；</w:t>
      </w:r>
    </w:p>
    <w:p w14:paraId="3CA58C50">
      <w:pPr>
        <w:widowControl/>
        <w:numPr>
          <w:ilvl w:val="0"/>
          <w:numId w:val="11"/>
        </w:numPr>
        <w:spacing w:line="360" w:lineRule="auto"/>
        <w:ind w:left="0" w:firstLine="648" w:firstLineChars="270"/>
        <w:rPr>
          <w:rFonts w:ascii="宋体" w:eastAsia="宋体"/>
          <w:spacing w:val="0"/>
          <w:szCs w:val="24"/>
          <w:highlight w:val="none"/>
        </w:rPr>
      </w:pPr>
      <w:r>
        <w:rPr>
          <w:rFonts w:hint="eastAsia" w:ascii="宋体" w:eastAsia="宋体"/>
          <w:spacing w:val="0"/>
          <w:szCs w:val="24"/>
          <w:highlight w:val="none"/>
        </w:rPr>
        <w:t>如果问题最终仍没解决，甲方和乙方双方可以申请仲裁来达成最终的一致方案。</w:t>
      </w:r>
    </w:p>
    <w:p w14:paraId="6CAE3905">
      <w:pPr>
        <w:rPr>
          <w:rFonts w:ascii="宋体" w:eastAsia="宋体"/>
          <w:b/>
          <w:bCs/>
          <w:spacing w:val="0"/>
          <w:kern w:val="32"/>
          <w:szCs w:val="24"/>
          <w:highlight w:val="none"/>
        </w:rPr>
      </w:pPr>
      <w:r>
        <w:rPr>
          <w:rFonts w:hint="eastAsia" w:ascii="宋体" w:eastAsia="宋体"/>
          <w:b/>
          <w:bCs/>
          <w:spacing w:val="0"/>
          <w:kern w:val="32"/>
          <w:szCs w:val="24"/>
          <w:highlight w:val="none"/>
        </w:rPr>
        <w:t>5.2问题升级流程</w:t>
      </w:r>
    </w:p>
    <w:p w14:paraId="565F24B5">
      <w:pPr>
        <w:widowControl/>
        <w:numPr>
          <w:ilvl w:val="0"/>
          <w:numId w:val="12"/>
        </w:numPr>
        <w:spacing w:line="360" w:lineRule="auto"/>
        <w:rPr>
          <w:rFonts w:ascii="宋体" w:eastAsia="宋体"/>
          <w:spacing w:val="0"/>
          <w:szCs w:val="24"/>
          <w:highlight w:val="none"/>
        </w:rPr>
      </w:pPr>
      <w:r>
        <w:rPr>
          <w:rFonts w:hint="eastAsia" w:ascii="宋体" w:eastAsia="宋体"/>
          <w:spacing w:val="0"/>
          <w:szCs w:val="24"/>
          <w:highlight w:val="none"/>
        </w:rPr>
        <w:t>甲方或者乙方都有可能首先提出该流程；</w:t>
      </w:r>
    </w:p>
    <w:p w14:paraId="37D7F610">
      <w:pPr>
        <w:widowControl/>
        <w:numPr>
          <w:ilvl w:val="0"/>
          <w:numId w:val="12"/>
        </w:numPr>
        <w:spacing w:line="360" w:lineRule="auto"/>
        <w:rPr>
          <w:rFonts w:ascii="宋体" w:eastAsia="宋体"/>
          <w:spacing w:val="0"/>
          <w:szCs w:val="24"/>
          <w:highlight w:val="none"/>
        </w:rPr>
      </w:pPr>
      <w:r>
        <w:rPr>
          <w:rFonts w:hint="eastAsia" w:ascii="宋体" w:eastAsia="宋体"/>
          <w:spacing w:val="0"/>
          <w:szCs w:val="24"/>
          <w:highlight w:val="none"/>
        </w:rPr>
        <w:t>首先提出的一方应及时通知对方问题升级流程已经启动；</w:t>
      </w:r>
    </w:p>
    <w:p w14:paraId="091B84CE">
      <w:pPr>
        <w:widowControl/>
        <w:numPr>
          <w:ilvl w:val="0"/>
          <w:numId w:val="12"/>
        </w:numPr>
        <w:spacing w:line="360" w:lineRule="auto"/>
        <w:rPr>
          <w:rFonts w:ascii="宋体" w:eastAsia="宋体"/>
          <w:spacing w:val="0"/>
          <w:szCs w:val="24"/>
          <w:highlight w:val="none"/>
        </w:rPr>
      </w:pPr>
      <w:r>
        <w:rPr>
          <w:rFonts w:hint="eastAsia" w:ascii="宋体" w:eastAsia="宋体"/>
          <w:spacing w:val="0"/>
          <w:szCs w:val="24"/>
          <w:highlight w:val="none"/>
        </w:rPr>
        <w:t>问题升级到的管理层应当事先定义在联络人表中；</w:t>
      </w:r>
    </w:p>
    <w:p w14:paraId="0AA6647F">
      <w:pPr>
        <w:widowControl/>
        <w:numPr>
          <w:ilvl w:val="0"/>
          <w:numId w:val="12"/>
        </w:numPr>
        <w:spacing w:line="360" w:lineRule="auto"/>
        <w:rPr>
          <w:rFonts w:ascii="宋体" w:eastAsia="宋体"/>
          <w:spacing w:val="0"/>
          <w:szCs w:val="24"/>
          <w:highlight w:val="none"/>
        </w:rPr>
      </w:pPr>
      <w:r>
        <w:rPr>
          <w:rFonts w:hint="eastAsia" w:ascii="宋体" w:eastAsia="宋体"/>
          <w:spacing w:val="0"/>
          <w:szCs w:val="24"/>
          <w:highlight w:val="none"/>
        </w:rPr>
        <w:t>问题升级的层次在甲方和乙方之间应当保持一致，直至解决该问题。</w:t>
      </w:r>
    </w:p>
    <w:p w14:paraId="4E49D168">
      <w:pPr>
        <w:rPr>
          <w:rFonts w:ascii="宋体" w:eastAsia="宋体"/>
          <w:b/>
          <w:bCs/>
          <w:spacing w:val="0"/>
          <w:kern w:val="32"/>
          <w:szCs w:val="24"/>
          <w:highlight w:val="none"/>
        </w:rPr>
      </w:pPr>
      <w:r>
        <w:rPr>
          <w:rFonts w:hint="eastAsia" w:ascii="宋体" w:eastAsia="宋体"/>
          <w:b/>
          <w:bCs/>
          <w:spacing w:val="0"/>
          <w:kern w:val="32"/>
          <w:szCs w:val="24"/>
          <w:highlight w:val="none"/>
        </w:rPr>
        <w:t>5.3联络表</w:t>
      </w:r>
    </w:p>
    <w:tbl>
      <w:tblPr>
        <w:tblStyle w:val="24"/>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483D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E01C7AC">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b/>
                <w:spacing w:val="0"/>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38C9C255">
            <w:pPr>
              <w:keepNext w:val="0"/>
              <w:keepLines w:val="0"/>
              <w:suppressLineNumbers w:val="0"/>
              <w:spacing w:before="0" w:beforeAutospacing="0" w:after="0" w:afterAutospacing="0" w:line="360" w:lineRule="auto"/>
              <w:ind w:left="0" w:right="0"/>
              <w:jc w:val="center"/>
              <w:rPr>
                <w:rFonts w:hint="default" w:ascii="宋体" w:eastAsia="宋体"/>
                <w:b/>
                <w:spacing w:val="0"/>
                <w:szCs w:val="24"/>
                <w:highlight w:val="none"/>
              </w:rPr>
            </w:pPr>
            <w:r>
              <w:rPr>
                <w:rFonts w:hint="eastAsia" w:ascii="宋体" w:eastAsia="宋体"/>
                <w:b/>
                <w:spacing w:val="0"/>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10E1CC3">
            <w:pPr>
              <w:keepNext w:val="0"/>
              <w:keepLines w:val="0"/>
              <w:suppressLineNumbers w:val="0"/>
              <w:spacing w:before="0" w:beforeAutospacing="0" w:after="0" w:afterAutospacing="0" w:line="360" w:lineRule="auto"/>
              <w:ind w:left="0" w:right="0"/>
              <w:jc w:val="center"/>
              <w:rPr>
                <w:rFonts w:hint="default" w:ascii="宋体" w:eastAsia="宋体"/>
                <w:b/>
                <w:spacing w:val="0"/>
                <w:szCs w:val="24"/>
                <w:highlight w:val="none"/>
              </w:rPr>
            </w:pPr>
            <w:r>
              <w:rPr>
                <w:rFonts w:hint="eastAsia" w:ascii="宋体" w:eastAsia="宋体"/>
                <w:b/>
                <w:spacing w:val="0"/>
                <w:szCs w:val="24"/>
                <w:highlight w:val="none"/>
              </w:rPr>
              <w:t>电话</w:t>
            </w:r>
          </w:p>
        </w:tc>
      </w:tr>
      <w:tr w14:paraId="0D8D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BF46F1E">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F418FA4">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45A5E9B">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p>
        </w:tc>
      </w:tr>
      <w:tr w14:paraId="649F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167EEB0">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7B02E7D">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9042724">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p>
        </w:tc>
      </w:tr>
      <w:tr w14:paraId="033F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4A31F36">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BC21A00">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029A6B6">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p>
        </w:tc>
      </w:tr>
      <w:tr w14:paraId="135C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312BD05">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A44229F">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86B2D14">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p>
        </w:tc>
      </w:tr>
    </w:tbl>
    <w:p w14:paraId="34E87FDF">
      <w:pPr>
        <w:rPr>
          <w:rFonts w:ascii="宋体" w:eastAsia="宋体"/>
          <w:b/>
          <w:bCs/>
          <w:spacing w:val="0"/>
          <w:kern w:val="32"/>
          <w:szCs w:val="24"/>
          <w:highlight w:val="none"/>
        </w:rPr>
      </w:pPr>
      <w:r>
        <w:rPr>
          <w:rFonts w:hint="eastAsia" w:ascii="宋体" w:eastAsia="宋体"/>
          <w:b/>
          <w:bCs/>
          <w:spacing w:val="0"/>
          <w:kern w:val="32"/>
          <w:szCs w:val="24"/>
          <w:highlight w:val="none"/>
        </w:rPr>
        <w:t>6. 汇报</w:t>
      </w:r>
      <w:r>
        <w:rPr>
          <w:rFonts w:ascii="宋体" w:eastAsia="宋体"/>
          <w:b/>
          <w:bCs/>
          <w:spacing w:val="0"/>
          <w:kern w:val="32"/>
          <w:szCs w:val="24"/>
          <w:highlight w:val="none"/>
        </w:rPr>
        <w:t>内容及</w:t>
      </w:r>
      <w:r>
        <w:rPr>
          <w:rFonts w:hint="eastAsia" w:ascii="宋体" w:eastAsia="宋体"/>
          <w:b/>
          <w:bCs/>
          <w:spacing w:val="0"/>
          <w:kern w:val="32"/>
          <w:szCs w:val="24"/>
          <w:highlight w:val="none"/>
        </w:rPr>
        <w:t>流程</w:t>
      </w:r>
    </w:p>
    <w:p w14:paraId="56D784CD">
      <w:pPr>
        <w:spacing w:line="360" w:lineRule="auto"/>
        <w:ind w:firstLine="480" w:firstLineChars="200"/>
        <w:rPr>
          <w:rFonts w:ascii="宋体" w:eastAsia="宋体"/>
          <w:spacing w:val="0"/>
          <w:szCs w:val="24"/>
          <w:highlight w:val="none"/>
        </w:rPr>
      </w:pPr>
      <w:r>
        <w:rPr>
          <w:rFonts w:hint="eastAsia" w:ascii="宋体" w:eastAsia="宋体"/>
          <w:color w:val="auto"/>
          <w:spacing w:val="0"/>
          <w:szCs w:val="24"/>
          <w:highlight w:val="none"/>
        </w:rPr>
        <w:t>乙方应当在每星期五向甲方提交工作周报</w:t>
      </w:r>
      <w:r>
        <w:rPr>
          <w:rFonts w:hint="eastAsia" w:ascii="宋体" w:eastAsia="宋体"/>
          <w:spacing w:val="0"/>
          <w:szCs w:val="24"/>
          <w:highlight w:val="none"/>
        </w:rPr>
        <w:t>，包括项目情况跟踪及问题报告等，附带的性能报告（如有）也将递交给甲方项目经理。如发生突发事件，乙方也应第一时间向甲方项目经理报告。</w:t>
      </w:r>
    </w:p>
    <w:p w14:paraId="6BC5EBF0">
      <w:pPr>
        <w:rPr>
          <w:rFonts w:ascii="宋体" w:eastAsia="宋体"/>
          <w:b/>
          <w:bCs/>
          <w:spacing w:val="0"/>
          <w:kern w:val="32"/>
          <w:szCs w:val="24"/>
          <w:highlight w:val="none"/>
        </w:rPr>
      </w:pPr>
      <w:r>
        <w:rPr>
          <w:rFonts w:hint="eastAsia" w:ascii="宋体" w:eastAsia="宋体"/>
          <w:b/>
          <w:bCs/>
          <w:spacing w:val="0"/>
          <w:kern w:val="32"/>
          <w:szCs w:val="24"/>
          <w:highlight w:val="none"/>
        </w:rPr>
        <w:t>7. 服务水平和指标</w:t>
      </w:r>
    </w:p>
    <w:p w14:paraId="6EB652EB">
      <w:pPr>
        <w:widowControl/>
        <w:numPr>
          <w:ilvl w:val="0"/>
          <w:numId w:val="13"/>
        </w:numPr>
        <w:spacing w:line="360" w:lineRule="auto"/>
        <w:ind w:left="0" w:hanging="2"/>
        <w:rPr>
          <w:rFonts w:ascii="宋体" w:eastAsia="宋体"/>
          <w:spacing w:val="0"/>
          <w:szCs w:val="24"/>
          <w:highlight w:val="none"/>
        </w:rPr>
      </w:pPr>
      <w:r>
        <w:rPr>
          <w:rFonts w:hint="eastAsia" w:ascii="宋体" w:eastAsia="宋体"/>
          <w:spacing w:val="0"/>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4"/>
        <w:tblW w:w="992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67"/>
        <w:gridCol w:w="710"/>
        <w:gridCol w:w="1134"/>
        <w:gridCol w:w="1701"/>
        <w:gridCol w:w="1559"/>
        <w:gridCol w:w="1843"/>
        <w:gridCol w:w="1701"/>
        <w:gridCol w:w="709"/>
      </w:tblGrid>
      <w:tr w14:paraId="5011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567" w:type="dxa"/>
            <w:shd w:val="clear" w:color="auto" w:fill="FFFFFF"/>
            <w:vAlign w:val="center"/>
          </w:tcPr>
          <w:p w14:paraId="0F5EDC7C">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序号</w:t>
            </w:r>
          </w:p>
        </w:tc>
        <w:tc>
          <w:tcPr>
            <w:tcW w:w="710" w:type="dxa"/>
            <w:shd w:val="clear" w:color="auto" w:fill="FFFFFF"/>
            <w:vAlign w:val="center"/>
          </w:tcPr>
          <w:p w14:paraId="6584D246">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服务内容</w:t>
            </w:r>
          </w:p>
        </w:tc>
        <w:tc>
          <w:tcPr>
            <w:tcW w:w="1134" w:type="dxa"/>
            <w:shd w:val="clear" w:color="auto" w:fill="FFFFFF"/>
            <w:vAlign w:val="center"/>
          </w:tcPr>
          <w:p w14:paraId="0C3196A7">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服务定义</w:t>
            </w:r>
          </w:p>
        </w:tc>
        <w:tc>
          <w:tcPr>
            <w:tcW w:w="1701" w:type="dxa"/>
            <w:shd w:val="clear" w:color="auto" w:fill="FFFFFF"/>
            <w:vAlign w:val="center"/>
          </w:tcPr>
          <w:p w14:paraId="45138BBF">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服务标准</w:t>
            </w:r>
          </w:p>
        </w:tc>
        <w:tc>
          <w:tcPr>
            <w:tcW w:w="1559" w:type="dxa"/>
            <w:shd w:val="clear" w:color="auto" w:fill="FFFFFF"/>
            <w:vAlign w:val="center"/>
          </w:tcPr>
          <w:p w14:paraId="58F69CD2">
            <w:pPr>
              <w:keepNext w:val="0"/>
              <w:keepLines w:val="0"/>
              <w:widowControl/>
              <w:suppressLineNumbers w:val="0"/>
              <w:spacing w:before="0" w:beforeAutospacing="0" w:after="0" w:afterAutospacing="0"/>
              <w:ind w:left="0" w:right="0" w:firstLine="0"/>
              <w:jc w:val="both"/>
              <w:rPr>
                <w:rFonts w:hint="default" w:ascii="宋体" w:eastAsia="宋体"/>
                <w:b/>
                <w:spacing w:val="0"/>
                <w:sz w:val="21"/>
                <w:szCs w:val="21"/>
                <w:highlight w:val="none"/>
              </w:rPr>
            </w:pPr>
            <w:r>
              <w:rPr>
                <w:rFonts w:hint="eastAsia" w:ascii="宋体" w:eastAsia="宋体"/>
                <w:b/>
                <w:spacing w:val="0"/>
                <w:sz w:val="21"/>
                <w:szCs w:val="21"/>
                <w:highlight w:val="none"/>
              </w:rPr>
              <w:t>指标计算</w:t>
            </w:r>
          </w:p>
        </w:tc>
        <w:tc>
          <w:tcPr>
            <w:tcW w:w="1843" w:type="dxa"/>
            <w:shd w:val="clear" w:color="auto" w:fill="FFFFFF"/>
            <w:vAlign w:val="center"/>
          </w:tcPr>
          <w:p w14:paraId="690CFCDA">
            <w:pPr>
              <w:keepNext w:val="0"/>
              <w:keepLines w:val="0"/>
              <w:widowControl/>
              <w:suppressLineNumbers w:val="0"/>
              <w:spacing w:before="0" w:beforeAutospacing="0" w:after="0" w:afterAutospacing="0"/>
              <w:ind w:left="0" w:right="0" w:firstLine="0"/>
              <w:rPr>
                <w:rFonts w:hint="default" w:ascii="宋体" w:eastAsia="宋体"/>
                <w:b/>
                <w:bCs/>
                <w:spacing w:val="0"/>
                <w:sz w:val="21"/>
                <w:szCs w:val="21"/>
                <w:highlight w:val="none"/>
              </w:rPr>
            </w:pPr>
            <w:r>
              <w:rPr>
                <w:rFonts w:hint="eastAsia" w:ascii="宋体" w:eastAsia="宋体"/>
                <w:b/>
                <w:bCs/>
                <w:spacing w:val="0"/>
                <w:sz w:val="21"/>
                <w:szCs w:val="21"/>
                <w:highlight w:val="none"/>
              </w:rPr>
              <w:t>服务水平要求</w:t>
            </w:r>
          </w:p>
        </w:tc>
        <w:tc>
          <w:tcPr>
            <w:tcW w:w="1701" w:type="dxa"/>
            <w:shd w:val="clear" w:color="auto" w:fill="FFFFFF"/>
            <w:vAlign w:val="center"/>
          </w:tcPr>
          <w:p w14:paraId="428A21F9">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违约金标准</w:t>
            </w:r>
          </w:p>
        </w:tc>
        <w:tc>
          <w:tcPr>
            <w:tcW w:w="709" w:type="dxa"/>
            <w:shd w:val="clear" w:color="auto" w:fill="FFFFFF"/>
            <w:vAlign w:val="center"/>
          </w:tcPr>
          <w:p w14:paraId="3F227530">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是否满足</w:t>
            </w:r>
          </w:p>
        </w:tc>
      </w:tr>
      <w:tr w14:paraId="12D8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30" w:hRule="atLeast"/>
        </w:trPr>
        <w:tc>
          <w:tcPr>
            <w:tcW w:w="567" w:type="dxa"/>
            <w:shd w:val="clear" w:color="auto" w:fill="FFFFFF"/>
            <w:vAlign w:val="center"/>
          </w:tcPr>
          <w:p w14:paraId="2AA9245E">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1</w:t>
            </w:r>
          </w:p>
        </w:tc>
        <w:tc>
          <w:tcPr>
            <w:tcW w:w="710" w:type="dxa"/>
            <w:tcBorders>
              <w:left w:val="single" w:color="auto" w:sz="4" w:space="0"/>
            </w:tcBorders>
            <w:shd w:val="clear" w:color="auto" w:fill="FFFFFF"/>
            <w:vAlign w:val="center"/>
          </w:tcPr>
          <w:p w14:paraId="14AE671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任务响应</w:t>
            </w:r>
          </w:p>
        </w:tc>
        <w:tc>
          <w:tcPr>
            <w:tcW w:w="1134" w:type="dxa"/>
            <w:tcBorders>
              <w:left w:val="single" w:color="auto" w:sz="4" w:space="0"/>
            </w:tcBorders>
            <w:shd w:val="clear" w:color="auto" w:fill="FFFFFF"/>
            <w:vAlign w:val="center"/>
          </w:tcPr>
          <w:p w14:paraId="3C7105D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衡量乙方在需求与问题响应方面的能力</w:t>
            </w:r>
          </w:p>
        </w:tc>
        <w:tc>
          <w:tcPr>
            <w:tcW w:w="1701" w:type="dxa"/>
            <w:tcBorders>
              <w:left w:val="single" w:color="auto" w:sz="4" w:space="0"/>
            </w:tcBorders>
            <w:shd w:val="clear" w:color="auto" w:fill="FFFFFF"/>
            <w:vAlign w:val="center"/>
          </w:tcPr>
          <w:p w14:paraId="29572786">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乙方在收到甲方任务后2个工作日内，向甲方反馈确认任务的实施方案、计划和工作量等</w:t>
            </w:r>
          </w:p>
        </w:tc>
        <w:tc>
          <w:tcPr>
            <w:tcW w:w="1559" w:type="dxa"/>
            <w:tcBorders>
              <w:left w:val="single" w:color="auto" w:sz="4" w:space="0"/>
            </w:tcBorders>
            <w:shd w:val="clear" w:color="auto" w:fill="FFFFFF"/>
            <w:vAlign w:val="center"/>
          </w:tcPr>
          <w:p w14:paraId="3E380B7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甲方应当明确任务提出时间，乙方应当向甲方发出一个确认任务响应信息</w:t>
            </w:r>
          </w:p>
        </w:tc>
        <w:tc>
          <w:tcPr>
            <w:tcW w:w="1843" w:type="dxa"/>
            <w:tcBorders>
              <w:left w:val="single" w:color="auto" w:sz="4" w:space="0"/>
            </w:tcBorders>
            <w:shd w:val="clear" w:color="auto" w:fill="FFFFFF"/>
            <w:vAlign w:val="center"/>
          </w:tcPr>
          <w:p w14:paraId="75303A28">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乙方不得违反承诺响应时间</w:t>
            </w:r>
          </w:p>
        </w:tc>
        <w:tc>
          <w:tcPr>
            <w:tcW w:w="1701" w:type="dxa"/>
            <w:tcBorders>
              <w:left w:val="single" w:color="auto" w:sz="4" w:space="0"/>
            </w:tcBorders>
            <w:shd w:val="clear" w:color="auto" w:fill="FFFFFF"/>
            <w:vAlign w:val="center"/>
          </w:tcPr>
          <w:p w14:paraId="0D3F1DC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如违反承诺的响应时间要求，每次扣除1000元违约金</w:t>
            </w:r>
          </w:p>
        </w:tc>
        <w:tc>
          <w:tcPr>
            <w:tcW w:w="709" w:type="dxa"/>
            <w:tcBorders>
              <w:left w:val="single" w:color="auto" w:sz="4" w:space="0"/>
            </w:tcBorders>
            <w:shd w:val="clear" w:color="auto" w:fill="FFFFFF"/>
          </w:tcPr>
          <w:p w14:paraId="00CCF96F">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7286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67" w:type="dxa"/>
            <w:shd w:val="clear" w:color="auto" w:fill="FFFFFF"/>
            <w:vAlign w:val="center"/>
          </w:tcPr>
          <w:p w14:paraId="63E007F3">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2</w:t>
            </w:r>
          </w:p>
        </w:tc>
        <w:tc>
          <w:tcPr>
            <w:tcW w:w="710" w:type="dxa"/>
            <w:tcBorders>
              <w:left w:val="single" w:color="auto" w:sz="4" w:space="0"/>
            </w:tcBorders>
            <w:shd w:val="clear" w:color="auto" w:fill="FFFFFF"/>
            <w:vAlign w:val="center"/>
          </w:tcPr>
          <w:p w14:paraId="3D33E72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项目延期</w:t>
            </w:r>
          </w:p>
        </w:tc>
        <w:tc>
          <w:tcPr>
            <w:tcW w:w="1134" w:type="dxa"/>
            <w:tcBorders>
              <w:left w:val="single" w:color="auto" w:sz="4" w:space="0"/>
            </w:tcBorders>
            <w:shd w:val="clear" w:color="auto" w:fill="FFFFFF"/>
            <w:vAlign w:val="center"/>
          </w:tcPr>
          <w:p w14:paraId="67B6C23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衡量乙方对项目整体实施进度的控制能力</w:t>
            </w:r>
          </w:p>
        </w:tc>
        <w:tc>
          <w:tcPr>
            <w:tcW w:w="1701" w:type="dxa"/>
            <w:tcBorders>
              <w:left w:val="single" w:color="auto" w:sz="4" w:space="0"/>
            </w:tcBorders>
            <w:shd w:val="clear" w:color="auto" w:fill="FFFFFF"/>
            <w:vAlign w:val="center"/>
          </w:tcPr>
          <w:p w14:paraId="12FFFFF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乙方原因导致的项目进度偏差</w:t>
            </w:r>
          </w:p>
        </w:tc>
        <w:tc>
          <w:tcPr>
            <w:tcW w:w="1559" w:type="dxa"/>
            <w:tcBorders>
              <w:left w:val="single" w:color="auto" w:sz="4" w:space="0"/>
            </w:tcBorders>
            <w:shd w:val="clear" w:color="auto" w:fill="FFFFFF"/>
            <w:vAlign w:val="center"/>
          </w:tcPr>
          <w:p w14:paraId="770493D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按项目计划为基准计算进度偏差天数（进度偏差率≤20%）</w:t>
            </w:r>
          </w:p>
        </w:tc>
        <w:tc>
          <w:tcPr>
            <w:tcW w:w="1843" w:type="dxa"/>
            <w:tcBorders>
              <w:left w:val="single" w:color="auto" w:sz="4" w:space="0"/>
            </w:tcBorders>
            <w:shd w:val="clear" w:color="auto" w:fill="FFFFFF"/>
            <w:vAlign w:val="center"/>
          </w:tcPr>
          <w:p w14:paraId="6ABC381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进度偏差率=进度偏差天数/项目计划中进度天数（进度偏差率≤20%）</w:t>
            </w:r>
          </w:p>
        </w:tc>
        <w:tc>
          <w:tcPr>
            <w:tcW w:w="1701" w:type="dxa"/>
            <w:tcBorders>
              <w:left w:val="single" w:color="auto" w:sz="4" w:space="0"/>
            </w:tcBorders>
            <w:shd w:val="clear" w:color="auto" w:fill="FFFFFF"/>
            <w:vAlign w:val="center"/>
          </w:tcPr>
          <w:p w14:paraId="2AEB4FD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20%＜进度偏差率≤30%，每偏差一天按合同总金额的0.1%计违约金，进度偏差率＞30%并且延期3个月以上，违约金为合同总金额的10%</w:t>
            </w:r>
          </w:p>
        </w:tc>
        <w:tc>
          <w:tcPr>
            <w:tcW w:w="709" w:type="dxa"/>
            <w:tcBorders>
              <w:left w:val="single" w:color="auto" w:sz="4" w:space="0"/>
            </w:tcBorders>
            <w:shd w:val="clear" w:color="auto" w:fill="FFFFFF"/>
          </w:tcPr>
          <w:p w14:paraId="2C6BC2F3">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3777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FFFFFF"/>
            <w:vAlign w:val="center"/>
          </w:tcPr>
          <w:p w14:paraId="50A46903">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3</w:t>
            </w:r>
          </w:p>
        </w:tc>
        <w:tc>
          <w:tcPr>
            <w:tcW w:w="710" w:type="dxa"/>
            <w:tcBorders>
              <w:left w:val="single" w:color="auto" w:sz="4" w:space="0"/>
            </w:tcBorders>
            <w:shd w:val="clear" w:color="auto" w:fill="FFFFFF"/>
            <w:vAlign w:val="center"/>
          </w:tcPr>
          <w:p w14:paraId="64A2C66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任务完成情况</w:t>
            </w:r>
          </w:p>
        </w:tc>
        <w:tc>
          <w:tcPr>
            <w:tcW w:w="1134" w:type="dxa"/>
            <w:tcBorders>
              <w:left w:val="single" w:color="auto" w:sz="4" w:space="0"/>
            </w:tcBorders>
            <w:shd w:val="clear" w:color="auto" w:fill="FFFFFF"/>
            <w:vAlign w:val="center"/>
          </w:tcPr>
          <w:p w14:paraId="07A096FD">
            <w:pPr>
              <w:keepNext w:val="0"/>
              <w:keepLines w:val="0"/>
              <w:widowControl/>
              <w:suppressLineNumbers w:val="0"/>
              <w:snapToGrid w:val="0"/>
              <w:spacing w:before="0" w:beforeAutospacing="0" w:after="0" w:afterAutospacing="0" w:line="360" w:lineRule="auto"/>
              <w:ind w:left="0" w:right="0" w:firstLine="0"/>
              <w:jc w:val="left"/>
              <w:rPr>
                <w:rFonts w:hint="default" w:ascii="宋体" w:hAnsi="宋体"/>
                <w:highlight w:val="none"/>
              </w:rPr>
            </w:pPr>
            <w:r>
              <w:rPr>
                <w:rFonts w:hint="eastAsia" w:ascii="宋体" w:eastAsia="宋体"/>
                <w:spacing w:val="0"/>
                <w:sz w:val="21"/>
                <w:szCs w:val="24"/>
                <w:highlight w:val="none"/>
              </w:rPr>
              <w:t>衡量乙方按计划完成任务的能力</w:t>
            </w:r>
          </w:p>
        </w:tc>
        <w:tc>
          <w:tcPr>
            <w:tcW w:w="1701" w:type="dxa"/>
            <w:tcBorders>
              <w:left w:val="single" w:color="auto" w:sz="4" w:space="0"/>
            </w:tcBorders>
            <w:shd w:val="clear" w:color="auto" w:fill="FFFFFF"/>
            <w:vAlign w:val="center"/>
          </w:tcPr>
          <w:p w14:paraId="3666C47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乙方应当在双方确认的时间内完成任务</w:t>
            </w:r>
          </w:p>
        </w:tc>
        <w:tc>
          <w:tcPr>
            <w:tcW w:w="1559" w:type="dxa"/>
            <w:tcBorders>
              <w:left w:val="single" w:color="auto" w:sz="4" w:space="0"/>
            </w:tcBorders>
            <w:shd w:val="clear" w:color="auto" w:fill="FFFFFF"/>
            <w:vAlign w:val="center"/>
          </w:tcPr>
          <w:p w14:paraId="4851878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甲方标识出每一项任务完成的具体时间，对比乙方给出的任务完成计划时间</w:t>
            </w:r>
          </w:p>
        </w:tc>
        <w:tc>
          <w:tcPr>
            <w:tcW w:w="1843" w:type="dxa"/>
            <w:tcBorders>
              <w:left w:val="single" w:color="auto" w:sz="4" w:space="0"/>
            </w:tcBorders>
            <w:shd w:val="clear" w:color="auto" w:fill="FFFFFF"/>
            <w:vAlign w:val="center"/>
          </w:tcPr>
          <w:p w14:paraId="19219DE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1.需求分析说明、概要设计、详细设计100%完成；</w:t>
            </w:r>
          </w:p>
          <w:p w14:paraId="59A879D5">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2.软件编码100%完成；</w:t>
            </w:r>
          </w:p>
          <w:p w14:paraId="348B74F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3.测试案例需求覆盖率100%，且测试案例执行率100%</w:t>
            </w:r>
          </w:p>
        </w:tc>
        <w:tc>
          <w:tcPr>
            <w:tcW w:w="1701" w:type="dxa"/>
            <w:tcBorders>
              <w:left w:val="single" w:color="auto" w:sz="4" w:space="0"/>
            </w:tcBorders>
            <w:shd w:val="clear" w:color="auto" w:fill="FFFFFF"/>
            <w:vAlign w:val="center"/>
          </w:tcPr>
          <w:p w14:paraId="1EAE174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以上三个指标之一低于90%甲方有权终止合同，追回支付款项，要求赔偿损失</w:t>
            </w:r>
          </w:p>
        </w:tc>
        <w:tc>
          <w:tcPr>
            <w:tcW w:w="709" w:type="dxa"/>
            <w:tcBorders>
              <w:left w:val="single" w:color="auto" w:sz="4" w:space="0"/>
            </w:tcBorders>
            <w:shd w:val="clear" w:color="auto" w:fill="FFFFFF"/>
          </w:tcPr>
          <w:p w14:paraId="34B86B39">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4B01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shd w:val="clear" w:color="auto" w:fill="FFFFFF"/>
            <w:vAlign w:val="center"/>
          </w:tcPr>
          <w:p w14:paraId="6C5A5137">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4</w:t>
            </w:r>
          </w:p>
        </w:tc>
        <w:tc>
          <w:tcPr>
            <w:tcW w:w="710" w:type="dxa"/>
            <w:tcBorders>
              <w:left w:val="single" w:color="auto" w:sz="4" w:space="0"/>
            </w:tcBorders>
            <w:shd w:val="clear" w:color="auto" w:fill="FFFFFF"/>
            <w:vAlign w:val="center"/>
          </w:tcPr>
          <w:p w14:paraId="14A623C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上线后重大质量缺陷</w:t>
            </w:r>
          </w:p>
        </w:tc>
        <w:tc>
          <w:tcPr>
            <w:tcW w:w="1134" w:type="dxa"/>
            <w:tcBorders>
              <w:left w:val="single" w:color="auto" w:sz="4" w:space="0"/>
            </w:tcBorders>
            <w:shd w:val="clear" w:color="auto" w:fill="FFFFFF"/>
            <w:vAlign w:val="center"/>
          </w:tcPr>
          <w:p w14:paraId="284937D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衡量乙方在系统上线运行后的稳定性</w:t>
            </w:r>
          </w:p>
        </w:tc>
        <w:tc>
          <w:tcPr>
            <w:tcW w:w="1701" w:type="dxa"/>
            <w:tcBorders>
              <w:left w:val="single" w:color="auto" w:sz="4" w:space="0"/>
            </w:tcBorders>
            <w:shd w:val="clear" w:color="auto" w:fill="FFFFFF"/>
            <w:vAlign w:val="center"/>
          </w:tcPr>
          <w:p w14:paraId="2308B22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cs="宋体"/>
                <w:spacing w:val="0"/>
                <w:sz w:val="21"/>
                <w:szCs w:val="24"/>
                <w:highlight w:val="none"/>
              </w:rPr>
              <w:t>系统上线后不能发生较大运营中断事件和重大质量缺陷</w:t>
            </w:r>
          </w:p>
        </w:tc>
        <w:tc>
          <w:tcPr>
            <w:tcW w:w="1559" w:type="dxa"/>
            <w:tcBorders>
              <w:left w:val="single" w:color="auto" w:sz="4" w:space="0"/>
            </w:tcBorders>
            <w:shd w:val="clear" w:color="auto" w:fill="FFFFFF"/>
            <w:vAlign w:val="center"/>
          </w:tcPr>
          <w:p w14:paraId="671EC40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甲方根据系统</w:t>
            </w:r>
            <w:r>
              <w:rPr>
                <w:rFonts w:hint="eastAsia" w:ascii="宋体" w:eastAsia="宋体" w:cs="宋体"/>
                <w:spacing w:val="0"/>
                <w:sz w:val="21"/>
                <w:szCs w:val="24"/>
                <w:highlight w:val="none"/>
              </w:rPr>
              <w:t>生产缺陷程度</w:t>
            </w:r>
            <w:r>
              <w:rPr>
                <w:rFonts w:hint="eastAsia" w:ascii="宋体" w:eastAsia="宋体"/>
                <w:spacing w:val="0"/>
                <w:sz w:val="21"/>
                <w:szCs w:val="24"/>
                <w:highlight w:val="none"/>
              </w:rPr>
              <w:t>和数量判定</w:t>
            </w:r>
          </w:p>
        </w:tc>
        <w:tc>
          <w:tcPr>
            <w:tcW w:w="1843" w:type="dxa"/>
            <w:tcBorders>
              <w:left w:val="single" w:color="auto" w:sz="4" w:space="0"/>
            </w:tcBorders>
            <w:shd w:val="clear" w:color="auto" w:fill="FFFFFF"/>
            <w:vAlign w:val="center"/>
          </w:tcPr>
          <w:p w14:paraId="53A60F18">
            <w:pPr>
              <w:keepNext w:val="0"/>
              <w:keepLines w:val="0"/>
              <w:suppressLineNumbers w:val="0"/>
              <w:spacing w:before="0" w:beforeAutospacing="0" w:after="0" w:afterAutospacing="0"/>
              <w:ind w:left="0" w:right="0" w:firstLine="0"/>
              <w:rPr>
                <w:rFonts w:hint="default" w:ascii="宋体" w:eastAsia="宋体" w:cs="宋体"/>
                <w:spacing w:val="0"/>
                <w:sz w:val="21"/>
                <w:szCs w:val="24"/>
                <w:highlight w:val="none"/>
              </w:rPr>
            </w:pPr>
            <w:r>
              <w:rPr>
                <w:rFonts w:hint="eastAsia" w:ascii="宋体" w:eastAsia="宋体" w:cs="宋体"/>
                <w:spacing w:val="0"/>
                <w:sz w:val="21"/>
                <w:szCs w:val="24"/>
                <w:highlight w:val="none"/>
              </w:rPr>
              <w:t>1、应用软件未出现III级(含)以上的运营中断事件；</w:t>
            </w:r>
          </w:p>
          <w:p w14:paraId="3E5CDEC4">
            <w:pPr>
              <w:keepNext w:val="0"/>
              <w:keepLines w:val="0"/>
              <w:suppressLineNumbers w:val="0"/>
              <w:spacing w:before="0" w:beforeAutospacing="0" w:after="0" w:afterAutospacing="0"/>
              <w:ind w:left="0" w:right="0" w:firstLine="0"/>
              <w:rPr>
                <w:rFonts w:hint="default" w:ascii="宋体" w:eastAsia="宋体" w:cs="宋体"/>
                <w:spacing w:val="0"/>
                <w:sz w:val="21"/>
                <w:szCs w:val="24"/>
                <w:highlight w:val="none"/>
              </w:rPr>
            </w:pPr>
            <w:r>
              <w:rPr>
                <w:rFonts w:hint="eastAsia" w:ascii="宋体" w:eastAsia="宋体" w:cs="宋体"/>
                <w:spacing w:val="0"/>
                <w:sz w:val="21"/>
                <w:szCs w:val="24"/>
                <w:highlight w:val="none"/>
              </w:rPr>
              <w:t>2、应用软件未出现严重缺陷和致命缺陷；</w:t>
            </w:r>
          </w:p>
          <w:p w14:paraId="388269B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cs="宋体"/>
                <w:spacing w:val="0"/>
                <w:sz w:val="21"/>
                <w:szCs w:val="24"/>
                <w:highlight w:val="none"/>
              </w:rPr>
              <w:t xml:space="preserve">3、一般和微小缺陷逃逸率≤4.5% </w:t>
            </w:r>
          </w:p>
        </w:tc>
        <w:tc>
          <w:tcPr>
            <w:tcW w:w="1701" w:type="dxa"/>
            <w:tcBorders>
              <w:left w:val="single" w:color="auto" w:sz="4" w:space="0"/>
            </w:tcBorders>
            <w:shd w:val="clear" w:color="auto" w:fill="FFFFFF"/>
            <w:vAlign w:val="center"/>
          </w:tcPr>
          <w:p w14:paraId="23C038F6">
            <w:pPr>
              <w:keepNext w:val="0"/>
              <w:keepLines w:val="0"/>
              <w:suppressLineNumbers w:val="0"/>
              <w:spacing w:before="0" w:beforeAutospacing="0" w:after="0" w:afterAutospacing="0"/>
              <w:ind w:left="0" w:right="0" w:firstLine="0"/>
              <w:rPr>
                <w:rFonts w:hint="default" w:ascii="宋体" w:eastAsia="宋体"/>
                <w:spacing w:val="0"/>
                <w:sz w:val="21"/>
                <w:szCs w:val="24"/>
                <w:highlight w:val="none"/>
              </w:rPr>
            </w:pPr>
            <w:r>
              <w:rPr>
                <w:rFonts w:hint="eastAsia" w:ascii="宋体" w:eastAsia="宋体" w:cs="宋体"/>
                <w:spacing w:val="0"/>
                <w:sz w:val="21"/>
                <w:szCs w:val="24"/>
                <w:highlight w:val="none"/>
              </w:rPr>
              <w:t>不满足该项任一标准扣除2万元违约金并要求乙方赔偿损失</w:t>
            </w:r>
          </w:p>
        </w:tc>
        <w:tc>
          <w:tcPr>
            <w:tcW w:w="709" w:type="dxa"/>
            <w:tcBorders>
              <w:left w:val="single" w:color="auto" w:sz="4" w:space="0"/>
            </w:tcBorders>
            <w:shd w:val="clear" w:color="auto" w:fill="FFFFFF"/>
          </w:tcPr>
          <w:p w14:paraId="67CCE1C0">
            <w:pPr>
              <w:keepNext w:val="0"/>
              <w:keepLines w:val="0"/>
              <w:suppressLineNumbers w:val="0"/>
              <w:spacing w:before="0" w:beforeAutospacing="0" w:after="0" w:afterAutospacing="0"/>
              <w:ind w:left="0" w:right="0"/>
              <w:rPr>
                <w:rFonts w:hint="default" w:ascii="宋体" w:eastAsia="宋体" w:cs="宋体"/>
                <w:spacing w:val="0"/>
                <w:sz w:val="21"/>
                <w:szCs w:val="24"/>
                <w:highlight w:val="none"/>
              </w:rPr>
            </w:pPr>
          </w:p>
        </w:tc>
      </w:tr>
      <w:tr w14:paraId="3911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shd w:val="clear" w:color="auto" w:fill="FFFFFF"/>
            <w:vAlign w:val="center"/>
          </w:tcPr>
          <w:p w14:paraId="0DE96C9C">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5</w:t>
            </w:r>
          </w:p>
        </w:tc>
        <w:tc>
          <w:tcPr>
            <w:tcW w:w="710" w:type="dxa"/>
            <w:tcBorders>
              <w:left w:val="single" w:color="auto" w:sz="4" w:space="0"/>
            </w:tcBorders>
            <w:shd w:val="clear" w:color="auto" w:fill="FFFFFF"/>
            <w:vAlign w:val="center"/>
          </w:tcPr>
          <w:p w14:paraId="679C072C">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上线后重大问题处理</w:t>
            </w:r>
          </w:p>
        </w:tc>
        <w:tc>
          <w:tcPr>
            <w:tcW w:w="1134" w:type="dxa"/>
            <w:tcBorders>
              <w:left w:val="single" w:color="auto" w:sz="4" w:space="0"/>
            </w:tcBorders>
            <w:shd w:val="clear" w:color="auto" w:fill="FFFFFF"/>
            <w:vAlign w:val="center"/>
          </w:tcPr>
          <w:p w14:paraId="70749CAC">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衡量乙方在系统上线运行后及时处理重大问题的能力</w:t>
            </w:r>
          </w:p>
        </w:tc>
        <w:tc>
          <w:tcPr>
            <w:tcW w:w="1701" w:type="dxa"/>
            <w:tcBorders>
              <w:left w:val="single" w:color="auto" w:sz="4" w:space="0"/>
            </w:tcBorders>
            <w:shd w:val="clear" w:color="auto" w:fill="FFFFFF"/>
            <w:vAlign w:val="center"/>
          </w:tcPr>
          <w:p w14:paraId="48E69DB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上线后遗留问题或生产缺陷解决的及时性</w:t>
            </w:r>
          </w:p>
        </w:tc>
        <w:tc>
          <w:tcPr>
            <w:tcW w:w="1559" w:type="dxa"/>
            <w:tcBorders>
              <w:left w:val="single" w:color="auto" w:sz="4" w:space="0"/>
            </w:tcBorders>
            <w:shd w:val="clear" w:color="auto" w:fill="FFFFFF"/>
            <w:vAlign w:val="center"/>
          </w:tcPr>
          <w:p w14:paraId="08209B68">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甲方根据系统上线运行后的重大问题处理情况判定</w:t>
            </w:r>
          </w:p>
        </w:tc>
        <w:tc>
          <w:tcPr>
            <w:tcW w:w="1843" w:type="dxa"/>
            <w:tcBorders>
              <w:left w:val="single" w:color="auto" w:sz="4" w:space="0"/>
            </w:tcBorders>
            <w:shd w:val="clear" w:color="auto" w:fill="FFFFFF"/>
            <w:vAlign w:val="center"/>
          </w:tcPr>
          <w:p w14:paraId="17C07D6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生产缺陷解决及时率=100%</w:t>
            </w:r>
          </w:p>
        </w:tc>
        <w:tc>
          <w:tcPr>
            <w:tcW w:w="1701" w:type="dxa"/>
            <w:tcBorders>
              <w:left w:val="single" w:color="auto" w:sz="4" w:space="0"/>
            </w:tcBorders>
            <w:shd w:val="clear" w:color="auto" w:fill="FFFFFF"/>
            <w:vAlign w:val="center"/>
          </w:tcPr>
          <w:p w14:paraId="67F7EC3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重大生产缺陷、问题不能得到及时解决，每次按合同总金额的5%计违约金</w:t>
            </w:r>
          </w:p>
        </w:tc>
        <w:tc>
          <w:tcPr>
            <w:tcW w:w="709" w:type="dxa"/>
            <w:tcBorders>
              <w:left w:val="single" w:color="auto" w:sz="4" w:space="0"/>
            </w:tcBorders>
            <w:shd w:val="clear" w:color="auto" w:fill="FFFFFF"/>
          </w:tcPr>
          <w:p w14:paraId="516782AA">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279D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shd w:val="clear" w:color="auto" w:fill="FFFFFF"/>
            <w:vAlign w:val="center"/>
          </w:tcPr>
          <w:p w14:paraId="50C53B1C">
            <w:pPr>
              <w:keepNext w:val="0"/>
              <w:keepLines w:val="0"/>
              <w:widowControl/>
              <w:suppressLineNumbers w:val="0"/>
              <w:snapToGrid w:val="0"/>
              <w:spacing w:before="0" w:beforeAutospacing="0" w:after="0" w:afterAutospacing="0" w:line="360" w:lineRule="auto"/>
              <w:ind w:left="0" w:right="0" w:firstLine="0"/>
              <w:rPr>
                <w:rFonts w:hint="default" w:ascii="宋体" w:hAnsi="宋体"/>
                <w:highlight w:val="none"/>
              </w:rPr>
            </w:pPr>
            <w:r>
              <w:rPr>
                <w:rFonts w:hint="eastAsia" w:ascii="宋体" w:hAnsi="宋体"/>
                <w:highlight w:val="none"/>
              </w:rPr>
              <w:t>6</w:t>
            </w:r>
          </w:p>
        </w:tc>
        <w:tc>
          <w:tcPr>
            <w:tcW w:w="710" w:type="dxa"/>
            <w:tcBorders>
              <w:left w:val="single" w:color="auto" w:sz="4" w:space="0"/>
            </w:tcBorders>
            <w:shd w:val="clear" w:color="auto" w:fill="FFFFFF"/>
            <w:vAlign w:val="center"/>
          </w:tcPr>
          <w:p w14:paraId="50554BD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人力资源投入及人员稳定性</w:t>
            </w:r>
          </w:p>
        </w:tc>
        <w:tc>
          <w:tcPr>
            <w:tcW w:w="1134" w:type="dxa"/>
            <w:tcBorders>
              <w:left w:val="single" w:color="auto" w:sz="4" w:space="0"/>
            </w:tcBorders>
            <w:shd w:val="clear" w:color="auto" w:fill="FFFFFF"/>
            <w:vAlign w:val="center"/>
          </w:tcPr>
          <w:p w14:paraId="1931A08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衡量乙方人员服务的符合度及人员稳定性</w:t>
            </w:r>
          </w:p>
        </w:tc>
        <w:tc>
          <w:tcPr>
            <w:tcW w:w="1701" w:type="dxa"/>
            <w:tcBorders>
              <w:left w:val="single" w:color="auto" w:sz="4" w:space="0"/>
            </w:tcBorders>
            <w:shd w:val="clear" w:color="auto" w:fill="FFFFFF"/>
            <w:vAlign w:val="center"/>
          </w:tcPr>
          <w:p w14:paraId="5CBD9CD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投入人员情况符合投标文件或合同要求，乙方项目组人员变动比例不得高于30%</w:t>
            </w:r>
          </w:p>
        </w:tc>
        <w:tc>
          <w:tcPr>
            <w:tcW w:w="1559" w:type="dxa"/>
            <w:tcBorders>
              <w:left w:val="single" w:color="auto" w:sz="4" w:space="0"/>
            </w:tcBorders>
            <w:shd w:val="clear" w:color="auto" w:fill="FFFFFF"/>
            <w:vAlign w:val="center"/>
          </w:tcPr>
          <w:p w14:paraId="25138EE6">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甲方按合同要求判定乙方人员投入及变动情况</w:t>
            </w:r>
          </w:p>
        </w:tc>
        <w:tc>
          <w:tcPr>
            <w:tcW w:w="1843" w:type="dxa"/>
            <w:tcBorders>
              <w:left w:val="single" w:color="auto" w:sz="4" w:space="0"/>
            </w:tcBorders>
            <w:shd w:val="clear" w:color="auto" w:fill="FFFFFF"/>
            <w:vAlign w:val="center"/>
          </w:tcPr>
          <w:p w14:paraId="6EA2C41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人员数量差异=承诺人数-实际人数</w:t>
            </w:r>
          </w:p>
          <w:p w14:paraId="1EF7375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人员变动率=人员变动人数/原项目组人员总人数</w:t>
            </w:r>
            <w:r>
              <w:rPr>
                <w:rFonts w:hint="eastAsia" w:ascii="宋体" w:eastAsia="宋体"/>
                <w:spacing w:val="0"/>
                <w:sz w:val="21"/>
                <w:szCs w:val="24"/>
                <w:highlight w:val="none"/>
              </w:rPr>
              <w:br w:type="textWrapping"/>
            </w:r>
            <w:r>
              <w:rPr>
                <w:rFonts w:hint="eastAsia" w:ascii="宋体" w:eastAsia="宋体"/>
                <w:spacing w:val="0"/>
                <w:sz w:val="21"/>
                <w:szCs w:val="24"/>
                <w:highlight w:val="none"/>
              </w:rPr>
              <w:t>（人员数量差异≤2；技术骨干及项目经理不得变动；技术人员变动率≤30%）</w:t>
            </w:r>
          </w:p>
        </w:tc>
        <w:tc>
          <w:tcPr>
            <w:tcW w:w="1701" w:type="dxa"/>
            <w:tcBorders>
              <w:left w:val="single" w:color="auto" w:sz="4" w:space="0"/>
            </w:tcBorders>
            <w:shd w:val="clear" w:color="auto" w:fill="FFFFFF"/>
            <w:vAlign w:val="center"/>
          </w:tcPr>
          <w:p w14:paraId="2C5434BA">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技术骨干及项目经理变动扣除技术骨干人月单价（至少不低于3万元），技术人员变动超过30%，扣除合同总金额10%</w:t>
            </w:r>
          </w:p>
        </w:tc>
        <w:tc>
          <w:tcPr>
            <w:tcW w:w="709" w:type="dxa"/>
            <w:tcBorders>
              <w:left w:val="single" w:color="auto" w:sz="4" w:space="0"/>
            </w:tcBorders>
            <w:shd w:val="clear" w:color="auto" w:fill="FFFFFF"/>
          </w:tcPr>
          <w:p w14:paraId="05BE69B1">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4A1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shd w:val="clear" w:color="auto" w:fill="FFFFFF"/>
            <w:vAlign w:val="center"/>
          </w:tcPr>
          <w:p w14:paraId="68C010CA">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7</w:t>
            </w:r>
          </w:p>
        </w:tc>
        <w:tc>
          <w:tcPr>
            <w:tcW w:w="710" w:type="dxa"/>
            <w:tcBorders>
              <w:left w:val="single" w:color="auto" w:sz="4" w:space="0"/>
            </w:tcBorders>
            <w:shd w:val="clear" w:color="auto" w:fill="FFFFFF"/>
            <w:vAlign w:val="center"/>
          </w:tcPr>
          <w:p w14:paraId="3B9F920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测试人员配置</w:t>
            </w:r>
          </w:p>
        </w:tc>
        <w:tc>
          <w:tcPr>
            <w:tcW w:w="1134" w:type="dxa"/>
            <w:tcBorders>
              <w:left w:val="single" w:color="auto" w:sz="4" w:space="0"/>
            </w:tcBorders>
            <w:shd w:val="clear" w:color="auto" w:fill="FFFFFF"/>
            <w:vAlign w:val="center"/>
          </w:tcPr>
          <w:p w14:paraId="1E5AD65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衡量乙方投入系统测试人员的符合度</w:t>
            </w:r>
          </w:p>
        </w:tc>
        <w:tc>
          <w:tcPr>
            <w:tcW w:w="1701" w:type="dxa"/>
            <w:tcBorders>
              <w:left w:val="single" w:color="auto" w:sz="4" w:space="0"/>
            </w:tcBorders>
            <w:shd w:val="clear" w:color="auto" w:fill="FFFFFF"/>
            <w:vAlign w:val="center"/>
          </w:tcPr>
          <w:p w14:paraId="7CBA2E9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投入系统测试人员情况符合投标文件或合同要求</w:t>
            </w:r>
          </w:p>
        </w:tc>
        <w:tc>
          <w:tcPr>
            <w:tcW w:w="1559" w:type="dxa"/>
            <w:tcBorders>
              <w:left w:val="single" w:color="auto" w:sz="4" w:space="0"/>
            </w:tcBorders>
            <w:shd w:val="clear" w:color="auto" w:fill="FFFFFF"/>
            <w:vAlign w:val="center"/>
          </w:tcPr>
          <w:p w14:paraId="52D16CB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甲方按照合同或标书要求判定乙方测试人员投入情况</w:t>
            </w:r>
          </w:p>
        </w:tc>
        <w:tc>
          <w:tcPr>
            <w:tcW w:w="1843" w:type="dxa"/>
            <w:tcBorders>
              <w:left w:val="single" w:color="auto" w:sz="4" w:space="0"/>
            </w:tcBorders>
            <w:shd w:val="clear" w:color="auto" w:fill="FFFFFF"/>
            <w:vAlign w:val="center"/>
          </w:tcPr>
          <w:p w14:paraId="1265A36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人员重合率=测试人员/开发人员（人员重合率=0）</w:t>
            </w:r>
          </w:p>
        </w:tc>
        <w:tc>
          <w:tcPr>
            <w:tcW w:w="1701" w:type="dxa"/>
            <w:tcBorders>
              <w:left w:val="single" w:color="auto" w:sz="4" w:space="0"/>
            </w:tcBorders>
            <w:shd w:val="clear" w:color="auto" w:fill="FFFFFF"/>
            <w:vAlign w:val="center"/>
          </w:tcPr>
          <w:p w14:paraId="6A0A756D">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c>
          <w:tcPr>
            <w:tcW w:w="709" w:type="dxa"/>
            <w:tcBorders>
              <w:left w:val="single" w:color="auto" w:sz="4" w:space="0"/>
            </w:tcBorders>
            <w:shd w:val="clear" w:color="auto" w:fill="FFFFFF"/>
          </w:tcPr>
          <w:p w14:paraId="3D1DBE51">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2D88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shd w:val="clear" w:color="auto" w:fill="FFFFFF"/>
            <w:vAlign w:val="center"/>
          </w:tcPr>
          <w:p w14:paraId="72541951">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8</w:t>
            </w:r>
          </w:p>
        </w:tc>
        <w:tc>
          <w:tcPr>
            <w:tcW w:w="710" w:type="dxa"/>
            <w:tcBorders>
              <w:left w:val="single" w:color="auto" w:sz="4" w:space="0"/>
            </w:tcBorders>
            <w:shd w:val="clear" w:color="auto" w:fill="FFFFFF"/>
            <w:vAlign w:val="center"/>
          </w:tcPr>
          <w:p w14:paraId="5ADE89EC">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人员异常退出</w:t>
            </w:r>
          </w:p>
        </w:tc>
        <w:tc>
          <w:tcPr>
            <w:tcW w:w="1134" w:type="dxa"/>
            <w:tcBorders>
              <w:left w:val="single" w:color="auto" w:sz="4" w:space="0"/>
            </w:tcBorders>
            <w:shd w:val="clear" w:color="auto" w:fill="FFFFFF"/>
            <w:vAlign w:val="center"/>
          </w:tcPr>
          <w:p w14:paraId="469957CA">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衡量乙方人员是否提供持续服务</w:t>
            </w:r>
          </w:p>
        </w:tc>
        <w:tc>
          <w:tcPr>
            <w:tcW w:w="1701" w:type="dxa"/>
            <w:tcBorders>
              <w:left w:val="single" w:color="auto" w:sz="4" w:space="0"/>
            </w:tcBorders>
            <w:shd w:val="clear" w:color="auto" w:fill="FFFFFF"/>
            <w:vAlign w:val="center"/>
          </w:tcPr>
          <w:p w14:paraId="696744A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未经甲方同意，乙方人员辞职和离职或无计划的调离项目组</w:t>
            </w:r>
          </w:p>
        </w:tc>
        <w:tc>
          <w:tcPr>
            <w:tcW w:w="1559" w:type="dxa"/>
            <w:tcBorders>
              <w:left w:val="single" w:color="auto" w:sz="4" w:space="0"/>
            </w:tcBorders>
            <w:shd w:val="clear" w:color="auto" w:fill="FFFFFF"/>
            <w:vAlign w:val="center"/>
          </w:tcPr>
          <w:p w14:paraId="2057749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甲方根据乙方人员退出的具体时间和原因测算</w:t>
            </w:r>
          </w:p>
        </w:tc>
        <w:tc>
          <w:tcPr>
            <w:tcW w:w="1843" w:type="dxa"/>
            <w:tcBorders>
              <w:left w:val="single" w:color="auto" w:sz="4" w:space="0"/>
            </w:tcBorders>
            <w:shd w:val="clear" w:color="auto" w:fill="FFFFFF"/>
            <w:vAlign w:val="center"/>
          </w:tcPr>
          <w:p w14:paraId="09A4F58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人员异常退出次数=0</w:t>
            </w:r>
          </w:p>
        </w:tc>
        <w:tc>
          <w:tcPr>
            <w:tcW w:w="1701" w:type="dxa"/>
            <w:tcBorders>
              <w:left w:val="single" w:color="auto" w:sz="4" w:space="0"/>
            </w:tcBorders>
            <w:shd w:val="clear" w:color="auto" w:fill="FFFFFF"/>
            <w:vAlign w:val="center"/>
          </w:tcPr>
          <w:p w14:paraId="49356FA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每次人员异常退出扣除乙方金额人民币1000元</w:t>
            </w:r>
          </w:p>
        </w:tc>
        <w:tc>
          <w:tcPr>
            <w:tcW w:w="709" w:type="dxa"/>
            <w:tcBorders>
              <w:left w:val="single" w:color="auto" w:sz="4" w:space="0"/>
            </w:tcBorders>
            <w:shd w:val="clear" w:color="auto" w:fill="FFFFFF"/>
          </w:tcPr>
          <w:p w14:paraId="4A60E718">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7FBC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FFFFFF"/>
            <w:vAlign w:val="center"/>
          </w:tcPr>
          <w:p w14:paraId="14AF0A86">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9</w:t>
            </w:r>
          </w:p>
        </w:tc>
        <w:tc>
          <w:tcPr>
            <w:tcW w:w="710" w:type="dxa"/>
            <w:tcBorders>
              <w:left w:val="single" w:color="auto" w:sz="4" w:space="0"/>
            </w:tcBorders>
            <w:shd w:val="clear" w:color="auto" w:fill="FFFFFF"/>
            <w:vAlign w:val="center"/>
          </w:tcPr>
          <w:p w14:paraId="17B6E70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人员纪律性</w:t>
            </w:r>
          </w:p>
        </w:tc>
        <w:tc>
          <w:tcPr>
            <w:tcW w:w="1134" w:type="dxa"/>
            <w:tcBorders>
              <w:left w:val="single" w:color="auto" w:sz="4" w:space="0"/>
            </w:tcBorders>
            <w:shd w:val="clear" w:color="auto" w:fill="FFFFFF"/>
            <w:vAlign w:val="center"/>
          </w:tcPr>
          <w:p w14:paraId="264F227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衡量乙方人员是否遵守甲方的日常规章和操作规范</w:t>
            </w:r>
          </w:p>
        </w:tc>
        <w:tc>
          <w:tcPr>
            <w:tcW w:w="1701" w:type="dxa"/>
            <w:tcBorders>
              <w:left w:val="single" w:color="auto" w:sz="4" w:space="0"/>
            </w:tcBorders>
            <w:shd w:val="clear" w:color="auto" w:fill="FFFFFF"/>
            <w:vAlign w:val="center"/>
          </w:tcPr>
          <w:p w14:paraId="40D1B906">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乙方人员不得违反甲方的各项规章制度和操作规范</w:t>
            </w:r>
          </w:p>
        </w:tc>
        <w:tc>
          <w:tcPr>
            <w:tcW w:w="1559" w:type="dxa"/>
            <w:tcBorders>
              <w:left w:val="single" w:color="auto" w:sz="4" w:space="0"/>
            </w:tcBorders>
            <w:shd w:val="clear" w:color="auto" w:fill="FFFFFF"/>
            <w:vAlign w:val="center"/>
          </w:tcPr>
          <w:p w14:paraId="4D45347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甲方根据自身检查及其他管理部门的检查结果为依据统计乙方人员违规次数。</w:t>
            </w:r>
          </w:p>
        </w:tc>
        <w:tc>
          <w:tcPr>
            <w:tcW w:w="1843" w:type="dxa"/>
            <w:tcBorders>
              <w:left w:val="single" w:color="auto" w:sz="4" w:space="0"/>
            </w:tcBorders>
            <w:shd w:val="clear" w:color="auto" w:fill="FFFFFF"/>
            <w:vAlign w:val="center"/>
          </w:tcPr>
          <w:p w14:paraId="65B2ADF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人员违规次数=0次</w:t>
            </w:r>
          </w:p>
        </w:tc>
        <w:tc>
          <w:tcPr>
            <w:tcW w:w="1701" w:type="dxa"/>
            <w:tcBorders>
              <w:left w:val="single" w:color="auto" w:sz="4" w:space="0"/>
            </w:tcBorders>
            <w:shd w:val="clear" w:color="auto" w:fill="FFFFFF"/>
            <w:vAlign w:val="center"/>
          </w:tcPr>
          <w:p w14:paraId="067375B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乙方人员违反甲方规章制度或操作规范，每次扣除乙方金额人民币500元</w:t>
            </w:r>
          </w:p>
        </w:tc>
        <w:tc>
          <w:tcPr>
            <w:tcW w:w="709" w:type="dxa"/>
            <w:tcBorders>
              <w:left w:val="single" w:color="auto" w:sz="4" w:space="0"/>
            </w:tcBorders>
            <w:shd w:val="clear" w:color="auto" w:fill="FFFFFF"/>
          </w:tcPr>
          <w:p w14:paraId="0C5B216D">
            <w:pPr>
              <w:keepNext w:val="0"/>
              <w:keepLines w:val="0"/>
              <w:widowControl/>
              <w:suppressLineNumbers w:val="0"/>
              <w:spacing w:before="0" w:beforeAutospacing="0" w:after="0" w:afterAutospacing="0"/>
              <w:ind w:left="0" w:right="0"/>
              <w:jc w:val="left"/>
              <w:rPr>
                <w:rFonts w:hint="default" w:ascii="宋体"/>
                <w:sz w:val="21"/>
                <w:szCs w:val="24"/>
                <w:highlight w:val="none"/>
              </w:rPr>
            </w:pPr>
          </w:p>
        </w:tc>
      </w:tr>
      <w:tr w14:paraId="22BF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FFFFFF"/>
            <w:vAlign w:val="center"/>
          </w:tcPr>
          <w:p w14:paraId="26664E19">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10</w:t>
            </w:r>
          </w:p>
        </w:tc>
        <w:tc>
          <w:tcPr>
            <w:tcW w:w="710" w:type="dxa"/>
            <w:tcBorders>
              <w:left w:val="single" w:color="auto" w:sz="4" w:space="0"/>
            </w:tcBorders>
            <w:shd w:val="clear" w:color="auto" w:fill="FFFFFF"/>
            <w:vAlign w:val="center"/>
          </w:tcPr>
          <w:p w14:paraId="73E6894C">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安全管理</w:t>
            </w:r>
          </w:p>
        </w:tc>
        <w:tc>
          <w:tcPr>
            <w:tcW w:w="1134" w:type="dxa"/>
            <w:tcBorders>
              <w:left w:val="single" w:color="auto" w:sz="4" w:space="0"/>
            </w:tcBorders>
            <w:shd w:val="clear" w:color="auto" w:fill="FFFFFF"/>
            <w:vAlign w:val="center"/>
          </w:tcPr>
          <w:p w14:paraId="0BABA23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衡量乙方网络和信息安全服务的管理能力</w:t>
            </w:r>
          </w:p>
        </w:tc>
        <w:tc>
          <w:tcPr>
            <w:tcW w:w="1701" w:type="dxa"/>
            <w:tcBorders>
              <w:left w:val="single" w:color="auto" w:sz="4" w:space="0"/>
            </w:tcBorders>
            <w:shd w:val="clear" w:color="auto" w:fill="FFFFFF"/>
            <w:vAlign w:val="center"/>
          </w:tcPr>
          <w:p w14:paraId="3F66DEB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针对发现的安全漏洞及安全缺陷（包括源代码、第三方SDK或第三方小程序、第三方软件产品及开源组件等），须按甲方要求完成整改。</w:t>
            </w:r>
          </w:p>
        </w:tc>
        <w:tc>
          <w:tcPr>
            <w:tcW w:w="1559" w:type="dxa"/>
            <w:tcBorders>
              <w:left w:val="single" w:color="auto" w:sz="4" w:space="0"/>
            </w:tcBorders>
            <w:shd w:val="clear" w:color="auto" w:fill="FFFFFF"/>
            <w:vAlign w:val="center"/>
          </w:tcPr>
          <w:p w14:paraId="5E22529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甲方根据整改情况统计整改及时性及整改通过率。</w:t>
            </w:r>
          </w:p>
        </w:tc>
        <w:tc>
          <w:tcPr>
            <w:tcW w:w="1843" w:type="dxa"/>
            <w:tcBorders>
              <w:left w:val="single" w:color="auto" w:sz="4" w:space="0"/>
            </w:tcBorders>
            <w:shd w:val="clear" w:color="auto" w:fill="FFFFFF"/>
            <w:vAlign w:val="center"/>
          </w:tcPr>
          <w:p w14:paraId="7FD601D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互联网或电子银行类系统：</w:t>
            </w:r>
          </w:p>
          <w:p w14:paraId="69B15586">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1.安全漏洞及安全缺陷整改及时率=100%</w:t>
            </w:r>
          </w:p>
          <w:p w14:paraId="3D6FAAEA">
            <w:pPr>
              <w:keepNext w:val="0"/>
              <w:keepLines w:val="0"/>
              <w:suppressLineNumbers w:val="0"/>
              <w:spacing w:before="0" w:beforeAutospacing="0" w:after="0" w:afterAutospacing="0"/>
              <w:ind w:left="0" w:right="0" w:firstLine="0"/>
              <w:rPr>
                <w:rFonts w:hint="default" w:ascii="宋体" w:eastAsia="宋体"/>
                <w:spacing w:val="0"/>
                <w:sz w:val="21"/>
                <w:szCs w:val="24"/>
                <w:highlight w:val="none"/>
              </w:rPr>
            </w:pPr>
            <w:r>
              <w:rPr>
                <w:rFonts w:hint="eastAsia" w:ascii="宋体" w:eastAsia="宋体"/>
                <w:spacing w:val="0"/>
                <w:sz w:val="21"/>
                <w:szCs w:val="24"/>
                <w:highlight w:val="none"/>
              </w:rPr>
              <w:t>2.安全漏洞及安全缺陷整改通过率=100%</w:t>
            </w:r>
          </w:p>
          <w:p w14:paraId="507C45C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非互联网或电子银行类系统：</w:t>
            </w:r>
          </w:p>
          <w:p w14:paraId="5EE0AAC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1.中高危安全漏洞及安全缺陷整改及时率=100%</w:t>
            </w:r>
          </w:p>
          <w:p w14:paraId="6719E2D7">
            <w:pPr>
              <w:keepNext w:val="0"/>
              <w:keepLines w:val="0"/>
              <w:suppressLineNumbers w:val="0"/>
              <w:spacing w:before="0" w:beforeAutospacing="0" w:after="0" w:afterAutospacing="0"/>
              <w:ind w:left="0" w:right="0" w:firstLine="0"/>
              <w:rPr>
                <w:rFonts w:hint="default" w:ascii="宋体" w:eastAsia="宋体"/>
                <w:spacing w:val="0"/>
                <w:sz w:val="21"/>
                <w:szCs w:val="24"/>
                <w:highlight w:val="none"/>
              </w:rPr>
            </w:pPr>
            <w:r>
              <w:rPr>
                <w:rFonts w:hint="eastAsia" w:ascii="宋体" w:eastAsia="宋体"/>
                <w:spacing w:val="0"/>
                <w:sz w:val="21"/>
                <w:szCs w:val="24"/>
                <w:highlight w:val="none"/>
              </w:rPr>
              <w:t>2.中高危安全漏洞及安全缺陷整改通过率=100%</w:t>
            </w:r>
          </w:p>
        </w:tc>
        <w:tc>
          <w:tcPr>
            <w:tcW w:w="1701" w:type="dxa"/>
            <w:tcBorders>
              <w:left w:val="single" w:color="auto" w:sz="4" w:space="0"/>
            </w:tcBorders>
            <w:shd w:val="clear" w:color="auto" w:fill="FFFFFF"/>
            <w:vAlign w:val="center"/>
          </w:tcPr>
          <w:p w14:paraId="3E7D927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不满足该项任一标准扣除2万元违约金并要求乙方赔偿损失</w:t>
            </w:r>
          </w:p>
        </w:tc>
        <w:tc>
          <w:tcPr>
            <w:tcW w:w="709" w:type="dxa"/>
            <w:tcBorders>
              <w:left w:val="single" w:color="auto" w:sz="4" w:space="0"/>
            </w:tcBorders>
            <w:shd w:val="clear" w:color="auto" w:fill="FFFFFF"/>
          </w:tcPr>
          <w:p w14:paraId="5B20D781">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3AEE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shd w:val="clear" w:color="auto" w:fill="FFFFFF"/>
            <w:vAlign w:val="center"/>
          </w:tcPr>
          <w:p w14:paraId="2DA34D75">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1</w:t>
            </w:r>
            <w:r>
              <w:rPr>
                <w:rFonts w:hint="default" w:ascii="宋体" w:eastAsia="宋体"/>
                <w:spacing w:val="0"/>
                <w:szCs w:val="24"/>
                <w:highlight w:val="none"/>
              </w:rPr>
              <w:t>1</w:t>
            </w:r>
          </w:p>
        </w:tc>
        <w:tc>
          <w:tcPr>
            <w:tcW w:w="710" w:type="dxa"/>
            <w:tcBorders>
              <w:left w:val="single" w:color="auto" w:sz="4" w:space="0"/>
            </w:tcBorders>
            <w:shd w:val="clear" w:color="auto" w:fill="FFFFFF"/>
            <w:vAlign w:val="center"/>
          </w:tcPr>
          <w:p w14:paraId="1AC0BAC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网络安全事件</w:t>
            </w:r>
          </w:p>
        </w:tc>
        <w:tc>
          <w:tcPr>
            <w:tcW w:w="1134" w:type="dxa"/>
            <w:tcBorders>
              <w:left w:val="single" w:color="auto" w:sz="4" w:space="0"/>
            </w:tcBorders>
            <w:shd w:val="clear" w:color="auto" w:fill="FFFFFF"/>
            <w:vAlign w:val="center"/>
          </w:tcPr>
          <w:p w14:paraId="7E06CA8A">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控制网络安全风险</w:t>
            </w:r>
          </w:p>
        </w:tc>
        <w:tc>
          <w:tcPr>
            <w:tcW w:w="1701" w:type="dxa"/>
            <w:tcBorders>
              <w:left w:val="single" w:color="auto" w:sz="4" w:space="0"/>
            </w:tcBorders>
            <w:shd w:val="clear" w:color="auto" w:fill="FFFFFF"/>
            <w:vAlign w:val="center"/>
          </w:tcPr>
          <w:p w14:paraId="1683F8E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不得因乙方原因（含乙方合作的第三方）导致甲方发生网络安全事件</w:t>
            </w:r>
          </w:p>
        </w:tc>
        <w:tc>
          <w:tcPr>
            <w:tcW w:w="1559" w:type="dxa"/>
            <w:tcBorders>
              <w:left w:val="single" w:color="auto" w:sz="4" w:space="0"/>
            </w:tcBorders>
            <w:shd w:val="clear" w:color="auto" w:fill="FFFFFF"/>
            <w:vAlign w:val="center"/>
          </w:tcPr>
          <w:p w14:paraId="4004985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甲方根据监管及本行要求及事件危害程度判定。</w:t>
            </w:r>
          </w:p>
        </w:tc>
        <w:tc>
          <w:tcPr>
            <w:tcW w:w="1843" w:type="dxa"/>
            <w:tcBorders>
              <w:left w:val="single" w:color="auto" w:sz="4" w:space="0"/>
            </w:tcBorders>
            <w:shd w:val="clear" w:color="auto" w:fill="FFFFFF"/>
            <w:vAlign w:val="center"/>
          </w:tcPr>
          <w:p w14:paraId="69B433B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网络安全事件=0</w:t>
            </w:r>
          </w:p>
        </w:tc>
        <w:tc>
          <w:tcPr>
            <w:tcW w:w="1701" w:type="dxa"/>
            <w:tcBorders>
              <w:left w:val="single" w:color="auto" w:sz="4" w:space="0"/>
            </w:tcBorders>
            <w:shd w:val="clear" w:color="auto" w:fill="FFFFFF"/>
            <w:vAlign w:val="center"/>
          </w:tcPr>
          <w:p w14:paraId="308ACD2A">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每发生一次网络安全事件扣除乙方合同金额不低于3%,并要求乙方赔偿实际损失。</w:t>
            </w:r>
          </w:p>
        </w:tc>
        <w:tc>
          <w:tcPr>
            <w:tcW w:w="709" w:type="dxa"/>
            <w:tcBorders>
              <w:left w:val="single" w:color="auto" w:sz="4" w:space="0"/>
            </w:tcBorders>
            <w:shd w:val="clear" w:color="auto" w:fill="FFFFFF"/>
          </w:tcPr>
          <w:p w14:paraId="4F3A324F">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27CA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50" w:hRule="atLeast"/>
        </w:trPr>
        <w:tc>
          <w:tcPr>
            <w:tcW w:w="567" w:type="dxa"/>
            <w:shd w:val="clear" w:color="auto" w:fill="FFFFFF"/>
            <w:vAlign w:val="center"/>
          </w:tcPr>
          <w:p w14:paraId="2CDDB6F4">
            <w:pPr>
              <w:keepNext w:val="0"/>
              <w:keepLines w:val="0"/>
              <w:widowControl/>
              <w:suppressLineNumbers w:val="0"/>
              <w:spacing w:before="0" w:beforeAutospacing="0" w:after="0" w:afterAutospacing="0"/>
              <w:ind w:left="0" w:right="0"/>
              <w:jc w:val="center"/>
              <w:rPr>
                <w:rFonts w:hint="default" w:ascii="宋体" w:eastAsia="宋体"/>
                <w:spacing w:val="0"/>
                <w:szCs w:val="24"/>
                <w:highlight w:val="none"/>
              </w:rPr>
            </w:pPr>
            <w:r>
              <w:rPr>
                <w:rFonts w:hint="default" w:ascii="宋体" w:eastAsia="宋体"/>
                <w:spacing w:val="0"/>
                <w:szCs w:val="24"/>
                <w:highlight w:val="none"/>
              </w:rPr>
              <w:t>1</w:t>
            </w:r>
            <w:r>
              <w:rPr>
                <w:rFonts w:hint="eastAsia" w:ascii="宋体" w:eastAsia="宋体"/>
                <w:spacing w:val="0"/>
                <w:szCs w:val="24"/>
                <w:highlight w:val="none"/>
              </w:rPr>
              <w:t>2</w:t>
            </w:r>
          </w:p>
        </w:tc>
        <w:tc>
          <w:tcPr>
            <w:tcW w:w="710" w:type="dxa"/>
            <w:tcBorders>
              <w:left w:val="single" w:color="auto" w:sz="4" w:space="0"/>
            </w:tcBorders>
            <w:shd w:val="clear" w:color="auto" w:fill="FFFFFF"/>
            <w:vAlign w:val="center"/>
          </w:tcPr>
          <w:p w14:paraId="18EB2626">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外包安全事件</w:t>
            </w:r>
          </w:p>
        </w:tc>
        <w:tc>
          <w:tcPr>
            <w:tcW w:w="1134" w:type="dxa"/>
            <w:tcBorders>
              <w:left w:val="single" w:color="auto" w:sz="4" w:space="0"/>
            </w:tcBorders>
            <w:shd w:val="clear" w:color="auto" w:fill="FFFFFF"/>
            <w:vAlign w:val="center"/>
          </w:tcPr>
          <w:p w14:paraId="1D3AB44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default" w:ascii="宋体" w:eastAsia="宋体"/>
                <w:spacing w:val="0"/>
                <w:sz w:val="21"/>
                <w:szCs w:val="24"/>
                <w:highlight w:val="none"/>
              </w:rPr>
              <w:t>控制外包操作风险</w:t>
            </w:r>
          </w:p>
        </w:tc>
        <w:tc>
          <w:tcPr>
            <w:tcW w:w="1701" w:type="dxa"/>
            <w:tcBorders>
              <w:left w:val="single" w:color="auto" w:sz="4" w:space="0"/>
            </w:tcBorders>
            <w:shd w:val="clear" w:color="auto" w:fill="FFFFFF"/>
            <w:vAlign w:val="center"/>
          </w:tcPr>
          <w:p w14:paraId="341C148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default" w:ascii="宋体" w:eastAsia="宋体"/>
                <w:spacing w:val="0"/>
                <w:sz w:val="21"/>
                <w:szCs w:val="24"/>
                <w:highlight w:val="none"/>
              </w:rPr>
              <w:t>乙方不得出现危害甲方生产运行安全、数据安全等并造成后果的外包安全事件。</w:t>
            </w:r>
          </w:p>
        </w:tc>
        <w:tc>
          <w:tcPr>
            <w:tcW w:w="1559" w:type="dxa"/>
            <w:tcBorders>
              <w:left w:val="single" w:color="auto" w:sz="4" w:space="0"/>
            </w:tcBorders>
            <w:shd w:val="clear" w:color="auto" w:fill="FFFFFF"/>
            <w:vAlign w:val="center"/>
          </w:tcPr>
          <w:p w14:paraId="5F46A6E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default" w:ascii="宋体" w:eastAsia="宋体"/>
                <w:spacing w:val="0"/>
                <w:sz w:val="21"/>
                <w:szCs w:val="24"/>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left w:val="single" w:color="auto" w:sz="4" w:space="0"/>
            </w:tcBorders>
            <w:shd w:val="clear" w:color="auto" w:fill="FFFFFF"/>
            <w:vAlign w:val="center"/>
          </w:tcPr>
          <w:p w14:paraId="440694B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外包安全事件=0</w:t>
            </w:r>
          </w:p>
        </w:tc>
        <w:tc>
          <w:tcPr>
            <w:tcW w:w="1701" w:type="dxa"/>
            <w:tcBorders>
              <w:left w:val="single" w:color="auto" w:sz="4" w:space="0"/>
            </w:tcBorders>
            <w:shd w:val="clear" w:color="auto" w:fill="FFFFFF"/>
            <w:vAlign w:val="center"/>
          </w:tcPr>
          <w:p w14:paraId="2AA72AF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每次</w:t>
            </w:r>
            <w:r>
              <w:rPr>
                <w:rFonts w:hint="default" w:ascii="宋体" w:eastAsia="宋体"/>
                <w:spacing w:val="0"/>
                <w:sz w:val="21"/>
                <w:szCs w:val="24"/>
                <w:highlight w:val="none"/>
              </w:rPr>
              <w:t>事件扣罚乙方金额不低于人民币1000元，并要求乙方赔偿实际损失。</w:t>
            </w:r>
          </w:p>
        </w:tc>
        <w:tc>
          <w:tcPr>
            <w:tcW w:w="709" w:type="dxa"/>
            <w:tcBorders>
              <w:left w:val="single" w:color="auto" w:sz="4" w:space="0"/>
            </w:tcBorders>
            <w:shd w:val="clear" w:color="auto" w:fill="FFFFFF"/>
          </w:tcPr>
          <w:p w14:paraId="5180BD4B">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5C96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2" w:hRule="atLeast"/>
        </w:trPr>
        <w:tc>
          <w:tcPr>
            <w:tcW w:w="567" w:type="dxa"/>
            <w:shd w:val="clear" w:color="auto" w:fill="FFFFFF"/>
            <w:vAlign w:val="center"/>
          </w:tcPr>
          <w:p w14:paraId="36D84F9B">
            <w:pPr>
              <w:keepNext w:val="0"/>
              <w:keepLines w:val="0"/>
              <w:widowControl/>
              <w:suppressLineNumbers w:val="0"/>
              <w:spacing w:before="0" w:beforeAutospacing="0" w:after="0" w:afterAutospacing="0"/>
              <w:ind w:left="0" w:right="0"/>
              <w:jc w:val="center"/>
              <w:rPr>
                <w:rFonts w:hint="default" w:ascii="宋体" w:eastAsia="宋体"/>
                <w:spacing w:val="0"/>
                <w:szCs w:val="24"/>
                <w:highlight w:val="none"/>
              </w:rPr>
            </w:pPr>
            <w:r>
              <w:rPr>
                <w:rFonts w:hint="eastAsia" w:ascii="宋体" w:eastAsia="宋体"/>
                <w:spacing w:val="0"/>
                <w:szCs w:val="24"/>
                <w:highlight w:val="none"/>
              </w:rPr>
              <w:t>13</w:t>
            </w:r>
          </w:p>
        </w:tc>
        <w:tc>
          <w:tcPr>
            <w:tcW w:w="710" w:type="dxa"/>
            <w:tcBorders>
              <w:left w:val="single" w:color="auto" w:sz="4" w:space="0"/>
            </w:tcBorders>
            <w:shd w:val="clear" w:color="auto" w:fill="FFFFFF"/>
            <w:vAlign w:val="center"/>
          </w:tcPr>
          <w:p w14:paraId="6894263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交付文档数量及质量</w:t>
            </w:r>
          </w:p>
        </w:tc>
        <w:tc>
          <w:tcPr>
            <w:tcW w:w="1134" w:type="dxa"/>
            <w:tcBorders>
              <w:left w:val="single" w:color="auto" w:sz="4" w:space="0"/>
            </w:tcBorders>
            <w:shd w:val="clear" w:color="auto" w:fill="FFFFFF"/>
            <w:vAlign w:val="center"/>
          </w:tcPr>
          <w:p w14:paraId="5F022D8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衡量甲方内部人员对乙方所提供文档的满意情况</w:t>
            </w:r>
          </w:p>
        </w:tc>
        <w:tc>
          <w:tcPr>
            <w:tcW w:w="1701" w:type="dxa"/>
            <w:tcBorders>
              <w:left w:val="single" w:color="auto" w:sz="4" w:space="0"/>
            </w:tcBorders>
            <w:shd w:val="clear" w:color="auto" w:fill="FFFFFF"/>
            <w:vAlign w:val="center"/>
          </w:tcPr>
          <w:p w14:paraId="76F98F7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交付文档数量及质量满足甲方要求</w:t>
            </w:r>
          </w:p>
        </w:tc>
        <w:tc>
          <w:tcPr>
            <w:tcW w:w="1559" w:type="dxa"/>
            <w:tcBorders>
              <w:left w:val="single" w:color="auto" w:sz="4" w:space="0"/>
            </w:tcBorders>
            <w:shd w:val="clear" w:color="auto" w:fill="FFFFFF"/>
            <w:vAlign w:val="center"/>
          </w:tcPr>
          <w:p w14:paraId="3C9E384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甲方根据乙方实际交付的文档数量及文档质量计算</w:t>
            </w:r>
          </w:p>
        </w:tc>
        <w:tc>
          <w:tcPr>
            <w:tcW w:w="1843" w:type="dxa"/>
            <w:tcBorders>
              <w:left w:val="single" w:color="auto" w:sz="4" w:space="0"/>
            </w:tcBorders>
            <w:shd w:val="clear" w:color="auto" w:fill="FFFFFF"/>
            <w:vAlign w:val="center"/>
          </w:tcPr>
          <w:p w14:paraId="0A67247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文档实际交付数量不少于甲方要求数量（文档实际交付数量是指文档交付甲方后甲方确认文档质量并实际接收的文档数量）</w:t>
            </w:r>
          </w:p>
        </w:tc>
        <w:tc>
          <w:tcPr>
            <w:tcW w:w="1701" w:type="dxa"/>
            <w:tcBorders>
              <w:left w:val="single" w:color="auto" w:sz="4" w:space="0"/>
            </w:tcBorders>
            <w:shd w:val="clear" w:color="auto" w:fill="FFFFFF"/>
            <w:vAlign w:val="center"/>
          </w:tcPr>
          <w:p w14:paraId="15D8177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文档每缺少一个扣除合同金额2000元；每有一个文档质量不合格扣除合同金额2000元</w:t>
            </w:r>
          </w:p>
        </w:tc>
        <w:tc>
          <w:tcPr>
            <w:tcW w:w="709" w:type="dxa"/>
            <w:tcBorders>
              <w:left w:val="single" w:color="auto" w:sz="4" w:space="0"/>
            </w:tcBorders>
            <w:shd w:val="clear" w:color="auto" w:fill="FFFFFF"/>
            <w:vAlign w:val="center"/>
          </w:tcPr>
          <w:p w14:paraId="2ADB4BB7">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700A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567" w:type="dxa"/>
            <w:shd w:val="clear" w:color="auto" w:fill="FFFFFF"/>
            <w:vAlign w:val="center"/>
          </w:tcPr>
          <w:p w14:paraId="5BC385EC">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14</w:t>
            </w:r>
          </w:p>
        </w:tc>
        <w:tc>
          <w:tcPr>
            <w:tcW w:w="710" w:type="dxa"/>
            <w:tcBorders>
              <w:left w:val="single" w:color="auto" w:sz="4" w:space="0"/>
            </w:tcBorders>
            <w:shd w:val="clear" w:color="auto" w:fill="FFFFFF"/>
            <w:vAlign w:val="center"/>
          </w:tcPr>
          <w:p w14:paraId="6ABFA9A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服务满意度</w:t>
            </w:r>
          </w:p>
        </w:tc>
        <w:tc>
          <w:tcPr>
            <w:tcW w:w="1134" w:type="dxa"/>
            <w:tcBorders>
              <w:left w:val="single" w:color="auto" w:sz="4" w:space="0"/>
            </w:tcBorders>
            <w:shd w:val="clear" w:color="auto" w:fill="FFFFFF"/>
            <w:vAlign w:val="center"/>
          </w:tcPr>
          <w:p w14:paraId="0A26A45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衡量甲方内部人员对乙方所提供服务的满意情况</w:t>
            </w:r>
          </w:p>
        </w:tc>
        <w:tc>
          <w:tcPr>
            <w:tcW w:w="1701" w:type="dxa"/>
            <w:tcBorders>
              <w:left w:val="single" w:color="auto" w:sz="4" w:space="0"/>
            </w:tcBorders>
            <w:shd w:val="clear" w:color="auto" w:fill="FFFFFF"/>
            <w:vAlign w:val="center"/>
          </w:tcPr>
          <w:p w14:paraId="356B244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服务满意度指标</w:t>
            </w:r>
          </w:p>
        </w:tc>
        <w:tc>
          <w:tcPr>
            <w:tcW w:w="1559" w:type="dxa"/>
            <w:tcBorders>
              <w:left w:val="single" w:color="auto" w:sz="4" w:space="0"/>
            </w:tcBorders>
            <w:shd w:val="clear" w:color="auto" w:fill="FFFFFF"/>
            <w:vAlign w:val="center"/>
          </w:tcPr>
          <w:p w14:paraId="17AA7F5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服务满意度评级判定</w:t>
            </w:r>
          </w:p>
        </w:tc>
        <w:tc>
          <w:tcPr>
            <w:tcW w:w="1843" w:type="dxa"/>
            <w:tcBorders>
              <w:left w:val="single" w:color="auto" w:sz="4" w:space="0"/>
            </w:tcBorders>
            <w:shd w:val="clear" w:color="auto" w:fill="FFFFFF"/>
            <w:vAlign w:val="center"/>
          </w:tcPr>
          <w:p w14:paraId="555C97F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客户满意度级别为：1级（非常不满意）；2级（不满意）；3级（一般满意）；4级（满意）；5级（非常满意）（服务满意不低于3级）</w:t>
            </w:r>
          </w:p>
        </w:tc>
        <w:tc>
          <w:tcPr>
            <w:tcW w:w="1701" w:type="dxa"/>
            <w:tcBorders>
              <w:left w:val="single" w:color="auto" w:sz="4" w:space="0"/>
            </w:tcBorders>
            <w:shd w:val="clear" w:color="auto" w:fill="FFFFFF"/>
            <w:vAlign w:val="center"/>
          </w:tcPr>
          <w:p w14:paraId="6895F531">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r>
              <w:rPr>
                <w:rFonts w:hint="eastAsia" w:ascii="宋体" w:eastAsia="宋体"/>
                <w:spacing w:val="0"/>
                <w:sz w:val="21"/>
                <w:szCs w:val="24"/>
                <w:highlight w:val="none"/>
              </w:rPr>
              <w:t>　</w:t>
            </w:r>
          </w:p>
        </w:tc>
        <w:tc>
          <w:tcPr>
            <w:tcW w:w="709" w:type="dxa"/>
            <w:tcBorders>
              <w:left w:val="single" w:color="auto" w:sz="4" w:space="0"/>
            </w:tcBorders>
            <w:shd w:val="clear" w:color="auto" w:fill="FFFFFF"/>
          </w:tcPr>
          <w:p w14:paraId="2748785E">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4DA4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shd w:val="clear" w:color="auto" w:fill="FFFFFF"/>
            <w:noWrap/>
            <w:vAlign w:val="center"/>
          </w:tcPr>
          <w:p w14:paraId="687EF68A">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合计</w:t>
            </w:r>
          </w:p>
        </w:tc>
        <w:tc>
          <w:tcPr>
            <w:tcW w:w="710" w:type="dxa"/>
            <w:tcBorders>
              <w:left w:val="single" w:color="auto" w:sz="4" w:space="0"/>
            </w:tcBorders>
            <w:shd w:val="clear" w:color="auto" w:fill="FFFFFF"/>
            <w:noWrap/>
            <w:vAlign w:val="center"/>
          </w:tcPr>
          <w:p w14:paraId="374D395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bookmarkStart w:id="319" w:name="突出显示"/>
            <w:r>
              <w:rPr>
                <w:rFonts w:hint="eastAsia" w:ascii="宋体" w:eastAsia="宋体"/>
                <w:spacing w:val="0"/>
                <w:sz w:val="21"/>
                <w:szCs w:val="24"/>
                <w:highlight w:val="none"/>
              </w:rPr>
              <w:t>SLA</w:t>
            </w:r>
            <w:bookmarkEnd w:id="319"/>
            <w:r>
              <w:rPr>
                <w:rFonts w:hint="eastAsia" w:ascii="宋体" w:eastAsia="宋体"/>
                <w:spacing w:val="0"/>
                <w:sz w:val="21"/>
                <w:szCs w:val="24"/>
                <w:highlight w:val="none"/>
              </w:rPr>
              <w:t>满足率</w:t>
            </w:r>
          </w:p>
        </w:tc>
        <w:tc>
          <w:tcPr>
            <w:tcW w:w="1134" w:type="dxa"/>
            <w:tcBorders>
              <w:left w:val="single" w:color="auto" w:sz="4" w:space="0"/>
            </w:tcBorders>
            <w:shd w:val="clear" w:color="auto" w:fill="FFFFFF"/>
            <w:noWrap/>
            <w:vAlign w:val="center"/>
          </w:tcPr>
          <w:p w14:paraId="0B5E30E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此数据是衡量满足要求的</w:t>
            </w:r>
            <w:bookmarkStart w:id="320" w:name="突出显示"/>
            <w:r>
              <w:rPr>
                <w:rFonts w:hint="eastAsia" w:ascii="宋体" w:eastAsia="宋体"/>
                <w:spacing w:val="0"/>
                <w:sz w:val="21"/>
                <w:szCs w:val="24"/>
                <w:highlight w:val="none"/>
              </w:rPr>
              <w:t>SLA</w:t>
            </w:r>
            <w:bookmarkEnd w:id="320"/>
            <w:r>
              <w:rPr>
                <w:rFonts w:hint="eastAsia" w:ascii="宋体" w:eastAsia="宋体"/>
                <w:spacing w:val="0"/>
                <w:sz w:val="21"/>
                <w:szCs w:val="24"/>
                <w:highlight w:val="none"/>
              </w:rPr>
              <w:t>个数与整体</w:t>
            </w:r>
            <w:bookmarkStart w:id="321" w:name="突出显示"/>
            <w:r>
              <w:rPr>
                <w:rFonts w:hint="eastAsia" w:ascii="宋体" w:eastAsia="宋体"/>
                <w:spacing w:val="0"/>
                <w:sz w:val="21"/>
                <w:szCs w:val="24"/>
                <w:highlight w:val="none"/>
              </w:rPr>
              <w:t>SLA</w:t>
            </w:r>
            <w:bookmarkEnd w:id="321"/>
            <w:r>
              <w:rPr>
                <w:rFonts w:hint="eastAsia" w:ascii="宋体" w:eastAsia="宋体"/>
                <w:spacing w:val="0"/>
                <w:sz w:val="21"/>
                <w:szCs w:val="24"/>
                <w:highlight w:val="none"/>
              </w:rPr>
              <w:t>个数的百分之整体的比率</w:t>
            </w:r>
          </w:p>
        </w:tc>
        <w:tc>
          <w:tcPr>
            <w:tcW w:w="1701" w:type="dxa"/>
            <w:tcBorders>
              <w:left w:val="single" w:color="auto" w:sz="4" w:space="0"/>
            </w:tcBorders>
            <w:shd w:val="clear" w:color="auto" w:fill="FFFFFF"/>
            <w:noWrap/>
            <w:vAlign w:val="center"/>
          </w:tcPr>
          <w:p w14:paraId="61CD16B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衡量乙方达到要求的</w:t>
            </w:r>
            <w:bookmarkStart w:id="322" w:name="突出显示"/>
            <w:r>
              <w:rPr>
                <w:rFonts w:hint="eastAsia" w:ascii="宋体" w:eastAsia="宋体"/>
                <w:spacing w:val="0"/>
                <w:sz w:val="21"/>
                <w:szCs w:val="24"/>
                <w:highlight w:val="none"/>
              </w:rPr>
              <w:t>SLA</w:t>
            </w:r>
            <w:bookmarkEnd w:id="322"/>
            <w:r>
              <w:rPr>
                <w:rFonts w:hint="eastAsia" w:ascii="宋体" w:eastAsia="宋体"/>
                <w:spacing w:val="0"/>
                <w:sz w:val="21"/>
                <w:szCs w:val="24"/>
                <w:highlight w:val="none"/>
              </w:rPr>
              <w:t>占全部</w:t>
            </w:r>
            <w:bookmarkStart w:id="323" w:name="突出显示"/>
            <w:r>
              <w:rPr>
                <w:rFonts w:hint="eastAsia" w:ascii="宋体" w:eastAsia="宋体"/>
                <w:spacing w:val="0"/>
                <w:sz w:val="21"/>
                <w:szCs w:val="24"/>
                <w:highlight w:val="none"/>
              </w:rPr>
              <w:t>SLA</w:t>
            </w:r>
            <w:bookmarkEnd w:id="323"/>
            <w:r>
              <w:rPr>
                <w:rFonts w:hint="eastAsia" w:ascii="宋体" w:eastAsia="宋体"/>
                <w:spacing w:val="0"/>
                <w:sz w:val="21"/>
                <w:szCs w:val="24"/>
                <w:highlight w:val="none"/>
              </w:rPr>
              <w:t>的百分比。</w:t>
            </w:r>
          </w:p>
        </w:tc>
        <w:tc>
          <w:tcPr>
            <w:tcW w:w="1559" w:type="dxa"/>
            <w:tcBorders>
              <w:left w:val="single" w:color="auto" w:sz="4" w:space="0"/>
            </w:tcBorders>
            <w:shd w:val="clear" w:color="auto" w:fill="FFFFFF"/>
            <w:noWrap/>
            <w:vAlign w:val="center"/>
          </w:tcPr>
          <w:p w14:paraId="3A53189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为了这个度量报告，需要持续汇报SOW中所有</w:t>
            </w:r>
            <w:bookmarkStart w:id="324" w:name="突出显示"/>
            <w:r>
              <w:rPr>
                <w:rFonts w:hint="eastAsia" w:ascii="宋体" w:eastAsia="宋体"/>
                <w:spacing w:val="0"/>
                <w:sz w:val="21"/>
                <w:szCs w:val="24"/>
                <w:highlight w:val="none"/>
              </w:rPr>
              <w:t>SLA</w:t>
            </w:r>
            <w:bookmarkEnd w:id="324"/>
            <w:r>
              <w:rPr>
                <w:rFonts w:hint="eastAsia" w:ascii="宋体" w:eastAsia="宋体"/>
                <w:spacing w:val="0"/>
                <w:sz w:val="21"/>
                <w:szCs w:val="24"/>
                <w:highlight w:val="none"/>
              </w:rPr>
              <w:t>情况。</w:t>
            </w:r>
          </w:p>
        </w:tc>
        <w:tc>
          <w:tcPr>
            <w:tcW w:w="1843" w:type="dxa"/>
            <w:tcBorders>
              <w:left w:val="single" w:color="auto" w:sz="4" w:space="0"/>
            </w:tcBorders>
            <w:shd w:val="clear" w:color="auto" w:fill="FFFFFF"/>
            <w:noWrap/>
            <w:vAlign w:val="center"/>
          </w:tcPr>
          <w:p w14:paraId="1811EE9C">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bookmarkStart w:id="325" w:name="突出显示"/>
            <w:r>
              <w:rPr>
                <w:rFonts w:hint="eastAsia" w:ascii="宋体" w:eastAsia="宋体"/>
                <w:spacing w:val="0"/>
                <w:sz w:val="21"/>
                <w:szCs w:val="24"/>
                <w:highlight w:val="none"/>
              </w:rPr>
              <w:t>SLA</w:t>
            </w:r>
            <w:bookmarkEnd w:id="325"/>
            <w:r>
              <w:rPr>
                <w:rFonts w:hint="eastAsia" w:ascii="宋体" w:eastAsia="宋体"/>
                <w:spacing w:val="0"/>
                <w:sz w:val="21"/>
                <w:szCs w:val="24"/>
                <w:highlight w:val="none"/>
              </w:rPr>
              <w:t>满足率＝（满足</w:t>
            </w:r>
            <w:bookmarkStart w:id="326" w:name="突出显示"/>
            <w:r>
              <w:rPr>
                <w:rFonts w:hint="eastAsia" w:ascii="宋体" w:eastAsia="宋体"/>
                <w:spacing w:val="0"/>
                <w:sz w:val="21"/>
                <w:szCs w:val="24"/>
                <w:highlight w:val="none"/>
              </w:rPr>
              <w:t>SLA</w:t>
            </w:r>
            <w:bookmarkEnd w:id="326"/>
            <w:r>
              <w:rPr>
                <w:rFonts w:hint="eastAsia" w:ascii="宋体" w:eastAsia="宋体"/>
                <w:spacing w:val="0"/>
                <w:sz w:val="21"/>
                <w:szCs w:val="24"/>
                <w:highlight w:val="none"/>
              </w:rPr>
              <w:t>的个数/总体</w:t>
            </w:r>
            <w:bookmarkStart w:id="327" w:name="突出显示"/>
            <w:r>
              <w:rPr>
                <w:rFonts w:hint="eastAsia" w:ascii="宋体" w:eastAsia="宋体"/>
                <w:spacing w:val="0"/>
                <w:sz w:val="21"/>
                <w:szCs w:val="24"/>
                <w:highlight w:val="none"/>
              </w:rPr>
              <w:t>SLA</w:t>
            </w:r>
            <w:bookmarkEnd w:id="327"/>
            <w:r>
              <w:rPr>
                <w:rFonts w:hint="eastAsia" w:ascii="宋体" w:eastAsia="宋体"/>
                <w:spacing w:val="0"/>
                <w:sz w:val="21"/>
                <w:szCs w:val="24"/>
                <w:highlight w:val="none"/>
              </w:rPr>
              <w:t>的个数）×100%（</w:t>
            </w:r>
            <w:bookmarkStart w:id="328" w:name="突出显示"/>
            <w:r>
              <w:rPr>
                <w:rFonts w:hint="eastAsia" w:ascii="宋体" w:eastAsia="宋体"/>
                <w:spacing w:val="0"/>
                <w:sz w:val="21"/>
                <w:szCs w:val="24"/>
                <w:highlight w:val="none"/>
              </w:rPr>
              <w:t>SLA</w:t>
            </w:r>
            <w:bookmarkEnd w:id="328"/>
            <w:r>
              <w:rPr>
                <w:rFonts w:hint="eastAsia" w:ascii="宋体" w:eastAsia="宋体"/>
                <w:spacing w:val="0"/>
                <w:sz w:val="21"/>
                <w:szCs w:val="24"/>
                <w:highlight w:val="none"/>
              </w:rPr>
              <w:t>满足率≥70%）</w:t>
            </w:r>
          </w:p>
        </w:tc>
        <w:tc>
          <w:tcPr>
            <w:tcW w:w="1701" w:type="dxa"/>
            <w:tcBorders>
              <w:left w:val="single" w:color="auto" w:sz="4" w:space="0"/>
            </w:tcBorders>
            <w:shd w:val="clear" w:color="auto" w:fill="FFFFFF"/>
            <w:noWrap/>
            <w:vAlign w:val="center"/>
          </w:tcPr>
          <w:p w14:paraId="08E4553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bookmarkStart w:id="329" w:name="突出显示"/>
            <w:r>
              <w:rPr>
                <w:rFonts w:hint="eastAsia" w:ascii="宋体" w:eastAsia="宋体"/>
                <w:spacing w:val="0"/>
                <w:sz w:val="21"/>
                <w:szCs w:val="24"/>
                <w:highlight w:val="none"/>
              </w:rPr>
              <w:t>SLA</w:t>
            </w:r>
            <w:bookmarkEnd w:id="329"/>
            <w:r>
              <w:rPr>
                <w:rFonts w:hint="eastAsia" w:ascii="宋体" w:eastAsia="宋体"/>
                <w:spacing w:val="0"/>
                <w:sz w:val="21"/>
                <w:szCs w:val="24"/>
                <w:highlight w:val="none"/>
              </w:rPr>
              <w:t>满足率每低于标准5%，扣除合同总金额的1%</w:t>
            </w:r>
          </w:p>
        </w:tc>
        <w:tc>
          <w:tcPr>
            <w:tcW w:w="709" w:type="dxa"/>
            <w:tcBorders>
              <w:left w:val="single" w:color="auto" w:sz="4" w:space="0"/>
            </w:tcBorders>
            <w:shd w:val="clear" w:color="auto" w:fill="FFFFFF"/>
          </w:tcPr>
          <w:p w14:paraId="2E0023E1">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7974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924" w:type="dxa"/>
            <w:gridSpan w:val="8"/>
            <w:shd w:val="clear" w:color="auto" w:fill="FFFFFF"/>
            <w:noWrap/>
            <w:vAlign w:val="center"/>
          </w:tcPr>
          <w:p w14:paraId="56C67141">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r>
              <w:rPr>
                <w:rFonts w:hint="eastAsia" w:ascii="宋体" w:eastAsia="宋体"/>
                <w:spacing w:val="0"/>
                <w:sz w:val="21"/>
                <w:szCs w:val="24"/>
                <w:highlight w:val="none"/>
              </w:rPr>
              <w:t>综合评价</w:t>
            </w:r>
          </w:p>
          <w:p w14:paraId="734CDEB1">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r>
              <w:rPr>
                <w:rFonts w:hint="eastAsia" w:ascii="宋体" w:eastAsia="宋体"/>
                <w:spacing w:val="0"/>
                <w:sz w:val="21"/>
                <w:szCs w:val="24"/>
                <w:highlight w:val="none"/>
              </w:rPr>
              <w:t xml:space="preserve">评价人：    </w:t>
            </w:r>
          </w:p>
        </w:tc>
      </w:tr>
    </w:tbl>
    <w:p w14:paraId="31AE831C">
      <w:pPr>
        <w:spacing w:line="360" w:lineRule="auto"/>
        <w:rPr>
          <w:rStyle w:val="45"/>
          <w:rFonts w:ascii="宋体" w:eastAsia="宋体"/>
          <w:spacing w:val="0"/>
          <w:kern w:val="0"/>
          <w:highlight w:val="none"/>
        </w:rPr>
      </w:pPr>
    </w:p>
    <w:p w14:paraId="10A78DCA">
      <w:pPr>
        <w:rPr>
          <w:rStyle w:val="45"/>
          <w:rFonts w:ascii="宋体" w:eastAsia="宋体"/>
          <w:spacing w:val="0"/>
          <w:kern w:val="0"/>
          <w:sz w:val="30"/>
          <w:highlight w:val="none"/>
        </w:rPr>
      </w:pPr>
      <w:r>
        <w:rPr>
          <w:rStyle w:val="45"/>
          <w:rFonts w:ascii="宋体" w:eastAsia="宋体"/>
          <w:spacing w:val="0"/>
          <w:kern w:val="0"/>
          <w:sz w:val="30"/>
          <w:highlight w:val="none"/>
        </w:rPr>
        <w:br w:type="page"/>
      </w:r>
    </w:p>
    <w:p w14:paraId="57F99217">
      <w:pPr>
        <w:ind w:left="0" w:firstLine="0"/>
        <w:rPr>
          <w:rStyle w:val="45"/>
          <w:rFonts w:ascii="宋体" w:eastAsia="宋体"/>
          <w:spacing w:val="0"/>
          <w:kern w:val="0"/>
          <w:sz w:val="30"/>
          <w:highlight w:val="none"/>
        </w:rPr>
      </w:pPr>
      <w:r>
        <w:rPr>
          <w:rStyle w:val="45"/>
          <w:rFonts w:hint="eastAsia" w:ascii="宋体" w:eastAsia="宋体"/>
          <w:spacing w:val="0"/>
          <w:kern w:val="0"/>
          <w:sz w:val="30"/>
          <w:highlight w:val="none"/>
        </w:rPr>
        <w:t>附件六：服务连续性预案</w:t>
      </w:r>
    </w:p>
    <w:p w14:paraId="27B6BA71">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一、目的</w:t>
      </w:r>
    </w:p>
    <w:p w14:paraId="4504B64B">
      <w:pPr>
        <w:spacing w:line="360" w:lineRule="auto"/>
        <w:ind w:firstLine="559" w:firstLineChars="233"/>
        <w:rPr>
          <w:rFonts w:eastAsia="宋体"/>
          <w:spacing w:val="0"/>
          <w:szCs w:val="24"/>
          <w:highlight w:val="none"/>
        </w:rPr>
      </w:pPr>
      <w:r>
        <w:rPr>
          <w:rFonts w:hint="eastAsia" w:ascii="宋体" w:eastAsia="宋体"/>
          <w:spacing w:val="0"/>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3B32133B">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二、应急组织架构及职责</w:t>
      </w:r>
    </w:p>
    <w:p w14:paraId="28A7EDA2">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（一）决策层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BB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7AA166B">
            <w:pPr>
              <w:keepNext w:val="0"/>
              <w:keepLines w:val="0"/>
              <w:suppressLineNumbers w:val="0"/>
              <w:spacing w:before="0" w:beforeAutospacing="0" w:after="0" w:afterAutospacing="0" w:line="360" w:lineRule="auto"/>
              <w:ind w:left="0" w:right="0" w:firstLine="559" w:firstLineChars="233"/>
              <w:rPr>
                <w:rFonts w:hint="default" w:ascii="宋体" w:eastAsia="宋体"/>
                <w:spacing w:val="0"/>
                <w:szCs w:val="24"/>
                <w:highlight w:val="none"/>
              </w:rPr>
            </w:pPr>
            <w:r>
              <w:rPr>
                <w:rFonts w:hint="eastAsia" w:ascii="宋体" w:eastAsia="宋体"/>
                <w:spacing w:val="0"/>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0848EBBE">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6400F2FA">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43E07BC">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职责</w:t>
            </w:r>
          </w:p>
        </w:tc>
      </w:tr>
      <w:tr w14:paraId="69EB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7CC04AF">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57435A06">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01278029">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FAF83F2">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r>
      <w:tr w14:paraId="4B7A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49DF927F">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C3E8B0E">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6986D5EB">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39437CA">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r>
      <w:tr w14:paraId="33E4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3F74A79">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150535AB">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234E42EA">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9EABAEA">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r>
    </w:tbl>
    <w:p w14:paraId="71EFC8D3">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（二）危机处理层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6CF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45E5BAB9">
            <w:pPr>
              <w:keepNext w:val="0"/>
              <w:keepLines w:val="0"/>
              <w:suppressLineNumbers w:val="0"/>
              <w:spacing w:before="0" w:beforeAutospacing="0" w:after="0" w:afterAutospacing="0" w:line="360" w:lineRule="auto"/>
              <w:ind w:left="0" w:right="0" w:firstLine="559" w:firstLineChars="233"/>
              <w:rPr>
                <w:rFonts w:hint="default"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0A53A07E">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D8EBB47">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43D4351B">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职责</w:t>
            </w:r>
          </w:p>
        </w:tc>
      </w:tr>
      <w:tr w14:paraId="57C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6D90E2F">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77085F1B">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68AD504">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446DCFEB">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r>
      <w:tr w14:paraId="79EE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5CB49063">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10C2CCB0">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7DC4C26">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2658F4AD">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r>
    </w:tbl>
    <w:p w14:paraId="51935207">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（三）具体业务层</w:t>
      </w:r>
    </w:p>
    <w:tbl>
      <w:tblPr>
        <w:tblStyle w:val="24"/>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7AF9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E4E9801">
            <w:pPr>
              <w:keepNext w:val="0"/>
              <w:keepLines w:val="0"/>
              <w:suppressLineNumbers w:val="0"/>
              <w:spacing w:before="0" w:beforeAutospacing="0" w:after="0" w:afterAutospacing="0" w:line="360" w:lineRule="auto"/>
              <w:ind w:left="0" w:right="0" w:firstLine="559" w:firstLineChars="233"/>
              <w:rPr>
                <w:rFonts w:hint="default" w:ascii="宋体" w:eastAsia="宋体"/>
                <w:spacing w:val="0"/>
                <w:szCs w:val="24"/>
                <w:highlight w:val="none"/>
              </w:rPr>
            </w:pPr>
            <w:r>
              <w:rPr>
                <w:rFonts w:hint="eastAsia" w:ascii="宋体" w:eastAsia="宋体"/>
                <w:spacing w:val="0"/>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BCA6D52">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BBDECFA">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E632A9D">
            <w:pPr>
              <w:keepNext w:val="0"/>
              <w:keepLines w:val="0"/>
              <w:suppressLineNumbers w:val="0"/>
              <w:spacing w:before="0" w:beforeAutospacing="0" w:after="0" w:afterAutospacing="0" w:line="360" w:lineRule="auto"/>
              <w:ind w:left="0" w:right="0"/>
              <w:jc w:val="center"/>
              <w:rPr>
                <w:rFonts w:hint="default" w:ascii="宋体" w:eastAsia="宋体"/>
                <w:spacing w:val="0"/>
                <w:szCs w:val="24"/>
                <w:highlight w:val="none"/>
              </w:rPr>
            </w:pPr>
            <w:r>
              <w:rPr>
                <w:rFonts w:hint="eastAsia" w:ascii="宋体" w:eastAsia="宋体"/>
                <w:spacing w:val="0"/>
                <w:szCs w:val="24"/>
                <w:highlight w:val="none"/>
              </w:rPr>
              <w:t>职责</w:t>
            </w:r>
          </w:p>
        </w:tc>
      </w:tr>
      <w:tr w14:paraId="2067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560CDA0A">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8D05D83">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3B92926">
            <w:pPr>
              <w:keepNext w:val="0"/>
              <w:keepLines w:val="0"/>
              <w:widowControl/>
              <w:suppressLineNumbers w:val="0"/>
              <w:spacing w:before="0" w:beforeAutospacing="0" w:after="0" w:afterAutospacing="0"/>
              <w:ind w:left="0" w:right="0"/>
              <w:rPr>
                <w:rFonts w:hint="default"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6C5D881">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r>
      <w:tr w14:paraId="7580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91A3D00">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1A23691">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FAA42CA">
            <w:pPr>
              <w:keepNext w:val="0"/>
              <w:keepLines w:val="0"/>
              <w:widowControl/>
              <w:suppressLineNumbers w:val="0"/>
              <w:spacing w:before="0" w:beforeAutospacing="0" w:after="0" w:afterAutospacing="0"/>
              <w:ind w:left="0" w:right="0"/>
              <w:rPr>
                <w:rFonts w:hint="default" w:ascii="宋体" w:eastAsia="宋体"/>
                <w:spacing w:val="0"/>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349F0E7">
            <w:pPr>
              <w:keepNext w:val="0"/>
              <w:keepLines w:val="0"/>
              <w:widowControl/>
              <w:suppressLineNumbers w:val="0"/>
              <w:spacing w:before="0" w:beforeAutospacing="0" w:after="0" w:afterAutospacing="0"/>
              <w:ind w:left="0" w:right="0"/>
              <w:jc w:val="center"/>
              <w:rPr>
                <w:rFonts w:hint="default" w:ascii="宋体" w:eastAsia="宋体"/>
                <w:spacing w:val="0"/>
                <w:sz w:val="21"/>
                <w:szCs w:val="24"/>
                <w:highlight w:val="none"/>
              </w:rPr>
            </w:pPr>
          </w:p>
        </w:tc>
      </w:tr>
    </w:tbl>
    <w:p w14:paraId="412D7E9C">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（四）应急领导小组职责</w:t>
      </w:r>
    </w:p>
    <w:p w14:paraId="151291A0">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w:t>
      </w:r>
      <w:r>
        <w:rPr>
          <w:rFonts w:ascii="宋体" w:eastAsia="宋体"/>
          <w:spacing w:val="0"/>
          <w:szCs w:val="24"/>
          <w:highlight w:val="none"/>
        </w:rPr>
        <w:t>.</w:t>
      </w:r>
      <w:r>
        <w:rPr>
          <w:rFonts w:hint="eastAsia" w:ascii="宋体" w:eastAsia="宋体"/>
          <w:spacing w:val="0"/>
          <w:szCs w:val="24"/>
          <w:highlight w:val="none"/>
        </w:rPr>
        <w:t>启动应急预案</w:t>
      </w:r>
    </w:p>
    <w:p w14:paraId="706B1323">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6462CF2A">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2</w:t>
      </w:r>
      <w:r>
        <w:rPr>
          <w:rFonts w:ascii="宋体" w:eastAsia="宋体"/>
          <w:spacing w:val="0"/>
          <w:szCs w:val="24"/>
          <w:highlight w:val="none"/>
        </w:rPr>
        <w:t>.</w:t>
      </w:r>
      <w:r>
        <w:rPr>
          <w:rFonts w:hint="eastAsia" w:ascii="宋体" w:eastAsia="宋体"/>
          <w:spacing w:val="0"/>
          <w:szCs w:val="24"/>
          <w:highlight w:val="none"/>
        </w:rPr>
        <w:t>应急事件处理</w:t>
      </w:r>
    </w:p>
    <w:p w14:paraId="24FE3CC5">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0AE1F505">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3</w:t>
      </w:r>
      <w:r>
        <w:rPr>
          <w:rFonts w:ascii="宋体" w:eastAsia="宋体"/>
          <w:spacing w:val="0"/>
          <w:szCs w:val="24"/>
          <w:highlight w:val="none"/>
        </w:rPr>
        <w:t>.</w:t>
      </w:r>
      <w:r>
        <w:rPr>
          <w:rFonts w:hint="eastAsia" w:ascii="宋体" w:eastAsia="宋体"/>
          <w:spacing w:val="0"/>
          <w:szCs w:val="24"/>
          <w:highlight w:val="none"/>
        </w:rPr>
        <w:t>业务持续性计划及应急预案优化</w:t>
      </w:r>
    </w:p>
    <w:p w14:paraId="59449CCF">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085C5C0">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三、应急场景</w:t>
      </w:r>
    </w:p>
    <w:p w14:paraId="5BBECCAB">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（一）单个核心成员或某个角色无法提供正常服务</w:t>
      </w:r>
    </w:p>
    <w:p w14:paraId="3F08FA24">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1.影响程度：外包服务部分中断</w:t>
      </w:r>
    </w:p>
    <w:p w14:paraId="4BF10AF9">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2.规避措施：</w:t>
      </w:r>
    </w:p>
    <w:p w14:paraId="2FFDB066">
      <w:pPr>
        <w:spacing w:line="360" w:lineRule="auto"/>
        <w:ind w:firstLine="559" w:firstLineChars="233"/>
        <w:rPr>
          <w:rFonts w:ascii="宋体" w:eastAsia="宋体"/>
          <w:spacing w:val="0"/>
          <w:szCs w:val="24"/>
          <w:highlight w:val="none"/>
        </w:rPr>
      </w:pPr>
      <w:r>
        <w:rPr>
          <w:rFonts w:ascii="宋体" w:eastAsia="宋体"/>
          <w:spacing w:val="0"/>
          <w:szCs w:val="24"/>
          <w:highlight w:val="none"/>
        </w:rPr>
        <w:t>1</w:t>
      </w:r>
      <w:r>
        <w:rPr>
          <w:rFonts w:hint="eastAsia" w:ascii="宋体" w:eastAsia="宋体"/>
          <w:spacing w:val="0"/>
          <w:szCs w:val="24"/>
          <w:highlight w:val="none"/>
        </w:rPr>
        <w:t>）乙方在2小时内协调重庆本地高于该成员资历水平的的员工来厂商现场进行顶替，直到合适的补充人员入场能够接替该成员的工作为止，否则按照</w:t>
      </w:r>
      <w:bookmarkStart w:id="330" w:name="突出显示"/>
      <w:r>
        <w:rPr>
          <w:rFonts w:hint="eastAsia" w:ascii="宋体" w:eastAsia="宋体"/>
          <w:spacing w:val="0"/>
          <w:szCs w:val="24"/>
          <w:highlight w:val="none"/>
        </w:rPr>
        <w:t>SLA</w:t>
      </w:r>
      <w:bookmarkEnd w:id="330"/>
      <w:r>
        <w:rPr>
          <w:rFonts w:hint="eastAsia" w:ascii="宋体" w:eastAsia="宋体"/>
          <w:spacing w:val="0"/>
          <w:szCs w:val="24"/>
          <w:highlight w:val="none"/>
        </w:rPr>
        <w:t>第6调更换人员的相关条款进行罚款。</w:t>
      </w:r>
    </w:p>
    <w:p w14:paraId="1989E42E">
      <w:pPr>
        <w:spacing w:line="360" w:lineRule="auto"/>
        <w:ind w:firstLine="559" w:firstLineChars="233"/>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）乙方服务团队在合同有效期内，建立人才储备机制和培训机制，同时由A角和B角对项目进行支持工作。</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w:t>
      </w:r>
      <w:r>
        <w:rPr>
          <w:rFonts w:hint="eastAsia" w:ascii="宋体" w:eastAsia="宋体"/>
          <w:spacing w:val="0"/>
          <w:szCs w:val="24"/>
          <w:highlight w:val="none"/>
        </w:rPr>
        <w:t>按照</w:t>
      </w:r>
      <w:bookmarkStart w:id="331" w:name="突出显示"/>
      <w:r>
        <w:rPr>
          <w:rFonts w:hint="eastAsia" w:ascii="宋体" w:eastAsia="宋体"/>
          <w:spacing w:val="0"/>
          <w:szCs w:val="24"/>
          <w:highlight w:val="none"/>
        </w:rPr>
        <w:t>SLA</w:t>
      </w:r>
      <w:bookmarkEnd w:id="331"/>
      <w:r>
        <w:rPr>
          <w:rFonts w:hint="eastAsia" w:ascii="宋体" w:eastAsia="宋体"/>
          <w:spacing w:val="0"/>
          <w:szCs w:val="24"/>
          <w:highlight w:val="none"/>
        </w:rPr>
        <w:t>进行</w:t>
      </w:r>
      <w:r>
        <w:rPr>
          <w:rFonts w:ascii="宋体" w:eastAsia="宋体"/>
          <w:spacing w:val="0"/>
          <w:szCs w:val="24"/>
          <w:highlight w:val="none"/>
        </w:rPr>
        <w:t>赔偿。</w:t>
      </w:r>
    </w:p>
    <w:p w14:paraId="7FEBE8ED">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（二）乙方服务团队无法提供正常服务，但乙方仍具备履约能力</w:t>
      </w:r>
    </w:p>
    <w:p w14:paraId="78D12E49">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1.影响程度：外包服务完全中断</w:t>
      </w:r>
    </w:p>
    <w:p w14:paraId="32E78560">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2.规避措施：</w:t>
      </w:r>
    </w:p>
    <w:p w14:paraId="361FDE73">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1）乙方服务团队需按时按照甲方流程及制度规范提交项目各类文档；</w:t>
      </w:r>
    </w:p>
    <w:p w14:paraId="676DE682">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2）乙方服务团队需制定合理的培训计划和培训内容，加强知识转移；</w:t>
      </w:r>
    </w:p>
    <w:p w14:paraId="71627832">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3）如遇类似事件乙方提前10个工作日书面通知甲方项目经理；</w:t>
      </w:r>
    </w:p>
    <w:p w14:paraId="0C504682">
      <w:pPr>
        <w:spacing w:line="360" w:lineRule="auto"/>
        <w:ind w:firstLine="559" w:firstLineChars="233"/>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）乙方负责提前协调备用团队，并协调相应角色做好交接工作，协调方案经过甲方认可后，在10个工作日内将补充团队派驻入场，保障工作连续开展。</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19436BEE">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（三）乙方服务团队无法提供正常服务且乙方不具备恢复服务能力或意愿</w:t>
      </w:r>
    </w:p>
    <w:p w14:paraId="6C2F2F0F">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1.影响程度：外包服务完全中断</w:t>
      </w:r>
    </w:p>
    <w:p w14:paraId="2F18257B">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2.规避措施：</w:t>
      </w:r>
    </w:p>
    <w:p w14:paraId="5A9AC84C">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1）如遇类似事件乙方提前15个工作日书面通知甲方项目经理；</w:t>
      </w:r>
    </w:p>
    <w:p w14:paraId="7644BC7F">
      <w:pPr>
        <w:spacing w:line="360" w:lineRule="auto"/>
        <w:ind w:firstLine="559" w:firstLineChars="233"/>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）乙方保证提前沟通协调人力资源，于10个工作日内提交所有阶段性项目文档，并完成甲方认可的所有工作交接和知识转移，包括不限于对替代供应商进行培训；</w:t>
      </w:r>
    </w:p>
    <w:p w14:paraId="488D1044">
      <w:pPr>
        <w:spacing w:line="360" w:lineRule="auto"/>
        <w:ind w:firstLine="559" w:firstLineChars="233"/>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247ED250">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（四）乙方因资质变更、被收购、兼并或破产等原因致使其无法继续提供服务</w:t>
      </w:r>
    </w:p>
    <w:p w14:paraId="4EEF44C3">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1.影响程度：外包服务完全中断</w:t>
      </w:r>
    </w:p>
    <w:p w14:paraId="3C9E26FB">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2.规避措施：</w:t>
      </w:r>
    </w:p>
    <w:p w14:paraId="317CFA93">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1）如遇类似事件乙方提前20个工作日通知甲方项目经理；</w:t>
      </w:r>
    </w:p>
    <w:p w14:paraId="5FCC4F04">
      <w:pPr>
        <w:spacing w:line="360" w:lineRule="auto"/>
        <w:ind w:firstLine="559" w:firstLineChars="233"/>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）根据开发合同约定提前与甲方进行沟通协商，做好代码、文档、服务等交接工作，减少对甲方的影响；</w:t>
      </w:r>
    </w:p>
    <w:p w14:paraId="292FF335">
      <w:pPr>
        <w:spacing w:line="360" w:lineRule="auto"/>
        <w:ind w:firstLine="559" w:firstLineChars="233"/>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）乙方保证提前沟通协调人力资源，于15个工作日内提交所有阶段性项目文档，并完成甲方认可的所有工作交接和知识转移，包括不限于对替代供应商进行培训。</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r>
        <w:rPr>
          <w:rFonts w:hint="eastAsia" w:ascii="宋体" w:eastAsia="宋体"/>
          <w:spacing w:val="0"/>
          <w:szCs w:val="24"/>
          <w:highlight w:val="none"/>
        </w:rPr>
        <w:t>；</w:t>
      </w:r>
    </w:p>
    <w:p w14:paraId="4DD8BDAE">
      <w:pPr>
        <w:spacing w:line="360" w:lineRule="auto"/>
        <w:ind w:firstLine="559" w:firstLineChars="233"/>
        <w:rPr>
          <w:rFonts w:ascii="宋体" w:eastAsia="宋体"/>
          <w:spacing w:val="0"/>
          <w:szCs w:val="24"/>
          <w:highlight w:val="none"/>
        </w:rPr>
      </w:pPr>
      <w:r>
        <w:rPr>
          <w:rFonts w:ascii="宋体" w:eastAsia="宋体"/>
          <w:spacing w:val="0"/>
          <w:szCs w:val="24"/>
          <w:highlight w:val="none"/>
        </w:rPr>
        <w:t>4</w:t>
      </w:r>
      <w:r>
        <w:rPr>
          <w:rFonts w:hint="eastAsia" w:ascii="宋体" w:eastAsia="宋体"/>
          <w:spacing w:val="0"/>
          <w:szCs w:val="24"/>
          <w:highlight w:val="none"/>
        </w:rPr>
        <w:t>）允许推荐项目成员到与甲方合作良好的其他供应商任职或由甲方直接聘用。</w:t>
      </w:r>
    </w:p>
    <w:p w14:paraId="2FA72A71">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（五）乙方因不可抗力导致其主动退出（国家相关法律法规调整、遭受大规模自然灾害等）</w:t>
      </w:r>
    </w:p>
    <w:p w14:paraId="0EEA135D">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1.影响程度：外包服务完全中断</w:t>
      </w:r>
    </w:p>
    <w:p w14:paraId="61D1E9E4">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2.规避措施：</w:t>
      </w:r>
    </w:p>
    <w:p w14:paraId="1AFC90C6">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1）如遇类似事件乙方应立即通知甲方项目经理。</w:t>
      </w:r>
    </w:p>
    <w:p w14:paraId="33FB692C">
      <w:pPr>
        <w:spacing w:line="360" w:lineRule="auto"/>
        <w:ind w:firstLine="559" w:firstLineChars="233"/>
        <w:rPr>
          <w:rFonts w:ascii="宋体" w:eastAsia="宋体"/>
          <w:spacing w:val="0"/>
          <w:szCs w:val="24"/>
          <w:highlight w:val="none"/>
        </w:rPr>
      </w:pPr>
      <w:r>
        <w:rPr>
          <w:rFonts w:ascii="宋体" w:eastAsia="宋体"/>
          <w:spacing w:val="0"/>
          <w:szCs w:val="24"/>
          <w:highlight w:val="none"/>
        </w:rPr>
        <w:t>2</w:t>
      </w:r>
      <w:r>
        <w:rPr>
          <w:rFonts w:hint="eastAsia" w:ascii="宋体" w:eastAsia="宋体"/>
          <w:spacing w:val="0"/>
          <w:szCs w:val="24"/>
          <w:highlight w:val="none"/>
        </w:rPr>
        <w:t>）乙方与甲方及时进行协商，得出一致性解决方案，于15个工作日内提交所有阶段性项目文档，并完成甲方认可的所有工作交接和知识转移，降低突发事件的影响；</w:t>
      </w:r>
    </w:p>
    <w:p w14:paraId="517AF604">
      <w:pPr>
        <w:spacing w:line="360" w:lineRule="auto"/>
        <w:ind w:firstLine="559" w:firstLineChars="233"/>
        <w:rPr>
          <w:rFonts w:ascii="宋体" w:eastAsia="宋体"/>
          <w:spacing w:val="0"/>
          <w:szCs w:val="24"/>
          <w:highlight w:val="none"/>
        </w:rPr>
      </w:pPr>
      <w:r>
        <w:rPr>
          <w:rFonts w:ascii="宋体" w:eastAsia="宋体"/>
          <w:spacing w:val="0"/>
          <w:szCs w:val="24"/>
          <w:highlight w:val="none"/>
        </w:rPr>
        <w:t>3</w:t>
      </w:r>
      <w:r>
        <w:rPr>
          <w:rFonts w:hint="eastAsia" w:ascii="宋体" w:eastAsia="宋体"/>
          <w:spacing w:val="0"/>
          <w:szCs w:val="24"/>
          <w:highlight w:val="none"/>
        </w:rPr>
        <w:t>）允许推荐项目成员到与甲方合作良好的其他供应商任职或由甲方直接聘用。</w:t>
      </w:r>
      <w:r>
        <w:rPr>
          <w:rFonts w:ascii="宋体" w:eastAsia="宋体"/>
          <w:spacing w:val="0"/>
          <w:szCs w:val="24"/>
          <w:highlight w:val="none"/>
        </w:rPr>
        <w:t>因</w:t>
      </w:r>
      <w:r>
        <w:rPr>
          <w:rFonts w:hint="eastAsia" w:ascii="宋体" w:eastAsia="宋体"/>
          <w:spacing w:val="0"/>
          <w:szCs w:val="24"/>
          <w:highlight w:val="none"/>
        </w:rPr>
        <w:t>乙方原因</w:t>
      </w:r>
      <w:r>
        <w:rPr>
          <w:rFonts w:ascii="宋体" w:eastAsia="宋体"/>
          <w:spacing w:val="0"/>
          <w:szCs w:val="24"/>
          <w:highlight w:val="none"/>
        </w:rPr>
        <w:t>造成甲方损失的，乙方在双方协商后做出赔偿。</w:t>
      </w:r>
    </w:p>
    <w:p w14:paraId="65AF1136">
      <w:pPr>
        <w:ind w:firstLine="482" w:firstLineChars="200"/>
        <w:rPr>
          <w:rFonts w:ascii="宋体" w:hAnsi="宋体" w:eastAsia="宋体"/>
          <w:spacing w:val="0"/>
          <w:szCs w:val="24"/>
          <w:highlight w:val="none"/>
        </w:rPr>
      </w:pPr>
      <w:r>
        <w:rPr>
          <w:rFonts w:hint="eastAsia" w:ascii="宋体" w:hAnsi="宋体" w:eastAsia="宋体"/>
          <w:b/>
          <w:spacing w:val="0"/>
          <w:szCs w:val="24"/>
          <w:highlight w:val="none"/>
        </w:rPr>
        <w:t>四、应急处理阶段</w:t>
      </w:r>
    </w:p>
    <w:p w14:paraId="6D269AF6">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（一）项目实施过程中应急服务</w:t>
      </w:r>
    </w:p>
    <w:p w14:paraId="0456F61F">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0798752D">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在应急事件处理完毕后，由乙方应急小组</w:t>
      </w:r>
      <w:r>
        <w:rPr>
          <w:rFonts w:ascii="宋体" w:eastAsia="宋体"/>
          <w:spacing w:val="0"/>
          <w:szCs w:val="24"/>
          <w:highlight w:val="none"/>
        </w:rPr>
        <w:t>对事件发生原因、性质、影响、后果、责任及应急处置能力、恢复重建等问题进行全面调查评估，总结经验教训，完善应急处理预案，整改</w:t>
      </w:r>
      <w:r>
        <w:rPr>
          <w:rFonts w:hint="eastAsia" w:ascii="宋体" w:eastAsia="宋体"/>
          <w:spacing w:val="0"/>
          <w:szCs w:val="24"/>
          <w:highlight w:val="none"/>
        </w:rPr>
        <w:t>项目服务过程中</w:t>
      </w:r>
      <w:r>
        <w:rPr>
          <w:rFonts w:ascii="宋体" w:eastAsia="宋体"/>
          <w:spacing w:val="0"/>
          <w:szCs w:val="24"/>
          <w:highlight w:val="none"/>
        </w:rPr>
        <w:t>存在的隐患</w:t>
      </w:r>
      <w:r>
        <w:rPr>
          <w:rFonts w:hint="eastAsia" w:ascii="宋体" w:eastAsia="宋体"/>
          <w:spacing w:val="0"/>
          <w:szCs w:val="24"/>
          <w:highlight w:val="none"/>
        </w:rPr>
        <w:t>问题</w:t>
      </w:r>
      <w:r>
        <w:rPr>
          <w:rFonts w:ascii="宋体" w:eastAsia="宋体"/>
          <w:spacing w:val="0"/>
          <w:szCs w:val="24"/>
          <w:highlight w:val="none"/>
        </w:rPr>
        <w:t>。</w:t>
      </w:r>
    </w:p>
    <w:p w14:paraId="36C9D5CA">
      <w:pPr>
        <w:ind w:firstLine="482" w:firstLineChars="200"/>
        <w:rPr>
          <w:rFonts w:ascii="宋体" w:hAnsi="宋体" w:eastAsia="宋体"/>
          <w:b/>
          <w:spacing w:val="0"/>
          <w:szCs w:val="24"/>
          <w:highlight w:val="none"/>
        </w:rPr>
      </w:pPr>
      <w:r>
        <w:rPr>
          <w:rFonts w:hint="eastAsia" w:ascii="宋体" w:hAnsi="宋体" w:eastAsia="宋体"/>
          <w:b/>
          <w:spacing w:val="0"/>
          <w:szCs w:val="24"/>
          <w:highlight w:val="none"/>
        </w:rPr>
        <w:t>（二）系统上线后应急服务</w:t>
      </w:r>
    </w:p>
    <w:p w14:paraId="5A6CB0F2">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377B9DE2">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姓名:        手机号码：        邮箱：</w:t>
      </w:r>
    </w:p>
    <w:p w14:paraId="73DA7EA7">
      <w:pPr>
        <w:spacing w:line="360" w:lineRule="auto"/>
        <w:ind w:firstLine="559" w:firstLineChars="233"/>
        <w:rPr>
          <w:rFonts w:ascii="宋体" w:eastAsia="宋体"/>
          <w:spacing w:val="0"/>
          <w:szCs w:val="24"/>
          <w:highlight w:val="none"/>
        </w:rPr>
      </w:pPr>
      <w:r>
        <w:rPr>
          <w:rFonts w:hint="eastAsia" w:ascii="宋体" w:eastAsia="宋体"/>
          <w:spacing w:val="0"/>
          <w:szCs w:val="24"/>
          <w:highlight w:val="none"/>
        </w:rPr>
        <w:t>姓名:        手机号码：        邮箱：</w:t>
      </w:r>
    </w:p>
    <w:p w14:paraId="2C96B9C0">
      <w:pPr>
        <w:spacing w:line="360" w:lineRule="auto"/>
        <w:rPr>
          <w:rStyle w:val="45"/>
          <w:rFonts w:ascii="宋体" w:eastAsia="宋体"/>
          <w:spacing w:val="0"/>
          <w:kern w:val="0"/>
          <w:highlight w:val="none"/>
        </w:rPr>
      </w:pPr>
    </w:p>
    <w:p w14:paraId="51BFD0A0">
      <w:pPr>
        <w:rPr>
          <w:rFonts w:ascii="Times New Roman" w:hAnsi="Times New Roman"/>
          <w:color w:val="auto"/>
          <w:highlight w:val="none"/>
          <w:shd w:val="clear" w:color="auto" w:fill="auto"/>
        </w:rPr>
      </w:pPr>
    </w:p>
    <w:p w14:paraId="54BE7CC0">
      <w:pPr>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472D0436">
      <w:pPr>
        <w:pStyle w:val="3"/>
        <w:rPr>
          <w:rFonts w:ascii="Times New Roman" w:hAnsi="Times New Roman"/>
          <w:highlight w:val="none"/>
        </w:rPr>
      </w:pPr>
      <w:bookmarkStart w:id="332" w:name="_Toc7021"/>
      <w:bookmarkStart w:id="333" w:name="_Toc186980193"/>
      <w:bookmarkStart w:id="334" w:name="_Toc1045211598"/>
      <w:bookmarkStart w:id="335" w:name="_Toc2020044623"/>
      <w:r>
        <w:rPr>
          <w:rFonts w:hint="eastAsia" w:ascii="Times New Roman" w:hAnsi="Times New Roman"/>
          <w:highlight w:val="none"/>
        </w:rPr>
        <w:t>第六章 参选文件</w:t>
      </w:r>
      <w:bookmarkEnd w:id="285"/>
      <w:bookmarkEnd w:id="286"/>
      <w:bookmarkStart w:id="336" w:name="_Toc303066035"/>
      <w:r>
        <w:rPr>
          <w:rFonts w:hint="eastAsia" w:ascii="Times New Roman" w:hAnsi="Times New Roman"/>
          <w:highlight w:val="none"/>
        </w:rPr>
        <w:t>格式</w:t>
      </w:r>
      <w:bookmarkEnd w:id="332"/>
      <w:bookmarkEnd w:id="333"/>
      <w:bookmarkEnd w:id="334"/>
      <w:bookmarkEnd w:id="335"/>
    </w:p>
    <w:bookmarkEnd w:id="336"/>
    <w:p w14:paraId="67AABFF9">
      <w:pPr>
        <w:tabs>
          <w:tab w:val="left" w:pos="6516"/>
        </w:tabs>
        <w:adjustRightInd w:val="0"/>
        <w:snapToGrid w:val="0"/>
        <w:spacing w:line="360" w:lineRule="auto"/>
        <w:ind w:firstLine="0"/>
        <w:jc w:val="center"/>
        <w:rPr>
          <w:rFonts w:ascii="Times New Roman" w:hAnsi="Times New Roman"/>
          <w:b/>
          <w:kern w:val="0"/>
          <w:highlight w:val="none"/>
          <w:u w:val="single"/>
        </w:rPr>
      </w:pPr>
    </w:p>
    <w:p w14:paraId="219E60D9">
      <w:pPr>
        <w:spacing w:line="360" w:lineRule="auto"/>
        <w:ind w:firstLine="0"/>
        <w:jc w:val="center"/>
        <w:outlineLvl w:val="0"/>
        <w:rPr>
          <w:rFonts w:ascii="Times New Roman" w:hAnsi="Times New Roman" w:cs="Times New Roman"/>
          <w:b/>
          <w:snapToGrid w:val="0"/>
          <w:kern w:val="0"/>
          <w:sz w:val="48"/>
          <w:szCs w:val="84"/>
          <w:highlight w:val="none"/>
        </w:rPr>
      </w:pPr>
      <w:bookmarkStart w:id="337" w:name="_Toc1338142829"/>
      <w:bookmarkStart w:id="338" w:name="_Toc1154740885"/>
      <w:bookmarkStart w:id="339" w:name="_Toc2146048808"/>
      <w:r>
        <w:rPr>
          <w:rFonts w:hint="eastAsia" w:ascii="Times New Roman" w:hAnsi="Times New Roman" w:cs="Times New Roman"/>
          <w:b/>
          <w:snapToGrid w:val="0"/>
          <w:kern w:val="0"/>
          <w:sz w:val="48"/>
          <w:szCs w:val="84"/>
          <w:highlight w:val="none"/>
        </w:rPr>
        <w:t>重庆三峡银行</w:t>
      </w:r>
      <w:bookmarkEnd w:id="337"/>
      <w:bookmarkEnd w:id="338"/>
      <w:bookmarkEnd w:id="339"/>
    </w:p>
    <w:p w14:paraId="6439A7FF">
      <w:pPr>
        <w:tabs>
          <w:tab w:val="left" w:pos="3600"/>
          <w:tab w:val="left" w:pos="4480"/>
          <w:tab w:val="left" w:pos="5360"/>
        </w:tabs>
        <w:adjustRightInd w:val="0"/>
        <w:snapToGrid w:val="0"/>
        <w:spacing w:line="360" w:lineRule="auto"/>
        <w:ind w:firstLine="0"/>
        <w:jc w:val="center"/>
        <w:outlineLvl w:val="0"/>
        <w:rPr>
          <w:rFonts w:ascii="Times New Roman" w:hAnsi="Times New Roman"/>
          <w:kern w:val="0"/>
          <w:sz w:val="44"/>
          <w:highlight w:val="none"/>
        </w:rPr>
      </w:pPr>
      <w:bookmarkStart w:id="340" w:name="_Toc892468227"/>
      <w:bookmarkStart w:id="341" w:name="_Toc1286750890"/>
      <w:bookmarkStart w:id="342" w:name="_Toc274834372"/>
      <w:r>
        <w:rPr>
          <w:rFonts w:ascii="Times New Roman" w:hAnsi="Times New Roman" w:cs="Times New Roman"/>
          <w:b/>
          <w:snapToGrid w:val="0"/>
          <w:kern w:val="0"/>
          <w:sz w:val="48"/>
          <w:szCs w:val="84"/>
          <w:highlight w:val="none"/>
        </w:rPr>
        <w:t>绿色金融管理系统</w:t>
      </w:r>
      <w:r>
        <w:rPr>
          <w:rFonts w:hint="eastAsia" w:ascii="Times New Roman" w:hAnsi="Times New Roman" w:cs="Times New Roman"/>
          <w:b/>
          <w:snapToGrid w:val="0"/>
          <w:kern w:val="0"/>
          <w:sz w:val="48"/>
          <w:szCs w:val="84"/>
          <w:highlight w:val="none"/>
        </w:rPr>
        <w:t>项目</w:t>
      </w:r>
      <w:bookmarkEnd w:id="340"/>
      <w:bookmarkEnd w:id="341"/>
      <w:bookmarkEnd w:id="342"/>
    </w:p>
    <w:p w14:paraId="27BBCD26">
      <w:pPr>
        <w:tabs>
          <w:tab w:val="left" w:pos="3600"/>
          <w:tab w:val="left" w:pos="4480"/>
          <w:tab w:val="left" w:pos="5360"/>
        </w:tabs>
        <w:adjustRightInd w:val="0"/>
        <w:snapToGrid w:val="0"/>
        <w:spacing w:line="360" w:lineRule="auto"/>
        <w:ind w:firstLine="0"/>
        <w:jc w:val="center"/>
        <w:rPr>
          <w:rFonts w:ascii="Times New Roman" w:hAnsi="Times New Roman"/>
          <w:kern w:val="0"/>
          <w:sz w:val="44"/>
          <w:highlight w:val="none"/>
        </w:rPr>
      </w:pPr>
    </w:p>
    <w:p w14:paraId="02C1060B">
      <w:pPr>
        <w:tabs>
          <w:tab w:val="left" w:pos="3600"/>
          <w:tab w:val="left" w:pos="4480"/>
          <w:tab w:val="left" w:pos="5360"/>
        </w:tabs>
        <w:adjustRightInd w:val="0"/>
        <w:snapToGrid w:val="0"/>
        <w:spacing w:line="360" w:lineRule="auto"/>
        <w:ind w:firstLine="0"/>
        <w:jc w:val="center"/>
        <w:rPr>
          <w:rFonts w:ascii="Times New Roman" w:hAnsi="Times New Roman"/>
          <w:kern w:val="0"/>
          <w:sz w:val="44"/>
          <w:highlight w:val="none"/>
        </w:rPr>
      </w:pPr>
    </w:p>
    <w:p w14:paraId="735105AF">
      <w:pPr>
        <w:tabs>
          <w:tab w:val="left" w:pos="3600"/>
          <w:tab w:val="left" w:pos="4480"/>
          <w:tab w:val="left" w:pos="5360"/>
        </w:tabs>
        <w:adjustRightInd w:val="0"/>
        <w:snapToGrid w:val="0"/>
        <w:spacing w:line="360" w:lineRule="auto"/>
        <w:ind w:firstLine="0"/>
        <w:jc w:val="center"/>
        <w:outlineLvl w:val="0"/>
        <w:rPr>
          <w:rFonts w:ascii="Times New Roman" w:hAnsi="Times New Roman"/>
          <w:b/>
          <w:kern w:val="0"/>
          <w:sz w:val="84"/>
          <w:highlight w:val="none"/>
        </w:rPr>
      </w:pPr>
      <w:bookmarkStart w:id="343" w:name="_Toc1435439335"/>
      <w:bookmarkStart w:id="344" w:name="_Toc242058681"/>
      <w:bookmarkStart w:id="345" w:name="_Toc1466307394"/>
      <w:r>
        <w:rPr>
          <w:rFonts w:hint="eastAsia" w:ascii="Times New Roman" w:hAnsi="Times New Roman"/>
          <w:b/>
          <w:kern w:val="0"/>
          <w:sz w:val="84"/>
          <w:highlight w:val="none"/>
        </w:rPr>
        <w:t>参  选  文  件</w:t>
      </w:r>
      <w:bookmarkEnd w:id="343"/>
      <w:bookmarkEnd w:id="344"/>
      <w:bookmarkEnd w:id="345"/>
    </w:p>
    <w:p w14:paraId="50DCF1F2">
      <w:pPr>
        <w:adjustRightInd w:val="0"/>
        <w:snapToGrid w:val="0"/>
        <w:spacing w:line="360" w:lineRule="auto"/>
        <w:ind w:firstLine="0"/>
        <w:jc w:val="center"/>
        <w:rPr>
          <w:rFonts w:ascii="Times New Roman" w:hAnsi="Times New Roman"/>
          <w:kern w:val="0"/>
          <w:sz w:val="16"/>
          <w:highlight w:val="none"/>
        </w:rPr>
      </w:pPr>
    </w:p>
    <w:p w14:paraId="35B8BE9E">
      <w:pPr>
        <w:adjustRightInd w:val="0"/>
        <w:snapToGrid w:val="0"/>
        <w:spacing w:line="360" w:lineRule="auto"/>
        <w:ind w:firstLine="0"/>
        <w:jc w:val="center"/>
        <w:rPr>
          <w:rFonts w:ascii="Times New Roman" w:hAnsi="Times New Roman"/>
          <w:b/>
          <w:kern w:val="0"/>
          <w:sz w:val="20"/>
          <w:highlight w:val="none"/>
        </w:rPr>
      </w:pPr>
    </w:p>
    <w:p w14:paraId="6CEA8EEA">
      <w:pPr>
        <w:adjustRightInd w:val="0"/>
        <w:snapToGrid w:val="0"/>
        <w:spacing w:line="360" w:lineRule="auto"/>
        <w:ind w:firstLine="0"/>
        <w:jc w:val="center"/>
        <w:rPr>
          <w:rFonts w:ascii="Times New Roman" w:hAnsi="Times New Roman"/>
          <w:b/>
          <w:kern w:val="0"/>
          <w:sz w:val="20"/>
          <w:highlight w:val="none"/>
        </w:rPr>
      </w:pPr>
    </w:p>
    <w:p w14:paraId="22EF9793">
      <w:pPr>
        <w:adjustRightInd w:val="0"/>
        <w:snapToGrid w:val="0"/>
        <w:spacing w:line="360" w:lineRule="auto"/>
        <w:ind w:firstLine="0"/>
        <w:jc w:val="center"/>
        <w:rPr>
          <w:rFonts w:ascii="Times New Roman" w:hAnsi="Times New Roman"/>
          <w:b/>
          <w:kern w:val="0"/>
          <w:sz w:val="20"/>
          <w:highlight w:val="none"/>
        </w:rPr>
      </w:pPr>
    </w:p>
    <w:p w14:paraId="035F004D">
      <w:pPr>
        <w:adjustRightInd w:val="0"/>
        <w:snapToGrid w:val="0"/>
        <w:spacing w:line="360" w:lineRule="auto"/>
        <w:ind w:firstLine="0"/>
        <w:jc w:val="center"/>
        <w:rPr>
          <w:rFonts w:ascii="Times New Roman" w:hAnsi="Times New Roman"/>
          <w:b/>
          <w:kern w:val="0"/>
          <w:sz w:val="20"/>
          <w:highlight w:val="none"/>
        </w:rPr>
      </w:pPr>
    </w:p>
    <w:p w14:paraId="0B1CF8C3">
      <w:pPr>
        <w:adjustRightInd w:val="0"/>
        <w:snapToGrid w:val="0"/>
        <w:spacing w:line="360" w:lineRule="auto"/>
        <w:ind w:firstLine="0"/>
        <w:jc w:val="center"/>
        <w:rPr>
          <w:rFonts w:ascii="Times New Roman" w:hAnsi="Times New Roman"/>
          <w:b/>
          <w:kern w:val="0"/>
          <w:sz w:val="20"/>
          <w:highlight w:val="none"/>
        </w:rPr>
      </w:pPr>
    </w:p>
    <w:p w14:paraId="30646C59">
      <w:pPr>
        <w:adjustRightInd w:val="0"/>
        <w:snapToGrid w:val="0"/>
        <w:spacing w:line="360" w:lineRule="auto"/>
        <w:ind w:firstLine="0"/>
        <w:jc w:val="center"/>
        <w:rPr>
          <w:rFonts w:ascii="Times New Roman" w:hAnsi="Times New Roman"/>
          <w:b/>
          <w:kern w:val="0"/>
          <w:sz w:val="20"/>
          <w:highlight w:val="none"/>
        </w:rPr>
      </w:pPr>
    </w:p>
    <w:p w14:paraId="3FD9F4E3">
      <w:pPr>
        <w:adjustRightInd w:val="0"/>
        <w:snapToGrid w:val="0"/>
        <w:spacing w:line="360" w:lineRule="auto"/>
        <w:ind w:firstLine="0"/>
        <w:jc w:val="center"/>
        <w:rPr>
          <w:rFonts w:ascii="Times New Roman" w:hAnsi="Times New Roman"/>
          <w:b/>
          <w:kern w:val="0"/>
          <w:sz w:val="20"/>
          <w:highlight w:val="none"/>
        </w:rPr>
      </w:pPr>
    </w:p>
    <w:p w14:paraId="0F36A315">
      <w:pPr>
        <w:adjustRightInd w:val="0"/>
        <w:snapToGrid w:val="0"/>
        <w:spacing w:line="360" w:lineRule="auto"/>
        <w:ind w:firstLine="0"/>
        <w:jc w:val="center"/>
        <w:rPr>
          <w:rFonts w:ascii="Times New Roman" w:hAnsi="Times New Roman"/>
          <w:b/>
          <w:kern w:val="0"/>
          <w:sz w:val="20"/>
          <w:highlight w:val="none"/>
        </w:rPr>
      </w:pPr>
    </w:p>
    <w:p w14:paraId="69B57B72">
      <w:pPr>
        <w:adjustRightInd w:val="0"/>
        <w:snapToGrid w:val="0"/>
        <w:spacing w:line="360" w:lineRule="auto"/>
        <w:ind w:firstLine="0"/>
        <w:jc w:val="center"/>
        <w:rPr>
          <w:rFonts w:ascii="Times New Roman" w:hAnsi="Times New Roman"/>
          <w:b/>
          <w:kern w:val="0"/>
          <w:sz w:val="20"/>
          <w:highlight w:val="none"/>
        </w:rPr>
      </w:pPr>
    </w:p>
    <w:p w14:paraId="69E0CDEC">
      <w:pPr>
        <w:spacing w:line="360" w:lineRule="auto"/>
        <w:ind w:firstLine="0"/>
        <w:jc w:val="center"/>
        <w:outlineLvl w:val="9"/>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2590ED46">
      <w:pPr>
        <w:spacing w:line="360" w:lineRule="auto"/>
        <w:ind w:firstLine="0"/>
        <w:jc w:val="center"/>
        <w:outlineLvl w:val="9"/>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w:t>
      </w:r>
      <w:r>
        <w:rPr>
          <w:rFonts w:hint="eastAsia" w:ascii="Times New Roman" w:hAnsi="Times New Roman"/>
          <w:highlight w:val="none"/>
          <w:lang w:eastAsia="zh-CN"/>
        </w:rPr>
        <w:t>或盖章</w:t>
      </w:r>
      <w:r>
        <w:rPr>
          <w:rFonts w:hint="eastAsia" w:ascii="Times New Roman" w:hAnsi="Times New Roman"/>
          <w:highlight w:val="none"/>
        </w:rPr>
        <w:t>）</w:t>
      </w:r>
    </w:p>
    <w:p w14:paraId="55D4FFC5">
      <w:pPr>
        <w:spacing w:line="360" w:lineRule="auto"/>
        <w:ind w:firstLine="0"/>
        <w:jc w:val="center"/>
        <w:outlineLvl w:val="9"/>
        <w:rPr>
          <w:rFonts w:ascii="Times New Roman" w:hAnsi="Times New Roman"/>
          <w:highlight w:val="none"/>
        </w:rPr>
      </w:pPr>
      <w:r>
        <w:rPr>
          <w:rFonts w:hint="eastAsia" w:ascii="Times New Roman" w:hAnsi="Times New Roman"/>
          <w:highlight w:val="none"/>
        </w:rPr>
        <w:t>年     月     日</w:t>
      </w:r>
    </w:p>
    <w:p w14:paraId="448A4262">
      <w:pPr>
        <w:tabs>
          <w:tab w:val="left" w:pos="3280"/>
          <w:tab w:val="left" w:pos="4680"/>
          <w:tab w:val="left" w:pos="6080"/>
        </w:tabs>
        <w:adjustRightInd w:val="0"/>
        <w:snapToGrid w:val="0"/>
        <w:spacing w:line="360" w:lineRule="auto"/>
        <w:ind w:firstLine="0"/>
        <w:jc w:val="center"/>
        <w:rPr>
          <w:rFonts w:ascii="Times New Roman" w:hAnsi="Times New Roman"/>
          <w:b/>
          <w:kern w:val="0"/>
          <w:highlight w:val="none"/>
        </w:rPr>
      </w:pPr>
    </w:p>
    <w:p w14:paraId="07E9AA1D">
      <w:pPr>
        <w:tabs>
          <w:tab w:val="left" w:pos="6300"/>
        </w:tabs>
        <w:snapToGrid w:val="0"/>
        <w:spacing w:line="360" w:lineRule="auto"/>
        <w:ind w:firstLine="0"/>
        <w:jc w:val="center"/>
        <w:rPr>
          <w:rFonts w:ascii="Times New Roman" w:hAnsi="Times New Roman"/>
          <w:snapToGrid w:val="0"/>
          <w:kern w:val="0"/>
          <w:szCs w:val="28"/>
          <w:highlight w:val="none"/>
        </w:rPr>
      </w:pPr>
    </w:p>
    <w:p w14:paraId="4E7906A2">
      <w:pPr>
        <w:tabs>
          <w:tab w:val="left" w:pos="6300"/>
        </w:tabs>
        <w:snapToGrid w:val="0"/>
        <w:spacing w:line="360" w:lineRule="auto"/>
        <w:ind w:firstLine="0"/>
        <w:jc w:val="center"/>
        <w:rPr>
          <w:rFonts w:ascii="Times New Roman" w:hAnsi="Times New Roman"/>
          <w:snapToGrid w:val="0"/>
          <w:kern w:val="0"/>
          <w:szCs w:val="28"/>
          <w:highlight w:val="none"/>
        </w:rPr>
      </w:pPr>
    </w:p>
    <w:p w14:paraId="64EE1A63">
      <w:pPr>
        <w:tabs>
          <w:tab w:val="left" w:pos="6300"/>
        </w:tabs>
        <w:snapToGrid w:val="0"/>
        <w:spacing w:line="360" w:lineRule="auto"/>
        <w:ind w:firstLine="0"/>
        <w:jc w:val="center"/>
        <w:rPr>
          <w:rFonts w:ascii="Times New Roman" w:hAnsi="Times New Roman"/>
          <w:snapToGrid w:val="0"/>
          <w:kern w:val="0"/>
          <w:szCs w:val="28"/>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1EDC980F">
      <w:pPr>
        <w:tabs>
          <w:tab w:val="left" w:pos="6300"/>
        </w:tabs>
        <w:snapToGrid w:val="0"/>
        <w:spacing w:line="360" w:lineRule="auto"/>
        <w:ind w:firstLine="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5D5E21F9">
      <w:pPr>
        <w:outlineLvl w:val="9"/>
        <w:rPr>
          <w:rFonts w:ascii="Times New Roman" w:hAnsi="Times New Roman"/>
          <w:highlight w:val="none"/>
        </w:rPr>
      </w:pPr>
      <w:r>
        <w:rPr>
          <w:rFonts w:hint="eastAsia" w:ascii="Times New Roman" w:hAnsi="Times New Roman"/>
          <w:highlight w:val="none"/>
        </w:rPr>
        <w:t>一、参选函</w:t>
      </w:r>
    </w:p>
    <w:p w14:paraId="1EAC8738">
      <w:pPr>
        <w:outlineLvl w:val="9"/>
        <w:rPr>
          <w:rFonts w:ascii="Times New Roman" w:hAnsi="Times New Roman"/>
          <w:highlight w:val="none"/>
        </w:rPr>
      </w:pPr>
      <w:r>
        <w:rPr>
          <w:rFonts w:hint="eastAsia" w:ascii="Times New Roman" w:hAnsi="Times New Roman"/>
          <w:highlight w:val="none"/>
        </w:rPr>
        <w:t>二、</w:t>
      </w:r>
      <w:r>
        <w:rPr>
          <w:rFonts w:ascii="Times New Roman" w:hAnsi="Times New Roman"/>
          <w:highlight w:val="none"/>
        </w:rPr>
        <w:t>报价一览表</w:t>
      </w:r>
    </w:p>
    <w:p w14:paraId="024C7908">
      <w:pPr>
        <w:outlineLvl w:val="9"/>
        <w:rPr>
          <w:rFonts w:ascii="Times New Roman" w:hAnsi="Times New Roman"/>
          <w:highlight w:val="none"/>
        </w:rPr>
      </w:pPr>
      <w:r>
        <w:rPr>
          <w:rFonts w:hint="eastAsia" w:ascii="Times New Roman" w:hAnsi="Times New Roman"/>
          <w:highlight w:val="none"/>
        </w:rPr>
        <w:t>三、资格性文件</w:t>
      </w:r>
    </w:p>
    <w:p w14:paraId="1C1AE467">
      <w:pPr>
        <w:outlineLvl w:val="9"/>
        <w:rPr>
          <w:rFonts w:ascii="Times New Roman" w:hAnsi="Times New Roman"/>
          <w:highlight w:val="none"/>
        </w:rPr>
      </w:pPr>
      <w:r>
        <w:rPr>
          <w:rFonts w:ascii="Times New Roman" w:hAnsi="Times New Roman"/>
          <w:highlight w:val="none"/>
        </w:rPr>
        <w:t>（一）参选人基本情况介绍，资质证明等</w:t>
      </w:r>
    </w:p>
    <w:p w14:paraId="4EFFFE91">
      <w:pPr>
        <w:outlineLvl w:val="9"/>
        <w:rPr>
          <w:rFonts w:ascii="Times New Roman" w:hAnsi="Times New Roman"/>
          <w:highlight w:val="none"/>
        </w:rPr>
      </w:pPr>
      <w:r>
        <w:rPr>
          <w:rFonts w:ascii="Times New Roman" w:hAnsi="Times New Roman"/>
          <w:highlight w:val="none"/>
        </w:rPr>
        <w:t>（二）法定代表人身份证明及授权委托书</w:t>
      </w:r>
    </w:p>
    <w:p w14:paraId="454DACA9">
      <w:pPr>
        <w:outlineLvl w:val="9"/>
        <w:rPr>
          <w:rFonts w:ascii="Times New Roman" w:hAnsi="Times New Roman"/>
          <w:highlight w:val="none"/>
        </w:rPr>
      </w:pPr>
      <w:r>
        <w:rPr>
          <w:rFonts w:hint="eastAsia" w:ascii="Times New Roman" w:hAnsi="Times New Roman"/>
          <w:highlight w:val="none"/>
        </w:rPr>
        <w:t>（三）书面声明</w:t>
      </w:r>
    </w:p>
    <w:p w14:paraId="1448FA99">
      <w:pPr>
        <w:outlineLvl w:val="9"/>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672FA9FF">
      <w:pPr>
        <w:outlineLvl w:val="9"/>
        <w:rPr>
          <w:rFonts w:hint="eastAsia" w:ascii="Times New Roman" w:hAnsi="Times New Roman" w:eastAsia="宋体"/>
          <w:highlight w:val="none"/>
          <w:lang w:eastAsia="zh-CN"/>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证明</w:t>
      </w:r>
      <w:r>
        <w:rPr>
          <w:rFonts w:hint="eastAsia" w:ascii="Times New Roman" w:hAnsi="Times New Roman"/>
          <w:highlight w:val="none"/>
          <w:lang w:eastAsia="zh-CN"/>
        </w:rPr>
        <w:t>材料</w:t>
      </w:r>
    </w:p>
    <w:p w14:paraId="59D52BCB">
      <w:pPr>
        <w:ind w:firstLine="0"/>
        <w:outlineLvl w:val="9"/>
        <w:rPr>
          <w:rFonts w:hint="eastAsia" w:eastAsia="宋体" w:cs="宋体"/>
          <w:snapToGrid w:val="0"/>
          <w:kern w:val="0"/>
          <w:szCs w:val="24"/>
          <w:highlight w:val="none"/>
          <w:lang w:val="en-US" w:eastAsia="zh-CN"/>
        </w:rPr>
      </w:pPr>
      <w:r>
        <w:rPr>
          <w:rFonts w:ascii="Times New Roman" w:hAnsi="Times New Roman"/>
          <w:highlight w:val="none"/>
        </w:rPr>
        <w:t>（六）</w:t>
      </w:r>
      <w:r>
        <w:rPr>
          <w:rFonts w:ascii="宋体" w:cs="宋体"/>
          <w:snapToGrid w:val="0"/>
          <w:kern w:val="0"/>
          <w:szCs w:val="24"/>
          <w:highlight w:val="none"/>
        </w:rPr>
        <w:t>第三方软件产品的原厂商授权书或确认函</w:t>
      </w:r>
      <w:r>
        <w:rPr>
          <w:rFonts w:hint="eastAsia" w:cs="宋体"/>
          <w:snapToGrid w:val="0"/>
          <w:kern w:val="0"/>
          <w:szCs w:val="24"/>
          <w:highlight w:val="none"/>
          <w:lang w:eastAsia="zh-CN"/>
        </w:rPr>
        <w:t>（如有）</w:t>
      </w:r>
    </w:p>
    <w:p w14:paraId="05BCF078">
      <w:pPr>
        <w:outlineLvl w:val="9"/>
        <w:rPr>
          <w:rFonts w:hint="eastAsia" w:ascii="Times New Roman" w:hAnsi="Times New Roman" w:eastAsia="宋体"/>
          <w:highlight w:val="none"/>
          <w:lang w:eastAsia="zh-CN"/>
        </w:rPr>
      </w:pPr>
      <w:r>
        <w:rPr>
          <w:rFonts w:hint="eastAsia" w:ascii="Times New Roman" w:hAnsi="Times New Roman"/>
          <w:highlight w:val="none"/>
        </w:rPr>
        <w:t>四、响应</w:t>
      </w:r>
      <w:r>
        <w:rPr>
          <w:rFonts w:hint="eastAsia" w:ascii="Times New Roman" w:hAnsi="Times New Roman"/>
          <w:highlight w:val="none"/>
          <w:lang w:eastAsia="zh-CN"/>
        </w:rPr>
        <w:t>性文件</w:t>
      </w:r>
    </w:p>
    <w:p w14:paraId="7CD28649">
      <w:pPr>
        <w:ind w:firstLine="480" w:firstLineChars="200"/>
        <w:outlineLvl w:val="9"/>
        <w:rPr>
          <w:rFonts w:ascii="Times New Roman" w:hAnsi="Times New Roman"/>
          <w:highlight w:val="none"/>
        </w:rPr>
      </w:pPr>
      <w:r>
        <w:rPr>
          <w:rFonts w:ascii="Times New Roman" w:hAnsi="Times New Roman"/>
          <w:highlight w:val="none"/>
        </w:rPr>
        <w:t>（一）</w:t>
      </w:r>
      <w:r>
        <w:rPr>
          <w:rFonts w:hint="eastAsia" w:ascii="Times New Roman" w:hAnsi="Times New Roman"/>
          <w:highlight w:val="none"/>
        </w:rPr>
        <w:t>响应承诺函</w:t>
      </w:r>
    </w:p>
    <w:p w14:paraId="51863593">
      <w:pPr>
        <w:ind w:firstLine="480" w:firstLineChars="200"/>
        <w:outlineLvl w:val="9"/>
        <w:rPr>
          <w:rFonts w:hint="eastAsia" w:hAnsi="Times New Roman"/>
          <w:highlight w:val="none"/>
          <w:lang w:eastAsia="zh-CN"/>
        </w:rPr>
      </w:pPr>
      <w:r>
        <w:rPr>
          <w:rFonts w:ascii="Times New Roman" w:hAnsi="Times New Roman"/>
          <w:highlight w:val="none"/>
        </w:rPr>
        <w:t>（二）</w:t>
      </w:r>
      <w:r>
        <w:rPr>
          <w:rFonts w:hAnsi="Times New Roman"/>
          <w:snapToGrid w:val="0"/>
          <w:highlight w:val="none"/>
        </w:rPr>
        <w:t>参保证明</w:t>
      </w:r>
    </w:p>
    <w:p w14:paraId="228D61E4">
      <w:pPr>
        <w:ind w:firstLine="480" w:firstLineChars="200"/>
        <w:outlineLvl w:val="9"/>
        <w:rPr>
          <w:rFonts w:hAnsi="Times New Roman"/>
          <w:highlight w:val="none"/>
          <w:lang w:val="en-US" w:eastAsia="zh-CN"/>
        </w:rPr>
      </w:pPr>
      <w:r>
        <w:rPr>
          <w:rFonts w:hint="eastAsia" w:hAnsi="Times New Roman"/>
          <w:highlight w:val="none"/>
          <w:lang w:eastAsia="zh-CN"/>
        </w:rPr>
        <w:t>（</w:t>
      </w:r>
      <w:r>
        <w:rPr>
          <w:rFonts w:hint="eastAsia" w:hAnsi="Times New Roman"/>
          <w:highlight w:val="none"/>
          <w:lang w:val="en-US" w:eastAsia="zh-CN"/>
        </w:rPr>
        <w:t>三</w:t>
      </w:r>
      <w:r>
        <w:rPr>
          <w:rFonts w:hint="eastAsia" w:hAnsi="Times New Roman"/>
          <w:highlight w:val="none"/>
          <w:lang w:eastAsia="zh-CN"/>
        </w:rPr>
        <w:t>）</w:t>
      </w:r>
      <w:r>
        <w:rPr>
          <w:rFonts w:hint="eastAsia" w:hAnsi="Times New Roman"/>
          <w:snapToGrid w:val="0"/>
          <w:highlight w:val="none"/>
        </w:rPr>
        <w:t>项目组成员简历信息</w:t>
      </w:r>
    </w:p>
    <w:p w14:paraId="180EC99C">
      <w:pPr>
        <w:ind w:firstLine="420"/>
        <w:outlineLvl w:val="9"/>
        <w:rPr>
          <w:rFonts w:hint="eastAsia" w:ascii="Times New Roman" w:hAnsi="Times New Roman" w:eastAsia="宋体" w:cs="宋体"/>
          <w:highlight w:val="none"/>
          <w:lang w:eastAsia="zh-CN"/>
        </w:rPr>
      </w:pPr>
      <w:r>
        <w:rPr>
          <w:rFonts w:hint="eastAsia" w:hAnsi="Times New Roman"/>
          <w:highlight w:val="none"/>
          <w:lang w:eastAsia="zh-CN"/>
        </w:rPr>
        <w:t>（</w:t>
      </w:r>
      <w:r>
        <w:rPr>
          <w:rFonts w:hAnsi="Times New Roman"/>
          <w:highlight w:val="none"/>
          <w:lang w:eastAsia="zh-CN"/>
        </w:rPr>
        <w:t>四</w:t>
      </w:r>
      <w:r>
        <w:rPr>
          <w:rFonts w:hint="eastAsia" w:hAnsi="Times New Roman"/>
          <w:highlight w:val="none"/>
          <w:lang w:eastAsia="zh-CN"/>
        </w:rPr>
        <w:t>）</w:t>
      </w:r>
      <w:r>
        <w:rPr>
          <w:rFonts w:hint="eastAsia" w:ascii="Times New Roman" w:hAnsi="Times New Roman" w:eastAsia="宋体" w:cs="宋体"/>
          <w:highlight w:val="none"/>
          <w:lang w:eastAsia="zh-CN"/>
        </w:rPr>
        <w:t>售后服务与支持方案</w:t>
      </w:r>
    </w:p>
    <w:p w14:paraId="24587F6D">
      <w:pPr>
        <w:ind w:firstLine="480" w:firstLineChars="200"/>
        <w:outlineLvl w:val="9"/>
        <w:rPr>
          <w:rFonts w:hAnsi="Times New Roman"/>
          <w:highlight w:val="none"/>
          <w:lang w:val="en-US" w:eastAsia="zh-CN"/>
        </w:rPr>
      </w:pPr>
      <w:r>
        <w:rPr>
          <w:rFonts w:hint="eastAsia" w:hAnsi="Times New Roman"/>
          <w:highlight w:val="none"/>
          <w:lang w:val="en-US" w:eastAsia="zh-CN"/>
        </w:rPr>
        <w:t>（五）</w:t>
      </w:r>
      <w:r>
        <w:rPr>
          <w:rFonts w:hAnsi="Times New Roman"/>
          <w:highlight w:val="none"/>
        </w:rPr>
        <w:t>培训</w:t>
      </w:r>
      <w:r>
        <w:rPr>
          <w:rFonts w:hint="eastAsia" w:hAnsi="Times New Roman"/>
          <w:highlight w:val="none"/>
          <w:lang w:val="en-US" w:eastAsia="zh-CN"/>
        </w:rPr>
        <w:t>方案</w:t>
      </w:r>
    </w:p>
    <w:p w14:paraId="1436C96A">
      <w:pPr>
        <w:ind w:firstLine="480" w:firstLineChars="200"/>
        <w:outlineLvl w:val="9"/>
        <w:rPr>
          <w:rFonts w:hAnsi="Times New Roman"/>
          <w:highlight w:val="none"/>
        </w:rPr>
      </w:pPr>
      <w:r>
        <w:rPr>
          <w:rFonts w:hint="eastAsia" w:hAnsi="Times New Roman"/>
          <w:highlight w:val="none"/>
          <w:lang w:val="en-US" w:eastAsia="zh-CN"/>
        </w:rPr>
        <w:t>（六）</w:t>
      </w:r>
      <w:r>
        <w:rPr>
          <w:rFonts w:hint="eastAsia" w:hAnsi="Times New Roman"/>
          <w:highlight w:val="none"/>
        </w:rPr>
        <w:t>服务连续性预案</w:t>
      </w:r>
    </w:p>
    <w:p w14:paraId="3CB501A3">
      <w:pPr>
        <w:ind w:firstLine="480" w:firstLineChars="200"/>
        <w:outlineLvl w:val="9"/>
        <w:rPr>
          <w:rFonts w:hint="eastAsia"/>
          <w:highlight w:val="none"/>
        </w:rPr>
      </w:pPr>
      <w:r>
        <w:rPr>
          <w:rFonts w:hint="eastAsia" w:hAnsi="Times New Roman"/>
          <w:highlight w:val="none"/>
          <w:lang w:val="en-US" w:eastAsia="zh-CN"/>
        </w:rPr>
        <w:t>（七）</w:t>
      </w:r>
      <w:r>
        <w:rPr>
          <w:rFonts w:hint="eastAsia" w:hAnsi="Times New Roman"/>
          <w:highlight w:val="none"/>
        </w:rPr>
        <w:t>项目实施方案</w:t>
      </w:r>
    </w:p>
    <w:p w14:paraId="79B730AD">
      <w:pPr>
        <w:outlineLvl w:val="9"/>
        <w:rPr>
          <w:rFonts w:ascii="Times New Roman" w:hAnsi="Times New Roman"/>
          <w:highlight w:val="none"/>
        </w:rPr>
      </w:pPr>
      <w:r>
        <w:rPr>
          <w:rFonts w:hint="eastAsia" w:ascii="Times New Roman" w:hAnsi="Times New Roman"/>
          <w:highlight w:val="none"/>
        </w:rPr>
        <w:t>五、参选保证金</w:t>
      </w:r>
    </w:p>
    <w:p w14:paraId="6A640757">
      <w:pPr>
        <w:outlineLvl w:val="9"/>
        <w:rPr>
          <w:rFonts w:ascii="Times New Roman" w:hAnsi="Times New Roman"/>
          <w:highlight w:val="none"/>
        </w:rPr>
      </w:pPr>
      <w:r>
        <w:rPr>
          <w:rFonts w:hint="eastAsia" w:ascii="Times New Roman" w:hAnsi="Times New Roman"/>
          <w:highlight w:val="none"/>
        </w:rPr>
        <w:t>六、服务水平协议（</w:t>
      </w:r>
      <w:bookmarkStart w:id="346" w:name="突出显示"/>
      <w:r>
        <w:rPr>
          <w:rFonts w:hint="eastAsia" w:ascii="Times New Roman" w:hAnsi="Times New Roman"/>
          <w:highlight w:val="none"/>
        </w:rPr>
        <w:t>SLA</w:t>
      </w:r>
      <w:bookmarkEnd w:id="346"/>
      <w:r>
        <w:rPr>
          <w:rFonts w:hint="eastAsia" w:ascii="Times New Roman" w:hAnsi="Times New Roman"/>
          <w:highlight w:val="none"/>
        </w:rPr>
        <w:t>）</w:t>
      </w:r>
    </w:p>
    <w:p w14:paraId="04C7F24A">
      <w:pPr>
        <w:keepNext w:val="0"/>
        <w:keepLines w:val="0"/>
        <w:pageBreakBefore w:val="0"/>
        <w:widowControl w:val="0"/>
        <w:kinsoku/>
        <w:wordWrap/>
        <w:overflowPunct/>
        <w:topLinePunct w:val="0"/>
        <w:autoSpaceDE/>
        <w:autoSpaceDN/>
        <w:jc w:val="left"/>
        <w:outlineLvl w:val="9"/>
        <w:rPr>
          <w:rFonts w:hint="eastAsia" w:ascii="Times New Roman" w:hAnsi="Times New Roman"/>
          <w:highlight w:val="none"/>
          <w:lang w:eastAsia="zh-CN"/>
        </w:rPr>
      </w:pPr>
      <w:r>
        <w:rPr>
          <w:rFonts w:ascii="Times New Roman" w:hAnsi="Times New Roman"/>
          <w:highlight w:val="none"/>
        </w:rPr>
        <w:t>七</w:t>
      </w:r>
      <w:r>
        <w:rPr>
          <w:rFonts w:hint="eastAsia" w:ascii="Times New Roman" w:hAnsi="Times New Roman"/>
          <w:highlight w:val="none"/>
        </w:rPr>
        <w:t>、</w:t>
      </w:r>
      <w:r>
        <w:rPr>
          <w:rFonts w:ascii="Times New Roman" w:hAnsi="Times New Roman"/>
          <w:highlight w:val="none"/>
        </w:rPr>
        <w:t>管理资质</w:t>
      </w:r>
      <w:r>
        <w:rPr>
          <w:rFonts w:hint="eastAsia" w:ascii="Times New Roman" w:hAnsi="Times New Roman"/>
          <w:highlight w:val="none"/>
          <w:lang w:eastAsia="zh-CN"/>
        </w:rPr>
        <w:t>（如有）</w:t>
      </w:r>
    </w:p>
    <w:p w14:paraId="59B1F4F5">
      <w:pPr>
        <w:keepNext w:val="0"/>
        <w:keepLines w:val="0"/>
        <w:pageBreakBefore w:val="0"/>
        <w:widowControl w:val="0"/>
        <w:kinsoku/>
        <w:wordWrap/>
        <w:overflowPunct/>
        <w:topLinePunct w:val="0"/>
        <w:autoSpaceDE/>
        <w:autoSpaceDN/>
        <w:jc w:val="left"/>
        <w:outlineLvl w:val="9"/>
        <w:rPr>
          <w:rFonts w:hint="default" w:ascii="Times New Roman" w:hAnsi="Times New Roman" w:cs="宋体"/>
          <w:kern w:val="2"/>
          <w:sz w:val="24"/>
          <w:szCs w:val="20"/>
          <w:highlight w:val="none"/>
          <w:lang w:val="en-US" w:eastAsia="zh-CN"/>
        </w:rPr>
      </w:pPr>
      <w:r>
        <w:rPr>
          <w:rFonts w:hint="default" w:ascii="Times New Roman" w:hAnsi="Times New Roman" w:cs="宋体"/>
          <w:kern w:val="2"/>
          <w:sz w:val="24"/>
          <w:szCs w:val="20"/>
          <w:highlight w:val="none"/>
          <w:lang w:val="en-US" w:eastAsia="zh-CN"/>
        </w:rPr>
        <w:t>八、</w:t>
      </w:r>
      <w:r>
        <w:rPr>
          <w:rFonts w:ascii="Times New Roman" w:hAnsi="Times New Roman" w:cs="宋体"/>
          <w:kern w:val="2"/>
          <w:sz w:val="24"/>
          <w:szCs w:val="20"/>
          <w:highlight w:val="none"/>
          <w:lang w:val="en-US" w:eastAsia="zh-CN"/>
        </w:rPr>
        <w:t>总公司、</w:t>
      </w:r>
      <w:r>
        <w:rPr>
          <w:rFonts w:hint="default" w:ascii="Times New Roman" w:hAnsi="Times New Roman" w:cs="宋体"/>
          <w:kern w:val="2"/>
          <w:sz w:val="24"/>
          <w:szCs w:val="20"/>
          <w:highlight w:val="none"/>
          <w:lang w:val="en-US" w:eastAsia="zh-CN"/>
        </w:rPr>
        <w:t>分公司营业执照或在重庆、成都有办事处的承诺函及</w:t>
      </w:r>
      <w:r>
        <w:rPr>
          <w:rFonts w:ascii="Times New Roman" w:hAnsi="Times New Roman" w:cs="宋体"/>
          <w:kern w:val="2"/>
          <w:sz w:val="24"/>
          <w:szCs w:val="20"/>
          <w:highlight w:val="none"/>
          <w:lang w:val="en-US" w:eastAsia="zh-CN"/>
        </w:rPr>
        <w:t>在重庆、成都纳</w:t>
      </w:r>
      <w:r>
        <w:rPr>
          <w:rFonts w:hint="default" w:ascii="Times New Roman" w:hAnsi="Times New Roman" w:cs="宋体"/>
          <w:kern w:val="2"/>
          <w:sz w:val="24"/>
          <w:szCs w:val="20"/>
          <w:highlight w:val="none"/>
          <w:lang w:val="en-US" w:eastAsia="zh-CN"/>
        </w:rPr>
        <w:t>社保证明</w:t>
      </w:r>
      <w:r>
        <w:rPr>
          <w:rFonts w:hint="default" w:ascii="Times New Roman" w:hAnsi="Times New Roman"/>
          <w:highlight w:val="none"/>
          <w:lang w:eastAsia="zh-CN"/>
        </w:rPr>
        <w:t>（如有）</w:t>
      </w:r>
    </w:p>
    <w:p w14:paraId="44DD1E63">
      <w:pPr>
        <w:autoSpaceDE/>
        <w:autoSpaceDN/>
        <w:outlineLvl w:val="9"/>
        <w:rPr>
          <w:rFonts w:hint="default" w:ascii="Times New Roman" w:hAnsi="Times New Roman" w:eastAsia="宋体"/>
          <w:highlight w:val="none"/>
          <w:lang w:eastAsia="zh-CN"/>
        </w:rPr>
      </w:pPr>
      <w:r>
        <w:rPr>
          <w:rFonts w:hint="eastAsia" w:ascii="Times New Roman" w:hAnsi="Times New Roman" w:cs="宋体"/>
          <w:kern w:val="2"/>
          <w:sz w:val="24"/>
          <w:szCs w:val="20"/>
          <w:highlight w:val="none"/>
          <w:lang w:val="en-US" w:eastAsia="zh-CN"/>
        </w:rPr>
        <w:t>九、</w:t>
      </w:r>
      <w:r>
        <w:rPr>
          <w:rFonts w:ascii="Times New Roman" w:hAnsi="Times New Roman" w:cs="宋体"/>
          <w:kern w:val="2"/>
          <w:sz w:val="24"/>
          <w:szCs w:val="20"/>
          <w:highlight w:val="none"/>
          <w:lang w:val="en-US" w:eastAsia="zh-CN"/>
        </w:rPr>
        <w:t>获取数据合法合规的证明材料（包括不限于：征信牌照等）</w:t>
      </w:r>
      <w:r>
        <w:rPr>
          <w:rFonts w:hint="default" w:ascii="Times New Roman" w:hAnsi="Times New Roman"/>
          <w:highlight w:val="none"/>
          <w:lang w:eastAsia="zh-CN"/>
        </w:rPr>
        <w:t>（如有）</w:t>
      </w:r>
    </w:p>
    <w:p w14:paraId="7D8D0165">
      <w:pPr>
        <w:outlineLvl w:val="9"/>
        <w:rPr>
          <w:rFonts w:ascii="Times New Roman" w:hAnsi="Times New Roman"/>
          <w:highlight w:val="none"/>
        </w:rPr>
      </w:pPr>
      <w:r>
        <w:rPr>
          <w:rFonts w:hint="eastAsia" w:ascii="Times New Roman" w:hAnsi="Times New Roman"/>
          <w:highlight w:val="none"/>
          <w:lang w:eastAsia="zh-CN"/>
        </w:rPr>
        <w:t>十</w:t>
      </w:r>
      <w:r>
        <w:rPr>
          <w:rFonts w:ascii="Times New Roman" w:hAnsi="Times New Roman"/>
          <w:highlight w:val="none"/>
        </w:rPr>
        <w:t>、</w:t>
      </w:r>
      <w:r>
        <w:rPr>
          <w:rFonts w:hint="eastAsia" w:ascii="Times New Roman" w:hAnsi="Times New Roman"/>
          <w:highlight w:val="none"/>
        </w:rPr>
        <w:t>其他（如有）</w:t>
      </w:r>
    </w:p>
    <w:p w14:paraId="79E897B9">
      <w:pPr>
        <w:spacing w:line="360" w:lineRule="auto"/>
        <w:rPr>
          <w:rFonts w:ascii="Times New Roman" w:hAnsi="Times New Roman" w:cs="宋体"/>
          <w:highlight w:val="none"/>
        </w:rPr>
      </w:pPr>
    </w:p>
    <w:p w14:paraId="0B5D8EE7">
      <w:pPr>
        <w:spacing w:line="360" w:lineRule="auto"/>
        <w:ind w:firstLine="0"/>
        <w:jc w:val="center"/>
        <w:outlineLvl w:val="0"/>
        <w:rPr>
          <w:rStyle w:val="35"/>
          <w:rFonts w:ascii="Times New Roman" w:hAnsi="Times New Roman"/>
          <w:b/>
          <w:bCs w:val="0"/>
          <w:highlight w:val="none"/>
        </w:rPr>
      </w:pPr>
      <w:r>
        <w:rPr>
          <w:rFonts w:hint="eastAsia" w:ascii="Times New Roman" w:hAnsi="Times New Roman" w:cs="宋体"/>
          <w:highlight w:val="none"/>
        </w:rPr>
        <w:br w:type="page"/>
      </w:r>
      <w:bookmarkStart w:id="347" w:name="_Toc1580097410"/>
      <w:bookmarkStart w:id="348" w:name="_Toc248729550"/>
      <w:bookmarkStart w:id="349" w:name="_Toc634633759"/>
      <w:r>
        <w:rPr>
          <w:rStyle w:val="35"/>
          <w:rFonts w:hint="eastAsia" w:ascii="Times New Roman" w:hAnsi="Times New Roman"/>
          <w:b/>
          <w:bCs w:val="0"/>
          <w:highlight w:val="none"/>
        </w:rPr>
        <w:t>一、参选函</w:t>
      </w:r>
      <w:bookmarkEnd w:id="347"/>
      <w:bookmarkEnd w:id="348"/>
      <w:bookmarkEnd w:id="349"/>
    </w:p>
    <w:p w14:paraId="1C83ACEC">
      <w:pPr>
        <w:tabs>
          <w:tab w:val="left" w:pos="6300"/>
        </w:tabs>
        <w:snapToGrid w:val="0"/>
        <w:spacing w:line="360" w:lineRule="auto"/>
        <w:ind w:right="-34" w:rightChars="-14"/>
        <w:rPr>
          <w:rFonts w:ascii="Times New Roman" w:hAnsi="Times New Roman"/>
          <w:snapToGrid w:val="0"/>
          <w:kern w:val="0"/>
          <w:szCs w:val="24"/>
          <w:highlight w:val="none"/>
          <w:u w:val="single"/>
        </w:rPr>
      </w:pPr>
    </w:p>
    <w:p w14:paraId="1677C2B5">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60611E6C">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5A39CA4C">
      <w:pPr>
        <w:tabs>
          <w:tab w:val="left" w:pos="6300"/>
        </w:tabs>
        <w:snapToGrid w:val="0"/>
        <w:spacing w:line="360" w:lineRule="auto"/>
        <w:ind w:right="-34" w:rightChars="-14" w:firstLine="573"/>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w:t>
      </w:r>
      <w:r>
        <w:rPr>
          <w:rFonts w:ascii="Times New Roman" w:hAnsi="Times New Roman"/>
          <w:snapToGrid w:val="0"/>
          <w:kern w:val="0"/>
          <w:szCs w:val="24"/>
          <w:highlight w:val="none"/>
        </w:rPr>
        <w:t>（含税）</w:t>
      </w:r>
      <w:r>
        <w:rPr>
          <w:rFonts w:hint="eastAsia" w:ascii="Times New Roman" w:hAnsi="Times New Roman"/>
          <w:snapToGrid w:val="0"/>
          <w:kern w:val="0"/>
          <w:szCs w:val="24"/>
          <w:highlight w:val="none"/>
        </w:rPr>
        <w:t>承担和完成本项目。免费维保期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r>
        <w:rPr>
          <w:rFonts w:hint="eastAsia" w:ascii="Times New Roman" w:hAnsi="Times New Roman"/>
          <w:snapToGrid w:val="0"/>
          <w:kern w:val="0"/>
          <w:szCs w:val="24"/>
          <w:highlight w:val="none"/>
        </w:rPr>
        <w:t>免费维保期后的维保费率：</w:t>
      </w:r>
      <w:r>
        <w:rPr>
          <w:rFonts w:hint="eastAsia" w:ascii="Times New Roman" w:hAnsi="Times New Roman"/>
          <w:snapToGrid w:val="0"/>
          <w:kern w:val="0"/>
          <w:szCs w:val="24"/>
          <w:highlight w:val="none"/>
          <w:u w:val="single"/>
        </w:rPr>
        <w:t>__</w:t>
      </w:r>
      <w:r>
        <w:rPr>
          <w:rFonts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u w:val="single"/>
        </w:rPr>
        <w:t>___。</w:t>
      </w:r>
    </w:p>
    <w:p w14:paraId="4C3DAA99">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r>
        <w:rPr>
          <w:rFonts w:hint="eastAsia" w:ascii="Times New Roman" w:hAnsi="Times New Roman"/>
          <w:snapToGrid w:val="0"/>
          <w:kern w:val="0"/>
          <w:szCs w:val="24"/>
          <w:highlight w:val="none"/>
        </w:rPr>
        <w:t>。</w:t>
      </w:r>
    </w:p>
    <w:p w14:paraId="510176C3">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003EE087">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0852FDF3">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73AC3583">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3FB851A9">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w:t>
      </w:r>
      <w:r>
        <w:rPr>
          <w:rFonts w:hint="eastAsia" w:ascii="Times New Roman" w:hAnsi="Times New Roman"/>
          <w:snapToGrid w:val="0"/>
          <w:kern w:val="0"/>
          <w:szCs w:val="24"/>
          <w:highlight w:val="none"/>
          <w:lang w:val="en-US" w:eastAsia="zh-CN"/>
        </w:rPr>
        <w:t>6%及13</w:t>
      </w:r>
      <w:r>
        <w:rPr>
          <w:rFonts w:hint="eastAsia" w:ascii="Times New Roman" w:hAnsi="Times New Roman"/>
          <w:snapToGrid w:val="0"/>
          <w:kern w:val="0"/>
          <w:szCs w:val="24"/>
          <w:highlight w:val="none"/>
        </w:rPr>
        <w:t>%的增值税专用发票。</w:t>
      </w:r>
    </w:p>
    <w:p w14:paraId="0C953950">
      <w:pPr>
        <w:tabs>
          <w:tab w:val="left" w:pos="6300"/>
        </w:tabs>
        <w:snapToGrid w:val="0"/>
        <w:spacing w:line="360" w:lineRule="auto"/>
        <w:ind w:right="-34" w:rightChars="-14"/>
        <w:rPr>
          <w:rFonts w:ascii="Times New Roman" w:hAnsi="Times New Roman"/>
          <w:snapToGrid w:val="0"/>
          <w:kern w:val="0"/>
          <w:szCs w:val="24"/>
          <w:highlight w:val="none"/>
        </w:rPr>
      </w:pPr>
    </w:p>
    <w:p w14:paraId="3F170EEE">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6D23205C">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130BF724">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2C453FAB">
      <w:pPr>
        <w:tabs>
          <w:tab w:val="left" w:pos="6300"/>
        </w:tabs>
        <w:snapToGrid w:val="0"/>
        <w:spacing w:line="360" w:lineRule="auto"/>
        <w:ind w:right="-34" w:rightChars="-14" w:firstLine="480" w:firstLineChars="200"/>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0645BC7A">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0D5F9508">
      <w:pPr>
        <w:tabs>
          <w:tab w:val="left" w:pos="6300"/>
        </w:tabs>
        <w:snapToGrid w:val="0"/>
        <w:spacing w:line="360" w:lineRule="auto"/>
        <w:ind w:right="-34" w:rightChars="-14" w:firstLine="5400"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73CE4D18">
      <w:pPr>
        <w:widowControl/>
        <w:spacing w:line="360" w:lineRule="auto"/>
        <w:jc w:val="left"/>
        <w:rPr>
          <w:rFonts w:ascii="Times New Roman" w:hAnsi="Times New Roman"/>
          <w:snapToGrid w:val="0"/>
          <w:kern w:val="0"/>
          <w:szCs w:val="24"/>
          <w:highlight w:val="none"/>
        </w:rPr>
      </w:pPr>
    </w:p>
    <w:p w14:paraId="78185E50">
      <w:pPr>
        <w:widowControl/>
        <w:spacing w:line="360" w:lineRule="auto"/>
        <w:jc w:val="left"/>
        <w:rPr>
          <w:rFonts w:ascii="Times New Roman" w:hAnsi="Times New Roman"/>
          <w:snapToGrid w:val="0"/>
          <w:kern w:val="0"/>
          <w:szCs w:val="24"/>
          <w:highlight w:val="none"/>
        </w:rPr>
      </w:pPr>
    </w:p>
    <w:p w14:paraId="24FB77A4">
      <w:pPr>
        <w:snapToGrid w:val="0"/>
        <w:spacing w:line="360" w:lineRule="auto"/>
        <w:rPr>
          <w:rFonts w:ascii="Times New Roman" w:hAnsi="Times New Roman"/>
          <w:snapToGrid w:val="0"/>
          <w:kern w:val="0"/>
          <w:szCs w:val="24"/>
          <w:highlight w:val="none"/>
        </w:rPr>
      </w:pPr>
      <w:r>
        <w:rPr>
          <w:rFonts w:hint="eastAsia" w:ascii="Times New Roman" w:hAnsi="Times New Roman"/>
          <w:kern w:val="0"/>
          <w:highlight w:val="none"/>
        </w:rPr>
        <w:br w:type="page"/>
      </w:r>
    </w:p>
    <w:p w14:paraId="3913E125">
      <w:pPr>
        <w:pStyle w:val="37"/>
        <w:outlineLvl w:val="0"/>
        <w:rPr>
          <w:rFonts w:hint="eastAsia" w:ascii="Times New Roman" w:hAnsi="Times New Roman" w:cs="Cambria"/>
          <w:bCs w:val="0"/>
          <w:snapToGrid/>
          <w:color w:val="auto"/>
          <w:sz w:val="28"/>
          <w:szCs w:val="28"/>
          <w:highlight w:val="none"/>
          <w:shd w:val="clear" w:color="auto" w:fill="auto"/>
        </w:rPr>
      </w:pPr>
      <w:bookmarkStart w:id="350" w:name="_Toc1760878222"/>
      <w:bookmarkStart w:id="351" w:name="_Toc538450784"/>
      <w:bookmarkStart w:id="352" w:name="_Toc1341082180"/>
      <w:r>
        <w:rPr>
          <w:rFonts w:ascii="Times New Roman" w:hAnsi="Times New Roman"/>
          <w:highlight w:val="none"/>
        </w:rPr>
        <w:t>二、</w:t>
      </w:r>
      <w:r>
        <w:rPr>
          <w:rFonts w:hint="eastAsia" w:ascii="Times New Roman" w:hAnsi="Times New Roman" w:cs="Cambria"/>
          <w:bCs w:val="0"/>
          <w:snapToGrid/>
          <w:color w:val="auto"/>
          <w:sz w:val="28"/>
          <w:szCs w:val="28"/>
          <w:highlight w:val="none"/>
          <w:shd w:val="clear" w:color="auto" w:fill="auto"/>
        </w:rPr>
        <w:t>报价一览表</w:t>
      </w:r>
      <w:bookmarkEnd w:id="350"/>
      <w:bookmarkEnd w:id="351"/>
      <w:bookmarkEnd w:id="352"/>
    </w:p>
    <w:tbl>
      <w:tblPr>
        <w:tblStyle w:val="24"/>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55"/>
        <w:gridCol w:w="3171"/>
        <w:gridCol w:w="3266"/>
      </w:tblGrid>
      <w:tr w14:paraId="5A37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0C96AC11">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参选人全称</w:t>
            </w:r>
          </w:p>
        </w:tc>
        <w:tc>
          <w:tcPr>
            <w:tcW w:w="6437" w:type="dxa"/>
            <w:gridSpan w:val="2"/>
            <w:tcBorders>
              <w:top w:val="single" w:color="auto" w:sz="4" w:space="0"/>
              <w:left w:val="nil"/>
              <w:bottom w:val="single" w:color="auto" w:sz="4" w:space="0"/>
              <w:right w:val="single" w:color="auto" w:sz="4" w:space="0"/>
            </w:tcBorders>
            <w:shd w:val="clear" w:color="auto" w:fill="auto"/>
            <w:vAlign w:val="center"/>
          </w:tcPr>
          <w:p w14:paraId="53B66488">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2"/>
                <w:sz w:val="24"/>
                <w:szCs w:val="24"/>
                <w:highlight w:val="none"/>
              </w:rPr>
            </w:pPr>
          </w:p>
        </w:tc>
      </w:tr>
      <w:tr w14:paraId="4FBA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16C1F1C0">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比选项目名称</w:t>
            </w:r>
          </w:p>
        </w:tc>
        <w:tc>
          <w:tcPr>
            <w:tcW w:w="6437" w:type="dxa"/>
            <w:gridSpan w:val="2"/>
            <w:tcBorders>
              <w:top w:val="single" w:color="auto" w:sz="4" w:space="0"/>
              <w:left w:val="nil"/>
              <w:bottom w:val="single" w:color="auto" w:sz="4" w:space="0"/>
              <w:right w:val="single" w:color="auto" w:sz="4" w:space="0"/>
            </w:tcBorders>
            <w:shd w:val="clear" w:color="auto" w:fill="auto"/>
            <w:vAlign w:val="center"/>
          </w:tcPr>
          <w:p w14:paraId="67EDE1BB">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2"/>
                <w:sz w:val="24"/>
                <w:szCs w:val="24"/>
                <w:highlight w:val="none"/>
              </w:rPr>
            </w:pPr>
          </w:p>
        </w:tc>
      </w:tr>
      <w:tr w14:paraId="4AAC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4AFA69E5">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参选总价（含税）</w:t>
            </w:r>
          </w:p>
        </w:tc>
        <w:tc>
          <w:tcPr>
            <w:tcW w:w="6437" w:type="dxa"/>
            <w:gridSpan w:val="2"/>
            <w:tcBorders>
              <w:top w:val="single" w:color="auto" w:sz="4" w:space="0"/>
              <w:left w:val="nil"/>
              <w:bottom w:val="single" w:color="auto" w:sz="4" w:space="0"/>
              <w:right w:val="single" w:color="auto" w:sz="4" w:space="0"/>
            </w:tcBorders>
            <w:shd w:val="clear" w:color="auto" w:fill="auto"/>
            <w:vAlign w:val="center"/>
          </w:tcPr>
          <w:p w14:paraId="7BE6EAC1">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小写（人民币）：</w:t>
            </w:r>
            <w:r>
              <w:rPr>
                <w:rFonts w:hint="default" w:ascii="Times New Roman" w:hAnsi="Times New Roman" w:eastAsia="宋体" w:cs="Times New Roman"/>
                <w:color w:val="auto"/>
                <w:kern w:val="0"/>
                <w:sz w:val="24"/>
                <w:szCs w:val="24"/>
                <w:highlight w:val="none"/>
                <w:shd w:val="clear" w:color="auto" w:fill="auto"/>
                <w:lang w:val="en-US" w:eastAsia="zh-CN" w:bidi="ar"/>
              </w:rPr>
              <w:t xml:space="preserve">            </w:t>
            </w:r>
          </w:p>
          <w:p w14:paraId="2CF8E34C">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大写（人民币）：</w:t>
            </w:r>
            <w:r>
              <w:rPr>
                <w:rFonts w:hint="default" w:ascii="Times New Roman" w:hAnsi="Times New Roman" w:eastAsia="宋体" w:cs="Times New Roman"/>
                <w:color w:val="auto"/>
                <w:kern w:val="0"/>
                <w:sz w:val="24"/>
                <w:szCs w:val="24"/>
                <w:highlight w:val="none"/>
                <w:shd w:val="clear" w:color="auto" w:fill="auto"/>
                <w:lang w:val="en-US" w:eastAsia="zh-CN" w:bidi="ar"/>
              </w:rPr>
              <w:t xml:space="preserve">            </w:t>
            </w:r>
          </w:p>
        </w:tc>
      </w:tr>
      <w:tr w14:paraId="6589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2B3E9D17">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参选总价（不含税）</w:t>
            </w:r>
          </w:p>
        </w:tc>
        <w:tc>
          <w:tcPr>
            <w:tcW w:w="6437" w:type="dxa"/>
            <w:gridSpan w:val="2"/>
            <w:tcBorders>
              <w:top w:val="single" w:color="auto" w:sz="4" w:space="0"/>
              <w:left w:val="nil"/>
              <w:bottom w:val="single" w:color="auto" w:sz="4" w:space="0"/>
              <w:right w:val="single" w:color="auto" w:sz="4" w:space="0"/>
            </w:tcBorders>
            <w:shd w:val="clear" w:color="auto" w:fill="auto"/>
            <w:vAlign w:val="center"/>
          </w:tcPr>
          <w:p w14:paraId="1EA90EC9">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小写（人民币）：</w:t>
            </w:r>
            <w:r>
              <w:rPr>
                <w:rFonts w:hint="default" w:ascii="Times New Roman" w:hAnsi="Times New Roman" w:eastAsia="宋体" w:cs="Times New Roman"/>
                <w:color w:val="auto"/>
                <w:kern w:val="0"/>
                <w:sz w:val="24"/>
                <w:szCs w:val="24"/>
                <w:highlight w:val="none"/>
                <w:shd w:val="clear" w:color="auto" w:fill="auto"/>
                <w:lang w:val="en-US" w:eastAsia="zh-CN" w:bidi="ar"/>
              </w:rPr>
              <w:t xml:space="preserve">            </w:t>
            </w:r>
          </w:p>
          <w:p w14:paraId="1791FBEC">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大写（人民币）：</w:t>
            </w:r>
            <w:r>
              <w:rPr>
                <w:rFonts w:hint="default" w:ascii="Times New Roman" w:hAnsi="Times New Roman" w:eastAsia="宋体" w:cs="Times New Roman"/>
                <w:color w:val="auto"/>
                <w:kern w:val="0"/>
                <w:sz w:val="24"/>
                <w:szCs w:val="24"/>
                <w:highlight w:val="none"/>
                <w:shd w:val="clear" w:color="auto" w:fill="auto"/>
                <w:lang w:val="en-US" w:eastAsia="zh-CN" w:bidi="ar"/>
              </w:rPr>
              <w:t xml:space="preserve">            </w:t>
            </w:r>
          </w:p>
        </w:tc>
      </w:tr>
      <w:tr w14:paraId="4197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047E9EF4">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产品报价小写</w:t>
            </w:r>
          </w:p>
          <w:p w14:paraId="1287F7C3">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（税率：</w:t>
            </w:r>
            <w:r>
              <w:rPr>
                <w:rFonts w:hint="default" w:ascii="Times New Roman" w:hAnsi="Times New Roman" w:eastAsia="宋体" w:cs="Times New Roman"/>
                <w:color w:val="auto"/>
                <w:kern w:val="2"/>
                <w:sz w:val="24"/>
                <w:szCs w:val="24"/>
                <w:highlight w:val="none"/>
                <w:shd w:val="clear" w:color="auto" w:fill="auto"/>
                <w:lang w:val="en-US" w:eastAsia="zh-CN" w:bidi="ar"/>
              </w:rPr>
              <w:t>13%</w:t>
            </w:r>
            <w:r>
              <w:rPr>
                <w:rFonts w:hint="eastAsia" w:ascii="宋体" w:hAnsi="宋体" w:eastAsia="宋体" w:cs="宋体"/>
                <w:color w:val="auto"/>
                <w:kern w:val="2"/>
                <w:sz w:val="24"/>
                <w:szCs w:val="24"/>
                <w:highlight w:val="none"/>
                <w:shd w:val="clear" w:color="auto" w:fill="auto"/>
                <w:lang w:val="en-US" w:eastAsia="zh-CN" w:bidi="ar"/>
              </w:rPr>
              <w:t>）</w:t>
            </w:r>
          </w:p>
        </w:tc>
        <w:tc>
          <w:tcPr>
            <w:tcW w:w="3171" w:type="dxa"/>
            <w:tcBorders>
              <w:top w:val="single" w:color="auto" w:sz="4" w:space="0"/>
              <w:left w:val="nil"/>
              <w:bottom w:val="single" w:color="auto" w:sz="4" w:space="0"/>
              <w:right w:val="single" w:color="auto" w:sz="4" w:space="0"/>
            </w:tcBorders>
            <w:shd w:val="clear" w:color="auto" w:fill="auto"/>
            <w:vAlign w:val="center"/>
          </w:tcPr>
          <w:p w14:paraId="2BD21A0F">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含税价：</w:t>
            </w:r>
          </w:p>
        </w:tc>
        <w:tc>
          <w:tcPr>
            <w:tcW w:w="3266" w:type="dxa"/>
            <w:tcBorders>
              <w:top w:val="single" w:color="auto" w:sz="4" w:space="0"/>
              <w:left w:val="nil"/>
              <w:bottom w:val="single" w:color="auto" w:sz="4" w:space="0"/>
              <w:right w:val="single" w:color="auto" w:sz="4" w:space="0"/>
            </w:tcBorders>
            <w:shd w:val="clear" w:color="auto" w:fill="auto"/>
            <w:vAlign w:val="center"/>
          </w:tcPr>
          <w:p w14:paraId="091714EA">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不含税价：</w:t>
            </w:r>
          </w:p>
        </w:tc>
      </w:tr>
      <w:tr w14:paraId="48E3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0D2CB6BD">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定制开发报价小写</w:t>
            </w:r>
          </w:p>
          <w:p w14:paraId="4AF0C325">
            <w:pPr>
              <w:keepNext w:val="0"/>
              <w:keepLines w:val="0"/>
              <w:widowControl w:val="0"/>
              <w:suppressLineNumbers w:val="0"/>
              <w:autoSpaceDE w:val="0"/>
              <w:autoSpaceDN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（税率：</w:t>
            </w:r>
            <w:r>
              <w:rPr>
                <w:rFonts w:hint="default" w:ascii="Times New Roman" w:hAnsi="Times New Roman" w:eastAsia="宋体" w:cs="Times New Roman"/>
                <w:color w:val="auto"/>
                <w:kern w:val="2"/>
                <w:sz w:val="24"/>
                <w:szCs w:val="24"/>
                <w:highlight w:val="none"/>
                <w:shd w:val="clear" w:color="auto" w:fill="auto"/>
                <w:lang w:val="en-US" w:eastAsia="zh-CN" w:bidi="ar"/>
              </w:rPr>
              <w:t>6%</w:t>
            </w:r>
            <w:r>
              <w:rPr>
                <w:rFonts w:hint="eastAsia" w:ascii="宋体" w:hAnsi="宋体" w:eastAsia="宋体" w:cs="宋体"/>
                <w:color w:val="auto"/>
                <w:kern w:val="2"/>
                <w:sz w:val="24"/>
                <w:szCs w:val="24"/>
                <w:highlight w:val="none"/>
                <w:shd w:val="clear" w:color="auto" w:fill="auto"/>
                <w:lang w:val="en-US" w:eastAsia="zh-CN" w:bidi="ar"/>
              </w:rPr>
              <w:t>）</w:t>
            </w:r>
          </w:p>
        </w:tc>
        <w:tc>
          <w:tcPr>
            <w:tcW w:w="3171" w:type="dxa"/>
            <w:tcBorders>
              <w:top w:val="single" w:color="auto" w:sz="4" w:space="0"/>
              <w:left w:val="nil"/>
              <w:bottom w:val="single" w:color="auto" w:sz="4" w:space="0"/>
              <w:right w:val="single" w:color="auto" w:sz="4" w:space="0"/>
            </w:tcBorders>
            <w:shd w:val="clear" w:color="auto" w:fill="auto"/>
            <w:vAlign w:val="center"/>
          </w:tcPr>
          <w:p w14:paraId="2897882D">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含税价：</w:t>
            </w:r>
          </w:p>
        </w:tc>
        <w:tc>
          <w:tcPr>
            <w:tcW w:w="3266" w:type="dxa"/>
            <w:tcBorders>
              <w:top w:val="single" w:color="auto" w:sz="4" w:space="0"/>
              <w:left w:val="nil"/>
              <w:bottom w:val="single" w:color="auto" w:sz="4" w:space="0"/>
              <w:right w:val="single" w:color="auto" w:sz="4" w:space="0"/>
            </w:tcBorders>
            <w:shd w:val="clear" w:color="auto" w:fill="auto"/>
            <w:vAlign w:val="center"/>
          </w:tcPr>
          <w:p w14:paraId="7647F4D9">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不含税价：</w:t>
            </w:r>
          </w:p>
        </w:tc>
      </w:tr>
      <w:tr w14:paraId="167A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56D2864F">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维护期</w:t>
            </w:r>
          </w:p>
        </w:tc>
        <w:tc>
          <w:tcPr>
            <w:tcW w:w="6437" w:type="dxa"/>
            <w:gridSpan w:val="2"/>
            <w:tcBorders>
              <w:top w:val="single" w:color="auto" w:sz="4" w:space="0"/>
              <w:left w:val="nil"/>
              <w:bottom w:val="single" w:color="auto" w:sz="4" w:space="0"/>
              <w:right w:val="single" w:color="auto" w:sz="4" w:space="0"/>
            </w:tcBorders>
            <w:shd w:val="clear" w:color="auto" w:fill="auto"/>
            <w:vAlign w:val="center"/>
          </w:tcPr>
          <w:p w14:paraId="348F2129">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2"/>
                <w:sz w:val="24"/>
                <w:szCs w:val="24"/>
                <w:highlight w:val="none"/>
              </w:rPr>
            </w:pPr>
          </w:p>
        </w:tc>
      </w:tr>
      <w:tr w14:paraId="3F69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4E5CA294">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维护期后的维保费率</w:t>
            </w:r>
          </w:p>
        </w:tc>
        <w:tc>
          <w:tcPr>
            <w:tcW w:w="6437" w:type="dxa"/>
            <w:gridSpan w:val="2"/>
            <w:tcBorders>
              <w:top w:val="single" w:color="auto" w:sz="4" w:space="0"/>
              <w:left w:val="nil"/>
              <w:bottom w:val="single" w:color="auto" w:sz="4" w:space="0"/>
              <w:right w:val="single" w:color="auto" w:sz="4" w:space="0"/>
            </w:tcBorders>
            <w:shd w:val="clear" w:color="auto" w:fill="auto"/>
            <w:vAlign w:val="center"/>
          </w:tcPr>
          <w:p w14:paraId="101C59A4">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2"/>
                <w:sz w:val="24"/>
                <w:szCs w:val="24"/>
                <w:highlight w:val="none"/>
              </w:rPr>
            </w:pPr>
          </w:p>
        </w:tc>
      </w:tr>
      <w:tr w14:paraId="56A9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shd w:val="clear" w:color="auto" w:fill="auto"/>
            <w:vAlign w:val="center"/>
          </w:tcPr>
          <w:p w14:paraId="79F04ED5">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0"/>
                <w:sz w:val="24"/>
                <w:szCs w:val="24"/>
                <w:highlight w:val="none"/>
              </w:rPr>
            </w:pPr>
            <w:r>
              <w:rPr>
                <w:rFonts w:hint="eastAsia" w:ascii="宋体" w:hAnsi="宋体" w:eastAsia="宋体" w:cs="宋体"/>
                <w:color w:val="auto"/>
                <w:kern w:val="0"/>
                <w:sz w:val="24"/>
                <w:szCs w:val="24"/>
                <w:highlight w:val="none"/>
                <w:shd w:val="clear" w:color="auto" w:fill="auto"/>
                <w:lang w:val="en-US" w:eastAsia="zh-CN" w:bidi="ar"/>
              </w:rPr>
              <w:t>开具发票类型</w:t>
            </w:r>
          </w:p>
        </w:tc>
        <w:tc>
          <w:tcPr>
            <w:tcW w:w="6437" w:type="dxa"/>
            <w:gridSpan w:val="2"/>
            <w:tcBorders>
              <w:top w:val="single" w:color="auto" w:sz="4" w:space="0"/>
              <w:left w:val="nil"/>
              <w:bottom w:val="single" w:color="auto" w:sz="4" w:space="0"/>
              <w:right w:val="single" w:color="auto" w:sz="4" w:space="0"/>
            </w:tcBorders>
            <w:shd w:val="clear" w:color="auto" w:fill="auto"/>
            <w:vAlign w:val="center"/>
          </w:tcPr>
          <w:p w14:paraId="6A78BE35">
            <w:pPr>
              <w:keepNext w:val="0"/>
              <w:keepLines w:val="0"/>
              <w:widowControl w:val="0"/>
              <w:suppressLineNumbers w:val="0"/>
              <w:autoSpaceDE w:val="0"/>
              <w:autoSpaceDN w:val="0"/>
              <w:spacing w:before="0" w:beforeAutospacing="0" w:after="0" w:afterAutospacing="0" w:line="360" w:lineRule="auto"/>
              <w:ind w:left="0" w:right="0" w:firstLine="480" w:firstLineChars="200"/>
              <w:jc w:val="center"/>
              <w:rPr>
                <w:rFonts w:hint="default" w:ascii="Times New Roman" w:hAnsi="Times New Roman" w:eastAsia="宋体" w:cs="Times New Roman"/>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增值税专用发票</w:t>
            </w:r>
          </w:p>
        </w:tc>
      </w:tr>
      <w:tr w14:paraId="4B42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839FC77">
            <w:pPr>
              <w:pStyle w:val="22"/>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default" w:ascii="Times New Roman" w:hAnsi="Times New Roman" w:eastAsia="宋体" w:cs="Times New Roman"/>
                <w:kern w:val="0"/>
                <w:sz w:val="24"/>
                <w:szCs w:val="24"/>
                <w:highlight w:val="none"/>
              </w:rPr>
            </w:pPr>
          </w:p>
          <w:p w14:paraId="364E5265">
            <w:pPr>
              <w:pStyle w:val="22"/>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default" w:ascii="Times New Roman" w:hAnsi="Times New Roman"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备注：</w:t>
            </w:r>
          </w:p>
        </w:tc>
      </w:tr>
    </w:tbl>
    <w:p w14:paraId="55727B17">
      <w:pPr>
        <w:rPr>
          <w:rFonts w:hint="eastAsia"/>
          <w:highlight w:val="none"/>
        </w:rPr>
      </w:pPr>
    </w:p>
    <w:p w14:paraId="1932682F">
      <w:pPr>
        <w:ind w:right="-34" w:rightChars="-14"/>
        <w:rPr>
          <w:rFonts w:hint="eastAsia" w:ascii="Times New Roman" w:hAnsi="Times New Roman"/>
          <w:color w:val="auto"/>
          <w:sz w:val="24"/>
          <w:szCs w:val="28"/>
          <w:highlight w:val="none"/>
          <w:shd w:val="clear" w:color="auto" w:fill="auto"/>
        </w:rPr>
      </w:pPr>
      <w:bookmarkStart w:id="353" w:name="_Hlk59456849"/>
      <w:r>
        <w:rPr>
          <w:rFonts w:hint="eastAsia" w:ascii="Times New Roman" w:hAnsi="Times New Roman"/>
          <w:color w:val="auto"/>
          <w:sz w:val="24"/>
          <w:szCs w:val="28"/>
          <w:highlight w:val="none"/>
          <w:shd w:val="clear" w:color="auto" w:fill="auto"/>
        </w:rPr>
        <w:t>注：上述税率为推荐税率，因国家政策产生的特殊情况除外，若有税收优惠请附相关凭证。若遇国家税率调整，则保持不含税价不变，重新计算含税价格。</w:t>
      </w:r>
    </w:p>
    <w:bookmarkEnd w:id="353"/>
    <w:p w14:paraId="68260008">
      <w:pPr>
        <w:ind w:right="-34" w:rightChars="-14"/>
        <w:rPr>
          <w:rFonts w:hint="eastAsia" w:ascii="Times New Roman" w:hAnsi="Times New Roman"/>
          <w:color w:val="auto"/>
          <w:sz w:val="24"/>
          <w:szCs w:val="28"/>
          <w:highlight w:val="none"/>
          <w:shd w:val="clear" w:color="auto" w:fill="auto"/>
        </w:rPr>
      </w:pPr>
    </w:p>
    <w:p w14:paraId="3CC03DBA">
      <w:pPr>
        <w:ind w:right="-34" w:rightChars="-14"/>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cs="等线 Light"/>
          <w:snapToGrid w:val="0"/>
          <w:color w:val="auto"/>
          <w:kern w:val="0"/>
          <w:sz w:val="24"/>
          <w:szCs w:val="24"/>
          <w:highlight w:val="none"/>
          <w:shd w:val="clear" w:color="auto" w:fill="auto"/>
        </w:rPr>
        <w:t>参选</w:t>
      </w:r>
      <w:r>
        <w:rPr>
          <w:rFonts w:hint="eastAsia" w:ascii="Times New Roman" w:hAnsi="Times New Roman"/>
          <w:snapToGrid w:val="0"/>
          <w:color w:val="auto"/>
          <w:kern w:val="0"/>
          <w:sz w:val="24"/>
          <w:szCs w:val="24"/>
          <w:highlight w:val="none"/>
          <w:shd w:val="clear" w:color="auto" w:fill="auto"/>
        </w:rPr>
        <w:t>人：                            法人授权代表：</w:t>
      </w:r>
    </w:p>
    <w:p w14:paraId="7CF62D81">
      <w:pPr>
        <w:ind w:right="-34" w:rightChars="-14"/>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 xml:space="preserve">  （公章）                               （签章）</w:t>
      </w:r>
    </w:p>
    <w:p w14:paraId="19C79E59">
      <w:pPr>
        <w:ind w:right="-34" w:rightChars="-14"/>
        <w:jc w:val="right"/>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 xml:space="preserve">                                     年     月     日</w:t>
      </w:r>
    </w:p>
    <w:p w14:paraId="58E5310C">
      <w:pPr>
        <w:snapToGrid w:val="0"/>
        <w:rPr>
          <w:rFonts w:hint="eastAsia" w:ascii="Times New Roman" w:hAnsi="Times New Roman"/>
          <w:snapToGrid w:val="0"/>
          <w:color w:val="auto"/>
          <w:kern w:val="0"/>
          <w:sz w:val="24"/>
          <w:szCs w:val="24"/>
          <w:highlight w:val="none"/>
          <w:shd w:val="clear" w:color="auto" w:fill="auto"/>
        </w:rPr>
      </w:pPr>
    </w:p>
    <w:p w14:paraId="731BC3E3">
      <w:pPr>
        <w:snapToGrid w:val="0"/>
        <w:rPr>
          <w:rFonts w:hint="eastAsia" w:ascii="Times New Roman" w:hAnsi="Times New Roman"/>
          <w:snapToGrid w:val="0"/>
          <w:color w:val="auto"/>
          <w:kern w:val="0"/>
          <w:sz w:val="24"/>
          <w:szCs w:val="24"/>
          <w:highlight w:val="none"/>
          <w:shd w:val="clear" w:color="auto" w:fill="auto"/>
        </w:rPr>
      </w:pPr>
    </w:p>
    <w:p w14:paraId="4674479D">
      <w:pPr>
        <w:snapToGrid w:val="0"/>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有关说明：</w:t>
      </w:r>
    </w:p>
    <w:p w14:paraId="25FCC442">
      <w:pPr>
        <w:snapToGrid w:val="0"/>
        <w:jc w:val="left"/>
        <w:rPr>
          <w:rFonts w:hint="eastAsia" w:ascii="Times New Roman" w:hAnsi="Times New Roman"/>
          <w:snapToGrid w:val="0"/>
          <w:color w:val="auto"/>
          <w:kern w:val="0"/>
          <w:sz w:val="24"/>
          <w:szCs w:val="24"/>
          <w:highlight w:val="none"/>
          <w:shd w:val="clear" w:color="auto" w:fill="auto"/>
        </w:rPr>
      </w:pPr>
      <w:r>
        <w:rPr>
          <w:rFonts w:hint="eastAsia" w:ascii="Times New Roman" w:hAnsi="Times New Roman"/>
          <w:snapToGrid w:val="0"/>
          <w:color w:val="auto"/>
          <w:kern w:val="0"/>
          <w:sz w:val="24"/>
          <w:szCs w:val="24"/>
          <w:highlight w:val="none"/>
          <w:shd w:val="clear" w:color="auto" w:fill="auto"/>
        </w:rPr>
        <w:t>报价一览表在开标大会上当众宣读，务必填写清楚，准确无误。表格可扩展。</w:t>
      </w:r>
    </w:p>
    <w:p w14:paraId="52FD2CEC">
      <w:pPr>
        <w:rPr>
          <w:rStyle w:val="34"/>
          <w:rFonts w:ascii="Times New Roman" w:hAnsi="Times New Roman"/>
          <w:b/>
          <w:bCs/>
          <w:highlight w:val="none"/>
        </w:rPr>
      </w:pPr>
      <w:r>
        <w:rPr>
          <w:rFonts w:hint="eastAsia" w:ascii="Times New Roman" w:hAnsi="Times New Roman"/>
          <w:snapToGrid w:val="0"/>
          <w:color w:val="auto"/>
          <w:kern w:val="0"/>
          <w:sz w:val="24"/>
          <w:szCs w:val="24"/>
          <w:highlight w:val="none"/>
          <w:shd w:val="clear" w:color="auto" w:fill="auto"/>
        </w:rPr>
        <w:t>本次报价包含上述维护期，比选人不再另行支付该维护期内维护费用。</w:t>
      </w:r>
      <w:r>
        <w:rPr>
          <w:rStyle w:val="34"/>
          <w:rFonts w:hint="eastAsia" w:ascii="Times New Roman" w:hAnsi="Times New Roman"/>
          <w:b/>
          <w:bCs/>
          <w:highlight w:val="none"/>
        </w:rPr>
        <w:br w:type="page"/>
      </w:r>
    </w:p>
    <w:p w14:paraId="2743E2A0">
      <w:pPr>
        <w:pStyle w:val="37"/>
        <w:outlineLvl w:val="0"/>
        <w:rPr>
          <w:rFonts w:ascii="Times New Roman" w:hAnsi="Times New Roman"/>
          <w:highlight w:val="none"/>
        </w:rPr>
      </w:pPr>
      <w:bookmarkStart w:id="354" w:name="_Toc1041894831"/>
      <w:bookmarkStart w:id="355" w:name="_Toc219993989"/>
      <w:bookmarkStart w:id="356" w:name="_Toc1882069861"/>
      <w:r>
        <w:rPr>
          <w:rFonts w:ascii="Times New Roman" w:hAnsi="Times New Roman"/>
          <w:highlight w:val="none"/>
        </w:rPr>
        <w:t>三、资格性文件</w:t>
      </w:r>
      <w:bookmarkEnd w:id="354"/>
      <w:bookmarkEnd w:id="355"/>
      <w:bookmarkEnd w:id="356"/>
    </w:p>
    <w:p w14:paraId="6495610C">
      <w:pPr>
        <w:pStyle w:val="38"/>
        <w:outlineLvl w:val="1"/>
        <w:rPr>
          <w:rFonts w:ascii="Times New Roman" w:hAnsi="Times New Roman"/>
          <w:highlight w:val="none"/>
        </w:rPr>
      </w:pPr>
      <w:bookmarkStart w:id="357" w:name="_Toc991935148"/>
      <w:bookmarkStart w:id="358" w:name="_Toc2039441512"/>
      <w:r>
        <w:rPr>
          <w:rFonts w:ascii="Times New Roman" w:hAnsi="Times New Roman"/>
          <w:highlight w:val="none"/>
        </w:rPr>
        <w:t>（一）参选人基本情况介绍，资质证明等</w:t>
      </w:r>
      <w:bookmarkEnd w:id="357"/>
      <w:bookmarkEnd w:id="358"/>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DE8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AC375ED">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52029BD2">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15B1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118ADDF">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01C6AAB5">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23DCABCD">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Borders>
              <w:left w:val="single" w:color="auto" w:sz="4" w:space="0"/>
            </w:tcBorders>
          </w:tcPr>
          <w:p w14:paraId="295984C2">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1BED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5E8A3CC0">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4682950">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3B198F85">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1673AC67">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Borders>
              <w:left w:val="single" w:color="auto" w:sz="4" w:space="0"/>
            </w:tcBorders>
          </w:tcPr>
          <w:p w14:paraId="2B55BE4F">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403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502F3FA8">
            <w:pPr>
              <w:keepNext w:val="0"/>
              <w:keepLines w:val="0"/>
              <w:suppressLineNumbers w:val="0"/>
              <w:spacing w:before="0" w:beforeAutospacing="0" w:after="0" w:afterAutospacing="0"/>
              <w:ind w:left="0" w:right="0"/>
              <w:rPr>
                <w:rFonts w:hint="default"/>
                <w:highlight w:val="none"/>
              </w:rPr>
            </w:pPr>
          </w:p>
        </w:tc>
        <w:tc>
          <w:tcPr>
            <w:tcW w:w="1077" w:type="dxa"/>
            <w:tcBorders>
              <w:top w:val="single" w:color="auto" w:sz="4" w:space="0"/>
              <w:left w:val="single" w:color="auto" w:sz="4" w:space="0"/>
              <w:right w:val="single" w:color="auto" w:sz="4" w:space="0"/>
            </w:tcBorders>
            <w:vAlign w:val="center"/>
          </w:tcPr>
          <w:p w14:paraId="3B84165A">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9584C1F">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1464957C">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Borders>
              <w:left w:val="single" w:color="auto" w:sz="4" w:space="0"/>
            </w:tcBorders>
          </w:tcPr>
          <w:p w14:paraId="77B5368B">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1892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0D0BEB">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tcBorders>
              <w:left w:val="single" w:color="auto" w:sz="4" w:space="0"/>
            </w:tcBorders>
            <w:vAlign w:val="center"/>
          </w:tcPr>
          <w:p w14:paraId="10CC166C">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5C20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7A5DF64">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4FEFE401">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5A7E18A8">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477394D">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175D3980">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4BC2396F">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电话</w:t>
            </w:r>
          </w:p>
        </w:tc>
        <w:tc>
          <w:tcPr>
            <w:tcW w:w="758" w:type="dxa"/>
            <w:tcBorders>
              <w:left w:val="single" w:color="auto" w:sz="4" w:space="0"/>
            </w:tcBorders>
          </w:tcPr>
          <w:p w14:paraId="490FBFA1">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4B9D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E5A0D52">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2EFE85CE">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5A44104E">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6348FA0">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41240FF">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DFBDE8A">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电话</w:t>
            </w:r>
          </w:p>
        </w:tc>
        <w:tc>
          <w:tcPr>
            <w:tcW w:w="758" w:type="dxa"/>
            <w:tcBorders>
              <w:left w:val="single" w:color="auto" w:sz="4" w:space="0"/>
            </w:tcBorders>
          </w:tcPr>
          <w:p w14:paraId="06D5592C">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7EF4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E6BC657">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7B24213">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4234" w:type="dxa"/>
            <w:gridSpan w:val="6"/>
            <w:tcBorders>
              <w:left w:val="single" w:color="auto" w:sz="4" w:space="0"/>
            </w:tcBorders>
          </w:tcPr>
          <w:p w14:paraId="54D4FFAD">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员工总人数：</w:t>
            </w:r>
          </w:p>
        </w:tc>
      </w:tr>
      <w:tr w14:paraId="4246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7390563">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B9384F2">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59AEAC4">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72A1A29A">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Borders>
              <w:left w:val="single" w:color="auto" w:sz="4" w:space="0"/>
            </w:tcBorders>
          </w:tcPr>
          <w:p w14:paraId="2AD0CE1C">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3340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BAB2D57">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7A903F2A">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57C2119F">
            <w:pPr>
              <w:keepNext w:val="0"/>
              <w:keepLines w:val="0"/>
              <w:suppressLineNumbers w:val="0"/>
              <w:spacing w:before="0" w:beforeAutospacing="0" w:after="0" w:afterAutospacing="0"/>
              <w:ind w:left="0" w:right="0"/>
              <w:rPr>
                <w:rFonts w:hint="default"/>
                <w:highlight w:val="none"/>
              </w:rPr>
            </w:pPr>
          </w:p>
        </w:tc>
        <w:tc>
          <w:tcPr>
            <w:tcW w:w="2039" w:type="dxa"/>
            <w:gridSpan w:val="3"/>
            <w:tcBorders>
              <w:top w:val="single" w:color="auto" w:sz="4" w:space="0"/>
              <w:left w:val="single" w:color="auto" w:sz="4" w:space="0"/>
              <w:right w:val="single" w:color="auto" w:sz="4" w:space="0"/>
            </w:tcBorders>
            <w:vAlign w:val="center"/>
          </w:tcPr>
          <w:p w14:paraId="2218D215">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Borders>
              <w:left w:val="single" w:color="auto" w:sz="4" w:space="0"/>
            </w:tcBorders>
          </w:tcPr>
          <w:p w14:paraId="41F08113">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5B4A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7BE7B3F">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10687050">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438C929">
            <w:pPr>
              <w:keepNext w:val="0"/>
              <w:keepLines w:val="0"/>
              <w:suppressLineNumbers w:val="0"/>
              <w:spacing w:before="0" w:beforeAutospacing="0" w:after="0" w:afterAutospacing="0"/>
              <w:ind w:left="0" w:right="0"/>
              <w:rPr>
                <w:rFonts w:hint="default"/>
                <w:highlight w:val="none"/>
              </w:rPr>
            </w:pPr>
          </w:p>
        </w:tc>
        <w:tc>
          <w:tcPr>
            <w:tcW w:w="2039" w:type="dxa"/>
            <w:gridSpan w:val="3"/>
            <w:tcBorders>
              <w:top w:val="single" w:color="auto" w:sz="4" w:space="0"/>
              <w:left w:val="single" w:color="auto" w:sz="4" w:space="0"/>
              <w:right w:val="single" w:color="auto" w:sz="4" w:space="0"/>
            </w:tcBorders>
            <w:vAlign w:val="center"/>
          </w:tcPr>
          <w:p w14:paraId="6319751B">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Borders>
              <w:left w:val="single" w:color="auto" w:sz="4" w:space="0"/>
            </w:tcBorders>
          </w:tcPr>
          <w:p w14:paraId="46E9D0BB">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764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7F8DBFC">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2A43BC32">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4FB2A6EC">
            <w:pPr>
              <w:keepNext w:val="0"/>
              <w:keepLines w:val="0"/>
              <w:suppressLineNumbers w:val="0"/>
              <w:spacing w:before="0" w:beforeAutospacing="0" w:after="0" w:afterAutospacing="0"/>
              <w:ind w:left="0" w:right="0"/>
              <w:rPr>
                <w:rFonts w:hint="default"/>
                <w:highlight w:val="none"/>
              </w:rPr>
            </w:pPr>
          </w:p>
        </w:tc>
        <w:tc>
          <w:tcPr>
            <w:tcW w:w="2039" w:type="dxa"/>
            <w:gridSpan w:val="3"/>
            <w:tcBorders>
              <w:top w:val="single" w:color="auto" w:sz="4" w:space="0"/>
              <w:left w:val="single" w:color="auto" w:sz="4" w:space="0"/>
              <w:right w:val="single" w:color="auto" w:sz="4" w:space="0"/>
            </w:tcBorders>
            <w:vAlign w:val="center"/>
          </w:tcPr>
          <w:p w14:paraId="3404BD18">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Borders>
              <w:left w:val="single" w:color="auto" w:sz="4" w:space="0"/>
            </w:tcBorders>
          </w:tcPr>
          <w:p w14:paraId="3F3E8E40">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78C7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D875312">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525BEA09">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161E2704">
            <w:pPr>
              <w:keepNext w:val="0"/>
              <w:keepLines w:val="0"/>
              <w:suppressLineNumbers w:val="0"/>
              <w:spacing w:before="0" w:beforeAutospacing="0" w:after="0" w:afterAutospacing="0"/>
              <w:ind w:left="0" w:right="0"/>
              <w:rPr>
                <w:rFonts w:hint="default"/>
                <w:highlight w:val="none"/>
              </w:rPr>
            </w:pPr>
          </w:p>
        </w:tc>
        <w:tc>
          <w:tcPr>
            <w:tcW w:w="2039" w:type="dxa"/>
            <w:gridSpan w:val="3"/>
            <w:tcBorders>
              <w:top w:val="single" w:color="auto" w:sz="4" w:space="0"/>
              <w:left w:val="single" w:color="auto" w:sz="4" w:space="0"/>
              <w:right w:val="single" w:color="auto" w:sz="4" w:space="0"/>
            </w:tcBorders>
            <w:vAlign w:val="center"/>
          </w:tcPr>
          <w:p w14:paraId="02BBF56F">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Borders>
              <w:left w:val="single" w:color="auto" w:sz="4" w:space="0"/>
            </w:tcBorders>
          </w:tcPr>
          <w:p w14:paraId="33140A24">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19F6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D838790">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Borders>
              <w:left w:val="single" w:color="auto" w:sz="4" w:space="0"/>
            </w:tcBorders>
          </w:tcPr>
          <w:p w14:paraId="51B263E8">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r w14:paraId="5977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C821019">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Borders>
              <w:left w:val="single" w:color="auto" w:sz="4" w:space="0"/>
            </w:tcBorders>
          </w:tcPr>
          <w:p w14:paraId="2BABBB64">
            <w:pPr>
              <w:keepNext w:val="0"/>
              <w:keepLines w:val="0"/>
              <w:suppressLineNumbers w:val="0"/>
              <w:spacing w:before="0" w:beforeAutospacing="0" w:after="0" w:afterAutospacing="0" w:line="360" w:lineRule="auto"/>
              <w:ind w:left="0" w:right="0" w:firstLine="0"/>
              <w:jc w:val="center"/>
              <w:rPr>
                <w:rFonts w:hint="default" w:ascii="Times New Roman" w:hAnsi="Times New Roman"/>
                <w:sz w:val="22"/>
                <w:szCs w:val="24"/>
                <w:highlight w:val="none"/>
              </w:rPr>
            </w:pPr>
          </w:p>
        </w:tc>
      </w:tr>
    </w:tbl>
    <w:p w14:paraId="6AFE1634">
      <w:pPr>
        <w:widowControl/>
        <w:spacing w:line="360" w:lineRule="auto"/>
        <w:jc w:val="left"/>
        <w:rPr>
          <w:rFonts w:ascii="Times New Roman" w:hAnsi="Times New Roman"/>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3D138065">
      <w:pPr>
        <w:pStyle w:val="38"/>
        <w:outlineLvl w:val="1"/>
        <w:rPr>
          <w:rFonts w:ascii="Times New Roman" w:hAnsi="Times New Roman"/>
          <w:highlight w:val="none"/>
        </w:rPr>
      </w:pPr>
      <w:bookmarkStart w:id="359" w:name="_Toc2096200380"/>
      <w:bookmarkStart w:id="360" w:name="_Toc378234770"/>
      <w:bookmarkStart w:id="361" w:name="_Toc472780356"/>
      <w:bookmarkStart w:id="362" w:name="_Toc183332178"/>
      <w:bookmarkStart w:id="363" w:name="_Toc378234584"/>
      <w:bookmarkStart w:id="364" w:name="_Toc478054435"/>
      <w:bookmarkStart w:id="365" w:name="_Toc478053903"/>
      <w:r>
        <w:rPr>
          <w:rFonts w:ascii="Times New Roman" w:hAnsi="Times New Roman"/>
          <w:highlight w:val="none"/>
        </w:rPr>
        <w:t>（二）法定代表人身份证明及授权委托书</w:t>
      </w:r>
      <w:bookmarkEnd w:id="359"/>
      <w:bookmarkEnd w:id="360"/>
      <w:bookmarkEnd w:id="361"/>
      <w:bookmarkEnd w:id="362"/>
      <w:bookmarkEnd w:id="363"/>
      <w:bookmarkEnd w:id="364"/>
      <w:bookmarkEnd w:id="365"/>
    </w:p>
    <w:p w14:paraId="7A0B4A44">
      <w:pPr>
        <w:pStyle w:val="39"/>
        <w:outlineLvl w:val="2"/>
        <w:rPr>
          <w:rFonts w:ascii="Times New Roman" w:hAnsi="Times New Roman"/>
          <w:highlight w:val="none"/>
        </w:rPr>
      </w:pPr>
      <w:r>
        <w:rPr>
          <w:rFonts w:ascii="Times New Roman" w:hAnsi="Times New Roman"/>
          <w:highlight w:val="none"/>
        </w:rPr>
        <w:t>法定代表人身份证明书</w:t>
      </w:r>
    </w:p>
    <w:p w14:paraId="416C3911">
      <w:pPr>
        <w:tabs>
          <w:tab w:val="left" w:pos="6300"/>
        </w:tabs>
        <w:snapToGrid w:val="0"/>
        <w:spacing w:line="360" w:lineRule="auto"/>
        <w:rPr>
          <w:rFonts w:ascii="Times New Roman" w:hAnsi="Times New Roman"/>
          <w:snapToGrid w:val="0"/>
          <w:kern w:val="0"/>
          <w:highlight w:val="none"/>
        </w:rPr>
      </w:pPr>
    </w:p>
    <w:p w14:paraId="74CDB533">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2D90B3F4">
      <w:pPr>
        <w:tabs>
          <w:tab w:val="left" w:pos="6300"/>
        </w:tabs>
        <w:snapToGrid w:val="0"/>
        <w:spacing w:line="360" w:lineRule="auto"/>
        <w:rPr>
          <w:rFonts w:ascii="Times New Roman" w:hAnsi="Times New Roman"/>
          <w:snapToGrid w:val="0"/>
          <w:kern w:val="0"/>
          <w:highlight w:val="none"/>
        </w:rPr>
      </w:pPr>
    </w:p>
    <w:p w14:paraId="27FF3D8B">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3B206D10">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p>
    <w:p w14:paraId="4BB98FDF">
      <w:pPr>
        <w:tabs>
          <w:tab w:val="left" w:pos="6300"/>
        </w:tabs>
        <w:snapToGrid w:val="0"/>
        <w:spacing w:line="360" w:lineRule="auto"/>
        <w:rPr>
          <w:rFonts w:ascii="Times New Roman" w:hAnsi="Times New Roman"/>
          <w:snapToGrid w:val="0"/>
          <w:kern w:val="0"/>
          <w:highlight w:val="none"/>
        </w:rPr>
      </w:pPr>
    </w:p>
    <w:p w14:paraId="4DFDBA1F">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3C423BFC">
      <w:pPr>
        <w:tabs>
          <w:tab w:val="left" w:pos="6300"/>
        </w:tabs>
        <w:snapToGrid w:val="0"/>
        <w:spacing w:line="360" w:lineRule="auto"/>
        <w:rPr>
          <w:rFonts w:ascii="Times New Roman" w:hAnsi="Times New Roman"/>
          <w:snapToGrid w:val="0"/>
          <w:kern w:val="0"/>
          <w:highlight w:val="none"/>
        </w:rPr>
      </w:pPr>
    </w:p>
    <w:p w14:paraId="68A661FC">
      <w:pPr>
        <w:tabs>
          <w:tab w:val="left" w:pos="6300"/>
        </w:tabs>
        <w:snapToGrid w:val="0"/>
        <w:spacing w:line="360" w:lineRule="auto"/>
        <w:rPr>
          <w:rFonts w:ascii="Times New Roman" w:hAnsi="Times New Roman"/>
          <w:snapToGrid w:val="0"/>
          <w:kern w:val="0"/>
          <w:highlight w:val="none"/>
        </w:rPr>
      </w:pPr>
    </w:p>
    <w:p w14:paraId="7AF09C51">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6E4E7475">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1239275C">
      <w:pPr>
        <w:tabs>
          <w:tab w:val="left" w:pos="6300"/>
        </w:tabs>
        <w:snapToGrid w:val="0"/>
        <w:spacing w:line="360" w:lineRule="auto"/>
        <w:rPr>
          <w:rFonts w:ascii="Times New Roman" w:hAnsi="Times New Roman"/>
          <w:snapToGrid w:val="0"/>
          <w:kern w:val="0"/>
          <w:highlight w:val="none"/>
        </w:rPr>
      </w:pPr>
    </w:p>
    <w:p w14:paraId="6275AC29">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3BAD736B">
      <w:pPr>
        <w:tabs>
          <w:tab w:val="left" w:pos="6300"/>
        </w:tabs>
        <w:snapToGrid w:val="0"/>
        <w:spacing w:line="360" w:lineRule="auto"/>
        <w:rPr>
          <w:rFonts w:ascii="Times New Roman" w:hAnsi="Times New Roman"/>
          <w:snapToGrid w:val="0"/>
          <w:kern w:val="0"/>
          <w:highlight w:val="none"/>
        </w:rPr>
      </w:pPr>
    </w:p>
    <w:p w14:paraId="5BAE3C13">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19155F93">
      <w:pPr>
        <w:tabs>
          <w:tab w:val="left" w:pos="6300"/>
        </w:tabs>
        <w:snapToGrid w:val="0"/>
        <w:spacing w:line="360" w:lineRule="auto"/>
        <w:rPr>
          <w:rFonts w:ascii="Times New Roman" w:hAnsi="Times New Roman"/>
          <w:snapToGrid w:val="0"/>
          <w:kern w:val="0"/>
          <w:highlight w:val="none"/>
        </w:rPr>
      </w:pPr>
    </w:p>
    <w:p w14:paraId="416A8C36">
      <w:pPr>
        <w:tabs>
          <w:tab w:val="left" w:pos="6300"/>
        </w:tabs>
        <w:snapToGrid w:val="0"/>
        <w:spacing w:line="360" w:lineRule="auto"/>
        <w:rPr>
          <w:rFonts w:ascii="Times New Roman" w:hAnsi="Times New Roman"/>
          <w:snapToGrid w:val="0"/>
          <w:kern w:val="0"/>
          <w:highlight w:val="none"/>
        </w:rPr>
      </w:pPr>
    </w:p>
    <w:p w14:paraId="049D0E09">
      <w:pPr>
        <w:tabs>
          <w:tab w:val="left" w:pos="6300"/>
        </w:tabs>
        <w:snapToGrid w:val="0"/>
        <w:spacing w:line="360" w:lineRule="auto"/>
        <w:rPr>
          <w:rFonts w:ascii="Times New Roman" w:hAnsi="Times New Roman"/>
          <w:snapToGrid w:val="0"/>
          <w:kern w:val="0"/>
          <w:highlight w:val="none"/>
        </w:rPr>
      </w:pPr>
    </w:p>
    <w:p w14:paraId="717E31CF">
      <w:pPr>
        <w:jc w:val="center"/>
        <w:outlineLvl w:val="2"/>
        <w:rPr>
          <w:rStyle w:val="40"/>
          <w:rFonts w:ascii="Times New Roman" w:hAnsi="Times New Roman"/>
          <w:b/>
          <w:bCs w:val="0"/>
          <w:highlight w:val="none"/>
        </w:rPr>
      </w:pPr>
      <w:r>
        <w:rPr>
          <w:rFonts w:hint="eastAsia" w:ascii="Times New Roman" w:hAnsi="Times New Roman"/>
          <w:snapToGrid w:val="0"/>
          <w:kern w:val="0"/>
          <w:highlight w:val="none"/>
        </w:rPr>
        <w:br w:type="column"/>
      </w:r>
      <w:r>
        <w:rPr>
          <w:rStyle w:val="40"/>
          <w:rFonts w:ascii="Times New Roman" w:hAnsi="Times New Roman"/>
          <w:b/>
          <w:bCs w:val="0"/>
          <w:highlight w:val="none"/>
        </w:rPr>
        <w:t>法定代表人授权委托书</w:t>
      </w:r>
    </w:p>
    <w:p w14:paraId="4F3AA2D2">
      <w:pPr>
        <w:tabs>
          <w:tab w:val="left" w:pos="6300"/>
        </w:tabs>
        <w:snapToGrid w:val="0"/>
        <w:spacing w:line="360" w:lineRule="auto"/>
        <w:rPr>
          <w:rFonts w:ascii="Times New Roman" w:hAnsi="Times New Roman"/>
          <w:snapToGrid w:val="0"/>
          <w:kern w:val="0"/>
          <w:highlight w:val="none"/>
        </w:rPr>
      </w:pPr>
    </w:p>
    <w:p w14:paraId="0F182540">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03B793C5">
      <w:pPr>
        <w:tabs>
          <w:tab w:val="left" w:pos="6300"/>
        </w:tabs>
        <w:snapToGrid w:val="0"/>
        <w:spacing w:line="360" w:lineRule="auto"/>
        <w:rPr>
          <w:rFonts w:ascii="Times New Roman" w:hAnsi="Times New Roman"/>
          <w:snapToGrid w:val="0"/>
          <w:kern w:val="0"/>
          <w:highlight w:val="none"/>
        </w:rPr>
      </w:pPr>
    </w:p>
    <w:p w14:paraId="1CD51371">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621FD616">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（被授权人姓名及身份证代码）代表我单位全权办理上述项目的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5A10FD4C">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rPr>
        <w:t>我单位对被授权人的签字负全部责任。</w:t>
      </w:r>
    </w:p>
    <w:p w14:paraId="7663105C">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在撤消授权的书面通知以前，本授权书一直有效。被授权人在授权书有效期内签署的所有文件不因授权的撤消而失效。</w:t>
      </w:r>
    </w:p>
    <w:p w14:paraId="7A267665">
      <w:pPr>
        <w:tabs>
          <w:tab w:val="left" w:pos="6300"/>
        </w:tabs>
        <w:snapToGrid w:val="0"/>
        <w:spacing w:line="360" w:lineRule="auto"/>
        <w:rPr>
          <w:rFonts w:ascii="Times New Roman" w:hAnsi="Times New Roman"/>
          <w:snapToGrid w:val="0"/>
          <w:kern w:val="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640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CA3C3D1">
            <w:pPr>
              <w:keepNext w:val="0"/>
              <w:keepLines w:val="0"/>
              <w:suppressLineNumbers w:val="0"/>
              <w:tabs>
                <w:tab w:val="left" w:pos="6300"/>
              </w:tabs>
              <w:snapToGrid w:val="0"/>
              <w:spacing w:before="0" w:beforeAutospacing="0" w:after="0" w:afterAutospacing="0" w:line="360" w:lineRule="auto"/>
              <w:ind w:left="0" w:right="0" w:firstLine="0"/>
              <w:rPr>
                <w:rFonts w:hint="default" w:ascii="Times New Roman" w:hAnsi="Times New Roman"/>
                <w:snapToGrid w:val="0"/>
                <w:kern w:val="0"/>
                <w:highlight w:val="none"/>
              </w:rPr>
            </w:pPr>
            <w:r>
              <w:rPr>
                <w:rFonts w:hint="eastAsia" w:ascii="Times New Roman" w:hAnsi="Times New Roman"/>
                <w:snapToGrid w:val="0"/>
                <w:kern w:val="0"/>
                <w:highlight w:val="none"/>
              </w:rPr>
              <w:t>被授权人</w:t>
            </w:r>
          </w:p>
        </w:tc>
        <w:tc>
          <w:tcPr>
            <w:tcW w:w="4261" w:type="dxa"/>
            <w:tcBorders>
              <w:top w:val="nil"/>
              <w:left w:val="nil"/>
              <w:bottom w:val="nil"/>
              <w:right w:val="nil"/>
            </w:tcBorders>
          </w:tcPr>
          <w:p w14:paraId="7ECF157A">
            <w:pPr>
              <w:keepNext w:val="0"/>
              <w:keepLines w:val="0"/>
              <w:suppressLineNumbers w:val="0"/>
              <w:tabs>
                <w:tab w:val="left" w:pos="6300"/>
              </w:tabs>
              <w:snapToGrid w:val="0"/>
              <w:spacing w:before="0" w:beforeAutospacing="0" w:after="0" w:afterAutospacing="0" w:line="360" w:lineRule="auto"/>
              <w:ind w:left="0" w:right="0" w:firstLine="0"/>
              <w:rPr>
                <w:rFonts w:hint="default"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w:t>
            </w:r>
          </w:p>
        </w:tc>
      </w:tr>
      <w:tr w14:paraId="693E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9A17A48">
            <w:pPr>
              <w:keepNext w:val="0"/>
              <w:keepLines w:val="0"/>
              <w:suppressLineNumbers w:val="0"/>
              <w:tabs>
                <w:tab w:val="left" w:pos="6300"/>
              </w:tabs>
              <w:snapToGrid w:val="0"/>
              <w:spacing w:before="0" w:beforeAutospacing="0" w:after="0" w:afterAutospacing="0" w:line="360" w:lineRule="auto"/>
              <w:ind w:left="0" w:right="0" w:firstLine="0"/>
              <w:rPr>
                <w:rFonts w:hint="default"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433456EA">
            <w:pPr>
              <w:keepNext w:val="0"/>
              <w:keepLines w:val="0"/>
              <w:suppressLineNumbers w:val="0"/>
              <w:tabs>
                <w:tab w:val="left" w:pos="6300"/>
              </w:tabs>
              <w:snapToGrid w:val="0"/>
              <w:spacing w:before="0" w:beforeAutospacing="0" w:after="0" w:afterAutospacing="0" w:line="360" w:lineRule="auto"/>
              <w:ind w:left="0" w:right="0" w:firstLine="0"/>
              <w:rPr>
                <w:rFonts w:hint="default"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2B47A87F">
      <w:pPr>
        <w:tabs>
          <w:tab w:val="left" w:pos="6300"/>
        </w:tabs>
        <w:snapToGrid w:val="0"/>
        <w:spacing w:line="360" w:lineRule="auto"/>
        <w:rPr>
          <w:rFonts w:ascii="Times New Roman" w:hAnsi="Times New Roman"/>
          <w:snapToGrid w:val="0"/>
          <w:kern w:val="0"/>
          <w:highlight w:val="none"/>
        </w:rPr>
      </w:pPr>
    </w:p>
    <w:p w14:paraId="03FAB9E0">
      <w:pPr>
        <w:tabs>
          <w:tab w:val="left" w:pos="6300"/>
        </w:tabs>
        <w:snapToGrid w:val="0"/>
        <w:spacing w:line="360" w:lineRule="auto"/>
        <w:rPr>
          <w:rFonts w:ascii="Times New Roman" w:hAnsi="Times New Roman"/>
          <w:snapToGrid w:val="0"/>
          <w:kern w:val="0"/>
          <w:szCs w:val="28"/>
          <w:highlight w:val="none"/>
        </w:rPr>
      </w:pPr>
    </w:p>
    <w:p w14:paraId="0713812F">
      <w:pPr>
        <w:tabs>
          <w:tab w:val="left" w:pos="6300"/>
        </w:tabs>
        <w:snapToGrid w:val="0"/>
        <w:spacing w:line="360" w:lineRule="auto"/>
        <w:rPr>
          <w:rFonts w:ascii="Times New Roman" w:hAnsi="Times New Roman"/>
          <w:snapToGrid w:val="0"/>
          <w:kern w:val="0"/>
          <w:highlight w:val="none"/>
        </w:rPr>
      </w:pPr>
    </w:p>
    <w:p w14:paraId="6EB82D1D">
      <w:pPr>
        <w:tabs>
          <w:tab w:val="left" w:pos="6300"/>
        </w:tabs>
        <w:snapToGrid w:val="0"/>
        <w:spacing w:line="360" w:lineRule="auto"/>
        <w:ind w:firstLine="480" w:firstLineChars="200"/>
        <w:rPr>
          <w:rFonts w:ascii="Times New Roman" w:hAnsi="Times New Roman"/>
          <w:snapToGrid w:val="0"/>
          <w:kern w:val="0"/>
          <w:highlight w:val="none"/>
        </w:rPr>
      </w:pPr>
      <w:r>
        <w:rPr>
          <w:rFonts w:hint="eastAsia" w:ascii="Times New Roman" w:hAnsi="Times New Roman"/>
          <w:snapToGrid w:val="0"/>
          <w:kern w:val="0"/>
          <w:highlight w:val="none"/>
        </w:rPr>
        <w:t>（附：被授权人身份证正反面复印件）</w:t>
      </w:r>
    </w:p>
    <w:p w14:paraId="439103A5">
      <w:pPr>
        <w:tabs>
          <w:tab w:val="left" w:pos="6300"/>
        </w:tabs>
        <w:snapToGrid w:val="0"/>
        <w:spacing w:line="360" w:lineRule="auto"/>
        <w:rPr>
          <w:rFonts w:ascii="Times New Roman" w:hAnsi="Times New Roman"/>
          <w:snapToGrid w:val="0"/>
          <w:kern w:val="0"/>
          <w:highlight w:val="none"/>
        </w:rPr>
      </w:pPr>
    </w:p>
    <w:p w14:paraId="7930375A">
      <w:pPr>
        <w:tabs>
          <w:tab w:val="left" w:pos="6300"/>
        </w:tabs>
        <w:snapToGrid w:val="0"/>
        <w:spacing w:line="360" w:lineRule="auto"/>
        <w:rPr>
          <w:rFonts w:ascii="Times New Roman" w:hAnsi="Times New Roman"/>
          <w:snapToGrid w:val="0"/>
          <w:kern w:val="0"/>
          <w:highlight w:val="none"/>
        </w:rPr>
      </w:pPr>
    </w:p>
    <w:p w14:paraId="703042FA">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2E537D8B">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73A0567A">
      <w:pPr>
        <w:tabs>
          <w:tab w:val="left" w:pos="6300"/>
        </w:tabs>
        <w:snapToGrid w:val="0"/>
        <w:spacing w:line="360" w:lineRule="auto"/>
        <w:rPr>
          <w:rFonts w:ascii="Times New Roman" w:hAnsi="Times New Roman"/>
          <w:snapToGrid w:val="0"/>
          <w:kern w:val="0"/>
          <w:highlight w:val="none"/>
        </w:rPr>
      </w:pPr>
    </w:p>
    <w:p w14:paraId="5536A705">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注：1.若为法定代表人办理并签署参选文件的，不提供此文件。</w:t>
      </w:r>
    </w:p>
    <w:p w14:paraId="7C18FA99">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2.若为联合体参选的，法定代表人授权委托书由联合体主办方（主体）出具。</w:t>
      </w:r>
    </w:p>
    <w:p w14:paraId="507D7012">
      <w:pPr>
        <w:rPr>
          <w:rFonts w:ascii="Times New Roman" w:hAnsi="Times New Roman"/>
          <w:highlight w:val="none"/>
        </w:rPr>
      </w:pPr>
    </w:p>
    <w:p w14:paraId="534F2846">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79B598CA">
      <w:pPr>
        <w:pStyle w:val="38"/>
        <w:outlineLvl w:val="1"/>
        <w:rPr>
          <w:rFonts w:ascii="Times New Roman" w:hAnsi="Times New Roman"/>
          <w:highlight w:val="none"/>
        </w:rPr>
      </w:pPr>
      <w:bookmarkStart w:id="366" w:name="_Toc1718161929"/>
      <w:bookmarkStart w:id="367" w:name="_Toc521074679"/>
      <w:r>
        <w:rPr>
          <w:rFonts w:hint="eastAsia" w:ascii="Times New Roman" w:hAnsi="Times New Roman"/>
          <w:highlight w:val="none"/>
        </w:rPr>
        <w:t>（三）书面声明</w:t>
      </w:r>
      <w:bookmarkEnd w:id="366"/>
      <w:bookmarkEnd w:id="367"/>
    </w:p>
    <w:p w14:paraId="7081822F">
      <w:pPr>
        <w:tabs>
          <w:tab w:val="left" w:pos="6300"/>
        </w:tabs>
        <w:snapToGrid w:val="0"/>
        <w:spacing w:line="360" w:lineRule="auto"/>
        <w:rPr>
          <w:rFonts w:ascii="Times New Roman" w:hAnsi="Times New Roman"/>
          <w:highlight w:val="none"/>
        </w:rPr>
      </w:pPr>
    </w:p>
    <w:p w14:paraId="088D0728">
      <w:pPr>
        <w:tabs>
          <w:tab w:val="left" w:pos="6300"/>
        </w:tabs>
        <w:snapToGrid w:val="0"/>
        <w:spacing w:line="360" w:lineRule="auto"/>
        <w:ind w:firstLine="480" w:firstLineChars="200"/>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4CDA4CF1">
      <w:pPr>
        <w:tabs>
          <w:tab w:val="left" w:pos="6300"/>
        </w:tabs>
        <w:snapToGrid w:val="0"/>
        <w:spacing w:line="360" w:lineRule="auto"/>
        <w:rPr>
          <w:rFonts w:ascii="Times New Roman" w:hAnsi="Times New Roman"/>
          <w:highlight w:val="none"/>
        </w:rPr>
      </w:pPr>
    </w:p>
    <w:p w14:paraId="5EBFCBE4">
      <w:pPr>
        <w:tabs>
          <w:tab w:val="left" w:pos="6300"/>
        </w:tabs>
        <w:snapToGrid w:val="0"/>
        <w:spacing w:line="360" w:lineRule="auto"/>
        <w:ind w:firstLine="480" w:firstLineChars="200"/>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3F00F72F">
      <w:pPr>
        <w:tabs>
          <w:tab w:val="left" w:pos="6300"/>
        </w:tabs>
        <w:snapToGrid w:val="0"/>
        <w:spacing w:line="360" w:lineRule="auto"/>
        <w:ind w:firstLine="480" w:firstLineChars="200"/>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w:t>
      </w:r>
      <w:r>
        <w:rPr>
          <w:rFonts w:hint="eastAsia" w:ascii="Times New Roman" w:hAnsi="Times New Roman"/>
          <w:highlight w:val="none"/>
          <w:lang w:eastAsia="zh-CN"/>
        </w:rPr>
        <w:t>且财务状况稳定，</w:t>
      </w:r>
      <w:r>
        <w:rPr>
          <w:rFonts w:hint="eastAsia" w:ascii="Times New Roman" w:hAnsi="Times New Roman"/>
          <w:highlight w:val="none"/>
        </w:rPr>
        <w:t>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234E62DE">
      <w:pPr>
        <w:tabs>
          <w:tab w:val="left" w:pos="6300"/>
        </w:tabs>
        <w:snapToGrid w:val="0"/>
        <w:spacing w:line="360" w:lineRule="auto"/>
        <w:ind w:firstLine="480" w:firstLineChars="200"/>
        <w:rPr>
          <w:rFonts w:ascii="Times New Roman" w:hAnsi="Times New Roman"/>
          <w:highlight w:val="none"/>
        </w:rPr>
      </w:pPr>
      <w:r>
        <w:rPr>
          <w:rFonts w:hint="eastAsia" w:ascii="Times New Roman" w:hAnsi="Times New Roman"/>
          <w:highlight w:val="none"/>
        </w:rPr>
        <w:t>特此声明。</w:t>
      </w:r>
    </w:p>
    <w:p w14:paraId="105D1F39">
      <w:pPr>
        <w:tabs>
          <w:tab w:val="left" w:pos="6300"/>
        </w:tabs>
        <w:snapToGrid w:val="0"/>
        <w:spacing w:line="360" w:lineRule="auto"/>
        <w:rPr>
          <w:rFonts w:ascii="Times New Roman" w:hAnsi="Times New Roman"/>
          <w:highlight w:val="none"/>
        </w:rPr>
      </w:pPr>
    </w:p>
    <w:p w14:paraId="3FB256D9">
      <w:pPr>
        <w:tabs>
          <w:tab w:val="left" w:pos="6300"/>
        </w:tabs>
        <w:snapToGrid w:val="0"/>
        <w:spacing w:line="360" w:lineRule="auto"/>
        <w:rPr>
          <w:rFonts w:ascii="Times New Roman" w:hAnsi="Times New Roman"/>
          <w:highlight w:val="none"/>
        </w:rPr>
      </w:pPr>
    </w:p>
    <w:p w14:paraId="7D79FB72">
      <w:pPr>
        <w:tabs>
          <w:tab w:val="left" w:pos="6300"/>
        </w:tabs>
        <w:snapToGrid w:val="0"/>
        <w:spacing w:line="360" w:lineRule="auto"/>
        <w:rPr>
          <w:rFonts w:ascii="Times New Roman" w:hAnsi="Times New Roman"/>
          <w:highlight w:val="none"/>
        </w:rPr>
      </w:pPr>
    </w:p>
    <w:p w14:paraId="7A3B56ED">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07A2E40E">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597E2BC4">
      <w:pPr>
        <w:spacing w:line="360" w:lineRule="auto"/>
        <w:jc w:val="left"/>
        <w:rPr>
          <w:rFonts w:ascii="Times New Roman" w:hAnsi="Times New Roman" w:cs="等线 Light"/>
          <w:snapToGrid w:val="0"/>
          <w:kern w:val="0"/>
          <w:szCs w:val="24"/>
          <w:highlight w:val="none"/>
        </w:rPr>
      </w:pPr>
    </w:p>
    <w:p w14:paraId="2D6BBDD0">
      <w:pPr>
        <w:spacing w:line="360" w:lineRule="auto"/>
        <w:jc w:val="left"/>
        <w:rPr>
          <w:rFonts w:ascii="Times New Roman" w:hAnsi="Times New Roman" w:cs="等线 Light"/>
          <w:snapToGrid w:val="0"/>
          <w:kern w:val="0"/>
          <w:szCs w:val="24"/>
          <w:highlight w:val="none"/>
        </w:rPr>
      </w:pPr>
    </w:p>
    <w:p w14:paraId="6F4BED9B">
      <w:pPr>
        <w:spacing w:line="360" w:lineRule="auto"/>
        <w:jc w:val="left"/>
        <w:rPr>
          <w:rFonts w:ascii="Times New Roman" w:hAnsi="Times New Roman" w:cs="等线 Light"/>
          <w:snapToGrid w:val="0"/>
          <w:kern w:val="0"/>
          <w:szCs w:val="24"/>
          <w:highlight w:val="none"/>
        </w:rPr>
      </w:pPr>
    </w:p>
    <w:p w14:paraId="14315617">
      <w:pPr>
        <w:spacing w:line="360" w:lineRule="auto"/>
        <w:jc w:val="left"/>
        <w:rPr>
          <w:rFonts w:ascii="Times New Roman" w:hAnsi="Times New Roman" w:cs="等线 Light"/>
          <w:snapToGrid w:val="0"/>
          <w:kern w:val="0"/>
          <w:szCs w:val="24"/>
          <w:highlight w:val="none"/>
        </w:rPr>
      </w:pPr>
    </w:p>
    <w:p w14:paraId="249AFE16">
      <w:pPr>
        <w:spacing w:line="360" w:lineRule="auto"/>
        <w:jc w:val="left"/>
        <w:rPr>
          <w:rFonts w:ascii="Times New Roman" w:hAnsi="Times New Roman" w:cs="等线 Light"/>
          <w:snapToGrid w:val="0"/>
          <w:kern w:val="0"/>
          <w:szCs w:val="24"/>
          <w:highlight w:val="none"/>
        </w:rPr>
      </w:pPr>
    </w:p>
    <w:p w14:paraId="1F453E69">
      <w:pPr>
        <w:spacing w:line="360" w:lineRule="auto"/>
        <w:jc w:val="left"/>
        <w:rPr>
          <w:rFonts w:ascii="Times New Roman" w:hAnsi="Times New Roman" w:cs="等线 Light"/>
          <w:snapToGrid w:val="0"/>
          <w:kern w:val="0"/>
          <w:szCs w:val="24"/>
          <w:highlight w:val="none"/>
        </w:rPr>
      </w:pPr>
    </w:p>
    <w:p w14:paraId="79146FB1">
      <w:pPr>
        <w:spacing w:line="360" w:lineRule="auto"/>
        <w:jc w:val="left"/>
        <w:rPr>
          <w:rFonts w:ascii="Times New Roman" w:hAnsi="Times New Roman" w:cs="等线 Light"/>
          <w:snapToGrid w:val="0"/>
          <w:kern w:val="0"/>
          <w:szCs w:val="24"/>
          <w:highlight w:val="none"/>
        </w:rPr>
      </w:pPr>
    </w:p>
    <w:p w14:paraId="1C37B37A">
      <w:pPr>
        <w:rPr>
          <w:rFonts w:ascii="Times New Roman" w:hAnsi="Times New Roman"/>
          <w:b/>
          <w:bCs/>
          <w:highlight w:val="none"/>
        </w:rPr>
      </w:pPr>
      <w:r>
        <w:rPr>
          <w:rFonts w:hint="eastAsia" w:ascii="Times New Roman" w:hAnsi="Times New Roman"/>
          <w:kern w:val="0"/>
          <w:highlight w:val="none"/>
        </w:rPr>
        <w:br w:type="page"/>
      </w:r>
    </w:p>
    <w:p w14:paraId="7A27BB53">
      <w:pPr>
        <w:pStyle w:val="38"/>
        <w:outlineLvl w:val="1"/>
        <w:rPr>
          <w:rFonts w:ascii="Times New Roman" w:hAnsi="Times New Roman"/>
          <w:highlight w:val="none"/>
        </w:rPr>
      </w:pPr>
      <w:bookmarkStart w:id="368" w:name="_Toc1854718593"/>
      <w:bookmarkStart w:id="369" w:name="_Toc660954270"/>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bookmarkEnd w:id="368"/>
      <w:bookmarkEnd w:id="369"/>
    </w:p>
    <w:p w14:paraId="6EB53C42">
      <w:pPr>
        <w:rPr>
          <w:rFonts w:ascii="Times New Roman" w:hAnsi="Times New Roman"/>
          <w:highlight w:val="none"/>
        </w:rPr>
      </w:pPr>
    </w:p>
    <w:p w14:paraId="7C7482F1">
      <w:pPr>
        <w:rPr>
          <w:rFonts w:ascii="Times New Roman" w:hAnsi="Times New Roman"/>
          <w:highlight w:val="none"/>
        </w:rPr>
      </w:pPr>
    </w:p>
    <w:p w14:paraId="301E58C2">
      <w:pPr>
        <w:rPr>
          <w:rFonts w:ascii="Times New Roman" w:hAnsi="Times New Roman"/>
          <w:highlight w:val="none"/>
        </w:rPr>
      </w:pPr>
    </w:p>
    <w:p w14:paraId="00C522DC">
      <w:pPr>
        <w:rPr>
          <w:rFonts w:ascii="Times New Roman" w:hAnsi="Times New Roman"/>
          <w:highlight w:val="none"/>
        </w:rPr>
      </w:pPr>
    </w:p>
    <w:p w14:paraId="625914C0">
      <w:pPr>
        <w:rPr>
          <w:rFonts w:ascii="Times New Roman" w:hAnsi="Times New Roman"/>
          <w:highlight w:val="none"/>
        </w:rPr>
      </w:pPr>
    </w:p>
    <w:p w14:paraId="22968B61">
      <w:pPr>
        <w:rPr>
          <w:rFonts w:ascii="Times New Roman" w:hAnsi="Times New Roman"/>
          <w:highlight w:val="none"/>
        </w:rPr>
      </w:pPr>
      <w:r>
        <w:rPr>
          <w:rFonts w:hint="eastAsia" w:ascii="Times New Roman" w:hAnsi="Times New Roman"/>
          <w:highlight w:val="none"/>
        </w:rPr>
        <w:br w:type="page"/>
      </w:r>
    </w:p>
    <w:p w14:paraId="31F9FCF5">
      <w:pPr>
        <w:jc w:val="center"/>
        <w:outlineLvl w:val="1"/>
        <w:rPr>
          <w:rFonts w:hint="eastAsia" w:ascii="Times New Roman" w:hAnsi="Times New Roman" w:eastAsia="宋体"/>
          <w:highlight w:val="none"/>
          <w:lang w:eastAsia="zh-CN"/>
        </w:rPr>
      </w:pPr>
      <w:bookmarkStart w:id="370" w:name="_Toc1724063744"/>
      <w:bookmarkStart w:id="371" w:name="_Toc1290010053"/>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）项目案例</w:t>
      </w:r>
      <w:r>
        <w:rPr>
          <w:rFonts w:hint="eastAsia" w:ascii="Times New Roman" w:hAnsi="Times New Roman"/>
          <w:highlight w:val="none"/>
        </w:rPr>
        <w:t>证明</w:t>
      </w:r>
      <w:r>
        <w:rPr>
          <w:rFonts w:hint="eastAsia" w:ascii="Times New Roman" w:hAnsi="Times New Roman"/>
          <w:highlight w:val="none"/>
          <w:lang w:eastAsia="zh-CN"/>
        </w:rPr>
        <w:t>材料</w:t>
      </w:r>
      <w:bookmarkEnd w:id="370"/>
      <w:bookmarkEnd w:id="371"/>
    </w:p>
    <w:p w14:paraId="1AA5CE29">
      <w:pPr>
        <w:pStyle w:val="38"/>
        <w:outlineLvl w:val="1"/>
        <w:rPr>
          <w:rFonts w:ascii="Times New Roman" w:hAnsi="Times New Roman"/>
          <w:highlight w:val="none"/>
        </w:rPr>
      </w:pPr>
    </w:p>
    <w:p w14:paraId="65A39661">
      <w:pPr>
        <w:rPr>
          <w:rFonts w:ascii="Times New Roman" w:hAnsi="Times New Roman"/>
          <w:highlight w:val="none"/>
          <w:lang w:val="zh-CN"/>
        </w:rPr>
        <w:sectPr>
          <w:pgSz w:w="11906" w:h="16838"/>
          <w:pgMar w:top="1440" w:right="1800" w:bottom="1440" w:left="1800" w:header="851" w:footer="992" w:gutter="0"/>
          <w:cols w:space="720" w:num="1"/>
          <w:docGrid w:type="lines" w:linePitch="312" w:charSpace="0"/>
        </w:sectPr>
      </w:pPr>
      <w:r>
        <w:rPr>
          <w:rFonts w:ascii="Times New Roman" w:hAnsi="Times New Roman"/>
          <w:highlight w:val="none"/>
          <w:lang w:val="zh-CN"/>
        </w:rPr>
        <w:t>绿色金融相关案例均可</w:t>
      </w:r>
    </w:p>
    <w:p w14:paraId="7602BB7A">
      <w:pPr>
        <w:pStyle w:val="38"/>
        <w:jc w:val="center"/>
        <w:outlineLvl w:val="1"/>
        <w:rPr>
          <w:rFonts w:ascii="Times New Roman" w:hAnsi="Times New Roman"/>
          <w:highlight w:val="none"/>
        </w:rPr>
      </w:pPr>
      <w:bookmarkStart w:id="372" w:name="_Toc1394783260"/>
      <w:bookmarkStart w:id="373" w:name="_Toc599273820"/>
      <w:r>
        <w:rPr>
          <w:rFonts w:ascii="Times New Roman" w:hAnsi="Times New Roman"/>
          <w:highlight w:val="none"/>
        </w:rPr>
        <w:t>（</w:t>
      </w:r>
      <w:r>
        <w:rPr>
          <w:rFonts w:hint="eastAsia" w:ascii="Times New Roman" w:hAnsi="Times New Roman"/>
          <w:highlight w:val="none"/>
          <w:lang w:eastAsia="zh-CN"/>
        </w:rPr>
        <w:t>六</w:t>
      </w:r>
      <w:r>
        <w:rPr>
          <w:rFonts w:ascii="Times New Roman" w:hAnsi="Times New Roman"/>
          <w:highlight w:val="none"/>
        </w:rPr>
        <w:t>）</w:t>
      </w:r>
      <w:r>
        <w:rPr>
          <w:rFonts w:hint="eastAsia" w:hAnsi="Times New Roman"/>
          <w:highlight w:val="none"/>
        </w:rPr>
        <w:t>第三方软件产品的原厂商授权书或确认函</w:t>
      </w:r>
      <w:r>
        <w:rPr>
          <w:rFonts w:hint="eastAsia" w:ascii="Times New Roman" w:hAnsi="Times New Roman"/>
          <w:highlight w:val="none"/>
        </w:rPr>
        <w:t>（如有）</w:t>
      </w:r>
      <w:bookmarkEnd w:id="372"/>
      <w:bookmarkEnd w:id="373"/>
    </w:p>
    <w:p w14:paraId="4B1CC4DC">
      <w:pPr>
        <w:ind w:firstLine="0"/>
        <w:rPr>
          <w:rFonts w:ascii="Times New Roman" w:hAnsi="Times New Roman"/>
          <w:highlight w:val="none"/>
        </w:rPr>
      </w:pPr>
    </w:p>
    <w:p w14:paraId="6516EE6B">
      <w:pPr>
        <w:rPr>
          <w:highlight w:val="none"/>
        </w:rPr>
      </w:pPr>
      <w:r>
        <w:rPr>
          <w:rFonts w:ascii="Times New Roman" w:hAnsi="Times New Roman"/>
          <w:highlight w:val="none"/>
        </w:rPr>
        <w:t>需</w:t>
      </w:r>
      <w:r>
        <w:rPr>
          <w:rFonts w:hint="eastAsia" w:ascii="Times New Roman" w:hAnsi="Times New Roman"/>
          <w:highlight w:val="none"/>
        </w:rPr>
        <w:t>加盖</w:t>
      </w:r>
      <w:r>
        <w:rPr>
          <w:rFonts w:ascii="Times New Roman" w:hAnsi="Times New Roman"/>
          <w:highlight w:val="none"/>
        </w:rPr>
        <w:t>公章</w:t>
      </w:r>
    </w:p>
    <w:p w14:paraId="274DA780">
      <w:pPr>
        <w:rPr>
          <w:rFonts w:ascii="Times New Roman" w:hAnsi="Times New Roman"/>
          <w:highlight w:val="none"/>
          <w:lang w:val="zh-CN"/>
        </w:rPr>
      </w:pPr>
      <w:r>
        <w:rPr>
          <w:rFonts w:hint="eastAsia" w:ascii="Times New Roman" w:hAnsi="Times New Roman"/>
          <w:highlight w:val="none"/>
          <w:lang w:val="zh-CN"/>
        </w:rPr>
        <w:br w:type="page"/>
      </w:r>
    </w:p>
    <w:p w14:paraId="362BDAF1">
      <w:pPr>
        <w:pStyle w:val="37"/>
        <w:outlineLvl w:val="0"/>
        <w:rPr>
          <w:rFonts w:ascii="Times New Roman" w:hAnsi="Times New Roman"/>
          <w:highlight w:val="none"/>
        </w:rPr>
      </w:pPr>
      <w:bookmarkStart w:id="374" w:name="_Toc1297361013"/>
      <w:bookmarkStart w:id="375" w:name="_Toc786761848"/>
      <w:bookmarkStart w:id="376" w:name="_Toc1620286604"/>
      <w:r>
        <w:rPr>
          <w:rFonts w:ascii="Times New Roman" w:hAnsi="Times New Roman"/>
          <w:highlight w:val="none"/>
        </w:rPr>
        <w:t>四、响应</w:t>
      </w:r>
      <w:r>
        <w:rPr>
          <w:rFonts w:hint="eastAsia" w:ascii="Times New Roman" w:hAnsi="Times New Roman"/>
          <w:highlight w:val="none"/>
          <w:lang w:eastAsia="zh-CN"/>
        </w:rPr>
        <w:t>性文件</w:t>
      </w:r>
      <w:bookmarkEnd w:id="374"/>
      <w:bookmarkEnd w:id="375"/>
      <w:bookmarkEnd w:id="376"/>
    </w:p>
    <w:p w14:paraId="46FFE95D">
      <w:pPr>
        <w:pStyle w:val="38"/>
        <w:outlineLvl w:val="1"/>
        <w:rPr>
          <w:rFonts w:ascii="Times New Roman" w:hAnsi="Times New Roman"/>
          <w:highlight w:val="none"/>
        </w:rPr>
      </w:pPr>
      <w:bookmarkStart w:id="377" w:name="_Toc1354011304"/>
      <w:bookmarkStart w:id="378" w:name="_Toc1299224364"/>
      <w:r>
        <w:rPr>
          <w:rFonts w:hint="eastAsia" w:ascii="Times New Roman" w:hAnsi="Times New Roman"/>
          <w:highlight w:val="none"/>
        </w:rPr>
        <w:t>（一）响应承诺函</w:t>
      </w:r>
      <w:bookmarkEnd w:id="377"/>
      <w:bookmarkEnd w:id="378"/>
    </w:p>
    <w:p w14:paraId="4423931F">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项目名称：</w:t>
      </w:r>
    </w:p>
    <w:p w14:paraId="68F6D171">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7F7EB1AC">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致：重庆三峡银行股份有限公司：</w:t>
      </w:r>
    </w:p>
    <w:p w14:paraId="4CBC8EC7">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10BF49A6">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我公司郑重承诺，完全满足第三章“项目要求”所有内容。</w:t>
      </w:r>
    </w:p>
    <w:p w14:paraId="3EECE549">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eastAsia" w:ascii="宋体" w:hAnsi="宋体" w:eastAsia="宋体" w:cs="宋体"/>
          <w:color w:val="auto"/>
          <w:kern w:val="2"/>
          <w:sz w:val="24"/>
          <w:szCs w:val="24"/>
          <w:highlight w:val="none"/>
          <w:shd w:val="clear" w:color="auto" w:fill="auto"/>
          <w:lang w:val="en-US" w:eastAsia="zh-CN" w:bidi="ar"/>
        </w:rPr>
      </w:pPr>
      <w:r>
        <w:rPr>
          <w:rFonts w:hint="eastAsia" w:ascii="宋体" w:hAnsi="宋体" w:eastAsia="宋体" w:cs="宋体"/>
          <w:color w:val="auto"/>
          <w:kern w:val="2"/>
          <w:sz w:val="24"/>
          <w:szCs w:val="24"/>
          <w:highlight w:val="none"/>
          <w:shd w:val="clear" w:color="auto" w:fill="auto"/>
          <w:lang w:val="en-US" w:eastAsia="zh-CN" w:bidi="ar"/>
        </w:rPr>
        <w:t>我公司中选后，未征得比选人书面同意的情况下不得更换项目成员。</w:t>
      </w:r>
    </w:p>
    <w:p w14:paraId="25584442">
      <w:pPr>
        <w:ind w:firstLine="420"/>
        <w:rPr>
          <w:rFonts w:hint="default"/>
          <w:highlight w:val="none"/>
        </w:rPr>
      </w:pPr>
      <w:r>
        <w:rPr>
          <w:rFonts w:ascii="Times New Roman" w:hAnsi="Times New Roman"/>
          <w:szCs w:val="24"/>
          <w:highlight w:val="none"/>
        </w:rPr>
        <w:t>项目组成员若有违约违规行为将由参选人承担责任。</w:t>
      </w:r>
    </w:p>
    <w:p w14:paraId="33A2D1FF">
      <w:pPr>
        <w:keepNext w:val="0"/>
        <w:keepLines w:val="0"/>
        <w:widowControl/>
        <w:suppressLineNumbers w:val="0"/>
        <w:autoSpaceDE/>
        <w:autoSpaceDN/>
        <w:spacing w:before="0" w:beforeAutospacing="0" w:after="0" w:afterAutospacing="0" w:line="240" w:lineRule="auto"/>
        <w:ind w:left="0" w:right="0" w:firstLine="420" w:firstLineChars="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我公司中选后，将根据我公司提供的</w:t>
      </w:r>
      <w:r>
        <w:rPr>
          <w:rFonts w:hint="eastAsia" w:ascii="Times New Roman" w:hAnsi="Times New Roman" w:eastAsia="宋体" w:cs="宋体"/>
          <w:highlight w:val="none"/>
          <w:lang w:eastAsia="zh-CN"/>
        </w:rPr>
        <w:t>售后服务与支持方案和培训方案</w:t>
      </w:r>
      <w:r>
        <w:rPr>
          <w:rFonts w:hint="eastAsia" w:ascii="宋体" w:hAnsi="宋体" w:eastAsia="宋体" w:cs="宋体"/>
          <w:color w:val="auto"/>
          <w:kern w:val="2"/>
          <w:sz w:val="24"/>
          <w:szCs w:val="24"/>
          <w:highlight w:val="none"/>
          <w:shd w:val="clear" w:color="auto" w:fill="auto"/>
          <w:lang w:val="en-US" w:eastAsia="zh-CN" w:bidi="ar"/>
        </w:rPr>
        <w:t>进行售后服务和培训。</w:t>
      </w:r>
    </w:p>
    <w:p w14:paraId="76C7B485">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412B1957">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特此承诺。</w:t>
      </w:r>
    </w:p>
    <w:p w14:paraId="2E418791">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bidi="ar"/>
        </w:rPr>
        <w:t xml:space="preserve"> </w:t>
      </w:r>
    </w:p>
    <w:p w14:paraId="07CA189A">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bidi="ar"/>
        </w:rPr>
        <w:t xml:space="preserve"> </w:t>
      </w:r>
    </w:p>
    <w:p w14:paraId="3B5D1ADE">
      <w:pPr>
        <w:keepNext w:val="0"/>
        <w:keepLines w:val="0"/>
        <w:widowControl w:val="0"/>
        <w:suppressLineNumbers w:val="0"/>
        <w:autoSpaceDE w:val="0"/>
        <w:autoSpaceDN w:val="0"/>
        <w:snapToGrid w:val="0"/>
        <w:spacing w:before="0" w:beforeAutospacing="0" w:after="0" w:afterAutospacing="0" w:line="480" w:lineRule="exact"/>
        <w:ind w:left="0" w:right="424" w:firstLine="480" w:firstLineChars="200"/>
        <w:jc w:val="right"/>
        <w:rPr>
          <w:rFonts w:hint="eastAsia" w:ascii="宋体"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参选</w:t>
      </w:r>
      <w:r>
        <w:rPr>
          <w:rFonts w:hint="eastAsia" w:ascii="宋体" w:hAnsi="宋体" w:eastAsia="宋体" w:cs="宋体"/>
          <w:color w:val="auto"/>
          <w:kern w:val="2"/>
          <w:sz w:val="24"/>
          <w:szCs w:val="24"/>
          <w:highlight w:val="none"/>
          <w:shd w:val="clear" w:color="auto" w:fill="auto"/>
          <w:lang w:val="en-US" w:eastAsia="zh-CN" w:bidi="ar"/>
        </w:rPr>
        <w:t>人公章）</w:t>
      </w:r>
    </w:p>
    <w:p w14:paraId="5DD0C69B">
      <w:pPr>
        <w:keepNext w:val="0"/>
        <w:keepLines w:val="0"/>
        <w:widowControl w:val="0"/>
        <w:suppressLineNumbers w:val="0"/>
        <w:autoSpaceDE w:val="0"/>
        <w:autoSpaceDN w:val="0"/>
        <w:snapToGrid w:val="0"/>
        <w:spacing w:before="0" w:beforeAutospacing="0" w:after="0" w:afterAutospacing="0" w:line="480" w:lineRule="exact"/>
        <w:ind w:left="0" w:right="480" w:firstLine="480" w:firstLineChars="200"/>
        <w:jc w:val="right"/>
        <w:rPr>
          <w:rFonts w:hint="eastAsia" w:ascii="宋体"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年</w:t>
      </w:r>
      <w:r>
        <w:rPr>
          <w:rFonts w:hint="eastAsia" w:ascii="宋体" w:hAnsi="Cambria Math" w:eastAsia="宋体" w:cs="Cambria Math"/>
          <w:color w:val="auto"/>
          <w:kern w:val="2"/>
          <w:sz w:val="24"/>
          <w:szCs w:val="24"/>
          <w:highlight w:val="none"/>
          <w:shd w:val="clear" w:color="auto" w:fill="auto"/>
          <w:lang w:val="en-US" w:eastAsia="zh-CN" w:bidi="ar"/>
        </w:rPr>
        <w:t xml:space="preserve">   </w:t>
      </w:r>
      <w:r>
        <w:rPr>
          <w:rFonts w:hint="eastAsia" w:ascii="宋体" w:hAnsi="宋体" w:eastAsia="宋体" w:cs="宋体"/>
          <w:color w:val="auto"/>
          <w:kern w:val="2"/>
          <w:sz w:val="24"/>
          <w:szCs w:val="24"/>
          <w:highlight w:val="none"/>
          <w:shd w:val="clear" w:color="auto" w:fill="auto"/>
          <w:lang w:val="en-US" w:eastAsia="zh-CN" w:bidi="ar"/>
        </w:rPr>
        <w:t>月</w:t>
      </w:r>
      <w:r>
        <w:rPr>
          <w:rFonts w:hint="eastAsia" w:ascii="宋体" w:hAnsi="Cambria Math" w:eastAsia="宋体" w:cs="Cambria Math"/>
          <w:color w:val="auto"/>
          <w:kern w:val="2"/>
          <w:sz w:val="24"/>
          <w:szCs w:val="24"/>
          <w:highlight w:val="none"/>
          <w:shd w:val="clear" w:color="auto" w:fill="auto"/>
          <w:lang w:val="en-US" w:eastAsia="zh-CN" w:bidi="ar"/>
        </w:rPr>
        <w:t xml:space="preserve">   </w:t>
      </w:r>
      <w:r>
        <w:rPr>
          <w:rFonts w:hint="eastAsia" w:ascii="宋体" w:hAnsi="宋体" w:eastAsia="宋体" w:cs="宋体"/>
          <w:color w:val="auto"/>
          <w:kern w:val="2"/>
          <w:sz w:val="24"/>
          <w:szCs w:val="24"/>
          <w:highlight w:val="none"/>
          <w:shd w:val="clear" w:color="auto" w:fill="auto"/>
          <w:lang w:val="en-US" w:eastAsia="zh-CN" w:bidi="ar"/>
        </w:rPr>
        <w:t>日</w:t>
      </w:r>
    </w:p>
    <w:p w14:paraId="5703E31B">
      <w:pPr>
        <w:ind w:firstLine="480"/>
        <w:rPr>
          <w:rFonts w:hint="default" w:ascii="Cambria Math" w:hAnsi="Cambria Math" w:eastAsia="宋体" w:cs="Cambria Math"/>
          <w:color w:val="auto"/>
          <w:kern w:val="2"/>
          <w:sz w:val="24"/>
          <w:szCs w:val="24"/>
          <w:highlight w:val="none"/>
        </w:rPr>
        <w:sectPr>
          <w:pgSz w:w="12242" w:h="15842"/>
          <w:pgMar w:top="1440" w:right="1800" w:bottom="1440" w:left="1800" w:header="851" w:footer="992" w:gutter="0"/>
          <w:cols w:space="720" w:num="1"/>
          <w:docGrid w:type="lines" w:linePitch="312" w:charSpace="0"/>
        </w:sectPr>
      </w:pPr>
    </w:p>
    <w:p w14:paraId="7402C53D">
      <w:pPr>
        <w:pStyle w:val="38"/>
        <w:outlineLvl w:val="1"/>
        <w:rPr>
          <w:snapToGrid w:val="0"/>
          <w:highlight w:val="none"/>
        </w:rPr>
      </w:pPr>
      <w:bookmarkStart w:id="379" w:name="_Toc1234916887"/>
      <w:bookmarkStart w:id="380" w:name="_Toc1671327965"/>
      <w:r>
        <w:rPr>
          <w:rFonts w:hint="eastAsia" w:hAnsi="Times New Roman"/>
          <w:highlight w:val="none"/>
          <w:lang w:eastAsia="zh-CN"/>
        </w:rPr>
        <w:t>（</w:t>
      </w:r>
      <w:r>
        <w:rPr>
          <w:rFonts w:hAnsi="Times New Roman"/>
          <w:highlight w:val="none"/>
          <w:lang w:eastAsia="zh-CN"/>
        </w:rPr>
        <w:t>二</w:t>
      </w:r>
      <w:r>
        <w:rPr>
          <w:rFonts w:hint="eastAsia" w:hAnsi="Times New Roman"/>
          <w:highlight w:val="none"/>
          <w:lang w:eastAsia="zh-CN"/>
        </w:rPr>
        <w:t>）</w:t>
      </w:r>
      <w:r>
        <w:rPr>
          <w:rFonts w:hAnsi="Times New Roman"/>
          <w:snapToGrid w:val="0"/>
          <w:highlight w:val="none"/>
        </w:rPr>
        <w:t>参保证明</w:t>
      </w:r>
      <w:bookmarkEnd w:id="379"/>
      <w:bookmarkEnd w:id="380"/>
    </w:p>
    <w:p w14:paraId="0DE55949">
      <w:pPr>
        <w:ind w:firstLine="480" w:firstLineChars="200"/>
        <w:jc w:val="center"/>
        <w:outlineLvl w:val="9"/>
        <w:rPr>
          <w:rFonts w:ascii="Times New Roman" w:hAnsi="Times New Roman"/>
          <w:color w:val="auto"/>
          <w:highlight w:val="none"/>
          <w:shd w:val="clear" w:color="auto" w:fill="auto"/>
        </w:rPr>
        <w:sectPr>
          <w:pgSz w:w="11906" w:h="16838"/>
          <w:pgMar w:top="1440" w:right="1800" w:bottom="1440" w:left="1800" w:header="851" w:footer="992" w:gutter="0"/>
          <w:cols w:space="720" w:num="1"/>
          <w:docGrid w:type="lines" w:linePitch="312" w:charSpace="0"/>
        </w:sectPr>
      </w:pPr>
      <w:r>
        <w:rPr>
          <w:rFonts w:ascii="Times New Roman" w:hAnsi="Times New Roman"/>
          <w:color w:val="auto"/>
          <w:highlight w:val="none"/>
          <w:shd w:val="clear" w:color="auto" w:fill="auto"/>
        </w:rPr>
        <w:br w:type="page"/>
      </w:r>
    </w:p>
    <w:p w14:paraId="35523CF1">
      <w:pPr>
        <w:ind w:firstLine="480" w:firstLineChars="200"/>
        <w:jc w:val="center"/>
        <w:outlineLvl w:val="1"/>
        <w:rPr>
          <w:rFonts w:ascii="Times New Roman" w:hAnsi="Times New Roman"/>
          <w:color w:val="auto"/>
          <w:highlight w:val="none"/>
          <w:shd w:val="clear" w:color="auto" w:fill="auto"/>
        </w:rPr>
        <w:sectPr>
          <w:pgSz w:w="11906" w:h="16838"/>
          <w:pgMar w:top="1440" w:right="1800" w:bottom="1440" w:left="1800" w:header="851" w:footer="992" w:gutter="0"/>
          <w:cols w:space="720" w:num="1"/>
          <w:docGrid w:type="lines" w:linePitch="312" w:charSpace="0"/>
        </w:sectPr>
      </w:pPr>
      <w:bookmarkStart w:id="381" w:name="_Toc1301700036"/>
      <w:bookmarkStart w:id="382" w:name="_Toc459374219"/>
      <w:r>
        <w:rPr>
          <w:rFonts w:hint="eastAsia" w:hAnsi="Times New Roman"/>
          <w:snapToGrid w:val="0"/>
          <w:highlight w:val="none"/>
          <w:lang w:eastAsia="zh-CN"/>
        </w:rPr>
        <w:t>（三）</w:t>
      </w:r>
      <w:r>
        <w:rPr>
          <w:rFonts w:hint="eastAsia" w:hAnsi="Times New Roman"/>
          <w:snapToGrid w:val="0"/>
          <w:highlight w:val="none"/>
        </w:rPr>
        <w:t>项目组成员简历信息</w:t>
      </w:r>
      <w:bookmarkEnd w:id="381"/>
      <w:bookmarkEnd w:id="382"/>
    </w:p>
    <w:p w14:paraId="68D3088E">
      <w:pPr>
        <w:ind w:firstLine="480" w:firstLineChars="200"/>
        <w:jc w:val="center"/>
        <w:outlineLvl w:val="1"/>
        <w:rPr>
          <w:rFonts w:ascii="Times New Roman" w:hAnsi="Times New Roman"/>
          <w:color w:val="auto"/>
          <w:highlight w:val="none"/>
          <w:shd w:val="clear" w:color="auto" w:fill="auto"/>
        </w:rPr>
        <w:sectPr>
          <w:pgSz w:w="11906" w:h="16838"/>
          <w:pgMar w:top="1440" w:right="1800" w:bottom="1440" w:left="1800" w:header="851" w:footer="992" w:gutter="0"/>
          <w:cols w:space="720" w:num="1"/>
          <w:docGrid w:type="lines" w:linePitch="312" w:charSpace="0"/>
        </w:sectPr>
      </w:pPr>
      <w:bookmarkStart w:id="383" w:name="_Toc1667277013"/>
      <w:bookmarkStart w:id="384" w:name="_Toc1309573706"/>
      <w:r>
        <w:rPr>
          <w:rFonts w:hint="eastAsia" w:ascii="Times New Roman" w:hAnsi="Times New Roman" w:eastAsia="宋体" w:cs="宋体"/>
          <w:highlight w:val="none"/>
          <w:lang w:eastAsia="zh-CN"/>
        </w:rPr>
        <w:t>（四）售后服务与支持方案</w:t>
      </w:r>
      <w:bookmarkEnd w:id="383"/>
    </w:p>
    <w:p w14:paraId="7D76DB0C">
      <w:pPr>
        <w:ind w:firstLine="480" w:firstLineChars="200"/>
        <w:jc w:val="center"/>
        <w:outlineLvl w:val="1"/>
        <w:rPr>
          <w:rFonts w:hAnsi="Times New Roman"/>
          <w:highlight w:val="none"/>
          <w:lang w:val="en-US" w:eastAsia="zh-CN"/>
        </w:rPr>
      </w:pPr>
      <w:bookmarkStart w:id="385" w:name="_Toc217254511"/>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eastAsia="zh-CN"/>
        </w:rPr>
        <w:t>五</w:t>
      </w:r>
      <w:r>
        <w:rPr>
          <w:rFonts w:ascii="Times New Roman" w:hAnsi="Times New Roman"/>
          <w:color w:val="auto"/>
          <w:highlight w:val="none"/>
          <w:shd w:val="clear" w:color="auto" w:fill="auto"/>
        </w:rPr>
        <w:t>）</w:t>
      </w:r>
      <w:r>
        <w:rPr>
          <w:rFonts w:hAnsi="Times New Roman"/>
          <w:highlight w:val="none"/>
        </w:rPr>
        <w:t>培训</w:t>
      </w:r>
      <w:r>
        <w:rPr>
          <w:rFonts w:hint="eastAsia" w:hAnsi="Times New Roman"/>
          <w:highlight w:val="none"/>
          <w:lang w:val="en-US" w:eastAsia="zh-CN"/>
        </w:rPr>
        <w:t>方案</w:t>
      </w:r>
      <w:bookmarkEnd w:id="384"/>
      <w:bookmarkEnd w:id="385"/>
    </w:p>
    <w:p w14:paraId="326118C9">
      <w:pPr>
        <w:pStyle w:val="38"/>
        <w:keepNext w:val="0"/>
        <w:outlineLvl w:val="1"/>
        <w:rPr>
          <w:rFonts w:ascii="Times New Roman" w:hAnsi="Times New Roman"/>
          <w:color w:val="auto"/>
          <w:highlight w:val="none"/>
          <w:shd w:val="clear" w:color="auto" w:fill="auto"/>
        </w:rPr>
      </w:pPr>
    </w:p>
    <w:p w14:paraId="3FFB9DDE">
      <w:pPr>
        <w:rPr>
          <w:highlight w:val="none"/>
        </w:rPr>
      </w:pPr>
      <w:r>
        <w:rPr>
          <w:highlight w:val="none"/>
        </w:rPr>
        <w:br w:type="page"/>
      </w:r>
    </w:p>
    <w:p w14:paraId="206D7358">
      <w:pPr>
        <w:pStyle w:val="38"/>
        <w:outlineLvl w:val="1"/>
        <w:rPr>
          <w:rFonts w:hint="eastAsia" w:hAnsi="Times New Roman"/>
          <w:highlight w:val="none"/>
        </w:rPr>
      </w:pPr>
      <w:bookmarkStart w:id="386" w:name="_Toc1697985452"/>
      <w:bookmarkStart w:id="387" w:name="_Toc2147161139"/>
      <w:r>
        <w:rPr>
          <w:rFonts w:hint="eastAsia" w:ascii="Times New Roman" w:hAnsi="Times New Roman"/>
          <w:color w:val="auto"/>
          <w:highlight w:val="none"/>
          <w:shd w:val="clear" w:color="auto" w:fill="auto"/>
          <w:lang w:eastAsia="zh-CN"/>
        </w:rPr>
        <w:t>（六）</w:t>
      </w:r>
      <w:r>
        <w:rPr>
          <w:rFonts w:hint="eastAsia" w:hAnsi="Times New Roman"/>
          <w:highlight w:val="none"/>
        </w:rPr>
        <w:t>服务连续性预案</w:t>
      </w:r>
      <w:bookmarkEnd w:id="386"/>
      <w:bookmarkEnd w:id="387"/>
    </w:p>
    <w:p w14:paraId="63E24591">
      <w:pPr>
        <w:ind w:firstLine="0"/>
        <w:jc w:val="center"/>
        <w:outlineLvl w:val="1"/>
        <w:rPr>
          <w:rFonts w:ascii="Times New Roman" w:hAnsi="Times New Roman"/>
          <w:highlight w:val="none"/>
        </w:rPr>
      </w:pPr>
      <w:r>
        <w:rPr>
          <w:rFonts w:hint="eastAsia" w:ascii="Times New Roman" w:hAnsi="Times New Roman"/>
          <w:highlight w:val="none"/>
        </w:rPr>
        <w:t>（应考虑供应链风险产生的影响）</w:t>
      </w:r>
    </w:p>
    <w:p w14:paraId="0F7D1CAE">
      <w:pPr>
        <w:pStyle w:val="38"/>
        <w:outlineLvl w:val="1"/>
        <w:rPr>
          <w:rFonts w:ascii="Times New Roman" w:hAnsi="Times New Roman"/>
          <w:color w:val="auto"/>
          <w:highlight w:val="none"/>
          <w:shd w:val="clear" w:color="auto" w:fill="auto"/>
          <w:lang w:val="en-US" w:eastAsia="zh-CN"/>
        </w:rPr>
      </w:pPr>
    </w:p>
    <w:p w14:paraId="3A726EE3">
      <w:pPr>
        <w:rPr>
          <w:highlight w:val="none"/>
        </w:rPr>
      </w:pPr>
      <w:r>
        <w:rPr>
          <w:highlight w:val="none"/>
        </w:rPr>
        <w:br w:type="page"/>
      </w:r>
    </w:p>
    <w:p w14:paraId="77C19916">
      <w:pPr>
        <w:pStyle w:val="38"/>
        <w:outlineLvl w:val="1"/>
        <w:rPr>
          <w:rFonts w:ascii="Times New Roman" w:hAnsi="Times New Roman"/>
          <w:color w:val="auto"/>
          <w:highlight w:val="none"/>
          <w:shd w:val="clear" w:color="auto" w:fill="auto"/>
        </w:rPr>
      </w:pPr>
      <w:bookmarkStart w:id="388" w:name="_Toc656828144"/>
      <w:bookmarkStart w:id="389" w:name="_Toc1080655538"/>
      <w:r>
        <w:rPr>
          <w:rFonts w:hint="eastAsia" w:ascii="Times New Roman" w:hAnsi="Times New Roman"/>
          <w:color w:val="auto"/>
          <w:highlight w:val="none"/>
          <w:shd w:val="clear" w:color="auto" w:fill="auto"/>
          <w:lang w:val="en-US" w:eastAsia="zh-CN"/>
        </w:rPr>
        <w:t>（七）</w:t>
      </w:r>
      <w:r>
        <w:rPr>
          <w:rFonts w:hint="eastAsia" w:hAnsi="Times New Roman"/>
          <w:highlight w:val="none"/>
        </w:rPr>
        <w:t>项目实施方案</w:t>
      </w:r>
      <w:bookmarkEnd w:id="388"/>
      <w:bookmarkEnd w:id="389"/>
    </w:p>
    <w:p w14:paraId="542029B0">
      <w:pPr>
        <w:tabs>
          <w:tab w:val="left" w:pos="6300"/>
        </w:tabs>
        <w:snapToGrid w:val="0"/>
        <w:jc w:val="center"/>
        <w:outlineLvl w:val="1"/>
        <w:rPr>
          <w:rFonts w:hint="eastAsia" w:ascii="Times New Roman" w:hAnsi="Times New Roman"/>
          <w:snapToGrid w:val="0"/>
          <w:kern w:val="0"/>
          <w:szCs w:val="24"/>
          <w:highlight w:val="none"/>
        </w:rPr>
      </w:pPr>
      <w:r>
        <w:rPr>
          <w:rFonts w:hint="eastAsia" w:ascii="Times New Roman" w:hAnsi="Times New Roman"/>
          <w:snapToGrid w:val="0"/>
          <w:kern w:val="0"/>
          <w:szCs w:val="24"/>
          <w:highlight w:val="none"/>
        </w:rPr>
        <w:t>（实施方案包括履行合同的时间计划、提交资料、人员安排等</w:t>
      </w:r>
    </w:p>
    <w:p w14:paraId="5374B316">
      <w:pPr>
        <w:rPr>
          <w:rFonts w:ascii="宋体" w:hAnsi="宋体" w:eastAsia="宋体" w:cs="宋体"/>
          <w:color w:val="auto"/>
          <w:kern w:val="2"/>
          <w:sz w:val="24"/>
          <w:szCs w:val="20"/>
          <w:highlight w:val="none"/>
          <w:lang w:val="en-US" w:eastAsia="zh-CN" w:bidi="ar-SA"/>
        </w:rPr>
      </w:pPr>
    </w:p>
    <w:p w14:paraId="35DD006C">
      <w:pPr>
        <w:rPr>
          <w:highlight w:val="none"/>
          <w:lang w:val="en-US" w:eastAsia="zh-CN"/>
        </w:rPr>
      </w:pPr>
    </w:p>
    <w:p w14:paraId="0FEA68F0">
      <w:pPr>
        <w:rPr>
          <w:highlight w:val="none"/>
          <w:lang w:val="en-US" w:eastAsia="zh-CN"/>
        </w:rPr>
      </w:pPr>
    </w:p>
    <w:p w14:paraId="099D0954">
      <w:pPr>
        <w:tabs>
          <w:tab w:val="left" w:pos="960"/>
        </w:tabs>
        <w:rPr>
          <w:highlight w:val="none"/>
          <w:lang w:val="en-US" w:eastAsia="zh-CN"/>
        </w:rPr>
        <w:sectPr>
          <w:pgSz w:w="11906" w:h="16838"/>
          <w:pgMar w:top="1440" w:right="1800" w:bottom="1440" w:left="1800" w:header="851" w:footer="992" w:gutter="0"/>
          <w:cols w:space="720" w:num="1"/>
          <w:docGrid w:type="lines" w:linePitch="312" w:charSpace="0"/>
        </w:sectPr>
      </w:pPr>
    </w:p>
    <w:p w14:paraId="0F8768DA">
      <w:pPr>
        <w:pStyle w:val="37"/>
        <w:outlineLvl w:val="0"/>
        <w:rPr>
          <w:rFonts w:ascii="Times New Roman" w:hAnsi="Times New Roman"/>
          <w:highlight w:val="none"/>
        </w:rPr>
      </w:pPr>
      <w:bookmarkStart w:id="390" w:name="_Toc287473035"/>
      <w:bookmarkStart w:id="391" w:name="_Toc918776554"/>
      <w:bookmarkStart w:id="392" w:name="_Toc1203315905"/>
      <w:r>
        <w:rPr>
          <w:rFonts w:ascii="Times New Roman" w:hAnsi="Times New Roman"/>
          <w:highlight w:val="none"/>
        </w:rPr>
        <w:t>五、参选保证金</w:t>
      </w:r>
      <w:bookmarkEnd w:id="390"/>
      <w:bookmarkEnd w:id="391"/>
      <w:bookmarkEnd w:id="392"/>
    </w:p>
    <w:p w14:paraId="24B006DF">
      <w:pPr>
        <w:adjustRightInd w:val="0"/>
        <w:snapToGrid w:val="0"/>
        <w:spacing w:line="360" w:lineRule="auto"/>
        <w:jc w:val="left"/>
        <w:rPr>
          <w:rFonts w:ascii="Times New Roman" w:hAnsi="Times New Roman"/>
          <w:kern w:val="0"/>
          <w:highlight w:val="none"/>
        </w:rPr>
      </w:pPr>
      <w:r>
        <w:rPr>
          <w:rFonts w:ascii="Times New Roman" w:hAnsi="Times New Roman"/>
          <w:highlight w:val="none"/>
        </w:rPr>
        <mc:AlternateContent>
          <mc:Choice Requires="wps">
            <w:drawing>
              <wp:anchor distT="0" distB="0" distL="113030" distR="11303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14:paraId="693A9E2D">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注：附</w:t>
      </w:r>
      <w:r>
        <w:rPr>
          <w:rFonts w:hint="eastAsia" w:ascii="Times New Roman" w:hAnsi="Times New Roman" w:cs="等线 Light"/>
          <w:snapToGrid w:val="0"/>
          <w:kern w:val="0"/>
          <w:szCs w:val="24"/>
          <w:highlight w:val="none"/>
        </w:rPr>
        <w:t>参选</w:t>
      </w:r>
      <w:r>
        <w:rPr>
          <w:rFonts w:hint="eastAsia" w:ascii="Times New Roman" w:hAnsi="Times New Roman"/>
          <w:snapToGrid w:val="0"/>
          <w:kern w:val="0"/>
          <w:highlight w:val="none"/>
        </w:rPr>
        <w:t>保证金交款凭据复印件</w:t>
      </w:r>
    </w:p>
    <w:p w14:paraId="220E16C1">
      <w:pPr>
        <w:spacing w:line="360" w:lineRule="auto"/>
        <w:rPr>
          <w:rFonts w:ascii="Times New Roman" w:hAnsi="Times New Roman" w:cs="等线 Light"/>
          <w:sz w:val="21"/>
          <w:szCs w:val="21"/>
          <w:highlight w:val="none"/>
        </w:rPr>
      </w:pPr>
    </w:p>
    <w:p w14:paraId="5B76C5B6">
      <w:pPr>
        <w:spacing w:line="360" w:lineRule="auto"/>
        <w:rPr>
          <w:rFonts w:ascii="Times New Roman" w:hAnsi="Times New Roman" w:cs="等线 Light"/>
          <w:szCs w:val="21"/>
          <w:highlight w:val="none"/>
        </w:rPr>
        <w:sectPr>
          <w:pgSz w:w="11906" w:h="16838"/>
          <w:pgMar w:top="1440" w:right="1800" w:bottom="1440" w:left="1800" w:header="851" w:footer="992" w:gutter="0"/>
          <w:cols w:space="720" w:num="1"/>
          <w:docGrid w:type="lines" w:linePitch="312" w:charSpace="0"/>
        </w:sectPr>
      </w:pPr>
    </w:p>
    <w:p w14:paraId="2C27A4BA">
      <w:pPr>
        <w:pStyle w:val="37"/>
        <w:outlineLvl w:val="0"/>
        <w:rPr>
          <w:rFonts w:ascii="Times New Roman" w:hAnsi="Times New Roman"/>
          <w:highlight w:val="none"/>
        </w:rPr>
      </w:pPr>
      <w:bookmarkStart w:id="393" w:name="_Toc2055897892"/>
      <w:bookmarkStart w:id="394" w:name="_Toc839602585"/>
      <w:bookmarkStart w:id="395" w:name="_Toc372777393"/>
      <w:r>
        <w:rPr>
          <w:rFonts w:ascii="Times New Roman" w:hAnsi="Times New Roman"/>
          <w:highlight w:val="none"/>
        </w:rPr>
        <w:t>六、服务水平协议（</w:t>
      </w:r>
      <w:bookmarkStart w:id="396" w:name="突出显示"/>
      <w:r>
        <w:rPr>
          <w:rFonts w:ascii="Times New Roman" w:hAnsi="Times New Roman"/>
          <w:highlight w:val="none"/>
        </w:rPr>
        <w:t>SLA</w:t>
      </w:r>
      <w:bookmarkEnd w:id="396"/>
      <w:r>
        <w:rPr>
          <w:rFonts w:ascii="Times New Roman" w:hAnsi="Times New Roman"/>
          <w:highlight w:val="none"/>
        </w:rPr>
        <w:t>）</w:t>
      </w:r>
      <w:bookmarkEnd w:id="393"/>
      <w:bookmarkEnd w:id="394"/>
      <w:bookmarkEnd w:id="395"/>
    </w:p>
    <w:tbl>
      <w:tblPr>
        <w:tblStyle w:val="24"/>
        <w:tblW w:w="9224"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76"/>
        <w:gridCol w:w="710"/>
        <w:gridCol w:w="1134"/>
        <w:gridCol w:w="1701"/>
        <w:gridCol w:w="1559"/>
        <w:gridCol w:w="1843"/>
        <w:gridCol w:w="1701"/>
      </w:tblGrid>
      <w:tr w14:paraId="3A09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trPr>
        <w:tc>
          <w:tcPr>
            <w:tcW w:w="576" w:type="dxa"/>
            <w:shd w:val="clear" w:color="auto" w:fill="FFFFFF"/>
            <w:vAlign w:val="center"/>
          </w:tcPr>
          <w:p w14:paraId="254321E4">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序号</w:t>
            </w:r>
          </w:p>
        </w:tc>
        <w:tc>
          <w:tcPr>
            <w:tcW w:w="710" w:type="dxa"/>
            <w:shd w:val="clear" w:color="auto" w:fill="FFFFFF"/>
            <w:vAlign w:val="center"/>
          </w:tcPr>
          <w:p w14:paraId="6FA33F85">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服务内容</w:t>
            </w:r>
          </w:p>
        </w:tc>
        <w:tc>
          <w:tcPr>
            <w:tcW w:w="1134" w:type="dxa"/>
            <w:shd w:val="clear" w:color="auto" w:fill="FFFFFF"/>
            <w:vAlign w:val="center"/>
          </w:tcPr>
          <w:p w14:paraId="5BE7FD1E">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服务定义</w:t>
            </w:r>
          </w:p>
        </w:tc>
        <w:tc>
          <w:tcPr>
            <w:tcW w:w="1701" w:type="dxa"/>
            <w:shd w:val="clear" w:color="auto" w:fill="FFFFFF"/>
            <w:vAlign w:val="center"/>
          </w:tcPr>
          <w:p w14:paraId="05E330B7">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服务标准</w:t>
            </w:r>
          </w:p>
        </w:tc>
        <w:tc>
          <w:tcPr>
            <w:tcW w:w="1559" w:type="dxa"/>
            <w:shd w:val="clear" w:color="auto" w:fill="FFFFFF"/>
            <w:vAlign w:val="center"/>
          </w:tcPr>
          <w:p w14:paraId="26465F77">
            <w:pPr>
              <w:keepNext w:val="0"/>
              <w:keepLines w:val="0"/>
              <w:widowControl/>
              <w:suppressLineNumbers w:val="0"/>
              <w:spacing w:before="0" w:beforeAutospacing="0" w:after="0" w:afterAutospacing="0"/>
              <w:ind w:left="0" w:right="0" w:firstLine="0"/>
              <w:jc w:val="both"/>
              <w:rPr>
                <w:rFonts w:hint="default" w:ascii="宋体" w:eastAsia="宋体"/>
                <w:b/>
                <w:spacing w:val="0"/>
                <w:sz w:val="21"/>
                <w:szCs w:val="21"/>
                <w:highlight w:val="none"/>
              </w:rPr>
            </w:pPr>
            <w:r>
              <w:rPr>
                <w:rFonts w:hint="eastAsia" w:ascii="宋体" w:eastAsia="宋体"/>
                <w:b/>
                <w:spacing w:val="0"/>
                <w:sz w:val="21"/>
                <w:szCs w:val="21"/>
                <w:highlight w:val="none"/>
              </w:rPr>
              <w:t>指标计算</w:t>
            </w:r>
          </w:p>
        </w:tc>
        <w:tc>
          <w:tcPr>
            <w:tcW w:w="1843" w:type="dxa"/>
            <w:shd w:val="clear" w:color="auto" w:fill="FFFFFF"/>
            <w:vAlign w:val="center"/>
          </w:tcPr>
          <w:p w14:paraId="0931DD2D">
            <w:pPr>
              <w:keepNext w:val="0"/>
              <w:keepLines w:val="0"/>
              <w:widowControl/>
              <w:suppressLineNumbers w:val="0"/>
              <w:spacing w:before="0" w:beforeAutospacing="0" w:after="0" w:afterAutospacing="0"/>
              <w:ind w:left="0" w:right="0" w:firstLine="0"/>
              <w:rPr>
                <w:rFonts w:hint="default" w:ascii="宋体" w:eastAsia="宋体"/>
                <w:b/>
                <w:bCs/>
                <w:spacing w:val="0"/>
                <w:sz w:val="21"/>
                <w:szCs w:val="21"/>
                <w:highlight w:val="none"/>
              </w:rPr>
            </w:pPr>
            <w:r>
              <w:rPr>
                <w:rFonts w:hint="eastAsia" w:ascii="宋体" w:eastAsia="宋体"/>
                <w:b/>
                <w:bCs/>
                <w:spacing w:val="0"/>
                <w:sz w:val="21"/>
                <w:szCs w:val="21"/>
                <w:highlight w:val="none"/>
              </w:rPr>
              <w:t>服务水平要求</w:t>
            </w:r>
          </w:p>
        </w:tc>
        <w:tc>
          <w:tcPr>
            <w:tcW w:w="1701" w:type="dxa"/>
            <w:shd w:val="clear" w:color="auto" w:fill="FFFFFF"/>
            <w:vAlign w:val="center"/>
          </w:tcPr>
          <w:p w14:paraId="23E88EAB">
            <w:pPr>
              <w:keepNext w:val="0"/>
              <w:keepLines w:val="0"/>
              <w:widowControl/>
              <w:suppressLineNumbers w:val="0"/>
              <w:spacing w:before="0" w:beforeAutospacing="0" w:after="0" w:afterAutospacing="0"/>
              <w:ind w:left="0" w:right="0" w:firstLine="0"/>
              <w:rPr>
                <w:rFonts w:hint="default" w:ascii="宋体" w:eastAsia="宋体"/>
                <w:b/>
                <w:spacing w:val="0"/>
                <w:sz w:val="21"/>
                <w:szCs w:val="21"/>
                <w:highlight w:val="none"/>
              </w:rPr>
            </w:pPr>
            <w:r>
              <w:rPr>
                <w:rFonts w:hint="eastAsia" w:ascii="宋体" w:eastAsia="宋体"/>
                <w:b/>
                <w:spacing w:val="0"/>
                <w:sz w:val="21"/>
                <w:szCs w:val="21"/>
                <w:highlight w:val="none"/>
              </w:rPr>
              <w:t>违约金标准</w:t>
            </w:r>
          </w:p>
        </w:tc>
      </w:tr>
      <w:tr w14:paraId="48EA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30" w:hRule="atLeast"/>
        </w:trPr>
        <w:tc>
          <w:tcPr>
            <w:tcW w:w="576" w:type="dxa"/>
            <w:shd w:val="clear" w:color="auto" w:fill="FFFFFF"/>
            <w:vAlign w:val="center"/>
          </w:tcPr>
          <w:p w14:paraId="789E3152">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1</w:t>
            </w:r>
          </w:p>
        </w:tc>
        <w:tc>
          <w:tcPr>
            <w:tcW w:w="710" w:type="dxa"/>
            <w:tcBorders>
              <w:left w:val="single" w:color="auto" w:sz="4" w:space="0"/>
            </w:tcBorders>
            <w:shd w:val="clear" w:color="auto" w:fill="FFFFFF"/>
            <w:vAlign w:val="center"/>
          </w:tcPr>
          <w:p w14:paraId="05F6D4F0">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任务响应</w:t>
            </w:r>
          </w:p>
        </w:tc>
        <w:tc>
          <w:tcPr>
            <w:tcW w:w="1134" w:type="dxa"/>
            <w:tcBorders>
              <w:left w:val="single" w:color="auto" w:sz="4" w:space="0"/>
            </w:tcBorders>
            <w:shd w:val="clear" w:color="auto" w:fill="FFFFFF"/>
            <w:vAlign w:val="center"/>
          </w:tcPr>
          <w:p w14:paraId="1036E4C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衡量乙方在需求与问题响应方面的能力</w:t>
            </w:r>
          </w:p>
        </w:tc>
        <w:tc>
          <w:tcPr>
            <w:tcW w:w="1701" w:type="dxa"/>
            <w:tcBorders>
              <w:left w:val="single" w:color="auto" w:sz="4" w:space="0"/>
            </w:tcBorders>
            <w:shd w:val="clear" w:color="auto" w:fill="FFFFFF"/>
            <w:vAlign w:val="center"/>
          </w:tcPr>
          <w:p w14:paraId="2332D07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乙方在收到甲方任务后2个工作日内，向甲方反馈确认任务的实施方案、计划和工作量等</w:t>
            </w:r>
          </w:p>
        </w:tc>
        <w:tc>
          <w:tcPr>
            <w:tcW w:w="1559" w:type="dxa"/>
            <w:tcBorders>
              <w:left w:val="single" w:color="auto" w:sz="4" w:space="0"/>
            </w:tcBorders>
            <w:shd w:val="clear" w:color="auto" w:fill="FFFFFF"/>
            <w:vAlign w:val="center"/>
          </w:tcPr>
          <w:p w14:paraId="2E06693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甲方应当明确任务提出时间，乙方应当向甲方发出一个确认任务响应信息</w:t>
            </w:r>
          </w:p>
        </w:tc>
        <w:tc>
          <w:tcPr>
            <w:tcW w:w="1843" w:type="dxa"/>
            <w:tcBorders>
              <w:left w:val="single" w:color="auto" w:sz="4" w:space="0"/>
            </w:tcBorders>
            <w:shd w:val="clear" w:color="auto" w:fill="FFFFFF"/>
            <w:vAlign w:val="center"/>
          </w:tcPr>
          <w:p w14:paraId="2D340B9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乙方不得违反承诺响应时间</w:t>
            </w:r>
          </w:p>
        </w:tc>
        <w:tc>
          <w:tcPr>
            <w:tcW w:w="1701" w:type="dxa"/>
            <w:tcBorders>
              <w:left w:val="single" w:color="auto" w:sz="4" w:space="0"/>
            </w:tcBorders>
            <w:shd w:val="clear" w:color="auto" w:fill="FFFFFF"/>
            <w:vAlign w:val="center"/>
          </w:tcPr>
          <w:p w14:paraId="1FF208B5">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如违反承诺的响应时间要求，每次扣除1000元违约金</w:t>
            </w:r>
          </w:p>
        </w:tc>
      </w:tr>
      <w:tr w14:paraId="4CE8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41" w:hRule="atLeast"/>
        </w:trPr>
        <w:tc>
          <w:tcPr>
            <w:tcW w:w="576" w:type="dxa"/>
            <w:shd w:val="clear" w:color="auto" w:fill="FFFFFF"/>
            <w:vAlign w:val="center"/>
          </w:tcPr>
          <w:p w14:paraId="3812A558">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2</w:t>
            </w:r>
          </w:p>
        </w:tc>
        <w:tc>
          <w:tcPr>
            <w:tcW w:w="710" w:type="dxa"/>
            <w:tcBorders>
              <w:left w:val="single" w:color="auto" w:sz="4" w:space="0"/>
            </w:tcBorders>
            <w:shd w:val="clear" w:color="auto" w:fill="FFFFFF"/>
            <w:vAlign w:val="center"/>
          </w:tcPr>
          <w:p w14:paraId="79D99EC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项目延期</w:t>
            </w:r>
          </w:p>
        </w:tc>
        <w:tc>
          <w:tcPr>
            <w:tcW w:w="1134" w:type="dxa"/>
            <w:tcBorders>
              <w:left w:val="single" w:color="auto" w:sz="4" w:space="0"/>
            </w:tcBorders>
            <w:shd w:val="clear" w:color="auto" w:fill="FFFFFF"/>
            <w:vAlign w:val="center"/>
          </w:tcPr>
          <w:p w14:paraId="4F6251AC">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衡量乙方对项目整体实施进度的控制能力</w:t>
            </w:r>
          </w:p>
        </w:tc>
        <w:tc>
          <w:tcPr>
            <w:tcW w:w="1701" w:type="dxa"/>
            <w:tcBorders>
              <w:left w:val="single" w:color="auto" w:sz="4" w:space="0"/>
            </w:tcBorders>
            <w:shd w:val="clear" w:color="auto" w:fill="FFFFFF"/>
            <w:vAlign w:val="center"/>
          </w:tcPr>
          <w:p w14:paraId="6C34444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乙方原因导致的项目进度偏差</w:t>
            </w:r>
          </w:p>
        </w:tc>
        <w:tc>
          <w:tcPr>
            <w:tcW w:w="1559" w:type="dxa"/>
            <w:tcBorders>
              <w:left w:val="single" w:color="auto" w:sz="4" w:space="0"/>
            </w:tcBorders>
            <w:shd w:val="clear" w:color="auto" w:fill="FFFFFF"/>
            <w:vAlign w:val="center"/>
          </w:tcPr>
          <w:p w14:paraId="4C4BBE2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按项目计划为基准计算进度偏差天数（进度偏差率≤20%）</w:t>
            </w:r>
          </w:p>
        </w:tc>
        <w:tc>
          <w:tcPr>
            <w:tcW w:w="1843" w:type="dxa"/>
            <w:tcBorders>
              <w:left w:val="single" w:color="auto" w:sz="4" w:space="0"/>
            </w:tcBorders>
            <w:shd w:val="clear" w:color="auto" w:fill="FFFFFF"/>
            <w:vAlign w:val="center"/>
          </w:tcPr>
          <w:p w14:paraId="3C89DD7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进度偏差率=进度偏差天数/项目计划中进度天数（进度偏差率≤20%）</w:t>
            </w:r>
          </w:p>
        </w:tc>
        <w:tc>
          <w:tcPr>
            <w:tcW w:w="1701" w:type="dxa"/>
            <w:tcBorders>
              <w:left w:val="single" w:color="auto" w:sz="4" w:space="0"/>
            </w:tcBorders>
            <w:shd w:val="clear" w:color="auto" w:fill="FFFFFF"/>
            <w:vAlign w:val="center"/>
          </w:tcPr>
          <w:p w14:paraId="6C17359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20%＜进度偏差率≤30%，每偏差一天按合同总金额的0.1%计违约金，进度偏差率＞30%并且延期3个月以上，违约金为合同总金额的10%</w:t>
            </w:r>
          </w:p>
        </w:tc>
      </w:tr>
      <w:tr w14:paraId="760B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4" w:hRule="atLeast"/>
        </w:trPr>
        <w:tc>
          <w:tcPr>
            <w:tcW w:w="576" w:type="dxa"/>
            <w:shd w:val="clear" w:color="auto" w:fill="FFFFFF"/>
            <w:vAlign w:val="center"/>
          </w:tcPr>
          <w:p w14:paraId="5A290F7D">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3</w:t>
            </w:r>
          </w:p>
        </w:tc>
        <w:tc>
          <w:tcPr>
            <w:tcW w:w="710" w:type="dxa"/>
            <w:tcBorders>
              <w:left w:val="single" w:color="auto" w:sz="4" w:space="0"/>
            </w:tcBorders>
            <w:shd w:val="clear" w:color="auto" w:fill="FFFFFF"/>
            <w:vAlign w:val="center"/>
          </w:tcPr>
          <w:p w14:paraId="7097DE4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任务完成情况</w:t>
            </w:r>
          </w:p>
        </w:tc>
        <w:tc>
          <w:tcPr>
            <w:tcW w:w="1134" w:type="dxa"/>
            <w:tcBorders>
              <w:left w:val="single" w:color="auto" w:sz="4" w:space="0"/>
            </w:tcBorders>
            <w:shd w:val="clear" w:color="auto" w:fill="FFFFFF"/>
            <w:vAlign w:val="center"/>
          </w:tcPr>
          <w:p w14:paraId="4C275BD0">
            <w:pPr>
              <w:keepNext w:val="0"/>
              <w:keepLines w:val="0"/>
              <w:widowControl/>
              <w:suppressLineNumbers w:val="0"/>
              <w:snapToGrid w:val="0"/>
              <w:spacing w:before="0" w:beforeAutospacing="0" w:after="0" w:afterAutospacing="0"/>
              <w:ind w:left="0" w:right="0" w:firstLine="0"/>
              <w:jc w:val="left"/>
              <w:rPr>
                <w:rFonts w:hint="default" w:ascii="宋体" w:hAnsi="宋体"/>
                <w:highlight w:val="none"/>
              </w:rPr>
            </w:pPr>
            <w:r>
              <w:rPr>
                <w:rFonts w:hint="eastAsia" w:ascii="宋体" w:eastAsia="宋体"/>
                <w:spacing w:val="0"/>
                <w:sz w:val="21"/>
                <w:szCs w:val="24"/>
                <w:highlight w:val="none"/>
              </w:rPr>
              <w:t>衡量乙方按计划完成任务的能力</w:t>
            </w:r>
          </w:p>
        </w:tc>
        <w:tc>
          <w:tcPr>
            <w:tcW w:w="1701" w:type="dxa"/>
            <w:tcBorders>
              <w:left w:val="single" w:color="auto" w:sz="4" w:space="0"/>
            </w:tcBorders>
            <w:shd w:val="clear" w:color="auto" w:fill="FFFFFF"/>
            <w:vAlign w:val="center"/>
          </w:tcPr>
          <w:p w14:paraId="32EC9E26">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乙方应当在双方确认的时间内完成任务</w:t>
            </w:r>
          </w:p>
        </w:tc>
        <w:tc>
          <w:tcPr>
            <w:tcW w:w="1559" w:type="dxa"/>
            <w:tcBorders>
              <w:left w:val="single" w:color="auto" w:sz="4" w:space="0"/>
            </w:tcBorders>
            <w:shd w:val="clear" w:color="auto" w:fill="FFFFFF"/>
            <w:vAlign w:val="center"/>
          </w:tcPr>
          <w:p w14:paraId="1958972A">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甲方标识出每一项任务完成的具体时间，对比乙方给出的任务完成计划时间</w:t>
            </w:r>
          </w:p>
        </w:tc>
        <w:tc>
          <w:tcPr>
            <w:tcW w:w="1843" w:type="dxa"/>
            <w:tcBorders>
              <w:left w:val="single" w:color="auto" w:sz="4" w:space="0"/>
            </w:tcBorders>
            <w:shd w:val="clear" w:color="auto" w:fill="FFFFFF"/>
            <w:vAlign w:val="center"/>
          </w:tcPr>
          <w:p w14:paraId="57EF666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1.需求分析说明、概要设计、详细设计100%完成；</w:t>
            </w:r>
          </w:p>
          <w:p w14:paraId="5A3556A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2.软件编码100%完成；</w:t>
            </w:r>
          </w:p>
          <w:p w14:paraId="1296F80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3.测试案例需求覆盖率100%，且测试案例执行率100%</w:t>
            </w:r>
          </w:p>
        </w:tc>
        <w:tc>
          <w:tcPr>
            <w:tcW w:w="1701" w:type="dxa"/>
            <w:tcBorders>
              <w:left w:val="single" w:color="auto" w:sz="4" w:space="0"/>
            </w:tcBorders>
            <w:shd w:val="clear" w:color="auto" w:fill="FFFFFF"/>
            <w:vAlign w:val="center"/>
          </w:tcPr>
          <w:p w14:paraId="1CC7C5D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以上三个指标之一低于90%甲方有权终止合同，追回支付款项，要求赔偿损失</w:t>
            </w:r>
          </w:p>
        </w:tc>
      </w:tr>
      <w:tr w14:paraId="01AB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30" w:hRule="atLeast"/>
        </w:trPr>
        <w:tc>
          <w:tcPr>
            <w:tcW w:w="576" w:type="dxa"/>
            <w:shd w:val="clear" w:color="auto" w:fill="FFFFFF"/>
            <w:vAlign w:val="center"/>
          </w:tcPr>
          <w:p w14:paraId="7C030AD2">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4</w:t>
            </w:r>
          </w:p>
        </w:tc>
        <w:tc>
          <w:tcPr>
            <w:tcW w:w="710" w:type="dxa"/>
            <w:tcBorders>
              <w:left w:val="single" w:color="auto" w:sz="4" w:space="0"/>
            </w:tcBorders>
            <w:shd w:val="clear" w:color="auto" w:fill="FFFFFF"/>
            <w:vAlign w:val="center"/>
          </w:tcPr>
          <w:p w14:paraId="5B61117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上线后重大质量缺陷</w:t>
            </w:r>
          </w:p>
        </w:tc>
        <w:tc>
          <w:tcPr>
            <w:tcW w:w="1134" w:type="dxa"/>
            <w:tcBorders>
              <w:left w:val="single" w:color="auto" w:sz="4" w:space="0"/>
            </w:tcBorders>
            <w:shd w:val="clear" w:color="auto" w:fill="FFFFFF"/>
            <w:vAlign w:val="center"/>
          </w:tcPr>
          <w:p w14:paraId="2E0C229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衡量乙方在系统上线运行后的稳定性</w:t>
            </w:r>
          </w:p>
        </w:tc>
        <w:tc>
          <w:tcPr>
            <w:tcW w:w="1701" w:type="dxa"/>
            <w:tcBorders>
              <w:left w:val="single" w:color="auto" w:sz="4" w:space="0"/>
            </w:tcBorders>
            <w:shd w:val="clear" w:color="auto" w:fill="FFFFFF"/>
            <w:vAlign w:val="center"/>
          </w:tcPr>
          <w:p w14:paraId="73C06E0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cs="宋体"/>
                <w:spacing w:val="0"/>
                <w:sz w:val="21"/>
                <w:szCs w:val="24"/>
                <w:highlight w:val="none"/>
              </w:rPr>
              <w:t>系统上线后不能发生较大运营中断事件和重大质量缺陷</w:t>
            </w:r>
          </w:p>
        </w:tc>
        <w:tc>
          <w:tcPr>
            <w:tcW w:w="1559" w:type="dxa"/>
            <w:tcBorders>
              <w:left w:val="single" w:color="auto" w:sz="4" w:space="0"/>
            </w:tcBorders>
            <w:shd w:val="clear" w:color="auto" w:fill="FFFFFF"/>
            <w:vAlign w:val="center"/>
          </w:tcPr>
          <w:p w14:paraId="34CA637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甲方根据系统</w:t>
            </w:r>
            <w:r>
              <w:rPr>
                <w:rFonts w:hint="eastAsia" w:ascii="宋体" w:eastAsia="宋体" w:cs="宋体"/>
                <w:spacing w:val="0"/>
                <w:sz w:val="21"/>
                <w:szCs w:val="24"/>
                <w:highlight w:val="none"/>
              </w:rPr>
              <w:t>生产缺陷程度</w:t>
            </w:r>
            <w:r>
              <w:rPr>
                <w:rFonts w:hint="eastAsia" w:ascii="宋体" w:eastAsia="宋体"/>
                <w:spacing w:val="0"/>
                <w:sz w:val="21"/>
                <w:szCs w:val="24"/>
                <w:highlight w:val="none"/>
              </w:rPr>
              <w:t>和数量判定</w:t>
            </w:r>
          </w:p>
        </w:tc>
        <w:tc>
          <w:tcPr>
            <w:tcW w:w="1843" w:type="dxa"/>
            <w:tcBorders>
              <w:left w:val="single" w:color="auto" w:sz="4" w:space="0"/>
            </w:tcBorders>
            <w:shd w:val="clear" w:color="auto" w:fill="FFFFFF"/>
            <w:vAlign w:val="center"/>
          </w:tcPr>
          <w:p w14:paraId="14ACDAD6">
            <w:pPr>
              <w:keepNext w:val="0"/>
              <w:keepLines w:val="0"/>
              <w:suppressLineNumbers w:val="0"/>
              <w:spacing w:before="0" w:beforeAutospacing="0" w:after="0" w:afterAutospacing="0"/>
              <w:ind w:left="0" w:right="0" w:firstLine="0"/>
              <w:rPr>
                <w:rFonts w:hint="default" w:ascii="宋体" w:eastAsia="宋体" w:cs="宋体"/>
                <w:spacing w:val="0"/>
                <w:sz w:val="21"/>
                <w:szCs w:val="24"/>
                <w:highlight w:val="none"/>
              </w:rPr>
            </w:pPr>
            <w:r>
              <w:rPr>
                <w:rFonts w:hint="eastAsia" w:ascii="宋体" w:eastAsia="宋体" w:cs="宋体"/>
                <w:spacing w:val="0"/>
                <w:sz w:val="21"/>
                <w:szCs w:val="24"/>
                <w:highlight w:val="none"/>
              </w:rPr>
              <w:t>1、应用软件未出现III级(含)以上的运营中断事件；</w:t>
            </w:r>
          </w:p>
          <w:p w14:paraId="122A9335">
            <w:pPr>
              <w:keepNext w:val="0"/>
              <w:keepLines w:val="0"/>
              <w:suppressLineNumbers w:val="0"/>
              <w:spacing w:before="0" w:beforeAutospacing="0" w:after="0" w:afterAutospacing="0"/>
              <w:ind w:left="0" w:right="0" w:firstLine="0"/>
              <w:rPr>
                <w:rFonts w:hint="default" w:ascii="宋体" w:eastAsia="宋体" w:cs="宋体"/>
                <w:spacing w:val="0"/>
                <w:sz w:val="21"/>
                <w:szCs w:val="24"/>
                <w:highlight w:val="none"/>
              </w:rPr>
            </w:pPr>
            <w:r>
              <w:rPr>
                <w:rFonts w:hint="eastAsia" w:ascii="宋体" w:eastAsia="宋体" w:cs="宋体"/>
                <w:spacing w:val="0"/>
                <w:sz w:val="21"/>
                <w:szCs w:val="24"/>
                <w:highlight w:val="none"/>
              </w:rPr>
              <w:t>2、应用软件未出现严重缺陷和致命缺陷；</w:t>
            </w:r>
          </w:p>
          <w:p w14:paraId="7B3A04CC">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cs="宋体"/>
                <w:spacing w:val="0"/>
                <w:sz w:val="21"/>
                <w:szCs w:val="24"/>
                <w:highlight w:val="none"/>
              </w:rPr>
              <w:t xml:space="preserve">3、一般和微小缺陷逃逸率≤4.5% </w:t>
            </w:r>
          </w:p>
        </w:tc>
        <w:tc>
          <w:tcPr>
            <w:tcW w:w="1701" w:type="dxa"/>
            <w:tcBorders>
              <w:left w:val="single" w:color="auto" w:sz="4" w:space="0"/>
            </w:tcBorders>
            <w:shd w:val="clear" w:color="auto" w:fill="FFFFFF"/>
            <w:vAlign w:val="center"/>
          </w:tcPr>
          <w:p w14:paraId="31CFCF43">
            <w:pPr>
              <w:keepNext w:val="0"/>
              <w:keepLines w:val="0"/>
              <w:suppressLineNumbers w:val="0"/>
              <w:spacing w:before="0" w:beforeAutospacing="0" w:after="0" w:afterAutospacing="0"/>
              <w:ind w:left="0" w:right="0" w:firstLine="0"/>
              <w:rPr>
                <w:rFonts w:hint="default" w:ascii="宋体" w:eastAsia="宋体"/>
                <w:spacing w:val="0"/>
                <w:sz w:val="21"/>
                <w:szCs w:val="24"/>
                <w:highlight w:val="none"/>
              </w:rPr>
            </w:pPr>
            <w:r>
              <w:rPr>
                <w:rFonts w:hint="eastAsia" w:ascii="宋体" w:eastAsia="宋体" w:cs="宋体"/>
                <w:spacing w:val="0"/>
                <w:sz w:val="21"/>
                <w:szCs w:val="24"/>
                <w:highlight w:val="none"/>
              </w:rPr>
              <w:t>不满足该项任一标准扣除2万元违约金并要求乙方赔偿损失</w:t>
            </w:r>
          </w:p>
        </w:tc>
      </w:tr>
      <w:tr w14:paraId="4277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5" w:hRule="atLeast"/>
        </w:trPr>
        <w:tc>
          <w:tcPr>
            <w:tcW w:w="576" w:type="dxa"/>
            <w:shd w:val="clear" w:color="auto" w:fill="FFFFFF"/>
            <w:vAlign w:val="center"/>
          </w:tcPr>
          <w:p w14:paraId="790336CB">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5</w:t>
            </w:r>
          </w:p>
        </w:tc>
        <w:tc>
          <w:tcPr>
            <w:tcW w:w="710" w:type="dxa"/>
            <w:tcBorders>
              <w:left w:val="single" w:color="auto" w:sz="4" w:space="0"/>
            </w:tcBorders>
            <w:shd w:val="clear" w:color="auto" w:fill="FFFFFF"/>
            <w:vAlign w:val="center"/>
          </w:tcPr>
          <w:p w14:paraId="772237A5">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上线后重大问题处理</w:t>
            </w:r>
          </w:p>
        </w:tc>
        <w:tc>
          <w:tcPr>
            <w:tcW w:w="1134" w:type="dxa"/>
            <w:tcBorders>
              <w:left w:val="single" w:color="auto" w:sz="4" w:space="0"/>
            </w:tcBorders>
            <w:shd w:val="clear" w:color="auto" w:fill="FFFFFF"/>
            <w:vAlign w:val="center"/>
          </w:tcPr>
          <w:p w14:paraId="05CF8F0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衡量乙方在系统上线运行后及时处理重大问题的能力</w:t>
            </w:r>
          </w:p>
        </w:tc>
        <w:tc>
          <w:tcPr>
            <w:tcW w:w="1701" w:type="dxa"/>
            <w:tcBorders>
              <w:left w:val="single" w:color="auto" w:sz="4" w:space="0"/>
            </w:tcBorders>
            <w:shd w:val="clear" w:color="auto" w:fill="FFFFFF"/>
            <w:vAlign w:val="center"/>
          </w:tcPr>
          <w:p w14:paraId="70476BEA">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上线后遗留问题或生产缺陷解决的及时性</w:t>
            </w:r>
          </w:p>
        </w:tc>
        <w:tc>
          <w:tcPr>
            <w:tcW w:w="1559" w:type="dxa"/>
            <w:tcBorders>
              <w:left w:val="single" w:color="auto" w:sz="4" w:space="0"/>
            </w:tcBorders>
            <w:shd w:val="clear" w:color="auto" w:fill="FFFFFF"/>
            <w:vAlign w:val="center"/>
          </w:tcPr>
          <w:p w14:paraId="2050CF58">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甲方根据系统上线运行后的重大问题处理情况判定</w:t>
            </w:r>
          </w:p>
        </w:tc>
        <w:tc>
          <w:tcPr>
            <w:tcW w:w="1843" w:type="dxa"/>
            <w:tcBorders>
              <w:left w:val="single" w:color="auto" w:sz="4" w:space="0"/>
            </w:tcBorders>
            <w:shd w:val="clear" w:color="auto" w:fill="FFFFFF"/>
            <w:vAlign w:val="center"/>
          </w:tcPr>
          <w:p w14:paraId="069F345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生产缺陷解决及时率=100%</w:t>
            </w:r>
          </w:p>
        </w:tc>
        <w:tc>
          <w:tcPr>
            <w:tcW w:w="1701" w:type="dxa"/>
            <w:tcBorders>
              <w:left w:val="single" w:color="auto" w:sz="4" w:space="0"/>
            </w:tcBorders>
            <w:shd w:val="clear" w:color="auto" w:fill="FFFFFF"/>
            <w:vAlign w:val="center"/>
          </w:tcPr>
          <w:p w14:paraId="7294D21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重大生产缺陷、问题不能得到及时解决，每次按合同总金额的5%计违约金</w:t>
            </w:r>
          </w:p>
        </w:tc>
      </w:tr>
      <w:tr w14:paraId="05B7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97" w:hRule="atLeast"/>
        </w:trPr>
        <w:tc>
          <w:tcPr>
            <w:tcW w:w="576" w:type="dxa"/>
            <w:shd w:val="clear" w:color="auto" w:fill="FFFFFF"/>
            <w:vAlign w:val="center"/>
          </w:tcPr>
          <w:p w14:paraId="72C5B2F6">
            <w:pPr>
              <w:keepNext w:val="0"/>
              <w:keepLines w:val="0"/>
              <w:widowControl/>
              <w:suppressLineNumbers w:val="0"/>
              <w:snapToGrid w:val="0"/>
              <w:spacing w:before="0" w:beforeAutospacing="0" w:after="0" w:afterAutospacing="0" w:line="360" w:lineRule="auto"/>
              <w:ind w:left="0" w:right="0" w:firstLine="0"/>
              <w:rPr>
                <w:rFonts w:hint="default" w:ascii="宋体" w:hAnsi="宋体"/>
                <w:highlight w:val="none"/>
              </w:rPr>
            </w:pPr>
            <w:r>
              <w:rPr>
                <w:rFonts w:hint="eastAsia" w:ascii="宋体" w:hAnsi="宋体"/>
                <w:highlight w:val="none"/>
              </w:rPr>
              <w:t>6</w:t>
            </w:r>
          </w:p>
        </w:tc>
        <w:tc>
          <w:tcPr>
            <w:tcW w:w="710" w:type="dxa"/>
            <w:tcBorders>
              <w:left w:val="single" w:color="auto" w:sz="4" w:space="0"/>
            </w:tcBorders>
            <w:shd w:val="clear" w:color="auto" w:fill="FFFFFF"/>
            <w:vAlign w:val="center"/>
          </w:tcPr>
          <w:p w14:paraId="2086B45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人力资源投入及人员稳定性</w:t>
            </w:r>
          </w:p>
        </w:tc>
        <w:tc>
          <w:tcPr>
            <w:tcW w:w="1134" w:type="dxa"/>
            <w:tcBorders>
              <w:left w:val="single" w:color="auto" w:sz="4" w:space="0"/>
            </w:tcBorders>
            <w:shd w:val="clear" w:color="auto" w:fill="FFFFFF"/>
            <w:vAlign w:val="center"/>
          </w:tcPr>
          <w:p w14:paraId="3945F6D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衡量乙方人员服务的符合度及人员稳定性</w:t>
            </w:r>
          </w:p>
        </w:tc>
        <w:tc>
          <w:tcPr>
            <w:tcW w:w="1701" w:type="dxa"/>
            <w:tcBorders>
              <w:left w:val="single" w:color="auto" w:sz="4" w:space="0"/>
            </w:tcBorders>
            <w:shd w:val="clear" w:color="auto" w:fill="FFFFFF"/>
            <w:vAlign w:val="center"/>
          </w:tcPr>
          <w:p w14:paraId="7DFF80B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投入人员情况符合投标文件或合同要求，乙方项目组人员变动比例不得高于30%</w:t>
            </w:r>
          </w:p>
        </w:tc>
        <w:tc>
          <w:tcPr>
            <w:tcW w:w="1559" w:type="dxa"/>
            <w:tcBorders>
              <w:left w:val="single" w:color="auto" w:sz="4" w:space="0"/>
            </w:tcBorders>
            <w:shd w:val="clear" w:color="auto" w:fill="FFFFFF"/>
            <w:vAlign w:val="center"/>
          </w:tcPr>
          <w:p w14:paraId="5A6D3A6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甲方按合同要求判定乙方人员投入及变动情况</w:t>
            </w:r>
          </w:p>
        </w:tc>
        <w:tc>
          <w:tcPr>
            <w:tcW w:w="1843" w:type="dxa"/>
            <w:tcBorders>
              <w:left w:val="single" w:color="auto" w:sz="4" w:space="0"/>
            </w:tcBorders>
            <w:shd w:val="clear" w:color="auto" w:fill="FFFFFF"/>
            <w:vAlign w:val="center"/>
          </w:tcPr>
          <w:p w14:paraId="4889D9C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人员数量差异=承诺人数-实际人数</w:t>
            </w:r>
          </w:p>
          <w:p w14:paraId="7A36445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人员变动率=人员变动人数/原项目组人员总人数</w:t>
            </w:r>
            <w:r>
              <w:rPr>
                <w:rFonts w:hint="eastAsia" w:ascii="宋体" w:eastAsia="宋体"/>
                <w:spacing w:val="0"/>
                <w:sz w:val="21"/>
                <w:szCs w:val="24"/>
                <w:highlight w:val="none"/>
              </w:rPr>
              <w:br w:type="textWrapping"/>
            </w:r>
            <w:r>
              <w:rPr>
                <w:rFonts w:hint="eastAsia" w:ascii="宋体" w:eastAsia="宋体"/>
                <w:spacing w:val="0"/>
                <w:sz w:val="21"/>
                <w:szCs w:val="24"/>
                <w:highlight w:val="none"/>
              </w:rPr>
              <w:t>（人员数量差异≤2；技术骨干及项目经理不得变动；技术人员变动率≤30%）</w:t>
            </w:r>
          </w:p>
        </w:tc>
        <w:tc>
          <w:tcPr>
            <w:tcW w:w="1701" w:type="dxa"/>
            <w:tcBorders>
              <w:left w:val="single" w:color="auto" w:sz="4" w:space="0"/>
            </w:tcBorders>
            <w:shd w:val="clear" w:color="auto" w:fill="FFFFFF"/>
            <w:vAlign w:val="center"/>
          </w:tcPr>
          <w:p w14:paraId="078D297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技术骨干及项目经理变动扣除技术骨干人月单价（至少不低于3万元），技术人员变动超过30%，扣除合同总金额10%</w:t>
            </w:r>
          </w:p>
        </w:tc>
      </w:tr>
      <w:tr w14:paraId="0BD6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20" w:hRule="atLeast"/>
        </w:trPr>
        <w:tc>
          <w:tcPr>
            <w:tcW w:w="576" w:type="dxa"/>
            <w:shd w:val="clear" w:color="auto" w:fill="FFFFFF"/>
            <w:vAlign w:val="center"/>
          </w:tcPr>
          <w:p w14:paraId="36ADB945">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7</w:t>
            </w:r>
          </w:p>
        </w:tc>
        <w:tc>
          <w:tcPr>
            <w:tcW w:w="710" w:type="dxa"/>
            <w:tcBorders>
              <w:left w:val="single" w:color="auto" w:sz="4" w:space="0"/>
            </w:tcBorders>
            <w:shd w:val="clear" w:color="auto" w:fill="FFFFFF"/>
            <w:vAlign w:val="center"/>
          </w:tcPr>
          <w:p w14:paraId="3EA7D1E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测试人员配置</w:t>
            </w:r>
          </w:p>
        </w:tc>
        <w:tc>
          <w:tcPr>
            <w:tcW w:w="1134" w:type="dxa"/>
            <w:tcBorders>
              <w:left w:val="single" w:color="auto" w:sz="4" w:space="0"/>
            </w:tcBorders>
            <w:shd w:val="clear" w:color="auto" w:fill="FFFFFF"/>
            <w:vAlign w:val="center"/>
          </w:tcPr>
          <w:p w14:paraId="51F88C1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衡量乙方投入系统测试人员的符合度</w:t>
            </w:r>
          </w:p>
        </w:tc>
        <w:tc>
          <w:tcPr>
            <w:tcW w:w="1701" w:type="dxa"/>
            <w:tcBorders>
              <w:left w:val="single" w:color="auto" w:sz="4" w:space="0"/>
            </w:tcBorders>
            <w:shd w:val="clear" w:color="auto" w:fill="FFFFFF"/>
            <w:vAlign w:val="center"/>
          </w:tcPr>
          <w:p w14:paraId="21AA49E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投入系统测试人员情况符合投标文件或合同要求</w:t>
            </w:r>
          </w:p>
        </w:tc>
        <w:tc>
          <w:tcPr>
            <w:tcW w:w="1559" w:type="dxa"/>
            <w:tcBorders>
              <w:left w:val="single" w:color="auto" w:sz="4" w:space="0"/>
            </w:tcBorders>
            <w:shd w:val="clear" w:color="auto" w:fill="FFFFFF"/>
            <w:vAlign w:val="center"/>
          </w:tcPr>
          <w:p w14:paraId="6CB7CD06">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甲方按照合同或标书要求判定乙方测试人员投入情况</w:t>
            </w:r>
          </w:p>
        </w:tc>
        <w:tc>
          <w:tcPr>
            <w:tcW w:w="1843" w:type="dxa"/>
            <w:tcBorders>
              <w:left w:val="single" w:color="auto" w:sz="4" w:space="0"/>
            </w:tcBorders>
            <w:shd w:val="clear" w:color="auto" w:fill="FFFFFF"/>
            <w:vAlign w:val="center"/>
          </w:tcPr>
          <w:p w14:paraId="0B90548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人员重合率=测试人员/开发人员（人员重合率=0）</w:t>
            </w:r>
          </w:p>
        </w:tc>
        <w:tc>
          <w:tcPr>
            <w:tcW w:w="1701" w:type="dxa"/>
            <w:tcBorders>
              <w:left w:val="single" w:color="auto" w:sz="4" w:space="0"/>
            </w:tcBorders>
            <w:shd w:val="clear" w:color="auto" w:fill="FFFFFF"/>
            <w:vAlign w:val="center"/>
          </w:tcPr>
          <w:p w14:paraId="21EFB23D">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p>
        </w:tc>
      </w:tr>
      <w:tr w14:paraId="0B7C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trPr>
        <w:tc>
          <w:tcPr>
            <w:tcW w:w="576" w:type="dxa"/>
            <w:shd w:val="clear" w:color="auto" w:fill="FFFFFF"/>
            <w:vAlign w:val="center"/>
          </w:tcPr>
          <w:p w14:paraId="65DE9AB9">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8</w:t>
            </w:r>
          </w:p>
        </w:tc>
        <w:tc>
          <w:tcPr>
            <w:tcW w:w="710" w:type="dxa"/>
            <w:tcBorders>
              <w:left w:val="single" w:color="auto" w:sz="4" w:space="0"/>
            </w:tcBorders>
            <w:shd w:val="clear" w:color="auto" w:fill="FFFFFF"/>
            <w:vAlign w:val="center"/>
          </w:tcPr>
          <w:p w14:paraId="34ACC2FC">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人员异常退出</w:t>
            </w:r>
          </w:p>
        </w:tc>
        <w:tc>
          <w:tcPr>
            <w:tcW w:w="1134" w:type="dxa"/>
            <w:tcBorders>
              <w:left w:val="single" w:color="auto" w:sz="4" w:space="0"/>
            </w:tcBorders>
            <w:shd w:val="clear" w:color="auto" w:fill="FFFFFF"/>
            <w:vAlign w:val="center"/>
          </w:tcPr>
          <w:p w14:paraId="3080905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衡量乙方人员是否提供持续服务</w:t>
            </w:r>
          </w:p>
        </w:tc>
        <w:tc>
          <w:tcPr>
            <w:tcW w:w="1701" w:type="dxa"/>
            <w:tcBorders>
              <w:left w:val="single" w:color="auto" w:sz="4" w:space="0"/>
            </w:tcBorders>
            <w:shd w:val="clear" w:color="auto" w:fill="FFFFFF"/>
            <w:vAlign w:val="center"/>
          </w:tcPr>
          <w:p w14:paraId="15EF299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未经甲方同意，乙方人员辞职和离职或无计划的调离项目组</w:t>
            </w:r>
          </w:p>
        </w:tc>
        <w:tc>
          <w:tcPr>
            <w:tcW w:w="1559" w:type="dxa"/>
            <w:tcBorders>
              <w:left w:val="single" w:color="auto" w:sz="4" w:space="0"/>
            </w:tcBorders>
            <w:shd w:val="clear" w:color="auto" w:fill="FFFFFF"/>
            <w:vAlign w:val="center"/>
          </w:tcPr>
          <w:p w14:paraId="77F6D79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甲方根据乙方人员退出的具体时间和原因测算</w:t>
            </w:r>
          </w:p>
        </w:tc>
        <w:tc>
          <w:tcPr>
            <w:tcW w:w="1843" w:type="dxa"/>
            <w:tcBorders>
              <w:left w:val="single" w:color="auto" w:sz="4" w:space="0"/>
            </w:tcBorders>
            <w:shd w:val="clear" w:color="auto" w:fill="FFFFFF"/>
            <w:vAlign w:val="center"/>
          </w:tcPr>
          <w:p w14:paraId="09EAFDB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人员异常退出次数=0</w:t>
            </w:r>
          </w:p>
        </w:tc>
        <w:tc>
          <w:tcPr>
            <w:tcW w:w="1701" w:type="dxa"/>
            <w:tcBorders>
              <w:left w:val="single" w:color="auto" w:sz="4" w:space="0"/>
            </w:tcBorders>
            <w:shd w:val="clear" w:color="auto" w:fill="FFFFFF"/>
            <w:vAlign w:val="center"/>
          </w:tcPr>
          <w:p w14:paraId="7D3DE44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每次人员异常退出扣除乙方金额人民币1000元</w:t>
            </w:r>
          </w:p>
        </w:tc>
      </w:tr>
      <w:tr w14:paraId="11FE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4" w:hRule="atLeast"/>
        </w:trPr>
        <w:tc>
          <w:tcPr>
            <w:tcW w:w="576" w:type="dxa"/>
            <w:shd w:val="clear" w:color="auto" w:fill="FFFFFF"/>
            <w:vAlign w:val="center"/>
          </w:tcPr>
          <w:p w14:paraId="25227363">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9</w:t>
            </w:r>
          </w:p>
        </w:tc>
        <w:tc>
          <w:tcPr>
            <w:tcW w:w="710" w:type="dxa"/>
            <w:tcBorders>
              <w:left w:val="single" w:color="auto" w:sz="4" w:space="0"/>
            </w:tcBorders>
            <w:shd w:val="clear" w:color="auto" w:fill="FFFFFF"/>
            <w:vAlign w:val="center"/>
          </w:tcPr>
          <w:p w14:paraId="39B067D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人员纪律性</w:t>
            </w:r>
          </w:p>
        </w:tc>
        <w:tc>
          <w:tcPr>
            <w:tcW w:w="1134" w:type="dxa"/>
            <w:tcBorders>
              <w:left w:val="single" w:color="auto" w:sz="4" w:space="0"/>
            </w:tcBorders>
            <w:shd w:val="clear" w:color="auto" w:fill="FFFFFF"/>
            <w:vAlign w:val="center"/>
          </w:tcPr>
          <w:p w14:paraId="2AA82F3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衡量乙方人员是否遵守甲方的日常规章和操作规范</w:t>
            </w:r>
          </w:p>
        </w:tc>
        <w:tc>
          <w:tcPr>
            <w:tcW w:w="1701" w:type="dxa"/>
            <w:tcBorders>
              <w:left w:val="single" w:color="auto" w:sz="4" w:space="0"/>
            </w:tcBorders>
            <w:shd w:val="clear" w:color="auto" w:fill="FFFFFF"/>
            <w:vAlign w:val="center"/>
          </w:tcPr>
          <w:p w14:paraId="4F5DE055">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乙方人员不得违反甲方的各项规章制度和操作规范</w:t>
            </w:r>
          </w:p>
        </w:tc>
        <w:tc>
          <w:tcPr>
            <w:tcW w:w="1559" w:type="dxa"/>
            <w:tcBorders>
              <w:left w:val="single" w:color="auto" w:sz="4" w:space="0"/>
            </w:tcBorders>
            <w:shd w:val="clear" w:color="auto" w:fill="FFFFFF"/>
            <w:vAlign w:val="center"/>
          </w:tcPr>
          <w:p w14:paraId="16503D8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甲方根据自身检查及其他管理部门的检查结果为依据统计乙方人员违规次数。</w:t>
            </w:r>
          </w:p>
        </w:tc>
        <w:tc>
          <w:tcPr>
            <w:tcW w:w="1843" w:type="dxa"/>
            <w:tcBorders>
              <w:left w:val="single" w:color="auto" w:sz="4" w:space="0"/>
            </w:tcBorders>
            <w:shd w:val="clear" w:color="auto" w:fill="FFFFFF"/>
            <w:vAlign w:val="center"/>
          </w:tcPr>
          <w:p w14:paraId="437B78F3">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人员违规次数=0次</w:t>
            </w:r>
          </w:p>
        </w:tc>
        <w:tc>
          <w:tcPr>
            <w:tcW w:w="1701" w:type="dxa"/>
            <w:tcBorders>
              <w:left w:val="single" w:color="auto" w:sz="4" w:space="0"/>
            </w:tcBorders>
            <w:shd w:val="clear" w:color="auto" w:fill="FFFFFF"/>
            <w:vAlign w:val="center"/>
          </w:tcPr>
          <w:p w14:paraId="12DAE91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乙方人员违反甲方规章制度或操作规范，每次扣除乙方金额人民币500元</w:t>
            </w:r>
          </w:p>
        </w:tc>
      </w:tr>
      <w:tr w14:paraId="63AA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76" w:type="dxa"/>
            <w:shd w:val="clear" w:color="auto" w:fill="FFFFFF"/>
            <w:vAlign w:val="center"/>
          </w:tcPr>
          <w:p w14:paraId="583F7161">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10</w:t>
            </w:r>
          </w:p>
        </w:tc>
        <w:tc>
          <w:tcPr>
            <w:tcW w:w="710" w:type="dxa"/>
            <w:tcBorders>
              <w:left w:val="single" w:color="auto" w:sz="4" w:space="0"/>
            </w:tcBorders>
            <w:shd w:val="clear" w:color="auto" w:fill="FFFFFF"/>
            <w:vAlign w:val="center"/>
          </w:tcPr>
          <w:p w14:paraId="2050F7F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安全管理</w:t>
            </w:r>
          </w:p>
        </w:tc>
        <w:tc>
          <w:tcPr>
            <w:tcW w:w="1134" w:type="dxa"/>
            <w:tcBorders>
              <w:left w:val="single" w:color="auto" w:sz="4" w:space="0"/>
            </w:tcBorders>
            <w:shd w:val="clear" w:color="auto" w:fill="FFFFFF"/>
            <w:vAlign w:val="center"/>
          </w:tcPr>
          <w:p w14:paraId="539E1A2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衡量乙方网络和信息安全服务的管理能力</w:t>
            </w:r>
          </w:p>
        </w:tc>
        <w:tc>
          <w:tcPr>
            <w:tcW w:w="1701" w:type="dxa"/>
            <w:tcBorders>
              <w:left w:val="single" w:color="auto" w:sz="4" w:space="0"/>
            </w:tcBorders>
            <w:shd w:val="clear" w:color="auto" w:fill="FFFFFF"/>
            <w:vAlign w:val="center"/>
          </w:tcPr>
          <w:p w14:paraId="4F1CA7A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针对发现的安全漏洞及安全缺陷（包括源代码、第三方SDK或第三方小程序、第三方软件产品及开源组件等），须按甲方要求完成整改。</w:t>
            </w:r>
          </w:p>
        </w:tc>
        <w:tc>
          <w:tcPr>
            <w:tcW w:w="1559" w:type="dxa"/>
            <w:tcBorders>
              <w:left w:val="single" w:color="auto" w:sz="4" w:space="0"/>
            </w:tcBorders>
            <w:shd w:val="clear" w:color="auto" w:fill="FFFFFF"/>
            <w:vAlign w:val="center"/>
          </w:tcPr>
          <w:p w14:paraId="6E12A1F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甲方根据整改情况统计整改及时性及整改通过率。</w:t>
            </w:r>
          </w:p>
        </w:tc>
        <w:tc>
          <w:tcPr>
            <w:tcW w:w="1843" w:type="dxa"/>
            <w:tcBorders>
              <w:left w:val="single" w:color="auto" w:sz="4" w:space="0"/>
            </w:tcBorders>
            <w:shd w:val="clear" w:color="auto" w:fill="FFFFFF"/>
            <w:vAlign w:val="center"/>
          </w:tcPr>
          <w:p w14:paraId="11F6FD2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互联网或电子银行类系统：</w:t>
            </w:r>
          </w:p>
          <w:p w14:paraId="6FAE366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1.安全漏洞及安全缺陷整改及时率=100%</w:t>
            </w:r>
          </w:p>
          <w:p w14:paraId="0490806A">
            <w:pPr>
              <w:keepNext w:val="0"/>
              <w:keepLines w:val="0"/>
              <w:suppressLineNumbers w:val="0"/>
              <w:spacing w:before="0" w:beforeAutospacing="0" w:after="0" w:afterAutospacing="0"/>
              <w:ind w:left="0" w:right="0" w:firstLine="0"/>
              <w:rPr>
                <w:rFonts w:hint="default" w:ascii="宋体" w:eastAsia="宋体"/>
                <w:spacing w:val="0"/>
                <w:sz w:val="21"/>
                <w:szCs w:val="24"/>
                <w:highlight w:val="none"/>
              </w:rPr>
            </w:pPr>
            <w:r>
              <w:rPr>
                <w:rFonts w:hint="eastAsia" w:ascii="宋体" w:eastAsia="宋体"/>
                <w:spacing w:val="0"/>
                <w:sz w:val="21"/>
                <w:szCs w:val="24"/>
                <w:highlight w:val="none"/>
              </w:rPr>
              <w:t>2.安全漏洞及安全缺陷整改通过率=100%</w:t>
            </w:r>
          </w:p>
          <w:p w14:paraId="468D5E7A">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非互联网或电子银行类系统：</w:t>
            </w:r>
          </w:p>
          <w:p w14:paraId="13721D17">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1.中高危安全漏洞及安全缺陷整改及时率=100%</w:t>
            </w:r>
          </w:p>
          <w:p w14:paraId="441B49A3">
            <w:pPr>
              <w:keepNext w:val="0"/>
              <w:keepLines w:val="0"/>
              <w:suppressLineNumbers w:val="0"/>
              <w:spacing w:before="0" w:beforeAutospacing="0" w:after="0" w:afterAutospacing="0"/>
              <w:ind w:left="0" w:right="0" w:firstLine="0"/>
              <w:rPr>
                <w:rFonts w:hint="default" w:ascii="宋体" w:eastAsia="宋体"/>
                <w:spacing w:val="0"/>
                <w:sz w:val="21"/>
                <w:szCs w:val="24"/>
                <w:highlight w:val="none"/>
              </w:rPr>
            </w:pPr>
            <w:r>
              <w:rPr>
                <w:rFonts w:hint="eastAsia" w:ascii="宋体" w:eastAsia="宋体"/>
                <w:spacing w:val="0"/>
                <w:sz w:val="21"/>
                <w:szCs w:val="24"/>
                <w:highlight w:val="none"/>
              </w:rPr>
              <w:t>2.中高危安全漏洞及安全缺陷整改通过率=100%</w:t>
            </w:r>
          </w:p>
        </w:tc>
        <w:tc>
          <w:tcPr>
            <w:tcW w:w="1701" w:type="dxa"/>
            <w:tcBorders>
              <w:left w:val="single" w:color="auto" w:sz="4" w:space="0"/>
            </w:tcBorders>
            <w:shd w:val="clear" w:color="auto" w:fill="FFFFFF"/>
            <w:vAlign w:val="center"/>
          </w:tcPr>
          <w:p w14:paraId="7475AB1A">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不满足该项任一标准扣除2万元违约金并要求乙方赔偿损失</w:t>
            </w:r>
          </w:p>
        </w:tc>
      </w:tr>
      <w:tr w14:paraId="78BC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4" w:hRule="atLeast"/>
        </w:trPr>
        <w:tc>
          <w:tcPr>
            <w:tcW w:w="576" w:type="dxa"/>
            <w:shd w:val="clear" w:color="auto" w:fill="FFFFFF"/>
            <w:vAlign w:val="center"/>
          </w:tcPr>
          <w:p w14:paraId="70C4A5B4">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1</w:t>
            </w:r>
            <w:r>
              <w:rPr>
                <w:rFonts w:hint="default" w:ascii="宋体" w:eastAsia="宋体"/>
                <w:spacing w:val="0"/>
                <w:szCs w:val="24"/>
                <w:highlight w:val="none"/>
              </w:rPr>
              <w:t>1</w:t>
            </w:r>
          </w:p>
        </w:tc>
        <w:tc>
          <w:tcPr>
            <w:tcW w:w="710" w:type="dxa"/>
            <w:tcBorders>
              <w:left w:val="single" w:color="auto" w:sz="4" w:space="0"/>
            </w:tcBorders>
            <w:shd w:val="clear" w:color="auto" w:fill="FFFFFF"/>
            <w:vAlign w:val="center"/>
          </w:tcPr>
          <w:p w14:paraId="52428095">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网络安全事件</w:t>
            </w:r>
          </w:p>
        </w:tc>
        <w:tc>
          <w:tcPr>
            <w:tcW w:w="1134" w:type="dxa"/>
            <w:tcBorders>
              <w:left w:val="single" w:color="auto" w:sz="4" w:space="0"/>
            </w:tcBorders>
            <w:shd w:val="clear" w:color="auto" w:fill="FFFFFF"/>
            <w:vAlign w:val="center"/>
          </w:tcPr>
          <w:p w14:paraId="6D14FCB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控制网络安全风险</w:t>
            </w:r>
          </w:p>
        </w:tc>
        <w:tc>
          <w:tcPr>
            <w:tcW w:w="1701" w:type="dxa"/>
            <w:tcBorders>
              <w:left w:val="single" w:color="auto" w:sz="4" w:space="0"/>
            </w:tcBorders>
            <w:shd w:val="clear" w:color="auto" w:fill="FFFFFF"/>
            <w:vAlign w:val="center"/>
          </w:tcPr>
          <w:p w14:paraId="5869297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不得因乙方原因（含乙方合作的第三方）导致甲方发生网络安全事件</w:t>
            </w:r>
          </w:p>
        </w:tc>
        <w:tc>
          <w:tcPr>
            <w:tcW w:w="1559" w:type="dxa"/>
            <w:tcBorders>
              <w:left w:val="single" w:color="auto" w:sz="4" w:space="0"/>
            </w:tcBorders>
            <w:shd w:val="clear" w:color="auto" w:fill="FFFFFF"/>
            <w:vAlign w:val="center"/>
          </w:tcPr>
          <w:p w14:paraId="0D83D24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甲方根据监管及本行要求及事件危害程度判定。</w:t>
            </w:r>
          </w:p>
        </w:tc>
        <w:tc>
          <w:tcPr>
            <w:tcW w:w="1843" w:type="dxa"/>
            <w:tcBorders>
              <w:left w:val="single" w:color="auto" w:sz="4" w:space="0"/>
            </w:tcBorders>
            <w:shd w:val="clear" w:color="auto" w:fill="FFFFFF"/>
            <w:vAlign w:val="center"/>
          </w:tcPr>
          <w:p w14:paraId="55DD2718">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网络安全事件=0</w:t>
            </w:r>
          </w:p>
        </w:tc>
        <w:tc>
          <w:tcPr>
            <w:tcW w:w="1701" w:type="dxa"/>
            <w:tcBorders>
              <w:left w:val="single" w:color="auto" w:sz="4" w:space="0"/>
            </w:tcBorders>
            <w:shd w:val="clear" w:color="auto" w:fill="FFFFFF"/>
            <w:vAlign w:val="center"/>
          </w:tcPr>
          <w:p w14:paraId="76A87A3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每发生一次网络安全事件扣除乙方合同金额不低于3%,并要求乙方赔偿实际损失。</w:t>
            </w:r>
          </w:p>
        </w:tc>
      </w:tr>
      <w:tr w14:paraId="5D33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50" w:hRule="atLeast"/>
        </w:trPr>
        <w:tc>
          <w:tcPr>
            <w:tcW w:w="576" w:type="dxa"/>
            <w:shd w:val="clear" w:color="auto" w:fill="FFFFFF"/>
            <w:vAlign w:val="center"/>
          </w:tcPr>
          <w:p w14:paraId="61D6D1D1">
            <w:pPr>
              <w:keepNext w:val="0"/>
              <w:keepLines w:val="0"/>
              <w:widowControl/>
              <w:suppressLineNumbers w:val="0"/>
              <w:spacing w:before="0" w:beforeAutospacing="0" w:after="0" w:afterAutospacing="0"/>
              <w:ind w:left="0" w:right="0"/>
              <w:jc w:val="center"/>
              <w:rPr>
                <w:rFonts w:hint="default" w:ascii="宋体" w:eastAsia="宋体"/>
                <w:spacing w:val="0"/>
                <w:szCs w:val="24"/>
                <w:highlight w:val="none"/>
              </w:rPr>
            </w:pPr>
            <w:r>
              <w:rPr>
                <w:rFonts w:hint="default" w:ascii="宋体" w:eastAsia="宋体"/>
                <w:spacing w:val="0"/>
                <w:szCs w:val="24"/>
                <w:highlight w:val="none"/>
              </w:rPr>
              <w:t>1</w:t>
            </w:r>
            <w:r>
              <w:rPr>
                <w:rFonts w:hint="eastAsia" w:ascii="宋体" w:eastAsia="宋体"/>
                <w:spacing w:val="0"/>
                <w:szCs w:val="24"/>
                <w:highlight w:val="none"/>
              </w:rPr>
              <w:t>2</w:t>
            </w:r>
          </w:p>
        </w:tc>
        <w:tc>
          <w:tcPr>
            <w:tcW w:w="710" w:type="dxa"/>
            <w:tcBorders>
              <w:left w:val="single" w:color="auto" w:sz="4" w:space="0"/>
            </w:tcBorders>
            <w:shd w:val="clear" w:color="auto" w:fill="FFFFFF"/>
            <w:vAlign w:val="center"/>
          </w:tcPr>
          <w:p w14:paraId="764E3E9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外包安全事件</w:t>
            </w:r>
          </w:p>
        </w:tc>
        <w:tc>
          <w:tcPr>
            <w:tcW w:w="1134" w:type="dxa"/>
            <w:tcBorders>
              <w:left w:val="single" w:color="auto" w:sz="4" w:space="0"/>
            </w:tcBorders>
            <w:shd w:val="clear" w:color="auto" w:fill="FFFFFF"/>
            <w:vAlign w:val="center"/>
          </w:tcPr>
          <w:p w14:paraId="4C37150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default" w:ascii="宋体" w:eastAsia="宋体"/>
                <w:spacing w:val="0"/>
                <w:sz w:val="21"/>
                <w:szCs w:val="24"/>
                <w:highlight w:val="none"/>
              </w:rPr>
              <w:t>控制外包操作风险</w:t>
            </w:r>
          </w:p>
        </w:tc>
        <w:tc>
          <w:tcPr>
            <w:tcW w:w="1701" w:type="dxa"/>
            <w:tcBorders>
              <w:left w:val="single" w:color="auto" w:sz="4" w:space="0"/>
            </w:tcBorders>
            <w:shd w:val="clear" w:color="auto" w:fill="FFFFFF"/>
            <w:vAlign w:val="center"/>
          </w:tcPr>
          <w:p w14:paraId="41A5AEB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default" w:ascii="宋体" w:eastAsia="宋体"/>
                <w:spacing w:val="0"/>
                <w:sz w:val="21"/>
                <w:szCs w:val="24"/>
                <w:highlight w:val="none"/>
              </w:rPr>
              <w:t>乙方不得出现危害甲方生产运行安全、数据安全等并造成后果的外包安全事件。</w:t>
            </w:r>
          </w:p>
        </w:tc>
        <w:tc>
          <w:tcPr>
            <w:tcW w:w="1559" w:type="dxa"/>
            <w:tcBorders>
              <w:left w:val="single" w:color="auto" w:sz="4" w:space="0"/>
            </w:tcBorders>
            <w:shd w:val="clear" w:color="auto" w:fill="FFFFFF"/>
            <w:vAlign w:val="center"/>
          </w:tcPr>
          <w:p w14:paraId="2DE9C375">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default" w:ascii="宋体" w:eastAsia="宋体"/>
                <w:spacing w:val="0"/>
                <w:sz w:val="21"/>
                <w:szCs w:val="24"/>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left w:val="single" w:color="auto" w:sz="4" w:space="0"/>
            </w:tcBorders>
            <w:shd w:val="clear" w:color="auto" w:fill="FFFFFF"/>
            <w:vAlign w:val="center"/>
          </w:tcPr>
          <w:p w14:paraId="4AEDBC5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外包安全事件=0</w:t>
            </w:r>
          </w:p>
        </w:tc>
        <w:tc>
          <w:tcPr>
            <w:tcW w:w="1701" w:type="dxa"/>
            <w:tcBorders>
              <w:left w:val="single" w:color="auto" w:sz="4" w:space="0"/>
            </w:tcBorders>
            <w:shd w:val="clear" w:color="auto" w:fill="FFFFFF"/>
            <w:vAlign w:val="center"/>
          </w:tcPr>
          <w:p w14:paraId="550812B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每次</w:t>
            </w:r>
            <w:r>
              <w:rPr>
                <w:rFonts w:hint="default" w:ascii="宋体" w:eastAsia="宋体"/>
                <w:spacing w:val="0"/>
                <w:sz w:val="21"/>
                <w:szCs w:val="24"/>
                <w:highlight w:val="none"/>
              </w:rPr>
              <w:t>事件扣罚乙方金额不低于人民币1000元，并要求乙方赔偿实际损失。</w:t>
            </w:r>
          </w:p>
        </w:tc>
      </w:tr>
      <w:tr w14:paraId="5EFC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2" w:hRule="atLeast"/>
        </w:trPr>
        <w:tc>
          <w:tcPr>
            <w:tcW w:w="576" w:type="dxa"/>
            <w:shd w:val="clear" w:color="auto" w:fill="FFFFFF"/>
            <w:vAlign w:val="center"/>
          </w:tcPr>
          <w:p w14:paraId="7826E617">
            <w:pPr>
              <w:keepNext w:val="0"/>
              <w:keepLines w:val="0"/>
              <w:widowControl/>
              <w:suppressLineNumbers w:val="0"/>
              <w:spacing w:before="0" w:beforeAutospacing="0" w:after="0" w:afterAutospacing="0"/>
              <w:ind w:left="0" w:right="0"/>
              <w:jc w:val="center"/>
              <w:rPr>
                <w:rFonts w:hint="default" w:ascii="宋体" w:eastAsia="宋体"/>
                <w:spacing w:val="0"/>
                <w:szCs w:val="24"/>
                <w:highlight w:val="none"/>
              </w:rPr>
            </w:pPr>
            <w:r>
              <w:rPr>
                <w:rFonts w:hint="eastAsia" w:ascii="宋体" w:eastAsia="宋体"/>
                <w:spacing w:val="0"/>
                <w:szCs w:val="24"/>
                <w:highlight w:val="none"/>
              </w:rPr>
              <w:t>13</w:t>
            </w:r>
          </w:p>
        </w:tc>
        <w:tc>
          <w:tcPr>
            <w:tcW w:w="710" w:type="dxa"/>
            <w:tcBorders>
              <w:left w:val="single" w:color="auto" w:sz="4" w:space="0"/>
            </w:tcBorders>
            <w:shd w:val="clear" w:color="auto" w:fill="FFFFFF"/>
            <w:vAlign w:val="center"/>
          </w:tcPr>
          <w:p w14:paraId="3ED35B65">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交付文档数量及质量</w:t>
            </w:r>
          </w:p>
        </w:tc>
        <w:tc>
          <w:tcPr>
            <w:tcW w:w="1134" w:type="dxa"/>
            <w:tcBorders>
              <w:left w:val="single" w:color="auto" w:sz="4" w:space="0"/>
            </w:tcBorders>
            <w:shd w:val="clear" w:color="auto" w:fill="FFFFFF"/>
            <w:vAlign w:val="center"/>
          </w:tcPr>
          <w:p w14:paraId="66911A5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衡量甲方内部人员对乙方所提供文档的满意情况</w:t>
            </w:r>
          </w:p>
        </w:tc>
        <w:tc>
          <w:tcPr>
            <w:tcW w:w="1701" w:type="dxa"/>
            <w:tcBorders>
              <w:left w:val="single" w:color="auto" w:sz="4" w:space="0"/>
            </w:tcBorders>
            <w:shd w:val="clear" w:color="auto" w:fill="FFFFFF"/>
            <w:vAlign w:val="center"/>
          </w:tcPr>
          <w:p w14:paraId="2F01DE9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交付文档数量及质量满足甲方要求</w:t>
            </w:r>
          </w:p>
        </w:tc>
        <w:tc>
          <w:tcPr>
            <w:tcW w:w="1559" w:type="dxa"/>
            <w:tcBorders>
              <w:left w:val="single" w:color="auto" w:sz="4" w:space="0"/>
            </w:tcBorders>
            <w:shd w:val="clear" w:color="auto" w:fill="FFFFFF"/>
            <w:vAlign w:val="center"/>
          </w:tcPr>
          <w:p w14:paraId="6A61A25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甲方根据乙方实际交付的文档数量及文档质量计算</w:t>
            </w:r>
          </w:p>
        </w:tc>
        <w:tc>
          <w:tcPr>
            <w:tcW w:w="1843" w:type="dxa"/>
            <w:tcBorders>
              <w:left w:val="single" w:color="auto" w:sz="4" w:space="0"/>
            </w:tcBorders>
            <w:shd w:val="clear" w:color="auto" w:fill="FFFFFF"/>
            <w:vAlign w:val="center"/>
          </w:tcPr>
          <w:p w14:paraId="6EF10F19">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文档实际交付数量不少于甲方要求数量（文档实际交付数量是指文档交付甲方后甲方确认文档质量并实际接收的文档数量）</w:t>
            </w:r>
          </w:p>
        </w:tc>
        <w:tc>
          <w:tcPr>
            <w:tcW w:w="1701" w:type="dxa"/>
            <w:tcBorders>
              <w:left w:val="single" w:color="auto" w:sz="4" w:space="0"/>
            </w:tcBorders>
            <w:shd w:val="clear" w:color="auto" w:fill="FFFFFF"/>
            <w:vAlign w:val="center"/>
          </w:tcPr>
          <w:p w14:paraId="782D6CC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文档每缺少一个扣除合同金额2000元；每有一个文档质量不合格扣除合同金额2000元</w:t>
            </w:r>
          </w:p>
        </w:tc>
      </w:tr>
      <w:tr w14:paraId="0286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83" w:hRule="atLeast"/>
        </w:trPr>
        <w:tc>
          <w:tcPr>
            <w:tcW w:w="576" w:type="dxa"/>
            <w:shd w:val="clear" w:color="auto" w:fill="FFFFFF"/>
            <w:vAlign w:val="center"/>
          </w:tcPr>
          <w:p w14:paraId="701274B3">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14</w:t>
            </w:r>
          </w:p>
        </w:tc>
        <w:tc>
          <w:tcPr>
            <w:tcW w:w="710" w:type="dxa"/>
            <w:tcBorders>
              <w:left w:val="single" w:color="auto" w:sz="4" w:space="0"/>
            </w:tcBorders>
            <w:shd w:val="clear" w:color="auto" w:fill="FFFFFF"/>
            <w:vAlign w:val="center"/>
          </w:tcPr>
          <w:p w14:paraId="1415C74B">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服务满意度</w:t>
            </w:r>
          </w:p>
        </w:tc>
        <w:tc>
          <w:tcPr>
            <w:tcW w:w="1134" w:type="dxa"/>
            <w:tcBorders>
              <w:left w:val="single" w:color="auto" w:sz="4" w:space="0"/>
            </w:tcBorders>
            <w:shd w:val="clear" w:color="auto" w:fill="FFFFFF"/>
            <w:vAlign w:val="center"/>
          </w:tcPr>
          <w:p w14:paraId="320211A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衡量甲方内部人员对乙方所提供服务的满意情况</w:t>
            </w:r>
          </w:p>
        </w:tc>
        <w:tc>
          <w:tcPr>
            <w:tcW w:w="1701" w:type="dxa"/>
            <w:tcBorders>
              <w:left w:val="single" w:color="auto" w:sz="4" w:space="0"/>
            </w:tcBorders>
            <w:shd w:val="clear" w:color="auto" w:fill="FFFFFF"/>
            <w:vAlign w:val="center"/>
          </w:tcPr>
          <w:p w14:paraId="590DCE18">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服务满意度指标</w:t>
            </w:r>
          </w:p>
        </w:tc>
        <w:tc>
          <w:tcPr>
            <w:tcW w:w="1559" w:type="dxa"/>
            <w:tcBorders>
              <w:left w:val="single" w:color="auto" w:sz="4" w:space="0"/>
            </w:tcBorders>
            <w:shd w:val="clear" w:color="auto" w:fill="FFFFFF"/>
            <w:vAlign w:val="center"/>
          </w:tcPr>
          <w:p w14:paraId="6A64263F">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服务满意度评级判定</w:t>
            </w:r>
          </w:p>
        </w:tc>
        <w:tc>
          <w:tcPr>
            <w:tcW w:w="1843" w:type="dxa"/>
            <w:tcBorders>
              <w:left w:val="single" w:color="auto" w:sz="4" w:space="0"/>
            </w:tcBorders>
            <w:shd w:val="clear" w:color="auto" w:fill="FFFFFF"/>
            <w:vAlign w:val="center"/>
          </w:tcPr>
          <w:p w14:paraId="11B86FAE">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客户满意度级别为：1级（非常不满意）；2级（不满意）；3级（一般满意）；4级（满意）；5级（非常满意）（服务满意不低于3级）</w:t>
            </w:r>
          </w:p>
        </w:tc>
        <w:tc>
          <w:tcPr>
            <w:tcW w:w="1701" w:type="dxa"/>
            <w:tcBorders>
              <w:left w:val="single" w:color="auto" w:sz="4" w:space="0"/>
            </w:tcBorders>
            <w:shd w:val="clear" w:color="auto" w:fill="FFFFFF"/>
            <w:vAlign w:val="center"/>
          </w:tcPr>
          <w:p w14:paraId="37AD7DA6">
            <w:pPr>
              <w:keepNext w:val="0"/>
              <w:keepLines w:val="0"/>
              <w:widowControl/>
              <w:suppressLineNumbers w:val="0"/>
              <w:spacing w:before="0" w:beforeAutospacing="0" w:after="0" w:afterAutospacing="0"/>
              <w:ind w:left="0" w:right="0"/>
              <w:jc w:val="left"/>
              <w:rPr>
                <w:rFonts w:hint="default" w:ascii="宋体" w:eastAsia="宋体"/>
                <w:spacing w:val="0"/>
                <w:sz w:val="21"/>
                <w:szCs w:val="24"/>
                <w:highlight w:val="none"/>
              </w:rPr>
            </w:pPr>
            <w:r>
              <w:rPr>
                <w:rFonts w:hint="eastAsia" w:ascii="宋体" w:eastAsia="宋体"/>
                <w:spacing w:val="0"/>
                <w:sz w:val="21"/>
                <w:szCs w:val="24"/>
                <w:highlight w:val="none"/>
              </w:rPr>
              <w:t>　</w:t>
            </w:r>
          </w:p>
        </w:tc>
      </w:tr>
      <w:tr w14:paraId="6E94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37" w:hRule="atLeast"/>
        </w:trPr>
        <w:tc>
          <w:tcPr>
            <w:tcW w:w="576" w:type="dxa"/>
            <w:shd w:val="clear" w:color="auto" w:fill="FFFFFF"/>
            <w:noWrap/>
            <w:vAlign w:val="center"/>
          </w:tcPr>
          <w:p w14:paraId="7F595300">
            <w:pPr>
              <w:keepNext w:val="0"/>
              <w:keepLines w:val="0"/>
              <w:widowControl/>
              <w:suppressLineNumbers w:val="0"/>
              <w:spacing w:before="0" w:beforeAutospacing="0" w:after="0" w:afterAutospacing="0"/>
              <w:ind w:left="0" w:right="0" w:firstLine="0"/>
              <w:rPr>
                <w:rFonts w:hint="default" w:ascii="宋体" w:eastAsia="宋体"/>
                <w:spacing w:val="0"/>
                <w:szCs w:val="24"/>
                <w:highlight w:val="none"/>
              </w:rPr>
            </w:pPr>
            <w:r>
              <w:rPr>
                <w:rFonts w:hint="eastAsia" w:ascii="宋体" w:eastAsia="宋体"/>
                <w:spacing w:val="0"/>
                <w:szCs w:val="24"/>
                <w:highlight w:val="none"/>
              </w:rPr>
              <w:t>合计</w:t>
            </w:r>
          </w:p>
        </w:tc>
        <w:tc>
          <w:tcPr>
            <w:tcW w:w="710" w:type="dxa"/>
            <w:tcBorders>
              <w:left w:val="single" w:color="auto" w:sz="4" w:space="0"/>
            </w:tcBorders>
            <w:shd w:val="clear" w:color="auto" w:fill="FFFFFF"/>
            <w:noWrap/>
            <w:vAlign w:val="center"/>
          </w:tcPr>
          <w:p w14:paraId="11CD9BB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bookmarkStart w:id="397" w:name="突出显示"/>
            <w:r>
              <w:rPr>
                <w:rFonts w:hint="eastAsia" w:ascii="宋体" w:eastAsia="宋体"/>
                <w:spacing w:val="0"/>
                <w:sz w:val="21"/>
                <w:szCs w:val="24"/>
                <w:highlight w:val="none"/>
              </w:rPr>
              <w:t>SLA</w:t>
            </w:r>
            <w:bookmarkEnd w:id="397"/>
            <w:r>
              <w:rPr>
                <w:rFonts w:hint="eastAsia" w:ascii="宋体" w:eastAsia="宋体"/>
                <w:spacing w:val="0"/>
                <w:sz w:val="21"/>
                <w:szCs w:val="24"/>
                <w:highlight w:val="none"/>
              </w:rPr>
              <w:t>满足率</w:t>
            </w:r>
          </w:p>
        </w:tc>
        <w:tc>
          <w:tcPr>
            <w:tcW w:w="1134" w:type="dxa"/>
            <w:tcBorders>
              <w:left w:val="single" w:color="auto" w:sz="4" w:space="0"/>
            </w:tcBorders>
            <w:shd w:val="clear" w:color="auto" w:fill="FFFFFF"/>
            <w:noWrap/>
            <w:vAlign w:val="center"/>
          </w:tcPr>
          <w:p w14:paraId="110CA62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此数据是衡量满足要求的</w:t>
            </w:r>
            <w:bookmarkStart w:id="398" w:name="突出显示"/>
            <w:r>
              <w:rPr>
                <w:rFonts w:hint="eastAsia" w:ascii="宋体" w:eastAsia="宋体"/>
                <w:spacing w:val="0"/>
                <w:sz w:val="21"/>
                <w:szCs w:val="24"/>
                <w:highlight w:val="none"/>
              </w:rPr>
              <w:t>SLA</w:t>
            </w:r>
            <w:bookmarkEnd w:id="398"/>
            <w:r>
              <w:rPr>
                <w:rFonts w:hint="eastAsia" w:ascii="宋体" w:eastAsia="宋体"/>
                <w:spacing w:val="0"/>
                <w:sz w:val="21"/>
                <w:szCs w:val="24"/>
                <w:highlight w:val="none"/>
              </w:rPr>
              <w:t>个数与整体</w:t>
            </w:r>
            <w:bookmarkStart w:id="399" w:name="突出显示"/>
            <w:r>
              <w:rPr>
                <w:rFonts w:hint="eastAsia" w:ascii="宋体" w:eastAsia="宋体"/>
                <w:spacing w:val="0"/>
                <w:sz w:val="21"/>
                <w:szCs w:val="24"/>
                <w:highlight w:val="none"/>
              </w:rPr>
              <w:t>SLA</w:t>
            </w:r>
            <w:bookmarkEnd w:id="399"/>
            <w:r>
              <w:rPr>
                <w:rFonts w:hint="eastAsia" w:ascii="宋体" w:eastAsia="宋体"/>
                <w:spacing w:val="0"/>
                <w:sz w:val="21"/>
                <w:szCs w:val="24"/>
                <w:highlight w:val="none"/>
              </w:rPr>
              <w:t>个数的百分之整体的比率</w:t>
            </w:r>
          </w:p>
        </w:tc>
        <w:tc>
          <w:tcPr>
            <w:tcW w:w="1701" w:type="dxa"/>
            <w:tcBorders>
              <w:left w:val="single" w:color="auto" w:sz="4" w:space="0"/>
            </w:tcBorders>
            <w:shd w:val="clear" w:color="auto" w:fill="FFFFFF"/>
            <w:noWrap/>
            <w:vAlign w:val="center"/>
          </w:tcPr>
          <w:p w14:paraId="6FB9930D">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衡量乙方达到要求的</w:t>
            </w:r>
            <w:bookmarkStart w:id="400" w:name="突出显示"/>
            <w:r>
              <w:rPr>
                <w:rFonts w:hint="eastAsia" w:ascii="宋体" w:eastAsia="宋体"/>
                <w:spacing w:val="0"/>
                <w:sz w:val="21"/>
                <w:szCs w:val="24"/>
                <w:highlight w:val="none"/>
              </w:rPr>
              <w:t>SLA</w:t>
            </w:r>
            <w:bookmarkEnd w:id="400"/>
            <w:r>
              <w:rPr>
                <w:rFonts w:hint="eastAsia" w:ascii="宋体" w:eastAsia="宋体"/>
                <w:spacing w:val="0"/>
                <w:sz w:val="21"/>
                <w:szCs w:val="24"/>
                <w:highlight w:val="none"/>
              </w:rPr>
              <w:t>占全部</w:t>
            </w:r>
            <w:bookmarkStart w:id="401" w:name="突出显示"/>
            <w:r>
              <w:rPr>
                <w:rFonts w:hint="eastAsia" w:ascii="宋体" w:eastAsia="宋体"/>
                <w:spacing w:val="0"/>
                <w:sz w:val="21"/>
                <w:szCs w:val="24"/>
                <w:highlight w:val="none"/>
              </w:rPr>
              <w:t>SLA</w:t>
            </w:r>
            <w:bookmarkEnd w:id="401"/>
            <w:r>
              <w:rPr>
                <w:rFonts w:hint="eastAsia" w:ascii="宋体" w:eastAsia="宋体"/>
                <w:spacing w:val="0"/>
                <w:sz w:val="21"/>
                <w:szCs w:val="24"/>
                <w:highlight w:val="none"/>
              </w:rPr>
              <w:t>的百分比。</w:t>
            </w:r>
          </w:p>
        </w:tc>
        <w:tc>
          <w:tcPr>
            <w:tcW w:w="1559" w:type="dxa"/>
            <w:tcBorders>
              <w:left w:val="single" w:color="auto" w:sz="4" w:space="0"/>
            </w:tcBorders>
            <w:shd w:val="clear" w:color="auto" w:fill="FFFFFF"/>
            <w:noWrap/>
            <w:vAlign w:val="center"/>
          </w:tcPr>
          <w:p w14:paraId="7E04BA82">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r>
              <w:rPr>
                <w:rFonts w:hint="eastAsia" w:ascii="宋体" w:eastAsia="宋体"/>
                <w:spacing w:val="0"/>
                <w:sz w:val="21"/>
                <w:szCs w:val="24"/>
                <w:highlight w:val="none"/>
              </w:rPr>
              <w:t>为了这个度量报告，需要持续汇报SOW中所有</w:t>
            </w:r>
            <w:bookmarkStart w:id="402" w:name="突出显示"/>
            <w:r>
              <w:rPr>
                <w:rFonts w:hint="eastAsia" w:ascii="宋体" w:eastAsia="宋体"/>
                <w:spacing w:val="0"/>
                <w:sz w:val="21"/>
                <w:szCs w:val="24"/>
                <w:highlight w:val="none"/>
              </w:rPr>
              <w:t>SLA</w:t>
            </w:r>
            <w:bookmarkEnd w:id="402"/>
            <w:r>
              <w:rPr>
                <w:rFonts w:hint="eastAsia" w:ascii="宋体" w:eastAsia="宋体"/>
                <w:spacing w:val="0"/>
                <w:sz w:val="21"/>
                <w:szCs w:val="24"/>
                <w:highlight w:val="none"/>
              </w:rPr>
              <w:t>情况。</w:t>
            </w:r>
          </w:p>
        </w:tc>
        <w:tc>
          <w:tcPr>
            <w:tcW w:w="1843" w:type="dxa"/>
            <w:tcBorders>
              <w:left w:val="single" w:color="auto" w:sz="4" w:space="0"/>
            </w:tcBorders>
            <w:shd w:val="clear" w:color="auto" w:fill="FFFFFF"/>
            <w:noWrap/>
            <w:vAlign w:val="center"/>
          </w:tcPr>
          <w:p w14:paraId="32DE1241">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bookmarkStart w:id="403" w:name="突出显示"/>
            <w:r>
              <w:rPr>
                <w:rFonts w:hint="eastAsia" w:ascii="宋体" w:eastAsia="宋体"/>
                <w:spacing w:val="0"/>
                <w:sz w:val="21"/>
                <w:szCs w:val="24"/>
                <w:highlight w:val="none"/>
              </w:rPr>
              <w:t>SLA</w:t>
            </w:r>
            <w:bookmarkEnd w:id="403"/>
            <w:r>
              <w:rPr>
                <w:rFonts w:hint="eastAsia" w:ascii="宋体" w:eastAsia="宋体"/>
                <w:spacing w:val="0"/>
                <w:sz w:val="21"/>
                <w:szCs w:val="24"/>
                <w:highlight w:val="none"/>
              </w:rPr>
              <w:t>满足率＝（满足</w:t>
            </w:r>
            <w:bookmarkStart w:id="404" w:name="突出显示"/>
            <w:r>
              <w:rPr>
                <w:rFonts w:hint="eastAsia" w:ascii="宋体" w:eastAsia="宋体"/>
                <w:spacing w:val="0"/>
                <w:sz w:val="21"/>
                <w:szCs w:val="24"/>
                <w:highlight w:val="none"/>
              </w:rPr>
              <w:t>SLA</w:t>
            </w:r>
            <w:bookmarkEnd w:id="404"/>
            <w:r>
              <w:rPr>
                <w:rFonts w:hint="eastAsia" w:ascii="宋体" w:eastAsia="宋体"/>
                <w:spacing w:val="0"/>
                <w:sz w:val="21"/>
                <w:szCs w:val="24"/>
                <w:highlight w:val="none"/>
              </w:rPr>
              <w:t>的个数/总体</w:t>
            </w:r>
            <w:bookmarkStart w:id="405" w:name="突出显示"/>
            <w:r>
              <w:rPr>
                <w:rFonts w:hint="eastAsia" w:ascii="宋体" w:eastAsia="宋体"/>
                <w:spacing w:val="0"/>
                <w:sz w:val="21"/>
                <w:szCs w:val="24"/>
                <w:highlight w:val="none"/>
              </w:rPr>
              <w:t>SLA</w:t>
            </w:r>
            <w:bookmarkEnd w:id="405"/>
            <w:r>
              <w:rPr>
                <w:rFonts w:hint="eastAsia" w:ascii="宋体" w:eastAsia="宋体"/>
                <w:spacing w:val="0"/>
                <w:sz w:val="21"/>
                <w:szCs w:val="24"/>
                <w:highlight w:val="none"/>
              </w:rPr>
              <w:t>的个数）×100%（</w:t>
            </w:r>
            <w:bookmarkStart w:id="406" w:name="突出显示"/>
            <w:r>
              <w:rPr>
                <w:rFonts w:hint="eastAsia" w:ascii="宋体" w:eastAsia="宋体"/>
                <w:spacing w:val="0"/>
                <w:sz w:val="21"/>
                <w:szCs w:val="24"/>
                <w:highlight w:val="none"/>
              </w:rPr>
              <w:t>SLA</w:t>
            </w:r>
            <w:bookmarkEnd w:id="406"/>
            <w:r>
              <w:rPr>
                <w:rFonts w:hint="eastAsia" w:ascii="宋体" w:eastAsia="宋体"/>
                <w:spacing w:val="0"/>
                <w:sz w:val="21"/>
                <w:szCs w:val="24"/>
                <w:highlight w:val="none"/>
              </w:rPr>
              <w:t>满足率≥70%）</w:t>
            </w:r>
          </w:p>
        </w:tc>
        <w:tc>
          <w:tcPr>
            <w:tcW w:w="1701" w:type="dxa"/>
            <w:tcBorders>
              <w:left w:val="single" w:color="auto" w:sz="4" w:space="0"/>
            </w:tcBorders>
            <w:shd w:val="clear" w:color="auto" w:fill="FFFFFF"/>
            <w:noWrap/>
            <w:vAlign w:val="center"/>
          </w:tcPr>
          <w:p w14:paraId="62CF3D04">
            <w:pPr>
              <w:keepNext w:val="0"/>
              <w:keepLines w:val="0"/>
              <w:widowControl/>
              <w:suppressLineNumbers w:val="0"/>
              <w:spacing w:before="0" w:beforeAutospacing="0" w:after="0" w:afterAutospacing="0"/>
              <w:ind w:left="0" w:right="0" w:firstLine="0"/>
              <w:jc w:val="left"/>
              <w:rPr>
                <w:rFonts w:hint="default" w:ascii="宋体" w:eastAsia="宋体"/>
                <w:spacing w:val="0"/>
                <w:sz w:val="21"/>
                <w:szCs w:val="24"/>
                <w:highlight w:val="none"/>
              </w:rPr>
            </w:pPr>
            <w:bookmarkStart w:id="407" w:name="突出显示"/>
            <w:r>
              <w:rPr>
                <w:rFonts w:hint="eastAsia" w:ascii="宋体" w:eastAsia="宋体"/>
                <w:spacing w:val="0"/>
                <w:sz w:val="21"/>
                <w:szCs w:val="24"/>
                <w:highlight w:val="none"/>
              </w:rPr>
              <w:t>SLA</w:t>
            </w:r>
            <w:bookmarkEnd w:id="407"/>
            <w:r>
              <w:rPr>
                <w:rFonts w:hint="eastAsia" w:ascii="宋体" w:eastAsia="宋体"/>
                <w:spacing w:val="0"/>
                <w:sz w:val="21"/>
                <w:szCs w:val="24"/>
                <w:highlight w:val="none"/>
              </w:rPr>
              <w:t>满足率每低于标准5%，扣除合同总金额的1%</w:t>
            </w:r>
          </w:p>
        </w:tc>
      </w:tr>
    </w:tbl>
    <w:p w14:paraId="739AF7AA">
      <w:pPr>
        <w:ind w:left="0" w:firstLine="0"/>
        <w:rPr>
          <w:highlight w:val="none"/>
        </w:rPr>
        <w:sectPr>
          <w:pgSz w:w="11906" w:h="16838"/>
          <w:pgMar w:top="1440" w:right="1800" w:bottom="1440" w:left="1800" w:header="851" w:footer="992" w:gutter="0"/>
          <w:cols w:space="720" w:num="1"/>
          <w:docGrid w:type="lines" w:linePitch="312" w:charSpace="0"/>
        </w:sectPr>
      </w:pPr>
    </w:p>
    <w:p w14:paraId="0C64CAB6">
      <w:pPr>
        <w:pStyle w:val="37"/>
        <w:outlineLvl w:val="0"/>
        <w:rPr>
          <w:rFonts w:hint="eastAsia" w:ascii="Times New Roman" w:hAnsi="Times New Roman" w:eastAsia="宋体"/>
          <w:color w:val="auto"/>
          <w:highlight w:val="none"/>
          <w:shd w:val="clear" w:color="auto" w:fill="auto"/>
          <w:lang w:eastAsia="zh-CN"/>
        </w:rPr>
      </w:pPr>
      <w:bookmarkStart w:id="408" w:name="_Toc4661"/>
      <w:bookmarkStart w:id="409" w:name="_Toc305205325"/>
      <w:bookmarkStart w:id="410" w:name="_Toc1996433285"/>
      <w:bookmarkStart w:id="411" w:name="_Toc1164600872"/>
      <w:r>
        <w:rPr>
          <w:rFonts w:hint="eastAsia" w:ascii="Times New Roman" w:hAnsi="Times New Roman" w:eastAsia="宋体"/>
          <w:color w:val="auto"/>
          <w:highlight w:val="none"/>
          <w:shd w:val="clear" w:color="auto" w:fill="auto"/>
        </w:rPr>
        <w:t>七、管理资质</w:t>
      </w:r>
      <w:bookmarkEnd w:id="408"/>
      <w:r>
        <w:rPr>
          <w:rFonts w:hint="eastAsia" w:ascii="Times New Roman" w:hAnsi="Times New Roman"/>
          <w:color w:val="auto"/>
          <w:highlight w:val="none"/>
          <w:shd w:val="clear" w:color="auto" w:fill="auto"/>
          <w:lang w:eastAsia="zh-CN"/>
        </w:rPr>
        <w:t>（如有）</w:t>
      </w:r>
      <w:bookmarkEnd w:id="409"/>
      <w:bookmarkEnd w:id="410"/>
      <w:bookmarkEnd w:id="411"/>
    </w:p>
    <w:p w14:paraId="4067F528">
      <w:pPr>
        <w:rPr>
          <w:rFonts w:hint="eastAsia"/>
          <w:highlight w:val="none"/>
          <w:shd w:val="clear" w:color="auto" w:fill="auto"/>
        </w:rPr>
      </w:pPr>
      <w:r>
        <w:rPr>
          <w:rFonts w:hint="eastAsia" w:ascii="Times New Roman" w:hAnsi="Times New Roman" w:eastAsia="宋体"/>
          <w:color w:val="auto"/>
          <w:highlight w:val="none"/>
          <w:shd w:val="clear" w:color="auto" w:fill="auto"/>
          <w:lang w:val="en-US" w:eastAsia="zh-CN"/>
        </w:rPr>
        <w:br w:type="page"/>
      </w:r>
    </w:p>
    <w:p w14:paraId="0ED9BF2C">
      <w:pPr>
        <w:keepNext w:val="0"/>
        <w:keepLines w:val="0"/>
        <w:pageBreakBefore w:val="0"/>
        <w:widowControl w:val="0"/>
        <w:kinsoku/>
        <w:wordWrap/>
        <w:overflowPunct/>
        <w:topLinePunct w:val="0"/>
        <w:autoSpaceDE/>
        <w:autoSpaceDN/>
        <w:jc w:val="center"/>
        <w:outlineLvl w:val="0"/>
        <w:rPr>
          <w:rFonts w:hint="eastAsia" w:ascii="Times New Roman" w:hAnsi="Times New Roman"/>
          <w:b/>
          <w:sz w:val="28"/>
          <w:highlight w:val="none"/>
          <w:lang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cs="宋体"/>
          <w:b/>
          <w:kern w:val="2"/>
          <w:sz w:val="28"/>
          <w:szCs w:val="20"/>
          <w:highlight w:val="none"/>
          <w:lang w:val="en-US" w:eastAsia="zh-CN"/>
        </w:rPr>
        <w:t>八、总公司、分公司营业执照或在重庆、成都有办事处的承诺函及在重庆、成都纳社保证明</w:t>
      </w:r>
      <w:r>
        <w:rPr>
          <w:rFonts w:hint="eastAsia" w:ascii="Times New Roman" w:hAnsi="Times New Roman"/>
          <w:b/>
          <w:sz w:val="28"/>
          <w:highlight w:val="none"/>
          <w:lang w:eastAsia="zh-CN"/>
        </w:rPr>
        <w:t>（如有）</w:t>
      </w:r>
    </w:p>
    <w:p w14:paraId="41D92AD2">
      <w:pPr>
        <w:keepNext w:val="0"/>
        <w:keepLines w:val="0"/>
        <w:pageBreakBefore w:val="0"/>
        <w:widowControl w:val="0"/>
        <w:kinsoku/>
        <w:wordWrap/>
        <w:overflowPunct/>
        <w:topLinePunct w:val="0"/>
        <w:autoSpaceDE/>
        <w:autoSpaceDN/>
        <w:jc w:val="center"/>
        <w:rPr>
          <w:rFonts w:hint="default" w:ascii="Times New Roman" w:hAnsi="Times New Roman"/>
          <w:highlight w:val="none"/>
          <w:lang w:val="en-US" w:eastAsia="zh-CN"/>
        </w:rPr>
      </w:pPr>
    </w:p>
    <w:p w14:paraId="49E1CF22">
      <w:pPr>
        <w:autoSpaceDE/>
        <w:autoSpaceDN/>
        <w:jc w:val="center"/>
        <w:outlineLvl w:val="0"/>
        <w:rPr>
          <w:rFonts w:hint="eastAsia" w:ascii="Times New Roman" w:hAnsi="Times New Roman"/>
          <w:b/>
          <w:sz w:val="28"/>
          <w:highlight w:val="none"/>
          <w:lang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cs="宋体"/>
          <w:b/>
          <w:kern w:val="2"/>
          <w:sz w:val="28"/>
          <w:szCs w:val="20"/>
          <w:highlight w:val="none"/>
          <w:lang w:val="en-US" w:eastAsia="zh-CN"/>
        </w:rPr>
        <w:t>九、获取数据合法合规的证明材料（包括不限于：征信牌照等）</w:t>
      </w:r>
      <w:r>
        <w:rPr>
          <w:rFonts w:hint="eastAsia" w:ascii="Times New Roman" w:hAnsi="Times New Roman"/>
          <w:b/>
          <w:sz w:val="28"/>
          <w:highlight w:val="none"/>
          <w:lang w:eastAsia="zh-CN"/>
        </w:rPr>
        <w:t>（如有）</w:t>
      </w:r>
    </w:p>
    <w:p w14:paraId="0A23B594">
      <w:pPr>
        <w:autoSpaceDE/>
        <w:autoSpaceDN/>
        <w:jc w:val="center"/>
        <w:outlineLvl w:val="9"/>
        <w:rPr>
          <w:rFonts w:hint="default" w:ascii="Times New Roman" w:hAnsi="Times New Roman"/>
          <w:highlight w:val="none"/>
          <w:lang w:eastAsia="zh-CN"/>
        </w:rPr>
      </w:pPr>
    </w:p>
    <w:p w14:paraId="0CBEC864">
      <w:pPr>
        <w:autoSpaceDE/>
        <w:autoSpaceDN/>
        <w:jc w:val="center"/>
        <w:outlineLvl w:val="0"/>
        <w:rPr>
          <w:rFonts w:hint="eastAsia" w:ascii="Times New Roman" w:hAnsi="Times New Roman"/>
          <w:b/>
          <w:sz w:val="28"/>
          <w:highlight w:val="none"/>
        </w:rPr>
      </w:pPr>
      <w:r>
        <w:rPr>
          <w:rFonts w:hint="eastAsia" w:ascii="Times New Roman" w:hAnsi="Times New Roman"/>
          <w:b/>
          <w:sz w:val="28"/>
          <w:highlight w:val="none"/>
          <w:lang w:eastAsia="zh-CN"/>
        </w:rPr>
        <w:t>十</w:t>
      </w:r>
      <w:r>
        <w:rPr>
          <w:rFonts w:hint="eastAsia" w:ascii="Times New Roman" w:hAnsi="Times New Roman"/>
          <w:b/>
          <w:sz w:val="28"/>
          <w:highlight w:val="none"/>
        </w:rPr>
        <w:t>、其他（如有）</w:t>
      </w:r>
    </w:p>
    <w:p w14:paraId="5997EBFB">
      <w:pPr>
        <w:jc w:val="center"/>
        <w:rPr>
          <w:rFonts w:ascii="Times New Roman" w:hAnsi="Times New Roman"/>
          <w:highlight w:val="none"/>
        </w:rPr>
      </w:pPr>
    </w:p>
    <w:p w14:paraId="5310C298">
      <w:pPr>
        <w:rPr>
          <w:rFonts w:ascii="Times New Roman" w:hAnsi="Times New Roman"/>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C21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21D6">
    <w:pPr>
      <w:pStyle w:val="11"/>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DF9B">
    <w:pPr>
      <w:pStyle w:val="11"/>
      <w:framePr w:wrap="around" w:vAnchor="text" w:hAnchor="margin" w:xAlign="center" w:y="1"/>
      <w:pBdr>
        <w:top w:val="none" w:color="auto" w:sz="0" w:space="0"/>
        <w:left w:val="none" w:color="auto" w:sz="0" w:space="0"/>
        <w:bottom w:val="none" w:color="auto" w:sz="0" w:space="0"/>
        <w:right w:val="none" w:color="auto" w:sz="0" w:space="0"/>
      </w:pBdr>
      <w:rPr>
        <w:sz w:val="15"/>
        <w:szCs w:val="15"/>
      </w:rPr>
    </w:pPr>
    <w:r>
      <w:rPr>
        <w:rStyle w:val="27"/>
        <w:sz w:val="21"/>
        <w:szCs w:val="21"/>
      </w:rPr>
      <w:fldChar w:fldCharType="begin"/>
    </w:r>
    <w:r>
      <w:rPr>
        <w:rStyle w:val="27"/>
        <w:sz w:val="21"/>
        <w:szCs w:val="21"/>
      </w:rPr>
      <w:instrText xml:space="preserve">Page</w:instrText>
    </w:r>
    <w:r>
      <w:rPr>
        <w:rStyle w:val="27"/>
        <w:sz w:val="21"/>
        <w:szCs w:val="21"/>
      </w:rPr>
      <w:fldChar w:fldCharType="separate"/>
    </w:r>
    <w:r>
      <w:rPr>
        <w:rStyle w:val="27"/>
        <w:sz w:val="21"/>
        <w:szCs w:val="21"/>
      </w:rPr>
      <w:t>1</w:t>
    </w:r>
    <w:r>
      <w:rPr>
        <w:rStyle w:val="27"/>
        <w:sz w:val="21"/>
        <w:szCs w:val="21"/>
      </w:rPr>
      <w:fldChar w:fldCharType="end"/>
    </w:r>
  </w:p>
  <w:p w14:paraId="7451C9D5">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tabs>
          <w:tab w:val="left" w:pos="0"/>
        </w:tabs>
        <w:ind w:left="0" w:firstLine="0"/>
      </w:p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6">
    <w:nsid w:val="18291625"/>
    <w:multiLevelType w:val="singleLevel"/>
    <w:tmpl w:val="18291625"/>
    <w:lvl w:ilvl="0" w:tentative="0">
      <w:start w:val="1"/>
      <w:numFmt w:val="decimal"/>
      <w:suff w:val="nothing"/>
      <w:lvlText w:val="（%1）"/>
      <w:lvlJc w:val="left"/>
    </w:lvl>
  </w:abstractNum>
  <w:abstractNum w:abstractNumId="7">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8">
    <w:nsid w:val="39E7CD72"/>
    <w:multiLevelType w:val="singleLevel"/>
    <w:tmpl w:val="39E7CD72"/>
    <w:lvl w:ilvl="0" w:tentative="0">
      <w:start w:val="7"/>
      <w:numFmt w:val="decimal"/>
      <w:suff w:val="space"/>
      <w:lvlText w:val="%1."/>
      <w:lvlJc w:val="left"/>
    </w:lvl>
  </w:abstractNum>
  <w:abstractNum w:abstractNumId="9">
    <w:nsid w:val="3D85598E"/>
    <w:multiLevelType w:val="multilevel"/>
    <w:tmpl w:val="3D85598E"/>
    <w:lvl w:ilvl="0" w:tentative="0">
      <w:start w:val="1"/>
      <w:numFmt w:val="japaneseCounting"/>
      <w:lvlText w:val="%1、"/>
      <w:lvlJc w:val="left"/>
      <w:pPr>
        <w:ind w:left="427" w:hanging="427"/>
      </w:pPr>
      <w:rPr>
        <w:rFonts w:hint="default"/>
      </w:rPr>
    </w:lvl>
    <w:lvl w:ilvl="1" w:tentative="0">
      <w:start w:val="2"/>
      <w:numFmt w:val="decimal"/>
      <w:lvlText w:val="（%2）"/>
      <w:lvlJc w:val="left"/>
      <w:pPr>
        <w:ind w:left="720" w:hanging="720"/>
      </w:pPr>
      <w:rPr>
        <w:rFonts w:hint="default"/>
      </w:rPr>
    </w:lvl>
    <w:lvl w:ilvl="2" w:tentative="0">
      <w:start w:val="1"/>
      <w:numFmt w:val="decimal"/>
      <w:suff w:val="space"/>
      <w:lvlText w:val="%3、"/>
      <w:lvlJc w:val="left"/>
      <w:pPr>
        <w:ind w:left="72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1">
    <w:nsid w:val="54BFC8B6"/>
    <w:multiLevelType w:val="singleLevel"/>
    <w:tmpl w:val="54BFC8B6"/>
    <w:lvl w:ilvl="0" w:tentative="0">
      <w:start w:val="8"/>
      <w:numFmt w:val="decimal"/>
      <w:suff w:val="space"/>
      <w:lvlText w:val="%1."/>
      <w:lvlJc w:val="left"/>
    </w:lvl>
  </w:abstractNum>
  <w:abstractNum w:abstractNumId="12">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8"/>
  </w:num>
  <w:num w:numId="2">
    <w:abstractNumId w:val="11"/>
  </w:num>
  <w:num w:numId="3">
    <w:abstractNumId w:val="4"/>
  </w:num>
  <w:num w:numId="4">
    <w:abstractNumId w:val="6"/>
  </w:num>
  <w:num w:numId="5">
    <w:abstractNumId w:val="9"/>
  </w:num>
  <w:num w:numId="6">
    <w:abstractNumId w:val="5"/>
  </w:num>
  <w:num w:numId="7">
    <w:abstractNumId w:val="2"/>
  </w:num>
  <w:num w:numId="8">
    <w:abstractNumId w:val="1"/>
  </w:num>
  <w:num w:numId="9">
    <w:abstractNumId w:val="3"/>
  </w:num>
  <w:num w:numId="10">
    <w:abstractNumId w:val="10"/>
  </w:num>
  <w:num w:numId="11">
    <w:abstractNumId w:val="7"/>
  </w:num>
  <w:num w:numId="12">
    <w:abstractNumId w:val="0"/>
    <w:lvlOverride w:ilvl="0">
      <w:lvl w:ilvl="0" w:tentative="1">
        <w:start w:val="0"/>
        <w:numFmt w:val="bullet"/>
        <w:lvlText w:val=""/>
        <w:lvlJc w:val="left"/>
        <w:pPr>
          <w:tabs>
            <w:tab w:val="left" w:pos="0"/>
          </w:tabs>
          <w:ind w:left="1080" w:hanging="360"/>
        </w:pPr>
        <w:rPr>
          <w:rFonts w:hint="default" w:ascii="Symbol" w:hAnsi="Symbol"/>
        </w:rPr>
      </w:lvl>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jE4MmQxZjA1Y2YxYjcxZTkzZjljNGM2ODFmNzIxYzcifQ=="/>
  </w:docVars>
  <w:rsids>
    <w:rsidRoot w:val="00000000"/>
    <w:rsid w:val="00AB35C0"/>
    <w:rsid w:val="01362446"/>
    <w:rsid w:val="05177495"/>
    <w:rsid w:val="05962A91"/>
    <w:rsid w:val="07AA2A4F"/>
    <w:rsid w:val="095C586C"/>
    <w:rsid w:val="0B386398"/>
    <w:rsid w:val="0B5F20A7"/>
    <w:rsid w:val="0C2D3A23"/>
    <w:rsid w:val="0CAB7A12"/>
    <w:rsid w:val="0FDF5483"/>
    <w:rsid w:val="0FE268D2"/>
    <w:rsid w:val="13256615"/>
    <w:rsid w:val="139D148E"/>
    <w:rsid w:val="17F673BF"/>
    <w:rsid w:val="18336597"/>
    <w:rsid w:val="19A625A3"/>
    <w:rsid w:val="1B9DD170"/>
    <w:rsid w:val="1EFF1B47"/>
    <w:rsid w:val="1F87287D"/>
    <w:rsid w:val="1FAF67D1"/>
    <w:rsid w:val="1FBE4F09"/>
    <w:rsid w:val="1FFF3917"/>
    <w:rsid w:val="22146DBF"/>
    <w:rsid w:val="249E6E14"/>
    <w:rsid w:val="251C53CB"/>
    <w:rsid w:val="26B5C809"/>
    <w:rsid w:val="27250997"/>
    <w:rsid w:val="28EC2844"/>
    <w:rsid w:val="298C6A59"/>
    <w:rsid w:val="2CFE2B46"/>
    <w:rsid w:val="2F5BF868"/>
    <w:rsid w:val="30874C00"/>
    <w:rsid w:val="313AB7CD"/>
    <w:rsid w:val="37E65DBF"/>
    <w:rsid w:val="399FEB12"/>
    <w:rsid w:val="3D1F7BF7"/>
    <w:rsid w:val="3F1FD05D"/>
    <w:rsid w:val="3F776A6E"/>
    <w:rsid w:val="3F7E7038"/>
    <w:rsid w:val="3F9133A5"/>
    <w:rsid w:val="3FEF3965"/>
    <w:rsid w:val="3FFE829B"/>
    <w:rsid w:val="3FFEDAD8"/>
    <w:rsid w:val="41984EBF"/>
    <w:rsid w:val="45BC735C"/>
    <w:rsid w:val="46EB7AE7"/>
    <w:rsid w:val="479E6FA7"/>
    <w:rsid w:val="4D801AB9"/>
    <w:rsid w:val="4EF9AFE5"/>
    <w:rsid w:val="4FFFDDED"/>
    <w:rsid w:val="50137E07"/>
    <w:rsid w:val="523F1387"/>
    <w:rsid w:val="53EC2E48"/>
    <w:rsid w:val="544113E6"/>
    <w:rsid w:val="54576514"/>
    <w:rsid w:val="54EBA824"/>
    <w:rsid w:val="56CF46A5"/>
    <w:rsid w:val="5774AE98"/>
    <w:rsid w:val="57EE298A"/>
    <w:rsid w:val="5A4B62FE"/>
    <w:rsid w:val="5AC64DEF"/>
    <w:rsid w:val="5ADF54B5"/>
    <w:rsid w:val="5CBC7B63"/>
    <w:rsid w:val="5D3377A2"/>
    <w:rsid w:val="5D3A69D3"/>
    <w:rsid w:val="5F7EFFB5"/>
    <w:rsid w:val="5FEBF2C6"/>
    <w:rsid w:val="60911000"/>
    <w:rsid w:val="60AC6C4D"/>
    <w:rsid w:val="61A66914"/>
    <w:rsid w:val="628F5A13"/>
    <w:rsid w:val="63B63A8A"/>
    <w:rsid w:val="67EF2316"/>
    <w:rsid w:val="67FEA307"/>
    <w:rsid w:val="67FFC8C9"/>
    <w:rsid w:val="68681F55"/>
    <w:rsid w:val="696E6382"/>
    <w:rsid w:val="69EC54F9"/>
    <w:rsid w:val="6A6006E5"/>
    <w:rsid w:val="6B6869B1"/>
    <w:rsid w:val="6BD25D1E"/>
    <w:rsid w:val="6C727F37"/>
    <w:rsid w:val="6F456969"/>
    <w:rsid w:val="6F7D12DE"/>
    <w:rsid w:val="6F9C2CDB"/>
    <w:rsid w:val="6FFBE816"/>
    <w:rsid w:val="72AF62D2"/>
    <w:rsid w:val="72DB6067"/>
    <w:rsid w:val="73EF46A1"/>
    <w:rsid w:val="74E75FE7"/>
    <w:rsid w:val="750E27C7"/>
    <w:rsid w:val="76C03F95"/>
    <w:rsid w:val="773E7E40"/>
    <w:rsid w:val="77AB254F"/>
    <w:rsid w:val="794E5888"/>
    <w:rsid w:val="79FF9AA5"/>
    <w:rsid w:val="7AED07B8"/>
    <w:rsid w:val="7BFF36CC"/>
    <w:rsid w:val="7D9D059F"/>
    <w:rsid w:val="7DF7BE58"/>
    <w:rsid w:val="7E067377"/>
    <w:rsid w:val="7F5DC4CC"/>
    <w:rsid w:val="7F7E5E62"/>
    <w:rsid w:val="7F7FC7EB"/>
    <w:rsid w:val="7FB87EFF"/>
    <w:rsid w:val="7FBC9CA0"/>
    <w:rsid w:val="7FC78891"/>
    <w:rsid w:val="7FCD24A6"/>
    <w:rsid w:val="7FCF4A91"/>
    <w:rsid w:val="7FDDF7DD"/>
    <w:rsid w:val="7FDFF227"/>
    <w:rsid w:val="7FE735B6"/>
    <w:rsid w:val="7FEC91FF"/>
    <w:rsid w:val="7FF81E07"/>
    <w:rsid w:val="7FFC4ED0"/>
    <w:rsid w:val="7FFF9B59"/>
    <w:rsid w:val="85BD9EDC"/>
    <w:rsid w:val="8FFE8946"/>
    <w:rsid w:val="96F9D21D"/>
    <w:rsid w:val="9CDD2BE3"/>
    <w:rsid w:val="9F5B0168"/>
    <w:rsid w:val="9F6FB159"/>
    <w:rsid w:val="A7D633FE"/>
    <w:rsid w:val="ABEF1094"/>
    <w:rsid w:val="AFDBAF23"/>
    <w:rsid w:val="B76F71E3"/>
    <w:rsid w:val="BBEB338C"/>
    <w:rsid w:val="BBF3A8C9"/>
    <w:rsid w:val="BBFBA946"/>
    <w:rsid w:val="BBFE34C0"/>
    <w:rsid w:val="BFDDA8D3"/>
    <w:rsid w:val="BFEE45A1"/>
    <w:rsid w:val="BFF78EDB"/>
    <w:rsid w:val="BFFE7830"/>
    <w:rsid w:val="BFFFE326"/>
    <w:rsid w:val="CB7B77C1"/>
    <w:rsid w:val="CFCDE0B1"/>
    <w:rsid w:val="CFFBE26B"/>
    <w:rsid w:val="CFFEA976"/>
    <w:rsid w:val="D9DF9493"/>
    <w:rsid w:val="DAFFE2D5"/>
    <w:rsid w:val="DBFF33E5"/>
    <w:rsid w:val="DDF94543"/>
    <w:rsid w:val="DE6F94AF"/>
    <w:rsid w:val="DF2FC374"/>
    <w:rsid w:val="DF555902"/>
    <w:rsid w:val="DF5FED75"/>
    <w:rsid w:val="DF7CF981"/>
    <w:rsid w:val="DFDD3F02"/>
    <w:rsid w:val="E57BA30E"/>
    <w:rsid w:val="E59734F6"/>
    <w:rsid w:val="E74D0B1E"/>
    <w:rsid w:val="ECED9660"/>
    <w:rsid w:val="ED9BA8F3"/>
    <w:rsid w:val="EDEF91F5"/>
    <w:rsid w:val="EEFE9B09"/>
    <w:rsid w:val="F1CE1645"/>
    <w:rsid w:val="F2F52E69"/>
    <w:rsid w:val="F37AAFB8"/>
    <w:rsid w:val="F53B3DE3"/>
    <w:rsid w:val="F7D791E0"/>
    <w:rsid w:val="F7FFC98E"/>
    <w:rsid w:val="F9F8BD3E"/>
    <w:rsid w:val="FB7FA701"/>
    <w:rsid w:val="FBBE688E"/>
    <w:rsid w:val="FBD4D355"/>
    <w:rsid w:val="FBE3FB12"/>
    <w:rsid w:val="FBF13E61"/>
    <w:rsid w:val="FBF5DA57"/>
    <w:rsid w:val="FBFD2FF4"/>
    <w:rsid w:val="FCD63EE0"/>
    <w:rsid w:val="FCFB6C45"/>
    <w:rsid w:val="FD974F3B"/>
    <w:rsid w:val="FDAE9455"/>
    <w:rsid w:val="FDFB1F98"/>
    <w:rsid w:val="FE6FE24C"/>
    <w:rsid w:val="FE7196C5"/>
    <w:rsid w:val="FE878EBA"/>
    <w:rsid w:val="FEBA3436"/>
    <w:rsid w:val="FECE5DAC"/>
    <w:rsid w:val="FEEB6642"/>
    <w:rsid w:val="FEED772C"/>
    <w:rsid w:val="FF2F3476"/>
    <w:rsid w:val="FF764152"/>
    <w:rsid w:val="FF79AC23"/>
    <w:rsid w:val="FFA72B0C"/>
    <w:rsid w:val="FFAEA277"/>
    <w:rsid w:val="FFBBFD5C"/>
    <w:rsid w:val="FFBF705D"/>
    <w:rsid w:val="FFED5FCE"/>
    <w:rsid w:val="FFEF56AF"/>
    <w:rsid w:val="FFF772F6"/>
    <w:rsid w:val="FFFB6223"/>
    <w:rsid w:val="FFFBF85E"/>
    <w:rsid w:val="FFFFFE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0"/>
      <w:jc w:val="left"/>
    </w:pPr>
    <w:rPr>
      <w:rFonts w:ascii="宋体" w:hAnsi="宋体" w:eastAsia="宋体" w:cs="宋体"/>
      <w:color w:val="auto"/>
      <w:kern w:val="2"/>
      <w:sz w:val="24"/>
      <w:szCs w:val="20"/>
      <w:shd w:val="clear" w:color="auto" w:fill="auto"/>
      <w:lang w:val="en-US" w:eastAsia="zh-CN" w:bidi="ar-SA"/>
    </w:rPr>
  </w:style>
  <w:style w:type="paragraph" w:styleId="3">
    <w:name w:val="heading 1"/>
    <w:basedOn w:val="1"/>
    <w:next w:val="1"/>
    <w:link w:val="31"/>
    <w:qFormat/>
    <w:uiPriority w:val="0"/>
    <w:pPr>
      <w:tabs>
        <w:tab w:val="left" w:pos="3360"/>
      </w:tabs>
      <w:snapToGrid w:val="0"/>
      <w:ind w:firstLine="0"/>
      <w:jc w:val="center"/>
      <w:outlineLvl w:val="0"/>
    </w:pPr>
    <w:rPr>
      <w:rFonts w:ascii="宋体" w:hAnsi="宋体" w:cs="等线 Light"/>
      <w:b/>
      <w:snapToGrid w:val="0"/>
      <w:kern w:val="0"/>
      <w:sz w:val="44"/>
      <w:szCs w:val="44"/>
    </w:rPr>
  </w:style>
  <w:style w:type="paragraph" w:styleId="4">
    <w:name w:val="heading 2"/>
    <w:basedOn w:val="1"/>
    <w:next w:val="1"/>
    <w:link w:val="32"/>
    <w:qFormat/>
    <w:uiPriority w:val="0"/>
    <w:pPr>
      <w:ind w:firstLine="0"/>
      <w:outlineLvl w:val="1"/>
    </w:pPr>
    <w:rPr>
      <w:rFonts w:ascii="宋体" w:hAnsi="宋体" w:cs="Times New Roman"/>
      <w:b/>
      <w:bCs/>
      <w:snapToGrid w:val="0"/>
      <w:szCs w:val="24"/>
    </w:rPr>
  </w:style>
  <w:style w:type="paragraph" w:styleId="5">
    <w:name w:val="heading 3"/>
    <w:basedOn w:val="1"/>
    <w:next w:val="1"/>
    <w:link w:val="33"/>
    <w:qFormat/>
    <w:uiPriority w:val="0"/>
    <w:pPr>
      <w:outlineLvl w:val="2"/>
    </w:pPr>
    <w:rPr>
      <w:rFonts w:ascii="宋体" w:hAnsi="宋体" w:cs="宋体"/>
      <w:b/>
      <w:bCs/>
      <w:szCs w:val="32"/>
    </w:rPr>
  </w:style>
  <w:style w:type="paragraph" w:styleId="6">
    <w:name w:val="heading 4"/>
    <w:basedOn w:val="1"/>
    <w:next w:val="1"/>
    <w:link w:val="34"/>
    <w:qFormat/>
    <w:uiPriority w:val="0"/>
    <w:pPr>
      <w:outlineLvl w:val="3"/>
    </w:pPr>
    <w:rPr>
      <w:rFonts w:ascii="Calibri Light" w:hAnsi="Calibri Light" w:cs="Times New Roman"/>
      <w:bCs/>
      <w:szCs w:val="28"/>
    </w:rPr>
  </w:style>
  <w:style w:type="paragraph" w:styleId="7">
    <w:name w:val="heading 5"/>
    <w:basedOn w:val="1"/>
    <w:next w:val="1"/>
    <w:link w:val="35"/>
    <w:qFormat/>
    <w:uiPriority w:val="0"/>
    <w:pPr>
      <w:spacing w:line="360" w:lineRule="auto"/>
      <w:ind w:firstLine="0"/>
      <w:jc w:val="center"/>
      <w:outlineLvl w:val="4"/>
    </w:pPr>
    <w:rPr>
      <w:b/>
      <w:sz w:val="28"/>
    </w:rPr>
  </w:style>
  <w:style w:type="paragraph" w:styleId="8">
    <w:name w:val="heading 6"/>
    <w:basedOn w:val="1"/>
    <w:next w:val="1"/>
    <w:link w:val="36"/>
    <w:qFormat/>
    <w:uiPriority w:val="0"/>
    <w:pPr>
      <w:keepNext/>
      <w:keepLines/>
      <w:widowControl w:val="0"/>
      <w:spacing w:before="240" w:after="64" w:line="317" w:lineRule="auto"/>
      <w:outlineLvl w:val="5"/>
    </w:pPr>
    <w:rPr>
      <w:rFonts w:ascii="Arial" w:hAnsi="Arial" w:eastAsia="黑体"/>
      <w:b/>
    </w:rPr>
  </w:style>
  <w:style w:type="character" w:default="1" w:styleId="25">
    <w:name w:val="Default Paragraph Font"/>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pPr>
  </w:style>
  <w:style w:type="paragraph" w:styleId="9">
    <w:name w:val="annotation text"/>
    <w:basedOn w:val="1"/>
    <w:qFormat/>
    <w:uiPriority w:val="0"/>
    <w:pPr>
      <w:jc w:val="left"/>
    </w:pPr>
  </w:style>
  <w:style w:type="paragraph" w:styleId="10">
    <w:name w:val="Body Text Indent"/>
    <w:basedOn w:val="1"/>
    <w:next w:val="11"/>
    <w:qFormat/>
    <w:uiPriority w:val="0"/>
    <w:pPr>
      <w:widowControl w:val="0"/>
      <w:autoSpaceDE w:val="0"/>
      <w:autoSpaceDN w:val="0"/>
      <w:spacing w:before="50" w:beforeLines="50" w:line="400" w:lineRule="exact"/>
      <w:ind w:left="150" w:leftChars="150" w:firstLine="200" w:firstLineChars="200"/>
      <w:jc w:val="both"/>
    </w:pPr>
    <w:rPr>
      <w:rFonts w:ascii="Times New Roman" w:hAnsi="Times New Roman" w:eastAsia="楷体_GB2312" w:cs="Times New Roman"/>
      <w:spacing w:val="20"/>
      <w:kern w:val="2"/>
      <w:sz w:val="24"/>
      <w:szCs w:val="20"/>
      <w:lang w:val="en-US" w:eastAsia="zh-CN" w:bidi="ar-SA"/>
    </w:rPr>
  </w:style>
  <w:style w:type="paragraph" w:styleId="11">
    <w:name w:val="footer"/>
    <w:basedOn w:val="1"/>
    <w:qFormat/>
    <w:uiPriority w:val="0"/>
    <w:pPr>
      <w:tabs>
        <w:tab w:val="center" w:pos="4153"/>
        <w:tab w:val="right" w:pos="8306"/>
      </w:tabs>
      <w:snapToGrid w:val="0"/>
      <w:jc w:val="left"/>
    </w:pPr>
    <w:rPr>
      <w:sz w:val="21"/>
    </w:rPr>
  </w:style>
  <w:style w:type="paragraph" w:styleId="12">
    <w:name w:val="toc 3"/>
    <w:basedOn w:val="1"/>
    <w:next w:val="1"/>
    <w:qFormat/>
    <w:uiPriority w:val="0"/>
    <w:pPr>
      <w:ind w:left="840"/>
    </w:pPr>
  </w:style>
  <w:style w:type="paragraph" w:styleId="13">
    <w:name w:val="Plain Text"/>
    <w:basedOn w:val="1"/>
    <w:next w:val="14"/>
    <w:qFormat/>
    <w:uiPriority w:val="0"/>
    <w:pPr>
      <w:widowControl w:val="0"/>
      <w:autoSpaceDE w:val="0"/>
      <w:autoSpaceDN w:val="0"/>
      <w:spacing w:line="600" w:lineRule="exact"/>
      <w:ind w:firstLine="200" w:firstLineChars="200"/>
      <w:jc w:val="both"/>
    </w:pPr>
    <w:rPr>
      <w:rFonts w:ascii="宋体" w:hAnsi="Times New Roman" w:eastAsia="宋体" w:cs="Times New Roman"/>
      <w:spacing w:val="0"/>
      <w:kern w:val="2"/>
      <w:sz w:val="21"/>
      <w:szCs w:val="21"/>
      <w:lang w:val="en-US" w:eastAsia="zh-CN" w:bidi="ar-SA"/>
    </w:rPr>
  </w:style>
  <w:style w:type="paragraph" w:styleId="14">
    <w:name w:val="toc 1"/>
    <w:basedOn w:val="1"/>
    <w:next w:val="1"/>
    <w:qFormat/>
    <w:uiPriority w:val="0"/>
  </w:style>
  <w:style w:type="paragraph" w:styleId="15">
    <w:name w:val="Date"/>
    <w:basedOn w:val="1"/>
    <w:next w:val="1"/>
    <w:qFormat/>
    <w:uiPriority w:val="0"/>
    <w:pPr>
      <w:widowControl w:val="0"/>
      <w:autoSpaceDE w:val="0"/>
      <w:autoSpaceDN w:val="0"/>
      <w:spacing w:line="600" w:lineRule="exact"/>
      <w:ind w:firstLine="200" w:firstLineChars="200"/>
      <w:jc w:val="both"/>
    </w:pPr>
    <w:rPr>
      <w:rFonts w:ascii="Cambria Math" w:hAnsi="Cambria Math" w:eastAsia="宋体" w:cs="Cambria Math"/>
      <w:kern w:val="0"/>
      <w:sz w:val="24"/>
      <w:szCs w:val="20"/>
      <w:lang w:val="en-US" w:eastAsia="zh-CN" w:bidi="ar-SA"/>
    </w:rPr>
  </w:style>
  <w:style w:type="paragraph" w:styleId="16">
    <w:name w:val="Body Text Indent 2"/>
    <w:basedOn w:val="1"/>
    <w:qFormat/>
    <w:uiPriority w:val="0"/>
    <w:pPr>
      <w:widowControl w:val="0"/>
      <w:autoSpaceDE w:val="0"/>
      <w:autoSpaceDN w:val="0"/>
      <w:spacing w:before="50" w:beforeLines="50" w:line="400" w:lineRule="exact"/>
      <w:ind w:firstLine="200" w:firstLineChars="200"/>
      <w:jc w:val="both"/>
    </w:pPr>
    <w:rPr>
      <w:rFonts w:ascii="Times New Roman" w:hAnsi="Times New Roman" w:eastAsia="楷体_GB2312" w:cs="Times New Roman"/>
      <w:spacing w:val="20"/>
      <w:kern w:val="2"/>
      <w:sz w:val="24"/>
      <w:szCs w:val="20"/>
      <w:lang w:val="en-US" w:eastAsia="zh-CN" w:bidi="ar-SA"/>
    </w:rPr>
  </w:style>
  <w:style w:type="paragraph" w:styleId="17">
    <w:name w:val="Balloon Text"/>
    <w:basedOn w:val="1"/>
    <w:qFormat/>
    <w:uiPriority w:val="0"/>
    <w:pPr>
      <w:spacing w:line="240" w:lineRule="auto"/>
    </w:pPr>
    <w:rPr>
      <w:sz w:val="18"/>
      <w:szCs w:val="18"/>
    </w:rPr>
  </w:style>
  <w:style w:type="paragraph" w:styleId="1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9">
    <w:name w:val="toc 4"/>
    <w:basedOn w:val="1"/>
    <w:next w:val="1"/>
    <w:qFormat/>
    <w:uiPriority w:val="0"/>
    <w:pPr>
      <w:ind w:left="1260"/>
    </w:pPr>
  </w:style>
  <w:style w:type="paragraph" w:styleId="20">
    <w:name w:val="Subtitle"/>
    <w:basedOn w:val="1"/>
    <w:qFormat/>
    <w:uiPriority w:val="0"/>
    <w:pPr>
      <w:widowControl w:val="0"/>
      <w:autoSpaceDE w:val="0"/>
      <w:autoSpaceDN w:val="0"/>
      <w:spacing w:before="240" w:after="60" w:line="312" w:lineRule="auto"/>
      <w:ind w:firstLine="200" w:firstLineChars="200"/>
      <w:jc w:val="center"/>
      <w:outlineLvl w:val="1"/>
    </w:pPr>
    <w:rPr>
      <w:rFonts w:ascii="Arial" w:hAnsi="Arial" w:eastAsia="宋体" w:cs="Cambria Math"/>
      <w:b/>
      <w:kern w:val="28"/>
      <w:sz w:val="32"/>
      <w:szCs w:val="20"/>
      <w:lang w:val="en-US" w:eastAsia="zh-CN" w:bidi="ar-SA"/>
    </w:rPr>
  </w:style>
  <w:style w:type="paragraph" w:styleId="21">
    <w:name w:val="toc 2"/>
    <w:basedOn w:val="1"/>
    <w:next w:val="1"/>
    <w:qFormat/>
    <w:uiPriority w:val="0"/>
    <w:pPr>
      <w:widowControl w:val="0"/>
      <w:autoSpaceDE w:val="0"/>
      <w:autoSpaceDN w:val="0"/>
      <w:spacing w:line="600" w:lineRule="exact"/>
      <w:ind w:left="200" w:leftChars="200" w:firstLine="200" w:firstLineChars="200"/>
      <w:jc w:val="both"/>
    </w:pPr>
    <w:rPr>
      <w:rFonts w:ascii="Cambria Math" w:hAnsi="Cambria Math" w:eastAsia="宋体" w:cs="Cambria Math"/>
      <w:kern w:val="2"/>
      <w:sz w:val="24"/>
      <w:szCs w:val="20"/>
      <w:lang w:val="en-US" w:eastAsia="zh-CN" w:bidi="ar-SA"/>
    </w:rPr>
  </w:style>
  <w:style w:type="paragraph" w:styleId="22">
    <w:name w:val="Normal (Web)"/>
    <w:basedOn w:val="1"/>
    <w:qFormat/>
    <w:uiPriority w:val="0"/>
    <w:rPr>
      <w:sz w:val="24"/>
    </w:rPr>
  </w:style>
  <w:style w:type="paragraph" w:styleId="23">
    <w:name w:val="annotation subject"/>
    <w:basedOn w:val="9"/>
    <w:next w:val="9"/>
    <w:qFormat/>
    <w:uiPriority w:val="0"/>
    <w:rPr>
      <w:b/>
      <w:bCs/>
    </w:rPr>
  </w:style>
  <w:style w:type="character" w:styleId="26">
    <w:name w:val="Strong"/>
    <w:qFormat/>
    <w:uiPriority w:val="0"/>
    <w:rPr>
      <w:b/>
      <w:bCs/>
    </w:rPr>
  </w:style>
  <w:style w:type="character" w:styleId="27">
    <w:name w:val="page number"/>
    <w:qFormat/>
    <w:uiPriority w:val="0"/>
  </w:style>
  <w:style w:type="character" w:styleId="28">
    <w:name w:val="FollowedHyperlink"/>
    <w:basedOn w:val="25"/>
    <w:qFormat/>
    <w:uiPriority w:val="0"/>
    <w:rPr>
      <w:color w:val="800080"/>
      <w:u w:val="single"/>
    </w:rPr>
  </w:style>
  <w:style w:type="character" w:styleId="29">
    <w:name w:val="Hyperlink"/>
    <w:qFormat/>
    <w:uiPriority w:val="0"/>
    <w:rPr>
      <w:color w:val="0000FF"/>
      <w:u w:val="single"/>
    </w:rPr>
  </w:style>
  <w:style w:type="character" w:styleId="30">
    <w:name w:val="annotation reference"/>
    <w:basedOn w:val="25"/>
    <w:qFormat/>
    <w:uiPriority w:val="0"/>
    <w:rPr>
      <w:sz w:val="21"/>
      <w:szCs w:val="21"/>
    </w:rPr>
  </w:style>
  <w:style w:type="character" w:customStyle="1" w:styleId="31">
    <w:name w:val="heading 1 Char"/>
    <w:basedOn w:val="25"/>
    <w:link w:val="3"/>
    <w:qFormat/>
    <w:uiPriority w:val="0"/>
    <w:rPr>
      <w:rFonts w:ascii="宋体" w:hAnsi="宋体" w:eastAsia="宋体" w:cs="等线 Light"/>
      <w:b/>
      <w:snapToGrid w:val="0"/>
      <w:color w:val="auto"/>
      <w:kern w:val="0"/>
      <w:sz w:val="44"/>
      <w:szCs w:val="44"/>
      <w:shd w:val="clear" w:color="auto" w:fill="auto"/>
      <w:lang w:val="en-US" w:eastAsia="zh-CN" w:bidi="ar-SA"/>
    </w:rPr>
  </w:style>
  <w:style w:type="character" w:customStyle="1" w:styleId="32">
    <w:name w:val="heading 2 Char"/>
    <w:basedOn w:val="25"/>
    <w:link w:val="4"/>
    <w:qFormat/>
    <w:uiPriority w:val="0"/>
    <w:rPr>
      <w:rFonts w:ascii="宋体" w:hAnsi="宋体" w:eastAsia="宋体" w:cs="Times New Roman"/>
      <w:b/>
      <w:bCs/>
      <w:snapToGrid w:val="0"/>
      <w:color w:val="auto"/>
      <w:kern w:val="2"/>
      <w:sz w:val="24"/>
      <w:szCs w:val="24"/>
      <w:shd w:val="clear" w:color="auto" w:fill="auto"/>
      <w:lang w:val="en-US" w:eastAsia="zh-CN" w:bidi="ar-SA"/>
    </w:rPr>
  </w:style>
  <w:style w:type="character" w:customStyle="1" w:styleId="33">
    <w:name w:val="heading 3 Char"/>
    <w:basedOn w:val="25"/>
    <w:link w:val="5"/>
    <w:qFormat/>
    <w:uiPriority w:val="0"/>
    <w:rPr>
      <w:rFonts w:ascii="宋体" w:hAnsi="宋体" w:eastAsia="宋体" w:cs="宋体"/>
      <w:b/>
      <w:bCs/>
      <w:color w:val="auto"/>
      <w:kern w:val="2"/>
      <w:sz w:val="24"/>
      <w:szCs w:val="32"/>
      <w:shd w:val="clear" w:color="auto" w:fill="auto"/>
      <w:lang w:val="en-US" w:eastAsia="zh-CN" w:bidi="ar-SA"/>
    </w:rPr>
  </w:style>
  <w:style w:type="character" w:customStyle="1" w:styleId="34">
    <w:name w:val="heading 4 Char"/>
    <w:basedOn w:val="25"/>
    <w:link w:val="6"/>
    <w:qFormat/>
    <w:uiPriority w:val="0"/>
    <w:rPr>
      <w:rFonts w:ascii="Calibri Light" w:hAnsi="Calibri Light" w:eastAsia="宋体" w:cs="Times New Roman"/>
      <w:bCs/>
      <w:color w:val="auto"/>
      <w:kern w:val="2"/>
      <w:sz w:val="24"/>
      <w:szCs w:val="28"/>
      <w:shd w:val="clear" w:color="auto" w:fill="auto"/>
      <w:lang w:val="en-US" w:eastAsia="zh-CN" w:bidi="ar-SA"/>
    </w:rPr>
  </w:style>
  <w:style w:type="character" w:customStyle="1" w:styleId="35">
    <w:name w:val="heading 5 Char"/>
    <w:basedOn w:val="25"/>
    <w:link w:val="7"/>
    <w:qFormat/>
    <w:uiPriority w:val="0"/>
    <w:rPr>
      <w:rFonts w:ascii="宋体" w:hAnsi="宋体" w:eastAsia="宋体" w:cs="宋体"/>
      <w:b/>
      <w:color w:val="auto"/>
      <w:kern w:val="2"/>
      <w:sz w:val="28"/>
      <w:szCs w:val="20"/>
      <w:shd w:val="clear" w:color="auto" w:fill="auto"/>
      <w:lang w:val="en-US" w:eastAsia="zh-CN" w:bidi="ar-SA"/>
    </w:rPr>
  </w:style>
  <w:style w:type="character" w:customStyle="1" w:styleId="36">
    <w:name w:val="heading 6 Char"/>
    <w:basedOn w:val="25"/>
    <w:link w:val="8"/>
    <w:qFormat/>
    <w:uiPriority w:val="0"/>
    <w:rPr>
      <w:rFonts w:ascii="Arial" w:hAnsi="Arial" w:eastAsia="黑体" w:cs="宋体"/>
      <w:b/>
      <w:color w:val="auto"/>
      <w:kern w:val="2"/>
      <w:sz w:val="24"/>
      <w:szCs w:val="20"/>
      <w:shd w:val="clear" w:color="auto" w:fill="auto"/>
      <w:lang w:val="en-US" w:eastAsia="zh-CN" w:bidi="ar-SA"/>
    </w:rPr>
  </w:style>
  <w:style w:type="paragraph" w:customStyle="1" w:styleId="37">
    <w:name w:val="参选文件格式1"/>
    <w:basedOn w:val="1"/>
    <w:next w:val="1"/>
    <w:qFormat/>
    <w:uiPriority w:val="0"/>
    <w:pPr>
      <w:spacing w:line="360" w:lineRule="auto"/>
      <w:ind w:firstLine="0"/>
      <w:jc w:val="center"/>
      <w:outlineLvl w:val="1"/>
    </w:pPr>
    <w:rPr>
      <w:b/>
      <w:sz w:val="28"/>
    </w:rPr>
  </w:style>
  <w:style w:type="paragraph" w:customStyle="1" w:styleId="38">
    <w:name w:val="参选文件格式2"/>
    <w:basedOn w:val="1"/>
    <w:next w:val="1"/>
    <w:qFormat/>
    <w:uiPriority w:val="0"/>
    <w:pPr>
      <w:ind w:firstLine="0"/>
      <w:jc w:val="center"/>
      <w:outlineLvl w:val="2"/>
    </w:pPr>
    <w:rPr>
      <w:bCs/>
      <w:szCs w:val="32"/>
    </w:rPr>
  </w:style>
  <w:style w:type="paragraph" w:customStyle="1" w:styleId="39">
    <w:name w:val="参选文件格式3"/>
    <w:basedOn w:val="1"/>
    <w:link w:val="40"/>
    <w:qFormat/>
    <w:uiPriority w:val="0"/>
    <w:pPr>
      <w:tabs>
        <w:tab w:val="left" w:pos="6300"/>
      </w:tabs>
      <w:snapToGrid w:val="0"/>
      <w:ind w:firstLine="0"/>
      <w:jc w:val="center"/>
    </w:pPr>
    <w:rPr>
      <w:rFonts w:ascii="宋体" w:hAnsi="宋体"/>
      <w:b/>
      <w:snapToGrid w:val="0"/>
      <w:kern w:val="0"/>
    </w:rPr>
  </w:style>
  <w:style w:type="character" w:customStyle="1" w:styleId="40">
    <w:name w:val="参选文件格式3 Char"/>
    <w:basedOn w:val="25"/>
    <w:link w:val="39"/>
    <w:qFormat/>
    <w:uiPriority w:val="0"/>
    <w:rPr>
      <w:rFonts w:ascii="宋体" w:hAnsi="宋体" w:eastAsia="宋体" w:cs="宋体"/>
      <w:b/>
      <w:snapToGrid w:val="0"/>
      <w:color w:val="auto"/>
      <w:kern w:val="0"/>
      <w:sz w:val="24"/>
      <w:szCs w:val="20"/>
      <w:shd w:val="clear" w:color="auto" w:fill="auto"/>
      <w:lang w:val="en-US" w:eastAsia="zh-CN" w:bidi="ar-SA"/>
    </w:rPr>
  </w:style>
  <w:style w:type="character" w:customStyle="1" w:styleId="41">
    <w:name w:val="font11"/>
    <w:basedOn w:val="25"/>
    <w:qFormat/>
    <w:uiPriority w:val="0"/>
    <w:rPr>
      <w:rFonts w:ascii="宋体" w:hAnsi="宋体" w:eastAsia="宋体" w:cs="宋体"/>
      <w:b/>
      <w:bCs/>
      <w:color w:val="000000"/>
      <w:sz w:val="21"/>
      <w:szCs w:val="21"/>
      <w:u w:val="none"/>
    </w:rPr>
  </w:style>
  <w:style w:type="character" w:customStyle="1" w:styleId="42">
    <w:name w:val="font21"/>
    <w:basedOn w:val="25"/>
    <w:qFormat/>
    <w:uiPriority w:val="0"/>
    <w:rPr>
      <w:rFonts w:ascii="宋体" w:hAnsi="宋体" w:eastAsia="宋体" w:cs="宋体"/>
      <w:color w:val="000000"/>
      <w:sz w:val="21"/>
      <w:szCs w:val="21"/>
      <w:u w:val="none"/>
    </w:rPr>
  </w:style>
  <w:style w:type="character" w:customStyle="1" w:styleId="43">
    <w:name w:val="font31"/>
    <w:basedOn w:val="25"/>
    <w:qFormat/>
    <w:uiPriority w:val="0"/>
    <w:rPr>
      <w:rFonts w:ascii="宋体" w:hAnsi="宋体" w:eastAsia="宋体" w:cs="宋体"/>
      <w:color w:val="FF0000"/>
      <w:sz w:val="21"/>
      <w:szCs w:val="21"/>
      <w:u w:val="none"/>
    </w:rPr>
  </w:style>
  <w:style w:type="paragraph" w:styleId="44">
    <w:name w:val="List Paragraph"/>
    <w:basedOn w:val="1"/>
    <w:next w:val="12"/>
    <w:qFormat/>
    <w:uiPriority w:val="0"/>
    <w:pPr>
      <w:widowControl w:val="0"/>
      <w:autoSpaceDE w:val="0"/>
      <w:autoSpaceDN w:val="0"/>
      <w:spacing w:line="600" w:lineRule="exact"/>
      <w:ind w:firstLine="200" w:firstLineChars="200"/>
      <w:jc w:val="both"/>
    </w:pPr>
    <w:rPr>
      <w:rFonts w:ascii="Calibri" w:hAnsi="Calibri" w:eastAsia="宋体" w:cs="Cambria Math"/>
      <w:kern w:val="2"/>
      <w:sz w:val="24"/>
      <w:szCs w:val="22"/>
      <w:lang w:val="en-US" w:eastAsia="zh-CN" w:bidi="ar-SA"/>
    </w:rPr>
  </w:style>
  <w:style w:type="character" w:customStyle="1" w:styleId="45">
    <w:name w:val="font_text_1"/>
    <w:qFormat/>
    <w:uiPriority w:val="0"/>
    <w:rPr>
      <w:rFonts w:ascii="Times New Roman" w:hAnsi="Times New Roman" w:eastAsia="楷体_GB2312" w:cs="Times New Roman"/>
      <w:spacing w:val="2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114</Pages>
  <Words>48801</Words>
  <Characters>51564</Characters>
  <Lines>1</Lines>
  <Paragraphs>1</Paragraphs>
  <TotalTime>15</TotalTime>
  <ScaleCrop>false</ScaleCrop>
  <LinksUpToDate>false</LinksUpToDate>
  <CharactersWithSpaces>52560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2024-01-20T14:16:00Z</dcterms:created>
  <dc:creator>admin</dc:creator>
  <cp:lastModifiedBy>admin</cp:lastModifiedBy>
  <cp:lastPrinted>2024-01-23T17:29:00Z</cp:lastPrinted>
  <dcterms:modified xsi:type="dcterms:W3CDTF">2024-07-19T08:57:06Z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9E1766D32E0A41D4B09AB4AAEEADC14F_13</vt:lpwstr>
  </property>
</Properties>
</file>