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ECE99">
      <w:pPr>
        <w:tabs>
          <w:tab w:val="center" w:pos="4201"/>
          <w:tab w:val="right" w:leader="dot" w:pos="9298"/>
        </w:tabs>
        <w:spacing w:line="360" w:lineRule="auto"/>
        <w:ind w:firstLine="0" w:firstLineChars="0"/>
        <w:rPr>
          <w:rFonts w:ascii="Times New Roman" w:hAnsi="Times New Roman"/>
          <w:color w:val="auto"/>
          <w:highlight w:val="none"/>
        </w:rPr>
      </w:pPr>
    </w:p>
    <w:p w14:paraId="70E44208">
      <w:pPr>
        <w:spacing w:line="360" w:lineRule="auto"/>
        <w:ind w:firstLine="0" w:firstLineChars="0"/>
        <w:rPr>
          <w:rFonts w:ascii="Times New Roman" w:hAnsi="Times New Roman" w:cs="Cambria"/>
          <w:b/>
          <w:snapToGrid w:val="0"/>
          <w:color w:val="auto"/>
          <w:kern w:val="0"/>
          <w:sz w:val="52"/>
          <w:szCs w:val="84"/>
          <w:highlight w:val="none"/>
        </w:rPr>
      </w:pPr>
    </w:p>
    <w:p w14:paraId="63223CA9">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698F11B1">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审计监督信息系统优化升级</w:t>
      </w:r>
      <w:r>
        <w:rPr>
          <w:rFonts w:hint="eastAsia" w:ascii="Times New Roman" w:hAnsi="Times New Roman" w:cs="Times New Roman"/>
          <w:b/>
          <w:snapToGrid w:val="0"/>
          <w:color w:val="auto"/>
          <w:kern w:val="0"/>
          <w:sz w:val="48"/>
          <w:szCs w:val="84"/>
          <w:highlight w:val="none"/>
        </w:rPr>
        <w:t>项目</w:t>
      </w:r>
    </w:p>
    <w:p w14:paraId="030F0CBD">
      <w:pPr>
        <w:spacing w:line="360" w:lineRule="auto"/>
        <w:ind w:firstLine="0" w:firstLineChars="0"/>
        <w:rPr>
          <w:rFonts w:ascii="Times New Roman" w:hAnsi="Times New Roman" w:cs="Times New Roman"/>
          <w:snapToGrid w:val="0"/>
          <w:color w:val="auto"/>
          <w:kern w:val="0"/>
          <w:sz w:val="18"/>
          <w:highlight w:val="none"/>
        </w:rPr>
      </w:pPr>
    </w:p>
    <w:p w14:paraId="44A8C431">
      <w:pPr>
        <w:spacing w:line="360" w:lineRule="auto"/>
        <w:ind w:firstLine="0" w:firstLineChars="0"/>
        <w:rPr>
          <w:rFonts w:ascii="Times New Roman" w:hAnsi="Times New Roman" w:cs="Times New Roman"/>
          <w:snapToGrid w:val="0"/>
          <w:color w:val="auto"/>
          <w:kern w:val="0"/>
          <w:sz w:val="20"/>
          <w:highlight w:val="none"/>
        </w:rPr>
      </w:pPr>
    </w:p>
    <w:p w14:paraId="48C2C8D2">
      <w:pPr>
        <w:spacing w:line="360" w:lineRule="auto"/>
        <w:ind w:firstLine="0" w:firstLineChars="0"/>
        <w:rPr>
          <w:rFonts w:ascii="Times New Roman" w:hAnsi="Times New Roman" w:cs="Times New Roman"/>
          <w:snapToGrid w:val="0"/>
          <w:color w:val="auto"/>
          <w:kern w:val="0"/>
          <w:sz w:val="20"/>
          <w:highlight w:val="none"/>
        </w:rPr>
      </w:pPr>
    </w:p>
    <w:p w14:paraId="6CFCC6D7">
      <w:pPr>
        <w:spacing w:line="360" w:lineRule="auto"/>
        <w:ind w:firstLine="0" w:firstLineChars="0"/>
        <w:rPr>
          <w:rFonts w:ascii="Times New Roman" w:hAnsi="Times New Roman" w:cs="Times New Roman"/>
          <w:snapToGrid w:val="0"/>
          <w:color w:val="auto"/>
          <w:kern w:val="0"/>
          <w:sz w:val="20"/>
          <w:highlight w:val="none"/>
        </w:rPr>
      </w:pPr>
    </w:p>
    <w:p w14:paraId="6BA78679">
      <w:pPr>
        <w:spacing w:line="360" w:lineRule="auto"/>
        <w:ind w:firstLine="0" w:firstLineChars="0"/>
        <w:rPr>
          <w:rFonts w:ascii="Times New Roman" w:hAnsi="Times New Roman" w:cs="Times New Roman"/>
          <w:snapToGrid w:val="0"/>
          <w:color w:val="auto"/>
          <w:kern w:val="0"/>
          <w:sz w:val="20"/>
          <w:highlight w:val="none"/>
        </w:rPr>
      </w:pPr>
    </w:p>
    <w:p w14:paraId="6391F46F">
      <w:pPr>
        <w:spacing w:line="360" w:lineRule="auto"/>
        <w:ind w:firstLine="0" w:firstLineChars="0"/>
        <w:rPr>
          <w:rFonts w:ascii="Times New Roman" w:hAnsi="Times New Roman" w:cs="Times New Roman"/>
          <w:snapToGrid w:val="0"/>
          <w:color w:val="auto"/>
          <w:kern w:val="0"/>
          <w:sz w:val="20"/>
          <w:highlight w:val="none"/>
        </w:rPr>
      </w:pPr>
    </w:p>
    <w:p w14:paraId="4405D4BD">
      <w:pPr>
        <w:spacing w:line="360" w:lineRule="auto"/>
        <w:ind w:firstLine="0" w:firstLineChars="0"/>
        <w:rPr>
          <w:rFonts w:ascii="Times New Roman" w:hAnsi="Times New Roman" w:cs="Times New Roman"/>
          <w:snapToGrid w:val="0"/>
          <w:color w:val="auto"/>
          <w:kern w:val="0"/>
          <w:sz w:val="20"/>
          <w:highlight w:val="none"/>
        </w:rPr>
      </w:pPr>
    </w:p>
    <w:p w14:paraId="4F8A329C">
      <w:pPr>
        <w:spacing w:line="360" w:lineRule="auto"/>
        <w:ind w:firstLine="0" w:firstLineChars="0"/>
        <w:jc w:val="center"/>
        <w:rPr>
          <w:rFonts w:ascii="Times New Roman" w:hAnsi="Times New Roman" w:cs="Times New Roman"/>
          <w:b/>
          <w:snapToGrid w:val="0"/>
          <w:color w:val="auto"/>
          <w:kern w:val="0"/>
          <w:sz w:val="96"/>
          <w:szCs w:val="96"/>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7A180853">
      <w:pPr>
        <w:spacing w:line="360" w:lineRule="auto"/>
        <w:ind w:firstLine="0" w:firstLineChars="0"/>
        <w:jc w:val="center"/>
        <w:rPr>
          <w:rFonts w:ascii="Times New Roman" w:hAnsi="Times New Roman" w:cs="Times New Roman"/>
          <w:b/>
          <w:snapToGrid w:val="0"/>
          <w:color w:val="auto"/>
          <w:kern w:val="0"/>
          <w:szCs w:val="28"/>
          <w:highlight w:val="none"/>
        </w:rPr>
      </w:pPr>
    </w:p>
    <w:p w14:paraId="0844BD2C">
      <w:pPr>
        <w:spacing w:line="360" w:lineRule="auto"/>
        <w:ind w:firstLine="0" w:firstLineChars="0"/>
        <w:jc w:val="center"/>
        <w:rPr>
          <w:rFonts w:ascii="Times New Roman" w:hAnsi="Times New Roman" w:cs="Times New Roman"/>
          <w:b/>
          <w:snapToGrid w:val="0"/>
          <w:color w:val="auto"/>
          <w:kern w:val="0"/>
          <w:szCs w:val="28"/>
          <w:highlight w:val="none"/>
        </w:rPr>
      </w:pPr>
    </w:p>
    <w:p w14:paraId="4CC98F17">
      <w:pPr>
        <w:spacing w:line="360" w:lineRule="auto"/>
        <w:ind w:firstLine="0" w:firstLineChars="0"/>
        <w:jc w:val="center"/>
        <w:rPr>
          <w:rFonts w:ascii="Times New Roman" w:hAnsi="Times New Roman" w:cs="Times New Roman"/>
          <w:b/>
          <w:snapToGrid w:val="0"/>
          <w:color w:val="auto"/>
          <w:kern w:val="0"/>
          <w:szCs w:val="28"/>
          <w:highlight w:val="none"/>
        </w:rPr>
      </w:pPr>
    </w:p>
    <w:p w14:paraId="0E3CDD13">
      <w:pPr>
        <w:ind w:firstLine="0" w:firstLineChars="0"/>
        <w:rPr>
          <w:rFonts w:ascii="Times New Roman" w:hAnsi="Times New Roman"/>
          <w:color w:val="auto"/>
          <w:highlight w:val="none"/>
        </w:rPr>
      </w:pPr>
    </w:p>
    <w:p w14:paraId="2A066AF2">
      <w:pPr>
        <w:pStyle w:val="9"/>
        <w:rPr>
          <w:rFonts w:ascii="Times New Roman" w:hAnsi="Times New Roman"/>
          <w:color w:val="auto"/>
          <w:highlight w:val="none"/>
        </w:rPr>
      </w:pPr>
    </w:p>
    <w:p w14:paraId="045FCDC5">
      <w:pPr>
        <w:rPr>
          <w:rFonts w:ascii="Times New Roman" w:hAnsi="Times New Roman"/>
          <w:color w:val="auto"/>
          <w:highlight w:val="none"/>
        </w:rPr>
      </w:pPr>
    </w:p>
    <w:p w14:paraId="45123D46">
      <w:pPr>
        <w:rPr>
          <w:rFonts w:ascii="Times New Roman" w:hAnsi="Times New Roman"/>
          <w:color w:val="auto"/>
          <w:highlight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059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11069D4">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7F06F889">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35F37416">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（盖单位法人章）</w:t>
            </w:r>
          </w:p>
        </w:tc>
      </w:tr>
      <w:tr w14:paraId="23B5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96196BD">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188CBAAB">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7</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2D0BB9E1">
            <w:pPr>
              <w:rPr>
                <w:color w:val="auto"/>
                <w:highlight w:val="none"/>
              </w:rPr>
            </w:pPr>
          </w:p>
        </w:tc>
      </w:tr>
    </w:tbl>
    <w:p w14:paraId="517C7BCE">
      <w:pPr>
        <w:rPr>
          <w:rFonts w:ascii="Times New Roman" w:hAnsi="Times New Roman"/>
          <w:color w:val="auto"/>
          <w:highlight w:val="none"/>
        </w:rPr>
      </w:pPr>
    </w:p>
    <w:p w14:paraId="2FE0817A">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18BB6CB2">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74F11FB5">
      <w:pPr>
        <w:pStyle w:val="19"/>
        <w:tabs>
          <w:tab w:val="right" w:leader="dot" w:pos="8306"/>
        </w:tabs>
        <w:rPr>
          <w:color w:val="auto"/>
          <w:highlight w:val="none"/>
        </w:rPr>
      </w:pP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_Toc16012 </w:instrText>
      </w:r>
      <w:r>
        <w:rPr>
          <w:rFonts w:ascii="Times New Roman" w:hAnsi="Times New Roman"/>
          <w:snapToGrid w:val="0"/>
          <w:color w:val="auto"/>
          <w:kern w:val="0"/>
          <w:szCs w:val="24"/>
          <w:highlight w:val="none"/>
        </w:rPr>
        <w:fldChar w:fldCharType="separate"/>
      </w:r>
      <w:r>
        <w:rPr>
          <w:rFonts w:hint="eastAsia" w:ascii="Times New Roman" w:hAnsi="Times New Roman" w:cs="Times New Roman"/>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_Toc16012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snapToGrid w:val="0"/>
          <w:color w:val="auto"/>
          <w:kern w:val="0"/>
          <w:szCs w:val="24"/>
          <w:highlight w:val="none"/>
        </w:rPr>
        <w:fldChar w:fldCharType="end"/>
      </w:r>
    </w:p>
    <w:p w14:paraId="7E04F7B7">
      <w:pPr>
        <w:pStyle w:val="1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_Toc4889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_Toc4889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snapToGrid w:val="0"/>
          <w:color w:val="auto"/>
          <w:kern w:val="0"/>
          <w:szCs w:val="24"/>
          <w:highlight w:val="none"/>
        </w:rPr>
        <w:fldChar w:fldCharType="end"/>
      </w:r>
    </w:p>
    <w:p w14:paraId="14D99F36">
      <w:pPr>
        <w:pStyle w:val="1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_Toc6871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_Toc6871 \h </w:instrText>
      </w:r>
      <w:r>
        <w:rPr>
          <w:color w:val="auto"/>
          <w:highlight w:val="none"/>
        </w:rPr>
        <w:fldChar w:fldCharType="separate"/>
      </w:r>
      <w:r>
        <w:rPr>
          <w:color w:val="auto"/>
          <w:highlight w:val="none"/>
        </w:rPr>
        <w:t>15</w:t>
      </w:r>
      <w:r>
        <w:rPr>
          <w:color w:val="auto"/>
          <w:highlight w:val="none"/>
        </w:rPr>
        <w:fldChar w:fldCharType="end"/>
      </w:r>
      <w:r>
        <w:rPr>
          <w:rFonts w:ascii="Times New Roman" w:hAnsi="Times New Roman"/>
          <w:snapToGrid w:val="0"/>
          <w:color w:val="auto"/>
          <w:kern w:val="0"/>
          <w:szCs w:val="24"/>
          <w:highlight w:val="none"/>
        </w:rPr>
        <w:fldChar w:fldCharType="end"/>
      </w:r>
    </w:p>
    <w:p w14:paraId="4EF9E8D8">
      <w:pPr>
        <w:pStyle w:val="1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_Toc6239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_Toc6239 \h </w:instrText>
      </w:r>
      <w:r>
        <w:rPr>
          <w:color w:val="auto"/>
          <w:highlight w:val="none"/>
        </w:rPr>
        <w:fldChar w:fldCharType="separate"/>
      </w:r>
      <w:r>
        <w:rPr>
          <w:color w:val="auto"/>
          <w:highlight w:val="none"/>
        </w:rPr>
        <w:t>46</w:t>
      </w:r>
      <w:r>
        <w:rPr>
          <w:color w:val="auto"/>
          <w:highlight w:val="none"/>
        </w:rPr>
        <w:fldChar w:fldCharType="end"/>
      </w:r>
      <w:r>
        <w:rPr>
          <w:rFonts w:ascii="Times New Roman" w:hAnsi="Times New Roman"/>
          <w:snapToGrid w:val="0"/>
          <w:color w:val="auto"/>
          <w:kern w:val="0"/>
          <w:szCs w:val="24"/>
          <w:highlight w:val="none"/>
        </w:rPr>
        <w:fldChar w:fldCharType="end"/>
      </w:r>
    </w:p>
    <w:p w14:paraId="7B0D64DC">
      <w:pPr>
        <w:pStyle w:val="1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_Toc12976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第五章 合同</w:t>
      </w:r>
      <w:r>
        <w:rPr>
          <w:rFonts w:ascii="Times New Roman" w:hAnsi="Times New Roman"/>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_Toc12976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snapToGrid w:val="0"/>
          <w:color w:val="auto"/>
          <w:kern w:val="0"/>
          <w:szCs w:val="24"/>
          <w:highlight w:val="none"/>
        </w:rPr>
        <w:fldChar w:fldCharType="end"/>
      </w:r>
    </w:p>
    <w:p w14:paraId="19FF7A3B">
      <w:pPr>
        <w:pStyle w:val="1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_Toc11662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_Toc11662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snapToGrid w:val="0"/>
          <w:color w:val="auto"/>
          <w:kern w:val="0"/>
          <w:szCs w:val="24"/>
          <w:highlight w:val="none"/>
        </w:rPr>
        <w:fldChar w:fldCharType="end"/>
      </w:r>
    </w:p>
    <w:p w14:paraId="1C156606">
      <w:pPr>
        <w:widowControl/>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7195704C">
      <w:pPr>
        <w:widowControl/>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2E5E1DF">
      <w:pPr>
        <w:pStyle w:val="2"/>
        <w:rPr>
          <w:rFonts w:ascii="Times New Roman" w:hAnsi="Times New Roman" w:cs="Times New Roman"/>
          <w:color w:val="auto"/>
          <w:highlight w:val="none"/>
        </w:rPr>
      </w:pPr>
      <w:bookmarkStart w:id="0" w:name="_Toc440628903"/>
      <w:bookmarkStart w:id="1" w:name="_Toc6745"/>
      <w:bookmarkStart w:id="2" w:name="_Toc4207"/>
      <w:bookmarkStart w:id="3" w:name="_Toc678"/>
      <w:bookmarkStart w:id="4" w:name="_Toc10023"/>
      <w:bookmarkStart w:id="5" w:name="_Toc469574661"/>
      <w:bookmarkStart w:id="6" w:name="_Toc16012"/>
      <w:bookmarkStart w:id="7" w:name="_Toc16965"/>
      <w:bookmarkStart w:id="8" w:name="_Toc21470"/>
      <w:r>
        <w:rPr>
          <w:rFonts w:hint="eastAsia" w:ascii="Times New Roman" w:hAnsi="Times New Roman" w:cs="Times New Roman"/>
          <w:color w:val="auto"/>
          <w:highlight w:val="none"/>
        </w:rPr>
        <w:t>第一章</w:t>
      </w:r>
      <w:bookmarkEnd w:id="0"/>
      <w:r>
        <w:rPr>
          <w:rFonts w:hint="eastAsia" w:ascii="Times New Roman" w:hAnsi="Times New Roman" w:cs="Times New Roman"/>
          <w:color w:val="auto"/>
          <w:highlight w:val="none"/>
        </w:rPr>
        <w:t xml:space="preserve"> 比选公告</w:t>
      </w:r>
      <w:bookmarkEnd w:id="1"/>
      <w:bookmarkEnd w:id="2"/>
      <w:bookmarkEnd w:id="3"/>
      <w:bookmarkEnd w:id="4"/>
      <w:bookmarkEnd w:id="5"/>
      <w:bookmarkEnd w:id="6"/>
      <w:bookmarkEnd w:id="7"/>
      <w:bookmarkEnd w:id="8"/>
    </w:p>
    <w:p w14:paraId="0C9389A6">
      <w:pPr>
        <w:ind w:firstLine="0" w:firstLineChars="0"/>
        <w:jc w:val="center"/>
        <w:rPr>
          <w:rFonts w:ascii="Times New Roman" w:hAnsi="Times New Roman" w:cs="Times New Roman"/>
          <w:color w:val="auto"/>
          <w:sz w:val="44"/>
          <w:szCs w:val="32"/>
          <w:highlight w:val="none"/>
        </w:rPr>
      </w:pPr>
      <w:r>
        <w:rPr>
          <w:rFonts w:hint="eastAsia" w:ascii="Times New Roman" w:hAnsi="Times New Roman" w:cs="Times New Roman"/>
          <w:color w:val="auto"/>
          <w:sz w:val="44"/>
          <w:szCs w:val="32"/>
          <w:highlight w:val="none"/>
        </w:rPr>
        <w:t>重庆三峡银行审计监督信息系统优化升级项目比选公告</w:t>
      </w:r>
    </w:p>
    <w:p w14:paraId="0DCDD22B">
      <w:pPr>
        <w:rPr>
          <w:rFonts w:ascii="Times New Roman" w:hAnsi="Times New Roman"/>
          <w:color w:val="auto"/>
          <w:highlight w:val="none"/>
        </w:rPr>
      </w:pPr>
      <w:bookmarkStart w:id="9" w:name="_Toc89675127"/>
      <w:bookmarkStart w:id="10" w:name="_Toc55379218"/>
      <w:r>
        <w:rPr>
          <w:rFonts w:ascii="Times New Roman" w:hAnsi="Times New Roman" w:cs="Times New Roman"/>
          <w:color w:val="auto"/>
          <w:highlight w:val="none"/>
        </w:rPr>
        <w:t>为持续加强宏观审慎管理，进一步提高对内部审计的要求，扩大审计覆盖面。我行审计监督信息系统由于建设时间早，随着信息系统技术的发展和本行业务的拓展，已滞后行内其他系统，功能、效率和兼容性不足突显，并且将根据我行信息科技国产化要求适配国产化软、硬件。因此，重庆三峡银行拟推进审计监督信息系统优化升级项目</w:t>
      </w:r>
      <w:r>
        <w:rPr>
          <w:rFonts w:hint="eastAsia" w:ascii="Times New Roman" w:hAnsi="Times New Roman" w:cs="Times New Roman"/>
          <w:color w:val="auto"/>
          <w:highlight w:val="none"/>
        </w:rPr>
        <w:t>。</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ascii="Times New Roman" w:hAnsi="Times New Roman" w:cs="Cambria"/>
          <w:snapToGrid w:val="0"/>
          <w:color w:val="auto"/>
          <w:kern w:val="0"/>
          <w:szCs w:val="24"/>
          <w:highlight w:val="none"/>
        </w:rPr>
        <w:t>审计监督信息系统优化升级</w:t>
      </w:r>
      <w:r>
        <w:rPr>
          <w:rFonts w:hint="eastAsia" w:ascii="Times New Roman" w:hAnsi="Times New Roman"/>
          <w:color w:val="auto"/>
          <w:highlight w:val="none"/>
        </w:rPr>
        <w:t>项目进行公开比选，</w:t>
      </w:r>
      <w:r>
        <w:rPr>
          <w:rFonts w:ascii="Times New Roman" w:hAnsi="Times New Roman"/>
          <w:color w:val="auto"/>
          <w:highlight w:val="none"/>
        </w:rPr>
        <w:t>特邀请有</w:t>
      </w:r>
      <w:bookmarkStart w:id="11" w:name="_Hlk59455120"/>
      <w:r>
        <w:rPr>
          <w:rFonts w:ascii="Times New Roman" w:hAnsi="Times New Roman"/>
          <w:color w:val="auto"/>
          <w:highlight w:val="none"/>
        </w:rPr>
        <w:t>意向</w:t>
      </w:r>
      <w:bookmarkEnd w:id="11"/>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3F1A3634">
      <w:pPr>
        <w:pStyle w:val="3"/>
        <w:rPr>
          <w:rFonts w:ascii="Times New Roman" w:hAnsi="Times New Roman"/>
          <w:color w:val="auto"/>
          <w:highlight w:val="none"/>
        </w:rPr>
      </w:pPr>
      <w:bookmarkStart w:id="12" w:name="_Toc32476"/>
      <w:bookmarkStart w:id="13" w:name="_Toc13505"/>
      <w:r>
        <w:rPr>
          <w:rFonts w:hint="eastAsia" w:ascii="Times New Roman" w:hAnsi="Times New Roman"/>
          <w:color w:val="auto"/>
          <w:highlight w:val="none"/>
        </w:rPr>
        <w:t>1. 比选项目内容</w:t>
      </w:r>
      <w:bookmarkEnd w:id="9"/>
      <w:bookmarkEnd w:id="10"/>
      <w:bookmarkEnd w:id="12"/>
      <w:bookmarkEnd w:id="13"/>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194"/>
        <w:gridCol w:w="1278"/>
        <w:gridCol w:w="1798"/>
        <w:gridCol w:w="1798"/>
      </w:tblGrid>
      <w:tr w14:paraId="22FB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80D2ABE">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3194" w:type="dxa"/>
            <w:vAlign w:val="center"/>
          </w:tcPr>
          <w:p w14:paraId="49475CE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278" w:type="dxa"/>
            <w:vAlign w:val="center"/>
          </w:tcPr>
          <w:p w14:paraId="7810466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3C36AB7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09952865">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2E93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5F96FA0">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3194" w:type="dxa"/>
            <w:vAlign w:val="center"/>
          </w:tcPr>
          <w:p w14:paraId="5D7B2002">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重庆三峡银行审计监督信息系统优化升级项目</w:t>
            </w:r>
          </w:p>
        </w:tc>
        <w:tc>
          <w:tcPr>
            <w:tcW w:w="1278" w:type="dxa"/>
            <w:vAlign w:val="center"/>
          </w:tcPr>
          <w:p w14:paraId="6687216B">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130万元</w:t>
            </w:r>
          </w:p>
        </w:tc>
        <w:tc>
          <w:tcPr>
            <w:tcW w:w="1798" w:type="dxa"/>
            <w:vAlign w:val="center"/>
          </w:tcPr>
          <w:p w14:paraId="6E1397AA">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1798" w:type="dxa"/>
            <w:vAlign w:val="center"/>
          </w:tcPr>
          <w:p w14:paraId="1AE86712">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含税</w:t>
            </w:r>
          </w:p>
        </w:tc>
      </w:tr>
    </w:tbl>
    <w:p w14:paraId="325346DD">
      <w:pPr>
        <w:pStyle w:val="3"/>
        <w:rPr>
          <w:rFonts w:ascii="Times New Roman" w:hAnsi="Times New Roman"/>
          <w:color w:val="auto"/>
          <w:highlight w:val="none"/>
        </w:rPr>
      </w:pPr>
      <w:bookmarkStart w:id="14" w:name="_Toc288224935"/>
      <w:bookmarkStart w:id="15" w:name="_Toc30417"/>
      <w:bookmarkStart w:id="16" w:name="_Toc55379219"/>
      <w:bookmarkStart w:id="17" w:name="_Toc469574664"/>
      <w:bookmarkStart w:id="18" w:name="_Toc297817088"/>
      <w:bookmarkStart w:id="19" w:name="_Toc27419"/>
      <w:bookmarkStart w:id="20" w:name="_Toc89675128"/>
      <w:r>
        <w:rPr>
          <w:rFonts w:hint="eastAsia" w:ascii="Times New Roman" w:hAnsi="Times New Roman"/>
          <w:color w:val="auto"/>
          <w:highlight w:val="none"/>
        </w:rPr>
        <w:t>2. 参选人资格要求</w:t>
      </w:r>
      <w:bookmarkEnd w:id="14"/>
      <w:bookmarkEnd w:id="15"/>
      <w:bookmarkEnd w:id="16"/>
      <w:bookmarkEnd w:id="17"/>
      <w:bookmarkEnd w:id="18"/>
      <w:bookmarkEnd w:id="19"/>
      <w:bookmarkEnd w:id="20"/>
    </w:p>
    <w:p w14:paraId="63061F95">
      <w:pPr>
        <w:rPr>
          <w:rFonts w:ascii="Times New Roman" w:hAnsi="Times New Roman"/>
          <w:color w:val="auto"/>
          <w:highlight w:val="none"/>
        </w:rPr>
      </w:pPr>
      <w:bookmarkStart w:id="21" w:name="_Hlk55488870"/>
      <w:r>
        <w:rPr>
          <w:rFonts w:hint="eastAsia" w:ascii="Times New Roman" w:hAnsi="Times New Roman"/>
          <w:color w:val="auto"/>
          <w:highlight w:val="none"/>
        </w:rPr>
        <w:t>2.1 具有独立承担民事责任的能力</w:t>
      </w:r>
    </w:p>
    <w:p w14:paraId="43B58B39">
      <w:pPr>
        <w:rPr>
          <w:rFonts w:ascii="Times New Roman" w:hAnsi="Times New Roman"/>
          <w:color w:val="auto"/>
          <w:highlight w:val="none"/>
        </w:rPr>
      </w:pP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【提供参选人有效营业执照（副本）或事业单位法人证书（副本）或个体工商户营业执照或有效的自然人身份证明；参选人法定代表人身份证明和法定代表人授权委托书。】</w:t>
      </w:r>
    </w:p>
    <w:p w14:paraId="3D035F0E">
      <w:pPr>
        <w:rPr>
          <w:rFonts w:ascii="Times New Roman" w:hAnsi="Times New Roman"/>
          <w:color w:val="auto"/>
          <w:highlight w:val="none"/>
        </w:rPr>
      </w:pPr>
      <w:r>
        <w:rPr>
          <w:rFonts w:hint="eastAsia" w:ascii="Times New Roman" w:hAnsi="Times New Roman"/>
          <w:color w:val="auto"/>
          <w:highlight w:val="none"/>
        </w:rPr>
        <w:t>注：若为法定代表人办理并签署参选文件的，不提供授权委托书。</w:t>
      </w:r>
    </w:p>
    <w:p w14:paraId="1A9462AC">
      <w:pPr>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6DA5D149">
      <w:pPr>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556F1F54">
      <w:pPr>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70E4B533">
      <w:pPr>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2158F615">
      <w:pPr>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3381FCB0">
      <w:pPr>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68DB7B44">
      <w:pPr>
        <w:rPr>
          <w:rFonts w:ascii="Times New Roman" w:hAnsi="Times New Roman"/>
          <w:color w:val="auto"/>
          <w:highlight w:val="none"/>
        </w:rPr>
      </w:pPr>
      <w:r>
        <w:rPr>
          <w:rFonts w:hint="eastAsia" w:ascii="Times New Roman" w:hAnsi="Times New Roman"/>
          <w:color w:val="auto"/>
          <w:highlight w:val="none"/>
        </w:rPr>
        <w:t>2.8 本次招标不接受联合体参选。</w:t>
      </w:r>
    </w:p>
    <w:p w14:paraId="318342A7">
      <w:pPr>
        <w:rPr>
          <w:rFonts w:ascii="Times New Roman" w:hAnsi="Times New Roman"/>
          <w:color w:val="auto"/>
          <w:highlight w:val="none"/>
        </w:rPr>
      </w:pPr>
      <w:r>
        <w:rPr>
          <w:rFonts w:hint="eastAsia" w:ascii="Times New Roman" w:hAnsi="Times New Roman"/>
          <w:color w:val="auto"/>
          <w:highlight w:val="none"/>
        </w:rPr>
        <w:t>2.9</w:t>
      </w:r>
      <w:r>
        <w:rPr>
          <w:rFonts w:ascii="Times New Roman" w:hAnsi="Times New Roman"/>
          <w:color w:val="auto"/>
          <w:highlight w:val="none"/>
        </w:rPr>
        <w:t xml:space="preserve"> </w:t>
      </w:r>
      <w:r>
        <w:rPr>
          <w:rFonts w:hint="eastAsia" w:ascii="Times New Roman" w:hAnsi="Times New Roman"/>
          <w:color w:val="auto"/>
          <w:highlight w:val="none"/>
        </w:rPr>
        <w:t>20</w:t>
      </w:r>
      <w:r>
        <w:rPr>
          <w:rFonts w:ascii="Times New Roman" w:hAnsi="Times New Roman"/>
          <w:color w:val="auto"/>
          <w:highlight w:val="none"/>
        </w:rPr>
        <w:t>21</w:t>
      </w:r>
      <w:r>
        <w:rPr>
          <w:rFonts w:hint="eastAsia" w:ascii="Times New Roman" w:hAnsi="Times New Roman"/>
          <w:color w:val="auto"/>
          <w:highlight w:val="none"/>
        </w:rPr>
        <w:t>年</w:t>
      </w:r>
      <w:r>
        <w:rPr>
          <w:rFonts w:ascii="Times New Roman" w:hAnsi="Times New Roman"/>
          <w:color w:val="auto"/>
          <w:highlight w:val="none"/>
        </w:rPr>
        <w:t>1</w:t>
      </w:r>
      <w:r>
        <w:rPr>
          <w:rFonts w:hint="eastAsia" w:ascii="Times New Roman" w:hAnsi="Times New Roman"/>
          <w:color w:val="auto"/>
          <w:highlight w:val="none"/>
        </w:rPr>
        <w:t>月1日至</w:t>
      </w:r>
      <w:r>
        <w:rPr>
          <w:rFonts w:ascii="Times New Roman" w:hAnsi="Times New Roman" w:cs="Times New Roman"/>
          <w:snapToGrid w:val="0"/>
          <w:color w:val="auto"/>
          <w:highlight w:val="none"/>
        </w:rPr>
        <w:t>2024年3月31日（以合同签订日期为准），参选人须</w:t>
      </w:r>
      <w:r>
        <w:rPr>
          <w:rFonts w:hint="eastAsia" w:ascii="Times New Roman" w:hAnsi="Times New Roman"/>
          <w:color w:val="auto"/>
          <w:highlight w:val="none"/>
        </w:rPr>
        <w:t>具有</w:t>
      </w:r>
      <w:r>
        <w:rPr>
          <w:rFonts w:ascii="Times New Roman" w:hAnsi="Times New Roman"/>
          <w:color w:val="auto"/>
          <w:highlight w:val="none"/>
        </w:rPr>
        <w:t>包含全栈信创的全国性股份制商业银行或城市商业银行及农村商业银行（含信用社）</w:t>
      </w:r>
      <w:r>
        <w:rPr>
          <w:rFonts w:ascii="宋体" w:cs="宋体"/>
          <w:snapToGrid w:val="0"/>
          <w:color w:val="auto"/>
          <w:kern w:val="0"/>
          <w:szCs w:val="24"/>
          <w:highlight w:val="none"/>
        </w:rPr>
        <w:t>全行级</w:t>
      </w:r>
      <w:r>
        <w:rPr>
          <w:rFonts w:hint="eastAsia" w:ascii="宋体" w:cs="宋体"/>
          <w:snapToGrid w:val="0"/>
          <w:color w:val="auto"/>
          <w:kern w:val="0"/>
          <w:szCs w:val="24"/>
          <w:highlight w:val="none"/>
        </w:rPr>
        <w:t>审计</w:t>
      </w:r>
      <w:r>
        <w:rPr>
          <w:rFonts w:ascii="宋体" w:cs="宋体"/>
          <w:snapToGrid w:val="0"/>
          <w:color w:val="auto"/>
          <w:kern w:val="0"/>
          <w:szCs w:val="24"/>
          <w:highlight w:val="none"/>
        </w:rPr>
        <w:t>信息</w:t>
      </w:r>
      <w:r>
        <w:rPr>
          <w:rFonts w:hint="eastAsia" w:ascii="宋体" w:cs="宋体"/>
          <w:snapToGrid w:val="0"/>
          <w:color w:val="auto"/>
          <w:kern w:val="0"/>
          <w:szCs w:val="24"/>
          <w:highlight w:val="none"/>
        </w:rPr>
        <w:t>系统</w:t>
      </w:r>
      <w:r>
        <w:rPr>
          <w:rFonts w:ascii="宋体" w:cs="宋体"/>
          <w:snapToGrid w:val="0"/>
          <w:color w:val="auto"/>
          <w:kern w:val="0"/>
          <w:szCs w:val="24"/>
          <w:highlight w:val="none"/>
        </w:rPr>
        <w:t>项目</w:t>
      </w:r>
      <w:r>
        <w:rPr>
          <w:rFonts w:hint="eastAsia" w:ascii="宋体" w:cs="宋体"/>
          <w:snapToGrid w:val="0"/>
          <w:color w:val="auto"/>
          <w:kern w:val="0"/>
          <w:szCs w:val="24"/>
          <w:highlight w:val="none"/>
        </w:rPr>
        <w:t>实施案例</w:t>
      </w:r>
      <w:r>
        <w:rPr>
          <w:rFonts w:hint="eastAsia" w:ascii="Times New Roman" w:hAnsi="Times New Roman"/>
          <w:color w:val="auto"/>
          <w:highlight w:val="none"/>
        </w:rPr>
        <w:t>不少于</w:t>
      </w:r>
      <w:r>
        <w:rPr>
          <w:rFonts w:ascii="Times New Roman" w:hAnsi="Times New Roman"/>
          <w:color w:val="auto"/>
          <w:highlight w:val="none"/>
        </w:rPr>
        <w:t>1个（含1个）</w:t>
      </w:r>
      <w:r>
        <w:rPr>
          <w:rFonts w:hint="eastAsia" w:ascii="Times New Roman" w:hAnsi="Times New Roman"/>
          <w:color w:val="auto"/>
          <w:highlight w:val="none"/>
        </w:rPr>
        <w:t>，低于</w:t>
      </w:r>
      <w:r>
        <w:rPr>
          <w:rFonts w:ascii="Times New Roman" w:hAnsi="Times New Roman"/>
          <w:color w:val="auto"/>
          <w:highlight w:val="none"/>
        </w:rPr>
        <w:t>1</w:t>
      </w:r>
      <w:r>
        <w:rPr>
          <w:rFonts w:hint="eastAsia" w:ascii="Times New Roman" w:hAnsi="Times New Roman"/>
          <w:color w:val="auto"/>
          <w:highlight w:val="none"/>
        </w:rPr>
        <w:t>个（不含</w:t>
      </w:r>
      <w:r>
        <w:rPr>
          <w:rFonts w:ascii="Times New Roman" w:hAnsi="Times New Roman"/>
          <w:color w:val="auto"/>
          <w:highlight w:val="none"/>
        </w:rPr>
        <w:t>1</w:t>
      </w:r>
      <w:r>
        <w:rPr>
          <w:rFonts w:hint="eastAsia" w:ascii="Times New Roman" w:hAnsi="Times New Roman"/>
          <w:color w:val="auto"/>
          <w:highlight w:val="none"/>
        </w:rPr>
        <w:t>个）取消参选资质【案例须同时提供</w:t>
      </w:r>
      <w:r>
        <w:rPr>
          <w:rFonts w:ascii="Times New Roman" w:hAnsi="Times New Roman"/>
          <w:color w:val="auto"/>
          <w:highlight w:val="none"/>
        </w:rPr>
        <w:t>项目简介、</w:t>
      </w:r>
      <w:r>
        <w:rPr>
          <w:rFonts w:hint="eastAsia" w:ascii="Times New Roman" w:hAnsi="Times New Roman"/>
          <w:color w:val="auto"/>
          <w:highlight w:val="none"/>
        </w:rPr>
        <w:t>合同关键页复印件、合同对应的发票之一和网上税务系统查询该发票截图。（发票开具日期须晚于合同签订日期、发票购买方须与合同买方一致、发票销售方须与合同卖方（参选人）一致）】</w:t>
      </w:r>
    </w:p>
    <w:p w14:paraId="221378C1">
      <w:pPr>
        <w:rPr>
          <w:rFonts w:ascii="Times New Roman" w:hAnsi="Times New Roman"/>
          <w:color w:val="auto"/>
          <w:highlight w:val="none"/>
        </w:rPr>
      </w:pPr>
      <w:r>
        <w:rPr>
          <w:rFonts w:ascii="Times New Roman" w:hAnsi="Times New Roman"/>
          <w:color w:val="auto"/>
          <w:highlight w:val="none"/>
        </w:rPr>
        <w:t>2.10 参选人注册资金在2000万（含）以上，否则</w:t>
      </w:r>
      <w:r>
        <w:rPr>
          <w:rFonts w:hint="eastAsia" w:ascii="Times New Roman" w:hAnsi="Times New Roman"/>
          <w:color w:val="auto"/>
          <w:highlight w:val="none"/>
        </w:rPr>
        <w:t>取消参选</w:t>
      </w:r>
      <w:r>
        <w:rPr>
          <w:rFonts w:ascii="Times New Roman" w:hAnsi="Times New Roman"/>
          <w:color w:val="auto"/>
          <w:highlight w:val="none"/>
        </w:rPr>
        <w:t>资格。</w:t>
      </w:r>
    </w:p>
    <w:p w14:paraId="6FB86E9A">
      <w:pPr>
        <w:rPr>
          <w:rFonts w:ascii="Times New Roman" w:hAnsi="Times New Roman"/>
          <w:color w:val="auto"/>
          <w:highlight w:val="none"/>
        </w:rPr>
      </w:pPr>
      <w:r>
        <w:rPr>
          <w:rFonts w:hint="eastAsia" w:ascii="Times New Roman" w:hAnsi="Times New Roman"/>
          <w:color w:val="auto"/>
          <w:highlight w:val="none"/>
        </w:rPr>
        <w:t>2.1</w:t>
      </w:r>
      <w:r>
        <w:rPr>
          <w:rFonts w:ascii="Times New Roman" w:hAnsi="Times New Roman"/>
          <w:color w:val="auto"/>
          <w:highlight w:val="none"/>
        </w:rPr>
        <w:t>1</w:t>
      </w:r>
      <w:r>
        <w:rPr>
          <w:rFonts w:hint="eastAsia" w:ascii="Times New Roman" w:hAnsi="Times New Roman"/>
          <w:color w:val="auto"/>
          <w:highlight w:val="none"/>
        </w:rPr>
        <w:t xml:space="preserve"> </w:t>
      </w:r>
      <w:r>
        <w:rPr>
          <w:rFonts w:ascii="Times New Roman" w:hAnsi="Times New Roman"/>
          <w:color w:val="auto"/>
          <w:highlight w:val="none"/>
        </w:rPr>
        <w:t>参选人注册成立时间不少于3年（含3年），且近3年财务状况稳定。且参选人须具有本次比选内容所涉及的第三方软件代理资格（含开源软件的合法授权），取得本次比选内容所涉及的第三方软件产品的原厂商授权书或确认函</w:t>
      </w:r>
      <w:r>
        <w:rPr>
          <w:rFonts w:hint="eastAsia"/>
          <w:color w:val="auto"/>
          <w:highlight w:val="none"/>
        </w:rPr>
        <w:t>（如不涉及第三方软件，则提供未使用第三方软件产品确认函）</w:t>
      </w:r>
      <w:r>
        <w:rPr>
          <w:rFonts w:ascii="Times New Roman" w:hAnsi="Times New Roman"/>
          <w:color w:val="auto"/>
          <w:highlight w:val="none"/>
        </w:rPr>
        <w:t>。【注册成立时间提供营业执照</w:t>
      </w:r>
      <w:r>
        <w:rPr>
          <w:rFonts w:hint="eastAsia" w:ascii="Times New Roman" w:hAnsi="Times New Roman"/>
          <w:color w:val="auto"/>
          <w:highlight w:val="none"/>
          <w:lang w:eastAsia="zh-CN"/>
        </w:rPr>
        <w:t>，</w:t>
      </w:r>
      <w:r>
        <w:rPr>
          <w:rFonts w:ascii="Times New Roman" w:hAnsi="Times New Roman"/>
          <w:color w:val="auto"/>
          <w:highlight w:val="none"/>
        </w:rPr>
        <w:t>财务状况提供书面声明</w:t>
      </w:r>
      <w:r>
        <w:rPr>
          <w:rFonts w:hint="eastAsia" w:ascii="Times New Roman" w:hAnsi="Times New Roman"/>
          <w:color w:val="auto"/>
          <w:highlight w:val="none"/>
          <w:lang w:eastAsia="zh-CN"/>
        </w:rPr>
        <w:t>，</w:t>
      </w:r>
      <w:r>
        <w:rPr>
          <w:rFonts w:ascii="Times New Roman" w:hAnsi="Times New Roman"/>
          <w:color w:val="auto"/>
          <w:highlight w:val="none"/>
        </w:rPr>
        <w:t>代理资格提供第三方软件产品的原厂商授权书或确认函】</w:t>
      </w:r>
    </w:p>
    <w:p w14:paraId="63235333">
      <w:pPr>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6C46F3B9">
      <w:pPr>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EE8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4840725">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78AC6C88">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2F49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FF5455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64C98DB5">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5E672DAE">
      <w:pPr>
        <w:rPr>
          <w:rFonts w:ascii="Times New Roman" w:hAnsi="Times New Roman"/>
          <w:color w:val="auto"/>
          <w:highlight w:val="none"/>
        </w:rPr>
      </w:pPr>
    </w:p>
    <w:bookmarkEnd w:id="21"/>
    <w:p w14:paraId="3ECFBA69">
      <w:pPr>
        <w:widowControl w:val="0"/>
        <w:autoSpaceDE w:val="0"/>
        <w:autoSpaceDN w:val="0"/>
        <w:spacing w:line="600" w:lineRule="exact"/>
        <w:ind w:firstLine="0" w:firstLineChars="0"/>
        <w:jc w:val="both"/>
        <w:outlineLvl w:val="1"/>
        <w:rPr>
          <w:rFonts w:ascii="宋体" w:hAnsi="Times New Roman" w:eastAsia="宋体" w:cs="Times New Roman"/>
          <w:b/>
          <w:bCs/>
          <w:snapToGrid w:val="0"/>
          <w:color w:val="auto"/>
          <w:kern w:val="2"/>
          <w:sz w:val="24"/>
          <w:szCs w:val="24"/>
          <w:highlight w:val="none"/>
          <w:lang w:val="en-US" w:eastAsia="zh-CN" w:bidi="ar-SA"/>
        </w:rPr>
      </w:pPr>
      <w:bookmarkStart w:id="22" w:name="_Toc13530"/>
      <w:bookmarkStart w:id="23" w:name="_Toc55379220"/>
      <w:bookmarkStart w:id="24" w:name="_Toc11030"/>
      <w:bookmarkStart w:id="25" w:name="_Toc469574667"/>
      <w:bookmarkStart w:id="26" w:name="_Toc55379221"/>
      <w:bookmarkStart w:id="27" w:name="_Toc297817090"/>
      <w:bookmarkStart w:id="28" w:name="_Toc89675130"/>
      <w:r>
        <w:rPr>
          <w:rFonts w:hint="eastAsia" w:ascii="宋体" w:hAnsi="Times New Roman" w:eastAsia="宋体" w:cs="Times New Roman"/>
          <w:b/>
          <w:bCs/>
          <w:snapToGrid w:val="0"/>
          <w:color w:val="auto"/>
          <w:kern w:val="2"/>
          <w:sz w:val="24"/>
          <w:szCs w:val="24"/>
          <w:highlight w:val="none"/>
          <w:lang w:val="en-US" w:eastAsia="zh-CN" w:bidi="ar-SA"/>
        </w:rPr>
        <w:t>3. 比选文件的获取</w:t>
      </w:r>
      <w:bookmarkEnd w:id="22"/>
      <w:bookmarkEnd w:id="23"/>
      <w:bookmarkEnd w:id="24"/>
    </w:p>
    <w:p w14:paraId="6CD31C60">
      <w:pPr>
        <w:ind w:firstLine="480"/>
        <w:jc w:val="both"/>
        <w:rPr>
          <w:rFonts w:ascii="Times New Roman" w:hAnsi="Times New Roman" w:cs="Times New Roman"/>
          <w:color w:val="auto"/>
          <w:szCs w:val="20"/>
          <w:highlight w:val="none"/>
        </w:rPr>
      </w:pPr>
      <w:r>
        <w:rPr>
          <w:rFonts w:ascii="Times New Roman" w:hAnsi="Times New Roman" w:cs="Times New Roman"/>
          <w:color w:val="auto"/>
          <w:szCs w:val="20"/>
          <w:highlight w:val="none"/>
        </w:rPr>
        <w:t>3.1 获取时间和方式：从</w:t>
      </w:r>
      <w:r>
        <w:rPr>
          <w:rFonts w:hint="eastAsia" w:ascii="Times New Roman" w:hAnsi="Times New Roman" w:cs="Times New Roman"/>
          <w:color w:val="auto"/>
          <w:szCs w:val="20"/>
          <w:highlight w:val="none"/>
          <w:u w:val="single"/>
          <w:lang w:val="en-US" w:eastAsia="zh-CN"/>
        </w:rPr>
        <w:t>2024</w:t>
      </w:r>
      <w:r>
        <w:rPr>
          <w:rFonts w:ascii="Times New Roman" w:hAnsi="Times New Roman" w:cs="Times New Roman"/>
          <w:color w:val="auto"/>
          <w:szCs w:val="20"/>
          <w:highlight w:val="none"/>
        </w:rPr>
        <w:t>年</w:t>
      </w:r>
      <w:r>
        <w:rPr>
          <w:rFonts w:hint="eastAsia" w:ascii="Times New Roman" w:hAnsi="Times New Roman" w:cs="Times New Roman"/>
          <w:color w:val="auto"/>
          <w:szCs w:val="20"/>
          <w:highlight w:val="none"/>
          <w:u w:val="single"/>
          <w:lang w:val="en-US" w:eastAsia="zh-CN"/>
        </w:rPr>
        <w:t>7</w:t>
      </w:r>
      <w:r>
        <w:rPr>
          <w:rFonts w:ascii="Times New Roman" w:hAnsi="Times New Roman" w:cs="Times New Roman"/>
          <w:color w:val="auto"/>
          <w:szCs w:val="20"/>
          <w:highlight w:val="none"/>
        </w:rPr>
        <w:t>月</w:t>
      </w:r>
      <w:r>
        <w:rPr>
          <w:rFonts w:hint="eastAsia" w:ascii="Times New Roman" w:hAnsi="Times New Roman" w:cs="Times New Roman"/>
          <w:color w:val="auto"/>
          <w:szCs w:val="20"/>
          <w:highlight w:val="none"/>
          <w:u w:val="single"/>
          <w:lang w:val="en-US" w:eastAsia="zh-CN"/>
        </w:rPr>
        <w:t>26</w:t>
      </w:r>
      <w:r>
        <w:rPr>
          <w:rFonts w:ascii="Times New Roman" w:hAnsi="Times New Roman" w:cs="Times New Roman"/>
          <w:color w:val="auto"/>
          <w:szCs w:val="20"/>
          <w:highlight w:val="none"/>
        </w:rPr>
        <w:t>日到</w:t>
      </w:r>
      <w:r>
        <w:rPr>
          <w:rFonts w:hint="eastAsia" w:ascii="Times New Roman" w:hAnsi="Times New Roman" w:cs="Times New Roman"/>
          <w:color w:val="auto"/>
          <w:szCs w:val="20"/>
          <w:highlight w:val="none"/>
          <w:u w:val="single"/>
          <w:lang w:val="en-US" w:eastAsia="zh-CN"/>
        </w:rPr>
        <w:t>2024</w:t>
      </w:r>
      <w:r>
        <w:rPr>
          <w:rFonts w:ascii="Times New Roman" w:hAnsi="Times New Roman" w:cs="Times New Roman"/>
          <w:color w:val="auto"/>
          <w:szCs w:val="20"/>
          <w:highlight w:val="none"/>
        </w:rPr>
        <w:t>年</w:t>
      </w:r>
      <w:r>
        <w:rPr>
          <w:rFonts w:hint="eastAsia" w:ascii="Times New Roman" w:hAnsi="Times New Roman" w:cs="Times New Roman"/>
          <w:color w:val="auto"/>
          <w:szCs w:val="20"/>
          <w:highlight w:val="none"/>
          <w:u w:val="single"/>
          <w:lang w:val="en-US" w:eastAsia="zh-CN"/>
        </w:rPr>
        <w:t>8</w:t>
      </w:r>
      <w:r>
        <w:rPr>
          <w:rFonts w:ascii="Times New Roman" w:hAnsi="Times New Roman" w:cs="Times New Roman"/>
          <w:color w:val="auto"/>
          <w:szCs w:val="20"/>
          <w:highlight w:val="none"/>
        </w:rPr>
        <w:t>月</w:t>
      </w:r>
      <w:r>
        <w:rPr>
          <w:rFonts w:hint="eastAsia" w:ascii="Times New Roman" w:hAnsi="Times New Roman" w:cs="Times New Roman"/>
          <w:color w:val="auto"/>
          <w:szCs w:val="20"/>
          <w:highlight w:val="none"/>
          <w:u w:val="single"/>
          <w:lang w:val="en-US" w:eastAsia="zh-CN"/>
        </w:rPr>
        <w:t>15</w:t>
      </w:r>
      <w:r>
        <w:rPr>
          <w:rFonts w:ascii="Times New Roman" w:hAnsi="Times New Roman" w:cs="Times New Roman"/>
          <w:color w:val="auto"/>
          <w:szCs w:val="20"/>
          <w:highlight w:val="none"/>
        </w:rPr>
        <w:t>日</w:t>
      </w:r>
      <w:r>
        <w:rPr>
          <w:rFonts w:hint="eastAsia" w:ascii="Times New Roman" w:hAnsi="Times New Roman" w:cs="Times New Roman"/>
          <w:color w:val="auto"/>
          <w:szCs w:val="20"/>
          <w:highlight w:val="none"/>
          <w:u w:val="single"/>
          <w:lang w:val="en-US" w:eastAsia="zh-CN"/>
        </w:rPr>
        <w:t>11</w:t>
      </w:r>
      <w:r>
        <w:rPr>
          <w:rFonts w:ascii="Times New Roman" w:hAnsi="Times New Roman" w:cs="Times New Roman"/>
          <w:color w:val="auto"/>
          <w:szCs w:val="20"/>
          <w:highlight w:val="none"/>
        </w:rPr>
        <w:t>时</w:t>
      </w:r>
      <w:r>
        <w:rPr>
          <w:rFonts w:hint="eastAsia" w:ascii="Times New Roman" w:hAnsi="Times New Roman" w:cs="Times New Roman"/>
          <w:color w:val="auto"/>
          <w:szCs w:val="20"/>
          <w:highlight w:val="none"/>
          <w:u w:val="single"/>
          <w:lang w:val="en-US" w:eastAsia="zh-CN"/>
        </w:rPr>
        <w:t>00</w:t>
      </w:r>
      <w:r>
        <w:rPr>
          <w:rFonts w:ascii="Times New Roman" w:hAnsi="Times New Roman" w:cs="Times New Roman"/>
          <w:color w:val="auto"/>
          <w:szCs w:val="20"/>
          <w:highlight w:val="none"/>
        </w:rPr>
        <w:t>分（北京时间），在重庆市公共资源交易网（www.cqggzy.com）下载比选文件。</w:t>
      </w:r>
    </w:p>
    <w:p w14:paraId="63069176">
      <w:pPr>
        <w:ind w:firstLine="480"/>
        <w:jc w:val="both"/>
        <w:rPr>
          <w:rFonts w:ascii="Times New Roman" w:hAnsi="Times New Roman" w:cs="Times New Roman"/>
          <w:color w:val="auto"/>
          <w:szCs w:val="20"/>
          <w:highlight w:val="none"/>
        </w:rPr>
      </w:pPr>
      <w:r>
        <w:rPr>
          <w:rFonts w:ascii="Times New Roman" w:hAnsi="Times New Roman" w:cs="Times New Roman"/>
          <w:color w:val="auto"/>
          <w:szCs w:val="20"/>
          <w:highlight w:val="none"/>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s="Times New Roman"/>
          <w:color w:val="auto"/>
          <w:szCs w:val="20"/>
          <w:highlight w:val="none"/>
          <w:u w:val="single"/>
          <w:lang w:val="en-US" w:eastAsia="zh-CN"/>
        </w:rPr>
        <w:t>2024</w:t>
      </w:r>
      <w:r>
        <w:rPr>
          <w:rFonts w:ascii="Times New Roman" w:hAnsi="Times New Roman" w:cs="Times New Roman"/>
          <w:color w:val="auto"/>
          <w:szCs w:val="20"/>
          <w:highlight w:val="none"/>
        </w:rPr>
        <w:t>年</w:t>
      </w:r>
      <w:r>
        <w:rPr>
          <w:rFonts w:hint="eastAsia" w:ascii="Times New Roman" w:hAnsi="Times New Roman" w:cs="Times New Roman"/>
          <w:color w:val="auto"/>
          <w:szCs w:val="20"/>
          <w:highlight w:val="none"/>
          <w:u w:val="single"/>
          <w:lang w:val="en-US" w:eastAsia="zh-CN"/>
        </w:rPr>
        <w:t>7</w:t>
      </w:r>
      <w:r>
        <w:rPr>
          <w:rFonts w:ascii="Times New Roman" w:hAnsi="Times New Roman" w:cs="Times New Roman"/>
          <w:color w:val="auto"/>
          <w:szCs w:val="20"/>
          <w:highlight w:val="none"/>
        </w:rPr>
        <w:t>月</w:t>
      </w:r>
      <w:r>
        <w:rPr>
          <w:rFonts w:hint="eastAsia" w:ascii="Times New Roman" w:hAnsi="Times New Roman" w:cs="Times New Roman"/>
          <w:color w:val="auto"/>
          <w:szCs w:val="20"/>
          <w:highlight w:val="none"/>
          <w:u w:val="single"/>
          <w:lang w:val="en-US" w:eastAsia="zh-CN"/>
        </w:rPr>
        <w:t>29</w:t>
      </w:r>
      <w:r>
        <w:rPr>
          <w:rFonts w:ascii="Times New Roman" w:hAnsi="Times New Roman" w:cs="Times New Roman"/>
          <w:color w:val="auto"/>
          <w:szCs w:val="20"/>
          <w:highlight w:val="none"/>
        </w:rPr>
        <w:t>日</w:t>
      </w:r>
      <w:r>
        <w:rPr>
          <w:rFonts w:hint="eastAsia" w:ascii="Times New Roman" w:hAnsi="Times New Roman" w:cs="Times New Roman"/>
          <w:color w:val="auto"/>
          <w:szCs w:val="20"/>
          <w:highlight w:val="none"/>
          <w:u w:val="single"/>
          <w:lang w:val="en-US" w:eastAsia="zh-CN"/>
        </w:rPr>
        <w:t>17</w:t>
      </w:r>
      <w:r>
        <w:rPr>
          <w:rFonts w:ascii="Times New Roman" w:hAnsi="Times New Roman" w:cs="Times New Roman"/>
          <w:color w:val="auto"/>
          <w:szCs w:val="20"/>
          <w:highlight w:val="none"/>
        </w:rPr>
        <w:t>时</w:t>
      </w:r>
      <w:r>
        <w:rPr>
          <w:rFonts w:hint="eastAsia" w:ascii="Times New Roman" w:hAnsi="Times New Roman" w:cs="Times New Roman"/>
          <w:color w:val="auto"/>
          <w:szCs w:val="20"/>
          <w:highlight w:val="none"/>
          <w:u w:val="single"/>
          <w:lang w:val="en-US" w:eastAsia="zh-CN"/>
        </w:rPr>
        <w:t>00</w:t>
      </w:r>
      <w:r>
        <w:rPr>
          <w:rFonts w:ascii="Times New Roman" w:hAnsi="Times New Roman" w:cs="Times New Roman"/>
          <w:color w:val="auto"/>
          <w:szCs w:val="20"/>
          <w:highlight w:val="none"/>
        </w:rPr>
        <w:t>分（北京时间）前自行在重庆市公共资源交易网（http://www.cqggzy.com/）比选公告的“我要提问”栏目匿名提出。参选人未提出，则视为参选人已全面确认比选文件内容。</w:t>
      </w:r>
    </w:p>
    <w:p w14:paraId="738D1A98">
      <w:pPr>
        <w:ind w:firstLine="480"/>
        <w:jc w:val="both"/>
        <w:rPr>
          <w:rFonts w:ascii="Times New Roman" w:hAnsi="Times New Roman" w:cs="Times New Roman"/>
          <w:color w:val="auto"/>
          <w:szCs w:val="20"/>
          <w:highlight w:val="none"/>
        </w:rPr>
      </w:pPr>
      <w:r>
        <w:rPr>
          <w:rFonts w:ascii="Times New Roman" w:hAnsi="Times New Roman" w:cs="Times New Roman"/>
          <w:color w:val="auto"/>
          <w:szCs w:val="20"/>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2994DB4">
      <w:pPr>
        <w:pStyle w:val="3"/>
        <w:rPr>
          <w:rFonts w:ascii="Times New Roman" w:hAnsi="Times New Roman"/>
          <w:color w:val="auto"/>
          <w:highlight w:val="none"/>
        </w:rPr>
      </w:pPr>
      <w:bookmarkStart w:id="29" w:name="_Toc20522"/>
      <w:bookmarkStart w:id="30" w:name="_Toc1405"/>
      <w:r>
        <w:rPr>
          <w:rFonts w:hint="eastAsia" w:ascii="Times New Roman" w:hAnsi="Times New Roman"/>
          <w:color w:val="auto"/>
          <w:highlight w:val="none"/>
        </w:rPr>
        <w:t>4. 参选保证金的递交</w:t>
      </w:r>
      <w:bookmarkEnd w:id="25"/>
      <w:bookmarkEnd w:id="26"/>
      <w:bookmarkEnd w:id="27"/>
      <w:bookmarkEnd w:id="28"/>
      <w:bookmarkEnd w:id="29"/>
      <w:bookmarkEnd w:id="30"/>
    </w:p>
    <w:p w14:paraId="009839B0">
      <w:pPr>
        <w:rPr>
          <w:rFonts w:ascii="Times New Roman" w:hAnsi="Times New Roman"/>
          <w:color w:val="auto"/>
          <w:highlight w:val="none"/>
        </w:rPr>
      </w:pPr>
      <w:bookmarkStart w:id="31" w:name="_Toc89675131"/>
      <w:bookmarkStart w:id="32" w:name="_Toc55379222"/>
      <w:bookmarkStart w:id="33" w:name="_Toc469574668"/>
      <w:bookmarkStart w:id="34" w:name="_Toc297817091"/>
      <w:r>
        <w:rPr>
          <w:rFonts w:hint="eastAsia" w:ascii="Times New Roman" w:hAnsi="Times New Roman"/>
          <w:color w:val="auto"/>
          <w:highlight w:val="none"/>
        </w:rPr>
        <w:t>4.1 参选保证金的金额：</w:t>
      </w:r>
      <w:r>
        <w:rPr>
          <w:rFonts w:ascii="Times New Roman" w:hAnsi="Times New Roman"/>
          <w:b/>
          <w:bCs/>
          <w:color w:val="auto"/>
          <w:highlight w:val="none"/>
          <w:u w:val="single"/>
        </w:rPr>
        <w:t>26,000</w:t>
      </w:r>
      <w:r>
        <w:rPr>
          <w:rFonts w:hint="eastAsia" w:ascii="Times New Roman" w:hAnsi="Times New Roman"/>
          <w:b/>
          <w:bCs/>
          <w:color w:val="auto"/>
          <w:highlight w:val="none"/>
        </w:rPr>
        <w:t>元整（大写：</w:t>
      </w:r>
      <w:r>
        <w:rPr>
          <w:rFonts w:ascii="Times New Roman" w:hAnsi="Times New Roman"/>
          <w:b/>
          <w:bCs/>
          <w:color w:val="auto"/>
          <w:highlight w:val="none"/>
          <w:u w:val="single"/>
        </w:rPr>
        <w:t>贰万陆仟元整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18FC4343">
      <w:pPr>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2360D16A">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ascii="Times New Roman" w:hAnsi="Times New Roman"/>
          <w:b/>
          <w:bCs/>
          <w:color w:val="auto"/>
          <w:highlight w:val="none"/>
          <w:u w:val="single"/>
        </w:rPr>
        <w:t>审计系统</w:t>
      </w:r>
      <w:r>
        <w:rPr>
          <w:rFonts w:hint="eastAsia" w:ascii="Times New Roman" w:hAnsi="Times New Roman"/>
          <w:b/>
          <w:bCs/>
          <w:color w:val="auto"/>
          <w:highlight w:val="none"/>
        </w:rPr>
        <w:t>项目。</w:t>
      </w:r>
    </w:p>
    <w:p w14:paraId="4D408811">
      <w:pPr>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ascii="Times New Roman" w:hAnsi="Times New Roman" w:cs="Times New Roman"/>
          <w:color w:val="auto"/>
          <w:szCs w:val="20"/>
          <w:highlight w:val="none"/>
          <w:u w:val="single"/>
          <w:lang w:val="en-US" w:eastAsia="zh-CN"/>
        </w:rPr>
        <w:t>2024</w:t>
      </w:r>
      <w:r>
        <w:rPr>
          <w:rFonts w:ascii="Times New Roman" w:hAnsi="Times New Roman" w:cs="Times New Roman"/>
          <w:color w:val="auto"/>
          <w:szCs w:val="20"/>
          <w:highlight w:val="none"/>
        </w:rPr>
        <w:t>年</w:t>
      </w:r>
      <w:r>
        <w:rPr>
          <w:rFonts w:hint="eastAsia" w:ascii="Times New Roman" w:hAnsi="Times New Roman" w:cs="Times New Roman"/>
          <w:color w:val="auto"/>
          <w:szCs w:val="20"/>
          <w:highlight w:val="none"/>
          <w:u w:val="single"/>
          <w:lang w:val="en-US" w:eastAsia="zh-CN"/>
        </w:rPr>
        <w:t>8</w:t>
      </w:r>
      <w:r>
        <w:rPr>
          <w:rFonts w:ascii="Times New Roman" w:hAnsi="Times New Roman" w:cs="Times New Roman"/>
          <w:color w:val="auto"/>
          <w:szCs w:val="20"/>
          <w:highlight w:val="none"/>
        </w:rPr>
        <w:t>月</w:t>
      </w:r>
      <w:r>
        <w:rPr>
          <w:rFonts w:hint="eastAsia" w:ascii="Times New Roman" w:hAnsi="Times New Roman" w:cs="Times New Roman"/>
          <w:color w:val="auto"/>
          <w:szCs w:val="20"/>
          <w:highlight w:val="none"/>
          <w:u w:val="single"/>
          <w:lang w:val="en-US" w:eastAsia="zh-CN"/>
        </w:rPr>
        <w:t>15</w:t>
      </w:r>
      <w:r>
        <w:rPr>
          <w:rFonts w:ascii="Times New Roman" w:hAnsi="Times New Roman" w:cs="Times New Roman"/>
          <w:color w:val="auto"/>
          <w:szCs w:val="20"/>
          <w:highlight w:val="none"/>
        </w:rPr>
        <w:t>日</w:t>
      </w:r>
      <w:r>
        <w:rPr>
          <w:rFonts w:hint="eastAsia" w:ascii="Times New Roman" w:hAnsi="Times New Roman" w:cs="Times New Roman"/>
          <w:color w:val="auto"/>
          <w:szCs w:val="20"/>
          <w:highlight w:val="none"/>
          <w:u w:val="single"/>
          <w:lang w:val="en-US" w:eastAsia="zh-CN"/>
        </w:rPr>
        <w:t>11</w:t>
      </w:r>
      <w:r>
        <w:rPr>
          <w:rFonts w:ascii="Times New Roman" w:hAnsi="Times New Roman" w:cs="Times New Roman"/>
          <w:color w:val="auto"/>
          <w:szCs w:val="20"/>
          <w:highlight w:val="none"/>
        </w:rPr>
        <w:t>时</w:t>
      </w:r>
      <w:r>
        <w:rPr>
          <w:rFonts w:hint="eastAsia" w:ascii="Times New Roman" w:hAnsi="Times New Roman" w:cs="Times New Roman"/>
          <w:color w:val="auto"/>
          <w:szCs w:val="20"/>
          <w:highlight w:val="none"/>
          <w:u w:val="single"/>
          <w:lang w:val="en-US" w:eastAsia="zh-CN"/>
        </w:rPr>
        <w:t>00</w:t>
      </w:r>
      <w:r>
        <w:rPr>
          <w:rFonts w:ascii="Times New Roman" w:hAnsi="Times New Roman" w:cs="Times New Roman"/>
          <w:color w:val="auto"/>
          <w:szCs w:val="20"/>
          <w:highlight w:val="none"/>
        </w:rPr>
        <w:t>分</w:t>
      </w:r>
      <w:r>
        <w:rPr>
          <w:rFonts w:hint="eastAsia" w:ascii="Times New Roman" w:hAnsi="Times New Roman"/>
          <w:color w:val="auto"/>
          <w:highlight w:val="none"/>
        </w:rPr>
        <w:t>（北京时间）。</w:t>
      </w:r>
    </w:p>
    <w:p w14:paraId="09B9BF6B">
      <w:pPr>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22A1CCF6">
      <w:pPr>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r>
        <w:rPr>
          <w:rFonts w:hint="eastAsia" w:ascii="Times New Roman" w:hAnsi="Times New Roman"/>
          <w:color w:val="auto"/>
          <w:highlight w:val="none"/>
          <w:lang w:eastAsia="zh-CN"/>
        </w:rPr>
        <w:t>若投标人未及时完成市场主体信息登记</w:t>
      </w:r>
      <w:r>
        <w:rPr>
          <w:rFonts w:hint="eastAsia" w:ascii="Times New Roman" w:hAnsi="Times New Roman"/>
          <w:color w:val="auto"/>
          <w:highlight w:val="none"/>
          <w:lang w:val="en-US" w:eastAsia="zh-CN"/>
        </w:rPr>
        <w:t>将可能影响项目相关信息的查收</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由此</w:t>
      </w:r>
      <w:r>
        <w:rPr>
          <w:rFonts w:hint="eastAsia" w:ascii="Times New Roman" w:hAnsi="Times New Roman"/>
          <w:color w:val="auto"/>
          <w:highlight w:val="none"/>
          <w:lang w:eastAsia="zh-CN"/>
        </w:rPr>
        <w:t>导致的</w:t>
      </w:r>
      <w:r>
        <w:rPr>
          <w:rFonts w:hint="eastAsia" w:ascii="Times New Roman" w:hAnsi="Times New Roman"/>
          <w:color w:val="auto"/>
          <w:highlight w:val="none"/>
          <w:lang w:val="en-US" w:eastAsia="zh-CN"/>
        </w:rPr>
        <w:t>情况，</w:t>
      </w:r>
      <w:r>
        <w:rPr>
          <w:rFonts w:hint="eastAsia" w:ascii="Times New Roman" w:hAnsi="Times New Roman"/>
          <w:color w:val="auto"/>
          <w:highlight w:val="none"/>
          <w:lang w:eastAsia="zh-CN"/>
        </w:rPr>
        <w:t>责任自负。</w:t>
      </w:r>
    </w:p>
    <w:p w14:paraId="0473F75E">
      <w:pPr>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31"/>
    <w:bookmarkEnd w:id="32"/>
    <w:bookmarkEnd w:id="33"/>
    <w:bookmarkEnd w:id="34"/>
    <w:p w14:paraId="017CD704">
      <w:pPr>
        <w:pStyle w:val="3"/>
        <w:rPr>
          <w:rFonts w:ascii="Times New Roman" w:hAnsi="Times New Roman"/>
          <w:color w:val="auto"/>
          <w:highlight w:val="none"/>
        </w:rPr>
      </w:pPr>
      <w:bookmarkStart w:id="35" w:name="_Toc18409"/>
      <w:bookmarkStart w:id="36" w:name="_Toc15476"/>
      <w:r>
        <w:rPr>
          <w:rFonts w:hint="eastAsia" w:ascii="Times New Roman" w:hAnsi="Times New Roman"/>
          <w:color w:val="auto"/>
          <w:highlight w:val="none"/>
        </w:rPr>
        <w:t>5. 参选文件的递交</w:t>
      </w:r>
      <w:bookmarkEnd w:id="35"/>
      <w:bookmarkEnd w:id="36"/>
    </w:p>
    <w:p w14:paraId="1EF0F4AE">
      <w:pPr>
        <w:ind w:firstLine="480"/>
        <w:jc w:val="both"/>
        <w:rPr>
          <w:rFonts w:ascii="Times New Roman" w:hAnsi="Times New Roman" w:cs="Times New Roman"/>
          <w:color w:val="auto"/>
          <w:szCs w:val="20"/>
          <w:highlight w:val="none"/>
        </w:rPr>
      </w:pPr>
      <w:bookmarkStart w:id="37" w:name="_Toc89675132"/>
      <w:bookmarkStart w:id="38" w:name="_Toc55379223"/>
      <w:bookmarkStart w:id="39" w:name="_Toc469574669"/>
      <w:r>
        <w:rPr>
          <w:rFonts w:ascii="Times New Roman" w:hAnsi="Times New Roman" w:cs="Times New Roman"/>
          <w:color w:val="auto"/>
          <w:szCs w:val="20"/>
          <w:highlight w:val="none"/>
        </w:rPr>
        <w:t xml:space="preserve">5.1 </w:t>
      </w:r>
      <w:r>
        <w:rPr>
          <w:rFonts w:hint="eastAsia" w:ascii="Times New Roman" w:hAnsi="Times New Roman" w:cs="Times New Roman"/>
          <w:color w:val="auto"/>
          <w:szCs w:val="20"/>
          <w:highlight w:val="none"/>
        </w:rPr>
        <w:t>参选文件现场递交的开始时间为</w:t>
      </w:r>
      <w:r>
        <w:rPr>
          <w:rFonts w:hint="eastAsia" w:ascii="Times New Roman" w:hAnsi="Times New Roman" w:cs="Times New Roman"/>
          <w:color w:val="auto"/>
          <w:szCs w:val="20"/>
          <w:highlight w:val="none"/>
          <w:u w:val="single"/>
          <w:lang w:val="en-US" w:eastAsia="zh-CN"/>
        </w:rPr>
        <w:t>2024</w:t>
      </w:r>
      <w:r>
        <w:rPr>
          <w:rFonts w:ascii="Times New Roman" w:hAnsi="Times New Roman" w:cs="Times New Roman"/>
          <w:color w:val="auto"/>
          <w:szCs w:val="20"/>
          <w:highlight w:val="none"/>
        </w:rPr>
        <w:t>年</w:t>
      </w:r>
      <w:r>
        <w:rPr>
          <w:rFonts w:hint="eastAsia" w:ascii="Times New Roman" w:hAnsi="Times New Roman" w:cs="Times New Roman"/>
          <w:color w:val="auto"/>
          <w:szCs w:val="20"/>
          <w:highlight w:val="none"/>
          <w:u w:val="single"/>
          <w:lang w:val="en-US" w:eastAsia="zh-CN"/>
        </w:rPr>
        <w:t>8</w:t>
      </w:r>
      <w:r>
        <w:rPr>
          <w:rFonts w:ascii="Times New Roman" w:hAnsi="Times New Roman" w:cs="Times New Roman"/>
          <w:color w:val="auto"/>
          <w:szCs w:val="20"/>
          <w:highlight w:val="none"/>
        </w:rPr>
        <w:t>月</w:t>
      </w:r>
      <w:r>
        <w:rPr>
          <w:rFonts w:hint="eastAsia" w:ascii="Times New Roman" w:hAnsi="Times New Roman" w:cs="Times New Roman"/>
          <w:color w:val="auto"/>
          <w:szCs w:val="20"/>
          <w:highlight w:val="none"/>
          <w:u w:val="single"/>
          <w:lang w:val="en-US" w:eastAsia="zh-CN"/>
        </w:rPr>
        <w:t>15</w:t>
      </w:r>
      <w:r>
        <w:rPr>
          <w:rFonts w:ascii="Times New Roman" w:hAnsi="Times New Roman" w:cs="Times New Roman"/>
          <w:color w:val="auto"/>
          <w:szCs w:val="20"/>
          <w:highlight w:val="none"/>
        </w:rPr>
        <w:t>日</w:t>
      </w:r>
      <w:r>
        <w:rPr>
          <w:rFonts w:hint="eastAsia" w:ascii="Times New Roman" w:hAnsi="Times New Roman" w:cs="Times New Roman"/>
          <w:color w:val="auto"/>
          <w:szCs w:val="20"/>
          <w:highlight w:val="none"/>
          <w:u w:val="single"/>
          <w:lang w:val="en-US" w:eastAsia="zh-CN"/>
        </w:rPr>
        <w:t>10</w:t>
      </w:r>
      <w:r>
        <w:rPr>
          <w:rFonts w:ascii="Times New Roman" w:hAnsi="Times New Roman" w:cs="Times New Roman"/>
          <w:color w:val="auto"/>
          <w:szCs w:val="20"/>
          <w:highlight w:val="none"/>
        </w:rPr>
        <w:t>时</w:t>
      </w:r>
      <w:r>
        <w:rPr>
          <w:rFonts w:hint="eastAsia" w:ascii="Times New Roman" w:hAnsi="Times New Roman" w:cs="Times New Roman"/>
          <w:color w:val="auto"/>
          <w:szCs w:val="20"/>
          <w:highlight w:val="none"/>
          <w:u w:val="single"/>
          <w:lang w:val="en-US" w:eastAsia="zh-CN"/>
        </w:rPr>
        <w:t>30</w:t>
      </w:r>
      <w:r>
        <w:rPr>
          <w:rFonts w:ascii="Times New Roman" w:hAnsi="Times New Roman" w:cs="Times New Roman"/>
          <w:color w:val="auto"/>
          <w:szCs w:val="20"/>
          <w:highlight w:val="none"/>
        </w:rPr>
        <w:t>分(</w:t>
      </w:r>
      <w:r>
        <w:rPr>
          <w:rFonts w:hint="eastAsia" w:ascii="Times New Roman" w:hAnsi="Times New Roman" w:cs="Times New Roman"/>
          <w:color w:val="auto"/>
          <w:szCs w:val="20"/>
          <w:highlight w:val="none"/>
        </w:rPr>
        <w:t>北京时间</w:t>
      </w:r>
      <w:r>
        <w:rPr>
          <w:rFonts w:ascii="Times New Roman" w:hAnsi="Times New Roman" w:cs="Times New Roman"/>
          <w:color w:val="auto"/>
          <w:szCs w:val="20"/>
          <w:highlight w:val="none"/>
        </w:rPr>
        <w:t>)</w:t>
      </w:r>
      <w:r>
        <w:rPr>
          <w:rFonts w:hint="eastAsia" w:ascii="Times New Roman" w:hAnsi="Times New Roman" w:cs="Times New Roman"/>
          <w:color w:val="auto"/>
          <w:szCs w:val="20"/>
          <w:highlight w:val="none"/>
        </w:rPr>
        <w:t>。递交截止时间为</w:t>
      </w:r>
      <w:r>
        <w:rPr>
          <w:rFonts w:hint="eastAsia" w:ascii="Times New Roman" w:hAnsi="Times New Roman" w:cs="Times New Roman"/>
          <w:color w:val="auto"/>
          <w:szCs w:val="20"/>
          <w:highlight w:val="none"/>
          <w:u w:val="single"/>
          <w:lang w:val="en-US" w:eastAsia="zh-CN"/>
        </w:rPr>
        <w:t>2024</w:t>
      </w:r>
      <w:r>
        <w:rPr>
          <w:rFonts w:ascii="Times New Roman" w:hAnsi="Times New Roman" w:cs="Times New Roman"/>
          <w:color w:val="auto"/>
          <w:szCs w:val="20"/>
          <w:highlight w:val="none"/>
        </w:rPr>
        <w:t>年</w:t>
      </w:r>
      <w:r>
        <w:rPr>
          <w:rFonts w:hint="eastAsia" w:ascii="Times New Roman" w:hAnsi="Times New Roman" w:cs="Times New Roman"/>
          <w:color w:val="auto"/>
          <w:szCs w:val="20"/>
          <w:highlight w:val="none"/>
          <w:u w:val="single"/>
          <w:lang w:val="en-US" w:eastAsia="zh-CN"/>
        </w:rPr>
        <w:t>8</w:t>
      </w:r>
      <w:r>
        <w:rPr>
          <w:rFonts w:ascii="Times New Roman" w:hAnsi="Times New Roman" w:cs="Times New Roman"/>
          <w:color w:val="auto"/>
          <w:szCs w:val="20"/>
          <w:highlight w:val="none"/>
        </w:rPr>
        <w:t>月</w:t>
      </w:r>
      <w:r>
        <w:rPr>
          <w:rFonts w:hint="eastAsia" w:ascii="Times New Roman" w:hAnsi="Times New Roman" w:cs="Times New Roman"/>
          <w:color w:val="auto"/>
          <w:szCs w:val="20"/>
          <w:highlight w:val="none"/>
          <w:u w:val="single"/>
          <w:lang w:val="en-US" w:eastAsia="zh-CN"/>
        </w:rPr>
        <w:t>15</w:t>
      </w:r>
      <w:r>
        <w:rPr>
          <w:rFonts w:ascii="Times New Roman" w:hAnsi="Times New Roman" w:cs="Times New Roman"/>
          <w:color w:val="auto"/>
          <w:szCs w:val="20"/>
          <w:highlight w:val="none"/>
        </w:rPr>
        <w:t>日</w:t>
      </w:r>
      <w:r>
        <w:rPr>
          <w:rFonts w:hint="eastAsia" w:ascii="Times New Roman" w:hAnsi="Times New Roman" w:cs="Times New Roman"/>
          <w:color w:val="auto"/>
          <w:szCs w:val="20"/>
          <w:highlight w:val="none"/>
          <w:u w:val="single"/>
          <w:lang w:val="en-US" w:eastAsia="zh-CN"/>
        </w:rPr>
        <w:t>11</w:t>
      </w:r>
      <w:r>
        <w:rPr>
          <w:rFonts w:ascii="Times New Roman" w:hAnsi="Times New Roman" w:cs="Times New Roman"/>
          <w:color w:val="auto"/>
          <w:szCs w:val="20"/>
          <w:highlight w:val="none"/>
        </w:rPr>
        <w:t>时</w:t>
      </w:r>
      <w:r>
        <w:rPr>
          <w:rFonts w:hint="eastAsia" w:ascii="Times New Roman" w:hAnsi="Times New Roman" w:cs="Times New Roman"/>
          <w:color w:val="auto"/>
          <w:szCs w:val="20"/>
          <w:highlight w:val="none"/>
          <w:u w:val="single"/>
          <w:lang w:val="en-US" w:eastAsia="zh-CN"/>
        </w:rPr>
        <w:t>00</w:t>
      </w:r>
      <w:r>
        <w:rPr>
          <w:rFonts w:ascii="Times New Roman" w:hAnsi="Times New Roman" w:cs="Times New Roman"/>
          <w:color w:val="auto"/>
          <w:szCs w:val="20"/>
          <w:highlight w:val="none"/>
        </w:rPr>
        <w:t>分</w:t>
      </w:r>
      <w:r>
        <w:rPr>
          <w:rFonts w:hint="eastAsia" w:ascii="Times New Roman" w:hAnsi="Times New Roman" w:cs="Times New Roman"/>
          <w:color w:val="auto"/>
          <w:szCs w:val="20"/>
          <w:highlight w:val="none"/>
        </w:rPr>
        <w:t>（北京时间）。</w:t>
      </w:r>
    </w:p>
    <w:p w14:paraId="2992113F">
      <w:pPr>
        <w:ind w:firstLine="480"/>
        <w:jc w:val="both"/>
        <w:rPr>
          <w:rFonts w:ascii="Times New Roman" w:hAnsi="Times New Roman" w:cs="Times New Roman"/>
          <w:color w:val="auto"/>
          <w:szCs w:val="20"/>
          <w:highlight w:val="none"/>
        </w:rPr>
      </w:pPr>
      <w:r>
        <w:rPr>
          <w:rFonts w:ascii="Times New Roman" w:hAnsi="Times New Roman" w:cs="Times New Roman"/>
          <w:color w:val="auto"/>
          <w:szCs w:val="20"/>
          <w:highlight w:val="none"/>
        </w:rPr>
        <w:t xml:space="preserve">5.2 </w:t>
      </w:r>
      <w:r>
        <w:rPr>
          <w:rFonts w:hint="eastAsia" w:ascii="Times New Roman" w:hAnsi="Times New Roman" w:cs="Times New Roman"/>
          <w:color w:val="auto"/>
          <w:szCs w:val="20"/>
          <w:highlight w:val="none"/>
        </w:rPr>
        <w:t>递交地点为</w:t>
      </w:r>
      <w:r>
        <w:rPr>
          <w:rFonts w:hint="eastAsia" w:ascii="Times New Roman" w:hAnsi="Times New Roman"/>
          <w:color w:val="auto"/>
          <w:highlight w:val="none"/>
        </w:rPr>
        <w:t>重庆市渝北区青枫北路6号渝兴广场B10栋重庆市公共资源交易中心开标区</w:t>
      </w:r>
      <w:r>
        <w:rPr>
          <w:rFonts w:hint="eastAsia" w:ascii="Times New Roman" w:hAnsi="Times New Roman" w:cs="Times New Roman"/>
          <w:color w:val="auto"/>
          <w:szCs w:val="20"/>
          <w:highlight w:val="none"/>
        </w:rPr>
        <w:t>（具体请登陆重庆市公共资源交易网（</w:t>
      </w:r>
      <w:r>
        <w:rPr>
          <w:rFonts w:ascii="Times New Roman" w:hAnsi="Times New Roman" w:cs="Times New Roman"/>
          <w:color w:val="auto"/>
          <w:szCs w:val="20"/>
          <w:highlight w:val="none"/>
        </w:rPr>
        <w:t>www.cqggzy.com</w:t>
      </w:r>
      <w:r>
        <w:rPr>
          <w:rFonts w:hint="eastAsia" w:ascii="Times New Roman" w:hAnsi="Times New Roman" w:cs="Times New Roman"/>
          <w:color w:val="auto"/>
          <w:szCs w:val="20"/>
          <w:highlight w:val="none"/>
        </w:rPr>
        <w:t>）查询或递交文件当日见交易中心大厅电子显示屏）。</w:t>
      </w:r>
    </w:p>
    <w:p w14:paraId="6B402423">
      <w:pPr>
        <w:ind w:firstLine="480"/>
        <w:jc w:val="both"/>
        <w:rPr>
          <w:rFonts w:ascii="Times New Roman" w:hAnsi="Times New Roman" w:cs="Times New Roman"/>
          <w:color w:val="auto"/>
          <w:szCs w:val="20"/>
          <w:highlight w:val="none"/>
        </w:rPr>
      </w:pPr>
      <w:r>
        <w:rPr>
          <w:rFonts w:ascii="Times New Roman" w:hAnsi="Times New Roman" w:cs="Times New Roman"/>
          <w:color w:val="auto"/>
          <w:szCs w:val="20"/>
          <w:highlight w:val="none"/>
        </w:rPr>
        <w:t xml:space="preserve">5.3 </w:t>
      </w:r>
      <w:r>
        <w:rPr>
          <w:rFonts w:hint="eastAsia" w:ascii="Times New Roman" w:hAnsi="Times New Roman" w:cs="Times New Roman"/>
          <w:color w:val="auto"/>
          <w:szCs w:val="20"/>
          <w:highlight w:val="none"/>
        </w:rPr>
        <w:t>逾期送达的参选文件，不予接收。</w:t>
      </w:r>
    </w:p>
    <w:p w14:paraId="1AEC9967">
      <w:pPr>
        <w:pStyle w:val="3"/>
        <w:rPr>
          <w:rFonts w:ascii="Times New Roman" w:hAnsi="Times New Roman"/>
          <w:color w:val="auto"/>
          <w:highlight w:val="none"/>
        </w:rPr>
      </w:pPr>
      <w:bookmarkStart w:id="40" w:name="_Toc32540"/>
      <w:bookmarkStart w:id="41" w:name="_Toc18887"/>
      <w:r>
        <w:rPr>
          <w:rFonts w:hint="eastAsia" w:ascii="Times New Roman" w:hAnsi="Times New Roman"/>
          <w:color w:val="auto"/>
          <w:highlight w:val="none"/>
        </w:rPr>
        <w:t>6. 发布公告的媒介</w:t>
      </w:r>
      <w:bookmarkEnd w:id="37"/>
      <w:bookmarkEnd w:id="38"/>
      <w:bookmarkEnd w:id="39"/>
      <w:bookmarkEnd w:id="40"/>
      <w:bookmarkEnd w:id="41"/>
    </w:p>
    <w:p w14:paraId="2E645393">
      <w:pPr>
        <w:rPr>
          <w:rFonts w:ascii="Times New Roman" w:hAnsi="Times New Roman"/>
          <w:color w:val="auto"/>
          <w:highlight w:val="none"/>
        </w:rPr>
      </w:pPr>
      <w:bookmarkStart w:id="42" w:name="_Toc89675133"/>
      <w:bookmarkStart w:id="43" w:name="_Toc250565211"/>
      <w:bookmarkStart w:id="44" w:name="_Toc469574670"/>
      <w:bookmarkStart w:id="45" w:name="_Toc55379224"/>
      <w:r>
        <w:rPr>
          <w:rFonts w:hint="eastAsia" w:ascii="Times New Roman" w:hAnsi="Times New Roman"/>
          <w:color w:val="auto"/>
          <w:highlight w:val="none"/>
        </w:rPr>
        <w:t>本次比选公告同时在《重庆市公共资源交易网（www.cqggzy.com）》《重庆三峡银行官网（https://www.ccqtgb.com）》和《中国比选参选公共服务平台（http://www.cebpubservice.com）》上发布。</w:t>
      </w:r>
    </w:p>
    <w:p w14:paraId="050B1157">
      <w:pPr>
        <w:pStyle w:val="3"/>
        <w:rPr>
          <w:rFonts w:ascii="Times New Roman" w:hAnsi="Times New Roman"/>
          <w:color w:val="auto"/>
          <w:highlight w:val="none"/>
        </w:rPr>
      </w:pPr>
      <w:bookmarkStart w:id="46" w:name="_Toc14762"/>
      <w:bookmarkStart w:id="47" w:name="_Toc1167"/>
      <w:r>
        <w:rPr>
          <w:rFonts w:hint="eastAsia" w:ascii="Times New Roman" w:hAnsi="Times New Roman"/>
          <w:color w:val="auto"/>
          <w:highlight w:val="none"/>
        </w:rPr>
        <w:t xml:space="preserve">7. </w:t>
      </w:r>
      <w:bookmarkEnd w:id="42"/>
      <w:bookmarkEnd w:id="43"/>
      <w:bookmarkEnd w:id="44"/>
      <w:bookmarkEnd w:id="45"/>
      <w:r>
        <w:rPr>
          <w:rFonts w:ascii="Times New Roman" w:hAnsi="Times New Roman"/>
          <w:color w:val="auto"/>
          <w:highlight w:val="none"/>
        </w:rPr>
        <w:t>报名方式</w:t>
      </w:r>
      <w:bookmarkEnd w:id="46"/>
      <w:bookmarkEnd w:id="47"/>
    </w:p>
    <w:p w14:paraId="1CF096A2">
      <w:pPr>
        <w:rPr>
          <w:rFonts w:ascii="Times New Roman" w:hAnsi="Times New Roman"/>
          <w:color w:val="auto"/>
          <w:highlight w:val="none"/>
        </w:rPr>
      </w:pPr>
      <w:r>
        <w:rPr>
          <w:rFonts w:hint="eastAsia" w:ascii="Times New Roman" w:hAnsi="Times New Roman"/>
          <w:color w:val="auto"/>
          <w:highlight w:val="none"/>
        </w:rPr>
        <w:t>本项目从比选文件发出之日起至2024年</w:t>
      </w:r>
      <w:r>
        <w:rPr>
          <w:rFonts w:hint="eastAsia" w:ascii="Times New Roman" w:hAnsi="Times New Roman"/>
          <w:color w:val="auto"/>
          <w:highlight w:val="none"/>
          <w:lang w:val="en-US" w:eastAsia="zh-CN"/>
        </w:rPr>
        <w:t>7</w:t>
      </w:r>
      <w:r>
        <w:rPr>
          <w:rFonts w:hint="eastAsia" w:ascii="Times New Roman" w:hAnsi="Times New Roman"/>
          <w:color w:val="auto"/>
          <w:highlight w:val="none"/>
        </w:rPr>
        <w:t>月</w:t>
      </w:r>
      <w:r>
        <w:rPr>
          <w:rFonts w:hint="eastAsia" w:ascii="Times New Roman" w:hAnsi="Times New Roman"/>
          <w:color w:val="auto"/>
          <w:highlight w:val="none"/>
          <w:lang w:val="en-US" w:eastAsia="zh-CN"/>
        </w:rPr>
        <w:t>31</w:t>
      </w:r>
      <w:r>
        <w:rPr>
          <w:rFonts w:hint="eastAsia" w:ascii="Times New Roman" w:hAnsi="Times New Roman"/>
          <w:color w:val="auto"/>
          <w:highlight w:val="none"/>
        </w:rPr>
        <w:t>日</w:t>
      </w:r>
      <w:r>
        <w:rPr>
          <w:rFonts w:ascii="Times New Roman" w:hAnsi="Times New Roman"/>
          <w:color w:val="auto"/>
          <w:highlight w:val="none"/>
        </w:rPr>
        <w:t>17</w:t>
      </w:r>
      <w:r>
        <w:rPr>
          <w:rFonts w:hint="eastAsia" w:ascii="Times New Roman" w:hAnsi="Times New Roman"/>
          <w:color w:val="auto"/>
          <w:highlight w:val="none"/>
        </w:rPr>
        <w:t>时</w:t>
      </w:r>
      <w:r>
        <w:rPr>
          <w:rFonts w:ascii="Times New Roman" w:hAnsi="Times New Roman"/>
          <w:color w:val="auto"/>
          <w:highlight w:val="none"/>
        </w:rPr>
        <w:t>00</w:t>
      </w:r>
      <w:r>
        <w:rPr>
          <w:rFonts w:hint="eastAsia" w:ascii="Times New Roman" w:hAnsi="Times New Roman"/>
          <w:color w:val="auto"/>
          <w:highlight w:val="none"/>
        </w:rPr>
        <w:t>分进行报名，供应商将《报名函》（加盖供应商公章）扫描后发送至邮箱</w:t>
      </w:r>
      <w:r>
        <w:rPr>
          <w:rFonts w:ascii="Times New Roman" w:hAnsi="Times New Roman"/>
          <w:color w:val="auto"/>
          <w:highlight w:val="none"/>
        </w:rPr>
        <w:t>itsrdc</w:t>
      </w:r>
      <w:r>
        <w:rPr>
          <w:rFonts w:hint="eastAsia" w:ascii="Times New Roman" w:hAnsi="Times New Roman"/>
          <w:color w:val="auto"/>
          <w:highlight w:val="none"/>
        </w:rPr>
        <w:t>@ccqtgb.com。《报名函》详见比选文件第三章附件一。</w:t>
      </w:r>
    </w:p>
    <w:p w14:paraId="5AE2EC7D">
      <w:pPr>
        <w:rPr>
          <w:rFonts w:ascii="Times New Roman" w:hAnsi="Times New Roman"/>
          <w:color w:val="auto"/>
          <w:highlight w:val="none"/>
        </w:rPr>
      </w:pPr>
      <w:r>
        <w:rPr>
          <w:rFonts w:hint="eastAsia" w:ascii="Times New Roman" w:hAnsi="Times New Roman"/>
          <w:color w:val="auto"/>
          <w:highlight w:val="none"/>
        </w:rPr>
        <w:t>报名联系人：</w:t>
      </w:r>
      <w:r>
        <w:rPr>
          <w:rFonts w:ascii="Times New Roman" w:hAnsi="Times New Roman"/>
          <w:color w:val="auto"/>
          <w:highlight w:val="none"/>
        </w:rPr>
        <w:t>邓皓然</w:t>
      </w:r>
      <w:r>
        <w:rPr>
          <w:rFonts w:hint="eastAsia" w:ascii="Times New Roman" w:hAnsi="Times New Roman"/>
          <w:color w:val="auto"/>
          <w:highlight w:val="none"/>
        </w:rPr>
        <w:t>，联系电话：</w:t>
      </w:r>
      <w:r>
        <w:rPr>
          <w:rFonts w:hint="eastAsia" w:ascii="Times New Roman" w:hAnsi="Times New Roman" w:cs="宋体"/>
          <w:bCs/>
          <w:color w:val="auto"/>
          <w:highlight w:val="none"/>
        </w:rPr>
        <w:t>023-</w:t>
      </w:r>
      <w:r>
        <w:rPr>
          <w:rFonts w:ascii="Times New Roman" w:hAnsi="Times New Roman" w:cs="宋体"/>
          <w:color w:val="auto"/>
          <w:highlight w:val="none"/>
        </w:rPr>
        <w:t>88170843</w:t>
      </w:r>
      <w:r>
        <w:rPr>
          <w:rFonts w:hint="eastAsia" w:ascii="Times New Roman" w:hAnsi="Times New Roman"/>
          <w:color w:val="auto"/>
          <w:highlight w:val="none"/>
        </w:rPr>
        <w:t>。</w:t>
      </w:r>
    </w:p>
    <w:p w14:paraId="5D5033A2">
      <w:pPr>
        <w:pStyle w:val="3"/>
        <w:rPr>
          <w:rFonts w:ascii="Times New Roman" w:hAnsi="Times New Roman" w:cs="Cambria Math"/>
          <w:color w:val="auto"/>
          <w:highlight w:val="none"/>
        </w:rPr>
      </w:pPr>
      <w:bookmarkStart w:id="48" w:name="_Toc16322"/>
      <w:bookmarkStart w:id="49" w:name="_Toc14106"/>
      <w:r>
        <w:rPr>
          <w:rFonts w:hint="eastAsia" w:ascii="Times New Roman" w:hAnsi="Times New Roman" w:cs="Cambria Math"/>
          <w:color w:val="auto"/>
          <w:highlight w:val="none"/>
        </w:rPr>
        <w:t>8. POC测试</w:t>
      </w:r>
      <w:bookmarkEnd w:id="48"/>
      <w:bookmarkEnd w:id="49"/>
    </w:p>
    <w:p w14:paraId="6C768F8A">
      <w:pPr>
        <w:rPr>
          <w:rFonts w:ascii="Times New Roman" w:hAnsi="Times New Roman"/>
          <w:color w:val="auto"/>
          <w:highlight w:val="none"/>
        </w:rPr>
      </w:pPr>
      <w:r>
        <w:rPr>
          <w:rFonts w:hint="eastAsia" w:ascii="Times New Roman" w:hAnsi="Times New Roman"/>
          <w:color w:val="auto"/>
          <w:highlight w:val="none"/>
        </w:rPr>
        <w:t>本项目POC测试根据项目实际情况安排，</w:t>
      </w:r>
      <w:r>
        <w:rPr>
          <w:rFonts w:ascii="Times New Roman" w:hAnsi="Times New Roman"/>
          <w:color w:val="auto"/>
          <w:highlight w:val="none"/>
        </w:rPr>
        <w:t>POC</w:t>
      </w:r>
      <w:r>
        <w:rPr>
          <w:rFonts w:hint="eastAsia" w:ascii="Times New Roman" w:hAnsi="Times New Roman"/>
          <w:color w:val="auto"/>
          <w:highlight w:val="none"/>
        </w:rPr>
        <w:t>方案详见比选文件第三章附件二。</w:t>
      </w:r>
    </w:p>
    <w:p w14:paraId="0F73B16B">
      <w:pPr>
        <w:pStyle w:val="3"/>
        <w:rPr>
          <w:rFonts w:ascii="Times New Roman" w:hAnsi="Times New Roman" w:cs="Cambria Math"/>
          <w:color w:val="auto"/>
          <w:highlight w:val="none"/>
        </w:rPr>
      </w:pPr>
      <w:bookmarkStart w:id="50" w:name="_Toc1393"/>
      <w:bookmarkStart w:id="51" w:name="_Toc22898"/>
      <w:r>
        <w:rPr>
          <w:rFonts w:hint="eastAsia" w:ascii="Times New Roman" w:hAnsi="Times New Roman" w:cs="Cambria Math"/>
          <w:color w:val="auto"/>
          <w:highlight w:val="none"/>
        </w:rPr>
        <w:t>9. 联系方式</w:t>
      </w:r>
      <w:bookmarkEnd w:id="50"/>
      <w:bookmarkEnd w:id="51"/>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7577A105">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F5B3CA1">
            <w:pPr>
              <w:spacing w:line="360" w:lineRule="auto"/>
              <w:ind w:firstLine="0" w:firstLineChars="0"/>
              <w:jc w:val="left"/>
              <w:rPr>
                <w:color w:val="auto"/>
                <w:highlight w:val="none"/>
              </w:rPr>
            </w:pPr>
            <w:r>
              <w:rPr>
                <w:rFonts w:hint="eastAsia"/>
                <w:color w:val="auto"/>
                <w:highlight w:val="none"/>
              </w:rPr>
              <w:t>9.1 项目需求咨询</w:t>
            </w:r>
          </w:p>
        </w:tc>
      </w:tr>
      <w:tr w14:paraId="7551B52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5D9CDFAA">
            <w:pPr>
              <w:spacing w:line="360" w:lineRule="auto"/>
              <w:ind w:left="180" w:leftChars="75" w:firstLine="0" w:firstLineChars="0"/>
              <w:jc w:val="left"/>
              <w:rPr>
                <w:rFonts w:cs="宋体"/>
                <w:color w:val="auto"/>
                <w:sz w:val="21"/>
                <w:szCs w:val="21"/>
                <w:highlight w:val="none"/>
              </w:rPr>
            </w:pPr>
            <w:r>
              <w:rPr>
                <w:rFonts w:hint="eastAsia"/>
                <w:color w:val="auto"/>
                <w:highlight w:val="none"/>
              </w:rPr>
              <w:t>项目联系人：王眉力</w:t>
            </w:r>
          </w:p>
        </w:tc>
        <w:tc>
          <w:tcPr>
            <w:tcW w:w="5333" w:type="dxa"/>
            <w:tcBorders>
              <w:top w:val="nil"/>
              <w:left w:val="nil"/>
              <w:bottom w:val="nil"/>
              <w:right w:val="single" w:color="auto" w:sz="4" w:space="0"/>
            </w:tcBorders>
          </w:tcPr>
          <w:p w14:paraId="368E00BD">
            <w:pPr>
              <w:spacing w:line="360" w:lineRule="auto"/>
              <w:ind w:left="180" w:leftChars="75" w:firstLine="0" w:firstLineChars="0"/>
              <w:jc w:val="left"/>
              <w:rPr>
                <w:rFonts w:cs="宋体"/>
                <w:color w:val="auto"/>
                <w:sz w:val="21"/>
                <w:szCs w:val="21"/>
                <w:highlight w:val="none"/>
              </w:rPr>
            </w:pPr>
            <w:r>
              <w:rPr>
                <w:rFonts w:hint="eastAsia"/>
                <w:color w:val="auto"/>
                <w:highlight w:val="none"/>
              </w:rPr>
              <w:t>联系方式：023-88890551</w:t>
            </w:r>
          </w:p>
        </w:tc>
      </w:tr>
      <w:tr w14:paraId="7075783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5EA6A2D">
            <w:pPr>
              <w:spacing w:line="360" w:lineRule="auto"/>
              <w:ind w:left="180" w:leftChars="75" w:firstLine="0" w:firstLineChars="0"/>
              <w:jc w:val="left"/>
              <w:rPr>
                <w:color w:val="auto"/>
                <w:highlight w:val="none"/>
              </w:rPr>
            </w:pPr>
          </w:p>
        </w:tc>
      </w:tr>
      <w:tr w14:paraId="67F1586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85F4F0">
            <w:pPr>
              <w:spacing w:line="360" w:lineRule="auto"/>
              <w:ind w:left="180" w:leftChars="75" w:firstLine="0" w:firstLineChars="0"/>
              <w:jc w:val="left"/>
              <w:rPr>
                <w:color w:val="auto"/>
                <w:highlight w:val="none"/>
              </w:rPr>
            </w:pPr>
            <w:r>
              <w:rPr>
                <w:rFonts w:hint="eastAsia"/>
                <w:color w:val="auto"/>
                <w:highlight w:val="none"/>
              </w:rPr>
              <w:t>9.2 项目流程咨询</w:t>
            </w:r>
          </w:p>
        </w:tc>
      </w:tr>
      <w:tr w14:paraId="7A18BC6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CF0FC2">
            <w:pPr>
              <w:spacing w:line="360" w:lineRule="auto"/>
              <w:ind w:left="180" w:leftChars="75" w:firstLine="0" w:firstLineChars="0"/>
              <w:jc w:val="left"/>
              <w:rPr>
                <w:color w:val="auto"/>
                <w:highlight w:val="none"/>
              </w:rPr>
            </w:pPr>
            <w:r>
              <w:rPr>
                <w:rFonts w:hint="eastAsia"/>
                <w:color w:val="auto"/>
                <w:highlight w:val="none"/>
              </w:rPr>
              <w:t>平台服务机构：重庆联合产权交易所集团股份有限公司</w:t>
            </w:r>
          </w:p>
        </w:tc>
      </w:tr>
      <w:tr w14:paraId="75E04BA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3228192">
            <w:pPr>
              <w:spacing w:line="360" w:lineRule="auto"/>
              <w:ind w:left="180" w:leftChars="75" w:firstLine="0" w:firstLineChars="0"/>
              <w:jc w:val="left"/>
              <w:rPr>
                <w:rFonts w:cs="宋体"/>
                <w:color w:val="auto"/>
                <w:sz w:val="21"/>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tcPr>
          <w:p w14:paraId="1807B501">
            <w:pPr>
              <w:spacing w:line="360" w:lineRule="auto"/>
              <w:ind w:left="180" w:leftChars="75" w:firstLine="0" w:firstLineChars="0"/>
              <w:jc w:val="left"/>
              <w:rPr>
                <w:rFonts w:cs="宋体"/>
                <w:color w:val="auto"/>
                <w:sz w:val="21"/>
                <w:szCs w:val="21"/>
                <w:highlight w:val="none"/>
              </w:rPr>
            </w:pPr>
            <w:r>
              <w:rPr>
                <w:rFonts w:hint="eastAsia"/>
                <w:color w:val="auto"/>
                <w:highlight w:val="none"/>
              </w:rPr>
              <w:t>联系方式：023-63621694</w:t>
            </w:r>
          </w:p>
        </w:tc>
      </w:tr>
      <w:tr w14:paraId="5C79A2A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75A83C4">
            <w:pPr>
              <w:spacing w:line="360" w:lineRule="auto"/>
              <w:ind w:left="180" w:leftChars="75" w:firstLine="0" w:firstLineChars="0"/>
              <w:jc w:val="left"/>
              <w:rPr>
                <w:color w:val="auto"/>
                <w:highlight w:val="none"/>
              </w:rPr>
            </w:pPr>
          </w:p>
        </w:tc>
      </w:tr>
      <w:tr w14:paraId="441CA8F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B04E75">
            <w:pPr>
              <w:spacing w:line="360" w:lineRule="auto"/>
              <w:ind w:left="180" w:leftChars="75" w:firstLine="0" w:firstLineChars="0"/>
              <w:jc w:val="left"/>
              <w:rPr>
                <w:color w:val="auto"/>
                <w:highlight w:val="none"/>
              </w:rPr>
            </w:pPr>
            <w:r>
              <w:rPr>
                <w:rFonts w:hint="eastAsia"/>
                <w:color w:val="auto"/>
                <w:highlight w:val="none"/>
              </w:rPr>
              <w:t>9.3 比选人联系方式</w:t>
            </w:r>
          </w:p>
        </w:tc>
      </w:tr>
      <w:tr w14:paraId="7FEFE86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0067C47">
            <w:pPr>
              <w:spacing w:line="360" w:lineRule="auto"/>
              <w:ind w:left="180" w:leftChars="75" w:firstLine="0" w:firstLineChars="0"/>
              <w:jc w:val="left"/>
              <w:rPr>
                <w:rFonts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17090DEA">
            <w:pPr>
              <w:spacing w:line="360" w:lineRule="auto"/>
              <w:ind w:left="180" w:leftChars="75" w:firstLine="0" w:firstLineChars="0"/>
              <w:jc w:val="left"/>
              <w:rPr>
                <w:rFonts w:cs="宋体"/>
                <w:color w:val="auto"/>
                <w:sz w:val="21"/>
                <w:szCs w:val="21"/>
                <w:highlight w:val="none"/>
              </w:rPr>
            </w:pPr>
            <w:r>
              <w:rPr>
                <w:rFonts w:hint="eastAsia"/>
                <w:color w:val="auto"/>
                <w:highlight w:val="none"/>
              </w:rPr>
              <w:t>联系方式：023-88890395</w:t>
            </w:r>
          </w:p>
        </w:tc>
      </w:tr>
      <w:tr w14:paraId="3924219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D22698E">
            <w:pPr>
              <w:spacing w:line="360" w:lineRule="auto"/>
              <w:ind w:left="180" w:leftChars="75"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06BA5B63">
      <w:pPr>
        <w:rPr>
          <w:rFonts w:ascii="Times New Roman" w:hAnsi="Times New Roman"/>
          <w:color w:val="auto"/>
          <w:highlight w:val="none"/>
        </w:rPr>
      </w:pPr>
      <w:bookmarkStart w:id="658" w:name="_GoBack"/>
      <w:bookmarkEnd w:id="658"/>
    </w:p>
    <w:p w14:paraId="25E8585B">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1DB3D2D9">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4</w:t>
      </w:r>
      <w:r>
        <w:rPr>
          <w:rFonts w:hint="eastAsia" w:ascii="Times New Roman" w:hAnsi="Times New Roman"/>
          <w:color w:val="auto"/>
          <w:highlight w:val="none"/>
        </w:rPr>
        <w:t>年</w:t>
      </w:r>
      <w:r>
        <w:rPr>
          <w:rFonts w:hint="eastAsia" w:ascii="Times New Roman" w:hAnsi="Times New Roman"/>
          <w:color w:val="auto"/>
          <w:highlight w:val="none"/>
          <w:lang w:val="en-US" w:eastAsia="zh-CN"/>
        </w:rPr>
        <w:t>7</w:t>
      </w:r>
      <w:r>
        <w:rPr>
          <w:rFonts w:hint="eastAsia" w:ascii="Times New Roman" w:hAnsi="Times New Roman"/>
          <w:color w:val="auto"/>
          <w:highlight w:val="none"/>
        </w:rPr>
        <w:t>月</w:t>
      </w:r>
      <w:r>
        <w:rPr>
          <w:rFonts w:hint="eastAsia" w:ascii="Times New Roman" w:hAnsi="Times New Roman"/>
          <w:color w:val="auto"/>
          <w:highlight w:val="none"/>
          <w:lang w:val="en-US" w:eastAsia="zh-CN"/>
        </w:rPr>
        <w:t>26</w:t>
      </w:r>
      <w:r>
        <w:rPr>
          <w:rFonts w:hint="eastAsia" w:ascii="Times New Roman" w:hAnsi="Times New Roman"/>
          <w:color w:val="auto"/>
          <w:highlight w:val="none"/>
        </w:rPr>
        <w:t>日</w:t>
      </w:r>
    </w:p>
    <w:p w14:paraId="55230B28">
      <w:pPr>
        <w:spacing w:line="240" w:lineRule="auto"/>
        <w:ind w:firstLine="0" w:firstLineChars="0"/>
        <w:jc w:val="right"/>
        <w:rPr>
          <w:rFonts w:ascii="Times New Roman" w:hAnsi="Times New Roman"/>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ascii="Times New Roman" w:hAnsi="Times New Roman"/>
          <w:color w:val="auto"/>
          <w:highlight w:val="none"/>
        </w:rPr>
        <w:br w:type="page"/>
      </w:r>
      <w:bookmarkStart w:id="52" w:name="_Toc89675159"/>
      <w:bookmarkStart w:id="53" w:name="_Toc303066033"/>
      <w:bookmarkStart w:id="54" w:name="_Toc27630"/>
    </w:p>
    <w:p w14:paraId="6039B354">
      <w:pPr>
        <w:pStyle w:val="2"/>
        <w:rPr>
          <w:rFonts w:ascii="Times New Roman" w:hAnsi="Times New Roman"/>
          <w:color w:val="auto"/>
          <w:highlight w:val="none"/>
        </w:rPr>
      </w:pPr>
      <w:bookmarkStart w:id="55" w:name="_Toc4889"/>
      <w:bookmarkStart w:id="56" w:name="_Toc23711"/>
      <w:bookmarkStart w:id="57" w:name="_Toc13831"/>
      <w:bookmarkStart w:id="58" w:name="_Toc192"/>
      <w:bookmarkStart w:id="59" w:name="_Toc8849"/>
      <w:r>
        <w:rPr>
          <w:rFonts w:hint="eastAsia" w:ascii="Times New Roman" w:hAnsi="Times New Roman"/>
          <w:color w:val="auto"/>
          <w:highlight w:val="none"/>
        </w:rPr>
        <w:t>第二章 参选人须知</w:t>
      </w:r>
      <w:bookmarkEnd w:id="52"/>
      <w:bookmarkEnd w:id="53"/>
      <w:bookmarkEnd w:id="54"/>
      <w:bookmarkEnd w:id="55"/>
      <w:bookmarkEnd w:id="56"/>
      <w:bookmarkEnd w:id="57"/>
      <w:bookmarkEnd w:id="58"/>
      <w:bookmarkEnd w:id="59"/>
    </w:p>
    <w:p w14:paraId="36C9CE8D">
      <w:pPr>
        <w:pStyle w:val="3"/>
        <w:rPr>
          <w:rFonts w:ascii="Times New Roman" w:hAnsi="Times New Roman"/>
          <w:color w:val="auto"/>
          <w:highlight w:val="none"/>
        </w:rPr>
      </w:pPr>
      <w:bookmarkStart w:id="60" w:name="_Toc9705"/>
      <w:bookmarkStart w:id="61" w:name="_Toc21296"/>
      <w:bookmarkStart w:id="62" w:name="_Toc89675160"/>
      <w:r>
        <w:rPr>
          <w:rFonts w:hint="eastAsia" w:ascii="Times New Roman" w:hAnsi="Times New Roman"/>
          <w:color w:val="auto"/>
          <w:highlight w:val="none"/>
        </w:rPr>
        <w:t>1. 项目信息</w:t>
      </w:r>
      <w:bookmarkEnd w:id="60"/>
      <w:bookmarkEnd w:id="61"/>
    </w:p>
    <w:p w14:paraId="6816AD3D">
      <w:pPr>
        <w:pStyle w:val="4"/>
        <w:rPr>
          <w:rFonts w:ascii="Times New Roman" w:hAnsi="Times New Roman"/>
          <w:color w:val="auto"/>
          <w:highlight w:val="none"/>
        </w:rPr>
      </w:pPr>
      <w:bookmarkStart w:id="63" w:name="_Toc21114"/>
      <w:bookmarkStart w:id="64" w:name="_Toc23884"/>
      <w:r>
        <w:rPr>
          <w:rFonts w:hint="eastAsia" w:ascii="Times New Roman" w:hAnsi="Times New Roman"/>
          <w:color w:val="auto"/>
          <w:highlight w:val="none"/>
        </w:rPr>
        <w:t>1.1 比选人</w:t>
      </w:r>
      <w:bookmarkEnd w:id="63"/>
      <w:bookmarkEnd w:id="64"/>
    </w:p>
    <w:p w14:paraId="14722A16">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4D172E16">
      <w:pPr>
        <w:pStyle w:val="4"/>
        <w:rPr>
          <w:rFonts w:ascii="Times New Roman" w:hAnsi="Times New Roman"/>
          <w:color w:val="auto"/>
          <w:highlight w:val="none"/>
        </w:rPr>
      </w:pPr>
      <w:bookmarkStart w:id="65" w:name="_Toc6732"/>
      <w:bookmarkStart w:id="66" w:name="_Toc26050"/>
      <w:r>
        <w:rPr>
          <w:rFonts w:hint="eastAsia" w:ascii="Times New Roman" w:hAnsi="Times New Roman"/>
          <w:color w:val="auto"/>
          <w:highlight w:val="none"/>
        </w:rPr>
        <w:t>1.2 最高限价</w:t>
      </w:r>
      <w:bookmarkEnd w:id="65"/>
      <w:bookmarkEnd w:id="66"/>
    </w:p>
    <w:p w14:paraId="69D7334C">
      <w:pPr>
        <w:rPr>
          <w:rFonts w:ascii="Times New Roman" w:hAnsi="Times New Roman"/>
          <w:color w:val="auto"/>
          <w:highlight w:val="none"/>
        </w:rPr>
      </w:pPr>
      <w:r>
        <w:rPr>
          <w:rFonts w:hint="eastAsia" w:ascii="Times New Roman" w:hAnsi="Times New Roman"/>
          <w:color w:val="auto"/>
          <w:highlight w:val="none"/>
        </w:rPr>
        <w:t>本项目最高限价为：</w:t>
      </w:r>
      <w:r>
        <w:rPr>
          <w:rFonts w:ascii="Times New Roman" w:hAnsi="Times New Roman"/>
          <w:color w:val="auto"/>
          <w:highlight w:val="none"/>
          <w:u w:val="single"/>
        </w:rPr>
        <w:t>130万元整</w:t>
      </w:r>
      <w:r>
        <w:rPr>
          <w:rFonts w:hint="eastAsia" w:ascii="Times New Roman" w:hAnsi="Times New Roman"/>
          <w:color w:val="auto"/>
          <w:highlight w:val="none"/>
        </w:rPr>
        <w:t>（人民币大写：</w:t>
      </w:r>
      <w:r>
        <w:rPr>
          <w:rFonts w:ascii="Times New Roman" w:hAnsi="Times New Roman"/>
          <w:color w:val="auto"/>
          <w:highlight w:val="none"/>
          <w:u w:val="single"/>
        </w:rPr>
        <w:t>壹佰叁拾万元整</w:t>
      </w:r>
      <w:r>
        <w:rPr>
          <w:rFonts w:hint="eastAsia" w:ascii="Times New Roman" w:hAnsi="Times New Roman"/>
          <w:color w:val="auto"/>
          <w:highlight w:val="none"/>
        </w:rPr>
        <w:t>）</w:t>
      </w:r>
      <w:r>
        <w:rPr>
          <w:rFonts w:hint="eastAsia" w:ascii="Times New Roman" w:hAnsi="Times New Roman" w:cs="Times New Roman"/>
          <w:color w:val="auto"/>
          <w:highlight w:val="none"/>
        </w:rPr>
        <w:t>（含税）</w:t>
      </w:r>
      <w:r>
        <w:rPr>
          <w:rFonts w:hint="eastAsia" w:ascii="Times New Roman" w:hAnsi="Times New Roman"/>
          <w:color w:val="auto"/>
          <w:highlight w:val="none"/>
        </w:rPr>
        <w:t>。</w:t>
      </w:r>
    </w:p>
    <w:p w14:paraId="3887FC53">
      <w:pPr>
        <w:pStyle w:val="4"/>
        <w:rPr>
          <w:rFonts w:ascii="Times New Roman" w:hAnsi="Times New Roman"/>
          <w:color w:val="auto"/>
          <w:highlight w:val="none"/>
        </w:rPr>
      </w:pPr>
      <w:bookmarkStart w:id="67" w:name="_Toc22950"/>
      <w:bookmarkStart w:id="68" w:name="_Toc8962"/>
      <w:r>
        <w:rPr>
          <w:rFonts w:hint="eastAsia" w:ascii="Times New Roman" w:hAnsi="Times New Roman"/>
          <w:color w:val="auto"/>
          <w:highlight w:val="none"/>
        </w:rPr>
        <w:t>1.3 项目概况</w:t>
      </w:r>
      <w:bookmarkEnd w:id="67"/>
      <w:bookmarkEnd w:id="68"/>
    </w:p>
    <w:bookmarkEnd w:id="62"/>
    <w:p w14:paraId="0455DD49">
      <w:pPr>
        <w:rPr>
          <w:rFonts w:ascii="Times New Roman" w:hAnsi="Times New Roman"/>
          <w:color w:val="auto"/>
          <w:highlight w:val="none"/>
        </w:rPr>
      </w:pPr>
      <w:bookmarkStart w:id="69" w:name="_Toc89675161"/>
      <w:r>
        <w:rPr>
          <w:color w:val="auto"/>
          <w:highlight w:val="none"/>
        </w:rPr>
        <w:t>为持续加强宏观审慎管理，进一步提高对内部审计的要求，扩大审计覆盖面。我行审计监督信息系统由于建设时间早，随着信息系统技术的发展和本行业务的拓展，已滞后行内其他系统，功能、效率和兼容性不足突显，并且将根据我行信息科技国产化要求适配国产化软、硬件</w:t>
      </w:r>
      <w:r>
        <w:rPr>
          <w:rFonts w:hint="eastAsia"/>
          <w:color w:val="auto"/>
          <w:highlight w:val="none"/>
        </w:rPr>
        <w:t>。</w:t>
      </w:r>
    </w:p>
    <w:p w14:paraId="5A89C967">
      <w:pPr>
        <w:pStyle w:val="4"/>
        <w:rPr>
          <w:rFonts w:ascii="Times New Roman" w:hAnsi="Times New Roman"/>
          <w:color w:val="auto"/>
          <w:highlight w:val="none"/>
        </w:rPr>
      </w:pPr>
      <w:bookmarkStart w:id="70" w:name="_Toc20015"/>
      <w:bookmarkStart w:id="71" w:name="_Toc4405"/>
      <w:r>
        <w:rPr>
          <w:rFonts w:hint="eastAsia" w:ascii="Times New Roman" w:hAnsi="Times New Roman"/>
          <w:color w:val="auto"/>
          <w:highlight w:val="none"/>
        </w:rPr>
        <w:t>1.4 项目目标</w:t>
      </w:r>
      <w:bookmarkEnd w:id="70"/>
      <w:bookmarkEnd w:id="71"/>
    </w:p>
    <w:p w14:paraId="76A5779F">
      <w:pPr>
        <w:rPr>
          <w:rFonts w:ascii="Times New Roman" w:hAnsi="Times New Roman"/>
          <w:color w:val="auto"/>
          <w:highlight w:val="none"/>
        </w:rPr>
      </w:pPr>
      <w:r>
        <w:rPr>
          <w:color w:val="auto"/>
          <w:highlight w:val="none"/>
        </w:rPr>
        <w:t>审计系统升级目标是</w:t>
      </w:r>
      <w:r>
        <w:rPr>
          <w:rFonts w:hint="eastAsia"/>
          <w:color w:val="auto"/>
          <w:highlight w:val="none"/>
          <w:lang w:bidi="en-US"/>
        </w:rPr>
        <w:t>将审计系统建设为全面支撑审计人员专业工作的一体化办工平台，即审计工作能够在审计系统中得到全流程的详细记录和存储，系统能够实现自动统计、整改监测及提醒、预警监测、归档等功能，为远期的绿色无纸化办公打好基础。审计人员可以通过系统获取基于本行所有业务数据的分析监测结果，开展大数据审计，管理者能通过驾驶舱实时掌握审计全景工作情况。</w:t>
      </w:r>
      <w:r>
        <w:rPr>
          <w:color w:val="auto"/>
          <w:highlight w:val="none"/>
        </w:rPr>
        <w:t>随着我行信息科技国产化进程不断推进，审计系统将根据国产化改造要求支持全栈国产化环境应用。目前已将审计系统国产化工作纳入我行国产化统一规划计划</w:t>
      </w:r>
      <w:r>
        <w:rPr>
          <w:rFonts w:hint="eastAsia"/>
          <w:color w:val="auto"/>
          <w:highlight w:val="none"/>
        </w:rPr>
        <w:t>。</w:t>
      </w:r>
    </w:p>
    <w:p w14:paraId="7AC8E77D">
      <w:pPr>
        <w:pStyle w:val="3"/>
        <w:rPr>
          <w:rFonts w:ascii="Times New Roman" w:hAnsi="Times New Roman"/>
          <w:color w:val="auto"/>
          <w:highlight w:val="none"/>
        </w:rPr>
      </w:pPr>
      <w:bookmarkStart w:id="72" w:name="_Toc12144"/>
      <w:bookmarkStart w:id="73" w:name="_Toc7046"/>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69"/>
      <w:bookmarkEnd w:id="72"/>
      <w:bookmarkEnd w:id="73"/>
    </w:p>
    <w:p w14:paraId="20540F58">
      <w:pPr>
        <w:rPr>
          <w:rFonts w:ascii="Times New Roman" w:hAnsi="Times New Roman"/>
          <w:color w:val="auto"/>
          <w:highlight w:val="none"/>
        </w:rPr>
      </w:pPr>
      <w:r>
        <w:rPr>
          <w:rFonts w:hint="eastAsia" w:ascii="Times New Roman" w:hAnsi="Times New Roman"/>
          <w:color w:val="auto"/>
          <w:highlight w:val="none"/>
        </w:rPr>
        <w:t>2.1 合格参选人条件</w:t>
      </w:r>
    </w:p>
    <w:p w14:paraId="7A51922E">
      <w:pPr>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20E978BD">
      <w:pPr>
        <w:rPr>
          <w:rFonts w:ascii="Times New Roman" w:hAnsi="Times New Roman"/>
          <w:color w:val="auto"/>
          <w:highlight w:val="none"/>
        </w:rPr>
      </w:pPr>
      <w:r>
        <w:rPr>
          <w:rFonts w:hint="eastAsia" w:ascii="Times New Roman" w:hAnsi="Times New Roman"/>
          <w:color w:val="auto"/>
          <w:highlight w:val="none"/>
        </w:rPr>
        <w:t>2.2 参选人的风险</w:t>
      </w:r>
    </w:p>
    <w:p w14:paraId="424CD649">
      <w:pPr>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34FF596A">
      <w:pPr>
        <w:pStyle w:val="3"/>
        <w:rPr>
          <w:rFonts w:ascii="Times New Roman" w:hAnsi="Times New Roman"/>
          <w:color w:val="auto"/>
          <w:highlight w:val="none"/>
        </w:rPr>
      </w:pPr>
      <w:bookmarkStart w:id="74" w:name="_Toc2880"/>
      <w:bookmarkStart w:id="75" w:name="_Toc89675162"/>
      <w:bookmarkStart w:id="76" w:name="_Toc27013"/>
      <w:r>
        <w:rPr>
          <w:rFonts w:hint="eastAsia" w:ascii="Times New Roman" w:hAnsi="Times New Roman"/>
          <w:color w:val="auto"/>
          <w:highlight w:val="none"/>
        </w:rPr>
        <w:t>3. 比选文件</w:t>
      </w:r>
      <w:bookmarkEnd w:id="74"/>
      <w:bookmarkEnd w:id="75"/>
      <w:bookmarkEnd w:id="76"/>
    </w:p>
    <w:p w14:paraId="138970B9">
      <w:pPr>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04A80984">
      <w:pPr>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45704465">
      <w:pPr>
        <w:pStyle w:val="3"/>
        <w:rPr>
          <w:rFonts w:ascii="Times New Roman" w:hAnsi="Times New Roman"/>
          <w:color w:val="auto"/>
          <w:highlight w:val="none"/>
        </w:rPr>
      </w:pPr>
      <w:bookmarkStart w:id="77" w:name="_Toc30945"/>
      <w:bookmarkStart w:id="78" w:name="_Toc16707"/>
      <w:bookmarkStart w:id="79"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77"/>
      <w:bookmarkEnd w:id="78"/>
      <w:bookmarkEnd w:id="79"/>
    </w:p>
    <w:p w14:paraId="346B4786">
      <w:pPr>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6DA3BFF5">
      <w:pPr>
        <w:pStyle w:val="4"/>
        <w:rPr>
          <w:rFonts w:ascii="Times New Roman" w:hAnsi="Times New Roman"/>
          <w:color w:val="auto"/>
          <w:highlight w:val="none"/>
        </w:rPr>
      </w:pPr>
      <w:bookmarkStart w:id="80" w:name="_Toc24113"/>
      <w:bookmarkStart w:id="81" w:name="_Toc10834"/>
      <w:r>
        <w:rPr>
          <w:rFonts w:hint="eastAsia" w:ascii="Times New Roman" w:hAnsi="Times New Roman"/>
          <w:color w:val="auto"/>
          <w:highlight w:val="none"/>
        </w:rPr>
        <w:t>4.1 参选文件组成</w:t>
      </w:r>
      <w:bookmarkEnd w:id="80"/>
      <w:bookmarkEnd w:id="81"/>
    </w:p>
    <w:p w14:paraId="21E811B4">
      <w:pPr>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568CE238">
      <w:pPr>
        <w:pStyle w:val="4"/>
        <w:rPr>
          <w:rFonts w:ascii="Times New Roman" w:hAnsi="Times New Roman"/>
          <w:color w:val="auto"/>
          <w:highlight w:val="none"/>
        </w:rPr>
      </w:pPr>
      <w:bookmarkStart w:id="82" w:name="_Toc13764"/>
      <w:bookmarkStart w:id="83" w:name="_Toc22417"/>
      <w:r>
        <w:rPr>
          <w:rFonts w:hint="eastAsia" w:ascii="Times New Roman" w:hAnsi="Times New Roman"/>
          <w:color w:val="auto"/>
          <w:highlight w:val="none"/>
        </w:rPr>
        <w:t>4.2 联合参选</w:t>
      </w:r>
      <w:bookmarkEnd w:id="82"/>
      <w:bookmarkEnd w:id="83"/>
    </w:p>
    <w:p w14:paraId="49BD28F9">
      <w:pPr>
        <w:rPr>
          <w:rFonts w:ascii="Times New Roman" w:hAnsi="Times New Roman"/>
          <w:color w:val="auto"/>
          <w:highlight w:val="none"/>
        </w:rPr>
      </w:pPr>
      <w:r>
        <w:rPr>
          <w:rFonts w:hint="eastAsia" w:ascii="Times New Roman" w:hAnsi="Times New Roman"/>
          <w:color w:val="auto"/>
          <w:highlight w:val="none"/>
        </w:rPr>
        <w:t>本比选项目不接受联合参选</w:t>
      </w:r>
    </w:p>
    <w:p w14:paraId="763CCB94">
      <w:pPr>
        <w:pStyle w:val="4"/>
        <w:rPr>
          <w:rFonts w:ascii="Times New Roman" w:hAnsi="Times New Roman"/>
          <w:color w:val="auto"/>
          <w:highlight w:val="none"/>
        </w:rPr>
      </w:pPr>
      <w:bookmarkStart w:id="84" w:name="_Toc14719"/>
      <w:bookmarkStart w:id="85" w:name="_Toc4981"/>
      <w:r>
        <w:rPr>
          <w:rFonts w:hint="eastAsia" w:ascii="Times New Roman" w:hAnsi="Times New Roman"/>
          <w:color w:val="auto"/>
          <w:highlight w:val="none"/>
        </w:rPr>
        <w:t>4.3 参选有效期</w:t>
      </w:r>
      <w:bookmarkEnd w:id="84"/>
      <w:bookmarkEnd w:id="85"/>
    </w:p>
    <w:p w14:paraId="419D8CDF">
      <w:pPr>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5CF3D626">
      <w:pPr>
        <w:pStyle w:val="4"/>
        <w:rPr>
          <w:rFonts w:ascii="Times New Roman" w:hAnsi="Times New Roman"/>
          <w:color w:val="auto"/>
          <w:highlight w:val="none"/>
        </w:rPr>
      </w:pPr>
      <w:bookmarkStart w:id="86" w:name="_Toc7253"/>
      <w:bookmarkStart w:id="87" w:name="_Toc11746"/>
      <w:r>
        <w:rPr>
          <w:rFonts w:hint="eastAsia" w:ascii="Times New Roman" w:hAnsi="Times New Roman"/>
          <w:color w:val="auto"/>
          <w:highlight w:val="none"/>
        </w:rPr>
        <w:t>4.4 参选保证金</w:t>
      </w:r>
      <w:bookmarkEnd w:id="86"/>
      <w:bookmarkEnd w:id="87"/>
    </w:p>
    <w:p w14:paraId="7AD50C54">
      <w:pPr>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6E179415">
      <w:pPr>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5192301C">
      <w:pPr>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185AF273">
      <w:pPr>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35EEA7D0">
      <w:pPr>
        <w:rPr>
          <w:rFonts w:ascii="Times New Roman" w:hAnsi="Times New Roman"/>
          <w:color w:val="auto"/>
          <w:highlight w:val="none"/>
        </w:rPr>
      </w:pPr>
      <w:r>
        <w:rPr>
          <w:rFonts w:hint="eastAsia" w:ascii="Times New Roman" w:hAnsi="Times New Roman"/>
          <w:color w:val="auto"/>
          <w:highlight w:val="none"/>
        </w:rPr>
        <w:t>4.4.5 参选保证金的退还：</w:t>
      </w:r>
    </w:p>
    <w:p w14:paraId="7BBF6148">
      <w:pPr>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DBD60ED">
      <w:pPr>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3F04E70">
      <w:pPr>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118DA443">
      <w:pPr>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644C6D1A">
      <w:pPr>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4B7DB40E">
      <w:pPr>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58FE2EBE">
      <w:pPr>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78CF505F">
      <w:pPr>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4B2A2E3E">
      <w:pPr>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51C62FFC">
      <w:pPr>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3240EA11">
      <w:pPr>
        <w:pStyle w:val="4"/>
        <w:rPr>
          <w:rFonts w:ascii="Times New Roman" w:hAnsi="Times New Roman"/>
          <w:color w:val="auto"/>
          <w:highlight w:val="none"/>
        </w:rPr>
      </w:pPr>
      <w:bookmarkStart w:id="88" w:name="_Toc28240"/>
      <w:bookmarkStart w:id="89" w:name="_Toc15525"/>
      <w:r>
        <w:rPr>
          <w:rFonts w:hint="eastAsia" w:ascii="Times New Roman" w:hAnsi="Times New Roman"/>
          <w:color w:val="auto"/>
          <w:highlight w:val="none"/>
        </w:rPr>
        <w:t>4.5 参选文件的份数和签署</w:t>
      </w:r>
      <w:bookmarkEnd w:id="88"/>
      <w:bookmarkEnd w:id="89"/>
    </w:p>
    <w:p w14:paraId="628FDA80">
      <w:pPr>
        <w:rPr>
          <w:rFonts w:ascii="Times New Roman" w:hAnsi="Times New Roman"/>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w:t>
      </w:r>
      <w:r>
        <w:rPr>
          <w:rFonts w:hint="eastAsia"/>
          <w:color w:val="auto"/>
          <w:highlight w:val="none"/>
        </w:rPr>
        <w:t>应为参选文件盖章后的</w:t>
      </w:r>
      <w:r>
        <w:rPr>
          <w:color w:val="auto"/>
          <w:highlight w:val="none"/>
        </w:rPr>
        <w:t>PDF</w:t>
      </w:r>
      <w:r>
        <w:rPr>
          <w:rFonts w:hint="eastAsia"/>
          <w:color w:val="auto"/>
          <w:highlight w:val="none"/>
        </w:rPr>
        <w:t>格式扫描件，文件名为“参选人单位名简称</w:t>
      </w:r>
      <w:r>
        <w:rPr>
          <w:color w:val="auto"/>
          <w:highlight w:val="none"/>
        </w:rPr>
        <w:t>+</w:t>
      </w:r>
      <w:r>
        <w:rPr>
          <w:rFonts w:hint="eastAsia"/>
          <w:color w:val="auto"/>
          <w:highlight w:val="none"/>
        </w:rPr>
        <w:t>项目名简称”，并</w:t>
      </w:r>
      <w:r>
        <w:rPr>
          <w:rFonts w:hint="eastAsia" w:ascii="Times New Roman" w:hAnsi="Times New Roman"/>
          <w:color w:val="auto"/>
          <w:highlight w:val="none"/>
        </w:rPr>
        <w:t>单独装入信封中密封，并在信封表面加盖鲜章（公章）。</w:t>
      </w:r>
    </w:p>
    <w:p w14:paraId="6D056096">
      <w:pPr>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7F7D5243">
      <w:pPr>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77710C2C">
      <w:pPr>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4E09D2B5">
      <w:pPr>
        <w:pStyle w:val="4"/>
        <w:rPr>
          <w:rFonts w:ascii="Times New Roman" w:hAnsi="Times New Roman"/>
          <w:color w:val="auto"/>
          <w:highlight w:val="none"/>
        </w:rPr>
      </w:pPr>
      <w:bookmarkStart w:id="90" w:name="_Toc31550"/>
      <w:bookmarkStart w:id="91" w:name="_Toc23880"/>
      <w:r>
        <w:rPr>
          <w:rFonts w:hint="eastAsia" w:ascii="Times New Roman" w:hAnsi="Times New Roman"/>
          <w:color w:val="auto"/>
          <w:highlight w:val="none"/>
        </w:rPr>
        <w:t>4.6 参选文件的密封与标记</w:t>
      </w:r>
      <w:bookmarkEnd w:id="90"/>
      <w:bookmarkEnd w:id="91"/>
    </w:p>
    <w:p w14:paraId="25C738BF">
      <w:pPr>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244E2C72">
      <w:pPr>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5243D9F7">
      <w:pPr>
        <w:pStyle w:val="4"/>
        <w:rPr>
          <w:rFonts w:ascii="Times New Roman" w:hAnsi="Times New Roman"/>
          <w:color w:val="auto"/>
          <w:highlight w:val="none"/>
        </w:rPr>
      </w:pPr>
      <w:bookmarkStart w:id="92" w:name="_Toc8845"/>
      <w:bookmarkStart w:id="93" w:name="_Toc12737"/>
      <w:r>
        <w:rPr>
          <w:rFonts w:hint="eastAsia" w:ascii="Times New Roman" w:hAnsi="Times New Roman"/>
          <w:color w:val="auto"/>
          <w:highlight w:val="none"/>
        </w:rPr>
        <w:t>4.7 参选报价</w:t>
      </w:r>
      <w:bookmarkEnd w:id="92"/>
      <w:bookmarkEnd w:id="93"/>
    </w:p>
    <w:p w14:paraId="69C284F3">
      <w:pPr>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57D9407A">
      <w:pPr>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16876AB5">
      <w:pPr>
        <w:rPr>
          <w:rFonts w:hint="eastAsia"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539C79B8">
      <w:pPr>
        <w:rPr>
          <w:rFonts w:hint="eastAsia" w:ascii="Times New Roman" w:hAnsi="Times New Roman"/>
          <w:color w:val="auto"/>
          <w:highlight w:val="none"/>
        </w:rPr>
      </w:pPr>
      <w:r>
        <w:rPr>
          <w:rFonts w:hint="eastAsia" w:ascii="Times New Roman" w:hAnsi="Times New Roman"/>
          <w:color w:val="auto"/>
          <w:highlight w:val="none"/>
        </w:rPr>
        <w:t>4.7.4 参选报价不得高于最高限价。</w:t>
      </w:r>
    </w:p>
    <w:p w14:paraId="08589CBA">
      <w:pPr>
        <w:pStyle w:val="4"/>
        <w:rPr>
          <w:rFonts w:ascii="Times New Roman" w:hAnsi="Times New Roman"/>
          <w:color w:val="auto"/>
          <w:highlight w:val="none"/>
        </w:rPr>
      </w:pPr>
      <w:bookmarkStart w:id="94" w:name="_Toc29535"/>
      <w:bookmarkStart w:id="95" w:name="_Toc1153"/>
      <w:r>
        <w:rPr>
          <w:rFonts w:hint="eastAsia" w:ascii="Times New Roman" w:hAnsi="Times New Roman"/>
          <w:color w:val="auto"/>
          <w:highlight w:val="none"/>
        </w:rPr>
        <w:t>4.8 修正错误</w:t>
      </w:r>
      <w:bookmarkEnd w:id="94"/>
      <w:bookmarkEnd w:id="95"/>
    </w:p>
    <w:p w14:paraId="0F8C67DF">
      <w:pPr>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73C5B001">
      <w:pPr>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1F9C029C">
      <w:pPr>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732E660A">
      <w:pPr>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68792054">
      <w:pPr>
        <w:rPr>
          <w:rFonts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20A064AA">
      <w:pPr>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B28B1AD">
      <w:pPr>
        <w:pStyle w:val="3"/>
        <w:rPr>
          <w:rFonts w:ascii="Times New Roman" w:hAnsi="Times New Roman"/>
          <w:color w:val="auto"/>
          <w:highlight w:val="none"/>
        </w:rPr>
      </w:pPr>
      <w:bookmarkStart w:id="96" w:name="_Toc7289"/>
      <w:bookmarkStart w:id="97" w:name="_Toc16093"/>
      <w:bookmarkStart w:id="98" w:name="_Toc89675166"/>
      <w:r>
        <w:rPr>
          <w:rFonts w:hint="eastAsia" w:ascii="Times New Roman" w:hAnsi="Times New Roman"/>
          <w:color w:val="auto"/>
          <w:highlight w:val="none"/>
        </w:rPr>
        <w:t>5. 比选程序</w:t>
      </w:r>
      <w:bookmarkEnd w:id="96"/>
      <w:bookmarkEnd w:id="97"/>
    </w:p>
    <w:p w14:paraId="43BFC0F1">
      <w:pPr>
        <w:rPr>
          <w:rFonts w:ascii="Times New Roman" w:hAnsi="Times New Roman"/>
          <w:color w:val="auto"/>
          <w:highlight w:val="none"/>
        </w:rPr>
      </w:pPr>
      <w:r>
        <w:rPr>
          <w:rFonts w:hint="eastAsia" w:ascii="Times New Roman" w:hAnsi="Times New Roman"/>
          <w:color w:val="auto"/>
          <w:highlight w:val="none"/>
        </w:rPr>
        <w:t>主持人按下列程序进行比选：</w:t>
      </w:r>
    </w:p>
    <w:p w14:paraId="34BE21B0">
      <w:pPr>
        <w:rPr>
          <w:rFonts w:ascii="Times New Roman" w:hAnsi="Times New Roman"/>
          <w:color w:val="auto"/>
          <w:highlight w:val="none"/>
        </w:rPr>
      </w:pPr>
      <w:r>
        <w:rPr>
          <w:rFonts w:hint="eastAsia" w:ascii="Times New Roman" w:hAnsi="Times New Roman"/>
          <w:color w:val="auto"/>
          <w:highlight w:val="none"/>
        </w:rPr>
        <w:t>5.1 宣布比选纪律；</w:t>
      </w:r>
    </w:p>
    <w:p w14:paraId="3D1DADCB">
      <w:pPr>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225FDAE1">
      <w:pPr>
        <w:rPr>
          <w:rFonts w:ascii="Times New Roman" w:hAnsi="Times New Roman"/>
          <w:color w:val="auto"/>
          <w:highlight w:val="none"/>
        </w:rPr>
      </w:pPr>
      <w:r>
        <w:rPr>
          <w:rFonts w:hint="eastAsia" w:ascii="Times New Roman" w:hAnsi="Times New Roman"/>
          <w:color w:val="auto"/>
          <w:highlight w:val="none"/>
        </w:rPr>
        <w:t>5.3 公布在</w:t>
      </w:r>
      <w:r>
        <w:rPr>
          <w:rFonts w:hint="eastAsia" w:ascii="Times New Roman" w:hAnsi="Times New Roman" w:cs="Times New Roman"/>
          <w:color w:val="auto"/>
          <w:highlight w:val="none"/>
        </w:rPr>
        <w:t>参选截止时间</w:t>
      </w:r>
      <w:r>
        <w:rPr>
          <w:rFonts w:hint="eastAsia" w:ascii="Times New Roman" w:hAnsi="Times New Roman"/>
          <w:color w:val="auto"/>
          <w:highlight w:val="none"/>
        </w:rPr>
        <w:t>前递交参选文件的参选人名称，并点名确认参选人是否派人到场；</w:t>
      </w:r>
    </w:p>
    <w:p w14:paraId="1A888CE0">
      <w:pPr>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052E8934">
      <w:pPr>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32419121">
      <w:pPr>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6F102FEC">
      <w:pPr>
        <w:rPr>
          <w:rFonts w:ascii="Times New Roman" w:hAnsi="Times New Roman"/>
          <w:color w:val="auto"/>
          <w:highlight w:val="none"/>
        </w:rPr>
      </w:pPr>
      <w:r>
        <w:rPr>
          <w:rFonts w:hint="eastAsia" w:ascii="Times New Roman" w:hAnsi="Times New Roman"/>
          <w:color w:val="auto"/>
          <w:highlight w:val="none"/>
        </w:rPr>
        <w:t>5.7 开启参选文件；</w:t>
      </w:r>
    </w:p>
    <w:p w14:paraId="16B8E43E">
      <w:pPr>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3FAAA57E">
      <w:pPr>
        <w:rPr>
          <w:rFonts w:ascii="Times New Roman" w:hAnsi="Times New Roman"/>
          <w:color w:val="auto"/>
          <w:highlight w:val="none"/>
        </w:rPr>
      </w:pPr>
      <w:r>
        <w:rPr>
          <w:rFonts w:hint="eastAsia" w:ascii="Times New Roman" w:hAnsi="Times New Roman"/>
          <w:color w:val="auto"/>
          <w:highlight w:val="none"/>
        </w:rPr>
        <w:t>5.9 比选结束。</w:t>
      </w:r>
    </w:p>
    <w:p w14:paraId="514E39C5">
      <w:pPr>
        <w:pStyle w:val="3"/>
        <w:rPr>
          <w:rFonts w:ascii="Times New Roman" w:hAnsi="Times New Roman"/>
          <w:color w:val="auto"/>
          <w:highlight w:val="none"/>
        </w:rPr>
      </w:pPr>
      <w:bookmarkStart w:id="99" w:name="_Toc30626"/>
      <w:bookmarkStart w:id="100" w:name="_Toc5680"/>
      <w:r>
        <w:rPr>
          <w:rFonts w:hint="eastAsia" w:ascii="Times New Roman" w:hAnsi="Times New Roman"/>
          <w:color w:val="auto"/>
          <w:highlight w:val="none"/>
        </w:rPr>
        <w:t>6. 评审</w:t>
      </w:r>
      <w:bookmarkEnd w:id="99"/>
      <w:bookmarkEnd w:id="100"/>
    </w:p>
    <w:p w14:paraId="3FE30822">
      <w:pPr>
        <w:rPr>
          <w:rFonts w:ascii="Times New Roman" w:hAnsi="Times New Roman"/>
          <w:color w:val="auto"/>
          <w:highlight w:val="none"/>
        </w:rPr>
      </w:pPr>
      <w:r>
        <w:rPr>
          <w:rFonts w:hint="eastAsia" w:ascii="Times New Roman" w:hAnsi="Times New Roman"/>
          <w:color w:val="auto"/>
          <w:highlight w:val="none"/>
        </w:rPr>
        <w:t>见第四章内容。</w:t>
      </w:r>
    </w:p>
    <w:p w14:paraId="356A9802">
      <w:pPr>
        <w:pStyle w:val="3"/>
        <w:rPr>
          <w:rFonts w:ascii="Times New Roman" w:hAnsi="Times New Roman"/>
          <w:color w:val="auto"/>
          <w:highlight w:val="none"/>
        </w:rPr>
      </w:pPr>
      <w:bookmarkStart w:id="101" w:name="_Toc22193"/>
      <w:bookmarkStart w:id="102" w:name="_Toc13034"/>
      <w:r>
        <w:rPr>
          <w:rFonts w:hint="eastAsia" w:ascii="Times New Roman" w:hAnsi="Times New Roman"/>
          <w:color w:val="auto"/>
          <w:highlight w:val="none"/>
        </w:rPr>
        <w:t>7. 定</w:t>
      </w:r>
      <w:r>
        <w:rPr>
          <w:rFonts w:ascii="Times New Roman" w:hAnsi="Times New Roman"/>
          <w:color w:val="auto"/>
          <w:highlight w:val="none"/>
        </w:rPr>
        <w:t>选</w:t>
      </w:r>
      <w:bookmarkEnd w:id="98"/>
      <w:bookmarkEnd w:id="101"/>
      <w:bookmarkEnd w:id="102"/>
    </w:p>
    <w:p w14:paraId="2696E820">
      <w:pPr>
        <w:rPr>
          <w:rFonts w:ascii="Times New Roman" w:hAnsi="Times New Roman"/>
          <w:color w:val="auto"/>
          <w:highlight w:val="none"/>
        </w:rPr>
      </w:pPr>
      <w:r>
        <w:rPr>
          <w:rFonts w:hint="eastAsia" w:ascii="Times New Roman" w:hAnsi="Times New Roman"/>
          <w:color w:val="auto"/>
          <w:highlight w:val="none"/>
        </w:rPr>
        <w:t>7.1 定选原则</w:t>
      </w:r>
    </w:p>
    <w:p w14:paraId="3B86180D">
      <w:pPr>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5214D858">
      <w:pPr>
        <w:rPr>
          <w:rFonts w:ascii="Times New Roman" w:hAnsi="Times New Roman"/>
          <w:color w:val="auto"/>
          <w:highlight w:val="none"/>
        </w:rPr>
      </w:pPr>
      <w:r>
        <w:rPr>
          <w:rFonts w:hint="eastAsia" w:ascii="Times New Roman" w:hAnsi="Times New Roman"/>
          <w:color w:val="auto"/>
          <w:highlight w:val="none"/>
        </w:rPr>
        <w:t>7.2 不承诺最低价格中选。</w:t>
      </w:r>
    </w:p>
    <w:p w14:paraId="761C084D">
      <w:pPr>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C260897">
      <w:pPr>
        <w:pStyle w:val="3"/>
        <w:rPr>
          <w:rFonts w:ascii="Times New Roman" w:hAnsi="Times New Roman"/>
          <w:color w:val="auto"/>
          <w:highlight w:val="none"/>
        </w:rPr>
      </w:pPr>
      <w:bookmarkStart w:id="103" w:name="_Toc17484"/>
      <w:bookmarkStart w:id="104" w:name="_Toc89675168"/>
      <w:bookmarkStart w:id="105" w:name="_Toc12245"/>
      <w:bookmarkStart w:id="106" w:name="_Toc6811"/>
      <w:r>
        <w:rPr>
          <w:rFonts w:hint="eastAsia" w:ascii="Times New Roman" w:hAnsi="Times New Roman"/>
          <w:color w:val="auto"/>
          <w:highlight w:val="none"/>
        </w:rPr>
        <w:t>8. 签订合同</w:t>
      </w:r>
      <w:bookmarkEnd w:id="103"/>
      <w:bookmarkEnd w:id="104"/>
      <w:bookmarkEnd w:id="105"/>
      <w:bookmarkEnd w:id="106"/>
    </w:p>
    <w:p w14:paraId="0A6C280F">
      <w:pPr>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F3BED71">
      <w:pPr>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4D2C8D53">
      <w:pPr>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6BE8B15E">
      <w:pPr>
        <w:rPr>
          <w:rFonts w:hint="eastAsia"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1D4DCF77">
      <w:pPr>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37385AE9">
      <w:pPr>
        <w:pStyle w:val="3"/>
        <w:rPr>
          <w:rFonts w:ascii="Times New Roman" w:hAnsi="Times New Roman"/>
          <w:color w:val="auto"/>
          <w:highlight w:val="none"/>
        </w:rPr>
      </w:pPr>
      <w:bookmarkStart w:id="107" w:name="_Toc29704"/>
      <w:bookmarkStart w:id="108" w:name="_Toc2531"/>
      <w:r>
        <w:rPr>
          <w:rFonts w:hint="eastAsia" w:ascii="Times New Roman" w:hAnsi="Times New Roman"/>
          <w:color w:val="auto"/>
          <w:highlight w:val="none"/>
        </w:rPr>
        <w:t>9. 纪律与要求</w:t>
      </w:r>
      <w:bookmarkEnd w:id="107"/>
      <w:bookmarkEnd w:id="108"/>
    </w:p>
    <w:p w14:paraId="1319B1FB">
      <w:pPr>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B4407A8">
      <w:pPr>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2B73B0D0">
      <w:pPr>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0324DA73">
      <w:pPr>
        <w:rPr>
          <w:rFonts w:ascii="Times New Roman" w:hAnsi="Times New Roman"/>
          <w:color w:val="auto"/>
          <w:highlight w:val="none"/>
        </w:rPr>
      </w:pPr>
      <w:r>
        <w:rPr>
          <w:rFonts w:hint="eastAsia" w:ascii="Times New Roman" w:hAnsi="Times New Roman"/>
          <w:color w:val="auto"/>
          <w:highlight w:val="none"/>
        </w:rPr>
        <w:t>9.1.2 参选人之间约定中选人；</w:t>
      </w:r>
    </w:p>
    <w:p w14:paraId="23C94EAA">
      <w:pPr>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27458BEC">
      <w:pPr>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503EC37D">
      <w:pPr>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407BAFAF">
      <w:pPr>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31A45E41">
      <w:pPr>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2882CDC2">
      <w:pPr>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3CE62E5C">
      <w:pPr>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4ADC2087">
      <w:pPr>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266F627E">
      <w:pPr>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3A9C5282">
      <w:pPr>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1E372862">
      <w:pPr>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4E90A9ED">
      <w:pPr>
        <w:rPr>
          <w:rFonts w:ascii="Times New Roman" w:hAnsi="Times New Roman"/>
          <w:color w:val="auto"/>
          <w:highlight w:val="none"/>
        </w:rPr>
      </w:pPr>
      <w:r>
        <w:rPr>
          <w:rFonts w:hint="eastAsia" w:ascii="Times New Roman" w:hAnsi="Times New Roman"/>
          <w:color w:val="auto"/>
          <w:highlight w:val="none"/>
        </w:rPr>
        <w:t>9.4.1 使用伪造、变造的许可证件；</w:t>
      </w:r>
    </w:p>
    <w:p w14:paraId="28C3BD68">
      <w:pPr>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3B9AA544">
      <w:pPr>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3D121FD8">
      <w:pPr>
        <w:rPr>
          <w:rFonts w:ascii="Times New Roman" w:hAnsi="Times New Roman"/>
          <w:color w:val="auto"/>
          <w:highlight w:val="none"/>
        </w:rPr>
      </w:pPr>
      <w:r>
        <w:rPr>
          <w:rFonts w:hint="eastAsia" w:ascii="Times New Roman" w:hAnsi="Times New Roman"/>
          <w:color w:val="auto"/>
          <w:highlight w:val="none"/>
        </w:rPr>
        <w:t>9.4.4 提供虚假的信用状况；</w:t>
      </w:r>
    </w:p>
    <w:p w14:paraId="23F9D4B4">
      <w:pPr>
        <w:rPr>
          <w:rFonts w:ascii="Times New Roman" w:hAnsi="Times New Roman"/>
          <w:color w:val="auto"/>
          <w:highlight w:val="none"/>
        </w:rPr>
      </w:pPr>
      <w:r>
        <w:rPr>
          <w:rFonts w:hint="eastAsia" w:ascii="Times New Roman" w:hAnsi="Times New Roman"/>
          <w:color w:val="auto"/>
          <w:highlight w:val="none"/>
        </w:rPr>
        <w:t>9.4.5 其它弄虚作假的行为。</w:t>
      </w:r>
    </w:p>
    <w:p w14:paraId="3B1EC98B">
      <w:pPr>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711736AF">
      <w:pPr>
        <w:pStyle w:val="3"/>
        <w:rPr>
          <w:rFonts w:ascii="Times New Roman" w:hAnsi="Times New Roman"/>
          <w:color w:val="auto"/>
          <w:highlight w:val="none"/>
        </w:rPr>
      </w:pPr>
      <w:bookmarkStart w:id="109" w:name="_Toc24307"/>
      <w:bookmarkStart w:id="110" w:name="_Toc31385"/>
      <w:bookmarkStart w:id="111" w:name="_Toc89675169"/>
      <w:r>
        <w:rPr>
          <w:rFonts w:hint="eastAsia" w:ascii="Times New Roman" w:hAnsi="Times New Roman"/>
          <w:color w:val="auto"/>
          <w:highlight w:val="none"/>
        </w:rPr>
        <w:t>10. 提问、质疑、投诉</w:t>
      </w:r>
      <w:bookmarkEnd w:id="109"/>
      <w:bookmarkEnd w:id="110"/>
    </w:p>
    <w:p w14:paraId="3CC619AB">
      <w:pPr>
        <w:rPr>
          <w:rFonts w:ascii="Times New Roman" w:hAnsi="Times New Roman"/>
          <w:color w:val="auto"/>
          <w:highlight w:val="none"/>
        </w:rPr>
      </w:pPr>
      <w:r>
        <w:rPr>
          <w:rFonts w:hint="eastAsia" w:ascii="Times New Roman" w:hAnsi="Times New Roman"/>
          <w:color w:val="auto"/>
          <w:highlight w:val="none"/>
        </w:rPr>
        <w:t>10.1 补遗内容可能影响参选文件编制的，须在比选截止时间3日前发布，发布时间至比选截止时间不足3日的，须相应延后比选截止时间。</w:t>
      </w:r>
    </w:p>
    <w:p w14:paraId="7F6C28FF">
      <w:pPr>
        <w:rPr>
          <w:rFonts w:ascii="Times New Roman" w:hAnsi="Times New Roman"/>
          <w:color w:val="auto"/>
          <w:highlight w:val="none"/>
        </w:rPr>
      </w:pPr>
      <w:r>
        <w:rPr>
          <w:rFonts w:hint="eastAsia" w:ascii="Times New Roman" w:hAnsi="Times New Roman"/>
          <w:color w:val="auto"/>
          <w:highlight w:val="none"/>
        </w:rPr>
        <w:t>10.2 参选人对比选文件和答疑补遗有质疑的，应当在比选截止时间3日前，以书面形式通知比选人。比选人认为有必要对参选人所提问题进行答复或对比选文件进行补充时将答复内容以补遗的形式发布。</w:t>
      </w:r>
    </w:p>
    <w:p w14:paraId="54563751">
      <w:pPr>
        <w:rPr>
          <w:rFonts w:ascii="Times New Roman" w:hAnsi="Times New Roman"/>
          <w:color w:val="auto"/>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color w:val="auto"/>
          <w:highlight w:val="none"/>
        </w:rPr>
        <w:t>比选人认为有必要对参选人所提质疑进行答复时，将以书面形式进行答复。</w:t>
      </w:r>
    </w:p>
    <w:p w14:paraId="7EFB6DF0">
      <w:pPr>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31397806">
      <w:pPr>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50AD1D88">
      <w:pPr>
        <w:rPr>
          <w:rFonts w:ascii="Times New Roman" w:hAnsi="Times New Roman"/>
          <w:color w:val="auto"/>
          <w:highlight w:val="none"/>
        </w:rPr>
      </w:pPr>
      <w:r>
        <w:rPr>
          <w:rFonts w:hint="eastAsia" w:ascii="Times New Roman" w:hAnsi="Times New Roman"/>
          <w:color w:val="auto"/>
          <w:highlight w:val="none"/>
        </w:rPr>
        <w:t>采购投诉邮箱：</w:t>
      </w:r>
      <w:bookmarkStart w:id="112"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112"/>
    </w:p>
    <w:p w14:paraId="7ED06051">
      <w:pPr>
        <w:pStyle w:val="3"/>
        <w:rPr>
          <w:rFonts w:ascii="Times New Roman" w:hAnsi="Times New Roman"/>
          <w:color w:val="auto"/>
          <w:highlight w:val="none"/>
        </w:rPr>
      </w:pPr>
      <w:bookmarkStart w:id="113" w:name="_Toc11439"/>
      <w:bookmarkStart w:id="114" w:name="_Toc15059431"/>
      <w:bookmarkStart w:id="115" w:name="_Toc275199618"/>
      <w:bookmarkStart w:id="116" w:name="_Toc440628924"/>
      <w:bookmarkStart w:id="117" w:name="_Toc17549"/>
      <w:bookmarkStart w:id="118" w:name="_Toc89675157"/>
      <w:bookmarkStart w:id="119" w:name="_Toc6130"/>
      <w:r>
        <w:rPr>
          <w:rFonts w:hint="eastAsia" w:ascii="Times New Roman" w:hAnsi="Times New Roman"/>
          <w:color w:val="auto"/>
          <w:highlight w:val="none"/>
        </w:rPr>
        <w:t>11. 无效参选条款</w:t>
      </w:r>
      <w:bookmarkEnd w:id="113"/>
      <w:bookmarkEnd w:id="114"/>
      <w:bookmarkEnd w:id="115"/>
      <w:bookmarkEnd w:id="116"/>
      <w:bookmarkEnd w:id="117"/>
      <w:bookmarkEnd w:id="118"/>
      <w:bookmarkEnd w:id="119"/>
    </w:p>
    <w:p w14:paraId="260C66FE">
      <w:pPr>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257D4C47">
      <w:pPr>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0E8D1E11">
      <w:pPr>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7A27CA0F">
      <w:pPr>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2C23F46E">
      <w:pPr>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2CE00101">
      <w:pPr>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76A116A8">
      <w:pPr>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30DC0D6D">
      <w:pPr>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4EB4A934">
      <w:pPr>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1C75AAF5">
      <w:pPr>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2F4DD322">
      <w:pPr>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0592DB0B">
      <w:pPr>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7A9F5DFA">
      <w:pPr>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2D311AC3">
      <w:pPr>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38ABD299">
      <w:pPr>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3B69F9F5">
      <w:pPr>
        <w:pStyle w:val="3"/>
        <w:rPr>
          <w:rFonts w:ascii="Times New Roman" w:hAnsi="Times New Roman"/>
          <w:color w:val="auto"/>
          <w:highlight w:val="none"/>
        </w:rPr>
      </w:pPr>
      <w:bookmarkStart w:id="120" w:name="_Toc15586"/>
      <w:bookmarkStart w:id="121" w:name="_Toc5542"/>
      <w:r>
        <w:rPr>
          <w:rFonts w:hint="eastAsia" w:ascii="Times New Roman" w:hAnsi="Times New Roman"/>
          <w:color w:val="auto"/>
          <w:highlight w:val="none"/>
        </w:rPr>
        <w:t>12. 比选失败情形</w:t>
      </w:r>
      <w:bookmarkEnd w:id="120"/>
      <w:bookmarkEnd w:id="121"/>
    </w:p>
    <w:p w14:paraId="586EF492">
      <w:pPr>
        <w:snapToGrid w:val="0"/>
        <w:rPr>
          <w:rFonts w:ascii="Times New Roman" w:hAnsi="Times New Roman"/>
          <w:color w:val="auto"/>
          <w:highlight w:val="none"/>
        </w:rPr>
      </w:pPr>
      <w:r>
        <w:rPr>
          <w:rFonts w:hint="eastAsia" w:ascii="Times New Roman" w:hAnsi="Times New Roman"/>
          <w:color w:val="auto"/>
          <w:highlight w:val="none"/>
        </w:rPr>
        <w:t>出现以下情形本次比选失败：</w:t>
      </w:r>
    </w:p>
    <w:p w14:paraId="1C157CBC">
      <w:pPr>
        <w:snapToGrid w:val="0"/>
        <w:rPr>
          <w:rFonts w:ascii="Times New Roman" w:hAnsi="Times New Roman"/>
          <w:color w:val="auto"/>
          <w:highlight w:val="none"/>
        </w:rPr>
      </w:pPr>
      <w:r>
        <w:rPr>
          <w:rFonts w:hint="eastAsia" w:ascii="Times New Roman" w:hAnsi="Times New Roman"/>
          <w:color w:val="auto"/>
          <w:highlight w:val="none"/>
        </w:rPr>
        <w:t>12.1 比选截止时间止，参选人少于2个的。</w:t>
      </w:r>
    </w:p>
    <w:p w14:paraId="0BD0BEAC">
      <w:pPr>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63C45C53">
      <w:pPr>
        <w:pStyle w:val="3"/>
        <w:rPr>
          <w:rFonts w:ascii="Times New Roman" w:hAnsi="Times New Roman"/>
          <w:color w:val="auto"/>
          <w:highlight w:val="none"/>
        </w:rPr>
      </w:pPr>
      <w:bookmarkStart w:id="122" w:name="_Toc28352"/>
      <w:bookmarkStart w:id="123" w:name="_Toc17383"/>
      <w:r>
        <w:rPr>
          <w:rFonts w:hint="eastAsia" w:ascii="Times New Roman" w:hAnsi="Times New Roman"/>
          <w:color w:val="auto"/>
          <w:highlight w:val="none"/>
        </w:rPr>
        <w:t>13. 终止</w:t>
      </w:r>
      <w:r>
        <w:rPr>
          <w:rFonts w:ascii="Times New Roman" w:hAnsi="Times New Roman"/>
          <w:color w:val="auto"/>
          <w:highlight w:val="none"/>
        </w:rPr>
        <w:t>比选</w:t>
      </w:r>
      <w:bookmarkEnd w:id="111"/>
      <w:bookmarkEnd w:id="122"/>
      <w:bookmarkEnd w:id="123"/>
    </w:p>
    <w:p w14:paraId="7EF94F68">
      <w:pPr>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4A9D37B9">
      <w:pPr>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08DD1D49">
      <w:pPr>
        <w:pStyle w:val="3"/>
        <w:rPr>
          <w:rFonts w:ascii="Times New Roman" w:hAnsi="Times New Roman"/>
          <w:color w:val="auto"/>
          <w:highlight w:val="none"/>
        </w:rPr>
      </w:pPr>
      <w:bookmarkStart w:id="124" w:name="_Toc23677"/>
      <w:bookmarkStart w:id="125" w:name="_Toc12929"/>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bookmarkEnd w:id="124"/>
      <w:bookmarkEnd w:id="125"/>
    </w:p>
    <w:p w14:paraId="459D1DC8">
      <w:pPr>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3023167C">
      <w:pPr>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15000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6E547EBC">
      <w:pPr>
        <w:widowControl/>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286B2443">
      <w:pPr>
        <w:pStyle w:val="2"/>
        <w:rPr>
          <w:rFonts w:ascii="Times New Roman" w:hAnsi="Times New Roman"/>
          <w:color w:val="auto"/>
          <w:highlight w:val="none"/>
        </w:rPr>
      </w:pPr>
      <w:bookmarkStart w:id="126" w:name="_Toc26882"/>
      <w:bookmarkStart w:id="127" w:name="_Toc20667"/>
      <w:bookmarkStart w:id="128" w:name="_Toc23813"/>
      <w:bookmarkStart w:id="129" w:name="_Toc17793"/>
      <w:bookmarkStart w:id="130" w:name="_Toc11825"/>
      <w:bookmarkStart w:id="131" w:name="_Toc6871"/>
      <w:r>
        <w:rPr>
          <w:rFonts w:hint="eastAsia" w:ascii="Times New Roman" w:hAnsi="Times New Roman"/>
          <w:color w:val="auto"/>
          <w:highlight w:val="none"/>
        </w:rPr>
        <w:t>第三章 项目要求</w:t>
      </w:r>
      <w:bookmarkEnd w:id="126"/>
      <w:bookmarkEnd w:id="127"/>
      <w:bookmarkEnd w:id="128"/>
      <w:bookmarkEnd w:id="129"/>
      <w:bookmarkEnd w:id="130"/>
      <w:bookmarkEnd w:id="131"/>
    </w:p>
    <w:p w14:paraId="52F4763E">
      <w:pPr>
        <w:pStyle w:val="3"/>
        <w:numPr>
          <w:ilvl w:val="0"/>
          <w:numId w:val="0"/>
        </w:numPr>
        <w:ind w:left="360" w:leftChars="0" w:hanging="360" w:firstLineChars="0"/>
        <w:rPr>
          <w:rFonts w:ascii="Times New Roman" w:hAnsi="Times New Roman"/>
          <w:color w:val="auto"/>
          <w:highlight w:val="none"/>
        </w:rPr>
      </w:pPr>
      <w:bookmarkStart w:id="132" w:name="_Toc13157"/>
      <w:bookmarkStart w:id="133" w:name="_Toc9520"/>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业务需求</w:t>
      </w:r>
      <w:bookmarkEnd w:id="132"/>
      <w:bookmarkEnd w:id="133"/>
    </w:p>
    <w:p w14:paraId="77C6A1D7">
      <w:pPr>
        <w:snapToGrid w:val="0"/>
        <w:rPr>
          <w:rFonts w:ascii="宋体"/>
          <w:bCs/>
          <w:snapToGrid w:val="0"/>
          <w:color w:val="auto"/>
          <w:kern w:val="0"/>
          <w:szCs w:val="24"/>
          <w:highlight w:val="none"/>
          <w:lang w:bidi="en-US"/>
        </w:rPr>
      </w:pPr>
      <w:r>
        <w:rPr>
          <w:rFonts w:hint="eastAsia" w:ascii="宋体" w:cs="宋体"/>
          <w:bCs/>
          <w:snapToGrid w:val="0"/>
          <w:color w:val="auto"/>
          <w:kern w:val="0"/>
          <w:szCs w:val="24"/>
          <w:highlight w:val="none"/>
        </w:rPr>
        <w:t>1.</w:t>
      </w:r>
      <w:r>
        <w:rPr>
          <w:rFonts w:ascii="宋体" w:cs="宋体"/>
          <w:bCs/>
          <w:snapToGrid w:val="0"/>
          <w:color w:val="auto"/>
          <w:kern w:val="0"/>
          <w:szCs w:val="24"/>
          <w:highlight w:val="none"/>
        </w:rPr>
        <w:t>1</w:t>
      </w:r>
      <w:r>
        <w:rPr>
          <w:rFonts w:hint="eastAsia" w:ascii="宋体" w:cs="宋体"/>
          <w:bCs/>
          <w:snapToGrid w:val="0"/>
          <w:color w:val="auto"/>
          <w:kern w:val="0"/>
          <w:szCs w:val="24"/>
          <w:highlight w:val="none"/>
          <w:lang w:val="en-US" w:eastAsia="zh-CN"/>
        </w:rPr>
        <w:t xml:space="preserve"> </w:t>
      </w:r>
      <w:r>
        <w:rPr>
          <w:rFonts w:hint="eastAsia" w:ascii="宋体" w:cs="宋体"/>
          <w:bCs/>
          <w:snapToGrid w:val="0"/>
          <w:color w:val="auto"/>
          <w:kern w:val="0"/>
          <w:szCs w:val="24"/>
          <w:highlight w:val="none"/>
        </w:rPr>
        <w:t>建设现场审计作业平台，对现场审计工作进行全流程闭环管理。审计流程根据实际工作情况进行设定，大致为：</w:t>
      </w:r>
      <w:r>
        <w:rPr>
          <w:rFonts w:hint="eastAsia" w:ascii="宋体"/>
          <w:bCs/>
          <w:snapToGrid w:val="0"/>
          <w:color w:val="auto"/>
          <w:kern w:val="0"/>
          <w:szCs w:val="24"/>
          <w:highlight w:val="none"/>
          <w:lang w:bidi="en-US"/>
        </w:rPr>
        <w:t>年度审计计划—审计立项-审计通知-审计方案和审计抽样-审计资料获取-工作底稿-事实确认书（审计取证）-审计报告（各个版本）-审计报告征求意见-审计质控会-审计报告发文-审计整改-审计归档。</w:t>
      </w:r>
    </w:p>
    <w:p w14:paraId="3FCD0A49">
      <w:pPr>
        <w:snapToGrid w:val="0"/>
        <w:rPr>
          <w:rFonts w:ascii="宋体"/>
          <w:bCs/>
          <w:snapToGrid w:val="0"/>
          <w:color w:val="auto"/>
          <w:kern w:val="0"/>
          <w:szCs w:val="24"/>
          <w:highlight w:val="none"/>
          <w:lang w:bidi="en-US"/>
        </w:rPr>
      </w:pPr>
      <w:r>
        <w:rPr>
          <w:rFonts w:hint="eastAsia" w:ascii="宋体"/>
          <w:bCs/>
          <w:snapToGrid w:val="0"/>
          <w:color w:val="auto"/>
          <w:kern w:val="0"/>
          <w:szCs w:val="24"/>
          <w:highlight w:val="none"/>
          <w:lang w:bidi="en-US"/>
        </w:rPr>
        <w:t>1</w:t>
      </w:r>
      <w:r>
        <w:rPr>
          <w:rFonts w:ascii="宋体"/>
          <w:bCs/>
          <w:snapToGrid w:val="0"/>
          <w:color w:val="auto"/>
          <w:kern w:val="0"/>
          <w:szCs w:val="24"/>
          <w:highlight w:val="none"/>
          <w:lang w:bidi="en-US"/>
        </w:rPr>
        <w:t>.1.1</w:t>
      </w:r>
      <w:r>
        <w:rPr>
          <w:rFonts w:hint="eastAsia" w:ascii="宋体"/>
          <w:bCs/>
          <w:snapToGrid w:val="0"/>
          <w:color w:val="auto"/>
          <w:kern w:val="0"/>
          <w:szCs w:val="24"/>
          <w:highlight w:val="none"/>
          <w:lang w:val="en-US" w:eastAsia="zh-CN" w:bidi="en-US"/>
        </w:rPr>
        <w:t xml:space="preserve"> </w:t>
      </w:r>
      <w:r>
        <w:rPr>
          <w:rFonts w:hint="eastAsia" w:ascii="宋体"/>
          <w:bCs/>
          <w:snapToGrid w:val="0"/>
          <w:color w:val="auto"/>
          <w:kern w:val="0"/>
          <w:szCs w:val="24"/>
          <w:highlight w:val="none"/>
          <w:lang w:bidi="en-US"/>
        </w:rPr>
        <w:t>流程可配置。按审计项目类型在后台可设置并调整不同的审计流程和审批节点要求，同时每个审计项目的具体流程和审批程序在审计立项时可单独配置，尽量减少繁琐的审批程序，增加工作便捷性，提升用户使用体验感。</w:t>
      </w:r>
    </w:p>
    <w:p w14:paraId="360C0F86">
      <w:pPr>
        <w:snapToGrid w:val="0"/>
        <w:rPr>
          <w:rFonts w:ascii="宋体"/>
          <w:bCs/>
          <w:snapToGrid w:val="0"/>
          <w:color w:val="auto"/>
          <w:kern w:val="0"/>
          <w:szCs w:val="24"/>
          <w:highlight w:val="none"/>
          <w:lang w:bidi="en-US"/>
        </w:rPr>
      </w:pPr>
      <w:r>
        <w:rPr>
          <w:rFonts w:hint="eastAsia" w:ascii="宋体"/>
          <w:bCs/>
          <w:snapToGrid w:val="0"/>
          <w:color w:val="auto"/>
          <w:kern w:val="0"/>
          <w:szCs w:val="24"/>
          <w:highlight w:val="none"/>
          <w:lang w:bidi="en-US"/>
        </w:rPr>
        <w:t>1</w:t>
      </w:r>
      <w:r>
        <w:rPr>
          <w:rFonts w:ascii="宋体"/>
          <w:bCs/>
          <w:snapToGrid w:val="0"/>
          <w:color w:val="auto"/>
          <w:kern w:val="0"/>
          <w:szCs w:val="24"/>
          <w:highlight w:val="none"/>
          <w:lang w:bidi="en-US"/>
        </w:rPr>
        <w:t>.1.2</w:t>
      </w:r>
      <w:r>
        <w:rPr>
          <w:rFonts w:hint="eastAsia" w:ascii="宋体"/>
          <w:bCs/>
          <w:snapToGrid w:val="0"/>
          <w:color w:val="auto"/>
          <w:kern w:val="0"/>
          <w:szCs w:val="24"/>
          <w:highlight w:val="none"/>
          <w:lang w:val="en-US" w:eastAsia="zh-CN" w:bidi="en-US"/>
        </w:rPr>
        <w:t xml:space="preserve"> </w:t>
      </w:r>
      <w:r>
        <w:rPr>
          <w:rFonts w:hint="eastAsia" w:ascii="宋体"/>
          <w:bCs/>
          <w:snapToGrid w:val="0"/>
          <w:color w:val="auto"/>
          <w:kern w:val="0"/>
          <w:szCs w:val="24"/>
          <w:highlight w:val="none"/>
          <w:lang w:bidi="en-US"/>
        </w:rPr>
        <w:t>系统推送。审计系统与新办公平台关联，审计通知书发送、审计资料清单发送与获取、事实确认书的确认及反馈、审计报告意见征求、审计报告发送、审计整改反馈及表格填写、廉洁意见的反馈，均可以通过审计系统推送移动办公系统弹出消息提醒进行。</w:t>
      </w:r>
      <w:r>
        <w:rPr>
          <w:rFonts w:hint="eastAsia" w:ascii="宋体" w:cs="宋体"/>
          <w:bCs/>
          <w:snapToGrid w:val="0"/>
          <w:color w:val="auto"/>
          <w:kern w:val="0"/>
          <w:szCs w:val="24"/>
          <w:highlight w:val="none"/>
          <w:lang w:bidi="en-US"/>
        </w:rPr>
        <w:t>并且可以通过办公平台移动端登录进行审计流程审批、审计通知推送等功能，为审计无纸化归档打下坚实基础。</w:t>
      </w:r>
    </w:p>
    <w:p w14:paraId="4DAD25D1">
      <w:pPr>
        <w:snapToGrid w:val="0"/>
        <w:rPr>
          <w:rFonts w:ascii="宋体"/>
          <w:bCs/>
          <w:snapToGrid w:val="0"/>
          <w:color w:val="auto"/>
          <w:kern w:val="0"/>
          <w:szCs w:val="24"/>
          <w:highlight w:val="none"/>
          <w:lang w:bidi="en-US"/>
        </w:rPr>
      </w:pPr>
      <w:r>
        <w:rPr>
          <w:rFonts w:hint="eastAsia" w:ascii="宋体"/>
          <w:bCs/>
          <w:snapToGrid w:val="0"/>
          <w:color w:val="auto"/>
          <w:kern w:val="0"/>
          <w:szCs w:val="24"/>
          <w:highlight w:val="none"/>
          <w:lang w:bidi="en-US"/>
        </w:rPr>
        <w:t>1</w:t>
      </w:r>
      <w:r>
        <w:rPr>
          <w:rFonts w:ascii="宋体"/>
          <w:bCs/>
          <w:snapToGrid w:val="0"/>
          <w:color w:val="auto"/>
          <w:kern w:val="0"/>
          <w:szCs w:val="24"/>
          <w:highlight w:val="none"/>
          <w:lang w:bidi="en-US"/>
        </w:rPr>
        <w:t>.1.3</w:t>
      </w:r>
      <w:r>
        <w:rPr>
          <w:rFonts w:hint="eastAsia" w:ascii="宋体"/>
          <w:bCs/>
          <w:snapToGrid w:val="0"/>
          <w:color w:val="auto"/>
          <w:kern w:val="0"/>
          <w:szCs w:val="24"/>
          <w:highlight w:val="none"/>
          <w:lang w:val="en-US" w:eastAsia="zh-CN" w:bidi="en-US"/>
        </w:rPr>
        <w:t xml:space="preserve"> </w:t>
      </w:r>
      <w:r>
        <w:rPr>
          <w:rFonts w:ascii="宋体"/>
          <w:bCs/>
          <w:snapToGrid w:val="0"/>
          <w:color w:val="auto"/>
          <w:kern w:val="0"/>
          <w:szCs w:val="24"/>
          <w:highlight w:val="none"/>
          <w:lang w:bidi="en-US"/>
        </w:rPr>
        <w:t>审计取证。审计系统与新办公平台移动端关联，审计取证可以通过手机拍照直接上传审计系统。</w:t>
      </w:r>
    </w:p>
    <w:p w14:paraId="7E365737">
      <w:pPr>
        <w:snapToGrid w:val="0"/>
        <w:rPr>
          <w:rFonts w:ascii="宋体"/>
          <w:bCs/>
          <w:snapToGrid w:val="0"/>
          <w:color w:val="auto"/>
          <w:kern w:val="0"/>
          <w:szCs w:val="24"/>
          <w:highlight w:val="none"/>
          <w:lang w:bidi="en-US"/>
        </w:rPr>
      </w:pPr>
      <w:r>
        <w:rPr>
          <w:rFonts w:hint="eastAsia" w:ascii="宋体"/>
          <w:bCs/>
          <w:snapToGrid w:val="0"/>
          <w:color w:val="auto"/>
          <w:kern w:val="0"/>
          <w:szCs w:val="24"/>
          <w:highlight w:val="none"/>
          <w:lang w:bidi="en-US"/>
        </w:rPr>
        <w:t>1</w:t>
      </w:r>
      <w:r>
        <w:rPr>
          <w:rFonts w:ascii="宋体"/>
          <w:bCs/>
          <w:snapToGrid w:val="0"/>
          <w:color w:val="auto"/>
          <w:kern w:val="0"/>
          <w:szCs w:val="24"/>
          <w:highlight w:val="none"/>
          <w:lang w:bidi="en-US"/>
        </w:rPr>
        <w:t>.1.4</w:t>
      </w:r>
      <w:r>
        <w:rPr>
          <w:rFonts w:hint="eastAsia" w:ascii="宋体"/>
          <w:bCs/>
          <w:snapToGrid w:val="0"/>
          <w:color w:val="auto"/>
          <w:kern w:val="0"/>
          <w:szCs w:val="24"/>
          <w:highlight w:val="none"/>
          <w:lang w:val="en-US" w:eastAsia="zh-CN" w:bidi="en-US"/>
        </w:rPr>
        <w:t xml:space="preserve"> </w:t>
      </w:r>
      <w:r>
        <w:rPr>
          <w:rFonts w:ascii="宋体"/>
          <w:bCs/>
          <w:snapToGrid w:val="0"/>
          <w:color w:val="auto"/>
          <w:kern w:val="0"/>
          <w:szCs w:val="24"/>
          <w:highlight w:val="none"/>
          <w:lang w:bidi="en-US"/>
        </w:rPr>
        <w:t>审计整改。被审计对象</w:t>
      </w:r>
      <w:r>
        <w:rPr>
          <w:rFonts w:hint="eastAsia" w:ascii="宋体"/>
          <w:bCs/>
          <w:snapToGrid w:val="0"/>
          <w:color w:val="auto"/>
          <w:kern w:val="0"/>
          <w:szCs w:val="24"/>
          <w:highlight w:val="none"/>
          <w:lang w:bidi="en-US"/>
        </w:rPr>
        <w:t>通过</w:t>
      </w:r>
      <w:r>
        <w:rPr>
          <w:rFonts w:ascii="宋体"/>
          <w:bCs/>
          <w:snapToGrid w:val="0"/>
          <w:color w:val="auto"/>
          <w:kern w:val="0"/>
          <w:szCs w:val="24"/>
          <w:highlight w:val="none"/>
          <w:lang w:bidi="en-US"/>
        </w:rPr>
        <w:t>办公系统便捷登录进去可以看到权限范围内的内容。系统会在整改时限到之前自动提醒被审计单位和主审，在系统中填写表格以及上传整改证明，会自动汇总到问题总表。审计整改增加主审复核流程，复核不通过的会继续要求被审计单位整改。对于未完成整改的事项，会按照风险程度，分不同频率推送要求整改。</w:t>
      </w:r>
    </w:p>
    <w:p w14:paraId="3C58C63B">
      <w:pPr>
        <w:rPr>
          <w:color w:val="auto"/>
          <w:highlight w:val="none"/>
        </w:rPr>
      </w:pPr>
      <w:r>
        <w:rPr>
          <w:rFonts w:hint="eastAsia" w:ascii="宋体"/>
          <w:bCs/>
          <w:snapToGrid w:val="0"/>
          <w:color w:val="auto"/>
          <w:kern w:val="0"/>
          <w:szCs w:val="24"/>
          <w:highlight w:val="none"/>
          <w:lang w:bidi="en-US"/>
        </w:rPr>
        <w:t>1</w:t>
      </w:r>
      <w:r>
        <w:rPr>
          <w:rFonts w:ascii="宋体"/>
          <w:bCs/>
          <w:snapToGrid w:val="0"/>
          <w:color w:val="auto"/>
          <w:kern w:val="0"/>
          <w:szCs w:val="24"/>
          <w:highlight w:val="none"/>
          <w:lang w:bidi="en-US"/>
        </w:rPr>
        <w:t>.1.5</w:t>
      </w:r>
      <w:r>
        <w:rPr>
          <w:rFonts w:hint="eastAsia" w:ascii="宋体"/>
          <w:bCs/>
          <w:snapToGrid w:val="0"/>
          <w:color w:val="auto"/>
          <w:kern w:val="0"/>
          <w:szCs w:val="24"/>
          <w:highlight w:val="none"/>
          <w:lang w:val="en-US" w:eastAsia="zh-CN" w:bidi="en-US"/>
        </w:rPr>
        <w:t xml:space="preserve"> </w:t>
      </w:r>
      <w:r>
        <w:rPr>
          <w:rFonts w:ascii="宋体"/>
          <w:bCs/>
          <w:snapToGrid w:val="0"/>
          <w:color w:val="auto"/>
          <w:kern w:val="0"/>
          <w:szCs w:val="24"/>
          <w:highlight w:val="none"/>
          <w:lang w:bidi="en-US"/>
        </w:rPr>
        <w:t>审计归档。审计系统与电子档案系统关联。</w:t>
      </w:r>
      <w:r>
        <w:rPr>
          <w:rFonts w:hint="eastAsia" w:ascii="宋体" w:cs="宋体"/>
          <w:bCs/>
          <w:snapToGrid w:val="0"/>
          <w:color w:val="auto"/>
          <w:kern w:val="0"/>
          <w:szCs w:val="24"/>
          <w:highlight w:val="none"/>
          <w:lang w:bidi="en-US"/>
        </w:rPr>
        <w:t>审计归档用于审计结项后对涉及的全部电子文档进行汇总，汇总的电子文档以文件夹的形式呈现在结项的归档环节中。相应的文件夹包括但不限于审计计划、审计方案、审计通知书、工作底稿、事实确认书、调阅清单、审计发现问题台账、审计整改意见书、审计报告等。相关电子档案最终推送至电子档案系统，进行线上归档。</w:t>
      </w:r>
    </w:p>
    <w:p w14:paraId="60640AEB">
      <w:pPr>
        <w:snapToGrid w:val="0"/>
        <w:rPr>
          <w:rFonts w:ascii="宋体"/>
          <w:bCs/>
          <w:snapToGrid w:val="0"/>
          <w:color w:val="auto"/>
          <w:kern w:val="0"/>
          <w:szCs w:val="24"/>
          <w:highlight w:val="none"/>
          <w:lang w:bidi="en-US"/>
        </w:rPr>
      </w:pPr>
      <w:r>
        <w:rPr>
          <w:rFonts w:hint="eastAsia" w:ascii="宋体"/>
          <w:bCs/>
          <w:snapToGrid w:val="0"/>
          <w:color w:val="auto"/>
          <w:kern w:val="0"/>
          <w:szCs w:val="24"/>
          <w:highlight w:val="none"/>
          <w:lang w:bidi="en-US"/>
        </w:rPr>
        <w:t>1</w:t>
      </w:r>
      <w:r>
        <w:rPr>
          <w:rFonts w:ascii="宋体"/>
          <w:bCs/>
          <w:snapToGrid w:val="0"/>
          <w:color w:val="auto"/>
          <w:kern w:val="0"/>
          <w:szCs w:val="24"/>
          <w:highlight w:val="none"/>
          <w:lang w:bidi="en-US"/>
        </w:rPr>
        <w:t>.2</w:t>
      </w:r>
      <w:r>
        <w:rPr>
          <w:rFonts w:hint="eastAsia" w:ascii="宋体"/>
          <w:bCs/>
          <w:snapToGrid w:val="0"/>
          <w:color w:val="auto"/>
          <w:kern w:val="0"/>
          <w:szCs w:val="24"/>
          <w:highlight w:val="none"/>
          <w:lang w:val="en-US" w:eastAsia="zh-CN" w:bidi="en-US"/>
        </w:rPr>
        <w:t xml:space="preserve"> </w:t>
      </w:r>
      <w:r>
        <w:rPr>
          <w:rFonts w:ascii="宋体"/>
          <w:bCs/>
          <w:snapToGrid w:val="0"/>
          <w:color w:val="auto"/>
          <w:kern w:val="0"/>
          <w:szCs w:val="24"/>
          <w:highlight w:val="none"/>
          <w:lang w:bidi="en-US"/>
        </w:rPr>
        <w:t>建设非现场数据分析平台。</w:t>
      </w:r>
      <w:r>
        <w:rPr>
          <w:rFonts w:hint="eastAsia" w:ascii="宋体" w:cs="宋体"/>
          <w:bCs/>
          <w:snapToGrid w:val="0"/>
          <w:color w:val="auto"/>
          <w:kern w:val="0"/>
          <w:szCs w:val="24"/>
          <w:highlight w:val="none"/>
          <w:lang w:bidi="en-US"/>
        </w:rPr>
        <w:t>提供数据管理、模型应用管理功能，为数据分析提供数据资源，实现模型配置、探索、发布、固化等管理。</w:t>
      </w:r>
    </w:p>
    <w:p w14:paraId="796D4AC2">
      <w:pPr>
        <w:snapToGrid w:val="0"/>
        <w:rPr>
          <w:rFonts w:ascii="宋体" w:cs="宋体"/>
          <w:bCs/>
          <w:snapToGrid w:val="0"/>
          <w:color w:val="auto"/>
          <w:kern w:val="0"/>
          <w:szCs w:val="24"/>
          <w:highlight w:val="none"/>
          <w:lang w:bidi="en-US"/>
        </w:rPr>
      </w:pPr>
      <w:r>
        <w:rPr>
          <w:rFonts w:hint="eastAsia" w:ascii="宋体"/>
          <w:bCs/>
          <w:snapToGrid w:val="0"/>
          <w:color w:val="auto"/>
          <w:kern w:val="0"/>
          <w:szCs w:val="24"/>
          <w:highlight w:val="none"/>
          <w:lang w:bidi="en-US"/>
        </w:rPr>
        <w:t>1</w:t>
      </w:r>
      <w:r>
        <w:rPr>
          <w:rFonts w:ascii="宋体"/>
          <w:bCs/>
          <w:snapToGrid w:val="0"/>
          <w:color w:val="auto"/>
          <w:kern w:val="0"/>
          <w:szCs w:val="24"/>
          <w:highlight w:val="none"/>
          <w:lang w:bidi="en-US"/>
        </w:rPr>
        <w:t>.2.1</w:t>
      </w:r>
      <w:r>
        <w:rPr>
          <w:rFonts w:hint="eastAsia" w:ascii="宋体"/>
          <w:bCs/>
          <w:snapToGrid w:val="0"/>
          <w:color w:val="auto"/>
          <w:kern w:val="0"/>
          <w:szCs w:val="24"/>
          <w:highlight w:val="none"/>
          <w:lang w:val="en-US" w:eastAsia="zh-CN" w:bidi="en-US"/>
        </w:rPr>
        <w:t xml:space="preserve"> </w:t>
      </w:r>
      <w:r>
        <w:rPr>
          <w:rFonts w:ascii="宋体"/>
          <w:bCs/>
          <w:snapToGrid w:val="0"/>
          <w:color w:val="auto"/>
          <w:kern w:val="0"/>
          <w:szCs w:val="24"/>
          <w:highlight w:val="none"/>
          <w:lang w:bidi="en-US"/>
        </w:rPr>
        <w:t>建设</w:t>
      </w:r>
      <w:r>
        <w:rPr>
          <w:rFonts w:hint="eastAsia" w:ascii="宋体"/>
          <w:bCs/>
          <w:snapToGrid w:val="0"/>
          <w:color w:val="auto"/>
          <w:kern w:val="0"/>
          <w:szCs w:val="24"/>
          <w:highlight w:val="none"/>
          <w:lang w:bidi="en-US"/>
        </w:rPr>
        <w:t>数据分析工具</w:t>
      </w:r>
      <w:r>
        <w:rPr>
          <w:rFonts w:ascii="宋体"/>
          <w:bCs/>
          <w:snapToGrid w:val="0"/>
          <w:color w:val="auto"/>
          <w:kern w:val="0"/>
          <w:szCs w:val="24"/>
          <w:highlight w:val="none"/>
          <w:lang w:bidi="en-US"/>
        </w:rPr>
        <w:t>。</w:t>
      </w:r>
      <w:r>
        <w:rPr>
          <w:rFonts w:hint="eastAsia" w:ascii="宋体" w:cs="宋体"/>
          <w:bCs/>
          <w:snapToGrid w:val="0"/>
          <w:color w:val="auto"/>
          <w:kern w:val="0"/>
          <w:szCs w:val="24"/>
          <w:highlight w:val="none"/>
          <w:lang w:bidi="en-US"/>
        </w:rPr>
        <w:t>包括但不限于：SQL工具、模型探索工具，智慧图谱等。SQL工具：系统提供SQL语言开发界面，支持常用的函数提示，关键字提示，数据库表名等。模型探索工具：利用可视化图形操作界面，通过“拖拉拽”的方式编写模型，该工具应该提供数据合并、叠加、排序、关联、筛选等操作，支持数据提取、汇总。智慧图谱：支持界面化本体模型设计，支持图元数据管理，实现对审计图数据点和边的新增、修改、删除及查询功能，可以通过知识图谱技术实现以下场景：一是通过交易流水实现资金交易流向监控；二是实现信贷循环担保监控；三是实现对公客户关联企业关系展示，包括但不限于资金来往、控股、集团成员关系等。</w:t>
      </w:r>
    </w:p>
    <w:p w14:paraId="06E1B06B">
      <w:pPr>
        <w:snapToGrid w:val="0"/>
        <w:rPr>
          <w:rFonts w:ascii="宋体" w:cs="宋体"/>
          <w:bCs/>
          <w:snapToGrid w:val="0"/>
          <w:color w:val="auto"/>
          <w:kern w:val="0"/>
          <w:szCs w:val="24"/>
          <w:highlight w:val="none"/>
          <w:lang w:bidi="en-US"/>
        </w:rPr>
      </w:pPr>
      <w:r>
        <w:rPr>
          <w:rFonts w:hint="eastAsia" w:ascii="宋体" w:cs="宋体"/>
          <w:bCs/>
          <w:snapToGrid w:val="0"/>
          <w:color w:val="auto"/>
          <w:kern w:val="0"/>
          <w:szCs w:val="24"/>
          <w:highlight w:val="none"/>
          <w:lang w:bidi="en-US"/>
        </w:rPr>
        <w:t>1</w:t>
      </w:r>
      <w:r>
        <w:rPr>
          <w:rFonts w:ascii="宋体" w:cs="宋体"/>
          <w:bCs/>
          <w:snapToGrid w:val="0"/>
          <w:color w:val="auto"/>
          <w:kern w:val="0"/>
          <w:szCs w:val="24"/>
          <w:highlight w:val="none"/>
          <w:lang w:bidi="en-US"/>
        </w:rPr>
        <w:t>.2.2</w:t>
      </w:r>
      <w:r>
        <w:rPr>
          <w:rFonts w:hint="eastAsia" w:ascii="宋体" w:cs="宋体"/>
          <w:bCs/>
          <w:snapToGrid w:val="0"/>
          <w:color w:val="auto"/>
          <w:kern w:val="0"/>
          <w:szCs w:val="24"/>
          <w:highlight w:val="none"/>
          <w:lang w:val="en-US" w:eastAsia="zh-CN" w:bidi="en-US"/>
        </w:rPr>
        <w:t xml:space="preserve"> </w:t>
      </w:r>
      <w:r>
        <w:rPr>
          <w:rFonts w:hint="eastAsia" w:ascii="宋体" w:cs="宋体"/>
          <w:bCs/>
          <w:snapToGrid w:val="0"/>
          <w:color w:val="auto"/>
          <w:kern w:val="0"/>
          <w:szCs w:val="24"/>
          <w:highlight w:val="none"/>
          <w:lang w:bidi="en-US"/>
        </w:rPr>
        <w:t>建设监控预警平台，通过固化模型逻辑、阈值等，定期对模型进行监测，提供多样的可视化展现，对指标值及变化趋势进行分析判断，形成待办工作任务推进排查工作。包括疑点库管理、相关后续处理及疑点结果跟踪等功能，实现非现场审计结果流程化管理，并支持疑点信息结果反馈。</w:t>
      </w:r>
    </w:p>
    <w:p w14:paraId="0DD6F647">
      <w:pPr>
        <w:snapToGrid w:val="0"/>
        <w:rPr>
          <w:rFonts w:ascii="宋体" w:cs="宋体"/>
          <w:bCs/>
          <w:snapToGrid w:val="0"/>
          <w:color w:val="auto"/>
          <w:kern w:val="0"/>
          <w:szCs w:val="24"/>
          <w:highlight w:val="none"/>
          <w:lang w:bidi="en-US"/>
        </w:rPr>
      </w:pPr>
      <w:r>
        <w:rPr>
          <w:rFonts w:hint="eastAsia" w:ascii="宋体" w:cs="宋体"/>
          <w:bCs/>
          <w:snapToGrid w:val="0"/>
          <w:color w:val="auto"/>
          <w:kern w:val="0"/>
          <w:szCs w:val="24"/>
          <w:highlight w:val="none"/>
          <w:lang w:bidi="en-US"/>
        </w:rPr>
        <w:t>1</w:t>
      </w:r>
      <w:r>
        <w:rPr>
          <w:rFonts w:ascii="宋体" w:cs="宋体"/>
          <w:bCs/>
          <w:snapToGrid w:val="0"/>
          <w:color w:val="auto"/>
          <w:kern w:val="0"/>
          <w:szCs w:val="24"/>
          <w:highlight w:val="none"/>
          <w:lang w:bidi="en-US"/>
        </w:rPr>
        <w:t>.2.3</w:t>
      </w:r>
      <w:r>
        <w:rPr>
          <w:rFonts w:hint="eastAsia" w:ascii="宋体" w:cs="宋体"/>
          <w:bCs/>
          <w:snapToGrid w:val="0"/>
          <w:color w:val="auto"/>
          <w:kern w:val="0"/>
          <w:szCs w:val="24"/>
          <w:highlight w:val="none"/>
          <w:lang w:val="en-US" w:eastAsia="zh-CN" w:bidi="en-US"/>
        </w:rPr>
        <w:t xml:space="preserve"> </w:t>
      </w:r>
      <w:r>
        <w:rPr>
          <w:rFonts w:ascii="宋体" w:cs="宋体"/>
          <w:bCs/>
          <w:snapToGrid w:val="0"/>
          <w:color w:val="auto"/>
          <w:kern w:val="0"/>
          <w:szCs w:val="24"/>
          <w:highlight w:val="none"/>
          <w:lang w:bidi="en-US"/>
        </w:rPr>
        <w:t>建设</w:t>
      </w:r>
      <w:r>
        <w:rPr>
          <w:rFonts w:hint="eastAsia" w:ascii="宋体" w:cs="宋体"/>
          <w:bCs/>
          <w:snapToGrid w:val="0"/>
          <w:color w:val="auto"/>
          <w:kern w:val="0"/>
          <w:szCs w:val="24"/>
          <w:highlight w:val="none"/>
          <w:lang w:bidi="en-US"/>
        </w:rPr>
        <w:t>审计</w:t>
      </w:r>
      <w:r>
        <w:rPr>
          <w:rFonts w:ascii="宋体" w:cs="宋体"/>
          <w:bCs/>
          <w:snapToGrid w:val="0"/>
          <w:color w:val="auto"/>
          <w:kern w:val="0"/>
          <w:szCs w:val="24"/>
          <w:highlight w:val="none"/>
          <w:lang w:bidi="en-US"/>
        </w:rPr>
        <w:t>模型库。分别对已上线、正在编辑、模型灵感库进行管理。已上线模型库根据模型关注点进行分类管理，并记录基本信息及优化升级情况，所有审计人员可以在模型灵感库里面进行录入，后期转化为模型库内容。</w:t>
      </w:r>
    </w:p>
    <w:p w14:paraId="7AFA0CA6">
      <w:pPr>
        <w:rPr>
          <w:rFonts w:ascii="宋体" w:cs="宋体"/>
          <w:bCs/>
          <w:snapToGrid w:val="0"/>
          <w:color w:val="auto"/>
          <w:kern w:val="0"/>
          <w:szCs w:val="24"/>
          <w:highlight w:val="none"/>
          <w:lang w:bidi="en-US"/>
        </w:rPr>
      </w:pPr>
      <w:r>
        <w:rPr>
          <w:rFonts w:hint="eastAsia" w:ascii="宋体" w:cs="宋体"/>
          <w:bCs/>
          <w:snapToGrid w:val="0"/>
          <w:color w:val="auto"/>
          <w:kern w:val="0"/>
          <w:szCs w:val="24"/>
          <w:highlight w:val="none"/>
          <w:lang w:bidi="en-US"/>
        </w:rPr>
        <w:t>1</w:t>
      </w:r>
      <w:r>
        <w:rPr>
          <w:rFonts w:ascii="宋体" w:cs="宋体"/>
          <w:bCs/>
          <w:snapToGrid w:val="0"/>
          <w:color w:val="auto"/>
          <w:kern w:val="0"/>
          <w:szCs w:val="24"/>
          <w:highlight w:val="none"/>
          <w:lang w:bidi="en-US"/>
        </w:rPr>
        <w:t>.2.4</w:t>
      </w:r>
      <w:r>
        <w:rPr>
          <w:rFonts w:hint="eastAsia" w:ascii="宋体" w:cs="宋体"/>
          <w:bCs/>
          <w:snapToGrid w:val="0"/>
          <w:color w:val="auto"/>
          <w:kern w:val="0"/>
          <w:szCs w:val="24"/>
          <w:highlight w:val="none"/>
          <w:lang w:val="en-US" w:eastAsia="zh-CN" w:bidi="en-US"/>
        </w:rPr>
        <w:t xml:space="preserve"> </w:t>
      </w:r>
      <w:r>
        <w:rPr>
          <w:rFonts w:ascii="宋体" w:cs="宋体"/>
          <w:bCs/>
          <w:snapToGrid w:val="0"/>
          <w:color w:val="auto"/>
          <w:kern w:val="0"/>
          <w:szCs w:val="24"/>
          <w:highlight w:val="none"/>
          <w:lang w:bidi="en-US"/>
        </w:rPr>
        <w:t>建设</w:t>
      </w:r>
      <w:r>
        <w:rPr>
          <w:rFonts w:hint="eastAsia" w:ascii="宋体" w:cs="宋体"/>
          <w:bCs/>
          <w:snapToGrid w:val="0"/>
          <w:color w:val="auto"/>
          <w:kern w:val="0"/>
          <w:szCs w:val="24"/>
          <w:highlight w:val="none"/>
          <w:lang w:bidi="en-US"/>
        </w:rPr>
        <w:t>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5F6E4A62">
      <w:pPr>
        <w:rPr>
          <w:color w:val="auto"/>
          <w:highlight w:val="none"/>
        </w:rPr>
      </w:pPr>
      <w:r>
        <w:rPr>
          <w:rFonts w:hint="eastAsia" w:ascii="宋体" w:cs="宋体"/>
          <w:bCs/>
          <w:snapToGrid w:val="0"/>
          <w:color w:val="auto"/>
          <w:kern w:val="0"/>
          <w:szCs w:val="24"/>
          <w:highlight w:val="none"/>
          <w:lang w:bidi="en-US"/>
        </w:rPr>
        <w:t>1</w:t>
      </w:r>
      <w:r>
        <w:rPr>
          <w:rFonts w:ascii="宋体" w:cs="宋体"/>
          <w:bCs/>
          <w:snapToGrid w:val="0"/>
          <w:color w:val="auto"/>
          <w:kern w:val="0"/>
          <w:szCs w:val="24"/>
          <w:highlight w:val="none"/>
          <w:lang w:bidi="en-US"/>
        </w:rPr>
        <w:t xml:space="preserve">.2.5 </w:t>
      </w:r>
      <w:r>
        <w:rPr>
          <w:color w:val="auto"/>
          <w:highlight w:val="none"/>
        </w:rPr>
        <w:t>建设审计画像以直观方式对机构、客户、员工的关键指标进行分析，对机构、客户、员工的主要特征进行归纳、分类，为审计人员对于相关机构进行检查提供策略参考的功能。能多维度查询，能生成图表，能手工录入指标、能灵活配置、修改指标模板。</w:t>
      </w:r>
    </w:p>
    <w:p w14:paraId="7113713C">
      <w:pPr>
        <w:rPr>
          <w:rFonts w:ascii="宋体"/>
          <w:bCs/>
          <w:snapToGrid w:val="0"/>
          <w:color w:val="auto"/>
          <w:kern w:val="0"/>
          <w:szCs w:val="24"/>
          <w:highlight w:val="none"/>
          <w:lang w:bidi="en-US"/>
        </w:rPr>
      </w:pPr>
      <w:r>
        <w:rPr>
          <w:rFonts w:ascii="宋体"/>
          <w:bCs/>
          <w:snapToGrid w:val="0"/>
          <w:color w:val="auto"/>
          <w:kern w:val="0"/>
          <w:szCs w:val="24"/>
          <w:highlight w:val="none"/>
          <w:lang w:bidi="en-US"/>
        </w:rPr>
        <w:t xml:space="preserve">1.3 </w:t>
      </w:r>
      <w:r>
        <w:rPr>
          <w:rFonts w:hint="eastAsia" w:ascii="宋体"/>
          <w:bCs/>
          <w:snapToGrid w:val="0"/>
          <w:color w:val="auto"/>
          <w:kern w:val="0"/>
          <w:szCs w:val="24"/>
          <w:highlight w:val="none"/>
          <w:lang w:bidi="en-US"/>
        </w:rPr>
        <w:t>建立审计驾驶舱，实时统计系统中所需各类数据并作图形化展示，如审计项目完成率、审计问题整改率、正在进行审计项目状态、审计模型使用情况等等。</w:t>
      </w:r>
    </w:p>
    <w:p w14:paraId="363CA25A">
      <w:pPr>
        <w:rPr>
          <w:color w:val="auto"/>
          <w:highlight w:val="none"/>
        </w:rPr>
      </w:pPr>
      <w:r>
        <w:rPr>
          <w:rFonts w:hint="eastAsia"/>
          <w:color w:val="auto"/>
          <w:highlight w:val="none"/>
        </w:rPr>
        <w:t>1</w:t>
      </w:r>
      <w:r>
        <w:rPr>
          <w:color w:val="auto"/>
          <w:highlight w:val="none"/>
        </w:rPr>
        <w:t>.3.1 统计分析功能，</w:t>
      </w:r>
      <w:r>
        <w:rPr>
          <w:rFonts w:hint="eastAsia"/>
          <w:color w:val="auto"/>
          <w:highlight w:val="none"/>
        </w:rPr>
        <w:t>可以前台自定义统计表，并通过各种图标功能展示，可以选择固化在驾驶舱或者用户主页中。</w:t>
      </w:r>
    </w:p>
    <w:p w14:paraId="339904B7">
      <w:pPr>
        <w:rPr>
          <w:color w:val="auto"/>
          <w:highlight w:val="none"/>
        </w:rPr>
      </w:pPr>
      <w:r>
        <w:rPr>
          <w:color w:val="auto"/>
          <w:highlight w:val="none"/>
        </w:rPr>
        <w:t>1.4 建设知识平台，从知识保障角度为审计工作的开展提供既往项目档案、审计样本库、制度法规、审计资料、文档模板、审计问题的管理和支持，将日常审计工作成果进行信息标准化存档。</w:t>
      </w:r>
    </w:p>
    <w:p w14:paraId="4B68421F">
      <w:pPr>
        <w:rPr>
          <w:color w:val="auto"/>
          <w:highlight w:val="none"/>
        </w:rPr>
      </w:pPr>
      <w:r>
        <w:rPr>
          <w:rFonts w:hint="eastAsia"/>
          <w:color w:val="auto"/>
          <w:highlight w:val="none"/>
        </w:rPr>
        <w:t>1</w:t>
      </w:r>
      <w:r>
        <w:rPr>
          <w:color w:val="auto"/>
          <w:highlight w:val="none"/>
        </w:rPr>
        <w:t>.4.1</w:t>
      </w:r>
      <w:r>
        <w:rPr>
          <w:rFonts w:hint="eastAsia"/>
          <w:color w:val="auto"/>
          <w:highlight w:val="none"/>
          <w:lang w:val="en-US" w:eastAsia="zh-CN"/>
        </w:rPr>
        <w:t xml:space="preserve"> </w:t>
      </w:r>
      <w:r>
        <w:rPr>
          <w:color w:val="auto"/>
          <w:highlight w:val="none"/>
        </w:rPr>
        <w:t>建设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46F55653">
      <w:pPr>
        <w:rPr>
          <w:color w:val="auto"/>
          <w:highlight w:val="none"/>
        </w:rPr>
      </w:pPr>
      <w:r>
        <w:rPr>
          <w:color w:val="auto"/>
          <w:highlight w:val="none"/>
        </w:rPr>
        <w:t>1.5 建设公共平台，对系统进行管理，主要是实现对全系统审计人员、机构和用户角色、权限等进行综合管理，由系统管理员对系统底层各项基础信息进行定义维护，包括新增、修改、删除等操作；系统还需提供强大的配置功能，以应对各类可能发生的变更处理，如审计工作流配置、系统公共参数配置、日志管理等。为提高系统性能，减少IO操作，降低数据库负载，通过缓存的方式对整体系统基础配置进行统一调配和管理。</w:t>
      </w:r>
    </w:p>
    <w:p w14:paraId="5A634821">
      <w:pPr>
        <w:rPr>
          <w:color w:val="auto"/>
          <w:highlight w:val="none"/>
        </w:rPr>
      </w:pPr>
      <w:r>
        <w:rPr>
          <w:color w:val="auto"/>
          <w:highlight w:val="none"/>
        </w:rPr>
        <w:t>1.6 建设综合平台，对审计日常工作进行支撑性管理，如实现自定义表样的信息推送及采集功能，记录审计相关委员会会议情况、审计人员培训情况管理等。</w:t>
      </w:r>
    </w:p>
    <w:p w14:paraId="131C25EC">
      <w:pPr>
        <w:rPr>
          <w:color w:val="auto"/>
          <w:highlight w:val="none"/>
        </w:rPr>
      </w:pPr>
      <w:r>
        <w:rPr>
          <w:color w:val="auto"/>
          <w:highlight w:val="none"/>
        </w:rPr>
        <w:t>1.7 审计数据集市整理和建设，根据行内数据中台建设情况，讨论决定系统取数规则，通过单独建立审计数据集市或直接从大数据中台读取数据的形式实现基础数据的获取。数据管理根据数据应用的需要，在数据完成抽取、转换、验证等一系列加工后，可以根据使用需要，划分数据主题域，数据配置包括数据主题设置、实体及属性维护及代码配置等。数据实体管理：非现场审计系统提供数据实体及其属性的管理功能。代码配置业务：数据中部分数据以代码形式存储，非现场审计功能模块需要提供代码值及其含义的维护功能，以方便用户查阅。</w:t>
      </w:r>
    </w:p>
    <w:p w14:paraId="64D7B523">
      <w:pPr>
        <w:rPr>
          <w:color w:val="auto"/>
          <w:highlight w:val="none"/>
        </w:rPr>
      </w:pPr>
      <w:r>
        <w:rPr>
          <w:color w:val="auto"/>
          <w:highlight w:val="none"/>
        </w:rPr>
        <w:t>通过直接采集、数据整合加工、手工导入录入、外部数据采集等多种方式，实现指标数据的采集分析，将散乱的的行内数据、非结构化数据、同业数据、网络舆情数据，整合成业务维度、风险维度、机构维度、经营维度等多种维度的数据集，建设符合行内需要的指标体系。</w:t>
      </w:r>
    </w:p>
    <w:p w14:paraId="74BF3FFE">
      <w:pPr>
        <w:rPr>
          <w:color w:val="auto"/>
          <w:highlight w:val="none"/>
        </w:rPr>
      </w:pPr>
      <w:r>
        <w:rPr>
          <w:color w:val="auto"/>
          <w:highlight w:val="none"/>
        </w:rPr>
        <w:t>1.8 对数据安全控制进行全面管理，通过采用细分用户权限、对用户敏感数据（可选择）进行脱敏展示、对下载数据均在背景中增加下载人的工号、姓名及下载时间作为水印等等手段，</w:t>
      </w:r>
      <w:r>
        <w:rPr>
          <w:rFonts w:hint="eastAsia"/>
          <w:color w:val="auto"/>
          <w:highlight w:val="none"/>
        </w:rPr>
        <w:t>增强</w:t>
      </w:r>
      <w:r>
        <w:rPr>
          <w:color w:val="auto"/>
          <w:highlight w:val="none"/>
        </w:rPr>
        <w:t>数据安全管理及控制。</w:t>
      </w:r>
    </w:p>
    <w:p w14:paraId="65165624">
      <w:pPr>
        <w:rPr>
          <w:color w:val="auto"/>
          <w:highlight w:val="none"/>
        </w:rPr>
      </w:pPr>
      <w:r>
        <w:rPr>
          <w:color w:val="auto"/>
          <w:highlight w:val="none"/>
        </w:rPr>
        <w:t>1.9 增加图片识别自动提取文字功能，对检查资料为图片的关键字进行批处理和自动提取，并开展后续数据分析，扩宽“大数据”审计的应用场景。同时，添加图片处理文字提取插件功能，提升审计人员工作的便捷程度。</w:t>
      </w:r>
    </w:p>
    <w:p w14:paraId="4FAE17D1">
      <w:pPr>
        <w:rPr>
          <w:color w:val="auto"/>
          <w:highlight w:val="none"/>
        </w:rPr>
      </w:pPr>
      <w:r>
        <w:rPr>
          <w:color w:val="auto"/>
          <w:highlight w:val="none"/>
        </w:rPr>
        <w:t>1.10 本项目须对原审计监督信息系统存量数据进行数据迁移，保障项目实施完成后的审计监督系统继承存量审计数据。</w:t>
      </w:r>
    </w:p>
    <w:p w14:paraId="026A8022">
      <w:pPr>
        <w:rPr>
          <w:color w:val="auto"/>
          <w:highlight w:val="none"/>
        </w:rPr>
      </w:pPr>
      <w:r>
        <w:rPr>
          <w:color w:val="auto"/>
          <w:highlight w:val="none"/>
        </w:rPr>
        <w:t>1.11 为保证全行检查问题分类及统计的一致性，获取操作风险管理系统问题词条库并应用在审计系统问题库中，同时根据审计工作调查需要获取操作风险管理系统中全行内外部检查问题台账。</w:t>
      </w:r>
    </w:p>
    <w:p w14:paraId="653307B9">
      <w:pPr>
        <w:rPr>
          <w:rFonts w:ascii="Times New Roman" w:hAnsi="Times New Roman"/>
          <w:color w:val="auto"/>
          <w:highlight w:val="none"/>
        </w:rPr>
      </w:pPr>
      <w:r>
        <w:rPr>
          <w:rFonts w:ascii="Times New Roman" w:hAnsi="Times New Roman"/>
          <w:color w:val="auto"/>
          <w:highlight w:val="none"/>
        </w:rPr>
        <w:t>1.12 业务连续性要求</w:t>
      </w:r>
    </w:p>
    <w:p w14:paraId="09006DEB">
      <w:pPr>
        <w:rPr>
          <w:rFonts w:ascii="Times New Roman" w:hAnsi="Times New Roman"/>
          <w:color w:val="auto"/>
          <w:highlight w:val="none"/>
        </w:rPr>
      </w:pPr>
      <w:r>
        <w:rPr>
          <w:rFonts w:ascii="Times New Roman" w:hAnsi="Times New Roman"/>
          <w:color w:val="auto"/>
          <w:highlight w:val="none"/>
        </w:rPr>
        <w:t>业务恢复时间目标(业务RTO)、业务恢复点目标(业务RPO)，信息系统恢复时间目标(信息系统RTO)、信息系统恢复点目标(信息系统RPO)如下：</w:t>
      </w:r>
    </w:p>
    <w:p w14:paraId="7910C4FF">
      <w:pPr>
        <w:rPr>
          <w:rFonts w:ascii="Times New Roman" w:hAnsi="Times New Roman"/>
          <w:color w:val="auto"/>
          <w:highlight w:val="none"/>
        </w:rPr>
      </w:pPr>
      <w:r>
        <w:rPr>
          <w:rFonts w:ascii="Times New Roman" w:hAnsi="Times New Roman"/>
          <w:color w:val="auto"/>
          <w:highlight w:val="none"/>
        </w:rPr>
        <w:t>业务RTO（恢复时间目标）：72小时</w:t>
      </w:r>
    </w:p>
    <w:p w14:paraId="475B5036">
      <w:pPr>
        <w:rPr>
          <w:rFonts w:ascii="Times New Roman" w:hAnsi="Times New Roman"/>
          <w:color w:val="auto"/>
          <w:highlight w:val="none"/>
        </w:rPr>
      </w:pPr>
      <w:r>
        <w:rPr>
          <w:rFonts w:ascii="Times New Roman" w:hAnsi="Times New Roman"/>
          <w:color w:val="auto"/>
          <w:highlight w:val="none"/>
        </w:rPr>
        <w:t>业务RPO（恢复时间点目标）：0.5小时</w:t>
      </w:r>
    </w:p>
    <w:p w14:paraId="510C2B0A">
      <w:pPr>
        <w:rPr>
          <w:rFonts w:ascii="Times New Roman" w:hAnsi="Times New Roman"/>
          <w:color w:val="auto"/>
          <w:highlight w:val="none"/>
        </w:rPr>
      </w:pPr>
      <w:r>
        <w:rPr>
          <w:rFonts w:ascii="Times New Roman" w:hAnsi="Times New Roman"/>
          <w:color w:val="auto"/>
          <w:highlight w:val="none"/>
        </w:rPr>
        <w:t>技术RTO（恢复时间目标）：71小时</w:t>
      </w:r>
    </w:p>
    <w:p w14:paraId="78B28DC0">
      <w:pPr>
        <w:rPr>
          <w:rFonts w:ascii="Times New Roman" w:hAnsi="Times New Roman"/>
          <w:color w:val="auto"/>
          <w:highlight w:val="none"/>
        </w:rPr>
      </w:pPr>
      <w:r>
        <w:rPr>
          <w:rFonts w:ascii="Times New Roman" w:hAnsi="Times New Roman"/>
          <w:color w:val="auto"/>
          <w:highlight w:val="none"/>
        </w:rPr>
        <w:t>技术RPO（恢复时间点目标）：0.5小时</w:t>
      </w:r>
    </w:p>
    <w:p w14:paraId="3848646B">
      <w:pPr>
        <w:pStyle w:val="3"/>
        <w:numPr>
          <w:ilvl w:val="0"/>
          <w:numId w:val="0"/>
        </w:numPr>
        <w:ind w:left="360" w:leftChars="0" w:hanging="360" w:firstLineChars="0"/>
        <w:rPr>
          <w:rFonts w:ascii="Times New Roman" w:hAnsi="Times New Roman"/>
          <w:color w:val="auto"/>
          <w:highlight w:val="none"/>
        </w:rPr>
      </w:pPr>
      <w:bookmarkStart w:id="134" w:name="_Toc4794"/>
      <w:bookmarkStart w:id="135" w:name="_Toc28919"/>
      <w:r>
        <w:rPr>
          <w:rFonts w:hint="default" w:ascii="Times New Roman" w:hAnsi="Times New Roman" w:eastAsia="宋体" w:cs="Times New Roman"/>
          <w:b/>
          <w:bCs/>
          <w:snapToGrid w:val="0"/>
          <w:color w:val="auto"/>
          <w:kern w:val="2"/>
          <w:sz w:val="24"/>
          <w:szCs w:val="24"/>
          <w:highlight w:val="none"/>
          <w:lang w:val="en-US" w:eastAsia="zh-CN" w:bidi="ar-SA"/>
        </w:rPr>
        <w:t>2.</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技术要求</w:t>
      </w:r>
      <w:bookmarkEnd w:id="134"/>
      <w:bookmarkEnd w:id="135"/>
    </w:p>
    <w:p w14:paraId="109FE034">
      <w:pPr>
        <w:pStyle w:val="4"/>
        <w:rPr>
          <w:rFonts w:ascii="Times New Roman" w:hAnsi="Times New Roman"/>
          <w:color w:val="auto"/>
          <w:szCs w:val="24"/>
          <w:highlight w:val="none"/>
        </w:rPr>
      </w:pPr>
      <w:bookmarkStart w:id="136" w:name="_Toc19982"/>
      <w:bookmarkStart w:id="137" w:name="_Toc27612"/>
      <w:r>
        <w:rPr>
          <w:rFonts w:hint="eastAsia" w:ascii="Times New Roman" w:hAnsi="Times New Roman"/>
          <w:color w:val="auto"/>
          <w:szCs w:val="24"/>
          <w:highlight w:val="none"/>
        </w:rPr>
        <w:t>2</w:t>
      </w:r>
      <w:r>
        <w:rPr>
          <w:rFonts w:ascii="Times New Roman" w:hAnsi="Times New Roman"/>
          <w:color w:val="auto"/>
          <w:szCs w:val="24"/>
          <w:highlight w:val="none"/>
        </w:rPr>
        <w:t xml:space="preserve">.1 </w:t>
      </w:r>
      <w:r>
        <w:rPr>
          <w:rFonts w:hint="eastAsia" w:ascii="Times New Roman" w:hAnsi="Times New Roman"/>
          <w:color w:val="auto"/>
          <w:szCs w:val="24"/>
          <w:highlight w:val="none"/>
        </w:rPr>
        <w:t>总体原则</w:t>
      </w:r>
      <w:bookmarkEnd w:id="136"/>
      <w:bookmarkEnd w:id="137"/>
    </w:p>
    <w:p w14:paraId="270DCCFC">
      <w:pPr>
        <w:rPr>
          <w:rFonts w:ascii="Times New Roman" w:hAnsi="Times New Roman"/>
          <w:color w:val="auto"/>
          <w:szCs w:val="24"/>
          <w:highlight w:val="none"/>
        </w:rPr>
      </w:pPr>
      <w:r>
        <w:rPr>
          <w:rFonts w:hint="eastAsia" w:ascii="Times New Roman" w:hAnsi="Times New Roman"/>
          <w:color w:val="auto"/>
          <w:szCs w:val="24"/>
          <w:highlight w:val="none"/>
        </w:rPr>
        <w:t>系统的建设应遵循集成性、先进性、可扩展性、稳定性、安全性、经济性、前瞻性和可维护性相结合的原则。</w:t>
      </w:r>
    </w:p>
    <w:p w14:paraId="51CDC8A6">
      <w:pPr>
        <w:rPr>
          <w:rFonts w:ascii="Times New Roman" w:hAnsi="Times New Roman"/>
          <w:color w:val="auto"/>
          <w:szCs w:val="24"/>
          <w:highlight w:val="none"/>
        </w:rPr>
      </w:pPr>
      <w:r>
        <w:rPr>
          <w:rFonts w:ascii="Times New Roman" w:hAnsi="Times New Roman"/>
          <w:color w:val="auto"/>
          <w:szCs w:val="24"/>
          <w:highlight w:val="none"/>
        </w:rPr>
        <w:t xml:space="preserve">2.1.1 </w:t>
      </w:r>
      <w:r>
        <w:rPr>
          <w:rFonts w:hint="eastAsia" w:ascii="Times New Roman" w:hAnsi="Times New Roman"/>
          <w:color w:val="auto"/>
          <w:szCs w:val="24"/>
          <w:highlight w:val="none"/>
        </w:rPr>
        <w:t>集成性：系统建设需充分考虑与其它系统的集成，能快速与比选人其它业务和管理系统的集成。</w:t>
      </w:r>
    </w:p>
    <w:p w14:paraId="1F7624D3">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2 先进性：软件系统的选择与开发应在满足业务需求的基础上具有易改造、易升级、易操作、易维护等特点。</w:t>
      </w:r>
    </w:p>
    <w:p w14:paraId="1FC13B42">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3 可扩展性：支持业务和系统的可扩展，支持行业应用可扩展，具有向后兼容的能力。</w:t>
      </w:r>
    </w:p>
    <w:p w14:paraId="2A6BE43C">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4 稳定性：系统要确保系统平稳运行，支持7×24小时连续运行，满足高峰处理的需要。</w:t>
      </w:r>
    </w:p>
    <w:p w14:paraId="527A1E34">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5 安全性：</w:t>
      </w:r>
    </w:p>
    <w:p w14:paraId="1B316EFE">
      <w:pPr>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2BA7F43A">
      <w:pPr>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632B08A4">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459A50ED">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D9F0F7D">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8 可维护性：系统可维护，运行成本可控。</w:t>
      </w:r>
    </w:p>
    <w:p w14:paraId="0BA6EFA8">
      <w:pPr>
        <w:pStyle w:val="4"/>
        <w:rPr>
          <w:rFonts w:ascii="Times New Roman" w:hAnsi="Times New Roman"/>
          <w:color w:val="auto"/>
          <w:szCs w:val="24"/>
          <w:highlight w:val="none"/>
        </w:rPr>
      </w:pPr>
      <w:bookmarkStart w:id="138" w:name="_Toc850"/>
      <w:bookmarkStart w:id="139" w:name="_Toc551"/>
      <w:r>
        <w:rPr>
          <w:rFonts w:hint="eastAsia" w:ascii="Times New Roman" w:hAnsi="Times New Roman"/>
          <w:color w:val="auto"/>
          <w:szCs w:val="24"/>
          <w:highlight w:val="none"/>
        </w:rPr>
        <w:t>2</w:t>
      </w:r>
      <w:r>
        <w:rPr>
          <w:rFonts w:ascii="Times New Roman" w:hAnsi="Times New Roman"/>
          <w:color w:val="auto"/>
          <w:szCs w:val="24"/>
          <w:highlight w:val="none"/>
        </w:rPr>
        <w:t xml:space="preserve">.2 </w:t>
      </w:r>
      <w:r>
        <w:rPr>
          <w:rFonts w:hint="eastAsia" w:ascii="Times New Roman" w:hAnsi="Times New Roman"/>
          <w:color w:val="auto"/>
          <w:szCs w:val="24"/>
          <w:highlight w:val="none"/>
        </w:rPr>
        <w:t>系统技术架构要求</w:t>
      </w:r>
      <w:bookmarkEnd w:id="138"/>
      <w:bookmarkEnd w:id="139"/>
    </w:p>
    <w:p w14:paraId="54067FF3">
      <w:pPr>
        <w:rPr>
          <w:rFonts w:ascii="Times New Roman" w:hAnsi="Times New Roman"/>
          <w:color w:val="auto"/>
          <w:szCs w:val="24"/>
          <w:highlight w:val="none"/>
        </w:rPr>
      </w:pPr>
      <w:r>
        <w:rPr>
          <w:rFonts w:ascii="Times New Roman" w:hAnsi="Times New Roman"/>
          <w:color w:val="auto"/>
          <w:szCs w:val="24"/>
          <w:highlight w:val="none"/>
        </w:rPr>
        <w:t xml:space="preserve">2.2.1 </w:t>
      </w:r>
      <w:r>
        <w:rPr>
          <w:rFonts w:hint="eastAsia" w:ascii="Times New Roman" w:hAnsi="Times New Roman"/>
          <w:color w:val="auto"/>
          <w:szCs w:val="24"/>
          <w:highlight w:val="none"/>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r>
        <w:rPr>
          <w:rFonts w:ascii="Times New Roman" w:hAnsi="Times New Roman"/>
          <w:color w:val="auto"/>
          <w:szCs w:val="24"/>
          <w:highlight w:val="none"/>
        </w:rPr>
        <w:t>系统应根据业务场景和数据应用为切入点进行系统设计，系统应大致分为如下层级：基础设施层主要包括满足系统运行的软、硬件等基础服务设施，支持在国产化基础设施环境上安装和运行软件服务，包含机房基础设施、磁盘、服务器、交换机、操作系统、大数据平台、数据库、文件系统、中间件等；数据服务层主要进行数据源的管理和数据处理，形成系统数据支撑。通过对业务数据、外部数据、日志数据等采集后进行数据处理、整合，进一步将这些结构化、半结构化、非结构化的数据进行处理、整合、存储，并进行规则运算、逻辑运算、模型计算、持续分析、指标计算等应用，为系统的数据来源、数据存储、数据分析、数据查询提供全面、高效的支持；系统服务层应当为系统应用层提供数据查询服务、智能分析服务、可视化建模服务、风险线索服务、流程定制服务、计算分析服务、高效检索服务、风险监测推送服务等，并根据不同业务应用场景，运用各类引擎组件和工具组件组合，为系统提供相对应的服务支持；系统应用层主要涵盖审计现场审计和非现场审计使用的功能模块，如作业平台、预警平台、分析平台、知识平台、调度平台、内控平台等；系统展示层主要是为了满足用户日常业务操作、贴合实际业务应用场景而设计支持审计活动的应用功能。</w:t>
      </w:r>
    </w:p>
    <w:p w14:paraId="58A5438E">
      <w:pPr>
        <w:rPr>
          <w:rFonts w:ascii="Times New Roman" w:hAnsi="Times New Roman"/>
          <w:color w:val="auto"/>
          <w:szCs w:val="24"/>
          <w:highlight w:val="none"/>
        </w:rPr>
      </w:pPr>
      <w:r>
        <w:rPr>
          <w:rFonts w:ascii="Times New Roman" w:hAnsi="Times New Roman"/>
          <w:color w:val="auto"/>
          <w:szCs w:val="24"/>
          <w:highlight w:val="none"/>
        </w:rPr>
        <w:t>2.2.2 系统应采用前后端分离的开发模式。前后端可以并行开发，提高开发效率。前后端分离降低代码耦合度，提高可扩展性。前后端分开部署，降低运维难度。</w:t>
      </w:r>
    </w:p>
    <w:p w14:paraId="51014641">
      <w:pPr>
        <w:rPr>
          <w:rFonts w:ascii="Times New Roman" w:hAnsi="Times New Roman"/>
          <w:color w:val="auto"/>
          <w:szCs w:val="24"/>
          <w:highlight w:val="none"/>
        </w:rPr>
      </w:pPr>
      <w:r>
        <w:rPr>
          <w:rFonts w:ascii="Times New Roman" w:hAnsi="Times New Roman"/>
          <w:color w:val="auto"/>
          <w:szCs w:val="24"/>
          <w:highlight w:val="none"/>
        </w:rPr>
        <w:t>2.2.3 系统基础技术组件应采用JAVA语言以及主流开源开发框架构建基础技术平台。系统架构宜采用单体无状态架构，支持集群部署。</w:t>
      </w:r>
    </w:p>
    <w:p w14:paraId="2BA4A54C">
      <w:pPr>
        <w:rPr>
          <w:rFonts w:ascii="Times New Roman" w:hAnsi="Times New Roman"/>
          <w:color w:val="auto"/>
          <w:szCs w:val="24"/>
          <w:highlight w:val="none"/>
        </w:rPr>
      </w:pPr>
      <w:r>
        <w:rPr>
          <w:rFonts w:ascii="Times New Roman" w:hAnsi="Times New Roman"/>
          <w:color w:val="auto"/>
          <w:szCs w:val="24"/>
          <w:highlight w:val="none"/>
        </w:rPr>
        <w:t xml:space="preserve">2.2.4 </w:t>
      </w:r>
      <w:r>
        <w:rPr>
          <w:rFonts w:hint="eastAsia" w:ascii="Times New Roman" w:hAnsi="Times New Roman"/>
          <w:color w:val="auto"/>
          <w:szCs w:val="24"/>
          <w:highlight w:val="none"/>
        </w:rPr>
        <w:t>系统技术架构合理，数据结构合理，避免数据冗余，具有良好的扩展性、维护性和稳定性。如服务限流机制、服务降级机制等服务管控机制的应用，保障系统稳定运行。</w:t>
      </w:r>
    </w:p>
    <w:p w14:paraId="40347A6D">
      <w:pPr>
        <w:rPr>
          <w:rFonts w:ascii="Times New Roman" w:hAnsi="Times New Roman"/>
          <w:color w:val="auto"/>
          <w:szCs w:val="24"/>
          <w:highlight w:val="none"/>
        </w:rPr>
      </w:pPr>
      <w:r>
        <w:rPr>
          <w:rFonts w:ascii="Times New Roman" w:hAnsi="Times New Roman"/>
          <w:color w:val="auto"/>
          <w:szCs w:val="24"/>
          <w:highlight w:val="none"/>
        </w:rPr>
        <w:t xml:space="preserve">2.2.5 </w:t>
      </w:r>
      <w:r>
        <w:rPr>
          <w:rFonts w:hint="eastAsia" w:ascii="Times New Roman" w:hAnsi="Times New Roman"/>
          <w:color w:val="auto"/>
          <w:szCs w:val="24"/>
          <w:highlight w:val="none"/>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29CBBCC7">
      <w:pPr>
        <w:rPr>
          <w:rFonts w:ascii="Times New Roman" w:hAnsi="Times New Roman"/>
          <w:color w:val="auto"/>
          <w:szCs w:val="24"/>
          <w:highlight w:val="none"/>
        </w:rPr>
      </w:pPr>
      <w:r>
        <w:rPr>
          <w:rFonts w:ascii="Times New Roman" w:hAnsi="Times New Roman"/>
          <w:color w:val="auto"/>
          <w:szCs w:val="24"/>
          <w:highlight w:val="none"/>
        </w:rPr>
        <w:t xml:space="preserve">2.2.6 </w:t>
      </w:r>
      <w:r>
        <w:rPr>
          <w:rFonts w:hint="eastAsia" w:ascii="Times New Roman" w:hAnsi="Times New Roman"/>
          <w:color w:val="auto"/>
          <w:szCs w:val="24"/>
          <w:highlight w:val="none"/>
        </w:rPr>
        <w:t>支持集群部署方式，适应本行未来业务发展的需要。应用系统之间逻辑独立、启停服务时系统间不相互影响的部署方案。</w:t>
      </w:r>
    </w:p>
    <w:p w14:paraId="144C2A7A">
      <w:pPr>
        <w:rPr>
          <w:rFonts w:ascii="Times New Roman" w:hAnsi="Times New Roman"/>
          <w:color w:val="auto"/>
          <w:szCs w:val="24"/>
          <w:highlight w:val="none"/>
        </w:rPr>
      </w:pPr>
      <w:r>
        <w:rPr>
          <w:rFonts w:ascii="Times New Roman" w:hAnsi="Times New Roman"/>
          <w:color w:val="auto"/>
          <w:szCs w:val="24"/>
          <w:highlight w:val="none"/>
        </w:rPr>
        <w:t xml:space="preserve">2.2.7 </w:t>
      </w:r>
      <w:r>
        <w:rPr>
          <w:rFonts w:hint="eastAsia" w:ascii="Times New Roman" w:hAnsi="Times New Roman"/>
          <w:color w:val="auto"/>
          <w:szCs w:val="24"/>
          <w:highlight w:val="none"/>
        </w:rPr>
        <w:t>系统支持域名部署。</w:t>
      </w:r>
    </w:p>
    <w:p w14:paraId="1AEDFAF5">
      <w:pPr>
        <w:pStyle w:val="4"/>
        <w:rPr>
          <w:rFonts w:ascii="Times New Roman" w:hAnsi="Times New Roman"/>
          <w:color w:val="auto"/>
          <w:szCs w:val="24"/>
          <w:highlight w:val="none"/>
        </w:rPr>
      </w:pPr>
      <w:bookmarkStart w:id="140" w:name="_Toc7630"/>
      <w:bookmarkStart w:id="141" w:name="_Toc31230"/>
      <w:r>
        <w:rPr>
          <w:rFonts w:ascii="Times New Roman" w:hAnsi="Times New Roman"/>
          <w:color w:val="auto"/>
          <w:szCs w:val="24"/>
          <w:highlight w:val="none"/>
        </w:rPr>
        <w:t xml:space="preserve">2.3 </w:t>
      </w:r>
      <w:r>
        <w:rPr>
          <w:rFonts w:hint="eastAsia" w:ascii="Times New Roman" w:hAnsi="Times New Roman"/>
          <w:color w:val="auto"/>
          <w:szCs w:val="24"/>
          <w:highlight w:val="none"/>
        </w:rPr>
        <w:t>系统性能要求</w:t>
      </w:r>
      <w:bookmarkEnd w:id="140"/>
      <w:bookmarkEnd w:id="141"/>
    </w:p>
    <w:p w14:paraId="2FCABC31">
      <w:pPr>
        <w:rPr>
          <w:rFonts w:ascii="Times New Roman" w:hAnsi="Times New Roman"/>
          <w:color w:val="auto"/>
          <w:szCs w:val="24"/>
          <w:highlight w:val="none"/>
        </w:rPr>
      </w:pPr>
      <w:r>
        <w:rPr>
          <w:rFonts w:ascii="Times New Roman" w:hAnsi="Times New Roman"/>
          <w:color w:val="auto"/>
          <w:szCs w:val="24"/>
          <w:highlight w:val="none"/>
        </w:rPr>
        <w:t xml:space="preserve">2.3.1 </w:t>
      </w:r>
      <w:r>
        <w:rPr>
          <w:rFonts w:hint="eastAsia" w:ascii="Times New Roman" w:hAnsi="Times New Roman"/>
          <w:color w:val="auto"/>
          <w:szCs w:val="24"/>
          <w:highlight w:val="none"/>
        </w:rPr>
        <w:t>应具有高效的运行效率，能通过负载均衡、流量控制、消息缓存等机制，提供大规模、高并发量的交易处理能力，满足登陆、查询、日终批量等性能需求；</w:t>
      </w:r>
    </w:p>
    <w:p w14:paraId="4C25B428">
      <w:pPr>
        <w:rPr>
          <w:rFonts w:ascii="Times New Roman" w:hAnsi="Times New Roman"/>
          <w:color w:val="auto"/>
          <w:szCs w:val="24"/>
          <w:highlight w:val="none"/>
        </w:rPr>
      </w:pPr>
      <w:r>
        <w:rPr>
          <w:rFonts w:ascii="Times New Roman" w:hAnsi="Times New Roman"/>
          <w:color w:val="auto"/>
          <w:szCs w:val="24"/>
          <w:highlight w:val="none"/>
        </w:rPr>
        <w:t xml:space="preserve">2.3.2 </w:t>
      </w:r>
      <w:r>
        <w:rPr>
          <w:rFonts w:hint="eastAsia" w:ascii="Times New Roman" w:hAnsi="Times New Roman"/>
          <w:color w:val="auto"/>
          <w:szCs w:val="24"/>
          <w:highlight w:val="none"/>
        </w:rPr>
        <w:t>系统必须提供平台级的负载均衡和容错能力；</w:t>
      </w:r>
    </w:p>
    <w:p w14:paraId="7867D3E4">
      <w:pPr>
        <w:rPr>
          <w:rFonts w:ascii="Times New Roman" w:hAnsi="Times New Roman"/>
          <w:color w:val="auto"/>
          <w:szCs w:val="24"/>
          <w:highlight w:val="none"/>
        </w:rPr>
      </w:pPr>
      <w:r>
        <w:rPr>
          <w:rFonts w:ascii="Times New Roman" w:hAnsi="Times New Roman"/>
          <w:color w:val="auto"/>
          <w:szCs w:val="24"/>
          <w:highlight w:val="none"/>
        </w:rPr>
        <w:t xml:space="preserve">2.3.3 </w:t>
      </w:r>
      <w:r>
        <w:rPr>
          <w:rFonts w:hint="eastAsia" w:ascii="Times New Roman" w:hAnsi="Times New Roman"/>
          <w:color w:val="auto"/>
          <w:szCs w:val="24"/>
          <w:highlight w:val="none"/>
        </w:rPr>
        <w:t>主机系统能够保持7*24稳定的不间断运行，从系统软硬件平台及网络等方面来保证系统的稳定性；</w:t>
      </w:r>
    </w:p>
    <w:p w14:paraId="4AD59670">
      <w:pPr>
        <w:rPr>
          <w:rFonts w:ascii="Times New Roman" w:hAnsi="Times New Roman"/>
          <w:color w:val="auto"/>
          <w:szCs w:val="24"/>
          <w:highlight w:val="none"/>
        </w:rPr>
      </w:pPr>
      <w:r>
        <w:rPr>
          <w:rFonts w:ascii="Times New Roman" w:hAnsi="Times New Roman"/>
          <w:color w:val="auto"/>
          <w:szCs w:val="24"/>
          <w:highlight w:val="none"/>
        </w:rPr>
        <w:t xml:space="preserve">2.3.4 </w:t>
      </w:r>
      <w:r>
        <w:rPr>
          <w:rFonts w:hint="eastAsia" w:ascii="Times New Roman" w:hAnsi="Times New Roman"/>
          <w:color w:val="auto"/>
          <w:szCs w:val="24"/>
          <w:highlight w:val="none"/>
        </w:rPr>
        <w:t>可用率：系统总体平均可用率在99.99%以上。</w:t>
      </w:r>
    </w:p>
    <w:p w14:paraId="14D64E12">
      <w:pPr>
        <w:pStyle w:val="4"/>
        <w:rPr>
          <w:rFonts w:ascii="Times New Roman" w:hAnsi="Times New Roman"/>
          <w:color w:val="auto"/>
          <w:szCs w:val="24"/>
          <w:highlight w:val="none"/>
        </w:rPr>
      </w:pPr>
      <w:bookmarkStart w:id="142" w:name="_Toc25218"/>
      <w:bookmarkStart w:id="143" w:name="_Toc9331"/>
      <w:r>
        <w:rPr>
          <w:rFonts w:hint="eastAsia" w:ascii="Times New Roman" w:hAnsi="Times New Roman"/>
          <w:color w:val="auto"/>
          <w:szCs w:val="24"/>
          <w:highlight w:val="none"/>
        </w:rPr>
        <w:t>2</w:t>
      </w:r>
      <w:r>
        <w:rPr>
          <w:rFonts w:ascii="Times New Roman" w:hAnsi="Times New Roman"/>
          <w:color w:val="auto"/>
          <w:szCs w:val="24"/>
          <w:highlight w:val="none"/>
        </w:rPr>
        <w:t xml:space="preserve">.4 </w:t>
      </w:r>
      <w:r>
        <w:rPr>
          <w:rFonts w:hint="eastAsia" w:ascii="Times New Roman" w:hAnsi="Times New Roman"/>
          <w:color w:val="auto"/>
          <w:szCs w:val="24"/>
          <w:highlight w:val="none"/>
        </w:rPr>
        <w:t>安全性要求</w:t>
      </w:r>
      <w:bookmarkEnd w:id="142"/>
      <w:bookmarkEnd w:id="143"/>
    </w:p>
    <w:p w14:paraId="43CC1721">
      <w:pPr>
        <w:rPr>
          <w:rFonts w:ascii="Times New Roman" w:hAnsi="Times New Roman"/>
          <w:color w:val="auto"/>
          <w:szCs w:val="24"/>
          <w:highlight w:val="none"/>
        </w:rPr>
      </w:pPr>
      <w:r>
        <w:rPr>
          <w:rFonts w:hint="eastAsia" w:ascii="Times New Roman" w:hAnsi="Times New Roman"/>
          <w:color w:val="auto"/>
          <w:szCs w:val="24"/>
          <w:highlight w:val="none"/>
        </w:rPr>
        <w:t>为确保信息安全，采取的措施包括但不限于以下：</w:t>
      </w:r>
    </w:p>
    <w:p w14:paraId="1AD117AF">
      <w:pPr>
        <w:rPr>
          <w:rFonts w:ascii="Times New Roman" w:hAnsi="Times New Roman"/>
          <w:color w:val="auto"/>
          <w:szCs w:val="24"/>
          <w:highlight w:val="none"/>
        </w:rPr>
      </w:pPr>
      <w:r>
        <w:rPr>
          <w:rFonts w:hint="eastAsia" w:ascii="Times New Roman" w:hAnsi="Times New Roman"/>
          <w:color w:val="auto"/>
          <w:szCs w:val="24"/>
          <w:highlight w:val="none"/>
        </w:rPr>
        <w:t>1）平台安全：架构设计符合安全性要求，平台软件达到安全设计标准且不低于同业相关系统要求。</w:t>
      </w:r>
    </w:p>
    <w:p w14:paraId="2C48EEBE">
      <w:pPr>
        <w:rPr>
          <w:rFonts w:ascii="Times New Roman" w:hAnsi="Times New Roman"/>
          <w:color w:val="auto"/>
          <w:szCs w:val="24"/>
          <w:highlight w:val="none"/>
        </w:rPr>
      </w:pPr>
      <w:r>
        <w:rPr>
          <w:rFonts w:hint="eastAsia" w:ascii="Times New Roman" w:hAnsi="Times New Roman"/>
          <w:color w:val="auto"/>
          <w:szCs w:val="24"/>
          <w:highlight w:val="none"/>
        </w:rPr>
        <w:t>2）数据安全：支持文档安全软件整合技术，从而做到数据传输加密、远程安全访问、数据存储加密，数据部署网络区域应支持入侵检测与防御系统、防火墙的应用。</w:t>
      </w:r>
    </w:p>
    <w:p w14:paraId="4B1BAEA2">
      <w:pPr>
        <w:rPr>
          <w:rFonts w:ascii="Times New Roman" w:hAnsi="Times New Roman"/>
          <w:color w:val="auto"/>
          <w:szCs w:val="24"/>
          <w:highlight w:val="none"/>
        </w:rPr>
      </w:pPr>
      <w:r>
        <w:rPr>
          <w:rFonts w:hint="eastAsia" w:ascii="Times New Roman" w:hAnsi="Times New Roman"/>
          <w:color w:val="auto"/>
          <w:szCs w:val="24"/>
          <w:highlight w:val="none"/>
        </w:rPr>
        <w:t>3）容灾备份：</w:t>
      </w:r>
      <w:r>
        <w:rPr>
          <w:rFonts w:ascii="Times New Roman" w:hAnsi="Times New Roman"/>
          <w:color w:val="auto"/>
          <w:szCs w:val="24"/>
          <w:highlight w:val="none"/>
        </w:rPr>
        <w:t>根据比选人要求</w:t>
      </w:r>
      <w:r>
        <w:rPr>
          <w:rFonts w:hint="eastAsia" w:ascii="Times New Roman" w:hAnsi="Times New Roman"/>
          <w:color w:val="auto"/>
          <w:szCs w:val="24"/>
          <w:highlight w:val="none"/>
        </w:rPr>
        <w:t>支持各种容灾的软硬件设备的使用等。</w:t>
      </w:r>
    </w:p>
    <w:p w14:paraId="7ECCAB22">
      <w:pPr>
        <w:rPr>
          <w:rFonts w:ascii="Times New Roman" w:hAnsi="Times New Roman"/>
          <w:color w:val="auto"/>
          <w:szCs w:val="24"/>
          <w:highlight w:val="none"/>
        </w:rPr>
      </w:pPr>
      <w:r>
        <w:rPr>
          <w:rFonts w:hint="eastAsia" w:ascii="Times New Roman" w:hAnsi="Times New Roman"/>
          <w:color w:val="auto"/>
          <w:szCs w:val="24"/>
          <w:highlight w:val="none"/>
        </w:rPr>
        <w:t>4）管理安全：提供完善的日志功能，能够记录系统使用人员的关键操作，保证系统应用的安全。</w:t>
      </w:r>
    </w:p>
    <w:p w14:paraId="55579C05">
      <w:pPr>
        <w:rPr>
          <w:rFonts w:ascii="Times New Roman" w:hAnsi="Times New Roman"/>
          <w:color w:val="auto"/>
          <w:szCs w:val="24"/>
          <w:highlight w:val="none"/>
        </w:rPr>
      </w:pPr>
      <w:r>
        <w:rPr>
          <w:rFonts w:hint="eastAsia" w:ascii="Times New Roman" w:hAnsi="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39097DBC">
      <w:pPr>
        <w:rPr>
          <w:rFonts w:ascii="Times New Roman" w:hAnsi="Times New Roman"/>
          <w:color w:val="auto"/>
          <w:szCs w:val="24"/>
          <w:highlight w:val="none"/>
        </w:rPr>
      </w:pPr>
      <w:r>
        <w:rPr>
          <w:rFonts w:hint="eastAsia" w:ascii="Times New Roman" w:hAnsi="Times New Roman"/>
          <w:color w:val="auto"/>
          <w:szCs w:val="24"/>
          <w:highlight w:val="none"/>
        </w:rPr>
        <w:t>6）系统严密、灵活的访问安全控制；</w:t>
      </w:r>
    </w:p>
    <w:p w14:paraId="4DFB6EB8">
      <w:pPr>
        <w:rPr>
          <w:rFonts w:ascii="Times New Roman" w:hAnsi="Times New Roman"/>
          <w:color w:val="auto"/>
          <w:szCs w:val="24"/>
          <w:highlight w:val="none"/>
        </w:rPr>
      </w:pPr>
      <w:r>
        <w:rPr>
          <w:rFonts w:hint="eastAsia" w:ascii="Times New Roman" w:hAnsi="Times New Roman"/>
          <w:color w:val="auto"/>
          <w:szCs w:val="24"/>
          <w:highlight w:val="none"/>
        </w:rPr>
        <w:t>7）系统有整体的用户/权限管理体系，可统一进行用户/权限的管理，实现到字段级的查询、修改、管理权限控制；</w:t>
      </w:r>
    </w:p>
    <w:p w14:paraId="7D1636A2">
      <w:pPr>
        <w:rPr>
          <w:rFonts w:ascii="Times New Roman" w:hAnsi="Times New Roman"/>
          <w:color w:val="auto"/>
          <w:szCs w:val="24"/>
          <w:highlight w:val="none"/>
        </w:rPr>
      </w:pPr>
      <w:r>
        <w:rPr>
          <w:rFonts w:ascii="Times New Roman" w:hAnsi="Times New Roman"/>
          <w:color w:val="auto"/>
          <w:szCs w:val="24"/>
          <w:highlight w:val="none"/>
        </w:rPr>
        <w:t>8）系统开发必须满足重庆三峡银行软件研发项目安全需求基线要求。</w:t>
      </w:r>
    </w:p>
    <w:p w14:paraId="3AC30231">
      <w:pPr>
        <w:pStyle w:val="4"/>
        <w:rPr>
          <w:rFonts w:ascii="Times New Roman" w:hAnsi="Times New Roman"/>
          <w:color w:val="auto"/>
          <w:szCs w:val="24"/>
          <w:highlight w:val="none"/>
        </w:rPr>
      </w:pPr>
      <w:bookmarkStart w:id="144" w:name="_Toc30797"/>
      <w:bookmarkStart w:id="145" w:name="_Toc16227"/>
      <w:r>
        <w:rPr>
          <w:rFonts w:hint="eastAsia" w:ascii="Times New Roman" w:hAnsi="Times New Roman"/>
          <w:color w:val="auto"/>
          <w:szCs w:val="24"/>
          <w:highlight w:val="none"/>
        </w:rPr>
        <w:t>2</w:t>
      </w:r>
      <w:r>
        <w:rPr>
          <w:rFonts w:ascii="Times New Roman" w:hAnsi="Times New Roman"/>
          <w:color w:val="auto"/>
          <w:szCs w:val="24"/>
          <w:highlight w:val="none"/>
        </w:rPr>
        <w:t xml:space="preserve">.5 </w:t>
      </w:r>
      <w:r>
        <w:rPr>
          <w:rFonts w:hint="eastAsia" w:ascii="Times New Roman" w:hAnsi="Times New Roman"/>
          <w:color w:val="auto"/>
          <w:szCs w:val="24"/>
          <w:highlight w:val="none"/>
        </w:rPr>
        <w:t>可扩展性需求</w:t>
      </w:r>
      <w:bookmarkEnd w:id="144"/>
      <w:bookmarkEnd w:id="145"/>
    </w:p>
    <w:p w14:paraId="73C4FDCF">
      <w:pPr>
        <w:rPr>
          <w:rFonts w:ascii="Times New Roman" w:hAnsi="Times New Roman"/>
          <w:color w:val="auto"/>
          <w:szCs w:val="24"/>
          <w:highlight w:val="none"/>
        </w:rPr>
      </w:pPr>
      <w:r>
        <w:rPr>
          <w:rFonts w:hint="eastAsia" w:ascii="Times New Roman" w:hAnsi="Times New Roman"/>
          <w:color w:val="auto"/>
          <w:szCs w:val="24"/>
          <w:highlight w:val="none"/>
        </w:rPr>
        <w:t>1）系统要求支持主流操作系统、数据库和通讯中间件，对软、硬件平台具有良好的可扩展能力，支持跨平台客制化开发。</w:t>
      </w:r>
    </w:p>
    <w:p w14:paraId="64404EF6">
      <w:pPr>
        <w:rPr>
          <w:rFonts w:ascii="Times New Roman" w:hAnsi="Times New Roman"/>
          <w:color w:val="auto"/>
          <w:szCs w:val="24"/>
          <w:highlight w:val="none"/>
        </w:rPr>
      </w:pPr>
      <w:r>
        <w:rPr>
          <w:rFonts w:hint="eastAsia" w:ascii="Times New Roman" w:hAnsi="Times New Roman"/>
          <w:color w:val="auto"/>
          <w:szCs w:val="24"/>
          <w:highlight w:val="none"/>
        </w:rPr>
        <w:t>2）支持交易数据导入、模型参数维护、计量、会计核算、报表模块对于新产品的支持，系统容易改进、扩展和升级。</w:t>
      </w:r>
    </w:p>
    <w:p w14:paraId="0EE0FD39">
      <w:pPr>
        <w:rPr>
          <w:rFonts w:ascii="Times New Roman" w:hAnsi="Times New Roman"/>
          <w:color w:val="auto"/>
          <w:szCs w:val="24"/>
          <w:highlight w:val="none"/>
        </w:rPr>
      </w:pPr>
      <w:r>
        <w:rPr>
          <w:rFonts w:hint="eastAsia" w:ascii="Times New Roman" w:hAnsi="Times New Roman"/>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7D4C1E86">
      <w:pPr>
        <w:rPr>
          <w:rFonts w:ascii="Times New Roman" w:hAnsi="Times New Roman"/>
          <w:color w:val="auto"/>
          <w:szCs w:val="24"/>
          <w:highlight w:val="none"/>
        </w:rPr>
      </w:pPr>
      <w:r>
        <w:rPr>
          <w:rFonts w:hint="eastAsia" w:ascii="Times New Roman" w:hAnsi="Times New Roman"/>
          <w:color w:val="auto"/>
          <w:szCs w:val="24"/>
          <w:highlight w:val="none"/>
        </w:rPr>
        <w:t>4）系统的计算能力支持横向扩展；</w:t>
      </w:r>
    </w:p>
    <w:p w14:paraId="6BFF555C">
      <w:pPr>
        <w:rPr>
          <w:rFonts w:ascii="Times New Roman" w:hAnsi="Times New Roman"/>
          <w:color w:val="auto"/>
          <w:szCs w:val="24"/>
          <w:highlight w:val="none"/>
        </w:rPr>
      </w:pPr>
      <w:r>
        <w:rPr>
          <w:rFonts w:hint="eastAsia" w:ascii="Times New Roman" w:hAnsi="Times New Roman"/>
          <w:color w:val="auto"/>
          <w:szCs w:val="24"/>
          <w:highlight w:val="none"/>
        </w:rPr>
        <w:t>5）对第三方平台提供良好的接口支持和扩展能力。</w:t>
      </w:r>
    </w:p>
    <w:p w14:paraId="50E9D3B0">
      <w:pPr>
        <w:pStyle w:val="4"/>
        <w:rPr>
          <w:rFonts w:ascii="Times New Roman" w:hAnsi="Times New Roman"/>
          <w:color w:val="auto"/>
          <w:szCs w:val="24"/>
          <w:highlight w:val="none"/>
        </w:rPr>
      </w:pPr>
      <w:bookmarkStart w:id="146" w:name="_Toc28392"/>
      <w:bookmarkStart w:id="147" w:name="_Toc27161"/>
      <w:r>
        <w:rPr>
          <w:rFonts w:hint="eastAsia" w:ascii="Times New Roman" w:hAnsi="Times New Roman"/>
          <w:color w:val="auto"/>
          <w:szCs w:val="24"/>
          <w:highlight w:val="none"/>
        </w:rPr>
        <w:t>2</w:t>
      </w:r>
      <w:r>
        <w:rPr>
          <w:rFonts w:ascii="Times New Roman" w:hAnsi="Times New Roman"/>
          <w:color w:val="auto"/>
          <w:szCs w:val="24"/>
          <w:highlight w:val="none"/>
        </w:rPr>
        <w:t xml:space="preserve">.6 </w:t>
      </w:r>
      <w:r>
        <w:rPr>
          <w:rFonts w:hint="eastAsia" w:ascii="Times New Roman" w:hAnsi="Times New Roman"/>
          <w:color w:val="auto"/>
          <w:szCs w:val="24"/>
          <w:highlight w:val="none"/>
        </w:rPr>
        <w:t>二次开发要求</w:t>
      </w:r>
      <w:bookmarkEnd w:id="146"/>
      <w:bookmarkEnd w:id="147"/>
    </w:p>
    <w:p w14:paraId="633B92B3">
      <w:pPr>
        <w:rPr>
          <w:rFonts w:ascii="Times New Roman" w:hAnsi="Times New Roman"/>
          <w:color w:val="auto"/>
          <w:szCs w:val="24"/>
          <w:highlight w:val="none"/>
        </w:rPr>
      </w:pPr>
      <w:r>
        <w:rPr>
          <w:rFonts w:hint="eastAsia" w:ascii="Times New Roman" w:hAnsi="Times New Roman"/>
          <w:color w:val="auto"/>
          <w:szCs w:val="24"/>
          <w:highlight w:val="none"/>
        </w:rPr>
        <w:t>为满足本行业务发展需要，系统应能灵活、方便、快捷地支持个性化需求开发，相关要求包括：</w:t>
      </w:r>
    </w:p>
    <w:p w14:paraId="63D3737E">
      <w:pPr>
        <w:rPr>
          <w:rFonts w:ascii="Times New Roman" w:hAnsi="Times New Roman"/>
          <w:color w:val="auto"/>
          <w:szCs w:val="24"/>
          <w:highlight w:val="none"/>
        </w:rPr>
      </w:pPr>
      <w:r>
        <w:rPr>
          <w:rFonts w:hint="eastAsia" w:ascii="Times New Roman" w:hAnsi="Times New Roman"/>
          <w:color w:val="auto"/>
          <w:szCs w:val="24"/>
          <w:highlight w:val="none"/>
        </w:rPr>
        <w:t>1）支持模型参数的个性化调整，从而适应监管要求及行内业务需求的变化；</w:t>
      </w:r>
    </w:p>
    <w:p w14:paraId="375A2392">
      <w:pPr>
        <w:rPr>
          <w:rFonts w:ascii="Times New Roman" w:hAnsi="Times New Roman"/>
          <w:color w:val="auto"/>
          <w:szCs w:val="24"/>
          <w:highlight w:val="none"/>
        </w:rPr>
      </w:pPr>
      <w:r>
        <w:rPr>
          <w:rFonts w:hint="eastAsia" w:ascii="Times New Roman" w:hAnsi="Times New Roman"/>
          <w:color w:val="auto"/>
          <w:szCs w:val="24"/>
          <w:highlight w:val="none"/>
        </w:rPr>
        <w:t>2）支持数据采集范围扩展及接口快速开发；</w:t>
      </w:r>
    </w:p>
    <w:p w14:paraId="05DA1C03">
      <w:pPr>
        <w:rPr>
          <w:rFonts w:ascii="Times New Roman" w:hAnsi="Times New Roman"/>
          <w:color w:val="auto"/>
          <w:szCs w:val="24"/>
          <w:highlight w:val="none"/>
        </w:rPr>
      </w:pPr>
      <w:r>
        <w:rPr>
          <w:rFonts w:hint="eastAsia" w:ascii="Times New Roman" w:hAnsi="Times New Roman"/>
          <w:color w:val="auto"/>
          <w:szCs w:val="24"/>
          <w:highlight w:val="none"/>
        </w:rPr>
        <w:t>3）支持较为便捷的全量/增量程序版本抽取和提交；</w:t>
      </w:r>
    </w:p>
    <w:p w14:paraId="731E886C">
      <w:pPr>
        <w:rPr>
          <w:rFonts w:ascii="Times New Roman" w:hAnsi="Times New Roman"/>
          <w:color w:val="auto"/>
          <w:szCs w:val="24"/>
          <w:highlight w:val="none"/>
        </w:rPr>
      </w:pPr>
      <w:r>
        <w:rPr>
          <w:rFonts w:hint="eastAsia" w:ascii="Times New Roman" w:hAnsi="Times New Roman"/>
          <w:color w:val="auto"/>
          <w:szCs w:val="24"/>
          <w:highlight w:val="none"/>
        </w:rPr>
        <w:t>4）支持日常需求改造涉及的其他开发要求。</w:t>
      </w:r>
    </w:p>
    <w:p w14:paraId="54D2E1AD">
      <w:pPr>
        <w:pStyle w:val="4"/>
        <w:rPr>
          <w:rFonts w:ascii="Times New Roman" w:hAnsi="Times New Roman"/>
          <w:color w:val="auto"/>
          <w:szCs w:val="24"/>
          <w:highlight w:val="none"/>
        </w:rPr>
      </w:pPr>
      <w:bookmarkStart w:id="148" w:name="_Toc22432"/>
      <w:bookmarkStart w:id="149" w:name="_Toc30861"/>
      <w:r>
        <w:rPr>
          <w:rFonts w:hint="eastAsia" w:ascii="Times New Roman" w:hAnsi="Times New Roman"/>
          <w:color w:val="auto"/>
          <w:szCs w:val="24"/>
          <w:highlight w:val="none"/>
        </w:rPr>
        <w:t>2</w:t>
      </w:r>
      <w:r>
        <w:rPr>
          <w:rFonts w:ascii="Times New Roman" w:hAnsi="Times New Roman"/>
          <w:color w:val="auto"/>
          <w:szCs w:val="24"/>
          <w:highlight w:val="none"/>
        </w:rPr>
        <w:t xml:space="preserve">.7 </w:t>
      </w:r>
      <w:r>
        <w:rPr>
          <w:rFonts w:hint="eastAsia" w:ascii="Times New Roman" w:hAnsi="Times New Roman"/>
          <w:color w:val="auto"/>
          <w:szCs w:val="24"/>
          <w:highlight w:val="none"/>
        </w:rPr>
        <w:t>其它非功能性要求</w:t>
      </w:r>
      <w:bookmarkEnd w:id="148"/>
      <w:bookmarkEnd w:id="149"/>
    </w:p>
    <w:p w14:paraId="27E67E5C">
      <w:pPr>
        <w:rPr>
          <w:rFonts w:ascii="Times New Roman" w:hAnsi="Times New Roman"/>
          <w:color w:val="auto"/>
          <w:szCs w:val="24"/>
          <w:highlight w:val="none"/>
        </w:rPr>
      </w:pPr>
      <w:r>
        <w:rPr>
          <w:rFonts w:ascii="Times New Roman" w:hAnsi="Times New Roman"/>
          <w:color w:val="auto"/>
          <w:szCs w:val="24"/>
          <w:highlight w:val="none"/>
        </w:rPr>
        <w:t>2.7.</w:t>
      </w:r>
      <w:r>
        <w:rPr>
          <w:rFonts w:hint="eastAsia" w:ascii="Times New Roman" w:hAnsi="Times New Roman"/>
          <w:color w:val="auto"/>
          <w:szCs w:val="24"/>
          <w:highlight w:val="none"/>
        </w:rPr>
        <w:t>1 运维要求</w:t>
      </w:r>
    </w:p>
    <w:p w14:paraId="7D514201">
      <w:pPr>
        <w:rPr>
          <w:rFonts w:ascii="Times New Roman" w:hAnsi="Times New Roman"/>
          <w:color w:val="auto"/>
          <w:szCs w:val="24"/>
          <w:highlight w:val="none"/>
        </w:rPr>
      </w:pPr>
      <w:r>
        <w:rPr>
          <w:rFonts w:hint="eastAsia" w:ascii="Times New Roman" w:hAnsi="Times New Roman"/>
          <w:color w:val="auto"/>
          <w:szCs w:val="24"/>
          <w:highlight w:val="none"/>
        </w:rPr>
        <w:t>1）提供日常运行监控和完整的系统维护管理的方案：提供日志、实时交易监控等系统问题定位方案；提供日志和历史数据备份、清理机制；</w:t>
      </w:r>
    </w:p>
    <w:p w14:paraId="398795E9">
      <w:pPr>
        <w:rPr>
          <w:rFonts w:ascii="Times New Roman" w:hAnsi="Times New Roman"/>
          <w:color w:val="auto"/>
          <w:szCs w:val="24"/>
          <w:highlight w:val="none"/>
        </w:rPr>
      </w:pPr>
      <w:r>
        <w:rPr>
          <w:rFonts w:hint="eastAsia" w:ascii="Times New Roman" w:hAnsi="Times New Roman"/>
          <w:color w:val="auto"/>
          <w:szCs w:val="24"/>
          <w:highlight w:val="none"/>
        </w:rPr>
        <w:t>2） 提供应用系统之间逻辑独立、启停服务时系统间不相互影响的部署方案（十分重要），保障系统的7*24小时运行；</w:t>
      </w:r>
    </w:p>
    <w:p w14:paraId="446C1275">
      <w:pPr>
        <w:rPr>
          <w:rFonts w:ascii="Times New Roman" w:hAnsi="Times New Roman"/>
          <w:color w:val="auto"/>
          <w:szCs w:val="24"/>
          <w:highlight w:val="none"/>
        </w:rPr>
      </w:pPr>
      <w:r>
        <w:rPr>
          <w:rFonts w:hint="eastAsia" w:ascii="Times New Roman" w:hAnsi="Times New Roman"/>
          <w:color w:val="auto"/>
          <w:szCs w:val="24"/>
          <w:highlight w:val="none"/>
        </w:rPr>
        <w:t>3）提供系统资源运行情况实时监控报告；提供系统出现异常预警报告；提供系统运行情况报表等。</w:t>
      </w:r>
    </w:p>
    <w:p w14:paraId="56C7ADAB">
      <w:pPr>
        <w:rPr>
          <w:rFonts w:ascii="Times New Roman" w:hAnsi="Times New Roman"/>
          <w:color w:val="auto"/>
          <w:szCs w:val="24"/>
          <w:highlight w:val="none"/>
        </w:rPr>
      </w:pPr>
      <w:r>
        <w:rPr>
          <w:rFonts w:hint="eastAsia" w:ascii="Times New Roman" w:hAnsi="Times New Roman"/>
          <w:color w:val="auto"/>
          <w:szCs w:val="24"/>
          <w:highlight w:val="none"/>
        </w:rPr>
        <w:t>4）涉及重大生产故障，需15分钟内响应，30分钟内提供临时解决方案并能恢复生产服务，并安排响应的技术专家进行技术支持。</w:t>
      </w:r>
    </w:p>
    <w:p w14:paraId="2CA0E2C2">
      <w:pPr>
        <w:rPr>
          <w:rFonts w:ascii="Times New Roman" w:hAnsi="Times New Roman"/>
          <w:color w:val="auto"/>
          <w:szCs w:val="24"/>
          <w:highlight w:val="none"/>
        </w:rPr>
      </w:pPr>
      <w:r>
        <w:rPr>
          <w:rFonts w:ascii="Times New Roman" w:hAnsi="Times New Roman"/>
          <w:color w:val="auto"/>
          <w:szCs w:val="24"/>
          <w:highlight w:val="none"/>
        </w:rPr>
        <w:t>2.7.</w:t>
      </w:r>
      <w:r>
        <w:rPr>
          <w:rFonts w:hint="eastAsia" w:ascii="Times New Roman" w:hAnsi="Times New Roman"/>
          <w:color w:val="auto"/>
          <w:szCs w:val="24"/>
          <w:highlight w:val="none"/>
        </w:rPr>
        <w:t>2 日志要求</w:t>
      </w:r>
    </w:p>
    <w:p w14:paraId="4138719F">
      <w:pPr>
        <w:rPr>
          <w:rFonts w:ascii="Times New Roman" w:hAnsi="Times New Roman"/>
          <w:color w:val="auto"/>
          <w:szCs w:val="24"/>
          <w:highlight w:val="none"/>
        </w:rPr>
      </w:pPr>
      <w:r>
        <w:rPr>
          <w:rFonts w:hint="eastAsia" w:ascii="Times New Roman" w:hAnsi="Times New Roman"/>
          <w:color w:val="auto"/>
          <w:szCs w:val="24"/>
          <w:highlight w:val="none"/>
        </w:rPr>
        <w:t>1）应完整记录所有通讯日志，如果通讯日志为字节码的，不能直接查看的，应提供查看工具。</w:t>
      </w:r>
    </w:p>
    <w:p w14:paraId="51A98230">
      <w:pPr>
        <w:rPr>
          <w:rFonts w:ascii="Times New Roman" w:hAnsi="Times New Roman"/>
          <w:color w:val="auto"/>
          <w:szCs w:val="24"/>
          <w:highlight w:val="none"/>
        </w:rPr>
      </w:pPr>
      <w:r>
        <w:rPr>
          <w:rFonts w:hint="eastAsia" w:ascii="Times New Roman" w:hAnsi="Times New Roman"/>
          <w:color w:val="auto"/>
          <w:szCs w:val="24"/>
          <w:highlight w:val="none"/>
        </w:rPr>
        <w:t>2）应完整记录交易日志，方便交易统计分析，不同类型的交易可分不同的交易日志表。</w:t>
      </w:r>
    </w:p>
    <w:p w14:paraId="50377D50">
      <w:pPr>
        <w:rPr>
          <w:rFonts w:ascii="Times New Roman" w:hAnsi="Times New Roman"/>
          <w:color w:val="auto"/>
          <w:szCs w:val="24"/>
          <w:highlight w:val="none"/>
        </w:rPr>
      </w:pPr>
      <w:r>
        <w:rPr>
          <w:rFonts w:hint="eastAsia" w:ascii="Times New Roman" w:hAnsi="Times New Roman"/>
          <w:color w:val="auto"/>
          <w:szCs w:val="24"/>
          <w:highlight w:val="none"/>
        </w:rPr>
        <w:t>3）可在线动态调整日志级别，在生产环境下定位问题时不需要中断服务。</w:t>
      </w:r>
    </w:p>
    <w:p w14:paraId="77A4E95F">
      <w:pPr>
        <w:rPr>
          <w:rFonts w:ascii="Times New Roman" w:hAnsi="Times New Roman"/>
          <w:color w:val="auto"/>
          <w:szCs w:val="24"/>
          <w:highlight w:val="none"/>
        </w:rPr>
      </w:pPr>
      <w:r>
        <w:rPr>
          <w:rFonts w:hint="eastAsia" w:ascii="Times New Roman" w:hAnsi="Times New Roman"/>
          <w:color w:val="auto"/>
          <w:szCs w:val="24"/>
          <w:highlight w:val="none"/>
        </w:rPr>
        <w:t>4）系统相关日志应输出在应用目录之外。</w:t>
      </w:r>
    </w:p>
    <w:p w14:paraId="1B63A42F">
      <w:pPr>
        <w:rPr>
          <w:rFonts w:ascii="Times New Roman" w:hAnsi="Times New Roman"/>
          <w:color w:val="auto"/>
          <w:szCs w:val="24"/>
          <w:highlight w:val="none"/>
        </w:rPr>
      </w:pPr>
      <w:r>
        <w:rPr>
          <w:rFonts w:hint="eastAsia" w:ascii="Times New Roman" w:hAnsi="Times New Roman"/>
          <w:color w:val="auto"/>
          <w:szCs w:val="24"/>
          <w:highlight w:val="none"/>
        </w:rPr>
        <w:t>5）不应在日志中记录客户支付敏感信息；不允许保留非本机构的客户敏感信息。</w:t>
      </w:r>
    </w:p>
    <w:p w14:paraId="14B72665">
      <w:pPr>
        <w:rPr>
          <w:rFonts w:ascii="Times New Roman" w:hAnsi="Times New Roman"/>
          <w:color w:val="auto"/>
          <w:szCs w:val="24"/>
          <w:highlight w:val="none"/>
        </w:rPr>
      </w:pPr>
      <w:r>
        <w:rPr>
          <w:rFonts w:ascii="Times New Roman" w:hAnsi="Times New Roman"/>
          <w:color w:val="auto"/>
          <w:szCs w:val="24"/>
          <w:highlight w:val="none"/>
        </w:rPr>
        <w:t>2.7.</w:t>
      </w:r>
      <w:r>
        <w:rPr>
          <w:rFonts w:hint="eastAsia" w:ascii="Times New Roman" w:hAnsi="Times New Roman"/>
          <w:color w:val="auto"/>
          <w:szCs w:val="24"/>
          <w:highlight w:val="none"/>
        </w:rPr>
        <w:t>3 自动监控指标</w:t>
      </w:r>
    </w:p>
    <w:p w14:paraId="323E0207">
      <w:pPr>
        <w:rPr>
          <w:rFonts w:ascii="Times New Roman" w:hAnsi="Times New Roman"/>
          <w:color w:val="auto"/>
          <w:szCs w:val="24"/>
          <w:highlight w:val="none"/>
        </w:rPr>
      </w:pPr>
      <w:r>
        <w:rPr>
          <w:rFonts w:hint="eastAsia" w:ascii="Times New Roman" w:hAnsi="Times New Roman"/>
          <w:color w:val="auto"/>
          <w:szCs w:val="24"/>
          <w:highlight w:val="none"/>
        </w:rPr>
        <w:t>1）磁盘占用率（关键目录）、CPU使用率、内存占用率等；</w:t>
      </w:r>
    </w:p>
    <w:p w14:paraId="3A59D870">
      <w:pPr>
        <w:rPr>
          <w:rFonts w:ascii="Times New Roman" w:hAnsi="Times New Roman"/>
          <w:color w:val="auto"/>
          <w:szCs w:val="24"/>
          <w:highlight w:val="none"/>
        </w:rPr>
      </w:pPr>
      <w:r>
        <w:rPr>
          <w:rFonts w:hint="eastAsia" w:ascii="Times New Roman" w:hAnsi="Times New Roman"/>
          <w:color w:val="auto"/>
          <w:szCs w:val="24"/>
          <w:highlight w:val="none"/>
        </w:rPr>
        <w:t>2）数据库连接池使用情况：总连接数、空闲连接数、使用中连接数；线程池使用情况：总线程、空闲线程、使用中线程；</w:t>
      </w:r>
    </w:p>
    <w:p w14:paraId="304ED4A4">
      <w:pPr>
        <w:rPr>
          <w:rFonts w:ascii="Times New Roman" w:hAnsi="Times New Roman"/>
          <w:color w:val="auto"/>
          <w:szCs w:val="24"/>
          <w:highlight w:val="none"/>
        </w:rPr>
      </w:pPr>
      <w:r>
        <w:rPr>
          <w:rFonts w:hint="eastAsia" w:ascii="Times New Roman" w:hAnsi="Times New Roman"/>
          <w:color w:val="auto"/>
          <w:szCs w:val="24"/>
          <w:highlight w:val="none"/>
        </w:rPr>
        <w:t>3）虚拟机堆内存情况（适用Java）：空闲内存、使用中内存；</w:t>
      </w:r>
    </w:p>
    <w:p w14:paraId="6E250110">
      <w:pPr>
        <w:rPr>
          <w:rFonts w:ascii="Times New Roman" w:hAnsi="Times New Roman"/>
          <w:color w:val="auto"/>
          <w:szCs w:val="24"/>
          <w:highlight w:val="none"/>
        </w:rPr>
      </w:pPr>
      <w:r>
        <w:rPr>
          <w:rFonts w:hint="eastAsia" w:ascii="Times New Roman" w:hAnsi="Times New Roman"/>
          <w:color w:val="auto"/>
          <w:szCs w:val="24"/>
          <w:highlight w:val="none"/>
        </w:rPr>
        <w:t>4）交易级的错误，应用系统重大错误；</w:t>
      </w:r>
    </w:p>
    <w:p w14:paraId="7B581AF2">
      <w:pPr>
        <w:pStyle w:val="4"/>
        <w:rPr>
          <w:rFonts w:ascii="Times New Roman" w:hAnsi="Times New Roman"/>
          <w:color w:val="auto"/>
          <w:szCs w:val="24"/>
          <w:highlight w:val="none"/>
        </w:rPr>
      </w:pPr>
      <w:bookmarkStart w:id="150" w:name="_Toc28922"/>
      <w:bookmarkStart w:id="151" w:name="_Toc1910"/>
      <w:r>
        <w:rPr>
          <w:rFonts w:hint="eastAsia" w:ascii="Times New Roman" w:hAnsi="Times New Roman"/>
          <w:color w:val="auto"/>
          <w:szCs w:val="24"/>
          <w:highlight w:val="none"/>
        </w:rPr>
        <w:t>2</w:t>
      </w:r>
      <w:r>
        <w:rPr>
          <w:rFonts w:ascii="Times New Roman" w:hAnsi="Times New Roman"/>
          <w:color w:val="auto"/>
          <w:szCs w:val="24"/>
          <w:highlight w:val="none"/>
        </w:rPr>
        <w:t xml:space="preserve">.8 </w:t>
      </w:r>
      <w:r>
        <w:rPr>
          <w:rFonts w:hint="eastAsia" w:ascii="Times New Roman" w:hAnsi="Times New Roman"/>
          <w:color w:val="auto"/>
          <w:szCs w:val="24"/>
          <w:highlight w:val="none"/>
        </w:rPr>
        <w:t>应当遵循的标准和规范</w:t>
      </w:r>
      <w:bookmarkEnd w:id="150"/>
      <w:bookmarkEnd w:id="151"/>
    </w:p>
    <w:p w14:paraId="7DBBEA8E">
      <w:pPr>
        <w:rPr>
          <w:rFonts w:ascii="Times New Roman" w:hAnsi="Times New Roman"/>
          <w:color w:val="auto"/>
          <w:szCs w:val="24"/>
          <w:highlight w:val="none"/>
        </w:rPr>
      </w:pPr>
      <w:r>
        <w:rPr>
          <w:rFonts w:hint="eastAsia" w:ascii="Times New Roman" w:hAnsi="Times New Roman"/>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2E2BAD24">
      <w:pPr>
        <w:rPr>
          <w:rFonts w:ascii="Times New Roman" w:hAnsi="Times New Roman"/>
          <w:color w:val="auto"/>
          <w:szCs w:val="24"/>
          <w:highlight w:val="none"/>
        </w:rPr>
      </w:pPr>
      <w:r>
        <w:rPr>
          <w:rFonts w:hint="eastAsia" w:ascii="Times New Roman" w:hAnsi="Times New Roman"/>
          <w:color w:val="auto"/>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540210E7">
      <w:pPr>
        <w:rPr>
          <w:rFonts w:ascii="Times New Roman" w:hAnsi="Times New Roman"/>
          <w:color w:val="auto"/>
          <w:szCs w:val="24"/>
          <w:highlight w:val="none"/>
        </w:rPr>
      </w:pPr>
      <w:r>
        <w:rPr>
          <w:rFonts w:hint="eastAsia" w:ascii="Times New Roman" w:hAnsi="Times New Roman"/>
          <w:color w:val="auto"/>
          <w:szCs w:val="24"/>
          <w:highlight w:val="none"/>
        </w:rPr>
        <w:t>业务处理符合国家法律、法规和有关政策规定。数据标准要满足银监会及人民银行相关管理办法及标准化的要求。</w:t>
      </w:r>
    </w:p>
    <w:p w14:paraId="0E9B4FF4">
      <w:pPr>
        <w:pStyle w:val="4"/>
        <w:rPr>
          <w:rFonts w:ascii="Times New Roman" w:hAnsi="Times New Roman" w:cs="Times New Roman"/>
          <w:bCs w:val="0"/>
          <w:color w:val="auto"/>
          <w:szCs w:val="24"/>
          <w:highlight w:val="none"/>
        </w:rPr>
      </w:pPr>
      <w:bookmarkStart w:id="152" w:name="_Toc14817"/>
      <w:bookmarkStart w:id="153" w:name="_Toc16141"/>
      <w:r>
        <w:rPr>
          <w:rFonts w:hint="eastAsia" w:ascii="Times New Roman" w:hAnsi="Times New Roman" w:cs="Times New Roman"/>
          <w:bCs w:val="0"/>
          <w:color w:val="auto"/>
          <w:szCs w:val="24"/>
          <w:highlight w:val="none"/>
        </w:rPr>
        <w:t>2.</w:t>
      </w:r>
      <w:r>
        <w:rPr>
          <w:rFonts w:ascii="Times New Roman" w:hAnsi="Times New Roman" w:cs="Times New Roman"/>
          <w:bCs w:val="0"/>
          <w:color w:val="auto"/>
          <w:szCs w:val="24"/>
          <w:highlight w:val="none"/>
        </w:rPr>
        <w:t>9</w:t>
      </w:r>
      <w:r>
        <w:rPr>
          <w:rFonts w:hint="eastAsia" w:ascii="Times New Roman" w:hAnsi="Times New Roman" w:cs="Times New Roman"/>
          <w:bCs w:val="0"/>
          <w:color w:val="auto"/>
          <w:szCs w:val="24"/>
          <w:highlight w:val="none"/>
        </w:rPr>
        <w:t xml:space="preserve"> 用户体验要求</w:t>
      </w:r>
      <w:bookmarkEnd w:id="152"/>
      <w:bookmarkEnd w:id="153"/>
    </w:p>
    <w:p w14:paraId="492C28DD">
      <w:pP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界面可根据用户需求灵活更改（增强标签分类特性），注重用户体验，使系统各项功能易见、易学、易用。</w:t>
      </w:r>
    </w:p>
    <w:p w14:paraId="0298DE14">
      <w:pPr>
        <w:pStyle w:val="4"/>
        <w:rPr>
          <w:rFonts w:ascii="Times New Roman" w:hAnsi="Times New Roman"/>
          <w:color w:val="auto"/>
          <w:szCs w:val="24"/>
          <w:highlight w:val="none"/>
        </w:rPr>
      </w:pPr>
      <w:bookmarkStart w:id="154" w:name="_Toc1695"/>
      <w:bookmarkStart w:id="155" w:name="_Toc7456"/>
      <w:r>
        <w:rPr>
          <w:rFonts w:hint="eastAsia" w:ascii="Times New Roman" w:hAnsi="Times New Roman" w:cs="Times New Roman"/>
          <w:b w:val="0"/>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bookmarkEnd w:id="154"/>
      <w:bookmarkEnd w:id="155"/>
    </w:p>
    <w:p w14:paraId="43AF9D2C">
      <w:pPr>
        <w:pStyle w:val="4"/>
        <w:rPr>
          <w:rFonts w:ascii="Times New Roman" w:hAnsi="Times New Roman"/>
          <w:color w:val="auto"/>
          <w:szCs w:val="24"/>
          <w:highlight w:val="none"/>
        </w:rPr>
      </w:pPr>
      <w:bookmarkStart w:id="156" w:name="_Toc31762"/>
      <w:bookmarkStart w:id="157" w:name="_Toc23037"/>
      <w:r>
        <w:rPr>
          <w:rFonts w:hint="eastAsia" w:ascii="Times New Roman" w:hAnsi="Times New Roman"/>
          <w:color w:val="auto"/>
          <w:szCs w:val="24"/>
          <w:highlight w:val="none"/>
        </w:rPr>
        <w:t>2</w:t>
      </w:r>
      <w:r>
        <w:rPr>
          <w:rFonts w:ascii="Times New Roman" w:hAnsi="Times New Roman"/>
          <w:color w:val="auto"/>
          <w:szCs w:val="24"/>
          <w:highlight w:val="none"/>
        </w:rPr>
        <w:t xml:space="preserve">.10 </w:t>
      </w:r>
      <w:r>
        <w:rPr>
          <w:rFonts w:hint="eastAsia" w:ascii="Times New Roman" w:hAnsi="Times New Roman"/>
          <w:color w:val="auto"/>
          <w:szCs w:val="24"/>
          <w:highlight w:val="none"/>
        </w:rPr>
        <w:t>其他技术要求</w:t>
      </w:r>
      <w:bookmarkEnd w:id="156"/>
      <w:bookmarkEnd w:id="157"/>
    </w:p>
    <w:p w14:paraId="1E67A776">
      <w:pPr>
        <w:rPr>
          <w:rFonts w:ascii="Times New Roman" w:hAnsi="Times New Roman"/>
          <w:color w:val="auto"/>
          <w:szCs w:val="24"/>
          <w:highlight w:val="none"/>
        </w:rPr>
      </w:pPr>
      <w:r>
        <w:rPr>
          <w:rFonts w:hint="eastAsia" w:ascii="Times New Roman" w:hAnsi="Times New Roman"/>
          <w:color w:val="auto"/>
          <w:szCs w:val="24"/>
          <w:highlight w:val="none"/>
        </w:rPr>
        <w:t>1）开发环境基于J2EE轻量级框架，支持JDK版本：JDK1.8及以上版本。</w:t>
      </w:r>
    </w:p>
    <w:p w14:paraId="3CA294C5">
      <w:pPr>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操作系统、数据库和中间件满足以下要求：服务端操作系统支持麒麟V10等国产化操作系统，支持OceanBase等国产化数据库，支持东方通等国产化中间件</w:t>
      </w:r>
      <w:r>
        <w:rPr>
          <w:rFonts w:hint="eastAsia" w:ascii="Times New Roman" w:hAnsi="Times New Roman"/>
          <w:color w:val="auto"/>
          <w:szCs w:val="24"/>
          <w:highlight w:val="none"/>
        </w:rPr>
        <w:t>。</w:t>
      </w:r>
    </w:p>
    <w:p w14:paraId="2DE93B0A">
      <w:pPr>
        <w:rPr>
          <w:rFonts w:ascii="Times New Roman" w:hAnsi="Times New Roman"/>
          <w:color w:val="auto"/>
          <w:szCs w:val="24"/>
          <w:highlight w:val="none"/>
        </w:rPr>
      </w:pPr>
      <w:r>
        <w:rPr>
          <w:rFonts w:hint="eastAsia" w:ascii="Times New Roman" w:hAnsi="Times New Roman"/>
          <w:color w:val="auto"/>
          <w:szCs w:val="24"/>
          <w:highlight w:val="none"/>
        </w:rPr>
        <w:t>3）</w:t>
      </w:r>
      <w:r>
        <w:rPr>
          <w:rFonts w:ascii="Times New Roman" w:hAnsi="Times New Roman"/>
          <w:color w:val="auto"/>
          <w:szCs w:val="24"/>
          <w:highlight w:val="none"/>
        </w:rPr>
        <w:t>支持麒麟桌面操作系统，支持谷歌浏览器使用，支持统信、奇安信、360等国产浏览器使用</w:t>
      </w:r>
      <w:r>
        <w:rPr>
          <w:rFonts w:hint="eastAsia" w:ascii="Times New Roman" w:hAnsi="Times New Roman"/>
          <w:color w:val="auto"/>
          <w:szCs w:val="24"/>
          <w:highlight w:val="none"/>
        </w:rPr>
        <w:t>。</w:t>
      </w:r>
    </w:p>
    <w:p w14:paraId="5BF71A55">
      <w:pPr>
        <w:rPr>
          <w:rFonts w:ascii="Times New Roman" w:hAnsi="Times New Roman"/>
          <w:color w:val="auto"/>
          <w:szCs w:val="24"/>
          <w:highlight w:val="none"/>
        </w:rPr>
      </w:pPr>
      <w:r>
        <w:rPr>
          <w:rFonts w:ascii="Times New Roman" w:hAnsi="Times New Roman"/>
          <w:color w:val="auto"/>
          <w:szCs w:val="24"/>
          <w:highlight w:val="none"/>
        </w:rPr>
        <w:t>4</w:t>
      </w:r>
      <w:r>
        <w:rPr>
          <w:rFonts w:hint="eastAsia" w:ascii="Times New Roman" w:hAnsi="Times New Roman"/>
          <w:color w:val="auto"/>
          <w:szCs w:val="24"/>
          <w:highlight w:val="none"/>
        </w:rPr>
        <w:t>）系统基础架构和底层数据库具备灵活性。</w:t>
      </w:r>
    </w:p>
    <w:p w14:paraId="626B920C">
      <w:pPr>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）系统可集群部署，支持负载均衡，具备横向可扩展性。</w:t>
      </w:r>
    </w:p>
    <w:p w14:paraId="405E2A0A">
      <w:pPr>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）系统处理能力能够满足现有业务数据以及未来</w:t>
      </w:r>
      <w:r>
        <w:rPr>
          <w:rFonts w:ascii="Times New Roman" w:hAnsi="Times New Roman"/>
          <w:color w:val="auto"/>
          <w:szCs w:val="24"/>
          <w:highlight w:val="none"/>
        </w:rPr>
        <w:t>五</w:t>
      </w:r>
      <w:r>
        <w:rPr>
          <w:rFonts w:hint="eastAsia" w:ascii="Times New Roman" w:hAnsi="Times New Roman"/>
          <w:color w:val="auto"/>
          <w:szCs w:val="24"/>
          <w:highlight w:val="none"/>
        </w:rPr>
        <w:t>年可能发展的业务数据量。</w:t>
      </w:r>
    </w:p>
    <w:p w14:paraId="6E293002">
      <w:pPr>
        <w:rPr>
          <w:rFonts w:ascii="Times New Roman" w:hAnsi="Times New Roman"/>
          <w:color w:val="auto"/>
          <w:szCs w:val="24"/>
          <w:highlight w:val="none"/>
        </w:rPr>
      </w:pPr>
      <w:r>
        <w:rPr>
          <w:rFonts w:ascii="Times New Roman" w:hAnsi="Times New Roman"/>
          <w:color w:val="auto"/>
          <w:szCs w:val="24"/>
          <w:highlight w:val="none"/>
        </w:rPr>
        <w:t>7</w:t>
      </w:r>
      <w:r>
        <w:rPr>
          <w:rFonts w:hint="eastAsia" w:ascii="Times New Roman" w:hAnsi="Times New Roman"/>
          <w:color w:val="auto"/>
          <w:szCs w:val="24"/>
          <w:highlight w:val="none"/>
        </w:rPr>
        <w:t>）系统开发需要符合我行开发规范和整体框架要求。</w:t>
      </w:r>
    </w:p>
    <w:p w14:paraId="5FB5696C">
      <w:pPr>
        <w:rPr>
          <w:rFonts w:ascii="Times New Roman" w:hAnsi="Times New Roman"/>
          <w:color w:val="auto"/>
          <w:szCs w:val="24"/>
          <w:highlight w:val="none"/>
        </w:rPr>
      </w:pPr>
      <w:r>
        <w:rPr>
          <w:rFonts w:ascii="Times New Roman" w:hAnsi="Times New Roman"/>
          <w:color w:val="auto"/>
          <w:szCs w:val="24"/>
          <w:highlight w:val="none"/>
        </w:rPr>
        <w:t>8</w:t>
      </w:r>
      <w:r>
        <w:rPr>
          <w:rFonts w:hint="eastAsia" w:ascii="Times New Roman" w:hAnsi="Times New Roman"/>
          <w:color w:val="auto"/>
          <w:szCs w:val="24"/>
          <w:highlight w:val="none"/>
        </w:rPr>
        <w:t>）系统需支持dns方式连接数据库以及应用。</w:t>
      </w:r>
    </w:p>
    <w:p w14:paraId="115B1D35">
      <w:pPr>
        <w:rPr>
          <w:rFonts w:ascii="Times New Roman" w:hAnsi="Times New Roman"/>
          <w:color w:val="auto"/>
          <w:szCs w:val="24"/>
          <w:highlight w:val="none"/>
        </w:rPr>
      </w:pPr>
      <w:r>
        <w:rPr>
          <w:rFonts w:ascii="Times New Roman" w:hAnsi="Times New Roman"/>
          <w:color w:val="auto"/>
          <w:szCs w:val="24"/>
          <w:highlight w:val="none"/>
        </w:rPr>
        <w:t>9</w:t>
      </w:r>
      <w:r>
        <w:rPr>
          <w:rFonts w:hint="eastAsia" w:ascii="Times New Roman" w:hAnsi="Times New Roman"/>
          <w:color w:val="auto"/>
          <w:szCs w:val="24"/>
          <w:highlight w:val="none"/>
        </w:rPr>
        <w:t>）原则上不对系统许可（license）做限制。</w:t>
      </w:r>
    </w:p>
    <w:p w14:paraId="6577C374">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0</w:t>
      </w:r>
      <w:r>
        <w:rPr>
          <w:rFonts w:hint="eastAsia" w:ascii="Times New Roman" w:hAnsi="Times New Roman"/>
          <w:color w:val="auto"/>
          <w:szCs w:val="24"/>
          <w:highlight w:val="none"/>
        </w:rPr>
        <w:t>）参选人需提供完善的数据备份方案及备份机制。</w:t>
      </w:r>
    </w:p>
    <w:p w14:paraId="70863B82">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1</w:t>
      </w:r>
      <w:r>
        <w:rPr>
          <w:rFonts w:hint="eastAsia" w:ascii="Times New Roman" w:hAnsi="Times New Roman"/>
          <w:color w:val="auto"/>
          <w:szCs w:val="24"/>
          <w:highlight w:val="none"/>
        </w:rPr>
        <w:t>）技术RTO（恢复时间目标）：</w:t>
      </w:r>
      <w:r>
        <w:rPr>
          <w:rFonts w:ascii="Times New Roman" w:hAnsi="Times New Roman"/>
          <w:color w:val="auto"/>
          <w:szCs w:val="24"/>
          <w:highlight w:val="none"/>
        </w:rPr>
        <w:t>71</w:t>
      </w:r>
      <w:r>
        <w:rPr>
          <w:rFonts w:hint="eastAsia" w:ascii="Times New Roman" w:hAnsi="Times New Roman"/>
          <w:color w:val="auto"/>
          <w:szCs w:val="24"/>
          <w:highlight w:val="none"/>
        </w:rPr>
        <w:t>小时；技术RPO（恢复时间点目标）：</w:t>
      </w:r>
      <w:r>
        <w:rPr>
          <w:rFonts w:ascii="Times New Roman" w:hAnsi="Times New Roman"/>
          <w:color w:val="auto"/>
          <w:szCs w:val="24"/>
          <w:highlight w:val="none"/>
        </w:rPr>
        <w:t>0.5</w:t>
      </w:r>
      <w:r>
        <w:rPr>
          <w:rFonts w:hint="eastAsia" w:ascii="Times New Roman" w:hAnsi="Times New Roman"/>
          <w:color w:val="auto"/>
          <w:szCs w:val="24"/>
          <w:highlight w:val="none"/>
        </w:rPr>
        <w:t>小时。</w:t>
      </w:r>
    </w:p>
    <w:p w14:paraId="1C602826">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2</w:t>
      </w:r>
      <w:r>
        <w:rPr>
          <w:rFonts w:hint="eastAsia" w:ascii="Times New Roman" w:hAnsi="Times New Roman"/>
          <w:color w:val="auto"/>
          <w:szCs w:val="24"/>
          <w:highlight w:val="none"/>
        </w:rPr>
        <w:t>）需支持IPV6协议。</w:t>
      </w:r>
    </w:p>
    <w:p w14:paraId="5330D6E0">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3</w:t>
      </w:r>
      <w:r>
        <w:rPr>
          <w:rFonts w:hint="eastAsia" w:ascii="Times New Roman" w:hAnsi="Times New Roman"/>
          <w:color w:val="auto"/>
          <w:szCs w:val="24"/>
          <w:highlight w:val="none"/>
        </w:rPr>
        <w:t>）禁止应用软件部署使用的安装码或授权码与其运行的基础环境（如：硬盘序列号、CPU序列号或网卡序列号等）进行绑定。</w:t>
      </w:r>
    </w:p>
    <w:p w14:paraId="64ECB07B">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4</w:t>
      </w:r>
      <w:r>
        <w:rPr>
          <w:rFonts w:hint="eastAsia" w:ascii="Times New Roman" w:hAnsi="Times New Roman"/>
          <w:color w:val="auto"/>
          <w:szCs w:val="24"/>
          <w:highlight w:val="none"/>
        </w:rPr>
        <w:t>）系统在集群部署共享文件访问时使用对象存储（不得使用NAS）。</w:t>
      </w:r>
    </w:p>
    <w:p w14:paraId="03A462AB">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5</w:t>
      </w:r>
      <w:r>
        <w:rPr>
          <w:rFonts w:hint="eastAsia" w:ascii="Times New Roman" w:hAnsi="Times New Roman"/>
          <w:color w:val="auto"/>
          <w:szCs w:val="24"/>
          <w:highlight w:val="none"/>
        </w:rPr>
        <w:t>）满足国家保密标准及要求。</w:t>
      </w:r>
    </w:p>
    <w:p w14:paraId="0AAA93D1">
      <w:pPr>
        <w:pStyle w:val="3"/>
        <w:numPr>
          <w:ilvl w:val="0"/>
          <w:numId w:val="0"/>
        </w:numPr>
        <w:ind w:left="360" w:leftChars="0" w:hanging="360" w:firstLineChars="0"/>
        <w:rPr>
          <w:rFonts w:ascii="Times New Roman" w:hAnsi="Times New Roman"/>
          <w:color w:val="auto"/>
          <w:highlight w:val="none"/>
        </w:rPr>
      </w:pPr>
      <w:bookmarkStart w:id="158" w:name="_Toc7325"/>
      <w:bookmarkStart w:id="159" w:name="_Toc25429"/>
      <w:r>
        <w:rPr>
          <w:rFonts w:hint="default" w:ascii="Times New Roman" w:hAnsi="Times New Roman" w:eastAsia="宋体" w:cs="Times New Roman"/>
          <w:b/>
          <w:bCs/>
          <w:snapToGrid w:val="0"/>
          <w:color w:val="auto"/>
          <w:kern w:val="2"/>
          <w:sz w:val="24"/>
          <w:szCs w:val="24"/>
          <w:highlight w:val="none"/>
          <w:lang w:val="en-US" w:eastAsia="zh-CN" w:bidi="ar-SA"/>
        </w:rPr>
        <w:t>3.</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测试要求</w:t>
      </w:r>
      <w:bookmarkEnd w:id="158"/>
      <w:bookmarkEnd w:id="159"/>
    </w:p>
    <w:p w14:paraId="42E6CD8F">
      <w:pPr>
        <w:spacing w:line="360" w:lineRule="auto"/>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w:t>
      </w:r>
      <w:r>
        <w:rPr>
          <w:rFonts w:ascii="Times New Roman" w:hAnsi="Times New Roman"/>
          <w:color w:val="auto"/>
          <w:szCs w:val="24"/>
          <w:highlight w:val="none"/>
        </w:rPr>
        <w:t>参选人应负责系统的单元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测试，提交完整的测试案例及达到准出标准的单元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测试报告。</w:t>
      </w:r>
    </w:p>
    <w:p w14:paraId="0FAABC7A">
      <w:pPr>
        <w:spacing w:line="360" w:lineRule="auto"/>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w:t>
      </w:r>
      <w:r>
        <w:rPr>
          <w:rFonts w:ascii="Times New Roman" w:hAnsi="Times New Roman"/>
          <w:color w:val="auto"/>
          <w:szCs w:val="24"/>
          <w:highlight w:val="none"/>
        </w:rPr>
        <w:t>参选人应提供专职的性能测试负责人及性能测试人员进行系统的性能测试，提交满足系统性能指标的性能测试报告。</w:t>
      </w:r>
    </w:p>
    <w:p w14:paraId="09A0FAED">
      <w:pPr>
        <w:spacing w:line="360" w:lineRule="auto"/>
        <w:rPr>
          <w:rFonts w:ascii="Times New Roman" w:hAnsi="Times New Roman"/>
          <w:color w:val="auto"/>
          <w:szCs w:val="24"/>
          <w:highlight w:val="none"/>
        </w:rPr>
      </w:pPr>
      <w:r>
        <w:rPr>
          <w:rFonts w:ascii="Times New Roman" w:hAnsi="Times New Roman"/>
          <w:color w:val="auto"/>
          <w:szCs w:val="24"/>
          <w:highlight w:val="none"/>
        </w:rPr>
        <w:t>3</w:t>
      </w:r>
      <w:r>
        <w:rPr>
          <w:rFonts w:hint="eastAsia" w:ascii="Times New Roman" w:hAnsi="Times New Roman"/>
          <w:color w:val="auto"/>
          <w:szCs w:val="24"/>
          <w:highlight w:val="none"/>
        </w:rPr>
        <w:t>）</w:t>
      </w:r>
      <w:r>
        <w:rPr>
          <w:rFonts w:ascii="Times New Roman" w:hAnsi="Times New Roman"/>
          <w:color w:val="auto"/>
          <w:szCs w:val="24"/>
          <w:highlight w:val="none"/>
        </w:rPr>
        <w:t>参选人应指派专职的测试项目经理及项目成员进行系统测试，参照</w:t>
      </w:r>
      <w:r>
        <w:rPr>
          <w:rFonts w:hint="eastAsia" w:ascii="Times New Roman" w:hAnsi="Times New Roman"/>
          <w:color w:val="auto"/>
          <w:szCs w:val="24"/>
          <w:highlight w:val="none"/>
        </w:rPr>
        <w:t>比选人</w:t>
      </w:r>
      <w:r>
        <w:rPr>
          <w:rFonts w:ascii="Times New Roman" w:hAnsi="Times New Roman"/>
          <w:color w:val="auto"/>
          <w:szCs w:val="24"/>
          <w:highlight w:val="none"/>
        </w:rPr>
        <w:t>系统测试准入准出标准。</w:t>
      </w:r>
    </w:p>
    <w:tbl>
      <w:tblPr>
        <w:tblStyle w:val="24"/>
        <w:tblW w:w="4801"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93"/>
      </w:tblGrid>
      <w:tr w14:paraId="6B76D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074" w:type="dxa"/>
            <w:gridSpan w:val="2"/>
            <w:shd w:val="clear" w:color="auto" w:fill="auto"/>
            <w:vAlign w:val="center"/>
          </w:tcPr>
          <w:p w14:paraId="50D6FEB9">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系统测试准入准出标准</w:t>
            </w:r>
          </w:p>
        </w:tc>
      </w:tr>
      <w:tr w14:paraId="56976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shd w:val="clear" w:color="auto" w:fill="auto"/>
            <w:vAlign w:val="center"/>
          </w:tcPr>
          <w:p w14:paraId="720DB2BE">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一、系统测试准入标准</w:t>
            </w:r>
          </w:p>
        </w:tc>
      </w:tr>
      <w:tr w14:paraId="619A1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3D2596C9">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阶段</w:t>
            </w:r>
          </w:p>
        </w:tc>
        <w:tc>
          <w:tcPr>
            <w:tcW w:w="6795" w:type="dxa"/>
            <w:shd w:val="clear" w:color="auto" w:fill="auto"/>
            <w:vAlign w:val="center"/>
          </w:tcPr>
          <w:p w14:paraId="64A9F7E4">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准入条件</w:t>
            </w:r>
          </w:p>
        </w:tc>
      </w:tr>
      <w:tr w14:paraId="2482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vMerge w:val="restart"/>
            <w:shd w:val="clear" w:color="auto" w:fill="auto"/>
            <w:vAlign w:val="center"/>
          </w:tcPr>
          <w:p w14:paraId="7A4984B8">
            <w:pPr>
              <w:spacing w:line="240" w:lineRule="auto"/>
              <w:ind w:firstLine="0" w:firstLineChars="0"/>
              <w:jc w:val="center"/>
              <w:rPr>
                <w:color w:val="auto"/>
                <w:highlight w:val="none"/>
              </w:rPr>
            </w:pPr>
            <w:r>
              <w:rPr>
                <w:rFonts w:hint="eastAsia" w:ascii="Times New Roman" w:hAnsi="Times New Roman"/>
                <w:color w:val="auto"/>
                <w:szCs w:val="24"/>
                <w:highlight w:val="none"/>
              </w:rPr>
              <w:t>计划阶段</w:t>
            </w:r>
          </w:p>
        </w:tc>
        <w:tc>
          <w:tcPr>
            <w:tcW w:w="6795" w:type="dxa"/>
            <w:shd w:val="clear" w:color="auto" w:fill="auto"/>
            <w:vAlign w:val="center"/>
          </w:tcPr>
          <w:p w14:paraId="686687A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开发项目整体项目计划必须包含系统测试计划或系统测试计划时间</w:t>
            </w:r>
          </w:p>
        </w:tc>
      </w:tr>
      <w:tr w14:paraId="01A55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F50A60F">
            <w:pPr>
              <w:rPr>
                <w:color w:val="auto"/>
                <w:highlight w:val="none"/>
              </w:rPr>
            </w:pPr>
          </w:p>
        </w:tc>
        <w:tc>
          <w:tcPr>
            <w:tcW w:w="6795" w:type="dxa"/>
            <w:shd w:val="clear" w:color="auto" w:fill="auto"/>
            <w:vAlign w:val="center"/>
          </w:tcPr>
          <w:p w14:paraId="573FA4B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测试方要求的需求说明书及相关说明书已经通过评审，并形成终稿；文档包括但不限于：业务需求、需求说明书、系统原型、概要设计（可选）、用户手册（可选）</w:t>
            </w:r>
          </w:p>
        </w:tc>
      </w:tr>
      <w:tr w14:paraId="72AE8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4205718">
            <w:pPr>
              <w:rPr>
                <w:color w:val="auto"/>
                <w:highlight w:val="none"/>
              </w:rPr>
            </w:pPr>
          </w:p>
        </w:tc>
        <w:tc>
          <w:tcPr>
            <w:tcW w:w="6795" w:type="dxa"/>
            <w:shd w:val="clear" w:color="auto" w:fill="auto"/>
            <w:vAlign w:val="center"/>
          </w:tcPr>
          <w:p w14:paraId="62D4667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变更影响范围是否提供</w:t>
            </w:r>
          </w:p>
        </w:tc>
      </w:tr>
      <w:tr w14:paraId="5649B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vMerge w:val="restart"/>
            <w:shd w:val="clear" w:color="auto" w:fill="auto"/>
            <w:vAlign w:val="center"/>
          </w:tcPr>
          <w:p w14:paraId="501937B5">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执行阶段</w:t>
            </w:r>
          </w:p>
        </w:tc>
        <w:tc>
          <w:tcPr>
            <w:tcW w:w="6795" w:type="dxa"/>
            <w:shd w:val="clear" w:color="auto" w:fill="auto"/>
            <w:vAlign w:val="center"/>
          </w:tcPr>
          <w:p w14:paraId="4C6B125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29CED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668B1F4">
            <w:pPr>
              <w:rPr>
                <w:color w:val="auto"/>
                <w:highlight w:val="none"/>
              </w:rPr>
            </w:pPr>
          </w:p>
        </w:tc>
        <w:tc>
          <w:tcPr>
            <w:tcW w:w="6795" w:type="dxa"/>
            <w:shd w:val="clear" w:color="auto" w:fill="auto"/>
            <w:vAlign w:val="center"/>
          </w:tcPr>
          <w:p w14:paraId="4AC5773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系统测试案例准备就绪（案例密度为35条/每功能点）</w:t>
            </w:r>
          </w:p>
        </w:tc>
      </w:tr>
      <w:tr w14:paraId="334A1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31D7931">
            <w:pPr>
              <w:rPr>
                <w:color w:val="auto"/>
                <w:highlight w:val="none"/>
              </w:rPr>
            </w:pPr>
          </w:p>
        </w:tc>
        <w:tc>
          <w:tcPr>
            <w:tcW w:w="6795" w:type="dxa"/>
            <w:shd w:val="clear" w:color="auto" w:fill="auto"/>
            <w:vAlign w:val="center"/>
          </w:tcPr>
          <w:p w14:paraId="3802F7C0">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测试环境准备就绪</w:t>
            </w:r>
          </w:p>
        </w:tc>
      </w:tr>
      <w:tr w14:paraId="127DD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41E1603">
            <w:pPr>
              <w:rPr>
                <w:color w:val="auto"/>
                <w:highlight w:val="none"/>
              </w:rPr>
            </w:pPr>
          </w:p>
        </w:tc>
        <w:tc>
          <w:tcPr>
            <w:tcW w:w="6795" w:type="dxa"/>
            <w:shd w:val="clear" w:color="auto" w:fill="auto"/>
            <w:vAlign w:val="center"/>
          </w:tcPr>
          <w:p w14:paraId="63255FB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测试版本能够成功部署到测试环境。（如果测试和开发处于同一环境，则在系统测试开始前应该按照开发提交的版本重新部署）</w:t>
            </w:r>
          </w:p>
        </w:tc>
      </w:tr>
      <w:tr w14:paraId="26218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DA67B0A">
            <w:pPr>
              <w:rPr>
                <w:color w:val="auto"/>
                <w:highlight w:val="none"/>
              </w:rPr>
            </w:pPr>
          </w:p>
        </w:tc>
        <w:tc>
          <w:tcPr>
            <w:tcW w:w="6795" w:type="dxa"/>
            <w:shd w:val="clear" w:color="auto" w:fill="auto"/>
            <w:vAlign w:val="center"/>
          </w:tcPr>
          <w:p w14:paraId="367139A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冒烟测试达到通过标准（冒烟测试案例通过率大于90%，有效缺陷率不高于10%）</w:t>
            </w:r>
          </w:p>
        </w:tc>
      </w:tr>
      <w:tr w14:paraId="2B3AE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shd w:val="clear" w:color="auto" w:fill="auto"/>
            <w:vAlign w:val="center"/>
          </w:tcPr>
          <w:p w14:paraId="1E5206E2">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二、暂停/继续标准：满足下列之一的条件并由项目组审核同意，测试可以暂停</w:t>
            </w:r>
          </w:p>
        </w:tc>
      </w:tr>
      <w:tr w14:paraId="21C9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214F45DA">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795" w:type="dxa"/>
            <w:shd w:val="clear" w:color="auto" w:fill="auto"/>
            <w:vAlign w:val="center"/>
          </w:tcPr>
          <w:p w14:paraId="64CDA471">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暂停条件</w:t>
            </w:r>
          </w:p>
        </w:tc>
      </w:tr>
      <w:tr w14:paraId="50182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shd w:val="clear" w:color="auto" w:fill="auto"/>
            <w:vAlign w:val="center"/>
          </w:tcPr>
          <w:p w14:paraId="0CF52857">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795" w:type="dxa"/>
            <w:shd w:val="clear" w:color="auto" w:fill="auto"/>
            <w:vAlign w:val="center"/>
          </w:tcPr>
          <w:p w14:paraId="6129E79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由于程序、环境原因导致测试无法进行</w:t>
            </w:r>
          </w:p>
        </w:tc>
      </w:tr>
      <w:tr w14:paraId="36A6A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5881C19C">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795" w:type="dxa"/>
            <w:shd w:val="clear" w:color="auto" w:fill="auto"/>
            <w:vAlign w:val="center"/>
          </w:tcPr>
          <w:p w14:paraId="5A4C7CB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项目暂停，已无测试必要</w:t>
            </w:r>
          </w:p>
        </w:tc>
      </w:tr>
      <w:tr w14:paraId="2BB3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0FE73710">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4</w:t>
            </w:r>
          </w:p>
        </w:tc>
        <w:tc>
          <w:tcPr>
            <w:tcW w:w="6795" w:type="dxa"/>
            <w:shd w:val="clear" w:color="auto" w:fill="auto"/>
            <w:vAlign w:val="center"/>
          </w:tcPr>
          <w:p w14:paraId="769C298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测试需求稳定指数小于70%，则暂停测试执行</w:t>
            </w:r>
          </w:p>
        </w:tc>
      </w:tr>
      <w:tr w14:paraId="1B36D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7EC3B19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5</w:t>
            </w:r>
          </w:p>
        </w:tc>
        <w:tc>
          <w:tcPr>
            <w:tcW w:w="6795" w:type="dxa"/>
            <w:shd w:val="clear" w:color="auto" w:fill="auto"/>
            <w:vAlign w:val="center"/>
          </w:tcPr>
          <w:p w14:paraId="1AB93B4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每个里程碑节点或执行轮次案例执行通过率低于60%，则暂停测试执行</w:t>
            </w:r>
          </w:p>
        </w:tc>
      </w:tr>
      <w:tr w14:paraId="5FA8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2DB0090C">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6</w:t>
            </w:r>
          </w:p>
        </w:tc>
        <w:tc>
          <w:tcPr>
            <w:tcW w:w="6795" w:type="dxa"/>
            <w:shd w:val="clear" w:color="auto" w:fill="auto"/>
            <w:vAlign w:val="center"/>
          </w:tcPr>
          <w:p w14:paraId="089A25C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每个里程碑节点或执行轮次缺陷解决率低于50%，则暂停测试执行</w:t>
            </w:r>
          </w:p>
        </w:tc>
      </w:tr>
      <w:tr w14:paraId="7C2CF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2F1AE134">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7</w:t>
            </w:r>
          </w:p>
        </w:tc>
        <w:tc>
          <w:tcPr>
            <w:tcW w:w="6795" w:type="dxa"/>
            <w:shd w:val="clear" w:color="auto" w:fill="auto"/>
            <w:vAlign w:val="center"/>
          </w:tcPr>
          <w:p w14:paraId="43AEDF1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每个里程碑节点或执行轮次缺陷的案例命中率大于25%，则暂停测试执行</w:t>
            </w:r>
          </w:p>
        </w:tc>
      </w:tr>
      <w:tr w14:paraId="33258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shd w:val="clear" w:color="auto" w:fill="auto"/>
            <w:vAlign w:val="center"/>
          </w:tcPr>
          <w:p w14:paraId="2FB8756B">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8</w:t>
            </w:r>
          </w:p>
        </w:tc>
        <w:tc>
          <w:tcPr>
            <w:tcW w:w="6795" w:type="dxa"/>
            <w:shd w:val="clear" w:color="auto" w:fill="auto"/>
            <w:vAlign w:val="center"/>
          </w:tcPr>
          <w:p w14:paraId="760433D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每个里程碑节点或执行轮次严重以上缺陷占比大于35%，则暂停测试执行</w:t>
            </w:r>
          </w:p>
        </w:tc>
      </w:tr>
      <w:tr w14:paraId="650E3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24A55030">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9</w:t>
            </w:r>
          </w:p>
        </w:tc>
        <w:tc>
          <w:tcPr>
            <w:tcW w:w="6795" w:type="dxa"/>
            <w:shd w:val="clear" w:color="auto" w:fill="auto"/>
            <w:vAlign w:val="center"/>
          </w:tcPr>
          <w:p w14:paraId="0165AB2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测试环境、测试数据、测试人员等等测试必备条件不再具备或发生变化导致测试不能进行，则暂停测试执行</w:t>
            </w:r>
          </w:p>
        </w:tc>
      </w:tr>
      <w:tr w14:paraId="39863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0CAA1080">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10</w:t>
            </w:r>
          </w:p>
        </w:tc>
        <w:tc>
          <w:tcPr>
            <w:tcW w:w="6795" w:type="dxa"/>
            <w:shd w:val="clear" w:color="auto" w:fill="auto"/>
            <w:vAlign w:val="center"/>
          </w:tcPr>
          <w:p w14:paraId="22F248E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项目组确定的可以暂停的其他条件</w:t>
            </w:r>
          </w:p>
        </w:tc>
      </w:tr>
      <w:tr w14:paraId="2309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6337C7D6">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11</w:t>
            </w:r>
          </w:p>
        </w:tc>
        <w:tc>
          <w:tcPr>
            <w:tcW w:w="6795" w:type="dxa"/>
            <w:shd w:val="clear" w:color="auto" w:fill="auto"/>
            <w:vAlign w:val="center"/>
          </w:tcPr>
          <w:p w14:paraId="4B37302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恢复以上的条件并由项目组审核同意，测试可以继续</w:t>
            </w:r>
          </w:p>
        </w:tc>
      </w:tr>
      <w:tr w14:paraId="08238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shd w:val="clear" w:color="auto" w:fill="auto"/>
            <w:vAlign w:val="center"/>
          </w:tcPr>
          <w:p w14:paraId="2D7E2D2D">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三、系统测试准出标准：同时满足以下条件，系统测试完成</w:t>
            </w:r>
          </w:p>
        </w:tc>
      </w:tr>
      <w:tr w14:paraId="72AD5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0F8C62ED">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795" w:type="dxa"/>
            <w:shd w:val="clear" w:color="auto" w:fill="auto"/>
            <w:vAlign w:val="center"/>
          </w:tcPr>
          <w:p w14:paraId="092C7C25">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准出条件</w:t>
            </w:r>
          </w:p>
        </w:tc>
      </w:tr>
      <w:tr w14:paraId="346B8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shd w:val="clear" w:color="auto" w:fill="auto"/>
            <w:vAlign w:val="center"/>
          </w:tcPr>
          <w:p w14:paraId="54820913">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795" w:type="dxa"/>
            <w:shd w:val="clear" w:color="auto" w:fill="auto"/>
            <w:vAlign w:val="center"/>
          </w:tcPr>
          <w:p w14:paraId="4E7FB03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测试需求覆盖率达到100%，测试案例覆盖度100%</w:t>
            </w:r>
          </w:p>
        </w:tc>
      </w:tr>
      <w:tr w14:paraId="4F29A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78" w:type="dxa"/>
            <w:shd w:val="clear" w:color="auto" w:fill="auto"/>
            <w:vAlign w:val="center"/>
          </w:tcPr>
          <w:p w14:paraId="5D6FE43E">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795" w:type="dxa"/>
            <w:shd w:val="clear" w:color="auto" w:fill="auto"/>
            <w:vAlign w:val="center"/>
          </w:tcPr>
          <w:p w14:paraId="6D66572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测试案例执行率达到100%，测试通过率95%</w:t>
            </w:r>
          </w:p>
        </w:tc>
      </w:tr>
      <w:tr w14:paraId="714ED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shd w:val="clear" w:color="auto" w:fill="auto"/>
            <w:vAlign w:val="center"/>
          </w:tcPr>
          <w:p w14:paraId="0A034A91">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3</w:t>
            </w:r>
          </w:p>
        </w:tc>
        <w:tc>
          <w:tcPr>
            <w:tcW w:w="6795" w:type="dxa"/>
            <w:shd w:val="clear" w:color="auto" w:fill="auto"/>
            <w:vAlign w:val="center"/>
          </w:tcPr>
          <w:p w14:paraId="21C7BDB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缺陷修复率达到95%</w:t>
            </w:r>
          </w:p>
        </w:tc>
      </w:tr>
      <w:tr w14:paraId="57E1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118416C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4</w:t>
            </w:r>
          </w:p>
        </w:tc>
        <w:tc>
          <w:tcPr>
            <w:tcW w:w="6795" w:type="dxa"/>
            <w:shd w:val="clear" w:color="auto" w:fill="auto"/>
            <w:vAlign w:val="center"/>
          </w:tcPr>
          <w:p w14:paraId="38EAEC1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致命缺陷、严重缺陷解决率达到100%</w:t>
            </w:r>
          </w:p>
        </w:tc>
      </w:tr>
      <w:tr w14:paraId="6FD9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4C847B9E">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5</w:t>
            </w:r>
          </w:p>
        </w:tc>
        <w:tc>
          <w:tcPr>
            <w:tcW w:w="6795" w:type="dxa"/>
            <w:shd w:val="clear" w:color="auto" w:fill="auto"/>
            <w:vAlign w:val="center"/>
          </w:tcPr>
          <w:p w14:paraId="22AFD3C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一般缺陷、微小缺陷解决率达到90%以上，建议缺陷解决率达到80%以上，且未解决缺陷得项目组认可</w:t>
            </w:r>
          </w:p>
        </w:tc>
      </w:tr>
      <w:tr w14:paraId="61BFA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07235CA5">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6</w:t>
            </w:r>
          </w:p>
        </w:tc>
        <w:tc>
          <w:tcPr>
            <w:tcW w:w="6795" w:type="dxa"/>
            <w:shd w:val="clear" w:color="auto" w:fill="auto"/>
            <w:vAlign w:val="center"/>
          </w:tcPr>
          <w:p w14:paraId="5652338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提交系统测试报告及通过评审</w:t>
            </w:r>
          </w:p>
        </w:tc>
      </w:tr>
      <w:tr w14:paraId="685AD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shd w:val="clear" w:color="auto" w:fill="auto"/>
            <w:vAlign w:val="center"/>
          </w:tcPr>
          <w:p w14:paraId="692DF014">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四、测试指标公式附录</w:t>
            </w:r>
          </w:p>
        </w:tc>
      </w:tr>
      <w:tr w14:paraId="5B1D4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64F54F73">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TPI</w:t>
            </w:r>
          </w:p>
        </w:tc>
        <w:tc>
          <w:tcPr>
            <w:tcW w:w="6795" w:type="dxa"/>
            <w:shd w:val="clear" w:color="auto" w:fill="auto"/>
            <w:vAlign w:val="center"/>
          </w:tcPr>
          <w:p w14:paraId="10934FAB">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公式</w:t>
            </w:r>
          </w:p>
        </w:tc>
      </w:tr>
      <w:tr w14:paraId="0C194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shd w:val="clear" w:color="auto" w:fill="auto"/>
            <w:vAlign w:val="center"/>
          </w:tcPr>
          <w:p w14:paraId="480B65A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w:t>
            </w:r>
          </w:p>
        </w:tc>
        <w:tc>
          <w:tcPr>
            <w:tcW w:w="6795" w:type="dxa"/>
            <w:shd w:val="clear" w:color="auto" w:fill="auto"/>
            <w:vAlign w:val="center"/>
          </w:tcPr>
          <w:p w14:paraId="7DADBF7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测试需求覆盖点/软件需求功能点</w:t>
            </w:r>
          </w:p>
        </w:tc>
      </w:tr>
      <w:tr w14:paraId="3F8D9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5F8427B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有效案例总数</w:t>
            </w:r>
          </w:p>
        </w:tc>
        <w:tc>
          <w:tcPr>
            <w:tcW w:w="6795" w:type="dxa"/>
            <w:shd w:val="clear" w:color="auto" w:fill="auto"/>
            <w:vAlign w:val="center"/>
          </w:tcPr>
          <w:p w14:paraId="112BA0A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案例总数-无效案例总数</w:t>
            </w:r>
          </w:p>
        </w:tc>
      </w:tr>
      <w:tr w14:paraId="50D76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shd w:val="clear" w:color="auto" w:fill="auto"/>
            <w:vAlign w:val="center"/>
          </w:tcPr>
          <w:p w14:paraId="13BD941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w:t>
            </w:r>
          </w:p>
        </w:tc>
        <w:tc>
          <w:tcPr>
            <w:tcW w:w="6795" w:type="dxa"/>
            <w:shd w:val="clear" w:color="auto" w:fill="auto"/>
            <w:vAlign w:val="center"/>
          </w:tcPr>
          <w:p w14:paraId="3ECF376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缺陷总数-无效缺陷总数-伪缺陷总数</w:t>
            </w:r>
          </w:p>
        </w:tc>
      </w:tr>
      <w:tr w14:paraId="6235A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594CC22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w:t>
            </w:r>
          </w:p>
        </w:tc>
        <w:tc>
          <w:tcPr>
            <w:tcW w:w="6795" w:type="dxa"/>
            <w:shd w:val="clear" w:color="auto" w:fill="auto"/>
            <w:vAlign w:val="center"/>
          </w:tcPr>
          <w:p w14:paraId="68EC033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严重及致命缺陷总数-无效的严重及致命缺陷总数</w:t>
            </w:r>
          </w:p>
        </w:tc>
      </w:tr>
      <w:tr w14:paraId="295D6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6475977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案例执行率</w:t>
            </w:r>
          </w:p>
        </w:tc>
        <w:tc>
          <w:tcPr>
            <w:tcW w:w="6795" w:type="dxa"/>
            <w:shd w:val="clear" w:color="auto" w:fill="auto"/>
            <w:vAlign w:val="center"/>
          </w:tcPr>
          <w:p w14:paraId="177A750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每轮执行案例数/每轮计划执行的案例个数</w:t>
            </w:r>
          </w:p>
        </w:tc>
      </w:tr>
      <w:tr w14:paraId="792D6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shd w:val="clear" w:color="auto" w:fill="auto"/>
            <w:vAlign w:val="center"/>
          </w:tcPr>
          <w:p w14:paraId="6CD6CE00">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需求稳定指数</w:t>
            </w:r>
          </w:p>
        </w:tc>
        <w:tc>
          <w:tcPr>
            <w:tcW w:w="6795" w:type="dxa"/>
            <w:shd w:val="clear" w:color="auto" w:fill="auto"/>
            <w:vAlign w:val="center"/>
          </w:tcPr>
          <w:p w14:paraId="64BA7C9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（测试需求分析中规则数量-业务需求因素引起变更的测试需求规则数-开发因素引起变更的测试需求规则数）/测试需求分析中规则数量</w:t>
            </w:r>
          </w:p>
        </w:tc>
      </w:tr>
      <w:tr w14:paraId="0F0D5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center"/>
          </w:tcPr>
          <w:p w14:paraId="18F637C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案例执行通过率</w:t>
            </w:r>
          </w:p>
        </w:tc>
        <w:tc>
          <w:tcPr>
            <w:tcW w:w="6795" w:type="dxa"/>
            <w:shd w:val="clear" w:color="auto" w:fill="auto"/>
            <w:vAlign w:val="center"/>
          </w:tcPr>
          <w:p w14:paraId="6EA3CFE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每轮执行通过的案例个数/每轮执行案例数</w:t>
            </w:r>
          </w:p>
        </w:tc>
      </w:tr>
      <w:tr w14:paraId="135F3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bottom"/>
          </w:tcPr>
          <w:p w14:paraId="54DAB57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缺陷的案例命中率</w:t>
            </w:r>
          </w:p>
        </w:tc>
        <w:tc>
          <w:tcPr>
            <w:tcW w:w="6795" w:type="dxa"/>
            <w:shd w:val="clear" w:color="auto" w:fill="auto"/>
            <w:vAlign w:val="bottom"/>
          </w:tcPr>
          <w:p w14:paraId="03A6604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有效缺陷总数/有效案例总数</w:t>
            </w:r>
          </w:p>
        </w:tc>
      </w:tr>
      <w:tr w14:paraId="2CEF9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bottom"/>
          </w:tcPr>
          <w:p w14:paraId="4D8FD4E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严重以上缺陷占比</w:t>
            </w:r>
          </w:p>
        </w:tc>
        <w:tc>
          <w:tcPr>
            <w:tcW w:w="6795" w:type="dxa"/>
            <w:shd w:val="clear" w:color="auto" w:fill="auto"/>
            <w:vAlign w:val="bottom"/>
          </w:tcPr>
          <w:p w14:paraId="0413F83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严重以上缺陷总数/有效缺陷总数</w:t>
            </w:r>
          </w:p>
        </w:tc>
      </w:tr>
      <w:tr w14:paraId="2C451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shd w:val="clear" w:color="auto" w:fill="auto"/>
            <w:vAlign w:val="bottom"/>
          </w:tcPr>
          <w:p w14:paraId="44E278F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缺陷解决率</w:t>
            </w:r>
          </w:p>
        </w:tc>
        <w:tc>
          <w:tcPr>
            <w:tcW w:w="6795" w:type="dxa"/>
            <w:shd w:val="clear" w:color="auto" w:fill="auto"/>
            <w:vAlign w:val="bottom"/>
          </w:tcPr>
          <w:p w14:paraId="0BC67FA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关闭缺陷总数/有效缺陷总数</w:t>
            </w:r>
          </w:p>
        </w:tc>
      </w:tr>
    </w:tbl>
    <w:p w14:paraId="51EC2180">
      <w:pPr>
        <w:rPr>
          <w:rFonts w:ascii="Times New Roman" w:hAnsi="Times New Roman"/>
          <w:color w:val="auto"/>
          <w:highlight w:val="none"/>
        </w:rPr>
      </w:pPr>
    </w:p>
    <w:p w14:paraId="625DA5F5">
      <w:pPr>
        <w:pStyle w:val="3"/>
        <w:numPr>
          <w:ilvl w:val="0"/>
          <w:numId w:val="0"/>
        </w:numPr>
        <w:ind w:left="360" w:leftChars="0" w:hanging="360" w:firstLineChars="0"/>
        <w:rPr>
          <w:rFonts w:ascii="Times New Roman" w:hAnsi="Times New Roman"/>
          <w:color w:val="auto"/>
          <w:highlight w:val="none"/>
        </w:rPr>
      </w:pPr>
      <w:bookmarkStart w:id="160" w:name="_Toc15494"/>
      <w:bookmarkStart w:id="161" w:name="_Toc30694"/>
      <w:r>
        <w:rPr>
          <w:rFonts w:hint="default" w:ascii="Times New Roman" w:hAnsi="Times New Roman" w:eastAsia="宋体" w:cs="Times New Roman"/>
          <w:b/>
          <w:bCs/>
          <w:snapToGrid w:val="0"/>
          <w:color w:val="auto"/>
          <w:kern w:val="2"/>
          <w:sz w:val="24"/>
          <w:szCs w:val="24"/>
          <w:highlight w:val="none"/>
          <w:lang w:val="en-US" w:eastAsia="zh-CN" w:bidi="ar-SA"/>
        </w:rPr>
        <w:t>4.</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s="Cambria"/>
          <w:bCs w:val="0"/>
          <w:color w:val="auto"/>
          <w:highlight w:val="none"/>
        </w:rPr>
        <w:t>人员要求</w:t>
      </w:r>
      <w:bookmarkEnd w:id="160"/>
      <w:bookmarkEnd w:id="161"/>
    </w:p>
    <w:p w14:paraId="62790BD6">
      <w:pPr>
        <w:snapToGrid w:val="0"/>
        <w:spacing w:line="360" w:lineRule="auto"/>
        <w:rPr>
          <w:rFonts w:ascii="Times New Roman" w:hAnsi="Times New Roman" w:cs="Cambria"/>
          <w:b/>
          <w:color w:val="auto"/>
          <w:szCs w:val="24"/>
          <w:highlight w:val="none"/>
        </w:rPr>
      </w:pPr>
      <w:bookmarkStart w:id="162" w:name="_Toc89675142"/>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参选</w:t>
      </w:r>
      <w:r>
        <w:rPr>
          <w:rFonts w:hint="eastAsia" w:ascii="Times New Roman" w:hAnsi="Times New Roman"/>
          <w:color w:val="auto"/>
          <w:highlight w:val="none"/>
        </w:rPr>
        <w:t>人应承诺未征得我行书面同意的情况下不得更换项目成员。</w:t>
      </w:r>
      <w:bookmarkEnd w:id="162"/>
    </w:p>
    <w:p w14:paraId="5442EA30">
      <w:pPr>
        <w:snapToGrid w:val="0"/>
        <w:spacing w:line="360" w:lineRule="auto"/>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w:t>
      </w:r>
      <w:r>
        <w:rPr>
          <w:rFonts w:hint="eastAsia" w:ascii="Times New Roman" w:hAnsi="Times New Roman"/>
          <w:snapToGrid w:val="0"/>
          <w:color w:val="auto"/>
          <w:kern w:val="0"/>
          <w:szCs w:val="28"/>
          <w:highlight w:val="none"/>
        </w:rPr>
        <w:t>所有成员必须为</w:t>
      </w:r>
      <w:r>
        <w:rPr>
          <w:rFonts w:hint="eastAsia" w:ascii="Times New Roman" w:hAnsi="Times New Roman"/>
          <w:color w:val="auto"/>
          <w:highlight w:val="none"/>
        </w:rPr>
        <w:t>参选人</w:t>
      </w:r>
      <w:r>
        <w:rPr>
          <w:rFonts w:hint="eastAsia" w:ascii="Times New Roman" w:hAnsi="Times New Roman"/>
          <w:snapToGrid w:val="0"/>
          <w:color w:val="auto"/>
          <w:kern w:val="0"/>
          <w:szCs w:val="28"/>
          <w:highlight w:val="none"/>
        </w:rPr>
        <w:t>单位员工，</w:t>
      </w:r>
      <w:r>
        <w:rPr>
          <w:rFonts w:hint="eastAsia" w:ascii="Times New Roman" w:hAnsi="Times New Roman"/>
          <w:b/>
          <w:color w:val="auto"/>
          <w:highlight w:val="none"/>
        </w:rPr>
        <w:t>参选人</w:t>
      </w:r>
      <w:r>
        <w:rPr>
          <w:rFonts w:hint="eastAsia" w:ascii="Times New Roman" w:hAnsi="Times New Roman"/>
          <w:b/>
          <w:snapToGrid w:val="0"/>
          <w:color w:val="auto"/>
          <w:kern w:val="0"/>
          <w:szCs w:val="28"/>
          <w:highlight w:val="none"/>
        </w:rPr>
        <w:t>项目组成员须提供近半年公司为其缴纳社保的证明材料，不得外包其他单位员工。</w:t>
      </w:r>
      <w:r>
        <w:rPr>
          <w:rFonts w:hint="eastAsia" w:ascii="Times New Roman" w:hAnsi="Times New Roman" w:cs="Times New Roman"/>
          <w:b/>
          <w:snapToGrid w:val="0"/>
          <w:color w:val="auto"/>
          <w:kern w:val="0"/>
          <w:szCs w:val="28"/>
          <w:highlight w:val="none"/>
        </w:rPr>
        <w:t>【</w:t>
      </w:r>
      <w:r>
        <w:rPr>
          <w:rFonts w:hint="eastAsia" w:ascii="Times New Roman" w:hAnsi="Times New Roman" w:cs="Times New Roman"/>
          <w:bCs/>
          <w:snapToGrid w:val="0"/>
          <w:color w:val="auto"/>
          <w:kern w:val="0"/>
          <w:szCs w:val="28"/>
          <w:highlight w:val="none"/>
        </w:rPr>
        <w:t>提供</w:t>
      </w:r>
      <w:r>
        <w:rPr>
          <w:rFonts w:hint="eastAsia" w:ascii="Times New Roman" w:hAnsi="Times New Roman"/>
          <w:color w:val="auto"/>
          <w:highlight w:val="none"/>
        </w:rPr>
        <w:t>近半年公司为项目组成员缴纳社保的证明材料</w:t>
      </w:r>
      <w:r>
        <w:rPr>
          <w:rFonts w:hint="eastAsia" w:ascii="Times New Roman" w:hAnsi="Times New Roman" w:cs="Times New Roman"/>
          <w:b/>
          <w:snapToGrid w:val="0"/>
          <w:color w:val="auto"/>
          <w:kern w:val="0"/>
          <w:szCs w:val="28"/>
          <w:highlight w:val="none"/>
        </w:rPr>
        <w:t>】</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5D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610DA33">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0C93C895">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主导过</w:t>
            </w:r>
            <w:r>
              <w:rPr>
                <w:rFonts w:ascii="Times New Roman" w:hAnsi="Times New Roman" w:cs="Cambria"/>
                <w:color w:val="auto"/>
                <w:kern w:val="0"/>
                <w:highlight w:val="none"/>
              </w:rPr>
              <w:t>至少两</w:t>
            </w:r>
            <w:r>
              <w:rPr>
                <w:rFonts w:hint="eastAsia" w:ascii="Times New Roman" w:hAnsi="Times New Roman" w:cs="Cambria"/>
                <w:color w:val="auto"/>
                <w:kern w:val="0"/>
                <w:highlight w:val="none"/>
              </w:rPr>
              <w:t>个以上</w:t>
            </w:r>
            <w:r>
              <w:rPr>
                <w:rFonts w:ascii="Times New Roman" w:hAnsi="Times New Roman" w:cs="Cambria"/>
                <w:color w:val="auto"/>
                <w:kern w:val="0"/>
                <w:highlight w:val="none"/>
              </w:rPr>
              <w:t>全国性股份制商业银行或城商行或农商行同类</w:t>
            </w:r>
            <w:r>
              <w:rPr>
                <w:rFonts w:hint="eastAsia" w:ascii="Times New Roman" w:hAnsi="Times New Roman" w:cs="Cambria"/>
                <w:color w:val="auto"/>
                <w:kern w:val="0"/>
                <w:highlight w:val="none"/>
              </w:rPr>
              <w:t>项目和</w:t>
            </w:r>
            <w:r>
              <w:rPr>
                <w:rFonts w:ascii="Times New Roman" w:hAnsi="Times New Roman" w:cs="Cambria"/>
                <w:color w:val="auto"/>
                <w:kern w:val="0"/>
                <w:highlight w:val="none"/>
              </w:rPr>
              <w:t>至少</w:t>
            </w:r>
            <w:r>
              <w:rPr>
                <w:rFonts w:hint="eastAsia" w:ascii="Times New Roman" w:hAnsi="Times New Roman" w:cs="Cambria"/>
                <w:color w:val="auto"/>
                <w:kern w:val="0"/>
                <w:highlight w:val="none"/>
              </w:rPr>
              <w:t>具有</w:t>
            </w:r>
            <w:r>
              <w:rPr>
                <w:rFonts w:ascii="Times New Roman" w:hAnsi="Times New Roman" w:cs="Cambria"/>
                <w:color w:val="auto"/>
                <w:kern w:val="0"/>
                <w:highlight w:val="none"/>
              </w:rPr>
              <w:t>三</w:t>
            </w:r>
            <w:r>
              <w:rPr>
                <w:rFonts w:hint="eastAsia" w:ascii="Times New Roman" w:hAnsi="Times New Roman" w:cs="Cambria"/>
                <w:color w:val="auto"/>
                <w:kern w:val="0"/>
                <w:highlight w:val="none"/>
              </w:rPr>
              <w:t>年以上项目经理工作经验</w:t>
            </w:r>
            <w:r>
              <w:rPr>
                <w:rFonts w:hint="eastAsia" w:ascii="Times New Roman" w:hAnsi="Times New Roman"/>
                <w:color w:val="auto"/>
                <w:highlight w:val="none"/>
              </w:rPr>
              <w:t>，具有独当一面的技术能力；直接对项目的实施负责，通过对工期、成本、质量的控制（包括总体制定、执行、跟踪、调整相关计划，协调项目可用资源），确保项目按要求完成。</w:t>
            </w:r>
          </w:p>
        </w:tc>
      </w:tr>
      <w:tr w14:paraId="39EF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F3EE9BD">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45DDEEB0">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主导完成过</w:t>
            </w:r>
            <w:r>
              <w:rPr>
                <w:rFonts w:ascii="Times New Roman" w:hAnsi="Times New Roman" w:cs="Cambria"/>
                <w:color w:val="auto"/>
                <w:kern w:val="0"/>
                <w:highlight w:val="none"/>
              </w:rPr>
              <w:t>至少两</w:t>
            </w:r>
            <w:r>
              <w:rPr>
                <w:rFonts w:hint="eastAsia" w:ascii="Times New Roman" w:hAnsi="Times New Roman" w:cs="Cambria"/>
                <w:color w:val="auto"/>
                <w:kern w:val="0"/>
                <w:highlight w:val="none"/>
              </w:rPr>
              <w:t>个以上</w:t>
            </w:r>
            <w:r>
              <w:rPr>
                <w:rFonts w:ascii="Times New Roman" w:hAnsi="Times New Roman" w:cs="Cambria"/>
                <w:color w:val="auto"/>
                <w:kern w:val="0"/>
                <w:highlight w:val="none"/>
              </w:rPr>
              <w:t>全国性股份制商业银行或城商行或农商行同类</w:t>
            </w:r>
            <w:r>
              <w:rPr>
                <w:rFonts w:hint="eastAsia" w:ascii="Times New Roman" w:hAnsi="Times New Roman" w:cs="Cambria"/>
                <w:color w:val="auto"/>
                <w:kern w:val="0"/>
                <w:highlight w:val="none"/>
              </w:rPr>
              <w:t>项目的需求分析、设计，</w:t>
            </w:r>
            <w:r>
              <w:rPr>
                <w:rFonts w:hint="eastAsia" w:ascii="Times New Roman" w:hAnsi="Times New Roman"/>
                <w:color w:val="auto"/>
                <w:highlight w:val="none"/>
              </w:rPr>
              <w:t>熟悉银行业务流程和相关法律法规，能够辅助比选人完成业务流程梳理、整合以及创新，善于表达，具有良好的沟通技巧和能力。</w:t>
            </w:r>
          </w:p>
        </w:tc>
      </w:tr>
      <w:tr w14:paraId="0505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295351B">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1A26F197">
            <w:pPr>
              <w:snapToGrid w:val="0"/>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主导过</w:t>
            </w:r>
            <w:r>
              <w:rPr>
                <w:rFonts w:ascii="Times New Roman" w:hAnsi="Times New Roman" w:cs="Cambria"/>
                <w:color w:val="auto"/>
                <w:kern w:val="0"/>
                <w:highlight w:val="none"/>
              </w:rPr>
              <w:t>至少两</w:t>
            </w:r>
            <w:r>
              <w:rPr>
                <w:rFonts w:hint="eastAsia" w:ascii="Times New Roman" w:hAnsi="Times New Roman" w:cs="Cambria"/>
                <w:color w:val="auto"/>
                <w:kern w:val="0"/>
                <w:highlight w:val="none"/>
              </w:rPr>
              <w:t>个以上</w:t>
            </w:r>
            <w:r>
              <w:rPr>
                <w:rFonts w:ascii="Times New Roman" w:hAnsi="Times New Roman" w:cs="Cambria"/>
                <w:color w:val="auto"/>
                <w:kern w:val="0"/>
                <w:highlight w:val="none"/>
              </w:rPr>
              <w:t>全国性股份制商业银行或城商行或农商行同类</w:t>
            </w:r>
            <w:r>
              <w:rPr>
                <w:rFonts w:hint="eastAsia" w:ascii="Times New Roman" w:hAnsi="Times New Roman" w:cs="Cambria"/>
                <w:color w:val="auto"/>
                <w:kern w:val="0"/>
                <w:highlight w:val="none"/>
              </w:rPr>
              <w:t>项目和</w:t>
            </w:r>
            <w:r>
              <w:rPr>
                <w:rFonts w:ascii="Times New Roman" w:hAnsi="Times New Roman" w:cs="Cambria"/>
                <w:color w:val="auto"/>
                <w:kern w:val="0"/>
                <w:highlight w:val="none"/>
              </w:rPr>
              <w:t>五</w:t>
            </w:r>
            <w:r>
              <w:rPr>
                <w:rFonts w:hint="eastAsia" w:ascii="Times New Roman" w:hAnsi="Times New Roman" w:cs="Cambria"/>
                <w:color w:val="auto"/>
                <w:kern w:val="0"/>
                <w:highlight w:val="none"/>
              </w:rPr>
              <w:t>年以上相关工作经历</w:t>
            </w:r>
            <w:r>
              <w:rPr>
                <w:rFonts w:hint="eastAsia" w:ascii="Times New Roman" w:hAnsi="Times New Roman"/>
                <w:color w:val="auto"/>
                <w:highlight w:val="none"/>
              </w:rPr>
              <w:t>，并且熟悉SOA、分布式架构以及主流开发框架。</w:t>
            </w:r>
          </w:p>
        </w:tc>
      </w:tr>
      <w:tr w14:paraId="3849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36180ED">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25F90825">
            <w:pPr>
              <w:snapToGrid w:val="0"/>
              <w:spacing w:line="240" w:lineRule="auto"/>
              <w:ind w:firstLine="0" w:firstLineChars="0"/>
              <w:rPr>
                <w:rFonts w:ascii="Times New Roman" w:hAnsi="Times New Roman"/>
                <w:color w:val="auto"/>
                <w:highlight w:val="none"/>
              </w:rPr>
            </w:pPr>
            <w:r>
              <w:rPr>
                <w:rFonts w:ascii="Times New Roman" w:hAnsi="Times New Roman"/>
                <w:color w:val="auto"/>
                <w:highlight w:val="none"/>
              </w:rPr>
              <w:t>具有两</w:t>
            </w:r>
            <w:r>
              <w:rPr>
                <w:rFonts w:hint="eastAsia" w:ascii="Times New Roman" w:hAnsi="Times New Roman"/>
                <w:color w:val="auto"/>
                <w:highlight w:val="none"/>
              </w:rPr>
              <w:t>年</w:t>
            </w:r>
            <w:r>
              <w:rPr>
                <w:rFonts w:ascii="Times New Roman" w:hAnsi="Times New Roman"/>
                <w:color w:val="auto"/>
                <w:highlight w:val="none"/>
              </w:rPr>
              <w:t>以上</w:t>
            </w:r>
            <w:r>
              <w:rPr>
                <w:rFonts w:hint="eastAsia" w:ascii="Times New Roman" w:hAnsi="Times New Roman"/>
                <w:color w:val="auto"/>
                <w:highlight w:val="none"/>
              </w:rPr>
              <w:t>开发经验，开发组长须有至少五年开发经验，且均有银行相关系统的项目实施经历。</w:t>
            </w:r>
          </w:p>
        </w:tc>
      </w:tr>
      <w:tr w14:paraId="6A3F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25E4FA1">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126FB0F9">
            <w:pPr>
              <w:snapToGrid w:val="0"/>
              <w:spacing w:line="240" w:lineRule="auto"/>
              <w:ind w:firstLine="0" w:firstLineChars="0"/>
              <w:rPr>
                <w:rFonts w:ascii="Times New Roman" w:hAnsi="Times New Roman"/>
                <w:snapToGrid w:val="0"/>
                <w:color w:val="auto"/>
                <w:kern w:val="0"/>
                <w:highlight w:val="none"/>
              </w:rPr>
            </w:pPr>
            <w:r>
              <w:rPr>
                <w:rFonts w:hint="eastAsia" w:ascii="Times New Roman" w:hAnsi="Times New Roman"/>
                <w:color w:val="auto"/>
                <w:highlight w:val="none"/>
              </w:rPr>
              <w:t>具有两年以上银行相关系统测试经验，</w:t>
            </w:r>
            <w:r>
              <w:rPr>
                <w:rFonts w:hint="eastAsia" w:ascii="Times New Roman" w:hAnsi="Times New Roman" w:cs="Cambria"/>
                <w:color w:val="auto"/>
                <w:kern w:val="0"/>
                <w:highlight w:val="none"/>
              </w:rPr>
              <w:t>项目测试经理主导完成过</w:t>
            </w:r>
            <w:r>
              <w:rPr>
                <w:rFonts w:ascii="Times New Roman" w:hAnsi="Times New Roman" w:cs="Cambria"/>
                <w:color w:val="auto"/>
                <w:kern w:val="0"/>
                <w:highlight w:val="none"/>
              </w:rPr>
              <w:t>两</w:t>
            </w:r>
            <w:r>
              <w:rPr>
                <w:rFonts w:hint="eastAsia" w:ascii="Times New Roman" w:hAnsi="Times New Roman" w:cs="Cambria"/>
                <w:color w:val="auto"/>
                <w:kern w:val="0"/>
                <w:highlight w:val="none"/>
              </w:rPr>
              <w:t>个以上同类项目的系统测试工作</w:t>
            </w:r>
            <w:r>
              <w:rPr>
                <w:rFonts w:hint="eastAsia" w:ascii="Times New Roman" w:hAnsi="Times New Roman"/>
                <w:color w:val="auto"/>
                <w:highlight w:val="none"/>
              </w:rPr>
              <w:t>，且具有三年以上银行相关系统测试经验。</w:t>
            </w:r>
          </w:p>
        </w:tc>
      </w:tr>
    </w:tbl>
    <w:p w14:paraId="79119D0A">
      <w:pPr>
        <w:spacing w:line="360" w:lineRule="auto"/>
        <w:rPr>
          <w:rFonts w:ascii="Times New Roman" w:hAnsi="Times New Roman"/>
          <w:snapToGrid w:val="0"/>
          <w:color w:val="auto"/>
          <w:kern w:val="0"/>
          <w:highlight w:val="none"/>
        </w:rPr>
      </w:pPr>
      <w:r>
        <w:rPr>
          <w:rFonts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snapToGrid w:val="0"/>
          <w:color w:val="auto"/>
          <w:kern w:val="0"/>
          <w:highlight w:val="none"/>
        </w:rPr>
        <w:t>需提供</w:t>
      </w:r>
      <w:r>
        <w:rPr>
          <w:rFonts w:ascii="Times New Roman" w:hAnsi="Times New Roman"/>
          <w:snapToGrid w:val="0"/>
          <w:color w:val="auto"/>
          <w:kern w:val="0"/>
          <w:highlight w:val="none"/>
        </w:rPr>
        <w:t>加盖公章的</w:t>
      </w:r>
      <w:r>
        <w:rPr>
          <w:rFonts w:hint="eastAsia" w:ascii="Times New Roman" w:hAnsi="Times New Roman"/>
          <w:snapToGrid w:val="0"/>
          <w:color w:val="auto"/>
          <w:kern w:val="0"/>
          <w:highlight w:val="none"/>
        </w:rPr>
        <w:t>人员简历信息，同时，比选人将对所提供的人员进行审核，达不到我行要求的将要求替换。</w:t>
      </w:r>
      <w:r>
        <w:rPr>
          <w:rFonts w:ascii="Times New Roman" w:hAnsi="Times New Roman"/>
          <w:snapToGrid w:val="0"/>
          <w:color w:val="auto"/>
          <w:kern w:val="0"/>
          <w:highlight w:val="none"/>
        </w:rPr>
        <w:t>最终审核通过的项目组成员</w:t>
      </w:r>
      <w:r>
        <w:rPr>
          <w:rFonts w:hint="eastAsia" w:ascii="Times New Roman" w:hAnsi="Times New Roman"/>
          <w:snapToGrid w:val="0"/>
          <w:color w:val="auto"/>
          <w:kern w:val="0"/>
          <w:highlight w:val="none"/>
        </w:rPr>
        <w:t>在合同签订时不得进行更换。</w:t>
      </w:r>
      <w:r>
        <w:rPr>
          <w:rFonts w:hint="eastAsia" w:ascii="Times New Roman" w:hAnsi="Times New Roman" w:cs="Times New Roman"/>
          <w:snapToGrid w:val="0"/>
          <w:color w:val="auto"/>
          <w:kern w:val="0"/>
          <w:highlight w:val="none"/>
        </w:rPr>
        <w:t>【提供</w:t>
      </w:r>
      <w:r>
        <w:rPr>
          <w:rFonts w:ascii="Times New Roman" w:hAnsi="Times New Roman" w:cs="Times New Roman"/>
          <w:snapToGrid w:val="0"/>
          <w:color w:val="auto"/>
          <w:kern w:val="0"/>
          <w:highlight w:val="none"/>
        </w:rPr>
        <w:t>项目组成员简历信息</w:t>
      </w:r>
      <w:r>
        <w:rPr>
          <w:rFonts w:hint="eastAsia" w:ascii="Times New Roman" w:hAnsi="Times New Roman" w:cs="Times New Roman"/>
          <w:snapToGrid w:val="0"/>
          <w:color w:val="auto"/>
          <w:kern w:val="0"/>
          <w:highlight w:val="none"/>
        </w:rPr>
        <w:t>】</w:t>
      </w:r>
    </w:p>
    <w:p w14:paraId="49124D55">
      <w:pPr>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szCs w:val="24"/>
          <w:highlight w:val="none"/>
        </w:rPr>
        <w:t>项目组成员若有违约违规行为将由参选人承担责任。</w:t>
      </w:r>
    </w:p>
    <w:p w14:paraId="66826B63">
      <w:pPr>
        <w:pStyle w:val="3"/>
        <w:numPr>
          <w:ilvl w:val="0"/>
          <w:numId w:val="0"/>
        </w:numPr>
        <w:ind w:left="360" w:leftChars="0" w:hanging="360" w:firstLineChars="0"/>
        <w:rPr>
          <w:rFonts w:ascii="Times New Roman" w:hAnsi="Times New Roman"/>
          <w:color w:val="auto"/>
          <w:highlight w:val="none"/>
        </w:rPr>
      </w:pPr>
      <w:bookmarkStart w:id="163" w:name="_Toc27427"/>
      <w:bookmarkStart w:id="164" w:name="_Toc14229"/>
      <w:bookmarkStart w:id="165" w:name="_Toc15059418"/>
      <w:bookmarkStart w:id="166" w:name="_Toc89675144"/>
      <w:r>
        <w:rPr>
          <w:rFonts w:hint="eastAsia" w:ascii="Times New Roman" w:hAnsi="Times New Roman" w:cs="Times New Roman"/>
          <w:b/>
          <w:bCs/>
          <w:snapToGrid w:val="0"/>
          <w:color w:val="auto"/>
          <w:kern w:val="2"/>
          <w:sz w:val="24"/>
          <w:szCs w:val="24"/>
          <w:highlight w:val="none"/>
          <w:lang w:val="en-US" w:eastAsia="zh-CN" w:bidi="ar-SA"/>
        </w:rPr>
        <w:t>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项目源代码要求</w:t>
      </w:r>
      <w:bookmarkEnd w:id="163"/>
      <w:bookmarkEnd w:id="164"/>
    </w:p>
    <w:p w14:paraId="658AE13B">
      <w:pPr>
        <w:rPr>
          <w:rFonts w:ascii="Times New Roman" w:hAnsi="Times New Roman"/>
          <w:color w:val="auto"/>
          <w:highlight w:val="none"/>
        </w:rPr>
      </w:pPr>
      <w:r>
        <w:rPr>
          <w:rFonts w:hint="eastAsia" w:ascii="Times New Roman" w:hAnsi="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auto"/>
          <w:highlight w:val="none"/>
        </w:rPr>
        <w:t>归双方共有</w:t>
      </w:r>
      <w:r>
        <w:rPr>
          <w:rFonts w:hint="eastAsia" w:ascii="Times New Roman" w:hAnsi="Times New Roman"/>
          <w:color w:val="auto"/>
          <w:highlight w:val="none"/>
        </w:rPr>
        <w:t>。针对共有部分，比选人拥有在比选人及其分支机构使用及后续开发的权利，参选人拥有在其公司和其他组织范围内使用的权利，但参选人使用时不得侵犯比选人利益。</w:t>
      </w:r>
    </w:p>
    <w:p w14:paraId="0D1FAFC1">
      <w:pPr>
        <w:pStyle w:val="3"/>
        <w:numPr>
          <w:ilvl w:val="0"/>
          <w:numId w:val="0"/>
        </w:numPr>
        <w:ind w:left="360" w:leftChars="0" w:hanging="360" w:firstLineChars="0"/>
        <w:rPr>
          <w:rFonts w:ascii="Times New Roman" w:hAnsi="Times New Roman"/>
          <w:color w:val="auto"/>
          <w:highlight w:val="none"/>
        </w:rPr>
      </w:pPr>
      <w:bookmarkStart w:id="167" w:name="_Toc4818"/>
      <w:bookmarkStart w:id="168" w:name="_Toc15218"/>
      <w:r>
        <w:rPr>
          <w:rFonts w:hint="eastAsia" w:ascii="Times New Roman" w:hAnsi="Times New Roman" w:cs="Times New Roman"/>
          <w:b/>
          <w:bCs/>
          <w:snapToGrid w:val="0"/>
          <w:color w:val="auto"/>
          <w:kern w:val="2"/>
          <w:sz w:val="24"/>
          <w:szCs w:val="24"/>
          <w:highlight w:val="none"/>
          <w:lang w:val="en-US" w:eastAsia="zh-CN" w:bidi="ar-SA"/>
        </w:rPr>
        <w:t>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交付周期、地点</w:t>
      </w:r>
      <w:bookmarkEnd w:id="165"/>
      <w:bookmarkEnd w:id="166"/>
      <w:bookmarkEnd w:id="167"/>
      <w:bookmarkEnd w:id="168"/>
    </w:p>
    <w:p w14:paraId="18FA4407">
      <w:pPr>
        <w:pStyle w:val="4"/>
        <w:rPr>
          <w:rFonts w:ascii="Times New Roman" w:hAnsi="Times New Roman"/>
          <w:color w:val="auto"/>
          <w:highlight w:val="none"/>
        </w:rPr>
      </w:pPr>
      <w:bookmarkStart w:id="169" w:name="_Toc24703"/>
      <w:bookmarkStart w:id="170" w:name="_Toc15085"/>
      <w:bookmarkStart w:id="171" w:name="_Toc15059420"/>
      <w:bookmarkStart w:id="172" w:name="_Toc89675146"/>
      <w:bookmarkStart w:id="173" w:name="_Toc387826347"/>
      <w:bookmarkStart w:id="174" w:name="_Toc432254881"/>
      <w:bookmarkStart w:id="175" w:name="_Toc440628915"/>
      <w:bookmarkStart w:id="176" w:name="_Toc1125"/>
      <w:r>
        <w:rPr>
          <w:rFonts w:hint="eastAsia" w:ascii="Times New Roman" w:hAnsi="Times New Roman"/>
          <w:color w:val="auto"/>
          <w:highlight w:val="none"/>
          <w:lang w:val="en-US" w:eastAsia="zh-CN"/>
        </w:rPr>
        <w:t>6</w:t>
      </w:r>
      <w:r>
        <w:rPr>
          <w:rFonts w:hint="eastAsia" w:ascii="Times New Roman" w:hAnsi="Times New Roman"/>
          <w:color w:val="auto"/>
          <w:highlight w:val="none"/>
        </w:rPr>
        <w:t>.1 交付时间</w:t>
      </w:r>
      <w:bookmarkEnd w:id="169"/>
      <w:bookmarkEnd w:id="170"/>
    </w:p>
    <w:p w14:paraId="7EDF80A3">
      <w:pPr>
        <w:rPr>
          <w:rFonts w:ascii="Times New Roman" w:hAnsi="Times New Roman"/>
          <w:color w:val="auto"/>
          <w:highlight w:val="none"/>
        </w:rPr>
      </w:pPr>
      <w:r>
        <w:rPr>
          <w:rFonts w:hint="eastAsia" w:ascii="Times New Roman" w:hAnsi="Times New Roman"/>
          <w:color w:val="auto"/>
          <w:highlight w:val="none"/>
        </w:rPr>
        <w:t>以项目合同为准。</w:t>
      </w:r>
    </w:p>
    <w:p w14:paraId="79D3BD71">
      <w:pPr>
        <w:pStyle w:val="4"/>
        <w:rPr>
          <w:rFonts w:ascii="Times New Roman" w:hAnsi="Times New Roman"/>
          <w:color w:val="auto"/>
          <w:highlight w:val="none"/>
        </w:rPr>
      </w:pPr>
      <w:bookmarkStart w:id="177" w:name="_Toc28702"/>
      <w:bookmarkStart w:id="178" w:name="_Toc15128"/>
      <w:r>
        <w:rPr>
          <w:rFonts w:hint="eastAsia" w:ascii="Times New Roman" w:hAnsi="Times New Roman"/>
          <w:color w:val="auto"/>
          <w:highlight w:val="none"/>
          <w:lang w:val="en-US" w:eastAsia="zh-CN"/>
        </w:rPr>
        <w:t>6</w:t>
      </w:r>
      <w:r>
        <w:rPr>
          <w:rFonts w:hint="eastAsia" w:ascii="Times New Roman" w:hAnsi="Times New Roman"/>
          <w:color w:val="auto"/>
          <w:highlight w:val="none"/>
        </w:rPr>
        <w:t>.2 实施及交付地点</w:t>
      </w:r>
      <w:bookmarkEnd w:id="177"/>
      <w:bookmarkEnd w:id="178"/>
    </w:p>
    <w:p w14:paraId="5ECC7489">
      <w:pPr>
        <w:rPr>
          <w:rFonts w:ascii="Times New Roman" w:hAnsi="Times New Roman"/>
          <w:color w:val="auto"/>
          <w:highlight w:val="none"/>
        </w:rPr>
      </w:pPr>
      <w:r>
        <w:rPr>
          <w:rFonts w:hint="eastAsia" w:ascii="Times New Roman" w:hAnsi="Times New Roman"/>
          <w:color w:val="auto"/>
          <w:highlight w:val="none"/>
        </w:rPr>
        <w:t>比选人指定地点。</w:t>
      </w:r>
    </w:p>
    <w:p w14:paraId="4147CB90">
      <w:pPr>
        <w:pStyle w:val="3"/>
        <w:numPr>
          <w:ilvl w:val="0"/>
          <w:numId w:val="0"/>
        </w:numPr>
        <w:ind w:left="360" w:leftChars="0" w:hanging="360" w:firstLineChars="0"/>
        <w:rPr>
          <w:rFonts w:ascii="Times New Roman" w:hAnsi="Times New Roman"/>
          <w:color w:val="auto"/>
          <w:highlight w:val="none"/>
        </w:rPr>
      </w:pPr>
      <w:bookmarkStart w:id="179" w:name="_Toc17116"/>
      <w:bookmarkStart w:id="180" w:name="_Toc8014"/>
      <w:r>
        <w:rPr>
          <w:rFonts w:hint="eastAsia" w:ascii="Times New Roman" w:hAnsi="Times New Roman" w:cs="Times New Roman"/>
          <w:b/>
          <w:bCs/>
          <w:snapToGrid w:val="0"/>
          <w:color w:val="auto"/>
          <w:kern w:val="2"/>
          <w:sz w:val="24"/>
          <w:szCs w:val="24"/>
          <w:highlight w:val="none"/>
          <w:lang w:val="en-US" w:eastAsia="zh-CN" w:bidi="ar-SA"/>
        </w:rPr>
        <w:t>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验收测试</w:t>
      </w:r>
      <w:bookmarkEnd w:id="179"/>
      <w:bookmarkEnd w:id="180"/>
    </w:p>
    <w:p w14:paraId="7E123201">
      <w:pPr>
        <w:pStyle w:val="4"/>
        <w:rPr>
          <w:rFonts w:ascii="Times New Roman" w:hAnsi="Times New Roman"/>
          <w:color w:val="auto"/>
          <w:szCs w:val="20"/>
          <w:highlight w:val="none"/>
        </w:rPr>
      </w:pPr>
      <w:bookmarkStart w:id="181" w:name="_Toc6650"/>
      <w:bookmarkStart w:id="182" w:name="_Toc3071"/>
      <w:r>
        <w:rPr>
          <w:rFonts w:hint="eastAsia" w:ascii="Times New Roman" w:hAnsi="Times New Roman"/>
          <w:color w:val="auto"/>
          <w:szCs w:val="20"/>
          <w:highlight w:val="none"/>
          <w:lang w:val="en-US" w:eastAsia="zh-CN"/>
        </w:rPr>
        <w:t>7</w:t>
      </w:r>
      <w:r>
        <w:rPr>
          <w:rFonts w:ascii="Times New Roman" w:hAnsi="Times New Roman"/>
          <w:color w:val="auto"/>
          <w:szCs w:val="20"/>
          <w:highlight w:val="none"/>
        </w:rPr>
        <w:t xml:space="preserve">.1 </w:t>
      </w:r>
      <w:r>
        <w:rPr>
          <w:rFonts w:hint="eastAsia" w:ascii="Times New Roman" w:hAnsi="Times New Roman"/>
          <w:color w:val="auto"/>
          <w:szCs w:val="20"/>
          <w:highlight w:val="none"/>
        </w:rPr>
        <w:t>验收测试的范围</w:t>
      </w:r>
      <w:bookmarkEnd w:id="181"/>
      <w:bookmarkEnd w:id="182"/>
    </w:p>
    <w:p w14:paraId="05A61352">
      <w:pPr>
        <w:rPr>
          <w:rFonts w:ascii="Times New Roman" w:hAnsi="Times New Roman"/>
          <w:color w:val="auto"/>
          <w:highlight w:val="none"/>
        </w:rPr>
      </w:pPr>
      <w:r>
        <w:rPr>
          <w:rFonts w:hint="eastAsia" w:ascii="Times New Roman" w:hAnsi="Times New Roman"/>
          <w:color w:val="auto"/>
          <w:highlight w:val="none"/>
        </w:rPr>
        <w:t>验收测试的范围为项目实施完毕,上线前最终确认的所有需求。</w:t>
      </w:r>
    </w:p>
    <w:p w14:paraId="67D1CC60">
      <w:pPr>
        <w:pStyle w:val="4"/>
        <w:rPr>
          <w:rFonts w:ascii="Times New Roman" w:hAnsi="Times New Roman"/>
          <w:color w:val="auto"/>
          <w:szCs w:val="20"/>
          <w:highlight w:val="none"/>
        </w:rPr>
      </w:pPr>
      <w:bookmarkStart w:id="183" w:name="_Toc29632"/>
      <w:bookmarkStart w:id="184" w:name="_Toc23026"/>
      <w:r>
        <w:rPr>
          <w:rFonts w:hint="eastAsia" w:ascii="Times New Roman" w:hAnsi="Times New Roman"/>
          <w:color w:val="auto"/>
          <w:szCs w:val="20"/>
          <w:highlight w:val="none"/>
          <w:lang w:val="en-US" w:eastAsia="zh-CN"/>
        </w:rPr>
        <w:t>7</w:t>
      </w:r>
      <w:r>
        <w:rPr>
          <w:rFonts w:ascii="Times New Roman" w:hAnsi="Times New Roman"/>
          <w:color w:val="auto"/>
          <w:szCs w:val="20"/>
          <w:highlight w:val="none"/>
        </w:rPr>
        <w:t xml:space="preserve">.2 </w:t>
      </w:r>
      <w:r>
        <w:rPr>
          <w:rFonts w:hint="eastAsia" w:ascii="Times New Roman" w:hAnsi="Times New Roman"/>
          <w:color w:val="auto"/>
          <w:szCs w:val="20"/>
          <w:highlight w:val="none"/>
        </w:rPr>
        <w:t>验收测试的组织</w:t>
      </w:r>
      <w:bookmarkEnd w:id="183"/>
      <w:bookmarkEnd w:id="184"/>
    </w:p>
    <w:p w14:paraId="316F5AEB">
      <w:pPr>
        <w:rPr>
          <w:rFonts w:ascii="Times New Roman" w:hAnsi="Times New Roman"/>
          <w:color w:val="auto"/>
          <w:highlight w:val="none"/>
        </w:rPr>
      </w:pPr>
      <w:r>
        <w:rPr>
          <w:rFonts w:ascii="Times New Roman" w:hAnsi="Times New Roman"/>
          <w:color w:val="auto"/>
          <w:highlight w:val="none"/>
        </w:rPr>
        <w:t>比选人根据验收范围对项目进行验收，验收过程中中选人需根据比选人提出的验收意见对系统进行及时优化，出现严重缺陷或质量问题时，比选人可以决定暂停所有验收工作，直至缺陷和问题得到纠正，造成比选人损失的，由中选人承担。</w:t>
      </w:r>
    </w:p>
    <w:p w14:paraId="2FA23C34">
      <w:pPr>
        <w:pStyle w:val="4"/>
        <w:rPr>
          <w:rFonts w:ascii="Times New Roman" w:hAnsi="Times New Roman"/>
          <w:color w:val="auto"/>
          <w:szCs w:val="20"/>
          <w:highlight w:val="none"/>
        </w:rPr>
      </w:pPr>
      <w:bookmarkStart w:id="185" w:name="_Toc27578"/>
      <w:bookmarkStart w:id="186" w:name="_Toc2557"/>
      <w:r>
        <w:rPr>
          <w:rFonts w:hint="eastAsia" w:ascii="Times New Roman" w:hAnsi="Times New Roman"/>
          <w:color w:val="auto"/>
          <w:szCs w:val="20"/>
          <w:highlight w:val="none"/>
          <w:lang w:val="en-US" w:eastAsia="zh-CN"/>
        </w:rPr>
        <w:t>7</w:t>
      </w:r>
      <w:r>
        <w:rPr>
          <w:rFonts w:ascii="Times New Roman" w:hAnsi="Times New Roman"/>
          <w:color w:val="auto"/>
          <w:szCs w:val="20"/>
          <w:highlight w:val="none"/>
        </w:rPr>
        <w:t xml:space="preserve">.3 </w:t>
      </w:r>
      <w:r>
        <w:rPr>
          <w:rFonts w:hint="eastAsia" w:ascii="Times New Roman" w:hAnsi="Times New Roman"/>
          <w:color w:val="auto"/>
          <w:szCs w:val="20"/>
          <w:highlight w:val="none"/>
        </w:rPr>
        <w:t>验收测试的程序</w:t>
      </w:r>
      <w:bookmarkEnd w:id="185"/>
      <w:bookmarkEnd w:id="186"/>
    </w:p>
    <w:p w14:paraId="3F8C4A0E">
      <w:pPr>
        <w:rPr>
          <w:rFonts w:ascii="Times New Roman" w:hAnsi="Times New Roman"/>
          <w:color w:val="auto"/>
          <w:highlight w:val="none"/>
        </w:rPr>
      </w:pPr>
      <w:r>
        <w:rPr>
          <w:rFonts w:hint="eastAsia" w:ascii="Times New Roman" w:hAnsi="Times New Roman"/>
          <w:color w:val="auto"/>
          <w:highlight w:val="none"/>
        </w:rPr>
        <w:t>1）对各功能模块进行测试；</w:t>
      </w:r>
    </w:p>
    <w:p w14:paraId="21579453">
      <w:pPr>
        <w:rPr>
          <w:rFonts w:ascii="Times New Roman" w:hAnsi="Times New Roman"/>
          <w:color w:val="auto"/>
          <w:highlight w:val="none"/>
        </w:rPr>
      </w:pPr>
      <w:r>
        <w:rPr>
          <w:rFonts w:hint="eastAsia" w:ascii="Times New Roman" w:hAnsi="Times New Roman"/>
          <w:color w:val="auto"/>
          <w:highlight w:val="none"/>
        </w:rPr>
        <w:t>2）在各功能模块测试合格的前提下，对系统进行全面初验；</w:t>
      </w:r>
    </w:p>
    <w:p w14:paraId="3E6CD7EC">
      <w:pPr>
        <w:rPr>
          <w:rFonts w:ascii="Times New Roman" w:hAnsi="Times New Roman"/>
          <w:color w:val="auto"/>
          <w:highlight w:val="none"/>
        </w:rPr>
      </w:pPr>
      <w:r>
        <w:rPr>
          <w:rFonts w:hint="eastAsia" w:ascii="Times New Roman" w:hAnsi="Times New Roman"/>
          <w:color w:val="auto"/>
          <w:highlight w:val="none"/>
        </w:rPr>
        <w:t>3）系统验收测试合格后，进入试运行阶段；</w:t>
      </w:r>
    </w:p>
    <w:p w14:paraId="7448D38A">
      <w:pPr>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highlight w:val="none"/>
        </w:rPr>
        <w:t>系统（包含合同约定全部功能）在全行上线试运行三个月后，进行项目终验收</w:t>
      </w:r>
      <w:r>
        <w:rPr>
          <w:rFonts w:hint="eastAsia" w:ascii="Times New Roman" w:hAnsi="Times New Roman"/>
          <w:color w:val="auto"/>
          <w:highlight w:val="none"/>
        </w:rPr>
        <w:t>。</w:t>
      </w:r>
    </w:p>
    <w:p w14:paraId="008AC02C">
      <w:pPr>
        <w:pStyle w:val="4"/>
        <w:rPr>
          <w:rFonts w:ascii="Times New Roman" w:hAnsi="Times New Roman"/>
          <w:color w:val="auto"/>
          <w:szCs w:val="20"/>
          <w:highlight w:val="none"/>
        </w:rPr>
      </w:pPr>
      <w:bookmarkStart w:id="187" w:name="_Toc7277"/>
      <w:bookmarkStart w:id="188" w:name="_Toc6605"/>
      <w:r>
        <w:rPr>
          <w:rFonts w:hint="eastAsia" w:ascii="Times New Roman" w:hAnsi="Times New Roman"/>
          <w:color w:val="auto"/>
          <w:szCs w:val="20"/>
          <w:highlight w:val="none"/>
          <w:lang w:val="en-US" w:eastAsia="zh-CN"/>
        </w:rPr>
        <w:t>7</w:t>
      </w:r>
      <w:r>
        <w:rPr>
          <w:rFonts w:ascii="Times New Roman" w:hAnsi="Times New Roman"/>
          <w:color w:val="auto"/>
          <w:szCs w:val="20"/>
          <w:highlight w:val="none"/>
        </w:rPr>
        <w:t xml:space="preserve">.4 </w:t>
      </w:r>
      <w:r>
        <w:rPr>
          <w:rFonts w:hint="eastAsia" w:ascii="Times New Roman" w:hAnsi="Times New Roman"/>
          <w:color w:val="auto"/>
          <w:szCs w:val="20"/>
          <w:highlight w:val="none"/>
        </w:rPr>
        <w:t>验收测试的评定</w:t>
      </w:r>
      <w:bookmarkEnd w:id="187"/>
      <w:bookmarkEnd w:id="188"/>
    </w:p>
    <w:p w14:paraId="0E1B7FA2">
      <w:pPr>
        <w:rPr>
          <w:rFonts w:ascii="Times New Roman" w:hAnsi="Times New Roman"/>
          <w:color w:val="auto"/>
          <w:highlight w:val="none"/>
        </w:rPr>
      </w:pPr>
      <w:r>
        <w:rPr>
          <w:rFonts w:hint="eastAsia" w:ascii="Times New Roman" w:hAnsi="Times New Roman"/>
          <w:color w:val="auto"/>
          <w:highlight w:val="none"/>
        </w:rPr>
        <w:t>测试结果按下列级别评定，并经验收小组签字认可：</w:t>
      </w:r>
    </w:p>
    <w:p w14:paraId="0E9DA37B">
      <w:pPr>
        <w:rPr>
          <w:rFonts w:ascii="Times New Roman" w:hAnsi="Times New Roman"/>
          <w:color w:val="auto"/>
          <w:highlight w:val="none"/>
        </w:rPr>
      </w:pPr>
      <w:r>
        <w:rPr>
          <w:rFonts w:hint="eastAsia" w:ascii="Times New Roman" w:hAnsi="Times New Roman"/>
          <w:color w:val="auto"/>
          <w:highlight w:val="none"/>
        </w:rPr>
        <w:t>•优良：功能和质量达到预期目的。</w:t>
      </w:r>
    </w:p>
    <w:p w14:paraId="6B6BFC78">
      <w:pPr>
        <w:rPr>
          <w:rFonts w:ascii="Times New Roman" w:hAnsi="Times New Roman"/>
          <w:color w:val="auto"/>
          <w:highlight w:val="none"/>
        </w:rPr>
      </w:pPr>
      <w:r>
        <w:rPr>
          <w:rFonts w:hint="eastAsia" w:ascii="Times New Roman" w:hAnsi="Times New Roman"/>
          <w:color w:val="auto"/>
          <w:highlight w:val="none"/>
        </w:rPr>
        <w:t>•合格：部分功能和质量不能满足比选人的要求，但中选人（集成商）采取了改正措施，使测试结果达到预期目的。</w:t>
      </w:r>
    </w:p>
    <w:p w14:paraId="44536218">
      <w:pPr>
        <w:rPr>
          <w:rFonts w:ascii="Times New Roman" w:hAnsi="Times New Roman"/>
          <w:color w:val="auto"/>
          <w:highlight w:val="none"/>
        </w:rPr>
      </w:pPr>
      <w:r>
        <w:rPr>
          <w:rFonts w:hint="eastAsia" w:ascii="Times New Roman" w:hAnsi="Times New Roman"/>
          <w:color w:val="auto"/>
          <w:highlight w:val="none"/>
        </w:rPr>
        <w:t>•不合格：功能和质量不能满足比选人的要求。</w:t>
      </w:r>
    </w:p>
    <w:p w14:paraId="037B8732">
      <w:pPr>
        <w:pStyle w:val="3"/>
        <w:numPr>
          <w:ilvl w:val="0"/>
          <w:numId w:val="0"/>
        </w:numPr>
        <w:ind w:left="360" w:leftChars="0" w:hanging="360" w:firstLineChars="0"/>
        <w:rPr>
          <w:color w:val="auto"/>
          <w:kern w:val="0"/>
          <w:highlight w:val="none"/>
        </w:rPr>
      </w:pPr>
      <w:bookmarkStart w:id="189" w:name="_Toc3425"/>
      <w:bookmarkStart w:id="190" w:name="_Toc31541"/>
      <w:r>
        <w:rPr>
          <w:rFonts w:hint="eastAsia" w:hAnsi="Cambria Math" w:cs="Times New Roman"/>
          <w:b/>
          <w:bCs/>
          <w:snapToGrid w:val="0"/>
          <w:color w:val="auto"/>
          <w:kern w:val="0"/>
          <w:sz w:val="24"/>
          <w:szCs w:val="24"/>
          <w:highlight w:val="none"/>
          <w:lang w:val="en-US" w:eastAsia="zh-CN" w:bidi="ar-SA"/>
        </w:rPr>
        <w:t>8</w:t>
      </w:r>
      <w:r>
        <w:rPr>
          <w:rFonts w:hint="default" w:ascii="宋体" w:hAnsi="Cambria Math" w:eastAsia="宋体" w:cs="Times New Roman"/>
          <w:b/>
          <w:bCs/>
          <w:snapToGrid w:val="0"/>
          <w:color w:val="auto"/>
          <w:kern w:val="0"/>
          <w:sz w:val="24"/>
          <w:szCs w:val="24"/>
          <w:highlight w:val="none"/>
          <w:lang w:val="en-US" w:eastAsia="zh-CN" w:bidi="ar-SA"/>
        </w:rPr>
        <w:t>.</w:t>
      </w:r>
      <w:r>
        <w:rPr>
          <w:rFonts w:hint="eastAsia" w:cs="Times New Roman"/>
          <w:b/>
          <w:bCs/>
          <w:snapToGrid w:val="0"/>
          <w:color w:val="auto"/>
          <w:kern w:val="0"/>
          <w:sz w:val="24"/>
          <w:szCs w:val="24"/>
          <w:highlight w:val="none"/>
          <w:lang w:val="en-US" w:eastAsia="zh-CN" w:bidi="ar-SA"/>
        </w:rPr>
        <w:t xml:space="preserve"> </w:t>
      </w:r>
      <w:r>
        <w:rPr>
          <w:rFonts w:hint="eastAsia"/>
          <w:color w:val="auto"/>
          <w:kern w:val="0"/>
          <w:highlight w:val="none"/>
        </w:rPr>
        <w:t>售后服务和支持</w:t>
      </w:r>
      <w:bookmarkEnd w:id="189"/>
      <w:bookmarkEnd w:id="190"/>
    </w:p>
    <w:p w14:paraId="554CC5B6">
      <w:pPr>
        <w:rPr>
          <w:rFonts w:ascii="Times New Roman" w:hAnsi="Times New Roman"/>
          <w:color w:val="auto"/>
          <w:highlight w:val="none"/>
        </w:rPr>
      </w:pPr>
      <w:r>
        <w:rPr>
          <w:rFonts w:hint="eastAsia" w:ascii="Times New Roman" w:hAnsi="Times New Roman"/>
          <w:color w:val="auto"/>
          <w:highlight w:val="none"/>
        </w:rPr>
        <w:t>服务和支持的范围：</w:t>
      </w:r>
    </w:p>
    <w:p w14:paraId="341193AD">
      <w:pPr>
        <w:rPr>
          <w:rFonts w:ascii="Times New Roman" w:hAnsi="Times New Roman"/>
          <w:color w:val="auto"/>
          <w:highlight w:val="none"/>
        </w:rPr>
      </w:pPr>
      <w:r>
        <w:rPr>
          <w:rFonts w:hint="eastAsia" w:ascii="Times New Roman" w:hAnsi="Times New Roman"/>
          <w:color w:val="auto"/>
          <w:highlight w:val="none"/>
        </w:rPr>
        <w:t>•系统的安装、部署和调试；</w:t>
      </w:r>
    </w:p>
    <w:p w14:paraId="7416B255">
      <w:pPr>
        <w:rPr>
          <w:rFonts w:ascii="Times New Roman" w:hAnsi="Times New Roman"/>
          <w:color w:val="auto"/>
          <w:highlight w:val="none"/>
        </w:rPr>
      </w:pPr>
      <w:r>
        <w:rPr>
          <w:rFonts w:hint="eastAsia" w:ascii="Times New Roman" w:hAnsi="Times New Roman"/>
          <w:color w:val="auto"/>
          <w:highlight w:val="none"/>
        </w:rPr>
        <w:t>•项目的验收测试；</w:t>
      </w:r>
    </w:p>
    <w:p w14:paraId="03EFC2FE">
      <w:pPr>
        <w:rPr>
          <w:rFonts w:ascii="Times New Roman" w:hAnsi="Times New Roman"/>
          <w:color w:val="auto"/>
          <w:highlight w:val="none"/>
        </w:rPr>
      </w:pPr>
      <w:r>
        <w:rPr>
          <w:rFonts w:hint="eastAsia" w:ascii="Times New Roman" w:hAnsi="Times New Roman"/>
          <w:color w:val="auto"/>
          <w:highlight w:val="none"/>
        </w:rPr>
        <w:t>•项目的数据转换、数据迁移、模拟运行和试运行；</w:t>
      </w:r>
    </w:p>
    <w:p w14:paraId="775E7EAE">
      <w:pPr>
        <w:rPr>
          <w:rFonts w:ascii="Times New Roman" w:hAnsi="Times New Roman"/>
          <w:color w:val="auto"/>
          <w:highlight w:val="none"/>
        </w:rPr>
      </w:pPr>
      <w:r>
        <w:rPr>
          <w:rFonts w:hint="eastAsia" w:ascii="Times New Roman" w:hAnsi="Times New Roman"/>
          <w:color w:val="auto"/>
          <w:highlight w:val="none"/>
        </w:rPr>
        <w:t>•与系统运行有关的技术问题（含操作系统、数据库、应用系统的整体性能调优等）</w:t>
      </w:r>
    </w:p>
    <w:p w14:paraId="5AB9CE28">
      <w:pPr>
        <w:rPr>
          <w:rFonts w:ascii="Times New Roman" w:hAnsi="Times New Roman"/>
          <w:color w:val="auto"/>
          <w:highlight w:val="none"/>
        </w:rPr>
      </w:pPr>
      <w:r>
        <w:rPr>
          <w:rFonts w:hint="eastAsia" w:ascii="Times New Roman" w:hAnsi="Times New Roman"/>
          <w:color w:val="auto"/>
          <w:highlight w:val="none"/>
        </w:rPr>
        <w:t>•项目上线后两年内，针对本项目的完善性需求以及监管提出的安全性需求，中选人需免费进行开发。</w:t>
      </w:r>
    </w:p>
    <w:p w14:paraId="3FC79572">
      <w:pPr>
        <w:rPr>
          <w:rFonts w:ascii="Times New Roman" w:hAnsi="Times New Roman"/>
          <w:color w:val="auto"/>
          <w:highlight w:val="none"/>
        </w:rPr>
      </w:pPr>
      <w:r>
        <w:rPr>
          <w:rFonts w:hint="eastAsia" w:ascii="Times New Roman" w:hAnsi="Times New Roman"/>
          <w:color w:val="auto"/>
          <w:highlight w:val="none"/>
        </w:rPr>
        <w:t>•相关技术及业务培训（其中在项目实施前必须组织技术人员进行平台二次开发培训，并提供平台的所有技术文档等</w:t>
      </w:r>
      <w:r>
        <w:rPr>
          <w:rFonts w:hint="eastAsia" w:ascii="Times New Roman" w:hAnsi="Times New Roman" w:cs="宋体"/>
          <w:snapToGrid w:val="0"/>
          <w:color w:val="auto"/>
          <w:kern w:val="0"/>
          <w:szCs w:val="24"/>
          <w:highlight w:val="none"/>
        </w:rPr>
        <w:t>；项目</w:t>
      </w:r>
      <w:r>
        <w:rPr>
          <w:rFonts w:ascii="Times New Roman" w:hAnsi="Times New Roman" w:cs="宋体"/>
          <w:snapToGrid w:val="0"/>
          <w:color w:val="auto"/>
          <w:kern w:val="0"/>
          <w:szCs w:val="24"/>
          <w:highlight w:val="none"/>
        </w:rPr>
        <w:t>最终验收</w:t>
      </w:r>
      <w:r>
        <w:rPr>
          <w:rFonts w:hint="eastAsia" w:ascii="Times New Roman" w:hAnsi="Times New Roman" w:cs="宋体"/>
          <w:snapToGrid w:val="0"/>
          <w:color w:val="auto"/>
          <w:kern w:val="0"/>
          <w:szCs w:val="24"/>
          <w:highlight w:val="none"/>
        </w:rPr>
        <w:t>前针对本系统的操作、使用、运维等方面的技术培训，并提供平台的所有技术文档等</w:t>
      </w:r>
      <w:r>
        <w:rPr>
          <w:rFonts w:hint="eastAsia" w:ascii="Times New Roman" w:hAnsi="Times New Roman"/>
          <w:color w:val="auto"/>
          <w:highlight w:val="none"/>
        </w:rPr>
        <w:t>）</w:t>
      </w:r>
      <w:r>
        <w:rPr>
          <w:rFonts w:ascii="Times New Roman" w:hAnsi="Times New Roman"/>
          <w:color w:val="auto"/>
          <w:highlight w:val="none"/>
        </w:rPr>
        <w:t>。</w:t>
      </w:r>
    </w:p>
    <w:p w14:paraId="5A7A8818">
      <w:pPr>
        <w:rPr>
          <w:rFonts w:ascii="Times New Roman" w:hAnsi="Times New Roman"/>
          <w:color w:val="auto"/>
          <w:highlight w:val="none"/>
        </w:rPr>
      </w:pPr>
      <w:r>
        <w:rPr>
          <w:rFonts w:hint="eastAsia" w:ascii="Times New Roman" w:hAnsi="Times New Roman"/>
          <w:color w:val="auto"/>
          <w:highlight w:val="none"/>
        </w:rPr>
        <w:t>•</w:t>
      </w:r>
      <w:bookmarkStart w:id="191" w:name="_Hlk22733819"/>
      <w:r>
        <w:rPr>
          <w:rFonts w:hint="eastAsia" w:ascii="Times New Roman" w:hAnsi="Times New Roman"/>
          <w:color w:val="auto"/>
          <w:highlight w:val="none"/>
          <w:lang w:val="en-US" w:eastAsia="zh-CN"/>
        </w:rPr>
        <w:t>维护</w:t>
      </w:r>
      <w:r>
        <w:rPr>
          <w:rFonts w:hint="eastAsia" w:ascii="Times New Roman" w:hAnsi="Times New Roman"/>
          <w:color w:val="auto"/>
          <w:highlight w:val="none"/>
        </w:rPr>
        <w:t>期</w:t>
      </w:r>
      <w:bookmarkEnd w:id="191"/>
      <w:r>
        <w:rPr>
          <w:rFonts w:hint="eastAsia" w:ascii="Times New Roman" w:hAnsi="Times New Roman"/>
          <w:color w:val="auto"/>
          <w:highlight w:val="none"/>
        </w:rPr>
        <w:t>以年度计算，</w:t>
      </w:r>
      <w:r>
        <w:rPr>
          <w:rFonts w:ascii="Times New Roman" w:hAnsi="Times New Roman"/>
          <w:color w:val="auto"/>
          <w:highlight w:val="none"/>
        </w:rPr>
        <w:t>应至少提供2</w:t>
      </w:r>
      <w:r>
        <w:rPr>
          <w:rFonts w:hint="eastAsia" w:ascii="Times New Roman" w:hAnsi="Times New Roman"/>
          <w:color w:val="auto"/>
          <w:highlight w:val="none"/>
        </w:rPr>
        <w:t>年</w:t>
      </w:r>
      <w:r>
        <w:rPr>
          <w:rFonts w:ascii="Times New Roman" w:hAnsi="Times New Roman"/>
          <w:color w:val="auto"/>
          <w:highlight w:val="none"/>
        </w:rPr>
        <w:t>维保</w:t>
      </w:r>
      <w:r>
        <w:rPr>
          <w:rFonts w:hint="eastAsia" w:ascii="Times New Roman" w:hAnsi="Times New Roman"/>
          <w:color w:val="auto"/>
          <w:highlight w:val="none"/>
        </w:rPr>
        <w:t>，</w:t>
      </w:r>
      <w:r>
        <w:rPr>
          <w:rFonts w:hint="eastAsia" w:ascii="Times New Roman" w:hAnsi="Times New Roman"/>
          <w:color w:val="auto"/>
          <w:highlight w:val="none"/>
          <w:lang w:val="en-US" w:eastAsia="zh-CN"/>
        </w:rPr>
        <w:t>维护</w:t>
      </w:r>
      <w:r>
        <w:rPr>
          <w:rFonts w:hint="eastAsia" w:ascii="Times New Roman" w:hAnsi="Times New Roman"/>
          <w:color w:val="auto"/>
          <w:highlight w:val="none"/>
        </w:rPr>
        <w:t>期起始日为验收后次日，</w:t>
      </w:r>
      <w:r>
        <w:rPr>
          <w:rFonts w:hint="eastAsia" w:ascii="Times New Roman" w:hAnsi="Times New Roman"/>
          <w:color w:val="auto"/>
          <w:highlight w:val="none"/>
          <w:lang w:val="en-US" w:eastAsia="zh-CN"/>
        </w:rPr>
        <w:t>维护</w:t>
      </w:r>
      <w:r>
        <w:rPr>
          <w:rFonts w:hint="eastAsia" w:ascii="Times New Roman" w:hAnsi="Times New Roman"/>
          <w:color w:val="auto"/>
          <w:highlight w:val="none"/>
        </w:rPr>
        <w:t>期结束日需延期至到期当年的6月30日或12月31日中较近日期（即维保延期最长不超过半年）。</w:t>
      </w:r>
    </w:p>
    <w:p w14:paraId="430884B8">
      <w:pPr>
        <w:rPr>
          <w:rFonts w:ascii="Times New Roman" w:hAnsi="Times New Roman"/>
          <w:color w:val="auto"/>
          <w:highlight w:val="none"/>
        </w:rPr>
      </w:pPr>
      <w:r>
        <w:rPr>
          <w:rFonts w:hint="eastAsia" w:ascii="Times New Roman" w:hAnsi="Times New Roman"/>
          <w:color w:val="auto"/>
          <w:highlight w:val="none"/>
        </w:rPr>
        <w:t>•参选人在参选文件中详细说明在系统</w:t>
      </w:r>
      <w:r>
        <w:rPr>
          <w:rFonts w:hint="eastAsia" w:ascii="Times New Roman" w:hAnsi="Times New Roman"/>
          <w:color w:val="auto"/>
          <w:highlight w:val="none"/>
          <w:lang w:val="en-US" w:eastAsia="zh-CN"/>
        </w:rPr>
        <w:t>维护</w:t>
      </w:r>
      <w:r>
        <w:rPr>
          <w:rFonts w:hint="eastAsia" w:ascii="Times New Roman" w:hAnsi="Times New Roman"/>
          <w:color w:val="auto"/>
          <w:highlight w:val="none"/>
        </w:rPr>
        <w:t>期的具体服务内容，系统</w:t>
      </w:r>
      <w:r>
        <w:rPr>
          <w:rFonts w:hint="eastAsia" w:ascii="Times New Roman" w:hAnsi="Times New Roman"/>
          <w:color w:val="auto"/>
          <w:highlight w:val="none"/>
          <w:lang w:val="en-US" w:eastAsia="zh-CN"/>
        </w:rPr>
        <w:t>维护</w:t>
      </w:r>
      <w:r>
        <w:rPr>
          <w:rFonts w:hint="eastAsia" w:ascii="Times New Roman" w:hAnsi="Times New Roman"/>
          <w:color w:val="auto"/>
          <w:highlight w:val="none"/>
        </w:rPr>
        <w:t>期过后有偿维保的内容、价格及收取方式，若按开发量评估收取，应说明每人/月价格；</w:t>
      </w:r>
    </w:p>
    <w:p w14:paraId="6FDF919B">
      <w:pPr>
        <w:rPr>
          <w:rFonts w:ascii="Times New Roman" w:hAnsi="Times New Roman"/>
          <w:color w:val="auto"/>
          <w:highlight w:val="none"/>
        </w:rPr>
      </w:pPr>
      <w:r>
        <w:rPr>
          <w:rFonts w:hint="eastAsia" w:ascii="Times New Roman" w:hAnsi="Times New Roman"/>
          <w:color w:val="auto"/>
          <w:highlight w:val="none"/>
        </w:rPr>
        <w:t>参选人在参选文件中需对以上相关内容中进行阐述并作出相应承诺。</w:t>
      </w:r>
    </w:p>
    <w:p w14:paraId="50A92A66">
      <w:pPr>
        <w:rPr>
          <w:rFonts w:ascii="Times New Roman" w:hAnsi="Times New Roman"/>
          <w:color w:val="auto"/>
          <w:highlight w:val="none"/>
        </w:rPr>
      </w:pPr>
      <w:r>
        <w:rPr>
          <w:rFonts w:hint="eastAsia" w:ascii="Times New Roman" w:hAnsi="Times New Roman" w:cs="Times New Roman"/>
          <w:color w:val="auto"/>
          <w:highlight w:val="none"/>
        </w:rPr>
        <w:t>【提供</w:t>
      </w:r>
      <w:r>
        <w:rPr>
          <w:rFonts w:ascii="Times New Roman" w:hAnsi="Times New Roman" w:cs="Times New Roman"/>
          <w:color w:val="auto"/>
          <w:highlight w:val="none"/>
        </w:rPr>
        <w:t>售后服务和培训方案</w:t>
      </w:r>
      <w:r>
        <w:rPr>
          <w:rFonts w:hint="eastAsia" w:ascii="Times New Roman" w:hAnsi="Times New Roman" w:cs="Times New Roman"/>
          <w:color w:val="auto"/>
          <w:highlight w:val="none"/>
        </w:rPr>
        <w:t>】</w:t>
      </w:r>
    </w:p>
    <w:p w14:paraId="0FB237D2">
      <w:pPr>
        <w:pStyle w:val="3"/>
        <w:numPr>
          <w:ilvl w:val="0"/>
          <w:numId w:val="0"/>
        </w:numPr>
        <w:ind w:left="360" w:leftChars="0" w:hanging="360" w:firstLineChars="0"/>
        <w:rPr>
          <w:rFonts w:ascii="Times New Roman" w:hAnsi="Times New Roman"/>
          <w:color w:val="auto"/>
          <w:highlight w:val="none"/>
        </w:rPr>
      </w:pPr>
      <w:bookmarkStart w:id="192" w:name="_Toc20942"/>
      <w:bookmarkStart w:id="193" w:name="_Toc19232"/>
      <w:r>
        <w:rPr>
          <w:rFonts w:hint="eastAsia" w:ascii="Times New Roman" w:hAnsi="Times New Roman" w:cs="Times New Roman"/>
          <w:b/>
          <w:bCs/>
          <w:snapToGrid w:val="0"/>
          <w:color w:val="auto"/>
          <w:kern w:val="2"/>
          <w:sz w:val="24"/>
          <w:szCs w:val="24"/>
          <w:highlight w:val="none"/>
          <w:lang w:val="en-US" w:eastAsia="zh-CN" w:bidi="ar-SA"/>
        </w:rPr>
        <w:t>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color w:val="auto"/>
          <w:kern w:val="0"/>
          <w:highlight w:val="none"/>
        </w:rPr>
        <w:t>系统维保费用</w:t>
      </w:r>
      <w:bookmarkEnd w:id="192"/>
      <w:bookmarkEnd w:id="193"/>
    </w:p>
    <w:p w14:paraId="17636995">
      <w:pPr>
        <w:rPr>
          <w:rFonts w:ascii="Times New Roman" w:hAnsi="Times New Roman"/>
          <w:color w:val="auto"/>
          <w:highlight w:val="none"/>
        </w:rPr>
      </w:pPr>
      <w:r>
        <w:rPr>
          <w:rFonts w:hint="eastAsia" w:ascii="Times New Roman" w:hAnsi="Times New Roman"/>
          <w:color w:val="auto"/>
          <w:highlight w:val="none"/>
        </w:rPr>
        <w:t>维护期满后，每年维护费用不高于合同价</w:t>
      </w:r>
      <w:r>
        <w:rPr>
          <w:rFonts w:ascii="Times New Roman" w:hAnsi="Times New Roman"/>
          <w:color w:val="auto"/>
          <w:highlight w:val="none"/>
        </w:rPr>
        <w:t>的8</w:t>
      </w:r>
      <w:r>
        <w:rPr>
          <w:rFonts w:hint="eastAsia" w:ascii="Times New Roman" w:hAnsi="Times New Roman"/>
          <w:color w:val="auto"/>
          <w:highlight w:val="none"/>
        </w:rPr>
        <w:t>%，且每年系统升级改造工作量2个人月内不收费，具体维保费用以合同约定为准。</w:t>
      </w:r>
      <w:r>
        <w:rPr>
          <w:rFonts w:hint="eastAsia" w:ascii="宋体" w:cs="宋体"/>
          <w:snapToGrid w:val="0"/>
          <w:color w:val="auto"/>
          <w:kern w:val="0"/>
          <w:szCs w:val="24"/>
          <w:highlight w:val="none"/>
        </w:rPr>
        <w:t>如比选人每年购买中选人的驻场实施服务费用高于系统维保费用的，中选人不再收取维保费用。</w:t>
      </w:r>
      <w:r>
        <w:rPr>
          <w:rFonts w:hint="eastAsia" w:ascii="Times New Roman" w:hAnsi="Times New Roman" w:cs="宋体"/>
          <w:snapToGrid w:val="0"/>
          <w:color w:val="auto"/>
          <w:kern w:val="0"/>
          <w:szCs w:val="24"/>
          <w:highlight w:val="none"/>
        </w:rPr>
        <w:t>在安全加固、BUG修复等方面应免费开展，不得另行收费。</w:t>
      </w:r>
      <w:r>
        <w:rPr>
          <w:rFonts w:hint="eastAsia" w:ascii="宋体"/>
          <w:b/>
          <w:color w:val="auto"/>
          <w:highlight w:val="none"/>
        </w:rPr>
        <w:t>后续改造类项目维护费用以系统首期建设合同约定为准，不得叠加、单独收取。</w:t>
      </w:r>
    </w:p>
    <w:p w14:paraId="6A2D7EC9">
      <w:pPr>
        <w:pStyle w:val="3"/>
        <w:numPr>
          <w:ilvl w:val="0"/>
          <w:numId w:val="0"/>
        </w:numPr>
        <w:ind w:left="360" w:leftChars="0" w:hanging="360" w:firstLineChars="0"/>
        <w:rPr>
          <w:rFonts w:ascii="Times New Roman" w:hAnsi="Times New Roman"/>
          <w:color w:val="auto"/>
          <w:highlight w:val="none"/>
        </w:rPr>
      </w:pPr>
      <w:bookmarkStart w:id="194" w:name="_Toc7518"/>
      <w:bookmarkStart w:id="195" w:name="_Toc19177"/>
      <w:r>
        <w:rPr>
          <w:rFonts w:hint="eastAsia" w:ascii="Times New Roman" w:hAnsi="Times New Roman" w:cs="Times New Roman"/>
          <w:b/>
          <w:bCs/>
          <w:snapToGrid w:val="0"/>
          <w:color w:val="auto"/>
          <w:kern w:val="2"/>
          <w:sz w:val="24"/>
          <w:szCs w:val="24"/>
          <w:highlight w:val="none"/>
          <w:lang w:val="en-US" w:eastAsia="zh-CN" w:bidi="ar-SA"/>
        </w:rPr>
        <w:t>10</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文档和培训</w:t>
      </w:r>
      <w:bookmarkEnd w:id="194"/>
      <w:bookmarkEnd w:id="195"/>
    </w:p>
    <w:p w14:paraId="4AC7AEBC">
      <w:pPr>
        <w:pStyle w:val="4"/>
        <w:rPr>
          <w:rFonts w:ascii="Times New Roman" w:hAnsi="Times New Roman"/>
          <w:color w:val="auto"/>
          <w:szCs w:val="20"/>
          <w:highlight w:val="none"/>
        </w:rPr>
      </w:pPr>
      <w:bookmarkStart w:id="196" w:name="_Toc5142"/>
      <w:bookmarkStart w:id="197" w:name="_Toc22819"/>
      <w:r>
        <w:rPr>
          <w:rFonts w:hint="eastAsia" w:ascii="Times New Roman" w:hAnsi="Times New Roman"/>
          <w:color w:val="auto"/>
          <w:highlight w:val="none"/>
          <w:lang w:val="en-US" w:eastAsia="zh-CN"/>
        </w:rPr>
        <w:t>10</w:t>
      </w:r>
      <w:r>
        <w:rPr>
          <w:rFonts w:ascii="Times New Roman" w:hAnsi="Times New Roman"/>
          <w:color w:val="auto"/>
          <w:highlight w:val="none"/>
        </w:rPr>
        <w:t xml:space="preserve">.1 </w:t>
      </w:r>
      <w:r>
        <w:rPr>
          <w:rFonts w:hint="eastAsia" w:ascii="Times New Roman" w:hAnsi="Times New Roman"/>
          <w:color w:val="auto"/>
          <w:szCs w:val="20"/>
          <w:highlight w:val="none"/>
        </w:rPr>
        <w:t>文档</w:t>
      </w:r>
      <w:bookmarkEnd w:id="196"/>
      <w:bookmarkEnd w:id="197"/>
    </w:p>
    <w:p w14:paraId="6E825FD2">
      <w:pPr>
        <w:rPr>
          <w:rFonts w:ascii="Times New Roman" w:hAnsi="Times New Roman"/>
          <w:color w:val="auto"/>
          <w:highlight w:val="none"/>
        </w:rPr>
      </w:pPr>
      <w:r>
        <w:rPr>
          <w:rFonts w:hint="eastAsia" w:ascii="Times New Roman" w:hAnsi="Times New Roman"/>
          <w:color w:val="auto"/>
          <w:highlight w:val="none"/>
        </w:rPr>
        <w:t>1）文档范围</w:t>
      </w:r>
    </w:p>
    <w:p w14:paraId="5DB21716">
      <w:pPr>
        <w:rPr>
          <w:rFonts w:ascii="Times New Roman" w:hAnsi="Times New Roman"/>
          <w:color w:val="auto"/>
          <w:highlight w:val="none"/>
        </w:rPr>
      </w:pPr>
      <w:r>
        <w:rPr>
          <w:rFonts w:hint="eastAsia" w:ascii="Times New Roman" w:hAnsi="Times New Roman"/>
          <w:color w:val="auto"/>
          <w:highlight w:val="none"/>
        </w:rPr>
        <w:t>包括中选人收集整理的系统建设中所形成的全部文字记载、录音和照片等，项目验收后由中选人向比选人提供。</w:t>
      </w:r>
    </w:p>
    <w:p w14:paraId="37FF3FE9">
      <w:pPr>
        <w:rPr>
          <w:rFonts w:ascii="Times New Roman" w:hAnsi="Times New Roman"/>
          <w:color w:val="auto"/>
          <w:highlight w:val="none"/>
        </w:rPr>
      </w:pPr>
      <w:r>
        <w:rPr>
          <w:rFonts w:hint="eastAsia" w:ascii="Times New Roman" w:hAnsi="Times New Roman"/>
          <w:color w:val="auto"/>
          <w:highlight w:val="none"/>
        </w:rPr>
        <w:t>2）文档内容</w:t>
      </w:r>
    </w:p>
    <w:p w14:paraId="1B0AE4C7">
      <w:pPr>
        <w:rPr>
          <w:rFonts w:ascii="Times New Roman" w:hAnsi="Times New Roman"/>
          <w:color w:val="auto"/>
          <w:highlight w:val="none"/>
        </w:rPr>
      </w:pPr>
      <w:r>
        <w:rPr>
          <w:rFonts w:hint="eastAsia" w:ascii="Times New Roman" w:hAnsi="Times New Roman"/>
          <w:color w:val="auto"/>
          <w:highlight w:val="none"/>
        </w:rPr>
        <w:t>参选文件；系统总体规划书；系统需求说明书；系统详细设计说明书；系统源码；系统数据库设计说明书；系统使用和操作说明书；系统（含子系统）测试案例；系统（含子系统）测试报告；系统变更和补充的相关文件、协议、录音、照片等。</w:t>
      </w:r>
    </w:p>
    <w:p w14:paraId="042CF461">
      <w:pPr>
        <w:rPr>
          <w:rFonts w:ascii="Times New Roman" w:hAnsi="Times New Roman"/>
          <w:color w:val="auto"/>
          <w:highlight w:val="none"/>
        </w:rPr>
      </w:pPr>
      <w:r>
        <w:rPr>
          <w:rFonts w:hint="eastAsia" w:ascii="Times New Roman" w:hAnsi="Times New Roman"/>
          <w:color w:val="auto"/>
          <w:highlight w:val="none"/>
        </w:rPr>
        <w:t xml:space="preserve">3）要求 </w:t>
      </w:r>
    </w:p>
    <w:p w14:paraId="7DAD8EBB">
      <w:pPr>
        <w:rPr>
          <w:rFonts w:ascii="Times New Roman" w:hAnsi="Times New Roman"/>
          <w:color w:val="auto"/>
          <w:highlight w:val="none"/>
        </w:rPr>
      </w:pPr>
      <w:r>
        <w:rPr>
          <w:rFonts w:hint="eastAsia" w:ascii="Times New Roman" w:hAnsi="Times New Roman"/>
          <w:color w:val="auto"/>
          <w:highlight w:val="none"/>
        </w:rPr>
        <w:t>参选人提供的文档要保持完整性和准确性。所有文档都采用简体中文（第三方产品出厂文件除外）。</w:t>
      </w:r>
    </w:p>
    <w:p w14:paraId="2CB9FC42">
      <w:pPr>
        <w:pStyle w:val="4"/>
        <w:rPr>
          <w:rFonts w:ascii="Times New Roman" w:hAnsi="Times New Roman"/>
          <w:color w:val="auto"/>
          <w:szCs w:val="20"/>
          <w:highlight w:val="none"/>
        </w:rPr>
      </w:pPr>
      <w:bookmarkStart w:id="198" w:name="_Toc12585"/>
      <w:bookmarkStart w:id="199" w:name="_Toc30696"/>
      <w:r>
        <w:rPr>
          <w:rFonts w:hint="eastAsia" w:ascii="Times New Roman" w:hAnsi="Times New Roman"/>
          <w:color w:val="auto"/>
          <w:szCs w:val="20"/>
          <w:highlight w:val="none"/>
          <w:lang w:val="en-US" w:eastAsia="zh-CN"/>
        </w:rPr>
        <w:t>10</w:t>
      </w:r>
      <w:r>
        <w:rPr>
          <w:rFonts w:ascii="Times New Roman" w:hAnsi="Times New Roman"/>
          <w:color w:val="auto"/>
          <w:szCs w:val="20"/>
          <w:highlight w:val="none"/>
        </w:rPr>
        <w:t xml:space="preserve">.2 </w:t>
      </w:r>
      <w:r>
        <w:rPr>
          <w:rFonts w:hint="eastAsia" w:ascii="Times New Roman" w:hAnsi="Times New Roman"/>
          <w:color w:val="auto"/>
          <w:szCs w:val="20"/>
          <w:highlight w:val="none"/>
        </w:rPr>
        <w:t>培训</w:t>
      </w:r>
      <w:bookmarkEnd w:id="198"/>
      <w:bookmarkEnd w:id="199"/>
    </w:p>
    <w:p w14:paraId="1D2E5315">
      <w:pPr>
        <w:rPr>
          <w:rFonts w:ascii="Times New Roman" w:hAnsi="Times New Roman"/>
          <w:color w:val="auto"/>
          <w:highlight w:val="none"/>
        </w:rPr>
      </w:pPr>
      <w:r>
        <w:rPr>
          <w:rFonts w:hint="eastAsia" w:ascii="Times New Roman" w:hAnsi="Times New Roman"/>
          <w:color w:val="auto"/>
          <w:highlight w:val="none"/>
        </w:rPr>
        <w:t>1）培训人员</w:t>
      </w:r>
    </w:p>
    <w:p w14:paraId="1E6FC66D">
      <w:pPr>
        <w:rPr>
          <w:rFonts w:ascii="Times New Roman" w:hAnsi="Times New Roman"/>
          <w:color w:val="auto"/>
          <w:highlight w:val="none"/>
        </w:rPr>
      </w:pPr>
      <w:r>
        <w:rPr>
          <w:rFonts w:hint="eastAsia" w:ascii="Times New Roman" w:hAnsi="Times New Roman"/>
          <w:color w:val="auto"/>
          <w:highlight w:val="none"/>
        </w:rPr>
        <w:t>中选人应对下列人员进行相应的技术培训：</w:t>
      </w:r>
    </w:p>
    <w:p w14:paraId="31ECD393">
      <w:pPr>
        <w:rPr>
          <w:rFonts w:ascii="Times New Roman" w:hAnsi="Times New Roman"/>
          <w:color w:val="auto"/>
          <w:highlight w:val="none"/>
        </w:rPr>
      </w:pPr>
      <w:r>
        <w:rPr>
          <w:rFonts w:hint="eastAsia" w:ascii="Times New Roman" w:hAnsi="Times New Roman"/>
          <w:color w:val="auto"/>
          <w:highlight w:val="none"/>
        </w:rPr>
        <w:t>包括但不限于涉及本项目的相关开发人员、运维人员以及业务人员等。</w:t>
      </w:r>
    </w:p>
    <w:p w14:paraId="4FE7880D">
      <w:pPr>
        <w:rPr>
          <w:rFonts w:ascii="Times New Roman" w:hAnsi="Times New Roman"/>
          <w:color w:val="auto"/>
          <w:highlight w:val="none"/>
        </w:rPr>
      </w:pPr>
      <w:r>
        <w:rPr>
          <w:rFonts w:hint="eastAsia" w:ascii="Times New Roman" w:hAnsi="Times New Roman"/>
          <w:color w:val="auto"/>
          <w:highlight w:val="none"/>
        </w:rPr>
        <w:t>2）要求</w:t>
      </w:r>
    </w:p>
    <w:p w14:paraId="16FE1B7F">
      <w:pPr>
        <w:rPr>
          <w:rFonts w:ascii="Times New Roman" w:hAnsi="Times New Roman"/>
          <w:color w:val="auto"/>
          <w:highlight w:val="none"/>
        </w:rPr>
      </w:pPr>
      <w:r>
        <w:rPr>
          <w:rFonts w:hint="eastAsia" w:ascii="Times New Roman" w:hAnsi="Times New Roman"/>
          <w:color w:val="auto"/>
          <w:highlight w:val="none"/>
        </w:rPr>
        <w:t>对所有的培训，参选人除提供完备的书面教材外，还应提交培训方案和计划。</w:t>
      </w:r>
    </w:p>
    <w:p w14:paraId="45DF8830">
      <w:pPr>
        <w:rPr>
          <w:rFonts w:ascii="宋体" w:cs="宋体"/>
          <w:snapToGrid w:val="0"/>
          <w:color w:val="auto"/>
          <w:kern w:val="0"/>
          <w:szCs w:val="24"/>
          <w:highlight w:val="none"/>
        </w:rPr>
      </w:pPr>
      <w:r>
        <w:rPr>
          <w:rFonts w:hint="eastAsia" w:ascii="Times New Roman" w:hAnsi="Times New Roman"/>
          <w:color w:val="auto"/>
          <w:highlight w:val="none"/>
        </w:rPr>
        <w:t>比选人要求所有的培训在比选人指定地点进行。</w:t>
      </w:r>
    </w:p>
    <w:p w14:paraId="40171673">
      <w:pPr>
        <w:pStyle w:val="3"/>
        <w:numPr>
          <w:ilvl w:val="0"/>
          <w:numId w:val="0"/>
        </w:numPr>
        <w:ind w:left="360" w:leftChars="0" w:hanging="360" w:firstLineChars="0"/>
        <w:rPr>
          <w:rFonts w:ascii="Times New Roman" w:hAnsi="Times New Roman"/>
          <w:color w:val="auto"/>
          <w:highlight w:val="none"/>
        </w:rPr>
      </w:pPr>
      <w:bookmarkStart w:id="200" w:name="_Toc14324"/>
      <w:bookmarkStart w:id="201" w:name="_Toc24236"/>
      <w:r>
        <w:rPr>
          <w:rFonts w:hint="eastAsia" w:ascii="Times New Roman" w:hAnsi="Times New Roman" w:cs="Times New Roman"/>
          <w:b/>
          <w:bCs/>
          <w:snapToGrid w:val="0"/>
          <w:color w:val="auto"/>
          <w:kern w:val="2"/>
          <w:sz w:val="24"/>
          <w:szCs w:val="24"/>
          <w:highlight w:val="none"/>
          <w:lang w:val="en-US" w:eastAsia="zh-CN" w:bidi="ar-SA"/>
        </w:rPr>
        <w:t>11</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服务连续性预案</w:t>
      </w:r>
      <w:bookmarkEnd w:id="200"/>
      <w:bookmarkEnd w:id="201"/>
    </w:p>
    <w:p w14:paraId="7DDF7ABA">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208CA330">
      <w:pPr>
        <w:pStyle w:val="3"/>
        <w:numPr>
          <w:ilvl w:val="0"/>
          <w:numId w:val="0"/>
        </w:numPr>
        <w:ind w:left="360" w:leftChars="0" w:hanging="360" w:firstLineChars="0"/>
        <w:rPr>
          <w:rFonts w:ascii="Times New Roman" w:hAnsi="Times New Roman"/>
          <w:color w:val="auto"/>
          <w:highlight w:val="none"/>
        </w:rPr>
      </w:pPr>
      <w:bookmarkStart w:id="202" w:name="_Toc15444"/>
      <w:bookmarkStart w:id="203" w:name="_Toc11002"/>
      <w:r>
        <w:rPr>
          <w:rFonts w:hint="eastAsia" w:ascii="Times New Roman" w:hAnsi="Times New Roman" w:cs="Times New Roman"/>
          <w:b/>
          <w:bCs/>
          <w:snapToGrid w:val="0"/>
          <w:color w:val="auto"/>
          <w:kern w:val="2"/>
          <w:sz w:val="24"/>
          <w:szCs w:val="24"/>
          <w:highlight w:val="none"/>
          <w:lang w:val="en-US" w:eastAsia="zh-CN" w:bidi="ar-SA"/>
        </w:rPr>
        <w:t>12</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项目实施方案</w:t>
      </w:r>
      <w:bookmarkEnd w:id="202"/>
      <w:bookmarkEnd w:id="203"/>
    </w:p>
    <w:p w14:paraId="72AE4CC7">
      <w:pPr>
        <w:rPr>
          <w:rFonts w:hint="eastAsia"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w:t>
      </w:r>
    </w:p>
    <w:p w14:paraId="34E19709">
      <w:pPr>
        <w:rPr>
          <w:rFonts w:ascii="Times New Roman" w:hAnsi="Times New Roman"/>
          <w:color w:val="auto"/>
          <w:highlight w:val="none"/>
        </w:rPr>
      </w:pPr>
      <w:r>
        <w:rPr>
          <w:rFonts w:hint="eastAsia" w:ascii="Times New Roman" w:hAnsi="Times New Roman"/>
          <w:color w:val="auto"/>
          <w:highlight w:val="none"/>
          <w:lang w:val="en-US" w:eastAsia="zh-CN"/>
        </w:rPr>
        <w:t>方案需包含</w:t>
      </w:r>
      <w:r>
        <w:rPr>
          <w:rFonts w:hint="eastAsia" w:ascii="Times New Roman" w:hAnsi="Times New Roman"/>
          <w:color w:val="auto"/>
          <w:highlight w:val="none"/>
        </w:rPr>
        <w:t>项目实施要求</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并</w:t>
      </w:r>
      <w:r>
        <w:rPr>
          <w:rFonts w:hint="eastAsia" w:ascii="Times New Roman" w:hAnsi="Times New Roman"/>
          <w:color w:val="auto"/>
          <w:highlight w:val="none"/>
        </w:rPr>
        <w:t>详细阐述，如下供参考。</w:t>
      </w:r>
    </w:p>
    <w:p w14:paraId="1592DBED">
      <w:pPr>
        <w:rPr>
          <w:rFonts w:ascii="Times New Roman" w:hAnsi="Times New Roman"/>
          <w:color w:val="auto"/>
          <w:highlight w:val="none"/>
        </w:rPr>
      </w:pPr>
      <w:r>
        <w:rPr>
          <w:rFonts w:hint="eastAsia" w:ascii="Times New Roman" w:hAnsi="Times New Roman"/>
          <w:color w:val="auto"/>
          <w:highlight w:val="none"/>
        </w:rPr>
        <w:t>在本项目实施周期内，如遇到原系统功能与需求不符，需要及时调整实施方案，满足比选人的要求，并征得比选人同意方可变更。</w:t>
      </w:r>
      <w:r>
        <w:rPr>
          <w:rFonts w:hint="eastAsia" w:ascii="Times New Roman" w:hAnsi="Times New Roman"/>
          <w:bCs/>
          <w:color w:val="auto"/>
          <w:highlight w:val="none"/>
        </w:rPr>
        <w:t>最终需求以双方会签后的《项目需求分析说明书》为准</w:t>
      </w:r>
      <w:r>
        <w:rPr>
          <w:rFonts w:ascii="Times New Roman" w:hAnsi="Times New Roman"/>
          <w:bCs/>
          <w:color w:val="auto"/>
          <w:highlight w:val="none"/>
        </w:rPr>
        <w:t>。</w:t>
      </w:r>
    </w:p>
    <w:p w14:paraId="74864BEA">
      <w:pPr>
        <w:rPr>
          <w:rFonts w:ascii="Times New Roman" w:hAnsi="Times New Roman"/>
          <w:color w:val="auto"/>
          <w:highlight w:val="none"/>
        </w:rPr>
      </w:pPr>
      <w:r>
        <w:rPr>
          <w:rFonts w:hint="eastAsia" w:ascii="Times New Roman" w:hAnsi="Times New Roman"/>
          <w:color w:val="auto"/>
          <w:highlight w:val="none"/>
          <w:lang w:val="en-US" w:eastAsia="zh-CN"/>
        </w:rPr>
        <w:t>中</w:t>
      </w:r>
      <w:r>
        <w:rPr>
          <w:rFonts w:hint="eastAsia" w:ascii="Times New Roman" w:hAnsi="Times New Roman"/>
          <w:color w:val="auto"/>
          <w:highlight w:val="none"/>
        </w:rPr>
        <w:t>选人在项目实施过程中，需按照比选人项目管理规范提供相应文档（所有提交文档必须为中文）。</w:t>
      </w:r>
    </w:p>
    <w:p w14:paraId="552192A8">
      <w:pPr>
        <w:rPr>
          <w:rFonts w:ascii="Times New Roman" w:hAnsi="Times New Roman"/>
          <w:color w:val="auto"/>
          <w:highlight w:val="none"/>
        </w:rPr>
      </w:pPr>
      <w:r>
        <w:rPr>
          <w:rFonts w:hint="eastAsia" w:ascii="Times New Roman" w:hAnsi="Times New Roman"/>
          <w:color w:val="auto"/>
          <w:highlight w:val="none"/>
        </w:rPr>
        <w:t>本项目为现场开发，原则上不允许远程开发模式，除非得到比选人的明确认可和授权。</w:t>
      </w:r>
    </w:p>
    <w:p w14:paraId="3ABA8A95">
      <w:pPr>
        <w:rPr>
          <w:rFonts w:ascii="Times New Roman" w:hAnsi="Times New Roman" w:cs="Times New Roman"/>
          <w:color w:val="auto"/>
          <w:highlight w:val="none"/>
        </w:rPr>
      </w:pPr>
      <w:r>
        <w:rPr>
          <w:rFonts w:ascii="Times New Roman" w:hAnsi="Times New Roman"/>
          <w:color w:val="auto"/>
          <w:highlight w:val="none"/>
        </w:rPr>
        <w:t>为确保本项目顺利落地实施，需根据行内情况提供必要的项目咨询培训服务。中选人需在系统上线后提供培训与驻场咨询支持，引领业务人员熟练使用系统，达到相关要求后经本行同意方可离场。</w:t>
      </w:r>
    </w:p>
    <w:p w14:paraId="0B59EADA">
      <w:pPr>
        <w:rPr>
          <w:rFonts w:ascii="Times New Roman" w:hAnsi="Times New Roman"/>
          <w:color w:val="auto"/>
          <w:highlight w:val="none"/>
        </w:rPr>
      </w:pPr>
      <w:r>
        <w:rPr>
          <w:rFonts w:hint="eastAsia" w:ascii="Times New Roman" w:hAnsi="Times New Roman"/>
          <w:color w:val="auto"/>
          <w:highlight w:val="none"/>
        </w:rPr>
        <w:t>【提供项目实施方案】</w:t>
      </w:r>
    </w:p>
    <w:bookmarkEnd w:id="171"/>
    <w:bookmarkEnd w:id="172"/>
    <w:p w14:paraId="3DE85C1B">
      <w:pPr>
        <w:pStyle w:val="3"/>
        <w:numPr>
          <w:ilvl w:val="0"/>
          <w:numId w:val="0"/>
        </w:numPr>
        <w:ind w:left="360" w:leftChars="0" w:hanging="360" w:firstLineChars="0"/>
        <w:rPr>
          <w:rFonts w:ascii="Times New Roman" w:hAnsi="Times New Roman"/>
          <w:color w:val="auto"/>
          <w:highlight w:val="none"/>
        </w:rPr>
      </w:pPr>
      <w:bookmarkStart w:id="204" w:name="_Toc15059422"/>
      <w:bookmarkStart w:id="205" w:name="_Toc89675148"/>
      <w:bookmarkStart w:id="206" w:name="_Toc7160"/>
      <w:bookmarkStart w:id="207" w:name="_Toc5976"/>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付款方式</w:t>
      </w:r>
      <w:bookmarkEnd w:id="204"/>
      <w:bookmarkEnd w:id="205"/>
      <w:bookmarkEnd w:id="206"/>
      <w:bookmarkEnd w:id="207"/>
    </w:p>
    <w:p w14:paraId="6B28771F">
      <w:pPr>
        <w:rPr>
          <w:rFonts w:ascii="Times New Roman" w:hAnsi="Times New Roman"/>
          <w:color w:val="auto"/>
          <w:highlight w:val="none"/>
        </w:rPr>
      </w:pPr>
      <w:r>
        <w:rPr>
          <w:rFonts w:hint="eastAsia" w:ascii="Times New Roman" w:hAnsi="Times New Roman"/>
          <w:color w:val="auto"/>
          <w:highlight w:val="none"/>
        </w:rPr>
        <w:t>款项采用分期付款，具体如下：</w:t>
      </w:r>
    </w:p>
    <w:p w14:paraId="12289E4E">
      <w:pPr>
        <w:rPr>
          <w:rFonts w:ascii="Times New Roman" w:hAnsi="Times New Roman"/>
          <w:color w:val="auto"/>
          <w:highlight w:val="none"/>
        </w:rPr>
      </w:pPr>
      <w:r>
        <w:rPr>
          <w:rFonts w:hint="eastAsia" w:ascii="Times New Roman" w:hAnsi="Times New Roman"/>
          <w:color w:val="auto"/>
          <w:highlight w:val="none"/>
        </w:rPr>
        <w:t>•项目安装、调试并投入试运行后30个工作日内,支付项目合同总价的60％。</w:t>
      </w:r>
    </w:p>
    <w:p w14:paraId="2F305987">
      <w:pPr>
        <w:rPr>
          <w:rFonts w:ascii="Times New Roman" w:hAnsi="Times New Roman"/>
          <w:color w:val="auto"/>
          <w:highlight w:val="none"/>
        </w:rPr>
      </w:pPr>
      <w:r>
        <w:rPr>
          <w:rFonts w:hint="eastAsia" w:ascii="Times New Roman" w:hAnsi="Times New Roman"/>
          <w:color w:val="auto"/>
          <w:highlight w:val="none"/>
        </w:rPr>
        <w:t>•项目正式验收合格后30个工作日内,支付项目合同总价的30％。</w:t>
      </w:r>
    </w:p>
    <w:p w14:paraId="3032D6FC">
      <w:pPr>
        <w:rPr>
          <w:rFonts w:ascii="Times New Roman" w:hAnsi="Times New Roman"/>
          <w:color w:val="auto"/>
          <w:highlight w:val="none"/>
        </w:rPr>
      </w:pPr>
      <w:r>
        <w:rPr>
          <w:rFonts w:hint="eastAsia" w:ascii="Times New Roman" w:hAnsi="Times New Roman"/>
          <w:color w:val="auto"/>
          <w:highlight w:val="none"/>
        </w:rPr>
        <w:t>•维护到期后30个工作日内，支付项目合同总价的10%。</w:t>
      </w:r>
    </w:p>
    <w:p w14:paraId="79A216F6">
      <w:pPr>
        <w:pStyle w:val="3"/>
        <w:numPr>
          <w:ilvl w:val="0"/>
          <w:numId w:val="0"/>
        </w:numPr>
        <w:ind w:left="360" w:leftChars="0" w:hanging="360" w:firstLineChars="0"/>
        <w:rPr>
          <w:rFonts w:ascii="Times New Roman" w:hAnsi="Times New Roman"/>
          <w:color w:val="auto"/>
          <w:highlight w:val="none"/>
        </w:rPr>
      </w:pPr>
      <w:bookmarkStart w:id="208" w:name="_Toc15059424"/>
      <w:bookmarkStart w:id="209" w:name="_Toc9504"/>
      <w:bookmarkStart w:id="210" w:name="_Toc20902"/>
      <w:bookmarkStart w:id="211" w:name="_Toc89675150"/>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保密条款</w:t>
      </w:r>
      <w:bookmarkEnd w:id="173"/>
      <w:bookmarkEnd w:id="174"/>
      <w:bookmarkEnd w:id="175"/>
      <w:bookmarkEnd w:id="176"/>
      <w:bookmarkEnd w:id="208"/>
      <w:bookmarkEnd w:id="209"/>
      <w:bookmarkEnd w:id="210"/>
      <w:bookmarkEnd w:id="211"/>
    </w:p>
    <w:p w14:paraId="7FC742C8">
      <w:pPr>
        <w:pStyle w:val="4"/>
        <w:rPr>
          <w:rFonts w:ascii="Times New Roman" w:hAnsi="Times New Roman"/>
          <w:color w:val="auto"/>
          <w:highlight w:val="none"/>
        </w:rPr>
      </w:pPr>
      <w:bookmarkStart w:id="212" w:name="_Toc22927"/>
      <w:bookmarkStart w:id="213" w:name="_Toc14206"/>
      <w:r>
        <w:rPr>
          <w:rFonts w:hint="eastAsia" w:ascii="Times New Roman" w:hAnsi="Times New Roman"/>
          <w:color w:val="auto"/>
          <w:highlight w:val="none"/>
        </w:rPr>
        <w:t>1</w:t>
      </w:r>
      <w:r>
        <w:rPr>
          <w:rFonts w:hint="eastAsia" w:ascii="Times New Roman" w:hAnsi="Times New Roman"/>
          <w:color w:val="auto"/>
          <w:highlight w:val="none"/>
          <w:lang w:val="en-US" w:eastAsia="zh-CN"/>
        </w:rPr>
        <w:t>4</w:t>
      </w:r>
      <w:r>
        <w:rPr>
          <w:rFonts w:hint="eastAsia" w:ascii="Times New Roman" w:hAnsi="Times New Roman"/>
          <w:color w:val="auto"/>
          <w:highlight w:val="none"/>
        </w:rPr>
        <w:t>.1 保密范围</w:t>
      </w:r>
      <w:bookmarkEnd w:id="212"/>
      <w:bookmarkEnd w:id="213"/>
    </w:p>
    <w:p w14:paraId="4D3A5B37">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2C3A89D0">
      <w:pPr>
        <w:pStyle w:val="4"/>
        <w:rPr>
          <w:rFonts w:ascii="Times New Roman" w:hAnsi="Times New Roman"/>
          <w:color w:val="auto"/>
          <w:highlight w:val="none"/>
        </w:rPr>
      </w:pPr>
      <w:bookmarkStart w:id="214" w:name="_Toc24475"/>
      <w:bookmarkStart w:id="215" w:name="_Toc9019"/>
      <w:r>
        <w:rPr>
          <w:rFonts w:ascii="Times New Roman" w:hAnsi="Times New Roman"/>
          <w:color w:val="auto"/>
          <w:highlight w:val="none"/>
        </w:rPr>
        <w:t>1</w:t>
      </w:r>
      <w:r>
        <w:rPr>
          <w:rFonts w:hint="eastAsia" w:ascii="Times New Roman" w:hAnsi="Times New Roman"/>
          <w:color w:val="auto"/>
          <w:highlight w:val="none"/>
          <w:lang w:val="en-US" w:eastAsia="zh-CN"/>
        </w:rPr>
        <w:t>4</w:t>
      </w:r>
      <w:r>
        <w:rPr>
          <w:rFonts w:hint="eastAsia" w:ascii="Times New Roman" w:hAnsi="Times New Roman"/>
          <w:color w:val="auto"/>
          <w:highlight w:val="none"/>
        </w:rPr>
        <w:t>.2 保密责任</w:t>
      </w:r>
      <w:bookmarkEnd w:id="214"/>
      <w:bookmarkEnd w:id="215"/>
    </w:p>
    <w:p w14:paraId="5F9F6818">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214A4FE7">
      <w:pPr>
        <w:pStyle w:val="3"/>
        <w:numPr>
          <w:ilvl w:val="0"/>
          <w:numId w:val="0"/>
        </w:numPr>
        <w:ind w:left="360" w:leftChars="0" w:hanging="360" w:firstLineChars="0"/>
        <w:rPr>
          <w:rFonts w:ascii="Times New Roman" w:hAnsi="Times New Roman"/>
          <w:color w:val="auto"/>
          <w:highlight w:val="none"/>
        </w:rPr>
      </w:pPr>
      <w:bookmarkStart w:id="216" w:name="_Toc12903"/>
      <w:bookmarkStart w:id="217" w:name="_Toc27994"/>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报价要求</w:t>
      </w:r>
      <w:bookmarkEnd w:id="216"/>
      <w:bookmarkEnd w:id="217"/>
    </w:p>
    <w:p w14:paraId="45F12CA8">
      <w:pPr>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18608F61">
      <w:pPr>
        <w:pStyle w:val="3"/>
        <w:numPr>
          <w:ilvl w:val="0"/>
          <w:numId w:val="0"/>
        </w:numPr>
        <w:ind w:left="360" w:leftChars="0" w:hanging="360" w:firstLineChars="0"/>
        <w:rPr>
          <w:rFonts w:ascii="Times New Roman" w:hAnsi="Times New Roman"/>
          <w:color w:val="auto"/>
          <w:highlight w:val="none"/>
        </w:rPr>
      </w:pPr>
      <w:bookmarkStart w:id="218" w:name="_Toc20270"/>
      <w:bookmarkStart w:id="219" w:name="_Toc15059426"/>
      <w:bookmarkStart w:id="220" w:name="_Toc89675152"/>
      <w:bookmarkStart w:id="221" w:name="_Toc1702"/>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知识产权</w:t>
      </w:r>
      <w:bookmarkEnd w:id="218"/>
      <w:bookmarkEnd w:id="219"/>
      <w:bookmarkEnd w:id="220"/>
      <w:bookmarkEnd w:id="221"/>
    </w:p>
    <w:p w14:paraId="285FDAB9">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79B03A42">
      <w:pPr>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9FB599B">
      <w:pPr>
        <w:pStyle w:val="3"/>
        <w:numPr>
          <w:ilvl w:val="0"/>
          <w:numId w:val="0"/>
        </w:numPr>
        <w:ind w:left="360" w:leftChars="0" w:hanging="360" w:firstLineChars="0"/>
        <w:rPr>
          <w:rFonts w:ascii="Times New Roman" w:hAnsi="Times New Roman"/>
          <w:color w:val="auto"/>
          <w:highlight w:val="none"/>
        </w:rPr>
      </w:pPr>
      <w:bookmarkStart w:id="222" w:name="_Toc19610"/>
      <w:bookmarkStart w:id="223" w:name="_Toc15059427"/>
      <w:bookmarkStart w:id="224" w:name="_Toc14531"/>
      <w:bookmarkStart w:id="225" w:name="_Toc89675153"/>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其他</w:t>
      </w:r>
      <w:bookmarkEnd w:id="222"/>
      <w:bookmarkEnd w:id="223"/>
      <w:bookmarkEnd w:id="224"/>
      <w:bookmarkEnd w:id="225"/>
    </w:p>
    <w:p w14:paraId="2CA24D15">
      <w:pPr>
        <w:ind w:firstLine="480"/>
        <w:rPr>
          <w:rFonts w:ascii="Times New Roman" w:hAnsi="Times New Roman" w:cs="Times New Roman"/>
          <w:color w:val="auto"/>
          <w:highlight w:val="none"/>
        </w:rPr>
      </w:pPr>
      <w:r>
        <w:rPr>
          <w:rFonts w:ascii="Times New Roman" w:hAnsi="Times New Roman" w:cs="Times New Roman"/>
          <w:color w:val="auto"/>
          <w:highlight w:val="none"/>
        </w:rPr>
        <w:t>1）参选人必须在响应承诺函中对本章内容做出整体承诺，承诺内容必须达到本</w:t>
      </w:r>
      <w:r>
        <w:rPr>
          <w:rFonts w:hint="eastAsia" w:ascii="Times New Roman" w:hAnsi="Times New Roman" w:cs="Times New Roman"/>
          <w:color w:val="auto"/>
          <w:highlight w:val="none"/>
        </w:rPr>
        <w:t>章</w:t>
      </w:r>
      <w:r>
        <w:rPr>
          <w:rFonts w:ascii="Times New Roman" w:hAnsi="Times New Roman" w:cs="Times New Roman"/>
          <w:color w:val="auto"/>
          <w:highlight w:val="none"/>
        </w:rPr>
        <w:t>及比选文件其他条款的要求。</w:t>
      </w:r>
    </w:p>
    <w:p w14:paraId="7F501190">
      <w:pPr>
        <w:ind w:firstLine="480"/>
        <w:rPr>
          <w:rFonts w:ascii="Times New Roman" w:hAnsi="Times New Roman" w:cs="Times New Roman"/>
          <w:color w:val="auto"/>
          <w:highlight w:val="none"/>
        </w:rPr>
      </w:pPr>
      <w:r>
        <w:rPr>
          <w:rFonts w:ascii="Times New Roman" w:hAnsi="Times New Roman" w:cs="Times New Roman"/>
          <w:color w:val="auto"/>
          <w:highlight w:val="none"/>
        </w:rPr>
        <w:t>2）参选人应根据本章内容和要求，提供对应材料，内容齐全，无遗漏。</w:t>
      </w:r>
    </w:p>
    <w:p w14:paraId="36474F74">
      <w:pPr>
        <w:ind w:firstLine="48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）其他未尽事宜由供需双方在合同中详细约定。</w:t>
      </w:r>
    </w:p>
    <w:p w14:paraId="2E748999">
      <w:pPr>
        <w:snapToGrid w:val="0"/>
        <w:spacing w:line="360" w:lineRule="auto"/>
        <w:ind w:firstLine="0" w:firstLineChars="0"/>
        <w:rPr>
          <w:rFonts w:ascii="Times New Roman" w:hAnsi="Times New Roman" w:cs="宋体"/>
          <w:snapToGrid w:val="0"/>
          <w:color w:val="auto"/>
          <w:kern w:val="0"/>
          <w:szCs w:val="24"/>
          <w:highlight w:val="none"/>
        </w:rPr>
      </w:pPr>
    </w:p>
    <w:p w14:paraId="27A24C51">
      <w:pPr>
        <w:snapToGrid w:val="0"/>
        <w:spacing w:line="360" w:lineRule="auto"/>
        <w:ind w:firstLine="0" w:firstLineChars="0"/>
        <w:rPr>
          <w:rFonts w:ascii="Times New Roman" w:hAnsi="Times New Roman" w:cs="Times New Roman"/>
          <w:color w:val="auto"/>
          <w:kern w:val="0"/>
          <w:sz w:val="21"/>
          <w:szCs w:val="21"/>
          <w:highlight w:val="none"/>
        </w:rPr>
      </w:pPr>
      <w:bookmarkStart w:id="226" w:name="_Toc29189"/>
      <w:r>
        <w:rPr>
          <w:rFonts w:hint="eastAsia" w:ascii="Times New Roman" w:hAnsi="Times New Roman" w:cs="Times New Roman"/>
          <w:color w:val="auto"/>
          <w:kern w:val="0"/>
          <w:sz w:val="21"/>
          <w:szCs w:val="21"/>
          <w:highlight w:val="none"/>
        </w:rPr>
        <w:br w:type="page"/>
      </w:r>
    </w:p>
    <w:p w14:paraId="7DBB0FEE">
      <w:pPr>
        <w:pStyle w:val="3"/>
        <w:rPr>
          <w:rFonts w:ascii="Times New Roman" w:hAnsi="Times New Roman" w:cs="宋体"/>
          <w:color w:val="auto"/>
          <w:highlight w:val="none"/>
        </w:rPr>
      </w:pPr>
      <w:bookmarkStart w:id="227" w:name="_Toc17679"/>
      <w:bookmarkStart w:id="228" w:name="_Toc30947"/>
      <w:r>
        <w:rPr>
          <w:rFonts w:hint="eastAsia" w:ascii="Times New Roman" w:hAnsi="Times New Roman" w:cs="宋体"/>
          <w:color w:val="auto"/>
          <w:highlight w:val="none"/>
        </w:rPr>
        <w:t>附件一</w:t>
      </w:r>
      <w:r>
        <w:rPr>
          <w:rFonts w:ascii="Times New Roman" w:hAnsi="Times New Roman"/>
          <w:color w:val="auto"/>
          <w:highlight w:val="none"/>
        </w:rPr>
        <w:t>：报名函</w:t>
      </w:r>
      <w:bookmarkEnd w:id="227"/>
      <w:bookmarkEnd w:id="228"/>
    </w:p>
    <w:p w14:paraId="6605884C">
      <w:pPr>
        <w:jc w:val="center"/>
        <w:rPr>
          <w:rFonts w:ascii="宋体" w:cs="宋体"/>
          <w:b/>
          <w:bCs/>
          <w:snapToGrid w:val="0"/>
          <w:color w:val="auto"/>
          <w:kern w:val="0"/>
          <w:sz w:val="36"/>
          <w:szCs w:val="36"/>
          <w:highlight w:val="none"/>
        </w:rPr>
      </w:pPr>
      <w:r>
        <w:rPr>
          <w:rFonts w:hint="eastAsia" w:ascii="宋体" w:cs="宋体"/>
          <w:b/>
          <w:bCs/>
          <w:snapToGrid w:val="0"/>
          <w:color w:val="auto"/>
          <w:kern w:val="0"/>
          <w:sz w:val="36"/>
          <w:szCs w:val="36"/>
          <w:highlight w:val="none"/>
        </w:rPr>
        <w:t>报名函</w:t>
      </w:r>
    </w:p>
    <w:p w14:paraId="4F5BCA95">
      <w:pPr>
        <w:autoSpaceDE/>
        <w:autoSpaceDN/>
        <w:rPr>
          <w:rFonts w:ascii="宋体" w:cs="宋体"/>
          <w:snapToGrid w:val="0"/>
          <w:color w:val="auto"/>
          <w:kern w:val="0"/>
          <w:szCs w:val="24"/>
          <w:highlight w:val="none"/>
        </w:rPr>
      </w:pPr>
      <w:r>
        <w:rPr>
          <w:rFonts w:hint="eastAsia" w:ascii="宋体" w:cs="宋体"/>
          <w:snapToGrid w:val="0"/>
          <w:color w:val="auto"/>
          <w:kern w:val="0"/>
          <w:szCs w:val="24"/>
          <w:highlight w:val="none"/>
        </w:rPr>
        <w:t>重庆三峡银行股份有限公司：</w:t>
      </w:r>
    </w:p>
    <w:p w14:paraId="7B370099">
      <w:pPr>
        <w:autoSpaceDE/>
        <w:autoSpaceDN/>
        <w:rPr>
          <w:rFonts w:ascii="宋体" w:cs="宋体"/>
          <w:snapToGrid w:val="0"/>
          <w:color w:val="auto"/>
          <w:kern w:val="0"/>
          <w:szCs w:val="24"/>
          <w:highlight w:val="none"/>
        </w:rPr>
      </w:pPr>
      <w:r>
        <w:rPr>
          <w:rFonts w:hint="eastAsia" w:ascii="宋体" w:cs="宋体"/>
          <w:snapToGrid w:val="0"/>
          <w:color w:val="auto"/>
          <w:kern w:val="0"/>
          <w:szCs w:val="24"/>
          <w:highlight w:val="none"/>
        </w:rPr>
        <w:t>我单位报名参加“重庆三峡银行</w:t>
      </w:r>
      <w:r>
        <w:rPr>
          <w:rFonts w:ascii="宋体" w:cs="宋体"/>
          <w:snapToGrid w:val="0"/>
          <w:color w:val="auto"/>
          <w:kern w:val="0"/>
          <w:szCs w:val="24"/>
          <w:highlight w:val="none"/>
        </w:rPr>
        <w:t>审计监督信息系统优化升级项目</w:t>
      </w:r>
      <w:r>
        <w:rPr>
          <w:rFonts w:hint="eastAsia" w:ascii="宋体" w:cs="宋体"/>
          <w:snapToGrid w:val="0"/>
          <w:color w:val="auto"/>
          <w:kern w:val="0"/>
          <w:szCs w:val="24"/>
          <w:highlight w:val="none"/>
        </w:rPr>
        <w:t>”，将根据比选文件要求，完成本项目POC测试及比选文件递交等项目流程。</w:t>
      </w:r>
    </w:p>
    <w:p w14:paraId="30490E2C">
      <w:pPr>
        <w:autoSpaceDE/>
        <w:autoSpaceDN/>
        <w:jc w:val="right"/>
        <w:rPr>
          <w:rFonts w:ascii="宋体" w:cs="宋体"/>
          <w:snapToGrid w:val="0"/>
          <w:color w:val="auto"/>
          <w:kern w:val="0"/>
          <w:szCs w:val="24"/>
          <w:highlight w:val="none"/>
        </w:rPr>
      </w:pPr>
    </w:p>
    <w:p w14:paraId="79B5191D">
      <w:pPr>
        <w:autoSpaceDE/>
        <w:autoSpaceDN/>
        <w:jc w:val="right"/>
        <w:rPr>
          <w:rFonts w:ascii="宋体" w:cs="宋体"/>
          <w:snapToGrid w:val="0"/>
          <w:color w:val="auto"/>
          <w:kern w:val="0"/>
          <w:szCs w:val="24"/>
          <w:highlight w:val="none"/>
        </w:rPr>
      </w:pPr>
    </w:p>
    <w:p w14:paraId="43DB13AF">
      <w:pPr>
        <w:autoSpaceDE/>
        <w:autoSpaceDN/>
        <w:jc w:val="right"/>
        <w:rPr>
          <w:rFonts w:ascii="宋体" w:cs="宋体"/>
          <w:snapToGrid w:val="0"/>
          <w:color w:val="auto"/>
          <w:kern w:val="0"/>
          <w:szCs w:val="24"/>
          <w:highlight w:val="none"/>
        </w:rPr>
      </w:pPr>
    </w:p>
    <w:p w14:paraId="54AF8928">
      <w:pPr>
        <w:autoSpaceDE/>
        <w:autoSpaceDN/>
        <w:jc w:val="center"/>
        <w:rPr>
          <w:rFonts w:ascii="宋体" w:cs="宋体"/>
          <w:snapToGrid w:val="0"/>
          <w:color w:val="auto"/>
          <w:kern w:val="0"/>
          <w:szCs w:val="24"/>
          <w:highlight w:val="none"/>
        </w:rPr>
      </w:pPr>
      <w:r>
        <w:rPr>
          <w:rFonts w:hint="eastAsia" w:ascii="宋体" w:cs="宋体"/>
          <w:snapToGrid w:val="0"/>
          <w:color w:val="auto"/>
          <w:kern w:val="0"/>
          <w:szCs w:val="24"/>
          <w:highlight w:val="none"/>
        </w:rPr>
        <w:t xml:space="preserve">                        单位名称（盖章）：</w:t>
      </w:r>
    </w:p>
    <w:p w14:paraId="02ECB6BB">
      <w:pPr>
        <w:autoSpaceDE/>
        <w:autoSpaceDN/>
        <w:jc w:val="center"/>
        <w:rPr>
          <w:rFonts w:ascii="宋体" w:cs="宋体"/>
          <w:snapToGrid w:val="0"/>
          <w:color w:val="auto"/>
          <w:kern w:val="0"/>
          <w:szCs w:val="24"/>
          <w:highlight w:val="none"/>
        </w:rPr>
      </w:pPr>
      <w:r>
        <w:rPr>
          <w:rFonts w:hint="eastAsia" w:ascii="宋体" w:cs="宋体"/>
          <w:snapToGrid w:val="0"/>
          <w:color w:val="auto"/>
          <w:kern w:val="0"/>
          <w:szCs w:val="24"/>
          <w:highlight w:val="none"/>
        </w:rPr>
        <w:t xml:space="preserve">                                             联系人：</w:t>
      </w:r>
    </w:p>
    <w:p w14:paraId="0FADC259">
      <w:pPr>
        <w:autoSpaceDE/>
        <w:autoSpaceDN/>
        <w:jc w:val="center"/>
        <w:rPr>
          <w:rFonts w:ascii="宋体" w:cs="宋体"/>
          <w:snapToGrid w:val="0"/>
          <w:color w:val="auto"/>
          <w:kern w:val="0"/>
          <w:szCs w:val="24"/>
          <w:highlight w:val="none"/>
        </w:rPr>
      </w:pPr>
      <w:r>
        <w:rPr>
          <w:rFonts w:hint="eastAsia" w:ascii="宋体" w:cs="宋体"/>
          <w:snapToGrid w:val="0"/>
          <w:color w:val="auto"/>
          <w:kern w:val="0"/>
          <w:szCs w:val="24"/>
          <w:highlight w:val="none"/>
        </w:rPr>
        <w:t xml:space="preserve">                                               联系电话：</w:t>
      </w:r>
    </w:p>
    <w:p w14:paraId="44B0931B">
      <w:pPr>
        <w:autoSpaceDE/>
        <w:autoSpaceDN/>
        <w:jc w:val="right"/>
        <w:rPr>
          <w:rFonts w:ascii="宋体" w:cs="宋体"/>
          <w:snapToGrid w:val="0"/>
          <w:color w:val="auto"/>
          <w:kern w:val="0"/>
          <w:szCs w:val="24"/>
          <w:highlight w:val="none"/>
        </w:rPr>
      </w:pPr>
      <w:r>
        <w:rPr>
          <w:rFonts w:hint="eastAsia" w:ascii="宋体" w:cs="宋体"/>
          <w:snapToGrid w:val="0"/>
          <w:color w:val="auto"/>
          <w:kern w:val="0"/>
          <w:szCs w:val="24"/>
          <w:highlight w:val="none"/>
        </w:rPr>
        <w:t>2024年  月  日</w:t>
      </w:r>
    </w:p>
    <w:p w14:paraId="186C344B">
      <w:pPr>
        <w:rPr>
          <w:rFonts w:ascii="宋体" w:cs="宋体"/>
          <w:b/>
          <w:bCs/>
          <w:color w:val="auto"/>
          <w:sz w:val="28"/>
          <w:szCs w:val="28"/>
          <w:highlight w:val="none"/>
        </w:rPr>
      </w:pPr>
      <w:r>
        <w:rPr>
          <w:rFonts w:hint="eastAsia" w:ascii="宋体" w:cs="宋体"/>
          <w:b/>
          <w:bCs/>
          <w:color w:val="auto"/>
          <w:sz w:val="28"/>
          <w:szCs w:val="28"/>
          <w:highlight w:val="none"/>
        </w:rPr>
        <w:br w:type="page"/>
      </w:r>
    </w:p>
    <w:p w14:paraId="7C5CC5A6">
      <w:pPr>
        <w:pStyle w:val="3"/>
        <w:rPr>
          <w:rFonts w:ascii="Times New Roman" w:hAnsi="Times New Roman"/>
          <w:color w:val="auto"/>
          <w:highlight w:val="none"/>
        </w:rPr>
      </w:pPr>
      <w:bookmarkStart w:id="229" w:name="_Toc15172"/>
      <w:bookmarkStart w:id="230" w:name="_Toc29621"/>
      <w:bookmarkStart w:id="231" w:name="_Toc7819"/>
      <w:r>
        <w:rPr>
          <w:rFonts w:ascii="Times New Roman" w:hAnsi="Times New Roman"/>
          <w:color w:val="auto"/>
          <w:highlight w:val="none"/>
        </w:rPr>
        <w:t>附件二：POC测试</w:t>
      </w:r>
      <w:bookmarkEnd w:id="229"/>
      <w:r>
        <w:rPr>
          <w:rFonts w:ascii="Times New Roman" w:hAnsi="Times New Roman"/>
          <w:color w:val="auto"/>
          <w:highlight w:val="none"/>
        </w:rPr>
        <w:t>方案</w:t>
      </w:r>
      <w:bookmarkEnd w:id="230"/>
      <w:bookmarkEnd w:id="231"/>
    </w:p>
    <w:p w14:paraId="05E6A628">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一、POC测试背景</w:t>
      </w:r>
    </w:p>
    <w:p w14:paraId="06F6842A">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1.测试范围</w:t>
      </w:r>
    </w:p>
    <w:p w14:paraId="72F675AA">
      <w:pPr>
        <w:rPr>
          <w:rFonts w:ascii="Times New Roman" w:hAnsi="Times New Roman" w:cs="Times New Roman"/>
          <w:color w:val="auto"/>
          <w:highlight w:val="none"/>
        </w:rPr>
      </w:pPr>
      <w:r>
        <w:rPr>
          <w:rFonts w:ascii="Times New Roman" w:hAnsi="Times New Roman" w:cs="Times New Roman"/>
          <w:color w:val="auto"/>
          <w:highlight w:val="none"/>
        </w:rPr>
        <w:t>为了进一步提高审计工作效率、规范审计工作和提升审计管理效果，对现场审计板块进行重新梳理建设，打造更加贴近我行现场审计工作需要的线上审计流程闭环；新增审计驾驶舱，统计审计管理所需各类数据，实时向管理层展示并提供各类数据支撑；扩展非现场数据分析工具，使审计数据分析更加便捷，为审计人员提供更多的数据分析工具，更加充分挖掘数据价值；建设集审计作业、数据分析、监控预警、知识平台、公共平台等系统模块；新系统将根据我行信息科技国产化要求适配国产化软、硬件。</w:t>
      </w:r>
    </w:p>
    <w:p w14:paraId="1E1DA1D3">
      <w:pPr>
        <w:rPr>
          <w:rFonts w:ascii="Times New Roman" w:hAnsi="Times New Roman" w:cs="Times New Roman"/>
          <w:color w:val="auto"/>
          <w:highlight w:val="none"/>
        </w:rPr>
      </w:pPr>
      <w:r>
        <w:rPr>
          <w:rFonts w:ascii="Times New Roman" w:hAnsi="Times New Roman" w:cs="Times New Roman"/>
          <w:color w:val="auto"/>
          <w:highlight w:val="none"/>
        </w:rPr>
        <w:t>为保证项目的工程质量，结合前期沟通交流结果，经过重庆三峡银行审计监督信息系统优化升级项目相关成员商议后，决定对参选人进行POC测试。</w:t>
      </w:r>
    </w:p>
    <w:p w14:paraId="0C00E1EE">
      <w:pPr>
        <w:rPr>
          <w:rFonts w:ascii="Times New Roman" w:hAnsi="Times New Roman" w:cs="Times New Roman"/>
          <w:b/>
          <w:bCs/>
          <w:color w:val="auto"/>
          <w:highlight w:val="none"/>
        </w:rPr>
      </w:pPr>
      <w:r>
        <w:rPr>
          <w:rFonts w:ascii="Times New Roman" w:hAnsi="Times New Roman" w:cs="Times New Roman"/>
          <w:b/>
          <w:bCs/>
          <w:color w:val="auto"/>
          <w:highlight w:val="none"/>
        </w:rPr>
        <w:t>2.测试目的</w:t>
      </w:r>
    </w:p>
    <w:p w14:paraId="62E7A982">
      <w:pPr>
        <w:rPr>
          <w:rFonts w:ascii="Times New Roman" w:hAnsi="Times New Roman" w:cs="Times New Roman"/>
          <w:color w:val="auto"/>
          <w:highlight w:val="none"/>
        </w:rPr>
      </w:pPr>
      <w:r>
        <w:rPr>
          <w:rFonts w:ascii="Times New Roman" w:hAnsi="Times New Roman" w:cs="Times New Roman"/>
          <w:color w:val="auto"/>
          <w:highlight w:val="none"/>
        </w:rPr>
        <w:t>本次POC的目的是通过审计监督信息系统功能的演示、产品架构设计的讲解，使我行进一步了解和考察参选人（以下简称乙方）重庆三峡银行审计监督信息系统优化升级项目的产品能力。</w:t>
      </w:r>
    </w:p>
    <w:p w14:paraId="015FD69D">
      <w:pPr>
        <w:rPr>
          <w:rFonts w:ascii="Times New Roman" w:hAnsi="Times New Roman" w:cs="Times New Roman"/>
          <w:color w:val="auto"/>
          <w:highlight w:val="none"/>
        </w:rPr>
      </w:pPr>
      <w:r>
        <w:rPr>
          <w:rFonts w:ascii="Times New Roman" w:hAnsi="Times New Roman" w:cs="Times New Roman"/>
          <w:color w:val="auto"/>
          <w:highlight w:val="none"/>
        </w:rPr>
        <w:t>通过本测试，应达到如下目的：</w:t>
      </w:r>
    </w:p>
    <w:p w14:paraId="6EB471F0">
      <w:pPr>
        <w:rPr>
          <w:rFonts w:ascii="Times New Roman" w:hAnsi="Times New Roman" w:cs="Times New Roman"/>
          <w:color w:val="auto"/>
          <w:highlight w:val="none"/>
        </w:rPr>
      </w:pPr>
      <w:r>
        <w:rPr>
          <w:rFonts w:ascii="Times New Roman" w:hAnsi="Times New Roman" w:cs="Times New Roman"/>
          <w:color w:val="auto"/>
          <w:highlight w:val="none"/>
        </w:rPr>
        <w:t>（1）考察参选人系统技术体系及业务体系先进性及针对我行业务和技术需求的适应性；</w:t>
      </w:r>
    </w:p>
    <w:p w14:paraId="6F251216">
      <w:pPr>
        <w:rPr>
          <w:rFonts w:ascii="Times New Roman" w:hAnsi="Times New Roman" w:cs="Times New Roman"/>
          <w:color w:val="auto"/>
          <w:highlight w:val="none"/>
        </w:rPr>
      </w:pPr>
      <w:r>
        <w:rPr>
          <w:rFonts w:ascii="Times New Roman" w:hAnsi="Times New Roman" w:cs="Times New Roman"/>
          <w:color w:val="auto"/>
          <w:highlight w:val="none"/>
        </w:rPr>
        <w:t>（2）查看参选人对行方需求的理解能力和将其转换为可实际落地产品规划和完整可用产品设计的能力；</w:t>
      </w:r>
    </w:p>
    <w:p w14:paraId="38BBAA1B">
      <w:pPr>
        <w:rPr>
          <w:rFonts w:ascii="Times New Roman" w:hAnsi="Times New Roman" w:cs="Times New Roman"/>
          <w:color w:val="auto"/>
          <w:highlight w:val="none"/>
        </w:rPr>
      </w:pPr>
      <w:r>
        <w:rPr>
          <w:rFonts w:ascii="Times New Roman" w:hAnsi="Times New Roman" w:cs="Times New Roman"/>
          <w:color w:val="auto"/>
          <w:highlight w:val="none"/>
        </w:rPr>
        <w:t>（3）验证系统能否在信创国产化产品上正常运行；</w:t>
      </w:r>
    </w:p>
    <w:p w14:paraId="1E49BF3A">
      <w:pPr>
        <w:rPr>
          <w:rFonts w:ascii="Times New Roman" w:hAnsi="Times New Roman" w:cs="Times New Roman"/>
          <w:color w:val="auto"/>
          <w:highlight w:val="none"/>
        </w:rPr>
      </w:pPr>
      <w:r>
        <w:rPr>
          <w:rFonts w:ascii="Times New Roman" w:hAnsi="Times New Roman" w:cs="Times New Roman"/>
          <w:color w:val="auto"/>
          <w:highlight w:val="none"/>
        </w:rPr>
        <w:t>（4）检验系统是否具有良好的可交互性、可管理性、系统安全性、可扩展性、可维护性及容错性等。</w:t>
      </w:r>
    </w:p>
    <w:p w14:paraId="1091E996">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二、POC测试安排</w:t>
      </w:r>
    </w:p>
    <w:p w14:paraId="159EE796">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1.POC时间、地点</w:t>
      </w:r>
    </w:p>
    <w:p w14:paraId="233A230C">
      <w:pPr>
        <w:rPr>
          <w:rFonts w:ascii="Times New Roman" w:hAnsi="Times New Roman" w:cs="Times New Roman"/>
          <w:color w:val="auto"/>
          <w:highlight w:val="none"/>
        </w:rPr>
      </w:pPr>
      <w:r>
        <w:rPr>
          <w:rFonts w:ascii="Times New Roman" w:hAnsi="Times New Roman" w:cs="Times New Roman"/>
          <w:color w:val="auto"/>
          <w:highlight w:val="none"/>
        </w:rPr>
        <w:t>（1）时间</w:t>
      </w:r>
    </w:p>
    <w:p w14:paraId="2462BA79">
      <w:pPr>
        <w:rPr>
          <w:rFonts w:ascii="Times New Roman" w:hAnsi="Times New Roman" w:cs="Times New Roman"/>
          <w:color w:val="auto"/>
          <w:highlight w:val="none"/>
        </w:rPr>
      </w:pPr>
      <w:r>
        <w:rPr>
          <w:rFonts w:hint="eastAsia" w:ascii="Times New Roman" w:hAnsi="Times New Roman" w:cs="Times New Roman"/>
          <w:color w:val="auto"/>
          <w:highlight w:val="none"/>
        </w:rPr>
        <w:t>根据项目实际情况安排</w:t>
      </w:r>
    </w:p>
    <w:p w14:paraId="13E7634F">
      <w:pPr>
        <w:rPr>
          <w:rFonts w:ascii="Times New Roman" w:hAnsi="Times New Roman" w:cs="Times New Roman"/>
          <w:color w:val="auto"/>
          <w:highlight w:val="none"/>
        </w:rPr>
      </w:pPr>
      <w:r>
        <w:rPr>
          <w:rFonts w:ascii="Times New Roman" w:hAnsi="Times New Roman" w:cs="Times New Roman"/>
          <w:color w:val="auto"/>
          <w:highlight w:val="none"/>
        </w:rPr>
        <w:t>（2）地点</w:t>
      </w:r>
    </w:p>
    <w:p w14:paraId="47E91816">
      <w:pPr>
        <w:rPr>
          <w:rFonts w:ascii="Times New Roman" w:hAnsi="Times New Roman" w:cs="Times New Roman"/>
          <w:color w:val="auto"/>
          <w:highlight w:val="none"/>
        </w:rPr>
      </w:pPr>
      <w:r>
        <w:rPr>
          <w:rFonts w:ascii="Times New Roman" w:hAnsi="Times New Roman" w:cs="Times New Roman"/>
          <w:color w:val="auto"/>
          <w:highlight w:val="none"/>
        </w:rPr>
        <w:t>重庆三峡银行西永办公楼（重庆市沙坪坝区学城大道67号西永软件楼2号楼）</w:t>
      </w:r>
    </w:p>
    <w:p w14:paraId="2C2FBDAD">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2.POC测试计划</w:t>
      </w:r>
    </w:p>
    <w:p w14:paraId="09DE4C19">
      <w:pPr>
        <w:rPr>
          <w:rFonts w:ascii="Times New Roman" w:hAnsi="Times New Roman" w:cs="Times New Roman"/>
          <w:color w:val="auto"/>
          <w:highlight w:val="none"/>
        </w:rPr>
      </w:pPr>
      <w:r>
        <w:rPr>
          <w:rFonts w:ascii="Times New Roman" w:hAnsi="Times New Roman" w:cs="Times New Roman"/>
          <w:color w:val="auto"/>
          <w:highlight w:val="none"/>
        </w:rPr>
        <w:t>POC实施阶段包括环境的搭建、现场开发；业务需求展示讲解，参选人与行内业务、科技人员交流，以及根据POC案例进行测试评分。具体日程安排如下：</w:t>
      </w:r>
    </w:p>
    <w:tbl>
      <w:tblPr>
        <w:tblStyle w:val="24"/>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663"/>
        <w:gridCol w:w="5360"/>
      </w:tblGrid>
      <w:tr w14:paraId="6269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80" w:type="dxa"/>
            <w:shd w:val="clear" w:color="FFFFFF" w:fill="D8D8D8"/>
            <w:vAlign w:val="center"/>
          </w:tcPr>
          <w:p w14:paraId="175F68B8">
            <w:pPr>
              <w:widowControl/>
              <w:ind w:firstLine="0" w:firstLineChars="0"/>
              <w:jc w:val="center"/>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主要任务</w:t>
            </w:r>
          </w:p>
        </w:tc>
        <w:tc>
          <w:tcPr>
            <w:tcW w:w="1663" w:type="dxa"/>
            <w:shd w:val="clear" w:color="FFFFFF" w:fill="D8D8D8"/>
            <w:vAlign w:val="center"/>
          </w:tcPr>
          <w:p w14:paraId="197B8200">
            <w:pPr>
              <w:widowControl/>
              <w:jc w:val="both"/>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人员</w:t>
            </w:r>
          </w:p>
        </w:tc>
        <w:tc>
          <w:tcPr>
            <w:tcW w:w="5360" w:type="dxa"/>
            <w:shd w:val="clear" w:color="FFFFFF" w:fill="D8D8D8"/>
            <w:vAlign w:val="center"/>
          </w:tcPr>
          <w:p w14:paraId="53727633">
            <w:pPr>
              <w:widowControl/>
              <w:jc w:val="center"/>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备注</w:t>
            </w:r>
          </w:p>
        </w:tc>
      </w:tr>
      <w:tr w14:paraId="20F7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shd w:val="clear" w:color="auto" w:fill="auto"/>
            <w:vAlign w:val="center"/>
          </w:tcPr>
          <w:p w14:paraId="22F7E6E9">
            <w:pPr>
              <w:widowControl/>
              <w:spacing w:line="500" w:lineRule="exact"/>
              <w:ind w:firstLine="0" w:firstLineChars="0"/>
              <w:jc w:val="both"/>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POC准备</w:t>
            </w:r>
          </w:p>
        </w:tc>
        <w:tc>
          <w:tcPr>
            <w:tcW w:w="1663" w:type="dxa"/>
            <w:tcBorders>
              <w:left w:val="single" w:color="auto" w:sz="4" w:space="0"/>
            </w:tcBorders>
            <w:shd w:val="clear" w:color="auto" w:fill="auto"/>
            <w:vAlign w:val="center"/>
          </w:tcPr>
          <w:p w14:paraId="7A722BD1">
            <w:pPr>
              <w:widowControl/>
              <w:spacing w:line="500" w:lineRule="exact"/>
              <w:jc w:val="both"/>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参选人</w:t>
            </w:r>
          </w:p>
        </w:tc>
        <w:tc>
          <w:tcPr>
            <w:tcW w:w="5360" w:type="dxa"/>
            <w:tcBorders>
              <w:left w:val="single" w:color="auto" w:sz="4" w:space="0"/>
            </w:tcBorders>
            <w:shd w:val="clear" w:color="auto" w:fill="auto"/>
            <w:vAlign w:val="center"/>
          </w:tcPr>
          <w:p w14:paraId="6D337D03">
            <w:pPr>
              <w:widowControl/>
              <w:spacing w:line="500" w:lineRule="exact"/>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环境搭建、系统开发测试</w:t>
            </w:r>
          </w:p>
        </w:tc>
      </w:tr>
      <w:tr w14:paraId="04AA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80" w:type="dxa"/>
            <w:vMerge w:val="restart"/>
            <w:shd w:val="clear" w:color="auto" w:fill="auto"/>
            <w:vAlign w:val="center"/>
          </w:tcPr>
          <w:p w14:paraId="6C5755A2">
            <w:pPr>
              <w:widowControl/>
              <w:spacing w:line="500" w:lineRule="exact"/>
              <w:ind w:firstLine="0" w:firstLineChars="0"/>
              <w:jc w:val="both"/>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POC检测</w:t>
            </w:r>
          </w:p>
        </w:tc>
        <w:tc>
          <w:tcPr>
            <w:tcW w:w="1663" w:type="dxa"/>
            <w:vMerge w:val="restart"/>
            <w:tcBorders>
              <w:left w:val="single" w:color="auto" w:sz="4" w:space="0"/>
            </w:tcBorders>
            <w:shd w:val="clear" w:color="auto" w:fill="auto"/>
            <w:vAlign w:val="center"/>
          </w:tcPr>
          <w:p w14:paraId="49C448B8">
            <w:pPr>
              <w:widowControl/>
              <w:spacing w:line="500" w:lineRule="exact"/>
              <w:ind w:firstLine="0" w:firstLineChars="0"/>
              <w:jc w:val="both"/>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厂商、行内业务、科技人员</w:t>
            </w:r>
          </w:p>
        </w:tc>
        <w:tc>
          <w:tcPr>
            <w:tcW w:w="5360" w:type="dxa"/>
            <w:tcBorders>
              <w:left w:val="single" w:color="auto" w:sz="4" w:space="0"/>
            </w:tcBorders>
            <w:shd w:val="clear" w:color="auto" w:fill="auto"/>
            <w:vAlign w:val="center"/>
          </w:tcPr>
          <w:p w14:paraId="344B7B39">
            <w:pPr>
              <w:widowControl/>
              <w:spacing w:line="500" w:lineRule="exact"/>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1、业务需求展示讲解，业务、技术沟通交流</w:t>
            </w:r>
          </w:p>
        </w:tc>
      </w:tr>
      <w:tr w14:paraId="5428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continue"/>
            <w:vAlign w:val="center"/>
          </w:tcPr>
          <w:p w14:paraId="3929881F">
            <w:pPr>
              <w:rPr>
                <w:color w:val="auto"/>
                <w:highlight w:val="none"/>
              </w:rPr>
            </w:pPr>
          </w:p>
        </w:tc>
        <w:tc>
          <w:tcPr>
            <w:tcW w:w="1663" w:type="dxa"/>
            <w:vMerge w:val="continue"/>
            <w:tcBorders>
              <w:left w:val="single" w:color="auto" w:sz="4" w:space="0"/>
            </w:tcBorders>
            <w:vAlign w:val="center"/>
          </w:tcPr>
          <w:p w14:paraId="00200685">
            <w:pPr>
              <w:rPr>
                <w:color w:val="auto"/>
                <w:highlight w:val="none"/>
              </w:rPr>
            </w:pPr>
          </w:p>
        </w:tc>
        <w:tc>
          <w:tcPr>
            <w:tcW w:w="5360" w:type="dxa"/>
            <w:tcBorders>
              <w:left w:val="single" w:color="auto" w:sz="4" w:space="0"/>
            </w:tcBorders>
            <w:shd w:val="clear" w:color="auto" w:fill="auto"/>
            <w:vAlign w:val="center"/>
          </w:tcPr>
          <w:p w14:paraId="21636584">
            <w:pPr>
              <w:widowControl/>
              <w:spacing w:line="500" w:lineRule="exact"/>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2、业务与科技人员测试、评分</w:t>
            </w:r>
          </w:p>
        </w:tc>
      </w:tr>
    </w:tbl>
    <w:p w14:paraId="5F980C0D">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3.POC测试环境</w:t>
      </w:r>
    </w:p>
    <w:tbl>
      <w:tblPr>
        <w:tblStyle w:val="2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843"/>
        <w:gridCol w:w="3886"/>
        <w:gridCol w:w="957"/>
      </w:tblGrid>
      <w:tr w14:paraId="662B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31" w:type="dxa"/>
            <w:shd w:val="clear" w:color="FFFFFF" w:fill="D8D8D8"/>
            <w:vAlign w:val="center"/>
          </w:tcPr>
          <w:p w14:paraId="0878AB0C">
            <w:pPr>
              <w:widowControl/>
              <w:spacing w:line="360" w:lineRule="auto"/>
              <w:ind w:firstLine="0" w:firstLineChars="0"/>
              <w:jc w:val="both"/>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服务器名</w:t>
            </w:r>
          </w:p>
        </w:tc>
        <w:tc>
          <w:tcPr>
            <w:tcW w:w="1843" w:type="dxa"/>
            <w:shd w:val="clear" w:color="FFFFFF" w:fill="D8D8D8"/>
            <w:vAlign w:val="center"/>
          </w:tcPr>
          <w:p w14:paraId="061CBAF3">
            <w:pPr>
              <w:widowControl/>
              <w:spacing w:line="360" w:lineRule="auto"/>
              <w:ind w:firstLine="0" w:firstLineChars="0"/>
              <w:jc w:val="both"/>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用途</w:t>
            </w:r>
          </w:p>
        </w:tc>
        <w:tc>
          <w:tcPr>
            <w:tcW w:w="3886" w:type="dxa"/>
            <w:shd w:val="clear" w:color="FFFFFF" w:fill="D8D8D8"/>
            <w:vAlign w:val="center"/>
          </w:tcPr>
          <w:p w14:paraId="6D014D3B">
            <w:pPr>
              <w:widowControl/>
              <w:spacing w:line="360" w:lineRule="auto"/>
              <w:ind w:firstLine="0" w:firstLineChars="0"/>
              <w:jc w:val="both"/>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软硬件配置</w:t>
            </w:r>
          </w:p>
        </w:tc>
        <w:tc>
          <w:tcPr>
            <w:tcW w:w="957" w:type="dxa"/>
            <w:shd w:val="clear" w:color="FFFFFF" w:fill="D8D8D8"/>
            <w:vAlign w:val="center"/>
          </w:tcPr>
          <w:p w14:paraId="7F7BFFAC">
            <w:pPr>
              <w:widowControl/>
              <w:spacing w:line="360" w:lineRule="auto"/>
              <w:ind w:firstLine="0" w:firstLineChars="0"/>
              <w:jc w:val="both"/>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提供方</w:t>
            </w:r>
          </w:p>
        </w:tc>
      </w:tr>
      <w:tr w14:paraId="66A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22DF0646">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应用服务器</w:t>
            </w:r>
          </w:p>
        </w:tc>
        <w:tc>
          <w:tcPr>
            <w:tcW w:w="1843" w:type="dxa"/>
            <w:tcBorders>
              <w:left w:val="single" w:color="auto" w:sz="4" w:space="0"/>
            </w:tcBorders>
            <w:shd w:val="clear" w:color="auto" w:fill="auto"/>
            <w:vAlign w:val="center"/>
          </w:tcPr>
          <w:p w14:paraId="243FE5D5">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应用部署</w:t>
            </w:r>
          </w:p>
        </w:tc>
        <w:tc>
          <w:tcPr>
            <w:tcW w:w="3886" w:type="dxa"/>
            <w:tcBorders>
              <w:left w:val="single" w:color="auto" w:sz="4" w:space="0"/>
            </w:tcBorders>
            <w:shd w:val="clear" w:color="auto" w:fill="auto"/>
            <w:vAlign w:val="center"/>
          </w:tcPr>
          <w:p w14:paraId="5C87443F">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操作系统：麒麟V10</w:t>
            </w:r>
          </w:p>
          <w:p w14:paraId="56280315">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CPU：鲲鹏/海光</w:t>
            </w:r>
          </w:p>
          <w:p w14:paraId="48D22D14">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中间件：东方通</w:t>
            </w:r>
          </w:p>
        </w:tc>
        <w:tc>
          <w:tcPr>
            <w:tcW w:w="957" w:type="dxa"/>
            <w:tcBorders>
              <w:left w:val="single" w:color="auto" w:sz="4" w:space="0"/>
            </w:tcBorders>
            <w:shd w:val="clear" w:color="auto" w:fill="auto"/>
            <w:vAlign w:val="center"/>
          </w:tcPr>
          <w:p w14:paraId="297041C7">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 w:val="22"/>
                <w:highlight w:val="none"/>
              </w:rPr>
              <w:t>比选人</w:t>
            </w:r>
          </w:p>
        </w:tc>
      </w:tr>
      <w:tr w14:paraId="4523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08C0D379">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数据库服务器</w:t>
            </w:r>
          </w:p>
        </w:tc>
        <w:tc>
          <w:tcPr>
            <w:tcW w:w="1843" w:type="dxa"/>
            <w:tcBorders>
              <w:left w:val="single" w:color="auto" w:sz="4" w:space="0"/>
            </w:tcBorders>
            <w:shd w:val="clear" w:color="auto" w:fill="auto"/>
            <w:vAlign w:val="center"/>
          </w:tcPr>
          <w:p w14:paraId="4BAFD32B">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数据库</w:t>
            </w:r>
          </w:p>
        </w:tc>
        <w:tc>
          <w:tcPr>
            <w:tcW w:w="3886" w:type="dxa"/>
            <w:tcBorders>
              <w:left w:val="single" w:color="auto" w:sz="4" w:space="0"/>
            </w:tcBorders>
            <w:shd w:val="clear" w:color="auto" w:fill="auto"/>
            <w:vAlign w:val="center"/>
          </w:tcPr>
          <w:p w14:paraId="26770BF7">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数据库：OceanBase</w:t>
            </w:r>
          </w:p>
        </w:tc>
        <w:tc>
          <w:tcPr>
            <w:tcW w:w="957" w:type="dxa"/>
            <w:tcBorders>
              <w:left w:val="single" w:color="auto" w:sz="4" w:space="0"/>
            </w:tcBorders>
            <w:shd w:val="clear" w:color="auto" w:fill="auto"/>
            <w:vAlign w:val="center"/>
          </w:tcPr>
          <w:p w14:paraId="13F213DF">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 w:val="22"/>
                <w:highlight w:val="none"/>
              </w:rPr>
              <w:t>比选人</w:t>
            </w:r>
          </w:p>
        </w:tc>
      </w:tr>
      <w:tr w14:paraId="5F57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2881C7AE">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测试终端</w:t>
            </w:r>
          </w:p>
        </w:tc>
        <w:tc>
          <w:tcPr>
            <w:tcW w:w="1843" w:type="dxa"/>
            <w:tcBorders>
              <w:left w:val="single" w:color="auto" w:sz="4" w:space="0"/>
            </w:tcBorders>
            <w:shd w:val="clear" w:color="auto" w:fill="auto"/>
            <w:vAlign w:val="center"/>
          </w:tcPr>
          <w:p w14:paraId="5AA23A00">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终端体验、测试</w:t>
            </w:r>
          </w:p>
        </w:tc>
        <w:tc>
          <w:tcPr>
            <w:tcW w:w="3886" w:type="dxa"/>
            <w:tcBorders>
              <w:left w:val="single" w:color="auto" w:sz="4" w:space="0"/>
            </w:tcBorders>
            <w:shd w:val="clear" w:color="auto" w:fill="auto"/>
            <w:vAlign w:val="center"/>
          </w:tcPr>
          <w:p w14:paraId="4CF5470D">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Windows:360/IE/火狐/谷歌等；</w:t>
            </w:r>
          </w:p>
          <w:p w14:paraId="33554111">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信创国产化终端：自带浏览器/360/火狐等</w:t>
            </w:r>
          </w:p>
        </w:tc>
        <w:tc>
          <w:tcPr>
            <w:tcW w:w="957" w:type="dxa"/>
            <w:tcBorders>
              <w:left w:val="single" w:color="auto" w:sz="4" w:space="0"/>
            </w:tcBorders>
            <w:shd w:val="clear" w:color="auto" w:fill="auto"/>
            <w:vAlign w:val="center"/>
          </w:tcPr>
          <w:p w14:paraId="232C605C">
            <w:pPr>
              <w:widowControl/>
              <w:spacing w:line="360" w:lineRule="auto"/>
              <w:ind w:firstLine="0" w:firstLineChars="0"/>
              <w:rPr>
                <w:rFonts w:ascii="Times New Roman" w:hAnsi="Times New Roman" w:cs="Times New Roman"/>
                <w:color w:val="auto"/>
                <w:kern w:val="0"/>
                <w:szCs w:val="24"/>
                <w:highlight w:val="none"/>
              </w:rPr>
            </w:pPr>
            <w:r>
              <w:rPr>
                <w:rFonts w:ascii="Times New Roman" w:hAnsi="Times New Roman" w:cs="Times New Roman"/>
                <w:color w:val="auto"/>
                <w:kern w:val="0"/>
                <w:sz w:val="22"/>
                <w:highlight w:val="none"/>
              </w:rPr>
              <w:t>比选人</w:t>
            </w:r>
          </w:p>
        </w:tc>
      </w:tr>
    </w:tbl>
    <w:p w14:paraId="269EC348">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4.测试数据</w:t>
      </w:r>
    </w:p>
    <w:p w14:paraId="156D8996">
      <w:pPr>
        <w:rPr>
          <w:rFonts w:ascii="Times New Roman" w:hAnsi="Times New Roman" w:cs="Times New Roman"/>
          <w:color w:val="auto"/>
          <w:highlight w:val="none"/>
        </w:rPr>
      </w:pPr>
      <w:r>
        <w:rPr>
          <w:rFonts w:ascii="Times New Roman" w:hAnsi="Times New Roman" w:cs="Times New Roman"/>
          <w:color w:val="auto"/>
          <w:highlight w:val="none"/>
        </w:rPr>
        <w:t>各厂商自备本次POC测试数据。</w:t>
      </w:r>
    </w:p>
    <w:p w14:paraId="2716B143">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三、POC测试案例</w:t>
      </w:r>
    </w:p>
    <w:tbl>
      <w:tblPr>
        <w:tblStyle w:val="24"/>
        <w:tblW w:w="8716"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0"/>
        <w:gridCol w:w="1938"/>
        <w:gridCol w:w="4931"/>
        <w:gridCol w:w="567"/>
      </w:tblGrid>
      <w:tr w14:paraId="4792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0"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2FC23F50">
            <w:pPr>
              <w:snapToGrid w:val="0"/>
              <w:spacing w:line="160" w:lineRule="atLeast"/>
              <w:ind w:firstLine="0" w:firstLineChars="0"/>
              <w:jc w:val="both"/>
              <w:rPr>
                <w:color w:val="auto"/>
                <w:highlight w:val="none"/>
              </w:rPr>
            </w:pPr>
            <w:r>
              <w:rPr>
                <w:b/>
                <w:bCs/>
                <w:color w:val="auto"/>
                <w:highlight w:val="none"/>
              </w:rPr>
              <w:t>评分类别</w:t>
            </w:r>
          </w:p>
        </w:tc>
        <w:tc>
          <w:tcPr>
            <w:tcW w:w="1938"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331E2C42">
            <w:pPr>
              <w:snapToGrid w:val="0"/>
              <w:spacing w:line="160" w:lineRule="atLeast"/>
              <w:ind w:firstLine="0" w:firstLineChars="0"/>
              <w:rPr>
                <w:color w:val="auto"/>
                <w:highlight w:val="none"/>
              </w:rPr>
            </w:pPr>
            <w:r>
              <w:rPr>
                <w:b/>
                <w:bCs/>
                <w:color w:val="auto"/>
                <w:highlight w:val="none"/>
              </w:rPr>
              <w:t>评分指标</w:t>
            </w:r>
          </w:p>
        </w:tc>
        <w:tc>
          <w:tcPr>
            <w:tcW w:w="4931"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3C7E1F31">
            <w:pPr>
              <w:snapToGrid w:val="0"/>
              <w:spacing w:line="160" w:lineRule="atLeast"/>
              <w:ind w:firstLine="0" w:firstLineChars="0"/>
              <w:jc w:val="center"/>
              <w:rPr>
                <w:color w:val="auto"/>
                <w:highlight w:val="none"/>
              </w:rPr>
            </w:pPr>
            <w:r>
              <w:rPr>
                <w:b/>
                <w:bCs/>
                <w:color w:val="auto"/>
                <w:highlight w:val="none"/>
              </w:rPr>
              <w:t>指标说明</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1797B8A5">
            <w:pPr>
              <w:snapToGrid w:val="0"/>
              <w:spacing w:line="160" w:lineRule="atLeast"/>
              <w:ind w:firstLine="0" w:firstLineChars="0"/>
              <w:jc w:val="center"/>
              <w:rPr>
                <w:color w:val="auto"/>
                <w:highlight w:val="none"/>
              </w:rPr>
            </w:pPr>
            <w:r>
              <w:rPr>
                <w:b/>
                <w:bCs/>
                <w:color w:val="auto"/>
                <w:highlight w:val="none"/>
              </w:rPr>
              <w:t>分值</w:t>
            </w:r>
          </w:p>
        </w:tc>
      </w:tr>
      <w:tr w14:paraId="1C56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702A132">
            <w:pPr>
              <w:spacing w:line="360" w:lineRule="exact"/>
              <w:ind w:firstLine="0" w:firstLineChars="0"/>
              <w:jc w:val="both"/>
              <w:rPr>
                <w:color w:val="auto"/>
                <w:highlight w:val="none"/>
              </w:rPr>
            </w:pPr>
            <w:r>
              <w:rPr>
                <w:color w:val="auto"/>
                <w:sz w:val="22"/>
                <w:highlight w:val="none"/>
              </w:rPr>
              <w:t>系统管理（3分）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4DF573E">
            <w:pPr>
              <w:spacing w:line="360" w:lineRule="exact"/>
              <w:ind w:firstLine="0" w:firstLineChars="0"/>
              <w:rPr>
                <w:color w:val="auto"/>
                <w:highlight w:val="none"/>
              </w:rPr>
            </w:pPr>
            <w:r>
              <w:rPr>
                <w:color w:val="auto"/>
                <w:sz w:val="22"/>
                <w:highlight w:val="none"/>
              </w:rPr>
              <w:t>用户权限配置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9C03837">
            <w:pPr>
              <w:spacing w:line="360" w:lineRule="exact"/>
              <w:ind w:firstLine="0" w:firstLineChars="0"/>
              <w:rPr>
                <w:color w:val="auto"/>
                <w:highlight w:val="none"/>
              </w:rPr>
            </w:pPr>
            <w:r>
              <w:rPr>
                <w:color w:val="auto"/>
                <w:sz w:val="22"/>
                <w:highlight w:val="none"/>
              </w:rPr>
              <w:t>实现对全系统审计人员、机构和用户角色、权限等进行综合管理</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40D6EA8">
            <w:pPr>
              <w:spacing w:line="360" w:lineRule="exact"/>
              <w:ind w:firstLine="0" w:firstLineChars="0"/>
              <w:jc w:val="center"/>
              <w:rPr>
                <w:color w:val="auto"/>
                <w:sz w:val="22"/>
                <w:highlight w:val="none"/>
              </w:rPr>
            </w:pPr>
            <w:r>
              <w:rPr>
                <w:color w:val="auto"/>
                <w:sz w:val="22"/>
                <w:highlight w:val="none"/>
              </w:rPr>
              <w:t>1</w:t>
            </w:r>
          </w:p>
        </w:tc>
      </w:tr>
      <w:tr w14:paraId="358B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FA940B">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A4276CB">
            <w:pPr>
              <w:spacing w:line="360" w:lineRule="exact"/>
              <w:ind w:firstLine="0" w:firstLineChars="0"/>
              <w:rPr>
                <w:color w:val="auto"/>
                <w:sz w:val="22"/>
                <w:highlight w:val="none"/>
              </w:rPr>
            </w:pPr>
            <w:r>
              <w:rPr>
                <w:color w:val="auto"/>
                <w:sz w:val="22"/>
                <w:highlight w:val="none"/>
              </w:rPr>
              <w:t>系统配置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53F4F6A">
            <w:pPr>
              <w:spacing w:line="360" w:lineRule="exact"/>
              <w:ind w:firstLine="0" w:firstLineChars="0"/>
              <w:rPr>
                <w:color w:val="auto"/>
                <w:sz w:val="22"/>
                <w:highlight w:val="none"/>
              </w:rPr>
            </w:pPr>
            <w:r>
              <w:rPr>
                <w:color w:val="auto"/>
                <w:sz w:val="22"/>
                <w:highlight w:val="none"/>
              </w:rPr>
              <w:t>对整体系统基础配置进行统一调配和管理，包括子系统配置、 系统菜单管理、系统接口管理、系统参数配置、系统码表配置等子功能。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7B5C490">
            <w:pPr>
              <w:spacing w:line="360" w:lineRule="exact"/>
              <w:ind w:firstLine="0" w:firstLineChars="0"/>
              <w:jc w:val="center"/>
              <w:rPr>
                <w:color w:val="auto"/>
                <w:sz w:val="22"/>
                <w:highlight w:val="none"/>
              </w:rPr>
            </w:pPr>
            <w:r>
              <w:rPr>
                <w:color w:val="auto"/>
                <w:sz w:val="22"/>
                <w:highlight w:val="none"/>
              </w:rPr>
              <w:t>1</w:t>
            </w:r>
          </w:p>
        </w:tc>
      </w:tr>
      <w:tr w14:paraId="1890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2BF0BD">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35F88955">
            <w:pPr>
              <w:spacing w:line="360" w:lineRule="exact"/>
              <w:ind w:firstLine="0" w:firstLineChars="0"/>
              <w:rPr>
                <w:color w:val="auto"/>
                <w:sz w:val="22"/>
                <w:highlight w:val="none"/>
              </w:rPr>
            </w:pPr>
            <w:r>
              <w:rPr>
                <w:color w:val="auto"/>
                <w:sz w:val="22"/>
                <w:highlight w:val="none"/>
              </w:rPr>
              <w:t>工作流配置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CA7877D">
            <w:pPr>
              <w:spacing w:line="360" w:lineRule="exact"/>
              <w:ind w:firstLine="0" w:firstLineChars="0"/>
              <w:rPr>
                <w:color w:val="auto"/>
                <w:sz w:val="22"/>
                <w:highlight w:val="none"/>
              </w:rPr>
            </w:pPr>
            <w:r>
              <w:rPr>
                <w:color w:val="auto"/>
                <w:sz w:val="22"/>
                <w:highlight w:val="none"/>
              </w:rPr>
              <w:t>具备审计工作流配置功能，可图形化的形式进行流程配置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DDE1683">
            <w:pPr>
              <w:spacing w:line="360" w:lineRule="exact"/>
              <w:ind w:firstLine="0" w:firstLineChars="0"/>
              <w:jc w:val="center"/>
              <w:rPr>
                <w:color w:val="auto"/>
                <w:sz w:val="22"/>
                <w:highlight w:val="none"/>
              </w:rPr>
            </w:pPr>
            <w:r>
              <w:rPr>
                <w:color w:val="auto"/>
                <w:sz w:val="22"/>
                <w:highlight w:val="none"/>
              </w:rPr>
              <w:t>1</w:t>
            </w:r>
          </w:p>
        </w:tc>
      </w:tr>
      <w:tr w14:paraId="67DE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C29A816">
            <w:pPr>
              <w:spacing w:line="360" w:lineRule="exact"/>
              <w:ind w:firstLine="0" w:firstLineChars="0"/>
              <w:rPr>
                <w:color w:val="auto"/>
                <w:sz w:val="22"/>
                <w:highlight w:val="none"/>
              </w:rPr>
            </w:pPr>
            <w:r>
              <w:rPr>
                <w:color w:val="auto"/>
                <w:sz w:val="22"/>
                <w:highlight w:val="none"/>
              </w:rPr>
              <w:t>运维管理（2分）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9A79029">
            <w:pPr>
              <w:spacing w:line="360" w:lineRule="exact"/>
              <w:ind w:firstLine="0" w:firstLineChars="0"/>
              <w:rPr>
                <w:color w:val="auto"/>
                <w:sz w:val="22"/>
                <w:highlight w:val="none"/>
              </w:rPr>
            </w:pPr>
            <w:r>
              <w:rPr>
                <w:color w:val="auto"/>
                <w:sz w:val="22"/>
                <w:highlight w:val="none"/>
              </w:rPr>
              <w:t>批处理管理</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831EF5A">
            <w:pPr>
              <w:spacing w:line="360" w:lineRule="exact"/>
              <w:ind w:firstLine="0" w:firstLineChars="0"/>
              <w:rPr>
                <w:color w:val="auto"/>
                <w:sz w:val="22"/>
                <w:highlight w:val="none"/>
              </w:rPr>
            </w:pPr>
            <w:r>
              <w:rPr>
                <w:color w:val="auto"/>
                <w:sz w:val="22"/>
                <w:highlight w:val="none"/>
              </w:rPr>
              <w:t>能够对批处理情况进行查看和分析，监控每日批处理情况，针对报错的任务可以记录解决方案</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4E65EF9">
            <w:pPr>
              <w:spacing w:line="360" w:lineRule="exact"/>
              <w:ind w:firstLine="0" w:firstLineChars="0"/>
              <w:jc w:val="center"/>
              <w:rPr>
                <w:color w:val="auto"/>
                <w:sz w:val="22"/>
                <w:highlight w:val="none"/>
              </w:rPr>
            </w:pPr>
            <w:r>
              <w:rPr>
                <w:color w:val="auto"/>
                <w:sz w:val="22"/>
                <w:highlight w:val="none"/>
              </w:rPr>
              <w:t>1</w:t>
            </w:r>
          </w:p>
        </w:tc>
      </w:tr>
      <w:tr w14:paraId="7BEE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3D01AE">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37858D50">
            <w:pPr>
              <w:spacing w:line="360" w:lineRule="exact"/>
              <w:ind w:firstLine="0" w:firstLineChars="0"/>
              <w:rPr>
                <w:color w:val="auto"/>
                <w:sz w:val="22"/>
                <w:highlight w:val="none"/>
              </w:rPr>
            </w:pPr>
            <w:r>
              <w:rPr>
                <w:color w:val="auto"/>
                <w:sz w:val="22"/>
                <w:highlight w:val="none"/>
              </w:rPr>
              <w:t>批处理故障记录</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19D0FC6">
            <w:pPr>
              <w:spacing w:line="360" w:lineRule="exact"/>
              <w:ind w:firstLine="0" w:firstLineChars="0"/>
              <w:rPr>
                <w:color w:val="auto"/>
                <w:sz w:val="22"/>
                <w:highlight w:val="none"/>
              </w:rPr>
            </w:pPr>
            <w:r>
              <w:rPr>
                <w:color w:val="auto"/>
                <w:sz w:val="22"/>
                <w:highlight w:val="none"/>
              </w:rPr>
              <w:t>能够记录所有批处理故障处理情况</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B6CCA7B">
            <w:pPr>
              <w:spacing w:line="360" w:lineRule="exact"/>
              <w:ind w:firstLine="0" w:firstLineChars="0"/>
              <w:jc w:val="center"/>
              <w:rPr>
                <w:color w:val="auto"/>
                <w:sz w:val="22"/>
                <w:highlight w:val="none"/>
              </w:rPr>
            </w:pPr>
            <w:r>
              <w:rPr>
                <w:color w:val="auto"/>
                <w:sz w:val="22"/>
                <w:highlight w:val="none"/>
              </w:rPr>
              <w:t>1</w:t>
            </w:r>
          </w:p>
        </w:tc>
      </w:tr>
      <w:tr w14:paraId="45A9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A5E5649">
            <w:pPr>
              <w:spacing w:line="360" w:lineRule="exact"/>
              <w:ind w:firstLine="0" w:firstLineChars="0"/>
              <w:rPr>
                <w:color w:val="auto"/>
                <w:sz w:val="22"/>
                <w:highlight w:val="none"/>
              </w:rPr>
            </w:pPr>
            <w:r>
              <w:rPr>
                <w:color w:val="auto"/>
                <w:sz w:val="22"/>
                <w:highlight w:val="none"/>
              </w:rPr>
              <w:t>系统监控（5分）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E2B36BB">
            <w:pPr>
              <w:spacing w:line="360" w:lineRule="exact"/>
              <w:ind w:firstLine="0" w:firstLineChars="0"/>
              <w:rPr>
                <w:color w:val="auto"/>
                <w:sz w:val="22"/>
                <w:highlight w:val="none"/>
              </w:rPr>
            </w:pPr>
            <w:r>
              <w:rPr>
                <w:color w:val="auto"/>
                <w:sz w:val="22"/>
                <w:highlight w:val="none"/>
              </w:rPr>
              <w:t>用户监控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A82B153">
            <w:pPr>
              <w:spacing w:line="360" w:lineRule="exact"/>
              <w:ind w:firstLine="0" w:firstLineChars="0"/>
              <w:rPr>
                <w:color w:val="auto"/>
                <w:sz w:val="22"/>
                <w:highlight w:val="none"/>
              </w:rPr>
            </w:pPr>
            <w:r>
              <w:rPr>
                <w:color w:val="auto"/>
                <w:sz w:val="22"/>
                <w:highlight w:val="none"/>
              </w:rPr>
              <w:t>包括用户在线监控，针对不合法的用户，具备强退功能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D672768">
            <w:pPr>
              <w:spacing w:line="360" w:lineRule="exact"/>
              <w:ind w:firstLine="0" w:firstLineChars="0"/>
              <w:jc w:val="center"/>
              <w:rPr>
                <w:color w:val="auto"/>
                <w:sz w:val="22"/>
                <w:highlight w:val="none"/>
              </w:rPr>
            </w:pPr>
            <w:r>
              <w:rPr>
                <w:color w:val="auto"/>
                <w:sz w:val="22"/>
                <w:highlight w:val="none"/>
              </w:rPr>
              <w:t>1</w:t>
            </w:r>
          </w:p>
        </w:tc>
      </w:tr>
      <w:tr w14:paraId="299B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DC14D26">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2EFBDE9">
            <w:pPr>
              <w:spacing w:line="360" w:lineRule="exact"/>
              <w:ind w:firstLine="0" w:firstLineChars="0"/>
              <w:rPr>
                <w:color w:val="auto"/>
                <w:sz w:val="22"/>
                <w:highlight w:val="none"/>
              </w:rPr>
            </w:pPr>
            <w:r>
              <w:rPr>
                <w:color w:val="auto"/>
                <w:sz w:val="22"/>
                <w:highlight w:val="none"/>
              </w:rPr>
              <w:t>缓存监控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E03ACC2">
            <w:pPr>
              <w:spacing w:line="360" w:lineRule="exact"/>
              <w:ind w:firstLine="0" w:firstLineChars="0"/>
              <w:rPr>
                <w:color w:val="auto"/>
                <w:sz w:val="22"/>
                <w:highlight w:val="none"/>
              </w:rPr>
            </w:pPr>
            <w:r>
              <w:rPr>
                <w:color w:val="auto"/>
                <w:sz w:val="22"/>
                <w:highlight w:val="none"/>
              </w:rPr>
              <w:t>监控缓存情况，并具备在线缓存刷新功能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F6594E6">
            <w:pPr>
              <w:spacing w:line="360" w:lineRule="exact"/>
              <w:ind w:firstLine="0" w:firstLineChars="0"/>
              <w:jc w:val="center"/>
              <w:rPr>
                <w:color w:val="auto"/>
                <w:sz w:val="22"/>
                <w:highlight w:val="none"/>
              </w:rPr>
            </w:pPr>
            <w:r>
              <w:rPr>
                <w:color w:val="auto"/>
                <w:sz w:val="22"/>
                <w:highlight w:val="none"/>
              </w:rPr>
              <w:t>1</w:t>
            </w:r>
          </w:p>
        </w:tc>
      </w:tr>
      <w:tr w14:paraId="6CD7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7DABA5D">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09687480">
            <w:pPr>
              <w:spacing w:line="360" w:lineRule="exact"/>
              <w:ind w:firstLine="0" w:firstLineChars="0"/>
              <w:rPr>
                <w:color w:val="auto"/>
                <w:sz w:val="22"/>
                <w:highlight w:val="none"/>
              </w:rPr>
            </w:pPr>
            <w:r>
              <w:rPr>
                <w:color w:val="auto"/>
                <w:sz w:val="22"/>
                <w:highlight w:val="none"/>
              </w:rPr>
              <w:t>日志监控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38D82E3">
            <w:pPr>
              <w:spacing w:line="360" w:lineRule="exact"/>
              <w:ind w:firstLine="0" w:firstLineChars="0"/>
              <w:rPr>
                <w:color w:val="auto"/>
                <w:sz w:val="22"/>
                <w:highlight w:val="none"/>
              </w:rPr>
            </w:pPr>
            <w:r>
              <w:rPr>
                <w:color w:val="auto"/>
                <w:sz w:val="22"/>
                <w:highlight w:val="none"/>
              </w:rPr>
              <w:t>完整记录并清晰展示用户登录日志、操作日志、查证模型执行日志、用户下载文件等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C9D849D">
            <w:pPr>
              <w:spacing w:line="360" w:lineRule="exact"/>
              <w:ind w:firstLine="0" w:firstLineChars="0"/>
              <w:jc w:val="center"/>
              <w:rPr>
                <w:color w:val="auto"/>
                <w:sz w:val="22"/>
                <w:highlight w:val="none"/>
              </w:rPr>
            </w:pPr>
            <w:r>
              <w:rPr>
                <w:color w:val="auto"/>
                <w:sz w:val="22"/>
                <w:highlight w:val="none"/>
              </w:rPr>
              <w:t>2</w:t>
            </w:r>
          </w:p>
        </w:tc>
      </w:tr>
      <w:tr w14:paraId="69BB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7E5BF4">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3EB134C3">
            <w:pPr>
              <w:spacing w:line="360" w:lineRule="exact"/>
              <w:ind w:firstLine="0" w:firstLineChars="0"/>
              <w:rPr>
                <w:color w:val="auto"/>
                <w:sz w:val="22"/>
                <w:highlight w:val="none"/>
              </w:rPr>
            </w:pPr>
            <w:r>
              <w:rPr>
                <w:color w:val="auto"/>
                <w:sz w:val="22"/>
                <w:highlight w:val="none"/>
              </w:rPr>
              <w:t>服务监控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B52114A">
            <w:pPr>
              <w:spacing w:line="360" w:lineRule="exact"/>
              <w:ind w:firstLine="0" w:firstLineChars="0"/>
              <w:rPr>
                <w:color w:val="auto"/>
                <w:sz w:val="22"/>
                <w:highlight w:val="none"/>
              </w:rPr>
            </w:pPr>
            <w:r>
              <w:rPr>
                <w:color w:val="auto"/>
                <w:sz w:val="22"/>
                <w:highlight w:val="none"/>
              </w:rPr>
              <w:t>能够实时查看系统服务情况，包括内存、CPU、磁盘等监控</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547154C">
            <w:pPr>
              <w:spacing w:line="360" w:lineRule="exact"/>
              <w:ind w:firstLine="0" w:firstLineChars="0"/>
              <w:jc w:val="center"/>
              <w:rPr>
                <w:color w:val="auto"/>
                <w:sz w:val="22"/>
                <w:highlight w:val="none"/>
              </w:rPr>
            </w:pPr>
            <w:r>
              <w:rPr>
                <w:color w:val="auto"/>
                <w:sz w:val="22"/>
                <w:highlight w:val="none"/>
              </w:rPr>
              <w:t>1</w:t>
            </w:r>
          </w:p>
        </w:tc>
      </w:tr>
      <w:tr w14:paraId="5C37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280" w:type="dxa"/>
            <w:tcBorders>
              <w:top w:val="single" w:color="auto" w:sz="6" w:space="0"/>
              <w:left w:val="single" w:color="auto" w:sz="6" w:space="0"/>
              <w:bottom w:val="single" w:color="auto" w:sz="6" w:space="0"/>
              <w:right w:val="single" w:color="auto" w:sz="6" w:space="0"/>
              <w:tl2br w:val="nil"/>
              <w:tr2bl w:val="nil"/>
            </w:tcBorders>
            <w:noWrap/>
            <w:vAlign w:val="center"/>
          </w:tcPr>
          <w:p w14:paraId="389ADB53">
            <w:pPr>
              <w:spacing w:line="360" w:lineRule="exact"/>
              <w:ind w:firstLine="0" w:firstLineChars="0"/>
              <w:rPr>
                <w:color w:val="auto"/>
                <w:sz w:val="22"/>
                <w:highlight w:val="none"/>
              </w:rPr>
            </w:pPr>
            <w:r>
              <w:rPr>
                <w:color w:val="auto"/>
                <w:sz w:val="22"/>
                <w:highlight w:val="none"/>
              </w:rPr>
              <w:t>工作台（1分）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627EE394">
            <w:pPr>
              <w:spacing w:line="360" w:lineRule="exact"/>
              <w:ind w:firstLine="0" w:firstLineChars="0"/>
              <w:rPr>
                <w:color w:val="auto"/>
                <w:sz w:val="22"/>
                <w:highlight w:val="none"/>
              </w:rPr>
            </w:pPr>
            <w:r>
              <w:rPr>
                <w:color w:val="auto"/>
                <w:sz w:val="22"/>
                <w:highlight w:val="none"/>
              </w:rPr>
              <w:t>首页</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4A08143">
            <w:pPr>
              <w:spacing w:line="360" w:lineRule="exact"/>
              <w:ind w:firstLine="0" w:firstLineChars="0"/>
              <w:rPr>
                <w:color w:val="auto"/>
                <w:sz w:val="22"/>
                <w:highlight w:val="none"/>
              </w:rPr>
            </w:pPr>
            <w:r>
              <w:rPr>
                <w:color w:val="auto"/>
                <w:sz w:val="22"/>
                <w:highlight w:val="none"/>
              </w:rPr>
              <w:t>支持菜单搜索功能、支持菜单收藏功能、支持换肤以及首页布局功能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D931E45">
            <w:pPr>
              <w:spacing w:line="360" w:lineRule="exact"/>
              <w:ind w:firstLine="0" w:firstLineChars="0"/>
              <w:jc w:val="center"/>
              <w:rPr>
                <w:color w:val="auto"/>
                <w:sz w:val="22"/>
                <w:highlight w:val="none"/>
              </w:rPr>
            </w:pPr>
            <w:r>
              <w:rPr>
                <w:color w:val="auto"/>
                <w:sz w:val="22"/>
                <w:highlight w:val="none"/>
              </w:rPr>
              <w:t>1</w:t>
            </w:r>
          </w:p>
        </w:tc>
      </w:tr>
      <w:tr w14:paraId="2BB7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280" w:type="dxa"/>
            <w:tcBorders>
              <w:top w:val="single" w:color="auto" w:sz="6" w:space="0"/>
              <w:left w:val="single" w:color="auto" w:sz="6" w:space="0"/>
              <w:bottom w:val="single" w:color="auto" w:sz="6" w:space="0"/>
              <w:right w:val="single" w:color="auto" w:sz="6" w:space="0"/>
              <w:tl2br w:val="nil"/>
              <w:tr2bl w:val="nil"/>
            </w:tcBorders>
            <w:noWrap/>
            <w:vAlign w:val="center"/>
          </w:tcPr>
          <w:p w14:paraId="59A9627A">
            <w:pPr>
              <w:spacing w:line="360" w:lineRule="exact"/>
              <w:ind w:firstLine="0" w:firstLineChars="0"/>
              <w:rPr>
                <w:color w:val="auto"/>
                <w:sz w:val="22"/>
                <w:highlight w:val="none"/>
              </w:rPr>
            </w:pPr>
            <w:r>
              <w:rPr>
                <w:color w:val="auto"/>
                <w:sz w:val="22"/>
                <w:highlight w:val="none"/>
              </w:rPr>
              <w:t>审计程序（2分）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0778CBE5">
            <w:pPr>
              <w:spacing w:line="360" w:lineRule="exact"/>
              <w:ind w:firstLine="0" w:firstLineChars="0"/>
              <w:rPr>
                <w:color w:val="auto"/>
                <w:sz w:val="22"/>
                <w:highlight w:val="none"/>
              </w:rPr>
            </w:pPr>
            <w:r>
              <w:rPr>
                <w:color w:val="auto"/>
                <w:sz w:val="22"/>
                <w:highlight w:val="none"/>
              </w:rPr>
              <w:t>审计程序配置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4E19AAE">
            <w:pPr>
              <w:spacing w:line="360" w:lineRule="exact"/>
              <w:ind w:firstLine="0" w:firstLineChars="0"/>
              <w:rPr>
                <w:color w:val="auto"/>
                <w:sz w:val="22"/>
                <w:highlight w:val="none"/>
              </w:rPr>
            </w:pPr>
            <w:r>
              <w:rPr>
                <w:color w:val="auto"/>
                <w:sz w:val="22"/>
                <w:highlight w:val="none"/>
              </w:rPr>
              <w:t>现场审计流程及审批程序可配置选择，将审计流程更加工具化，做到可前台配置审计流程</w:t>
            </w:r>
            <w:r>
              <w:rPr>
                <w:rFonts w:hint="eastAsia"/>
                <w:color w:val="auto"/>
                <w:sz w:val="22"/>
                <w:highlight w:val="none"/>
              </w:rPr>
              <w:t>，可前台配置审批流程。</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FD103E6">
            <w:pPr>
              <w:spacing w:line="360" w:lineRule="exact"/>
              <w:ind w:firstLine="0" w:firstLineChars="0"/>
              <w:jc w:val="center"/>
              <w:rPr>
                <w:color w:val="auto"/>
                <w:sz w:val="22"/>
                <w:highlight w:val="none"/>
              </w:rPr>
            </w:pPr>
            <w:r>
              <w:rPr>
                <w:color w:val="auto"/>
                <w:sz w:val="22"/>
                <w:highlight w:val="none"/>
              </w:rPr>
              <w:t>2</w:t>
            </w:r>
          </w:p>
        </w:tc>
      </w:tr>
      <w:tr w14:paraId="553C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6780329">
            <w:pPr>
              <w:spacing w:line="360" w:lineRule="exact"/>
              <w:ind w:firstLine="0" w:firstLineChars="0"/>
              <w:rPr>
                <w:color w:val="auto"/>
                <w:sz w:val="22"/>
                <w:highlight w:val="none"/>
              </w:rPr>
            </w:pPr>
            <w:r>
              <w:rPr>
                <w:color w:val="auto"/>
                <w:sz w:val="22"/>
                <w:highlight w:val="none"/>
              </w:rPr>
              <w:t>现场审计（9分）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642F87BC">
            <w:pPr>
              <w:spacing w:line="360" w:lineRule="exact"/>
              <w:ind w:firstLine="0" w:firstLineChars="0"/>
              <w:rPr>
                <w:color w:val="auto"/>
                <w:sz w:val="22"/>
                <w:highlight w:val="none"/>
              </w:rPr>
            </w:pPr>
            <w:r>
              <w:rPr>
                <w:color w:val="auto"/>
                <w:sz w:val="22"/>
                <w:highlight w:val="none"/>
              </w:rPr>
              <w:t>计划及立项</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3D57D1F">
            <w:pPr>
              <w:spacing w:line="360" w:lineRule="exact"/>
              <w:ind w:firstLine="0" w:firstLineChars="0"/>
              <w:rPr>
                <w:color w:val="auto"/>
                <w:sz w:val="22"/>
                <w:highlight w:val="none"/>
              </w:rPr>
            </w:pPr>
            <w:r>
              <w:rPr>
                <w:color w:val="auto"/>
                <w:sz w:val="22"/>
                <w:highlight w:val="none"/>
              </w:rPr>
              <w:t>分为年度审计计划以及项目立项，年度审计计划后期可修改，计划及立项的审批程序可前台配置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9AC650B">
            <w:pPr>
              <w:spacing w:line="360" w:lineRule="exact"/>
              <w:ind w:firstLine="0" w:firstLineChars="0"/>
              <w:jc w:val="center"/>
              <w:rPr>
                <w:color w:val="auto"/>
                <w:sz w:val="22"/>
                <w:highlight w:val="none"/>
              </w:rPr>
            </w:pPr>
            <w:r>
              <w:rPr>
                <w:color w:val="auto"/>
                <w:sz w:val="22"/>
                <w:highlight w:val="none"/>
              </w:rPr>
              <w:t>1</w:t>
            </w:r>
          </w:p>
        </w:tc>
      </w:tr>
      <w:tr w14:paraId="04AB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A2F12E">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752C9CC4">
            <w:pPr>
              <w:spacing w:line="360" w:lineRule="exact"/>
              <w:ind w:firstLine="0" w:firstLineChars="0"/>
              <w:rPr>
                <w:color w:val="auto"/>
                <w:sz w:val="22"/>
                <w:highlight w:val="none"/>
              </w:rPr>
            </w:pPr>
            <w:r>
              <w:rPr>
                <w:color w:val="auto"/>
                <w:sz w:val="22"/>
                <w:highlight w:val="none"/>
              </w:rPr>
              <w:t>审计方案</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5A37244">
            <w:pPr>
              <w:spacing w:line="360" w:lineRule="exact"/>
              <w:ind w:firstLine="0" w:firstLineChars="0"/>
              <w:rPr>
                <w:color w:val="auto"/>
                <w:highlight w:val="none"/>
              </w:rPr>
            </w:pPr>
            <w:r>
              <w:rPr>
                <w:color w:val="auto"/>
                <w:sz w:val="22"/>
                <w:highlight w:val="none"/>
              </w:rPr>
              <w:t>主审编制审计方案及审计抽样，期间可调阅审计模型结果、往期审计档案以及参考样本库、问题台账等已审计内容。在选取审计样本时，既往已检查过的样本自动提示样本库内容。</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6FF8658">
            <w:pPr>
              <w:spacing w:line="360" w:lineRule="exact"/>
              <w:ind w:firstLine="0" w:firstLineChars="0"/>
              <w:jc w:val="center"/>
              <w:rPr>
                <w:color w:val="auto"/>
                <w:sz w:val="22"/>
                <w:highlight w:val="none"/>
              </w:rPr>
            </w:pPr>
            <w:r>
              <w:rPr>
                <w:color w:val="auto"/>
                <w:sz w:val="22"/>
                <w:highlight w:val="none"/>
              </w:rPr>
              <w:t>2</w:t>
            </w:r>
          </w:p>
        </w:tc>
      </w:tr>
      <w:tr w14:paraId="4F9C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9232A6">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5929B610">
            <w:pPr>
              <w:spacing w:line="360" w:lineRule="exact"/>
              <w:ind w:firstLine="0" w:firstLineChars="0"/>
              <w:rPr>
                <w:color w:val="auto"/>
                <w:sz w:val="22"/>
                <w:highlight w:val="none"/>
              </w:rPr>
            </w:pPr>
            <w:r>
              <w:rPr>
                <w:color w:val="auto"/>
                <w:sz w:val="22"/>
                <w:highlight w:val="none"/>
              </w:rPr>
              <w:t>审计通知</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24824EB">
            <w:pPr>
              <w:spacing w:line="360" w:lineRule="exact"/>
              <w:ind w:firstLine="0" w:firstLineChars="0"/>
              <w:rPr>
                <w:color w:val="auto"/>
                <w:highlight w:val="none"/>
              </w:rPr>
            </w:pPr>
            <w:r>
              <w:rPr>
                <w:color w:val="auto"/>
                <w:sz w:val="22"/>
                <w:highlight w:val="none"/>
              </w:rPr>
              <w:t>审计通知可通过模板生成，经审批后，</w:t>
            </w:r>
            <w:r>
              <w:rPr>
                <w:rFonts w:hint="eastAsia"/>
                <w:color w:val="auto"/>
                <w:sz w:val="22"/>
                <w:highlight w:val="none"/>
              </w:rPr>
              <w:t>可</w:t>
            </w:r>
            <w:r>
              <w:rPr>
                <w:color w:val="auto"/>
                <w:sz w:val="22"/>
                <w:highlight w:val="none"/>
              </w:rPr>
              <w:t>推送给被审计单位。审计通知的审批流程可前台配置。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5D4A43E">
            <w:pPr>
              <w:spacing w:line="360" w:lineRule="exact"/>
              <w:ind w:firstLine="0" w:firstLineChars="0"/>
              <w:jc w:val="center"/>
              <w:rPr>
                <w:color w:val="auto"/>
                <w:sz w:val="22"/>
                <w:highlight w:val="none"/>
              </w:rPr>
            </w:pPr>
            <w:r>
              <w:rPr>
                <w:rFonts w:hint="eastAsia"/>
                <w:color w:val="auto"/>
                <w:sz w:val="22"/>
                <w:highlight w:val="none"/>
              </w:rPr>
              <w:t>1</w:t>
            </w:r>
          </w:p>
        </w:tc>
      </w:tr>
      <w:tr w14:paraId="6054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4136F8">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5B57F5A8">
            <w:pPr>
              <w:spacing w:line="360" w:lineRule="exact"/>
              <w:ind w:firstLine="0" w:firstLineChars="0"/>
              <w:rPr>
                <w:color w:val="auto"/>
                <w:sz w:val="22"/>
                <w:highlight w:val="none"/>
              </w:rPr>
            </w:pPr>
            <w:r>
              <w:rPr>
                <w:color w:val="auto"/>
                <w:sz w:val="22"/>
                <w:highlight w:val="none"/>
              </w:rPr>
              <w:t>现场实施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C56A583">
            <w:pPr>
              <w:spacing w:line="240" w:lineRule="auto"/>
              <w:ind w:firstLine="0" w:firstLineChars="0"/>
              <w:rPr>
                <w:color w:val="auto"/>
                <w:highlight w:val="none"/>
              </w:rPr>
            </w:pPr>
            <w:r>
              <w:rPr>
                <w:color w:val="auto"/>
                <w:sz w:val="22"/>
                <w:highlight w:val="none"/>
              </w:rPr>
              <w:t>包括工作底稿、事实确认书的编制。可通过不同方法录入，比如结构化的录入，或作为整个</w:t>
            </w:r>
            <w:r>
              <w:rPr>
                <w:rFonts w:hint="eastAsia"/>
                <w:color w:val="auto"/>
                <w:sz w:val="22"/>
                <w:highlight w:val="none"/>
              </w:rPr>
              <w:t>w</w:t>
            </w:r>
            <w:r>
              <w:rPr>
                <w:color w:val="auto"/>
                <w:sz w:val="22"/>
                <w:highlight w:val="none"/>
              </w:rPr>
              <w:t>ord的录入，或直接导入</w:t>
            </w:r>
            <w:r>
              <w:rPr>
                <w:rFonts w:hint="eastAsia"/>
                <w:color w:val="auto"/>
                <w:sz w:val="22"/>
                <w:highlight w:val="none"/>
              </w:rPr>
              <w:t>w</w:t>
            </w:r>
            <w:r>
              <w:rPr>
                <w:color w:val="auto"/>
                <w:sz w:val="22"/>
                <w:highlight w:val="none"/>
              </w:rPr>
              <w:t>ord或</w:t>
            </w:r>
            <w:r>
              <w:rPr>
                <w:rFonts w:hint="eastAsia"/>
                <w:color w:val="auto"/>
                <w:sz w:val="22"/>
                <w:highlight w:val="none"/>
              </w:rPr>
              <w:t>e</w:t>
            </w:r>
            <w:r>
              <w:rPr>
                <w:color w:val="auto"/>
                <w:sz w:val="22"/>
                <w:highlight w:val="none"/>
              </w:rPr>
              <w:t>xcel作为底稿。审计取证</w:t>
            </w:r>
            <w:r>
              <w:rPr>
                <w:rFonts w:hint="eastAsia"/>
                <w:color w:val="auto"/>
                <w:sz w:val="22"/>
                <w:highlight w:val="none"/>
              </w:rPr>
              <w:t>的</w:t>
            </w:r>
            <w:r>
              <w:rPr>
                <w:color w:val="auto"/>
                <w:sz w:val="22"/>
                <w:highlight w:val="none"/>
              </w:rPr>
              <w:t>照片可上传至审计系统并选择作为哪个底稿或事实确认书的附件。</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F6BDB05">
            <w:pPr>
              <w:spacing w:line="360" w:lineRule="exact"/>
              <w:ind w:firstLine="0" w:firstLineChars="0"/>
              <w:jc w:val="center"/>
              <w:rPr>
                <w:color w:val="auto"/>
                <w:sz w:val="22"/>
                <w:highlight w:val="none"/>
              </w:rPr>
            </w:pPr>
            <w:r>
              <w:rPr>
                <w:color w:val="auto"/>
                <w:sz w:val="22"/>
                <w:highlight w:val="none"/>
              </w:rPr>
              <w:t>2</w:t>
            </w:r>
          </w:p>
        </w:tc>
      </w:tr>
      <w:tr w14:paraId="2826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EE77191">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7B0ECEFE">
            <w:pPr>
              <w:spacing w:line="360" w:lineRule="exact"/>
              <w:ind w:firstLine="0" w:firstLineChars="0"/>
              <w:rPr>
                <w:color w:val="auto"/>
                <w:sz w:val="22"/>
                <w:highlight w:val="none"/>
              </w:rPr>
            </w:pPr>
            <w:r>
              <w:rPr>
                <w:color w:val="auto"/>
                <w:sz w:val="22"/>
                <w:highlight w:val="none"/>
              </w:rPr>
              <w:t>审计质控会</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8D984E7">
            <w:pPr>
              <w:spacing w:line="240" w:lineRule="auto"/>
              <w:ind w:firstLine="0" w:firstLineChars="0"/>
              <w:rPr>
                <w:color w:val="auto"/>
                <w:highlight w:val="none"/>
              </w:rPr>
            </w:pPr>
            <w:r>
              <w:rPr>
                <w:color w:val="auto"/>
                <w:sz w:val="22"/>
                <w:highlight w:val="none"/>
              </w:rPr>
              <w:t>可记录质控会会议纪要，上传质控会录音，记录并关联质控会上通过哪些审计项目的报告。</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066505F">
            <w:pPr>
              <w:spacing w:line="360" w:lineRule="exact"/>
              <w:ind w:firstLine="0" w:firstLineChars="0"/>
              <w:jc w:val="center"/>
              <w:rPr>
                <w:color w:val="auto"/>
                <w:sz w:val="22"/>
                <w:highlight w:val="none"/>
              </w:rPr>
            </w:pPr>
            <w:r>
              <w:rPr>
                <w:rFonts w:hint="eastAsia"/>
                <w:color w:val="auto"/>
                <w:sz w:val="22"/>
                <w:highlight w:val="none"/>
              </w:rPr>
              <w:t>1</w:t>
            </w:r>
          </w:p>
        </w:tc>
      </w:tr>
      <w:tr w14:paraId="3046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6D38FBB">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786D13CD">
            <w:pPr>
              <w:spacing w:line="360" w:lineRule="exact"/>
              <w:ind w:firstLine="0" w:firstLineChars="0"/>
              <w:rPr>
                <w:color w:val="auto"/>
                <w:sz w:val="22"/>
                <w:highlight w:val="none"/>
              </w:rPr>
            </w:pPr>
            <w:r>
              <w:rPr>
                <w:color w:val="auto"/>
                <w:sz w:val="22"/>
                <w:highlight w:val="none"/>
              </w:rPr>
              <w:t>审计报告</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3665763">
            <w:pPr>
              <w:spacing w:line="240" w:lineRule="auto"/>
              <w:ind w:firstLine="0" w:firstLineChars="0"/>
              <w:rPr>
                <w:color w:val="auto"/>
                <w:highlight w:val="none"/>
              </w:rPr>
            </w:pPr>
            <w:r>
              <w:rPr>
                <w:color w:val="auto"/>
                <w:sz w:val="22"/>
                <w:highlight w:val="none"/>
              </w:rPr>
              <w:t>审批流程可前台配置，经质控会通过并审批通过的报告，可以</w:t>
            </w:r>
            <w:r>
              <w:rPr>
                <w:rFonts w:hint="eastAsia"/>
                <w:color w:val="auto"/>
                <w:sz w:val="22"/>
                <w:highlight w:val="none"/>
              </w:rPr>
              <w:t>推送被审计单位查看。</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4CCD51C">
            <w:pPr>
              <w:spacing w:line="360" w:lineRule="exact"/>
              <w:ind w:firstLine="0" w:firstLineChars="0"/>
              <w:jc w:val="center"/>
              <w:rPr>
                <w:color w:val="auto"/>
                <w:sz w:val="22"/>
                <w:highlight w:val="none"/>
              </w:rPr>
            </w:pPr>
            <w:r>
              <w:rPr>
                <w:color w:val="auto"/>
                <w:sz w:val="22"/>
                <w:highlight w:val="none"/>
              </w:rPr>
              <w:t>1</w:t>
            </w:r>
          </w:p>
        </w:tc>
      </w:tr>
      <w:tr w14:paraId="78A7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05" w:type="dxa"/>
            <w:vMerge w:val="continue"/>
            <w:tcBorders>
              <w:top w:val="single" w:color="auto" w:sz="6" w:space="0"/>
              <w:left w:val="single" w:color="auto" w:sz="6" w:space="0"/>
              <w:bottom w:val="single" w:color="auto" w:sz="4" w:space="0"/>
              <w:right w:val="single" w:color="auto" w:sz="6" w:space="0"/>
              <w:tl2br w:val="nil"/>
              <w:tr2bl w:val="nil"/>
            </w:tcBorders>
            <w:noWrap/>
            <w:vAlign w:val="center"/>
          </w:tcPr>
          <w:p w14:paraId="7E93F798">
            <w:pPr>
              <w:rPr>
                <w:color w:val="auto"/>
                <w:highlight w:val="none"/>
              </w:rPr>
            </w:pP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7A629291">
            <w:pPr>
              <w:spacing w:line="360" w:lineRule="exact"/>
              <w:ind w:firstLine="0" w:firstLineChars="0"/>
              <w:rPr>
                <w:color w:val="auto"/>
                <w:sz w:val="22"/>
                <w:highlight w:val="none"/>
              </w:rPr>
            </w:pPr>
            <w:r>
              <w:rPr>
                <w:color w:val="auto"/>
                <w:sz w:val="22"/>
                <w:highlight w:val="none"/>
              </w:rPr>
              <w:t>审计归档</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12F4BE8">
            <w:pPr>
              <w:spacing w:line="360" w:lineRule="exact"/>
              <w:ind w:firstLine="0" w:firstLineChars="0"/>
              <w:rPr>
                <w:color w:val="auto"/>
                <w:sz w:val="22"/>
                <w:highlight w:val="none"/>
              </w:rPr>
            </w:pPr>
            <w:r>
              <w:rPr>
                <w:color w:val="auto"/>
                <w:sz w:val="22"/>
                <w:highlight w:val="none"/>
              </w:rPr>
              <w:t>用于审计结项后对系统涉及的电子文档进行汇总，汇总的电子文档以文件夹的形式呈现在结项的归档环节中，方便后期查阅。</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67B9A96">
            <w:pPr>
              <w:spacing w:line="360" w:lineRule="exact"/>
              <w:ind w:firstLine="0" w:firstLineChars="0"/>
              <w:jc w:val="center"/>
              <w:rPr>
                <w:color w:val="auto"/>
                <w:sz w:val="22"/>
                <w:highlight w:val="none"/>
              </w:rPr>
            </w:pPr>
            <w:r>
              <w:rPr>
                <w:color w:val="auto"/>
                <w:sz w:val="22"/>
                <w:highlight w:val="none"/>
              </w:rPr>
              <w:t>1</w:t>
            </w:r>
          </w:p>
        </w:tc>
      </w:tr>
      <w:tr w14:paraId="715A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280" w:type="dxa"/>
            <w:vMerge w:val="restart"/>
            <w:tcBorders>
              <w:top w:val="single" w:color="auto" w:sz="4" w:space="0"/>
              <w:left w:val="single" w:color="auto" w:sz="4" w:space="0"/>
              <w:bottom w:val="single" w:color="auto" w:sz="6" w:space="0"/>
              <w:right w:val="single" w:color="auto" w:sz="4" w:space="0"/>
              <w:tl2br w:val="nil"/>
              <w:tr2bl w:val="nil"/>
            </w:tcBorders>
            <w:noWrap/>
            <w:vAlign w:val="center"/>
          </w:tcPr>
          <w:p w14:paraId="5ADDC938">
            <w:pPr>
              <w:spacing w:line="360" w:lineRule="exact"/>
              <w:ind w:firstLine="0" w:firstLineChars="0"/>
              <w:rPr>
                <w:color w:val="auto"/>
                <w:highlight w:val="none"/>
              </w:rPr>
            </w:pPr>
            <w:r>
              <w:rPr>
                <w:color w:val="auto"/>
                <w:sz w:val="22"/>
                <w:highlight w:val="none"/>
              </w:rPr>
              <w:t>问题整改（4分）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4D045342">
            <w:pPr>
              <w:spacing w:line="360" w:lineRule="exact"/>
              <w:ind w:firstLine="0" w:firstLineChars="0"/>
              <w:rPr>
                <w:color w:val="auto"/>
                <w:sz w:val="22"/>
                <w:highlight w:val="none"/>
              </w:rPr>
            </w:pPr>
            <w:r>
              <w:rPr>
                <w:color w:val="auto"/>
                <w:sz w:val="22"/>
                <w:highlight w:val="none"/>
              </w:rPr>
              <w:t>问题台账</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BDA7E8A">
            <w:pPr>
              <w:spacing w:line="360" w:lineRule="exact"/>
              <w:ind w:firstLine="0" w:firstLineChars="0"/>
              <w:rPr>
                <w:color w:val="auto"/>
                <w:sz w:val="22"/>
                <w:highlight w:val="none"/>
              </w:rPr>
            </w:pPr>
            <w:r>
              <w:rPr>
                <w:color w:val="auto"/>
                <w:sz w:val="22"/>
                <w:highlight w:val="none"/>
              </w:rPr>
              <w:t>建立问题时，支持问题词条自动提示或建议。建立现场审计及非现场审计累计问题台账，问题台账的表样可以前台自定义，有模糊搜索问题台账功能，可以统计并图形化展示问题台账的整改情况、整改时限等。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2709A1A">
            <w:pPr>
              <w:spacing w:line="360" w:lineRule="exact"/>
              <w:ind w:firstLine="0" w:firstLineChars="0"/>
              <w:jc w:val="center"/>
              <w:rPr>
                <w:color w:val="auto"/>
                <w:sz w:val="22"/>
                <w:highlight w:val="none"/>
              </w:rPr>
            </w:pPr>
            <w:r>
              <w:rPr>
                <w:color w:val="auto"/>
                <w:sz w:val="22"/>
                <w:highlight w:val="none"/>
              </w:rPr>
              <w:t>2</w:t>
            </w:r>
          </w:p>
        </w:tc>
      </w:tr>
      <w:tr w14:paraId="1937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C7816A4">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3463EF01">
            <w:pPr>
              <w:spacing w:line="360" w:lineRule="exact"/>
              <w:ind w:firstLine="0" w:firstLineChars="0"/>
              <w:rPr>
                <w:color w:val="auto"/>
                <w:sz w:val="22"/>
                <w:highlight w:val="none"/>
              </w:rPr>
            </w:pPr>
            <w:r>
              <w:rPr>
                <w:color w:val="auto"/>
                <w:sz w:val="22"/>
                <w:highlight w:val="none"/>
              </w:rPr>
              <w:t>整改功能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22A2BA3">
            <w:pPr>
              <w:spacing w:line="360" w:lineRule="exact"/>
              <w:ind w:firstLine="0" w:firstLineChars="0"/>
              <w:rPr>
                <w:color w:val="auto"/>
                <w:sz w:val="22"/>
                <w:highlight w:val="none"/>
              </w:rPr>
            </w:pPr>
            <w:r>
              <w:rPr>
                <w:color w:val="auto"/>
                <w:sz w:val="22"/>
                <w:highlight w:val="none"/>
              </w:rPr>
              <w:t>包括整改分派、整改落实、整改确认、整改跟踪等。系统自动监测</w:t>
            </w:r>
            <w:r>
              <w:rPr>
                <w:rFonts w:hint="eastAsia"/>
                <w:color w:val="auto"/>
                <w:sz w:val="22"/>
                <w:highlight w:val="none"/>
              </w:rPr>
              <w:t>未</w:t>
            </w:r>
            <w:r>
              <w:rPr>
                <w:color w:val="auto"/>
                <w:sz w:val="22"/>
                <w:highlight w:val="none"/>
              </w:rPr>
              <w:t>整改完问题的到期时间，到期前推送提醒至被审计对象和主审，被审计对象系统中填写整改台账和上传整改证明材料，主审复核并判断是否达到整改效果。</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FE0660A">
            <w:pPr>
              <w:spacing w:line="360" w:lineRule="exact"/>
              <w:ind w:firstLine="0" w:firstLineChars="0"/>
              <w:jc w:val="center"/>
              <w:rPr>
                <w:color w:val="auto"/>
                <w:sz w:val="22"/>
                <w:highlight w:val="none"/>
              </w:rPr>
            </w:pPr>
            <w:r>
              <w:rPr>
                <w:color w:val="auto"/>
                <w:sz w:val="22"/>
                <w:highlight w:val="none"/>
              </w:rPr>
              <w:t>2</w:t>
            </w:r>
          </w:p>
        </w:tc>
      </w:tr>
      <w:tr w14:paraId="205E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9171860">
            <w:pPr>
              <w:spacing w:line="360" w:lineRule="exact"/>
              <w:ind w:firstLine="0" w:firstLineChars="0"/>
              <w:rPr>
                <w:color w:val="auto"/>
                <w:sz w:val="22"/>
                <w:highlight w:val="none"/>
              </w:rPr>
            </w:pPr>
            <w:r>
              <w:rPr>
                <w:color w:val="auto"/>
                <w:sz w:val="22"/>
                <w:highlight w:val="none"/>
              </w:rPr>
              <w:t>数据管理（4分）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F873CFC">
            <w:pPr>
              <w:spacing w:line="360" w:lineRule="exact"/>
              <w:ind w:firstLine="0" w:firstLineChars="0"/>
              <w:rPr>
                <w:color w:val="auto"/>
                <w:sz w:val="22"/>
                <w:highlight w:val="none"/>
              </w:rPr>
            </w:pPr>
            <w:r>
              <w:rPr>
                <w:color w:val="auto"/>
                <w:sz w:val="22"/>
                <w:highlight w:val="none"/>
              </w:rPr>
              <w:t>数据源维护</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A684AC3">
            <w:pPr>
              <w:spacing w:line="360" w:lineRule="exact"/>
              <w:ind w:firstLine="0" w:firstLineChars="0"/>
              <w:rPr>
                <w:color w:val="auto"/>
                <w:sz w:val="22"/>
                <w:highlight w:val="none"/>
              </w:rPr>
            </w:pPr>
            <w:r>
              <w:rPr>
                <w:color w:val="auto"/>
                <w:sz w:val="22"/>
                <w:highlight w:val="none"/>
              </w:rPr>
              <w:t>支持多数据源维护，如手工数据导入、大数据中台数据直接读取或数仓数据文件推送、外部数据接口获取数据等等，并将散乱的数据进行整理、分类，建设成符合行内数据分析需要的数据体系。</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380C685">
            <w:pPr>
              <w:spacing w:line="360" w:lineRule="exact"/>
              <w:ind w:firstLine="0" w:firstLineChars="0"/>
              <w:jc w:val="center"/>
              <w:rPr>
                <w:color w:val="auto"/>
                <w:sz w:val="22"/>
                <w:highlight w:val="none"/>
              </w:rPr>
            </w:pPr>
            <w:r>
              <w:rPr>
                <w:color w:val="auto"/>
                <w:sz w:val="22"/>
                <w:highlight w:val="none"/>
              </w:rPr>
              <w:t>2</w:t>
            </w:r>
          </w:p>
        </w:tc>
      </w:tr>
      <w:tr w14:paraId="1BCF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8F27BA2">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418EFA53">
            <w:pPr>
              <w:spacing w:line="360" w:lineRule="exact"/>
              <w:ind w:firstLine="0" w:firstLineChars="0"/>
              <w:rPr>
                <w:color w:val="auto"/>
                <w:sz w:val="22"/>
                <w:highlight w:val="none"/>
              </w:rPr>
            </w:pPr>
            <w:r>
              <w:rPr>
                <w:color w:val="auto"/>
                <w:sz w:val="22"/>
                <w:highlight w:val="none"/>
              </w:rPr>
              <w:t>元数据管理</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E050169">
            <w:pPr>
              <w:spacing w:line="360" w:lineRule="exact"/>
              <w:ind w:firstLine="0" w:firstLineChars="0"/>
              <w:rPr>
                <w:color w:val="auto"/>
                <w:sz w:val="22"/>
                <w:highlight w:val="none"/>
              </w:rPr>
            </w:pPr>
            <w:r>
              <w:rPr>
                <w:color w:val="auto"/>
                <w:sz w:val="22"/>
                <w:highlight w:val="none"/>
              </w:rPr>
              <w:t>可以根据使用需要，划分数据主题域，数据配置包括数据主题设置、实体展示、属性维护及代码配置、属性值统计功能等。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C35E492">
            <w:pPr>
              <w:spacing w:line="360" w:lineRule="exact"/>
              <w:ind w:firstLine="0" w:firstLineChars="0"/>
              <w:jc w:val="center"/>
              <w:rPr>
                <w:color w:val="auto"/>
                <w:sz w:val="22"/>
                <w:highlight w:val="none"/>
              </w:rPr>
            </w:pPr>
            <w:r>
              <w:rPr>
                <w:color w:val="auto"/>
                <w:sz w:val="22"/>
                <w:highlight w:val="none"/>
              </w:rPr>
              <w:t>2</w:t>
            </w:r>
          </w:p>
        </w:tc>
      </w:tr>
      <w:tr w14:paraId="2F74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BFB7246">
            <w:pPr>
              <w:spacing w:line="360" w:lineRule="exact"/>
              <w:ind w:firstLine="0" w:firstLineChars="0"/>
              <w:rPr>
                <w:color w:val="auto"/>
                <w:highlight w:val="none"/>
              </w:rPr>
            </w:pPr>
            <w:r>
              <w:rPr>
                <w:color w:val="auto"/>
                <w:sz w:val="22"/>
                <w:highlight w:val="none"/>
              </w:rPr>
              <w:t>模型探索分析（5分）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731CF47">
            <w:pPr>
              <w:spacing w:line="360" w:lineRule="exact"/>
              <w:ind w:firstLine="0" w:firstLineChars="0"/>
              <w:rPr>
                <w:color w:val="auto"/>
                <w:sz w:val="22"/>
                <w:highlight w:val="none"/>
              </w:rPr>
            </w:pPr>
            <w:r>
              <w:rPr>
                <w:color w:val="auto"/>
                <w:sz w:val="22"/>
                <w:highlight w:val="none"/>
              </w:rPr>
              <w:t>支持可视化建模</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3BC99E5">
            <w:pPr>
              <w:spacing w:line="360" w:lineRule="exact"/>
              <w:ind w:firstLine="0" w:firstLineChars="0"/>
              <w:rPr>
                <w:color w:val="auto"/>
                <w:sz w:val="22"/>
                <w:highlight w:val="none"/>
              </w:rPr>
            </w:pPr>
            <w:r>
              <w:rPr>
                <w:color w:val="auto"/>
                <w:sz w:val="22"/>
                <w:highlight w:val="none"/>
              </w:rPr>
              <w:t>1.支持创建模型基本信息包括模型名称、模型描述等。</w:t>
            </w:r>
          </w:p>
          <w:p w14:paraId="5842F194">
            <w:pPr>
              <w:spacing w:line="360" w:lineRule="exact"/>
              <w:ind w:firstLine="0" w:firstLineChars="0"/>
              <w:rPr>
                <w:color w:val="auto"/>
                <w:sz w:val="22"/>
                <w:highlight w:val="none"/>
              </w:rPr>
            </w:pPr>
            <w:r>
              <w:rPr>
                <w:color w:val="auto"/>
                <w:sz w:val="22"/>
                <w:highlight w:val="none"/>
              </w:rPr>
              <w:t>2.在建模平台可以按业务思路，通过可视化图形操作“拖拉拽”的方式创建或维护模型步骤。提供数据合并、叠加、排序、关联、筛选、取唯一值等等操作。</w:t>
            </w:r>
          </w:p>
          <w:p w14:paraId="3741889B">
            <w:pPr>
              <w:spacing w:line="360" w:lineRule="exact"/>
              <w:ind w:firstLine="0" w:firstLineChars="0"/>
              <w:rPr>
                <w:color w:val="auto"/>
                <w:sz w:val="22"/>
                <w:highlight w:val="none"/>
              </w:rPr>
            </w:pPr>
            <w:r>
              <w:rPr>
                <w:color w:val="auto"/>
                <w:sz w:val="22"/>
                <w:highlight w:val="none"/>
              </w:rPr>
              <w:t>3.支持模型步骤插入、单步执行、操作、查看单步结果。</w:t>
            </w:r>
          </w:p>
          <w:p w14:paraId="5A20FC81">
            <w:pPr>
              <w:spacing w:line="360" w:lineRule="exact"/>
              <w:ind w:firstLine="0" w:firstLineChars="0"/>
              <w:rPr>
                <w:color w:val="auto"/>
                <w:sz w:val="22"/>
                <w:highlight w:val="none"/>
              </w:rPr>
            </w:pPr>
            <w:r>
              <w:rPr>
                <w:color w:val="auto"/>
                <w:sz w:val="22"/>
                <w:highlight w:val="none"/>
              </w:rPr>
              <w:t>4.可设置普通模式/异步模式，手动同步/自动同步，手动预览/自动预览</w:t>
            </w:r>
          </w:p>
          <w:p w14:paraId="0DD2E8E5">
            <w:pPr>
              <w:spacing w:line="360" w:lineRule="exact"/>
              <w:ind w:firstLine="0" w:firstLineChars="0"/>
              <w:rPr>
                <w:color w:val="auto"/>
                <w:sz w:val="22"/>
                <w:highlight w:val="none"/>
              </w:rPr>
            </w:pPr>
            <w:r>
              <w:rPr>
                <w:color w:val="auto"/>
                <w:sz w:val="22"/>
                <w:highlight w:val="none"/>
              </w:rPr>
              <w:t>5.可查看每个节点对应的sql语句</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6306C60">
            <w:pPr>
              <w:spacing w:line="360" w:lineRule="exact"/>
              <w:ind w:firstLine="0" w:firstLineChars="0"/>
              <w:jc w:val="center"/>
              <w:rPr>
                <w:color w:val="auto"/>
                <w:sz w:val="22"/>
                <w:highlight w:val="none"/>
              </w:rPr>
            </w:pPr>
            <w:r>
              <w:rPr>
                <w:color w:val="auto"/>
                <w:sz w:val="22"/>
                <w:highlight w:val="none"/>
              </w:rPr>
              <w:t>4</w:t>
            </w:r>
          </w:p>
        </w:tc>
      </w:tr>
      <w:tr w14:paraId="01FB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B80C234">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1EC663C8">
            <w:pPr>
              <w:spacing w:line="360" w:lineRule="exact"/>
              <w:ind w:firstLine="0" w:firstLineChars="0"/>
              <w:rPr>
                <w:color w:val="auto"/>
                <w:sz w:val="22"/>
                <w:highlight w:val="none"/>
              </w:rPr>
            </w:pPr>
            <w:r>
              <w:rPr>
                <w:rFonts w:hint="eastAsia"/>
                <w:color w:val="auto"/>
                <w:sz w:val="22"/>
                <w:highlight w:val="none"/>
              </w:rPr>
              <w:t>生成</w:t>
            </w:r>
            <w:r>
              <w:rPr>
                <w:color w:val="auto"/>
                <w:sz w:val="22"/>
                <w:highlight w:val="none"/>
              </w:rPr>
              <w:t>模型</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C0BDAD4">
            <w:pPr>
              <w:spacing w:line="360" w:lineRule="exact"/>
              <w:ind w:firstLine="0" w:firstLineChars="0"/>
              <w:rPr>
                <w:color w:val="auto"/>
                <w:sz w:val="22"/>
                <w:highlight w:val="none"/>
              </w:rPr>
            </w:pPr>
            <w:r>
              <w:rPr>
                <w:color w:val="auto"/>
                <w:sz w:val="22"/>
                <w:highlight w:val="none"/>
              </w:rPr>
              <w:t>可视化建模后，可以选择发布成查证模型，也可以发布成预警模型。</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2F241B4">
            <w:pPr>
              <w:spacing w:line="360" w:lineRule="exact"/>
              <w:ind w:firstLine="0" w:firstLineChars="0"/>
              <w:jc w:val="center"/>
              <w:rPr>
                <w:color w:val="auto"/>
                <w:sz w:val="22"/>
                <w:highlight w:val="none"/>
              </w:rPr>
            </w:pPr>
            <w:r>
              <w:rPr>
                <w:color w:val="auto"/>
                <w:sz w:val="22"/>
                <w:highlight w:val="none"/>
              </w:rPr>
              <w:t>1</w:t>
            </w:r>
          </w:p>
        </w:tc>
      </w:tr>
      <w:tr w14:paraId="111C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91E2559">
            <w:pPr>
              <w:spacing w:line="360" w:lineRule="exact"/>
              <w:ind w:firstLine="0" w:firstLineChars="0"/>
              <w:rPr>
                <w:color w:val="auto"/>
                <w:sz w:val="22"/>
                <w:highlight w:val="none"/>
              </w:rPr>
            </w:pPr>
            <w:r>
              <w:rPr>
                <w:color w:val="auto"/>
                <w:sz w:val="22"/>
                <w:highlight w:val="none"/>
              </w:rPr>
              <w:t>SQL工具（4分）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F52A070">
            <w:pPr>
              <w:spacing w:line="360" w:lineRule="exact"/>
              <w:ind w:firstLine="0" w:firstLineChars="0"/>
              <w:rPr>
                <w:color w:val="auto"/>
                <w:sz w:val="22"/>
                <w:highlight w:val="none"/>
              </w:rPr>
            </w:pPr>
            <w:r>
              <w:rPr>
                <w:color w:val="auto"/>
                <w:sz w:val="22"/>
                <w:highlight w:val="none"/>
              </w:rPr>
              <w:t>基本功能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9A4EA7F">
            <w:pPr>
              <w:spacing w:line="360" w:lineRule="exact"/>
              <w:ind w:firstLine="0" w:firstLineChars="0"/>
              <w:rPr>
                <w:color w:val="auto"/>
                <w:sz w:val="22"/>
                <w:highlight w:val="none"/>
              </w:rPr>
            </w:pPr>
            <w:r>
              <w:rPr>
                <w:color w:val="auto"/>
                <w:sz w:val="22"/>
                <w:highlight w:val="none"/>
              </w:rPr>
              <w:t>系统提供SQL 语言开发界面，支持常用的函数提示，关键字提示，数据库表名等，支持多窗口。</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64EB874">
            <w:pPr>
              <w:spacing w:line="360" w:lineRule="exact"/>
              <w:ind w:firstLine="0" w:firstLineChars="0"/>
              <w:jc w:val="center"/>
              <w:rPr>
                <w:color w:val="auto"/>
                <w:sz w:val="22"/>
                <w:highlight w:val="none"/>
              </w:rPr>
            </w:pPr>
            <w:r>
              <w:rPr>
                <w:color w:val="auto"/>
                <w:sz w:val="22"/>
                <w:highlight w:val="none"/>
              </w:rPr>
              <w:t>3</w:t>
            </w:r>
          </w:p>
        </w:tc>
      </w:tr>
      <w:tr w14:paraId="0492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17C24A1">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6CBE74F">
            <w:pPr>
              <w:spacing w:line="360" w:lineRule="exact"/>
              <w:ind w:firstLine="0" w:firstLineChars="0"/>
              <w:rPr>
                <w:color w:val="auto"/>
                <w:sz w:val="22"/>
                <w:highlight w:val="none"/>
              </w:rPr>
            </w:pPr>
            <w:r>
              <w:rPr>
                <w:color w:val="auto"/>
                <w:sz w:val="22"/>
                <w:highlight w:val="none"/>
              </w:rPr>
              <w:t>辅助功能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7763987">
            <w:pPr>
              <w:spacing w:line="360" w:lineRule="exact"/>
              <w:ind w:firstLine="0" w:firstLineChars="0"/>
              <w:rPr>
                <w:color w:val="auto"/>
                <w:sz w:val="22"/>
                <w:highlight w:val="none"/>
              </w:rPr>
            </w:pPr>
            <w:r>
              <w:rPr>
                <w:color w:val="auto"/>
                <w:sz w:val="22"/>
                <w:highlight w:val="none"/>
              </w:rPr>
              <w:t>支持SQL美化、SQL收藏、SQL保存等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64EF6D8">
            <w:pPr>
              <w:spacing w:line="360" w:lineRule="exact"/>
              <w:ind w:firstLine="0" w:firstLineChars="0"/>
              <w:jc w:val="center"/>
              <w:rPr>
                <w:color w:val="auto"/>
                <w:sz w:val="22"/>
                <w:highlight w:val="none"/>
              </w:rPr>
            </w:pPr>
            <w:r>
              <w:rPr>
                <w:color w:val="auto"/>
                <w:sz w:val="22"/>
                <w:highlight w:val="none"/>
              </w:rPr>
              <w:t>1</w:t>
            </w:r>
          </w:p>
        </w:tc>
      </w:tr>
      <w:tr w14:paraId="362D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80" w:type="dxa"/>
            <w:tcBorders>
              <w:top w:val="single" w:color="auto" w:sz="4" w:space="0"/>
              <w:left w:val="single" w:color="auto" w:sz="4" w:space="0"/>
              <w:bottom w:val="single" w:color="auto" w:sz="4" w:space="0"/>
              <w:right w:val="single" w:color="auto" w:sz="4" w:space="0"/>
              <w:tl2br w:val="nil"/>
              <w:tr2bl w:val="nil"/>
            </w:tcBorders>
            <w:noWrap/>
            <w:vAlign w:val="center"/>
          </w:tcPr>
          <w:p w14:paraId="4CF75954">
            <w:pPr>
              <w:spacing w:line="360" w:lineRule="exact"/>
              <w:ind w:firstLine="0" w:firstLineChars="0"/>
              <w:rPr>
                <w:color w:val="auto"/>
                <w:sz w:val="22"/>
                <w:highlight w:val="none"/>
              </w:rPr>
            </w:pPr>
            <w:r>
              <w:rPr>
                <w:color w:val="auto"/>
                <w:sz w:val="22"/>
                <w:highlight w:val="none"/>
              </w:rPr>
              <w:t>智慧图谱（4分）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50B4F3AE">
            <w:pPr>
              <w:spacing w:line="360" w:lineRule="exact"/>
              <w:ind w:firstLine="0" w:firstLineChars="0"/>
              <w:rPr>
                <w:color w:val="auto"/>
                <w:sz w:val="22"/>
                <w:highlight w:val="none"/>
              </w:rPr>
            </w:pPr>
            <w:r>
              <w:rPr>
                <w:color w:val="auto"/>
                <w:sz w:val="22"/>
                <w:highlight w:val="none"/>
              </w:rPr>
              <w:t>资金流向分析</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B3BDD31">
            <w:pPr>
              <w:spacing w:line="360" w:lineRule="exact"/>
              <w:ind w:firstLine="0" w:firstLineChars="0"/>
              <w:rPr>
                <w:color w:val="auto"/>
                <w:sz w:val="22"/>
                <w:highlight w:val="none"/>
              </w:rPr>
            </w:pPr>
            <w:r>
              <w:rPr>
                <w:color w:val="auto"/>
                <w:sz w:val="22"/>
                <w:highlight w:val="none"/>
              </w:rPr>
              <w:t>以图数据库技术为基础，实现：</w:t>
            </w:r>
          </w:p>
          <w:p w14:paraId="43BBA49D">
            <w:pPr>
              <w:spacing w:line="360" w:lineRule="exact"/>
              <w:ind w:firstLine="0" w:firstLineChars="0"/>
              <w:rPr>
                <w:color w:val="auto"/>
                <w:sz w:val="22"/>
                <w:highlight w:val="none"/>
              </w:rPr>
            </w:pPr>
            <w:r>
              <w:rPr>
                <w:color w:val="auto"/>
                <w:sz w:val="22"/>
                <w:highlight w:val="none"/>
              </w:rPr>
              <w:t>资金流向分析：</w:t>
            </w:r>
          </w:p>
          <w:p w14:paraId="49001B64">
            <w:pPr>
              <w:spacing w:line="360" w:lineRule="exact"/>
              <w:ind w:firstLine="0" w:firstLineChars="0"/>
              <w:rPr>
                <w:color w:val="auto"/>
                <w:sz w:val="22"/>
                <w:highlight w:val="none"/>
              </w:rPr>
            </w:pPr>
            <w:r>
              <w:rPr>
                <w:color w:val="auto"/>
                <w:sz w:val="22"/>
                <w:highlight w:val="none"/>
              </w:rPr>
              <w:t>1、通过交易流水实现资金交易流向监控</w:t>
            </w:r>
          </w:p>
          <w:p w14:paraId="2CE6F636">
            <w:pPr>
              <w:spacing w:line="360" w:lineRule="exact"/>
              <w:ind w:firstLine="0" w:firstLineChars="0"/>
              <w:rPr>
                <w:color w:val="auto"/>
                <w:sz w:val="22"/>
                <w:highlight w:val="none"/>
              </w:rPr>
            </w:pPr>
            <w:r>
              <w:rPr>
                <w:color w:val="auto"/>
                <w:sz w:val="22"/>
                <w:highlight w:val="none"/>
              </w:rPr>
              <w:t>2、可以对节点进行隐藏和显示，可以无限展开子节点</w:t>
            </w:r>
          </w:p>
          <w:p w14:paraId="09D3501F">
            <w:pPr>
              <w:spacing w:line="360" w:lineRule="exact"/>
              <w:ind w:firstLine="0" w:firstLineChars="0"/>
              <w:rPr>
                <w:color w:val="auto"/>
                <w:sz w:val="22"/>
                <w:highlight w:val="none"/>
              </w:rPr>
            </w:pPr>
            <w:r>
              <w:rPr>
                <w:color w:val="auto"/>
                <w:sz w:val="22"/>
                <w:highlight w:val="none"/>
              </w:rPr>
              <w:t>3、可实现针对客户维护和账户维度的资金流向分析</w:t>
            </w:r>
          </w:p>
          <w:p w14:paraId="44AC0863">
            <w:pPr>
              <w:spacing w:line="360" w:lineRule="exact"/>
              <w:ind w:firstLine="0" w:firstLineChars="0"/>
              <w:rPr>
                <w:color w:val="auto"/>
                <w:sz w:val="22"/>
                <w:highlight w:val="none"/>
              </w:rPr>
            </w:pPr>
            <w:r>
              <w:rPr>
                <w:color w:val="auto"/>
                <w:sz w:val="22"/>
                <w:highlight w:val="none"/>
              </w:rPr>
              <w:t>4、通过图谱可以链接查看资金交易明细</w:t>
            </w:r>
          </w:p>
          <w:p w14:paraId="2B108D2D">
            <w:pPr>
              <w:spacing w:line="360" w:lineRule="exact"/>
              <w:ind w:firstLine="0" w:firstLineChars="0"/>
              <w:rPr>
                <w:color w:val="auto"/>
                <w:sz w:val="22"/>
                <w:highlight w:val="none"/>
              </w:rPr>
            </w:pPr>
            <w:r>
              <w:rPr>
                <w:rFonts w:hint="eastAsia"/>
                <w:color w:val="auto"/>
                <w:sz w:val="22"/>
                <w:highlight w:val="none"/>
              </w:rPr>
              <w:t>关联客户分析：</w:t>
            </w:r>
          </w:p>
          <w:p w14:paraId="2962CD72">
            <w:pPr>
              <w:spacing w:line="360" w:lineRule="exact"/>
              <w:ind w:firstLine="0" w:firstLineChars="0"/>
              <w:rPr>
                <w:color w:val="auto"/>
                <w:sz w:val="22"/>
                <w:highlight w:val="none"/>
              </w:rPr>
            </w:pPr>
            <w:r>
              <w:rPr>
                <w:color w:val="auto"/>
                <w:sz w:val="22"/>
                <w:highlight w:val="none"/>
              </w:rPr>
              <w:t>1</w:t>
            </w:r>
            <w:r>
              <w:rPr>
                <w:rFonts w:hint="eastAsia"/>
                <w:color w:val="auto"/>
                <w:sz w:val="22"/>
                <w:highlight w:val="none"/>
              </w:rPr>
              <w:t>、通过客户关联关系实现关联客户监控</w:t>
            </w:r>
          </w:p>
          <w:p w14:paraId="730BE644">
            <w:pPr>
              <w:spacing w:line="360" w:lineRule="exact"/>
              <w:ind w:firstLine="0" w:firstLineChars="0"/>
              <w:rPr>
                <w:color w:val="auto"/>
                <w:sz w:val="22"/>
                <w:highlight w:val="none"/>
              </w:rPr>
            </w:pPr>
            <w:r>
              <w:rPr>
                <w:color w:val="auto"/>
                <w:sz w:val="22"/>
                <w:highlight w:val="none"/>
              </w:rPr>
              <w:t>2</w:t>
            </w:r>
            <w:r>
              <w:rPr>
                <w:rFonts w:hint="eastAsia"/>
                <w:color w:val="auto"/>
                <w:sz w:val="22"/>
                <w:highlight w:val="none"/>
              </w:rPr>
              <w:t>、可以对节点进行隐藏和显示，可以无限展开子节点</w:t>
            </w:r>
          </w:p>
          <w:p w14:paraId="5756D5AF">
            <w:pPr>
              <w:spacing w:line="360" w:lineRule="exact"/>
              <w:ind w:firstLine="0" w:firstLineChars="0"/>
              <w:rPr>
                <w:color w:val="auto"/>
                <w:sz w:val="22"/>
                <w:highlight w:val="none"/>
              </w:rPr>
            </w:pPr>
            <w:r>
              <w:rPr>
                <w:rFonts w:hint="eastAsia"/>
                <w:color w:val="auto"/>
                <w:sz w:val="22"/>
                <w:highlight w:val="none"/>
              </w:rPr>
              <w:t>担保关系分析：</w:t>
            </w:r>
          </w:p>
          <w:p w14:paraId="44CAED49">
            <w:pPr>
              <w:spacing w:line="360" w:lineRule="exact"/>
              <w:ind w:firstLine="0" w:firstLineChars="0"/>
              <w:rPr>
                <w:color w:val="auto"/>
                <w:sz w:val="22"/>
                <w:highlight w:val="none"/>
              </w:rPr>
            </w:pPr>
            <w:r>
              <w:rPr>
                <w:color w:val="auto"/>
                <w:sz w:val="22"/>
                <w:highlight w:val="none"/>
              </w:rPr>
              <w:t>1</w:t>
            </w:r>
            <w:r>
              <w:rPr>
                <w:rFonts w:hint="eastAsia"/>
                <w:color w:val="auto"/>
                <w:sz w:val="22"/>
                <w:highlight w:val="none"/>
              </w:rPr>
              <w:t>、通过客户担保关系实现客户担保监控</w:t>
            </w:r>
          </w:p>
          <w:p w14:paraId="62E33A3B">
            <w:pPr>
              <w:spacing w:line="360" w:lineRule="exact"/>
              <w:ind w:firstLine="0" w:firstLineChars="0"/>
              <w:rPr>
                <w:color w:val="auto"/>
                <w:sz w:val="22"/>
                <w:highlight w:val="none"/>
              </w:rPr>
            </w:pPr>
            <w:r>
              <w:rPr>
                <w:color w:val="auto"/>
                <w:sz w:val="22"/>
                <w:highlight w:val="none"/>
              </w:rPr>
              <w:t>2</w:t>
            </w:r>
            <w:r>
              <w:rPr>
                <w:rFonts w:hint="eastAsia"/>
                <w:color w:val="auto"/>
                <w:sz w:val="22"/>
                <w:highlight w:val="none"/>
              </w:rPr>
              <w:t>、可以对节点进行隐藏和显示，可以无限展开子节点</w:t>
            </w:r>
          </w:p>
          <w:p w14:paraId="70AAD987">
            <w:pPr>
              <w:spacing w:line="360" w:lineRule="exact"/>
              <w:ind w:firstLine="0" w:firstLineChars="0"/>
              <w:rPr>
                <w:color w:val="auto"/>
                <w:sz w:val="22"/>
                <w:highlight w:val="none"/>
              </w:rPr>
            </w:pPr>
            <w:r>
              <w:rPr>
                <w:color w:val="auto"/>
                <w:sz w:val="22"/>
                <w:highlight w:val="none"/>
              </w:rPr>
              <w:t>3</w:t>
            </w:r>
            <w:r>
              <w:rPr>
                <w:rFonts w:hint="eastAsia"/>
                <w:color w:val="auto"/>
                <w:sz w:val="22"/>
                <w:highlight w:val="none"/>
              </w:rPr>
              <w:t>、通过图谱可以链接查看担保明细</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05F01FB">
            <w:pPr>
              <w:spacing w:line="360" w:lineRule="exact"/>
              <w:ind w:firstLine="0" w:firstLineChars="0"/>
              <w:jc w:val="center"/>
              <w:rPr>
                <w:color w:val="auto"/>
                <w:sz w:val="22"/>
                <w:highlight w:val="none"/>
              </w:rPr>
            </w:pPr>
            <w:r>
              <w:rPr>
                <w:color w:val="auto"/>
                <w:sz w:val="22"/>
                <w:highlight w:val="none"/>
              </w:rPr>
              <w:t>4</w:t>
            </w:r>
          </w:p>
        </w:tc>
      </w:tr>
      <w:tr w14:paraId="726D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3CFB582">
            <w:pPr>
              <w:spacing w:line="360" w:lineRule="exact"/>
              <w:ind w:firstLine="0" w:firstLineChars="0"/>
              <w:rPr>
                <w:color w:val="auto"/>
                <w:sz w:val="22"/>
                <w:highlight w:val="none"/>
              </w:rPr>
            </w:pPr>
            <w:r>
              <w:rPr>
                <w:color w:val="auto"/>
                <w:sz w:val="22"/>
                <w:highlight w:val="none"/>
              </w:rPr>
              <w:t>查证模型（8分）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66DE738C">
            <w:pPr>
              <w:spacing w:line="360" w:lineRule="exact"/>
              <w:ind w:firstLine="0" w:firstLineChars="0"/>
              <w:rPr>
                <w:color w:val="auto"/>
                <w:sz w:val="22"/>
                <w:highlight w:val="none"/>
              </w:rPr>
            </w:pPr>
            <w:r>
              <w:rPr>
                <w:color w:val="auto"/>
                <w:sz w:val="22"/>
                <w:highlight w:val="none"/>
              </w:rPr>
              <w:t>基本信息</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58203D8">
            <w:pPr>
              <w:spacing w:line="360" w:lineRule="exact"/>
              <w:ind w:firstLine="0" w:firstLineChars="0"/>
              <w:rPr>
                <w:color w:val="auto"/>
                <w:sz w:val="22"/>
                <w:highlight w:val="none"/>
              </w:rPr>
            </w:pPr>
            <w:r>
              <w:rPr>
                <w:color w:val="auto"/>
                <w:sz w:val="22"/>
                <w:highlight w:val="none"/>
              </w:rPr>
              <w:t>该功能以某笔业务或信息项为基点，通过预定义的审计模型，利用模型间的关联跳转，追踪相关业务流程或信息，实现审计数据查证，包括查证模型的基本信息、参数、展示字段等。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1C3566E">
            <w:pPr>
              <w:spacing w:line="360" w:lineRule="exact"/>
              <w:ind w:firstLine="0" w:firstLineChars="0"/>
              <w:jc w:val="center"/>
              <w:rPr>
                <w:color w:val="auto"/>
                <w:sz w:val="22"/>
                <w:highlight w:val="none"/>
              </w:rPr>
            </w:pPr>
            <w:r>
              <w:rPr>
                <w:color w:val="auto"/>
                <w:sz w:val="22"/>
                <w:highlight w:val="none"/>
              </w:rPr>
              <w:t>1</w:t>
            </w:r>
          </w:p>
        </w:tc>
      </w:tr>
      <w:tr w14:paraId="60F1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8C6030B">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12C235C2">
            <w:pPr>
              <w:spacing w:line="360" w:lineRule="exact"/>
              <w:ind w:firstLine="0" w:firstLineChars="0"/>
              <w:rPr>
                <w:color w:val="auto"/>
                <w:sz w:val="22"/>
                <w:highlight w:val="none"/>
              </w:rPr>
            </w:pPr>
            <w:r>
              <w:rPr>
                <w:color w:val="auto"/>
                <w:sz w:val="22"/>
                <w:highlight w:val="none"/>
              </w:rPr>
              <w:t>参数及输出</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B9ADF3A">
            <w:pPr>
              <w:spacing w:line="360" w:lineRule="exact"/>
              <w:ind w:firstLine="0" w:firstLineChars="0"/>
              <w:rPr>
                <w:color w:val="auto"/>
                <w:sz w:val="22"/>
                <w:highlight w:val="none"/>
              </w:rPr>
            </w:pPr>
            <w:r>
              <w:rPr>
                <w:color w:val="auto"/>
                <w:sz w:val="22"/>
                <w:highlight w:val="none"/>
              </w:rPr>
              <w:t>查证模型的查询条件支持多样化的自定义，输出字段支持是否显示、显示顺序、脱敏、表头智能转中文等功能，且支持JS脚本配置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9D2BA7D">
            <w:pPr>
              <w:spacing w:line="360" w:lineRule="exact"/>
              <w:ind w:firstLine="0" w:firstLineChars="0"/>
              <w:jc w:val="center"/>
              <w:rPr>
                <w:color w:val="auto"/>
                <w:sz w:val="22"/>
                <w:highlight w:val="none"/>
              </w:rPr>
            </w:pPr>
            <w:r>
              <w:rPr>
                <w:color w:val="auto"/>
                <w:sz w:val="22"/>
                <w:highlight w:val="none"/>
              </w:rPr>
              <w:t>2</w:t>
            </w:r>
          </w:p>
        </w:tc>
      </w:tr>
      <w:tr w14:paraId="56AD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79B543D">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6FB3D00B">
            <w:pPr>
              <w:spacing w:line="360" w:lineRule="exact"/>
              <w:ind w:firstLine="0" w:firstLineChars="0"/>
              <w:rPr>
                <w:color w:val="auto"/>
                <w:sz w:val="22"/>
                <w:highlight w:val="none"/>
              </w:rPr>
            </w:pPr>
            <w:r>
              <w:rPr>
                <w:color w:val="auto"/>
                <w:sz w:val="22"/>
                <w:highlight w:val="none"/>
              </w:rPr>
              <w:t>查询模式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BE50B37">
            <w:pPr>
              <w:spacing w:line="360" w:lineRule="exact"/>
              <w:ind w:firstLine="0" w:firstLineChars="0"/>
              <w:rPr>
                <w:color w:val="auto"/>
                <w:sz w:val="22"/>
                <w:highlight w:val="none"/>
              </w:rPr>
            </w:pPr>
            <w:r>
              <w:rPr>
                <w:color w:val="auto"/>
                <w:sz w:val="22"/>
                <w:highlight w:val="none"/>
              </w:rPr>
              <w:t>查证模型可支持明细模式、表格模式、图表模式，可利用查证模型制作柱状图、饼状图、折线图等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E0A89BF">
            <w:pPr>
              <w:spacing w:line="360" w:lineRule="exact"/>
              <w:ind w:firstLine="0" w:firstLineChars="0"/>
              <w:jc w:val="center"/>
              <w:rPr>
                <w:color w:val="auto"/>
                <w:sz w:val="22"/>
                <w:highlight w:val="none"/>
              </w:rPr>
            </w:pPr>
            <w:r>
              <w:rPr>
                <w:color w:val="auto"/>
                <w:sz w:val="22"/>
                <w:highlight w:val="none"/>
              </w:rPr>
              <w:t>2</w:t>
            </w:r>
          </w:p>
        </w:tc>
      </w:tr>
      <w:tr w14:paraId="5904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E34A4A2">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C938180">
            <w:pPr>
              <w:spacing w:line="360" w:lineRule="exact"/>
              <w:ind w:firstLine="0" w:firstLineChars="0"/>
              <w:rPr>
                <w:color w:val="auto"/>
                <w:sz w:val="22"/>
                <w:highlight w:val="none"/>
              </w:rPr>
            </w:pPr>
            <w:r>
              <w:rPr>
                <w:color w:val="auto"/>
                <w:sz w:val="22"/>
                <w:highlight w:val="none"/>
              </w:rPr>
              <w:t>跳转方式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28D84B5">
            <w:pPr>
              <w:spacing w:line="360" w:lineRule="exact"/>
              <w:ind w:firstLine="0" w:firstLineChars="0"/>
              <w:rPr>
                <w:color w:val="auto"/>
                <w:sz w:val="22"/>
                <w:highlight w:val="none"/>
              </w:rPr>
            </w:pPr>
            <w:r>
              <w:rPr>
                <w:color w:val="auto"/>
                <w:sz w:val="22"/>
                <w:highlight w:val="none"/>
              </w:rPr>
              <w:t>查证模型的跳转配置支持多样化，包括跳转到查证模型结果页面、查询页面、跳转到外部链接等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F2ADA12">
            <w:pPr>
              <w:spacing w:line="360" w:lineRule="exact"/>
              <w:ind w:firstLine="0" w:firstLineChars="0"/>
              <w:jc w:val="center"/>
              <w:rPr>
                <w:color w:val="auto"/>
                <w:sz w:val="22"/>
                <w:highlight w:val="none"/>
              </w:rPr>
            </w:pPr>
            <w:r>
              <w:rPr>
                <w:color w:val="auto"/>
                <w:sz w:val="22"/>
                <w:highlight w:val="none"/>
              </w:rPr>
              <w:t>1</w:t>
            </w:r>
          </w:p>
        </w:tc>
      </w:tr>
      <w:tr w14:paraId="64DB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9CD459A">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FD3D89F">
            <w:pPr>
              <w:spacing w:line="360" w:lineRule="exact"/>
              <w:ind w:firstLine="0" w:firstLineChars="0"/>
              <w:rPr>
                <w:color w:val="auto"/>
                <w:sz w:val="22"/>
                <w:highlight w:val="none"/>
              </w:rPr>
            </w:pPr>
            <w:r>
              <w:rPr>
                <w:color w:val="auto"/>
                <w:sz w:val="22"/>
                <w:highlight w:val="none"/>
              </w:rPr>
              <w:t>多模型组合</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5C8C36E">
            <w:pPr>
              <w:spacing w:line="360" w:lineRule="exact"/>
              <w:ind w:firstLine="0" w:firstLineChars="0"/>
              <w:rPr>
                <w:color w:val="auto"/>
                <w:sz w:val="22"/>
                <w:highlight w:val="none"/>
              </w:rPr>
            </w:pPr>
            <w:r>
              <w:rPr>
                <w:color w:val="auto"/>
                <w:sz w:val="22"/>
                <w:highlight w:val="none"/>
              </w:rPr>
              <w:t>支持自定义多个模型组合查询，综合发现交叉疑点，锁定更精准线索。</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C5CED75">
            <w:pPr>
              <w:spacing w:line="360" w:lineRule="exact"/>
              <w:ind w:firstLine="0" w:firstLineChars="0"/>
              <w:jc w:val="center"/>
              <w:rPr>
                <w:color w:val="auto"/>
                <w:sz w:val="22"/>
                <w:highlight w:val="none"/>
              </w:rPr>
            </w:pPr>
            <w:r>
              <w:rPr>
                <w:color w:val="auto"/>
                <w:sz w:val="22"/>
                <w:highlight w:val="none"/>
              </w:rPr>
              <w:t>2</w:t>
            </w:r>
          </w:p>
        </w:tc>
      </w:tr>
      <w:tr w14:paraId="4CBA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4" w:space="0"/>
              <w:left w:val="single" w:color="auto" w:sz="4" w:space="0"/>
              <w:right w:val="single" w:color="auto" w:sz="4" w:space="0"/>
              <w:tl2br w:val="nil"/>
              <w:tr2bl w:val="nil"/>
            </w:tcBorders>
            <w:noWrap/>
            <w:vAlign w:val="center"/>
          </w:tcPr>
          <w:p w14:paraId="0921D33D">
            <w:pPr>
              <w:spacing w:line="360" w:lineRule="exact"/>
              <w:ind w:firstLine="0" w:firstLineChars="0"/>
              <w:rPr>
                <w:color w:val="auto"/>
                <w:sz w:val="22"/>
                <w:highlight w:val="none"/>
              </w:rPr>
            </w:pPr>
            <w:r>
              <w:rPr>
                <w:color w:val="auto"/>
                <w:sz w:val="22"/>
                <w:highlight w:val="none"/>
              </w:rPr>
              <w:t>审计画像（6分）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EA414B3">
            <w:pPr>
              <w:spacing w:line="360" w:lineRule="exact"/>
              <w:ind w:firstLine="0" w:firstLineChars="0"/>
              <w:rPr>
                <w:color w:val="auto"/>
                <w:sz w:val="22"/>
                <w:highlight w:val="none"/>
              </w:rPr>
            </w:pPr>
            <w:r>
              <w:rPr>
                <w:color w:val="auto"/>
                <w:sz w:val="22"/>
                <w:highlight w:val="none"/>
              </w:rPr>
              <w:t>机构画像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F1CC66B">
            <w:pPr>
              <w:spacing w:line="360" w:lineRule="exact"/>
              <w:ind w:firstLine="0" w:firstLineChars="0"/>
              <w:rPr>
                <w:color w:val="auto"/>
                <w:sz w:val="22"/>
                <w:highlight w:val="none"/>
              </w:rPr>
            </w:pPr>
            <w:r>
              <w:rPr>
                <w:color w:val="auto"/>
                <w:sz w:val="22"/>
                <w:highlight w:val="none"/>
              </w:rPr>
              <w:t>以直观方式对机构的关键指标进行分析，对机构的主要特征进行归纳、分类，为审计人员对于相关机构进行检查提供策略参考的功能。能多维度查询，能生成图表，能灵活配置、修改指标模板。</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4DED364">
            <w:pPr>
              <w:spacing w:line="360" w:lineRule="exact"/>
              <w:ind w:firstLine="0" w:firstLineChars="0"/>
              <w:jc w:val="center"/>
              <w:rPr>
                <w:color w:val="auto"/>
                <w:sz w:val="22"/>
                <w:highlight w:val="none"/>
              </w:rPr>
            </w:pPr>
            <w:r>
              <w:rPr>
                <w:rFonts w:hint="eastAsia"/>
                <w:color w:val="auto"/>
                <w:sz w:val="22"/>
                <w:highlight w:val="none"/>
              </w:rPr>
              <w:t>2</w:t>
            </w:r>
          </w:p>
        </w:tc>
      </w:tr>
      <w:tr w14:paraId="4544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left w:val="single" w:color="auto" w:sz="4" w:space="0"/>
              <w:bottom w:val="single" w:color="auto" w:sz="4" w:space="0"/>
              <w:right w:val="single" w:color="auto" w:sz="4" w:space="0"/>
              <w:tl2br w:val="nil"/>
              <w:tr2bl w:val="nil"/>
            </w:tcBorders>
            <w:noWrap/>
            <w:vAlign w:val="center"/>
          </w:tcPr>
          <w:p w14:paraId="70748108">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4CE0A892">
            <w:pPr>
              <w:spacing w:line="360" w:lineRule="exact"/>
              <w:ind w:firstLine="0" w:firstLineChars="0"/>
              <w:rPr>
                <w:color w:val="auto"/>
                <w:sz w:val="22"/>
                <w:highlight w:val="none"/>
              </w:rPr>
            </w:pPr>
            <w:r>
              <w:rPr>
                <w:color w:val="auto"/>
                <w:sz w:val="22"/>
                <w:highlight w:val="none"/>
              </w:rPr>
              <w:t>客户画像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0C3D7CA">
            <w:pPr>
              <w:spacing w:line="360" w:lineRule="exact"/>
              <w:ind w:firstLine="0" w:firstLineChars="0"/>
              <w:rPr>
                <w:color w:val="auto"/>
                <w:sz w:val="22"/>
                <w:highlight w:val="none"/>
              </w:rPr>
            </w:pPr>
            <w:r>
              <w:rPr>
                <w:color w:val="auto"/>
                <w:sz w:val="22"/>
                <w:highlight w:val="none"/>
              </w:rPr>
              <w:t>以直观方式对客户（集团）的关键指标进行分析，对客户的主要特征进行归纳、分类，为审计人员对于</w:t>
            </w:r>
            <w:r>
              <w:rPr>
                <w:rFonts w:hint="eastAsia"/>
                <w:color w:val="auto"/>
                <w:sz w:val="22"/>
                <w:highlight w:val="none"/>
              </w:rPr>
              <w:t>特定</w:t>
            </w:r>
            <w:r>
              <w:rPr>
                <w:color w:val="auto"/>
                <w:sz w:val="22"/>
                <w:highlight w:val="none"/>
              </w:rPr>
              <w:t>客户（集团）进行检查提供策略参考的功能。能多维度查询，能生成图表，能灵活配置、修改指标模板。</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C657F07">
            <w:pPr>
              <w:spacing w:line="360" w:lineRule="exact"/>
              <w:ind w:firstLine="0" w:firstLineChars="0"/>
              <w:jc w:val="center"/>
              <w:rPr>
                <w:color w:val="auto"/>
                <w:sz w:val="22"/>
                <w:highlight w:val="none"/>
              </w:rPr>
            </w:pPr>
            <w:r>
              <w:rPr>
                <w:rFonts w:hint="eastAsia"/>
                <w:color w:val="auto"/>
                <w:sz w:val="22"/>
                <w:highlight w:val="none"/>
              </w:rPr>
              <w:t>2</w:t>
            </w:r>
          </w:p>
        </w:tc>
      </w:tr>
      <w:tr w14:paraId="0F1C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left w:val="single" w:color="auto" w:sz="4" w:space="0"/>
              <w:bottom w:val="single" w:color="auto" w:sz="4" w:space="0"/>
              <w:right w:val="single" w:color="auto" w:sz="4" w:space="0"/>
              <w:tl2br w:val="nil"/>
              <w:tr2bl w:val="nil"/>
            </w:tcBorders>
            <w:noWrap/>
            <w:vAlign w:val="center"/>
          </w:tcPr>
          <w:p w14:paraId="3812CDF2">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6F7216C">
            <w:pPr>
              <w:spacing w:line="360" w:lineRule="exact"/>
              <w:ind w:firstLine="0" w:firstLineChars="0"/>
              <w:rPr>
                <w:color w:val="auto"/>
                <w:sz w:val="22"/>
                <w:highlight w:val="none"/>
              </w:rPr>
            </w:pPr>
            <w:r>
              <w:rPr>
                <w:color w:val="auto"/>
                <w:sz w:val="22"/>
                <w:highlight w:val="none"/>
              </w:rPr>
              <w:t>员工画像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9F158E0">
            <w:pPr>
              <w:spacing w:line="360" w:lineRule="exact"/>
              <w:ind w:firstLine="0" w:firstLineChars="0"/>
              <w:rPr>
                <w:color w:val="auto"/>
                <w:sz w:val="22"/>
                <w:highlight w:val="none"/>
              </w:rPr>
            </w:pPr>
            <w:r>
              <w:rPr>
                <w:color w:val="auto"/>
                <w:sz w:val="22"/>
                <w:highlight w:val="none"/>
              </w:rPr>
              <w:t>以直观方式对员工的关键指标进行分析，对员工的主要特征进行归纳、分类，为审计人员对于相关</w:t>
            </w:r>
            <w:r>
              <w:rPr>
                <w:rFonts w:hint="eastAsia"/>
                <w:color w:val="auto"/>
                <w:sz w:val="22"/>
                <w:highlight w:val="none"/>
              </w:rPr>
              <w:t>员工</w:t>
            </w:r>
            <w:r>
              <w:rPr>
                <w:color w:val="auto"/>
                <w:sz w:val="22"/>
                <w:highlight w:val="none"/>
              </w:rPr>
              <w:t>进行检查提供策略参考的功能。能多维度查询，能生成图表，能灵活配置、修改指标模板。</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7A89CCF">
            <w:pPr>
              <w:spacing w:line="360" w:lineRule="exact"/>
              <w:ind w:firstLine="0" w:firstLineChars="0"/>
              <w:jc w:val="center"/>
              <w:rPr>
                <w:color w:val="auto"/>
                <w:sz w:val="22"/>
                <w:highlight w:val="none"/>
              </w:rPr>
            </w:pPr>
            <w:r>
              <w:rPr>
                <w:color w:val="auto"/>
                <w:sz w:val="22"/>
                <w:highlight w:val="none"/>
              </w:rPr>
              <w:t>2</w:t>
            </w:r>
          </w:p>
        </w:tc>
      </w:tr>
      <w:tr w14:paraId="3B00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DBCB738">
            <w:pPr>
              <w:spacing w:line="360" w:lineRule="exact"/>
              <w:ind w:firstLine="0" w:firstLineChars="0"/>
              <w:rPr>
                <w:color w:val="auto"/>
                <w:sz w:val="22"/>
                <w:highlight w:val="none"/>
              </w:rPr>
            </w:pPr>
            <w:r>
              <w:rPr>
                <w:color w:val="auto"/>
                <w:sz w:val="22"/>
                <w:highlight w:val="none"/>
              </w:rPr>
              <w:t>预警模型（3分）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E21884C">
            <w:pPr>
              <w:spacing w:line="360" w:lineRule="exact"/>
              <w:ind w:firstLine="0" w:firstLineChars="0"/>
              <w:rPr>
                <w:color w:val="auto"/>
                <w:sz w:val="22"/>
                <w:highlight w:val="none"/>
              </w:rPr>
            </w:pPr>
            <w:r>
              <w:rPr>
                <w:color w:val="auto"/>
                <w:sz w:val="22"/>
                <w:highlight w:val="none"/>
              </w:rPr>
              <w:t>模型设计</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9D4D067">
            <w:pPr>
              <w:spacing w:line="360" w:lineRule="exact"/>
              <w:ind w:firstLine="0" w:firstLineChars="0"/>
              <w:rPr>
                <w:color w:val="auto"/>
                <w:sz w:val="22"/>
                <w:highlight w:val="none"/>
              </w:rPr>
            </w:pPr>
            <w:r>
              <w:rPr>
                <w:color w:val="auto"/>
                <w:sz w:val="22"/>
                <w:highlight w:val="none"/>
              </w:rPr>
              <w:t>通过固化模型逻辑、阈值等，定期对模型进行监测，提供多样的可视化展现，支持预警证据的个性化配置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5B67F52">
            <w:pPr>
              <w:spacing w:line="360" w:lineRule="exact"/>
              <w:ind w:firstLine="0" w:firstLineChars="0"/>
              <w:jc w:val="center"/>
              <w:rPr>
                <w:color w:val="auto"/>
                <w:sz w:val="22"/>
                <w:highlight w:val="none"/>
              </w:rPr>
            </w:pPr>
            <w:r>
              <w:rPr>
                <w:color w:val="auto"/>
                <w:sz w:val="22"/>
                <w:highlight w:val="none"/>
              </w:rPr>
              <w:t>1</w:t>
            </w:r>
          </w:p>
        </w:tc>
      </w:tr>
      <w:tr w14:paraId="4340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BA6248B">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4EE962FC">
            <w:pPr>
              <w:spacing w:line="360" w:lineRule="exact"/>
              <w:ind w:firstLine="0" w:firstLineChars="0"/>
              <w:rPr>
                <w:color w:val="auto"/>
                <w:sz w:val="22"/>
                <w:highlight w:val="none"/>
              </w:rPr>
            </w:pPr>
            <w:r>
              <w:rPr>
                <w:color w:val="auto"/>
                <w:sz w:val="22"/>
                <w:highlight w:val="none"/>
              </w:rPr>
              <w:t>模型参数</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CCE6344">
            <w:pPr>
              <w:spacing w:line="360" w:lineRule="exact"/>
              <w:ind w:firstLine="0" w:firstLineChars="0"/>
              <w:rPr>
                <w:color w:val="auto"/>
                <w:sz w:val="22"/>
                <w:highlight w:val="none"/>
              </w:rPr>
            </w:pPr>
            <w:r>
              <w:rPr>
                <w:color w:val="auto"/>
                <w:sz w:val="22"/>
                <w:highlight w:val="none"/>
              </w:rPr>
              <w:t>支持预警证据的自定义、预警结果分派的不同类型的配置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B0FF594">
            <w:pPr>
              <w:spacing w:line="360" w:lineRule="exact"/>
              <w:ind w:firstLine="0" w:firstLineChars="0"/>
              <w:jc w:val="center"/>
              <w:rPr>
                <w:color w:val="auto"/>
                <w:sz w:val="22"/>
                <w:highlight w:val="none"/>
              </w:rPr>
            </w:pPr>
            <w:r>
              <w:rPr>
                <w:color w:val="auto"/>
                <w:sz w:val="22"/>
                <w:highlight w:val="none"/>
              </w:rPr>
              <w:t>1</w:t>
            </w:r>
          </w:p>
        </w:tc>
      </w:tr>
      <w:tr w14:paraId="6077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2D0200B">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569B8D93">
            <w:pPr>
              <w:spacing w:line="360" w:lineRule="exact"/>
              <w:ind w:firstLine="0" w:firstLineChars="0"/>
              <w:rPr>
                <w:color w:val="auto"/>
                <w:sz w:val="22"/>
                <w:highlight w:val="none"/>
              </w:rPr>
            </w:pPr>
            <w:r>
              <w:rPr>
                <w:color w:val="auto"/>
                <w:sz w:val="22"/>
                <w:highlight w:val="none"/>
              </w:rPr>
              <w:t>预警结果</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12C525E">
            <w:pPr>
              <w:spacing w:line="360" w:lineRule="exact"/>
              <w:ind w:firstLine="0" w:firstLineChars="0"/>
              <w:rPr>
                <w:color w:val="auto"/>
                <w:sz w:val="22"/>
                <w:highlight w:val="none"/>
              </w:rPr>
            </w:pPr>
            <w:r>
              <w:rPr>
                <w:color w:val="auto"/>
                <w:sz w:val="22"/>
                <w:highlight w:val="none"/>
              </w:rPr>
              <w:t>1、支持预警结果的搜索，包括预警描述，数据日期等。</w:t>
            </w:r>
          </w:p>
          <w:p w14:paraId="51A290FA">
            <w:pPr>
              <w:spacing w:line="360" w:lineRule="exact"/>
              <w:ind w:firstLine="0" w:firstLineChars="0"/>
              <w:rPr>
                <w:color w:val="auto"/>
                <w:sz w:val="22"/>
                <w:highlight w:val="none"/>
              </w:rPr>
            </w:pPr>
            <w:r>
              <w:rPr>
                <w:color w:val="auto"/>
                <w:sz w:val="22"/>
                <w:highlight w:val="none"/>
              </w:rPr>
              <w:t>2、预警结果展示包括预警证据、预警描述、同机构预警、同规则预警等。</w:t>
            </w:r>
          </w:p>
          <w:p w14:paraId="08ECE902">
            <w:pPr>
              <w:spacing w:line="360" w:lineRule="exact"/>
              <w:ind w:firstLine="0" w:firstLineChars="0"/>
              <w:rPr>
                <w:color w:val="auto"/>
                <w:sz w:val="22"/>
                <w:highlight w:val="none"/>
              </w:rPr>
            </w:pPr>
            <w:r>
              <w:rPr>
                <w:color w:val="auto"/>
                <w:sz w:val="22"/>
                <w:highlight w:val="none"/>
              </w:rPr>
              <w:t>3、支持预警结果的处理、包括排除、进案例等处理方式。</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3038AA2">
            <w:pPr>
              <w:spacing w:line="360" w:lineRule="exact"/>
              <w:ind w:firstLine="0" w:firstLineChars="0"/>
              <w:jc w:val="center"/>
              <w:rPr>
                <w:color w:val="auto"/>
                <w:sz w:val="22"/>
                <w:highlight w:val="none"/>
              </w:rPr>
            </w:pPr>
            <w:r>
              <w:rPr>
                <w:color w:val="auto"/>
                <w:sz w:val="22"/>
                <w:highlight w:val="none"/>
              </w:rPr>
              <w:t>1</w:t>
            </w:r>
          </w:p>
        </w:tc>
      </w:tr>
      <w:tr w14:paraId="7884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211F192">
            <w:pPr>
              <w:spacing w:line="360" w:lineRule="exact"/>
              <w:ind w:firstLine="0" w:firstLineChars="0"/>
              <w:rPr>
                <w:color w:val="auto"/>
                <w:sz w:val="22"/>
                <w:highlight w:val="none"/>
              </w:rPr>
            </w:pPr>
            <w:r>
              <w:rPr>
                <w:color w:val="auto"/>
                <w:sz w:val="22"/>
                <w:highlight w:val="none"/>
              </w:rPr>
              <w:t>案例分析（2分）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63661C18">
            <w:pPr>
              <w:spacing w:line="360" w:lineRule="exact"/>
              <w:ind w:firstLine="0" w:firstLineChars="0"/>
              <w:rPr>
                <w:color w:val="auto"/>
                <w:sz w:val="22"/>
                <w:highlight w:val="none"/>
              </w:rPr>
            </w:pPr>
            <w:r>
              <w:rPr>
                <w:color w:val="auto"/>
                <w:sz w:val="22"/>
                <w:highlight w:val="none"/>
              </w:rPr>
              <w:t>我的案例</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BE3180E">
            <w:pPr>
              <w:spacing w:line="360" w:lineRule="exact"/>
              <w:ind w:firstLine="0" w:firstLineChars="0"/>
              <w:rPr>
                <w:color w:val="auto"/>
                <w:sz w:val="22"/>
                <w:highlight w:val="none"/>
              </w:rPr>
            </w:pPr>
            <w:r>
              <w:rPr>
                <w:color w:val="auto"/>
                <w:sz w:val="22"/>
                <w:highlight w:val="none"/>
              </w:rPr>
              <w:t>1、根据预警结果，可将不同模型的预警结果组合到同一个案例里面，进行多维度分析</w:t>
            </w:r>
          </w:p>
          <w:p w14:paraId="1BF7ECF9">
            <w:pPr>
              <w:spacing w:line="360" w:lineRule="exact"/>
              <w:ind w:firstLine="0" w:firstLineChars="0"/>
              <w:rPr>
                <w:color w:val="auto"/>
                <w:sz w:val="22"/>
                <w:highlight w:val="none"/>
              </w:rPr>
            </w:pPr>
            <w:r>
              <w:rPr>
                <w:color w:val="auto"/>
                <w:sz w:val="22"/>
                <w:highlight w:val="none"/>
              </w:rPr>
              <w:t>2、案例中支持审计发现的添加，支持案例归档的时候，将审计发现进入问题库</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AC6CC14">
            <w:pPr>
              <w:spacing w:line="360" w:lineRule="exact"/>
              <w:ind w:firstLine="0" w:firstLineChars="0"/>
              <w:jc w:val="center"/>
              <w:rPr>
                <w:color w:val="auto"/>
                <w:sz w:val="22"/>
                <w:highlight w:val="none"/>
              </w:rPr>
            </w:pPr>
            <w:r>
              <w:rPr>
                <w:color w:val="auto"/>
                <w:sz w:val="22"/>
                <w:highlight w:val="none"/>
              </w:rPr>
              <w:t>1</w:t>
            </w:r>
          </w:p>
        </w:tc>
      </w:tr>
      <w:tr w14:paraId="647F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241D57F">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AEA6B1B">
            <w:pPr>
              <w:spacing w:line="360" w:lineRule="exact"/>
              <w:ind w:firstLine="0" w:firstLineChars="0"/>
              <w:rPr>
                <w:color w:val="auto"/>
                <w:sz w:val="22"/>
                <w:highlight w:val="none"/>
              </w:rPr>
            </w:pPr>
            <w:r>
              <w:rPr>
                <w:color w:val="auto"/>
                <w:sz w:val="22"/>
                <w:highlight w:val="none"/>
              </w:rPr>
              <w:t>我的协查</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075FAB4">
            <w:pPr>
              <w:spacing w:line="360" w:lineRule="exact"/>
              <w:ind w:firstLine="0" w:firstLineChars="0"/>
              <w:rPr>
                <w:color w:val="auto"/>
                <w:sz w:val="22"/>
                <w:highlight w:val="none"/>
              </w:rPr>
            </w:pPr>
            <w:r>
              <w:rPr>
                <w:color w:val="auto"/>
                <w:sz w:val="22"/>
                <w:highlight w:val="none"/>
              </w:rPr>
              <w:t>案例中支持下发协查任务，由被审计单位反馈协查情况</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C760FEB">
            <w:pPr>
              <w:spacing w:line="360" w:lineRule="exact"/>
              <w:ind w:firstLine="0" w:firstLineChars="0"/>
              <w:jc w:val="center"/>
              <w:rPr>
                <w:color w:val="auto"/>
                <w:sz w:val="22"/>
                <w:highlight w:val="none"/>
              </w:rPr>
            </w:pPr>
            <w:r>
              <w:rPr>
                <w:color w:val="auto"/>
                <w:sz w:val="22"/>
                <w:highlight w:val="none"/>
              </w:rPr>
              <w:t>1</w:t>
            </w:r>
          </w:p>
        </w:tc>
      </w:tr>
      <w:tr w14:paraId="1F77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E707FF9">
            <w:pPr>
              <w:spacing w:line="360" w:lineRule="exact"/>
              <w:ind w:firstLine="0" w:firstLineChars="0"/>
              <w:rPr>
                <w:color w:val="auto"/>
                <w:sz w:val="22"/>
                <w:highlight w:val="none"/>
              </w:rPr>
            </w:pPr>
            <w:r>
              <w:rPr>
                <w:color w:val="auto"/>
                <w:sz w:val="22"/>
                <w:highlight w:val="none"/>
              </w:rPr>
              <w:t>知识平台（8分）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B4168A1">
            <w:pPr>
              <w:spacing w:line="360" w:lineRule="exact"/>
              <w:ind w:firstLine="0" w:firstLineChars="0"/>
              <w:rPr>
                <w:color w:val="auto"/>
                <w:sz w:val="22"/>
                <w:highlight w:val="none"/>
              </w:rPr>
            </w:pPr>
            <w:r>
              <w:rPr>
                <w:color w:val="auto"/>
                <w:sz w:val="22"/>
                <w:highlight w:val="none"/>
              </w:rPr>
              <w:t>项目档案库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6ED104F">
            <w:pPr>
              <w:spacing w:line="360" w:lineRule="exact"/>
              <w:ind w:firstLine="0" w:firstLineChars="0"/>
              <w:rPr>
                <w:color w:val="auto"/>
                <w:sz w:val="22"/>
                <w:highlight w:val="none"/>
              </w:rPr>
            </w:pPr>
            <w:r>
              <w:rPr>
                <w:color w:val="auto"/>
                <w:sz w:val="22"/>
                <w:highlight w:val="none"/>
              </w:rPr>
              <w:t>现场作业项目归档后的文件及档案存储到项目档案库，并根据不同环节进行分类</w:t>
            </w:r>
            <w:r>
              <w:rPr>
                <w:rFonts w:hint="eastAsia"/>
                <w:color w:val="auto"/>
                <w:sz w:val="22"/>
                <w:highlight w:val="none"/>
              </w:rPr>
              <w:t>。支持后期检索功能，支持分文书类别的统一导出和查看功能。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DCE5EFD">
            <w:pPr>
              <w:spacing w:line="360" w:lineRule="exact"/>
              <w:ind w:firstLine="0" w:firstLineChars="0"/>
              <w:jc w:val="center"/>
              <w:rPr>
                <w:color w:val="auto"/>
                <w:sz w:val="22"/>
                <w:highlight w:val="none"/>
              </w:rPr>
            </w:pPr>
            <w:r>
              <w:rPr>
                <w:color w:val="auto"/>
                <w:sz w:val="22"/>
                <w:highlight w:val="none"/>
              </w:rPr>
              <w:t>2</w:t>
            </w:r>
          </w:p>
        </w:tc>
      </w:tr>
      <w:tr w14:paraId="76B9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7439A5F">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302CA0AF">
            <w:pPr>
              <w:spacing w:line="360" w:lineRule="exact"/>
              <w:ind w:firstLine="0" w:firstLineChars="0"/>
              <w:rPr>
                <w:color w:val="auto"/>
                <w:sz w:val="22"/>
                <w:highlight w:val="none"/>
              </w:rPr>
            </w:pPr>
            <w:r>
              <w:rPr>
                <w:color w:val="auto"/>
                <w:sz w:val="22"/>
                <w:highlight w:val="none"/>
              </w:rPr>
              <w:t>审计样本库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4A2855C">
            <w:pPr>
              <w:spacing w:line="360" w:lineRule="exact"/>
              <w:ind w:firstLine="0" w:firstLineChars="0"/>
              <w:rPr>
                <w:color w:val="auto"/>
                <w:sz w:val="22"/>
                <w:highlight w:val="none"/>
              </w:rPr>
            </w:pPr>
            <w:r>
              <w:rPr>
                <w:color w:val="auto"/>
                <w:sz w:val="22"/>
                <w:highlight w:val="none"/>
              </w:rPr>
              <w:t>支持样本库模板的自定义，包括样本结构，字段维护等。自动汇总以往全部检查项目的抽样。</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146C044">
            <w:pPr>
              <w:spacing w:line="360" w:lineRule="exact"/>
              <w:ind w:firstLine="0" w:firstLineChars="0"/>
              <w:jc w:val="center"/>
              <w:rPr>
                <w:color w:val="auto"/>
                <w:sz w:val="22"/>
                <w:highlight w:val="none"/>
              </w:rPr>
            </w:pPr>
            <w:r>
              <w:rPr>
                <w:color w:val="auto"/>
                <w:sz w:val="22"/>
                <w:highlight w:val="none"/>
              </w:rPr>
              <w:t>1</w:t>
            </w:r>
          </w:p>
        </w:tc>
      </w:tr>
      <w:tr w14:paraId="5BBB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6BAABED">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0140D52">
            <w:pPr>
              <w:spacing w:line="360" w:lineRule="exact"/>
              <w:ind w:firstLine="0" w:firstLineChars="0"/>
              <w:rPr>
                <w:color w:val="auto"/>
                <w:sz w:val="22"/>
                <w:highlight w:val="none"/>
              </w:rPr>
            </w:pPr>
            <w:r>
              <w:rPr>
                <w:color w:val="auto"/>
                <w:sz w:val="22"/>
                <w:highlight w:val="none"/>
              </w:rPr>
              <w:t>问题库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7041E7C">
            <w:pPr>
              <w:spacing w:line="360" w:lineRule="exact"/>
              <w:ind w:firstLine="0" w:firstLineChars="0"/>
              <w:rPr>
                <w:color w:val="auto"/>
                <w:sz w:val="22"/>
                <w:highlight w:val="none"/>
              </w:rPr>
            </w:pPr>
            <w:r>
              <w:rPr>
                <w:color w:val="auto"/>
                <w:sz w:val="22"/>
                <w:highlight w:val="none"/>
              </w:rPr>
              <w:t>抓取全行问题库，支持问题的模糊检索和查看，包括问题定性、问题严重程度、问题来源等信息，支持问题库的导出</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DF605A5">
            <w:pPr>
              <w:spacing w:line="360" w:lineRule="exact"/>
              <w:ind w:firstLine="0" w:firstLineChars="0"/>
              <w:jc w:val="center"/>
              <w:rPr>
                <w:color w:val="auto"/>
                <w:sz w:val="22"/>
                <w:highlight w:val="none"/>
              </w:rPr>
            </w:pPr>
            <w:r>
              <w:rPr>
                <w:color w:val="auto"/>
                <w:sz w:val="22"/>
                <w:highlight w:val="none"/>
              </w:rPr>
              <w:t>1</w:t>
            </w:r>
          </w:p>
        </w:tc>
      </w:tr>
      <w:tr w14:paraId="13CC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B56D9F8">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1D3A067B">
            <w:pPr>
              <w:spacing w:line="360" w:lineRule="exact"/>
              <w:ind w:firstLine="0" w:firstLineChars="0"/>
              <w:rPr>
                <w:color w:val="auto"/>
                <w:sz w:val="22"/>
                <w:highlight w:val="none"/>
              </w:rPr>
            </w:pPr>
            <w:r>
              <w:rPr>
                <w:color w:val="auto"/>
                <w:sz w:val="22"/>
                <w:highlight w:val="none"/>
              </w:rPr>
              <w:t>问题词条库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7BA8913">
            <w:pPr>
              <w:spacing w:line="360" w:lineRule="exact"/>
              <w:ind w:firstLine="0" w:firstLineChars="0"/>
              <w:rPr>
                <w:color w:val="auto"/>
                <w:sz w:val="22"/>
                <w:highlight w:val="none"/>
              </w:rPr>
            </w:pPr>
            <w:r>
              <w:rPr>
                <w:color w:val="auto"/>
                <w:sz w:val="22"/>
                <w:highlight w:val="none"/>
              </w:rPr>
              <w:t>支持词条库的编辑、新增、修改等功能。支持词条库模糊检索。</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A2EA0FF">
            <w:pPr>
              <w:spacing w:line="360" w:lineRule="exact"/>
              <w:ind w:firstLine="0" w:firstLineChars="0"/>
              <w:jc w:val="center"/>
              <w:rPr>
                <w:color w:val="auto"/>
                <w:sz w:val="22"/>
                <w:highlight w:val="none"/>
              </w:rPr>
            </w:pPr>
            <w:r>
              <w:rPr>
                <w:rFonts w:hint="eastAsia"/>
                <w:color w:val="auto"/>
                <w:sz w:val="22"/>
                <w:highlight w:val="none"/>
              </w:rPr>
              <w:t>1</w:t>
            </w:r>
          </w:p>
        </w:tc>
      </w:tr>
      <w:tr w14:paraId="2E68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6FD5EC2">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B0FEF67">
            <w:pPr>
              <w:spacing w:line="360" w:lineRule="exact"/>
              <w:ind w:firstLine="0" w:firstLineChars="0"/>
              <w:rPr>
                <w:color w:val="auto"/>
                <w:sz w:val="22"/>
                <w:highlight w:val="none"/>
              </w:rPr>
            </w:pPr>
            <w:r>
              <w:rPr>
                <w:color w:val="auto"/>
                <w:sz w:val="22"/>
                <w:highlight w:val="none"/>
              </w:rPr>
              <w:t>制度库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A0A2537">
            <w:pPr>
              <w:spacing w:line="360" w:lineRule="exact"/>
              <w:ind w:firstLine="0" w:firstLineChars="0"/>
              <w:rPr>
                <w:color w:val="auto"/>
                <w:sz w:val="22"/>
                <w:highlight w:val="none"/>
              </w:rPr>
            </w:pPr>
            <w:r>
              <w:rPr>
                <w:color w:val="auto"/>
                <w:sz w:val="22"/>
                <w:highlight w:val="none"/>
              </w:rPr>
              <w:t>包括内规和外规，支持制度的导入、启用、废止等功能，同时支持制度拆条功能，支持链接</w:t>
            </w:r>
            <w:r>
              <w:rPr>
                <w:rFonts w:hint="eastAsia"/>
                <w:color w:val="auto"/>
                <w:sz w:val="22"/>
                <w:highlight w:val="none"/>
              </w:rPr>
              <w:t>其他</w:t>
            </w:r>
            <w:r>
              <w:rPr>
                <w:color w:val="auto"/>
                <w:sz w:val="22"/>
                <w:highlight w:val="none"/>
              </w:rPr>
              <w:t>系统自动导入制度并自动拆条，支持人工复检并修改。</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F607D30">
            <w:pPr>
              <w:spacing w:line="360" w:lineRule="exact"/>
              <w:ind w:firstLine="0" w:firstLineChars="0"/>
              <w:jc w:val="center"/>
              <w:rPr>
                <w:color w:val="auto"/>
                <w:sz w:val="22"/>
                <w:highlight w:val="none"/>
              </w:rPr>
            </w:pPr>
            <w:r>
              <w:rPr>
                <w:color w:val="auto"/>
                <w:sz w:val="22"/>
                <w:highlight w:val="none"/>
              </w:rPr>
              <w:t>2</w:t>
            </w:r>
          </w:p>
        </w:tc>
      </w:tr>
      <w:tr w14:paraId="3BE1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FB914F1">
            <w:pPr>
              <w:rPr>
                <w:color w:val="auto"/>
                <w:highlight w:val="none"/>
              </w:rPr>
            </w:pP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667C291A">
            <w:pPr>
              <w:spacing w:line="360" w:lineRule="exact"/>
              <w:ind w:firstLine="0" w:firstLineChars="0"/>
              <w:rPr>
                <w:color w:val="auto"/>
                <w:sz w:val="22"/>
                <w:highlight w:val="none"/>
              </w:rPr>
            </w:pPr>
            <w:r>
              <w:rPr>
                <w:color w:val="auto"/>
                <w:sz w:val="22"/>
                <w:highlight w:val="none"/>
              </w:rPr>
              <w:t>文档模板库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F2627A5">
            <w:pPr>
              <w:spacing w:line="360" w:lineRule="exact"/>
              <w:ind w:firstLine="0" w:firstLineChars="0"/>
              <w:rPr>
                <w:color w:val="auto"/>
                <w:sz w:val="22"/>
                <w:highlight w:val="none"/>
              </w:rPr>
            </w:pPr>
            <w:r>
              <w:rPr>
                <w:color w:val="auto"/>
                <w:sz w:val="22"/>
                <w:highlight w:val="none"/>
              </w:rPr>
              <w:t>支持各种类型的模板库，包括审计通知书、审计报告、事实确认书等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BF3CBEA">
            <w:pPr>
              <w:spacing w:line="360" w:lineRule="exact"/>
              <w:ind w:firstLine="0" w:firstLineChars="0"/>
              <w:jc w:val="center"/>
              <w:rPr>
                <w:color w:val="auto"/>
                <w:sz w:val="22"/>
                <w:highlight w:val="none"/>
              </w:rPr>
            </w:pPr>
            <w:r>
              <w:rPr>
                <w:color w:val="auto"/>
                <w:sz w:val="22"/>
                <w:highlight w:val="none"/>
              </w:rPr>
              <w:t>1</w:t>
            </w:r>
          </w:p>
        </w:tc>
      </w:tr>
      <w:tr w14:paraId="2607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280" w:type="dxa"/>
            <w:vMerge w:val="restart"/>
            <w:tcBorders>
              <w:top w:val="single" w:color="auto" w:sz="4" w:space="0"/>
              <w:left w:val="single" w:color="auto" w:sz="6" w:space="0"/>
              <w:bottom w:val="single" w:color="auto" w:sz="6" w:space="0"/>
              <w:right w:val="single" w:color="auto" w:sz="6" w:space="0"/>
              <w:tl2br w:val="nil"/>
              <w:tr2bl w:val="nil"/>
            </w:tcBorders>
            <w:noWrap/>
            <w:vAlign w:val="center"/>
          </w:tcPr>
          <w:p w14:paraId="7781D779">
            <w:pPr>
              <w:ind w:firstLine="0" w:firstLineChars="0"/>
              <w:jc w:val="center"/>
              <w:rPr>
                <w:color w:val="auto"/>
                <w:highlight w:val="none"/>
              </w:rPr>
            </w:pPr>
            <w:r>
              <w:rPr>
                <w:color w:val="auto"/>
                <w:sz w:val="22"/>
                <w:highlight w:val="none"/>
              </w:rPr>
              <w:t>技术部分（30）</w:t>
            </w:r>
          </w:p>
        </w:tc>
        <w:tc>
          <w:tcPr>
            <w:tcW w:w="193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1F09037">
            <w:pPr>
              <w:spacing w:line="360" w:lineRule="exact"/>
              <w:ind w:firstLine="0" w:firstLineChars="0"/>
              <w:rPr>
                <w:color w:val="auto"/>
                <w:highlight w:val="none"/>
              </w:rPr>
            </w:pPr>
            <w:r>
              <w:rPr>
                <w:color w:val="auto"/>
                <w:sz w:val="22"/>
                <w:highlight w:val="none"/>
              </w:rPr>
              <w:t>系统安全</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E3A30C0">
            <w:pPr>
              <w:spacing w:line="360" w:lineRule="exact"/>
              <w:ind w:firstLine="0" w:firstLineChars="0"/>
              <w:rPr>
                <w:color w:val="auto"/>
                <w:highlight w:val="none"/>
              </w:rPr>
            </w:pPr>
            <w:r>
              <w:rPr>
                <w:color w:val="auto"/>
                <w:sz w:val="22"/>
                <w:highlight w:val="none"/>
              </w:rPr>
              <w:t>密码安全管理：可设置用户密码需满足包含大写字母、小写字母、数字、特殊字符中的3种或3种以上，且长度大于等于8位的强密码设置要求。</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EA89099">
            <w:pPr>
              <w:spacing w:line="360" w:lineRule="exact"/>
              <w:ind w:firstLine="0" w:firstLineChars="0"/>
              <w:jc w:val="center"/>
              <w:rPr>
                <w:color w:val="auto"/>
                <w:highlight w:val="none"/>
              </w:rPr>
            </w:pPr>
            <w:r>
              <w:rPr>
                <w:color w:val="auto"/>
                <w:highlight w:val="none"/>
              </w:rPr>
              <w:t>1</w:t>
            </w:r>
          </w:p>
        </w:tc>
      </w:tr>
      <w:tr w14:paraId="6779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AABFADD">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26C4DFB">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60A479B">
            <w:pPr>
              <w:spacing w:line="360" w:lineRule="exact"/>
              <w:ind w:firstLine="0" w:firstLineChars="0"/>
              <w:rPr>
                <w:color w:val="auto"/>
                <w:highlight w:val="none"/>
              </w:rPr>
            </w:pPr>
            <w:r>
              <w:rPr>
                <w:color w:val="auto"/>
                <w:sz w:val="22"/>
                <w:highlight w:val="none"/>
              </w:rPr>
              <w:t>密码安全管理：可设置用户初次登录强制修改密码。</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18B4BDE">
            <w:pPr>
              <w:spacing w:line="360" w:lineRule="exact"/>
              <w:ind w:firstLine="0" w:firstLineChars="0"/>
              <w:jc w:val="center"/>
              <w:rPr>
                <w:color w:val="auto"/>
                <w:highlight w:val="none"/>
              </w:rPr>
            </w:pPr>
            <w:r>
              <w:rPr>
                <w:color w:val="auto"/>
                <w:sz w:val="22"/>
                <w:highlight w:val="none"/>
              </w:rPr>
              <w:t>1</w:t>
            </w:r>
          </w:p>
        </w:tc>
      </w:tr>
      <w:tr w14:paraId="4612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E4D620">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9B3771">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38E5A6D">
            <w:pPr>
              <w:spacing w:line="360" w:lineRule="exact"/>
              <w:ind w:firstLine="0" w:firstLineChars="0"/>
              <w:rPr>
                <w:color w:val="auto"/>
                <w:highlight w:val="none"/>
              </w:rPr>
            </w:pPr>
            <w:r>
              <w:rPr>
                <w:color w:val="auto"/>
                <w:sz w:val="22"/>
                <w:highlight w:val="none"/>
              </w:rPr>
              <w:t>密码安全管理：可设置密码错误锁定次数，超过次数限制即锁定账户。</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29FF132">
            <w:pPr>
              <w:spacing w:line="360" w:lineRule="exact"/>
              <w:ind w:firstLine="0" w:firstLineChars="0"/>
              <w:jc w:val="center"/>
              <w:rPr>
                <w:color w:val="auto"/>
                <w:highlight w:val="none"/>
              </w:rPr>
            </w:pPr>
            <w:r>
              <w:rPr>
                <w:color w:val="auto"/>
                <w:sz w:val="22"/>
                <w:highlight w:val="none"/>
              </w:rPr>
              <w:t>1</w:t>
            </w:r>
          </w:p>
        </w:tc>
      </w:tr>
      <w:tr w14:paraId="34B6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7BE763">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FADB689">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22D1184">
            <w:pPr>
              <w:spacing w:line="360" w:lineRule="exact"/>
              <w:ind w:firstLine="0" w:firstLineChars="0"/>
              <w:rPr>
                <w:color w:val="auto"/>
                <w:highlight w:val="none"/>
              </w:rPr>
            </w:pPr>
            <w:r>
              <w:rPr>
                <w:color w:val="auto"/>
                <w:sz w:val="22"/>
                <w:highlight w:val="none"/>
              </w:rPr>
              <w:t>密码安全管理：可设置强制修改密码周期。</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F7077EA">
            <w:pPr>
              <w:spacing w:line="360" w:lineRule="exact"/>
              <w:ind w:firstLine="0" w:firstLineChars="0"/>
              <w:jc w:val="center"/>
              <w:rPr>
                <w:color w:val="auto"/>
                <w:highlight w:val="none"/>
              </w:rPr>
            </w:pPr>
            <w:r>
              <w:rPr>
                <w:color w:val="auto"/>
                <w:sz w:val="22"/>
                <w:highlight w:val="none"/>
              </w:rPr>
              <w:t>1</w:t>
            </w:r>
          </w:p>
        </w:tc>
      </w:tr>
      <w:tr w14:paraId="6E83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80C824">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D01519">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7994EE7">
            <w:pPr>
              <w:spacing w:line="360" w:lineRule="exact"/>
              <w:ind w:firstLine="0" w:firstLineChars="0"/>
              <w:rPr>
                <w:color w:val="auto"/>
                <w:highlight w:val="none"/>
              </w:rPr>
            </w:pPr>
            <w:r>
              <w:rPr>
                <w:color w:val="auto"/>
                <w:sz w:val="22"/>
                <w:highlight w:val="none"/>
              </w:rPr>
              <w:t>数据安全管理：配置文件敏感信息加密存储。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44840EB">
            <w:pPr>
              <w:spacing w:line="360" w:lineRule="exact"/>
              <w:ind w:firstLine="0" w:firstLineChars="0"/>
              <w:jc w:val="center"/>
              <w:rPr>
                <w:color w:val="auto"/>
                <w:highlight w:val="none"/>
              </w:rPr>
            </w:pPr>
            <w:r>
              <w:rPr>
                <w:color w:val="auto"/>
                <w:sz w:val="22"/>
                <w:highlight w:val="none"/>
              </w:rPr>
              <w:t>2</w:t>
            </w:r>
          </w:p>
        </w:tc>
      </w:tr>
      <w:tr w14:paraId="44C5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3A2539">
            <w:pPr>
              <w:rPr>
                <w:color w:val="auto"/>
                <w:highlight w:val="none"/>
              </w:rPr>
            </w:pPr>
          </w:p>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A6F9433">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6F2B4F4">
            <w:pPr>
              <w:spacing w:line="360" w:lineRule="exact"/>
              <w:ind w:firstLine="0" w:firstLineChars="0"/>
              <w:rPr>
                <w:color w:val="auto"/>
                <w:sz w:val="22"/>
                <w:highlight w:val="none"/>
              </w:rPr>
            </w:pPr>
            <w:r>
              <w:rPr>
                <w:color w:val="auto"/>
                <w:sz w:val="22"/>
                <w:highlight w:val="none"/>
              </w:rPr>
              <w:t>数据安全管理：数据库敏感字段加密存储。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84FE02A">
            <w:pPr>
              <w:spacing w:line="360" w:lineRule="exact"/>
              <w:ind w:firstLine="0" w:firstLineChars="0"/>
              <w:jc w:val="center"/>
              <w:rPr>
                <w:color w:val="auto"/>
                <w:sz w:val="22"/>
                <w:highlight w:val="none"/>
              </w:rPr>
            </w:pPr>
            <w:r>
              <w:rPr>
                <w:color w:val="auto"/>
                <w:sz w:val="22"/>
                <w:highlight w:val="none"/>
              </w:rPr>
              <w:t>2</w:t>
            </w:r>
          </w:p>
        </w:tc>
      </w:tr>
      <w:tr w14:paraId="472E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A4AB41">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EF6669B">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F6053F6">
            <w:pPr>
              <w:spacing w:line="360" w:lineRule="exact"/>
              <w:ind w:firstLine="0" w:firstLineChars="0"/>
              <w:rPr>
                <w:color w:val="auto"/>
                <w:highlight w:val="none"/>
              </w:rPr>
            </w:pPr>
            <w:r>
              <w:rPr>
                <w:color w:val="auto"/>
                <w:sz w:val="22"/>
                <w:highlight w:val="none"/>
              </w:rPr>
              <w:t>数据安全管理：支持设置敏感数据脱敏展示，例如：姓名：张三脱敏为*三；身份证号脱敏为1002**********1237。</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05DD603">
            <w:pPr>
              <w:spacing w:line="360" w:lineRule="exact"/>
              <w:ind w:firstLine="0" w:firstLineChars="0"/>
              <w:jc w:val="center"/>
              <w:rPr>
                <w:color w:val="auto"/>
                <w:highlight w:val="none"/>
              </w:rPr>
            </w:pPr>
            <w:r>
              <w:rPr>
                <w:color w:val="auto"/>
                <w:sz w:val="22"/>
                <w:highlight w:val="none"/>
              </w:rPr>
              <w:t>1</w:t>
            </w:r>
          </w:p>
        </w:tc>
      </w:tr>
      <w:tr w14:paraId="6B74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0D0449">
            <w:pPr>
              <w:rPr>
                <w:color w:val="auto"/>
                <w:highlight w:val="none"/>
              </w:rPr>
            </w:pPr>
          </w:p>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4039CE">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C088025">
            <w:pPr>
              <w:spacing w:line="360" w:lineRule="exact"/>
              <w:ind w:firstLine="0" w:firstLineChars="0"/>
              <w:rPr>
                <w:color w:val="auto"/>
                <w:sz w:val="22"/>
                <w:highlight w:val="none"/>
              </w:rPr>
            </w:pPr>
            <w:r>
              <w:rPr>
                <w:color w:val="auto"/>
                <w:sz w:val="22"/>
                <w:highlight w:val="none"/>
              </w:rPr>
              <w:t>对服务器返回的参数做严格的限制，保证不是功能必须的参数不在返回的参数中，防止多余信息引起的数据泄露。</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9BAB4A6">
            <w:pPr>
              <w:spacing w:line="360" w:lineRule="exact"/>
              <w:ind w:firstLine="0" w:firstLineChars="0"/>
              <w:jc w:val="center"/>
              <w:rPr>
                <w:color w:val="auto"/>
                <w:sz w:val="22"/>
                <w:highlight w:val="none"/>
              </w:rPr>
            </w:pPr>
            <w:r>
              <w:rPr>
                <w:color w:val="auto"/>
                <w:sz w:val="22"/>
                <w:highlight w:val="none"/>
              </w:rPr>
              <w:t>2</w:t>
            </w:r>
          </w:p>
        </w:tc>
      </w:tr>
      <w:tr w14:paraId="78D3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D41EE46">
            <w:pPr>
              <w:rPr>
                <w:color w:val="auto"/>
                <w:highlight w:val="none"/>
              </w:rPr>
            </w:pPr>
          </w:p>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83D1576">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CE7C6C2">
            <w:pPr>
              <w:spacing w:line="360" w:lineRule="exact"/>
              <w:ind w:firstLine="0" w:firstLineChars="0"/>
              <w:rPr>
                <w:color w:val="auto"/>
                <w:sz w:val="22"/>
                <w:highlight w:val="none"/>
              </w:rPr>
            </w:pPr>
            <w:r>
              <w:rPr>
                <w:color w:val="auto"/>
                <w:sz w:val="22"/>
                <w:highlight w:val="none"/>
              </w:rPr>
              <w:t>可限制用户的多重并发会话。</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6ADE6B8">
            <w:pPr>
              <w:spacing w:line="360" w:lineRule="exact"/>
              <w:ind w:firstLine="0" w:firstLineChars="0"/>
              <w:jc w:val="center"/>
              <w:rPr>
                <w:color w:val="auto"/>
                <w:sz w:val="22"/>
                <w:highlight w:val="none"/>
              </w:rPr>
            </w:pPr>
            <w:r>
              <w:rPr>
                <w:color w:val="auto"/>
                <w:sz w:val="22"/>
                <w:highlight w:val="none"/>
              </w:rPr>
              <w:t>2</w:t>
            </w:r>
          </w:p>
        </w:tc>
      </w:tr>
      <w:tr w14:paraId="2894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4C7EB5">
            <w:pPr>
              <w:rPr>
                <w:color w:val="auto"/>
                <w:highlight w:val="none"/>
              </w:rPr>
            </w:pPr>
          </w:p>
        </w:tc>
        <w:tc>
          <w:tcPr>
            <w:tcW w:w="193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24C839D">
            <w:pPr>
              <w:spacing w:line="360" w:lineRule="exact"/>
              <w:ind w:firstLine="0" w:firstLineChars="0"/>
              <w:rPr>
                <w:color w:val="auto"/>
                <w:highlight w:val="none"/>
              </w:rPr>
            </w:pPr>
            <w:r>
              <w:rPr>
                <w:color w:val="auto"/>
                <w:sz w:val="22"/>
                <w:highlight w:val="none"/>
              </w:rPr>
              <w:t>系统运维</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9DCF727">
            <w:pPr>
              <w:spacing w:line="360" w:lineRule="exact"/>
              <w:ind w:firstLine="0" w:firstLineChars="0"/>
              <w:rPr>
                <w:color w:val="auto"/>
                <w:highlight w:val="none"/>
              </w:rPr>
            </w:pPr>
            <w:r>
              <w:rPr>
                <w:color w:val="auto"/>
                <w:sz w:val="22"/>
                <w:highlight w:val="none"/>
              </w:rPr>
              <w:t>应用与配置分离，支持脚本化发布应用。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FE6EDC0">
            <w:pPr>
              <w:spacing w:line="360" w:lineRule="exact"/>
              <w:ind w:firstLine="0" w:firstLineChars="0"/>
              <w:jc w:val="center"/>
              <w:rPr>
                <w:color w:val="auto"/>
                <w:highlight w:val="none"/>
              </w:rPr>
            </w:pPr>
            <w:r>
              <w:rPr>
                <w:color w:val="auto"/>
                <w:sz w:val="22"/>
                <w:highlight w:val="none"/>
              </w:rPr>
              <w:t>2</w:t>
            </w:r>
          </w:p>
        </w:tc>
      </w:tr>
      <w:tr w14:paraId="453A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3D1DD6">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9E2598">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7880964">
            <w:pPr>
              <w:spacing w:line="360" w:lineRule="exact"/>
              <w:ind w:firstLine="0" w:firstLineChars="0"/>
              <w:rPr>
                <w:color w:val="auto"/>
                <w:highlight w:val="none"/>
              </w:rPr>
            </w:pPr>
            <w:r>
              <w:rPr>
                <w:color w:val="auto"/>
                <w:sz w:val="22"/>
                <w:highlight w:val="none"/>
              </w:rPr>
              <w:t>批量任务调度：执行批量任务，如遇异常如上游数仓文件无法正常生成，系统可支持上游系统异常处理结束后，手工下载或自动轮询跑批（待关联系统生成文件后，自动下载文件执行批量任务）</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C792209">
            <w:pPr>
              <w:spacing w:line="360" w:lineRule="exact"/>
              <w:ind w:firstLine="0" w:firstLineChars="0"/>
              <w:jc w:val="center"/>
              <w:rPr>
                <w:color w:val="auto"/>
                <w:highlight w:val="none"/>
              </w:rPr>
            </w:pPr>
            <w:r>
              <w:rPr>
                <w:color w:val="auto"/>
                <w:highlight w:val="none"/>
              </w:rPr>
              <w:t>4</w:t>
            </w:r>
          </w:p>
        </w:tc>
      </w:tr>
      <w:tr w14:paraId="6EE9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00473B2">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DF7951">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AEB7E0C">
            <w:pPr>
              <w:spacing w:line="360" w:lineRule="exact"/>
              <w:ind w:firstLine="0" w:firstLineChars="0"/>
              <w:rPr>
                <w:color w:val="auto"/>
                <w:highlight w:val="none"/>
              </w:rPr>
            </w:pPr>
            <w:r>
              <w:rPr>
                <w:color w:val="auto"/>
                <w:sz w:val="22"/>
                <w:highlight w:val="none"/>
              </w:rPr>
              <w:t>系统部署权限：系统部署、运维非必要不使用超级用户。</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2E16E30">
            <w:pPr>
              <w:spacing w:line="360" w:lineRule="exact"/>
              <w:ind w:firstLine="0" w:firstLineChars="0"/>
              <w:jc w:val="center"/>
              <w:rPr>
                <w:color w:val="auto"/>
                <w:highlight w:val="none"/>
              </w:rPr>
            </w:pPr>
            <w:r>
              <w:rPr>
                <w:color w:val="auto"/>
                <w:sz w:val="22"/>
                <w:highlight w:val="none"/>
              </w:rPr>
              <w:t>1</w:t>
            </w:r>
          </w:p>
        </w:tc>
      </w:tr>
      <w:tr w14:paraId="6153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B2F1E0">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92E37B">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3621723">
            <w:pPr>
              <w:spacing w:line="360" w:lineRule="exact"/>
              <w:ind w:firstLine="0" w:firstLineChars="0"/>
              <w:rPr>
                <w:color w:val="auto"/>
                <w:highlight w:val="none"/>
              </w:rPr>
            </w:pPr>
            <w:r>
              <w:rPr>
                <w:color w:val="auto"/>
                <w:sz w:val="22"/>
                <w:highlight w:val="none"/>
              </w:rPr>
              <w:t>系统启停：应用停止加启动时间不超过5分钟，有统一的启停脚本，方便系统启停。</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64EBF11">
            <w:pPr>
              <w:spacing w:line="360" w:lineRule="exact"/>
              <w:ind w:firstLine="0" w:firstLineChars="0"/>
              <w:jc w:val="center"/>
              <w:rPr>
                <w:color w:val="auto"/>
                <w:highlight w:val="none"/>
              </w:rPr>
            </w:pPr>
            <w:r>
              <w:rPr>
                <w:color w:val="auto"/>
                <w:sz w:val="22"/>
                <w:highlight w:val="none"/>
              </w:rPr>
              <w:t>3</w:t>
            </w:r>
          </w:p>
        </w:tc>
      </w:tr>
      <w:tr w14:paraId="3DC8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3E4662">
            <w:pPr>
              <w:rPr>
                <w:color w:val="auto"/>
                <w:highlight w:val="none"/>
              </w:rPr>
            </w:pPr>
          </w:p>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8C9D406">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24A4C0E">
            <w:pPr>
              <w:spacing w:line="360" w:lineRule="exact"/>
              <w:ind w:firstLine="0" w:firstLineChars="0"/>
              <w:rPr>
                <w:color w:val="auto"/>
                <w:sz w:val="22"/>
                <w:highlight w:val="none"/>
              </w:rPr>
            </w:pPr>
            <w:r>
              <w:rPr>
                <w:color w:val="auto"/>
                <w:sz w:val="22"/>
                <w:highlight w:val="none"/>
              </w:rPr>
              <w:t>日志按时间进行分片存储。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5D96AC2">
            <w:pPr>
              <w:spacing w:line="360" w:lineRule="exact"/>
              <w:ind w:firstLine="0" w:firstLineChars="0"/>
              <w:jc w:val="center"/>
              <w:rPr>
                <w:color w:val="auto"/>
                <w:sz w:val="22"/>
                <w:highlight w:val="none"/>
              </w:rPr>
            </w:pPr>
            <w:r>
              <w:rPr>
                <w:color w:val="auto"/>
                <w:sz w:val="22"/>
                <w:highlight w:val="none"/>
              </w:rPr>
              <w:t>2</w:t>
            </w:r>
          </w:p>
        </w:tc>
      </w:tr>
      <w:tr w14:paraId="0B33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DDB1788">
            <w:pPr>
              <w:rPr>
                <w:color w:val="auto"/>
                <w:highlight w:val="none"/>
              </w:rPr>
            </w:pPr>
          </w:p>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68E091">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A60F1FF">
            <w:pPr>
              <w:spacing w:line="360" w:lineRule="exact"/>
              <w:ind w:firstLine="0" w:firstLineChars="0"/>
              <w:rPr>
                <w:color w:val="auto"/>
                <w:sz w:val="22"/>
                <w:highlight w:val="none"/>
              </w:rPr>
            </w:pPr>
            <w:r>
              <w:rPr>
                <w:color w:val="auto"/>
                <w:sz w:val="22"/>
                <w:highlight w:val="none"/>
              </w:rPr>
              <w:t>数据库中表、字段注释清楚。</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A69EBA4">
            <w:pPr>
              <w:spacing w:line="360" w:lineRule="exact"/>
              <w:ind w:firstLine="0" w:firstLineChars="0"/>
              <w:jc w:val="center"/>
              <w:rPr>
                <w:color w:val="auto"/>
                <w:sz w:val="22"/>
                <w:highlight w:val="none"/>
              </w:rPr>
            </w:pPr>
            <w:r>
              <w:rPr>
                <w:color w:val="auto"/>
                <w:sz w:val="22"/>
                <w:highlight w:val="none"/>
              </w:rPr>
              <w:t>1</w:t>
            </w:r>
          </w:p>
        </w:tc>
      </w:tr>
      <w:tr w14:paraId="3344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B208BD">
            <w:pPr>
              <w:rPr>
                <w:color w:val="auto"/>
                <w:highlight w:val="none"/>
              </w:rPr>
            </w:pPr>
          </w:p>
        </w:tc>
        <w:tc>
          <w:tcPr>
            <w:tcW w:w="193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F44E38C">
            <w:pPr>
              <w:ind w:firstLine="0" w:firstLineChars="0"/>
              <w:rPr>
                <w:color w:val="auto"/>
                <w:highlight w:val="none"/>
              </w:rPr>
            </w:pPr>
            <w:r>
              <w:rPr>
                <w:color w:val="auto"/>
                <w:highlight w:val="none"/>
              </w:rPr>
              <w:t>技术架构</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EE43E93">
            <w:pPr>
              <w:spacing w:line="360" w:lineRule="exact"/>
              <w:ind w:firstLine="0" w:firstLineChars="0"/>
              <w:rPr>
                <w:color w:val="auto"/>
                <w:highlight w:val="none"/>
              </w:rPr>
            </w:pPr>
            <w:r>
              <w:rPr>
                <w:color w:val="auto"/>
                <w:sz w:val="22"/>
                <w:highlight w:val="none"/>
              </w:rPr>
              <w:t>代码分层合理，设计合理，对修改封闭，对扩展开放</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016A25F">
            <w:pPr>
              <w:spacing w:line="360" w:lineRule="exact"/>
              <w:ind w:firstLine="0" w:firstLineChars="0"/>
              <w:jc w:val="center"/>
              <w:rPr>
                <w:color w:val="auto"/>
                <w:highlight w:val="none"/>
              </w:rPr>
            </w:pPr>
            <w:r>
              <w:rPr>
                <w:color w:val="auto"/>
                <w:sz w:val="22"/>
                <w:highlight w:val="none"/>
              </w:rPr>
              <w:t>2</w:t>
            </w:r>
          </w:p>
        </w:tc>
      </w:tr>
      <w:tr w14:paraId="37F8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D0F313D">
            <w:pPr>
              <w:rPr>
                <w:color w:val="auto"/>
                <w:highlight w:val="none"/>
              </w:rPr>
            </w:pPr>
          </w:p>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1109017">
            <w:pPr>
              <w:rPr>
                <w:color w:val="auto"/>
                <w:highlight w:val="none"/>
              </w:rPr>
            </w:pP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D2C7472">
            <w:pPr>
              <w:spacing w:line="360" w:lineRule="exact"/>
              <w:ind w:firstLine="0" w:firstLineChars="0"/>
              <w:rPr>
                <w:color w:val="auto"/>
                <w:highlight w:val="none"/>
              </w:rPr>
            </w:pPr>
            <w:r>
              <w:rPr>
                <w:color w:val="auto"/>
                <w:sz w:val="22"/>
                <w:highlight w:val="none"/>
              </w:rPr>
              <w:t>采用单体架构，支持集群部署方式，应用系统逻辑独立，启停服务不相互影响。</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123163A">
            <w:pPr>
              <w:spacing w:line="360" w:lineRule="exact"/>
              <w:ind w:firstLine="0" w:firstLineChars="0"/>
              <w:jc w:val="center"/>
              <w:rPr>
                <w:color w:val="auto"/>
                <w:highlight w:val="none"/>
              </w:rPr>
            </w:pPr>
            <w:r>
              <w:rPr>
                <w:color w:val="auto"/>
                <w:highlight w:val="none"/>
              </w:rPr>
              <w:t>2</w:t>
            </w:r>
          </w:p>
        </w:tc>
      </w:tr>
    </w:tbl>
    <w:p w14:paraId="0F40D28B">
      <w:pPr>
        <w:pStyle w:val="39"/>
        <w:ind w:firstLine="0" w:firstLineChars="0"/>
        <w:rPr>
          <w:rFonts w:eastAsia="微软雅黑"/>
          <w:b/>
          <w:bCs/>
          <w:color w:val="auto"/>
          <w:sz w:val="32"/>
          <w:szCs w:val="32"/>
          <w:highlight w:val="none"/>
        </w:rPr>
      </w:pPr>
    </w:p>
    <w:p w14:paraId="5029F5EA">
      <w:pP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四、评分规则</w:t>
      </w:r>
    </w:p>
    <w:p w14:paraId="75CB18A5">
      <w:pPr>
        <w:rPr>
          <w:rFonts w:ascii="Times New Roman" w:hAnsi="Times New Roman" w:cs="Times New Roman"/>
          <w:color w:val="auto"/>
          <w:highlight w:val="none"/>
        </w:rPr>
      </w:pPr>
      <w:r>
        <w:rPr>
          <w:rFonts w:ascii="Times New Roman" w:hAnsi="Times New Roman" w:cs="Times New Roman"/>
          <w:color w:val="auto"/>
          <w:highlight w:val="none"/>
        </w:rPr>
        <w:t>本次POC的功能点共计63个，总分为100分，</w:t>
      </w:r>
      <w:r>
        <w:rPr>
          <w:rFonts w:hint="eastAsia" w:ascii="Times New Roman" w:hAnsi="Times New Roman" w:cs="Times New Roman"/>
          <w:color w:val="auto"/>
          <w:highlight w:val="none"/>
        </w:rPr>
        <w:t>每项指标由比选人业务、科技人员分别打分，参选人POC得分=各项指标评分的算数平均值之和为最终得分。</w:t>
      </w:r>
    </w:p>
    <w:p w14:paraId="1D744465">
      <w:pPr>
        <w:rPr>
          <w:rFonts w:ascii="Times New Roman" w:hAnsi="Times New Roman" w:cs="Times New Roman"/>
          <w:color w:val="auto"/>
          <w:highlight w:val="none"/>
        </w:rPr>
      </w:pPr>
      <w:r>
        <w:rPr>
          <w:rFonts w:ascii="Times New Roman" w:hAnsi="Times New Roman" w:cs="Times New Roman"/>
          <w:color w:val="auto"/>
          <w:highlight w:val="none"/>
        </w:rPr>
        <w:t>其中，系统搭建必须满足我行信创国产化基线建设要求，若不能适配我行信创国产化基线产品，则不予通过POC。</w:t>
      </w:r>
    </w:p>
    <w:p w14:paraId="52211A26">
      <w:pPr>
        <w:rPr>
          <w:rFonts w:ascii="Times New Roman" w:hAnsi="Times New Roman" w:cs="Times New Roman"/>
          <w:b/>
          <w:bCs/>
          <w:color w:val="auto"/>
          <w:szCs w:val="24"/>
          <w:highlight w:val="none"/>
        </w:rPr>
      </w:pPr>
      <w:bookmarkStart w:id="232" w:name="_Toc17723"/>
      <w:r>
        <w:rPr>
          <w:rFonts w:ascii="Times New Roman" w:hAnsi="Times New Roman" w:cs="Times New Roman"/>
          <w:b/>
          <w:bCs/>
          <w:color w:val="auto"/>
          <w:szCs w:val="24"/>
          <w:highlight w:val="none"/>
        </w:rPr>
        <w:t>五、系统安全与数据安全</w:t>
      </w:r>
      <w:bookmarkEnd w:id="232"/>
    </w:p>
    <w:p w14:paraId="3F1C6C76">
      <w:pPr>
        <w:rPr>
          <w:rFonts w:ascii="Times New Roman" w:hAnsi="Times New Roman" w:cs="Times New Roman"/>
          <w:color w:val="auto"/>
          <w:highlight w:val="none"/>
        </w:rPr>
      </w:pPr>
      <w:r>
        <w:rPr>
          <w:rFonts w:ascii="Times New Roman" w:hAnsi="Times New Roman" w:cs="Times New Roman"/>
          <w:color w:val="auto"/>
          <w:highlight w:val="none"/>
        </w:rPr>
        <w:t>为了确保系统和数据的安全，将切实做好以下工作：</w:t>
      </w:r>
      <w:bookmarkStart w:id="233" w:name="_Toc26430"/>
    </w:p>
    <w:p w14:paraId="4142092A">
      <w:pPr>
        <w:rPr>
          <w:rFonts w:ascii="Times New Roman" w:hAnsi="Times New Roman" w:cs="Times New Roman"/>
          <w:color w:val="auto"/>
          <w:highlight w:val="none"/>
        </w:rPr>
      </w:pPr>
      <w:r>
        <w:rPr>
          <w:rFonts w:ascii="Times New Roman" w:hAnsi="Times New Roman" w:cs="Times New Roman"/>
          <w:color w:val="auto"/>
          <w:highlight w:val="none"/>
        </w:rPr>
        <w:t>（1）保密意识</w:t>
      </w:r>
      <w:bookmarkEnd w:id="233"/>
    </w:p>
    <w:p w14:paraId="2D96BBE1">
      <w:pPr>
        <w:rPr>
          <w:rFonts w:ascii="Times New Roman" w:hAnsi="Times New Roman" w:cs="Times New Roman"/>
          <w:color w:val="auto"/>
          <w:highlight w:val="none"/>
        </w:rPr>
      </w:pPr>
      <w:r>
        <w:rPr>
          <w:rFonts w:ascii="Times New Roman" w:hAnsi="Times New Roman" w:cs="Times New Roman"/>
          <w:color w:val="auto"/>
          <w:highlight w:val="none"/>
        </w:rPr>
        <w:t>参加测试单位之间有共同的保密意识，明确此次测试数据只能用于该项目。测试人员不得以任何方式将数据拷贝带出，一经发现，我方将立即终止合作</w:t>
      </w:r>
      <w:bookmarkStart w:id="234" w:name="_Toc3053"/>
      <w:r>
        <w:rPr>
          <w:rFonts w:ascii="Times New Roman" w:hAnsi="Times New Roman" w:cs="Times New Roman"/>
          <w:color w:val="auto"/>
          <w:highlight w:val="none"/>
        </w:rPr>
        <w:t>。</w:t>
      </w:r>
    </w:p>
    <w:p w14:paraId="43056140">
      <w:pPr>
        <w:rPr>
          <w:rFonts w:ascii="Times New Roman" w:hAnsi="Times New Roman" w:cs="Times New Roman"/>
          <w:color w:val="auto"/>
          <w:highlight w:val="none"/>
        </w:rPr>
      </w:pPr>
      <w:r>
        <w:rPr>
          <w:rFonts w:ascii="Times New Roman" w:hAnsi="Times New Roman" w:cs="Times New Roman"/>
          <w:color w:val="auto"/>
          <w:highlight w:val="none"/>
        </w:rPr>
        <w:t>（2）数据删除</w:t>
      </w:r>
      <w:bookmarkEnd w:id="234"/>
    </w:p>
    <w:p w14:paraId="667E9F0A">
      <w:pPr>
        <w:rPr>
          <w:rFonts w:ascii="Times New Roman" w:hAnsi="Times New Roman" w:cs="Times New Roman"/>
          <w:color w:val="auto"/>
          <w:highlight w:val="none"/>
        </w:rPr>
      </w:pPr>
      <w:bookmarkStart w:id="235" w:name="_bookmark13"/>
      <w:bookmarkEnd w:id="235"/>
      <w:r>
        <w:rPr>
          <w:rFonts w:ascii="Times New Roman" w:hAnsi="Times New Roman" w:cs="Times New Roman"/>
          <w:color w:val="auto"/>
          <w:highlight w:val="none"/>
        </w:rPr>
        <w:t>完成测试后，参测单位对系统内所存储的敏感数据彻底清除。</w:t>
      </w:r>
    </w:p>
    <w:p w14:paraId="472F0BD6">
      <w:pPr>
        <w:rPr>
          <w:rFonts w:ascii="Times New Roman" w:hAnsi="Times New Roman"/>
          <w:color w:val="auto"/>
          <w:highlight w:val="none"/>
        </w:rPr>
      </w:pPr>
      <w:r>
        <w:rPr>
          <w:rFonts w:ascii="Times New Roman" w:hAnsi="Times New Roman"/>
          <w:color w:val="auto"/>
          <w:highlight w:val="none"/>
        </w:rPr>
        <w:br w:type="page"/>
      </w:r>
    </w:p>
    <w:p w14:paraId="4C4DED99">
      <w:pPr>
        <w:pStyle w:val="2"/>
        <w:rPr>
          <w:rFonts w:ascii="Times New Roman" w:hAnsi="Times New Roman"/>
          <w:color w:val="auto"/>
          <w:highlight w:val="none"/>
        </w:rPr>
      </w:pPr>
      <w:bookmarkStart w:id="236" w:name="_Toc30284"/>
      <w:bookmarkStart w:id="237" w:name="_Toc6239"/>
      <w:bookmarkStart w:id="238" w:name="_Toc8436"/>
      <w:bookmarkStart w:id="239" w:name="_Toc32571"/>
      <w:bookmarkStart w:id="240" w:name="_Toc24542"/>
      <w:bookmarkStart w:id="241" w:name="_Toc4055"/>
      <w:r>
        <w:rPr>
          <w:rFonts w:hint="eastAsia" w:ascii="Times New Roman" w:hAnsi="Times New Roman"/>
          <w:color w:val="auto"/>
          <w:highlight w:val="none"/>
        </w:rPr>
        <w:t>第四章 评审办法（综合评估法）</w:t>
      </w:r>
      <w:bookmarkEnd w:id="226"/>
      <w:bookmarkEnd w:id="236"/>
      <w:bookmarkEnd w:id="237"/>
      <w:bookmarkEnd w:id="238"/>
      <w:bookmarkEnd w:id="239"/>
      <w:bookmarkEnd w:id="240"/>
      <w:bookmarkEnd w:id="241"/>
    </w:p>
    <w:p w14:paraId="6C4EE2B3">
      <w:pPr>
        <w:rPr>
          <w:rFonts w:ascii="Times New Roman" w:hAnsi="Times New Roman"/>
          <w:b/>
          <w:bCs/>
          <w:color w:val="auto"/>
          <w:highlight w:val="none"/>
        </w:rPr>
      </w:pPr>
      <w:bookmarkStart w:id="242" w:name="_Toc2028"/>
      <w:bookmarkStart w:id="243" w:name="_Toc11471"/>
      <w:bookmarkStart w:id="244" w:name="_Toc14810"/>
      <w:bookmarkStart w:id="245" w:name="_Toc27076"/>
      <w:r>
        <w:rPr>
          <w:rFonts w:hint="eastAsia" w:ascii="Times New Roman" w:hAnsi="Times New Roman"/>
          <w:b/>
          <w:bCs/>
          <w:color w:val="auto"/>
          <w:highlight w:val="none"/>
        </w:rPr>
        <w:t>评审办法前附表</w:t>
      </w:r>
      <w:bookmarkEnd w:id="242"/>
      <w:bookmarkEnd w:id="243"/>
      <w:bookmarkEnd w:id="244"/>
      <w:bookmarkEnd w:id="245"/>
    </w:p>
    <w:p w14:paraId="37BE9297">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4"/>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9"/>
        <w:gridCol w:w="1533"/>
        <w:gridCol w:w="175"/>
        <w:gridCol w:w="5805"/>
      </w:tblGrid>
      <w:tr w14:paraId="31EC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vAlign w:val="center"/>
          </w:tcPr>
          <w:p w14:paraId="5F05553F">
            <w:pPr>
              <w:spacing w:line="360" w:lineRule="auto"/>
              <w:ind w:firstLine="0" w:firstLineChars="0"/>
              <w:jc w:val="center"/>
              <w:rPr>
                <w:rFonts w:ascii="Times New Roman" w:hAnsi="Times New Roman" w:cs="宋体"/>
                <w:b/>
                <w:color w:val="auto"/>
                <w:kern w:val="0"/>
                <w:sz w:val="21"/>
                <w:szCs w:val="21"/>
                <w:highlight w:val="none"/>
              </w:rPr>
            </w:pPr>
            <w:bookmarkStart w:id="246" w:name="CQZH1_07"/>
            <w:r>
              <w:rPr>
                <w:rFonts w:hint="eastAsia" w:ascii="Times New Roman" w:hAnsi="Times New Roman" w:cs="宋体"/>
                <w:b/>
                <w:color w:val="auto"/>
                <w:kern w:val="0"/>
                <w:sz w:val="21"/>
                <w:szCs w:val="21"/>
                <w:highlight w:val="none"/>
              </w:rPr>
              <w:t>条款号</w:t>
            </w:r>
          </w:p>
        </w:tc>
        <w:tc>
          <w:tcPr>
            <w:tcW w:w="1559" w:type="dxa"/>
            <w:vAlign w:val="center"/>
          </w:tcPr>
          <w:p w14:paraId="47162B27">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513" w:type="dxa"/>
            <w:gridSpan w:val="3"/>
            <w:vAlign w:val="center"/>
          </w:tcPr>
          <w:p w14:paraId="75AA3E19">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3C96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vAlign w:val="center"/>
          </w:tcPr>
          <w:p w14:paraId="36D1EFE6">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559" w:type="dxa"/>
            <w:vAlign w:val="center"/>
          </w:tcPr>
          <w:p w14:paraId="393BA6E2">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513" w:type="dxa"/>
            <w:gridSpan w:val="3"/>
            <w:vAlign w:val="center"/>
          </w:tcPr>
          <w:p w14:paraId="3B42864C">
            <w:pPr>
              <w:spacing w:line="360" w:lineRule="auto"/>
              <w:ind w:firstLine="0" w:firstLineChars="0"/>
              <w:rPr>
                <w:rFonts w:ascii="Times New Roman" w:hAnsi="Times New Roman" w:cs="宋体"/>
                <w:b/>
                <w:color w:val="auto"/>
                <w:kern w:val="0"/>
                <w:sz w:val="21"/>
                <w:szCs w:val="21"/>
                <w:highlight w:val="none"/>
              </w:rPr>
            </w:pPr>
            <w:r>
              <w:rPr>
                <w:rFonts w:hint="eastAsia" w:ascii="Times New Roman" w:hAnsi="Times New Roman" w:cs="Times New Roman"/>
                <w:color w:val="auto"/>
                <w:kern w:val="0"/>
                <w:sz w:val="21"/>
                <w:szCs w:val="24"/>
                <w:highlight w:val="none"/>
              </w:rPr>
              <w:t>本次评审采用综合评估法。评审委员会按照评审办法前附表第2.1 条规定进行初步评审，对初步评审合格的参选人根据2.2 条规定的详细评审评分标准进行打分，按得分由高到低顺序推荐</w:t>
            </w:r>
            <w:r>
              <w:rPr>
                <w:rFonts w:hint="eastAsia" w:ascii="Times New Roman" w:hAnsi="Times New Roman" w:cs="Times New Roman"/>
                <w:color w:val="auto"/>
                <w:kern w:val="0"/>
                <w:sz w:val="21"/>
                <w:szCs w:val="24"/>
                <w:highlight w:val="none"/>
                <w:lang w:val="en-US" w:eastAsia="zh-CN"/>
              </w:rPr>
              <w:t>1-</w:t>
            </w:r>
            <w:r>
              <w:rPr>
                <w:rFonts w:hint="eastAsia" w:ascii="Times New Roman" w:hAnsi="Times New Roman" w:cs="Times New Roman"/>
                <w:color w:val="auto"/>
                <w:kern w:val="0"/>
                <w:sz w:val="21"/>
                <w:szCs w:val="24"/>
                <w:highlight w:val="none"/>
              </w:rPr>
              <w:t>3名中选候选人，但参选报价低于其成本的除外。综合评分相等时，以参选报价低的优先；参选报价也相等的，</w:t>
            </w:r>
            <w:r>
              <w:rPr>
                <w:rFonts w:ascii="Times New Roman" w:hAnsi="Times New Roman" w:cs="Times New Roman"/>
                <w:color w:val="auto"/>
                <w:kern w:val="0"/>
                <w:sz w:val="21"/>
                <w:szCs w:val="24"/>
                <w:highlight w:val="none"/>
              </w:rPr>
              <w:t>以POC分数高的优先</w:t>
            </w:r>
            <w:r>
              <w:rPr>
                <w:rFonts w:hint="eastAsia" w:ascii="Times New Roman" w:hAnsi="Times New Roman" w:cs="Times New Roman"/>
                <w:color w:val="auto"/>
                <w:kern w:val="0"/>
                <w:sz w:val="21"/>
                <w:szCs w:val="24"/>
                <w:highlight w:val="none"/>
              </w:rPr>
              <w:t>。</w:t>
            </w:r>
          </w:p>
        </w:tc>
      </w:tr>
      <w:tr w14:paraId="1B90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vAlign w:val="center"/>
          </w:tcPr>
          <w:p w14:paraId="075DC972">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559" w:type="dxa"/>
            <w:vAlign w:val="center"/>
          </w:tcPr>
          <w:p w14:paraId="5108B38B">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513" w:type="dxa"/>
            <w:gridSpan w:val="3"/>
            <w:vAlign w:val="center"/>
          </w:tcPr>
          <w:p w14:paraId="37F32F6E">
            <w:pPr>
              <w:spacing w:line="360" w:lineRule="auto"/>
              <w:ind w:firstLine="0" w:firstLineChars="0"/>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510F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vAlign w:val="center"/>
          </w:tcPr>
          <w:p w14:paraId="317B619B">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559" w:type="dxa"/>
            <w:vAlign w:val="center"/>
          </w:tcPr>
          <w:p w14:paraId="544181AF">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708" w:type="dxa"/>
            <w:gridSpan w:val="2"/>
            <w:vAlign w:val="center"/>
          </w:tcPr>
          <w:p w14:paraId="44579778">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805" w:type="dxa"/>
            <w:vAlign w:val="center"/>
          </w:tcPr>
          <w:p w14:paraId="0962E57E">
            <w:pPr>
              <w:spacing w:line="360" w:lineRule="auto"/>
              <w:ind w:firstLine="0" w:firstLineChars="0"/>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15B5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restart"/>
            <w:vAlign w:val="center"/>
          </w:tcPr>
          <w:p w14:paraId="45D8E41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559" w:type="dxa"/>
            <w:vMerge w:val="restart"/>
            <w:vAlign w:val="center"/>
          </w:tcPr>
          <w:p w14:paraId="63D1B6E7">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708" w:type="dxa"/>
            <w:gridSpan w:val="2"/>
            <w:vAlign w:val="center"/>
          </w:tcPr>
          <w:p w14:paraId="5CD6E37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805" w:type="dxa"/>
            <w:vAlign w:val="center"/>
          </w:tcPr>
          <w:p w14:paraId="617EB985">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665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vAlign w:val="center"/>
          </w:tcPr>
          <w:p w14:paraId="73DCF934">
            <w:pPr>
              <w:rPr>
                <w:color w:val="auto"/>
                <w:highlight w:val="none"/>
              </w:rPr>
            </w:pPr>
          </w:p>
        </w:tc>
        <w:tc>
          <w:tcPr>
            <w:tcW w:w="1559" w:type="dxa"/>
            <w:vMerge w:val="continue"/>
            <w:textDirection w:val="tbRlV"/>
            <w:vAlign w:val="center"/>
          </w:tcPr>
          <w:p w14:paraId="5E110686">
            <w:pPr>
              <w:rPr>
                <w:color w:val="auto"/>
                <w:highlight w:val="none"/>
              </w:rPr>
            </w:pPr>
          </w:p>
        </w:tc>
        <w:tc>
          <w:tcPr>
            <w:tcW w:w="1708" w:type="dxa"/>
            <w:gridSpan w:val="2"/>
            <w:vAlign w:val="center"/>
          </w:tcPr>
          <w:p w14:paraId="522BCC0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805" w:type="dxa"/>
            <w:vAlign w:val="center"/>
          </w:tcPr>
          <w:p w14:paraId="5257C0AC">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553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vAlign w:val="center"/>
          </w:tcPr>
          <w:p w14:paraId="7DA9B495">
            <w:pPr>
              <w:rPr>
                <w:color w:val="auto"/>
                <w:highlight w:val="none"/>
              </w:rPr>
            </w:pPr>
          </w:p>
        </w:tc>
        <w:tc>
          <w:tcPr>
            <w:tcW w:w="1559" w:type="dxa"/>
            <w:vMerge w:val="continue"/>
            <w:textDirection w:val="tbRlV"/>
            <w:vAlign w:val="center"/>
          </w:tcPr>
          <w:p w14:paraId="29D62642">
            <w:pPr>
              <w:rPr>
                <w:color w:val="auto"/>
                <w:highlight w:val="none"/>
              </w:rPr>
            </w:pPr>
          </w:p>
        </w:tc>
        <w:tc>
          <w:tcPr>
            <w:tcW w:w="1708" w:type="dxa"/>
            <w:gridSpan w:val="2"/>
            <w:vAlign w:val="center"/>
          </w:tcPr>
          <w:p w14:paraId="246D86B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805" w:type="dxa"/>
            <w:vAlign w:val="center"/>
          </w:tcPr>
          <w:p w14:paraId="7FE6184A">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24F5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vAlign w:val="center"/>
          </w:tcPr>
          <w:p w14:paraId="033F501A">
            <w:pPr>
              <w:rPr>
                <w:color w:val="auto"/>
                <w:highlight w:val="none"/>
              </w:rPr>
            </w:pPr>
          </w:p>
        </w:tc>
        <w:tc>
          <w:tcPr>
            <w:tcW w:w="1559" w:type="dxa"/>
            <w:vMerge w:val="continue"/>
            <w:textDirection w:val="tbRlV"/>
            <w:vAlign w:val="center"/>
          </w:tcPr>
          <w:p w14:paraId="58C09D0F">
            <w:pPr>
              <w:rPr>
                <w:color w:val="auto"/>
                <w:highlight w:val="none"/>
              </w:rPr>
            </w:pPr>
          </w:p>
        </w:tc>
        <w:tc>
          <w:tcPr>
            <w:tcW w:w="1708" w:type="dxa"/>
            <w:gridSpan w:val="2"/>
            <w:vAlign w:val="center"/>
          </w:tcPr>
          <w:p w14:paraId="54A240F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805" w:type="dxa"/>
            <w:vAlign w:val="center"/>
          </w:tcPr>
          <w:p w14:paraId="7D4C54F3">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1D4F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vAlign w:val="center"/>
          </w:tcPr>
          <w:p w14:paraId="7529A0B2">
            <w:pPr>
              <w:rPr>
                <w:color w:val="auto"/>
                <w:highlight w:val="none"/>
              </w:rPr>
            </w:pPr>
          </w:p>
        </w:tc>
        <w:tc>
          <w:tcPr>
            <w:tcW w:w="1559" w:type="dxa"/>
            <w:vMerge w:val="continue"/>
            <w:textDirection w:val="tbRlV"/>
            <w:vAlign w:val="center"/>
          </w:tcPr>
          <w:p w14:paraId="034744D3">
            <w:pPr>
              <w:rPr>
                <w:color w:val="auto"/>
                <w:highlight w:val="none"/>
              </w:rPr>
            </w:pPr>
          </w:p>
        </w:tc>
        <w:tc>
          <w:tcPr>
            <w:tcW w:w="1708" w:type="dxa"/>
            <w:gridSpan w:val="2"/>
            <w:vAlign w:val="center"/>
          </w:tcPr>
          <w:p w14:paraId="0D318E7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805" w:type="dxa"/>
            <w:vAlign w:val="center"/>
          </w:tcPr>
          <w:p w14:paraId="0ED89DF7">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0450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vAlign w:val="center"/>
          </w:tcPr>
          <w:p w14:paraId="117973CD">
            <w:pPr>
              <w:rPr>
                <w:color w:val="auto"/>
                <w:highlight w:val="none"/>
              </w:rPr>
            </w:pPr>
          </w:p>
        </w:tc>
        <w:tc>
          <w:tcPr>
            <w:tcW w:w="1559" w:type="dxa"/>
            <w:vMerge w:val="continue"/>
            <w:textDirection w:val="tbRlV"/>
            <w:vAlign w:val="center"/>
          </w:tcPr>
          <w:p w14:paraId="08A065FC">
            <w:pPr>
              <w:rPr>
                <w:color w:val="auto"/>
                <w:highlight w:val="none"/>
              </w:rPr>
            </w:pPr>
          </w:p>
        </w:tc>
        <w:tc>
          <w:tcPr>
            <w:tcW w:w="1708" w:type="dxa"/>
            <w:gridSpan w:val="2"/>
            <w:vAlign w:val="center"/>
          </w:tcPr>
          <w:p w14:paraId="5D0AAAA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805" w:type="dxa"/>
            <w:vAlign w:val="center"/>
          </w:tcPr>
          <w:p w14:paraId="3D662253">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5BBC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721" w:type="dxa"/>
            <w:vMerge w:val="restart"/>
            <w:vAlign w:val="center"/>
          </w:tcPr>
          <w:p w14:paraId="2D47DFFE">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559" w:type="dxa"/>
            <w:vMerge w:val="restart"/>
            <w:vAlign w:val="center"/>
          </w:tcPr>
          <w:p w14:paraId="6C1EA92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708" w:type="dxa"/>
            <w:gridSpan w:val="2"/>
            <w:vAlign w:val="center"/>
          </w:tcPr>
          <w:p w14:paraId="4283BD3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805" w:type="dxa"/>
            <w:vAlign w:val="center"/>
          </w:tcPr>
          <w:p w14:paraId="3728934A">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2E45E345">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rPr>
              <w:t>材料</w:t>
            </w:r>
            <w:r>
              <w:rPr>
                <w:rFonts w:ascii="Times New Roman" w:hAnsi="Times New Roman" w:cs="宋体"/>
                <w:color w:val="auto"/>
                <w:kern w:val="0"/>
                <w:sz w:val="21"/>
                <w:szCs w:val="21"/>
                <w:highlight w:val="none"/>
              </w:rPr>
              <w:t>，内容齐全、无遗漏。</w:t>
            </w:r>
          </w:p>
        </w:tc>
      </w:tr>
      <w:tr w14:paraId="3E60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Pr>
          <w:p w14:paraId="5BEE57F5">
            <w:pPr>
              <w:rPr>
                <w:color w:val="auto"/>
                <w:highlight w:val="none"/>
              </w:rPr>
            </w:pPr>
          </w:p>
        </w:tc>
        <w:tc>
          <w:tcPr>
            <w:tcW w:w="1559" w:type="dxa"/>
            <w:vMerge w:val="continue"/>
          </w:tcPr>
          <w:p w14:paraId="68233964">
            <w:pPr>
              <w:rPr>
                <w:color w:val="auto"/>
                <w:highlight w:val="none"/>
              </w:rPr>
            </w:pPr>
          </w:p>
        </w:tc>
        <w:tc>
          <w:tcPr>
            <w:tcW w:w="1708" w:type="dxa"/>
            <w:gridSpan w:val="2"/>
            <w:vAlign w:val="center"/>
          </w:tcPr>
          <w:p w14:paraId="6B695F8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805" w:type="dxa"/>
            <w:vAlign w:val="center"/>
          </w:tcPr>
          <w:p w14:paraId="4F19EE52">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08E3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Pr>
          <w:p w14:paraId="29B2EDD1">
            <w:pPr>
              <w:rPr>
                <w:color w:val="auto"/>
                <w:highlight w:val="none"/>
              </w:rPr>
            </w:pPr>
          </w:p>
        </w:tc>
        <w:tc>
          <w:tcPr>
            <w:tcW w:w="1559" w:type="dxa"/>
            <w:vMerge w:val="continue"/>
          </w:tcPr>
          <w:p w14:paraId="55594032">
            <w:pPr>
              <w:rPr>
                <w:color w:val="auto"/>
                <w:highlight w:val="none"/>
              </w:rPr>
            </w:pPr>
          </w:p>
        </w:tc>
        <w:tc>
          <w:tcPr>
            <w:tcW w:w="1708" w:type="dxa"/>
            <w:gridSpan w:val="2"/>
            <w:vAlign w:val="center"/>
          </w:tcPr>
          <w:p w14:paraId="04941CA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805" w:type="dxa"/>
            <w:vAlign w:val="center"/>
          </w:tcPr>
          <w:p w14:paraId="7E55F911">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5AB7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Pr>
          <w:p w14:paraId="1AFCD061">
            <w:pPr>
              <w:rPr>
                <w:color w:val="auto"/>
                <w:highlight w:val="none"/>
              </w:rPr>
            </w:pPr>
          </w:p>
        </w:tc>
        <w:tc>
          <w:tcPr>
            <w:tcW w:w="1559" w:type="dxa"/>
            <w:vMerge w:val="continue"/>
          </w:tcPr>
          <w:p w14:paraId="59676527">
            <w:pPr>
              <w:rPr>
                <w:color w:val="auto"/>
                <w:highlight w:val="none"/>
              </w:rPr>
            </w:pPr>
          </w:p>
        </w:tc>
        <w:tc>
          <w:tcPr>
            <w:tcW w:w="1708" w:type="dxa"/>
            <w:gridSpan w:val="2"/>
            <w:vAlign w:val="center"/>
          </w:tcPr>
          <w:p w14:paraId="50BE445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805" w:type="dxa"/>
            <w:vAlign w:val="center"/>
          </w:tcPr>
          <w:p w14:paraId="352AC0FA">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573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Pr>
          <w:p w14:paraId="14D3E85D">
            <w:pPr>
              <w:rPr>
                <w:color w:val="auto"/>
                <w:highlight w:val="none"/>
              </w:rPr>
            </w:pPr>
          </w:p>
        </w:tc>
        <w:tc>
          <w:tcPr>
            <w:tcW w:w="1559" w:type="dxa"/>
            <w:vMerge w:val="continue"/>
          </w:tcPr>
          <w:p w14:paraId="709D891E">
            <w:pPr>
              <w:rPr>
                <w:color w:val="auto"/>
                <w:highlight w:val="none"/>
              </w:rPr>
            </w:pPr>
          </w:p>
        </w:tc>
        <w:tc>
          <w:tcPr>
            <w:tcW w:w="1708" w:type="dxa"/>
            <w:gridSpan w:val="2"/>
            <w:vAlign w:val="center"/>
          </w:tcPr>
          <w:p w14:paraId="22029A9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805" w:type="dxa"/>
          </w:tcPr>
          <w:p w14:paraId="165F40C2">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2ACC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Pr>
          <w:p w14:paraId="5F4979FB">
            <w:pPr>
              <w:rPr>
                <w:color w:val="auto"/>
                <w:highlight w:val="none"/>
              </w:rPr>
            </w:pPr>
          </w:p>
        </w:tc>
        <w:tc>
          <w:tcPr>
            <w:tcW w:w="1559" w:type="dxa"/>
            <w:vMerge w:val="continue"/>
          </w:tcPr>
          <w:p w14:paraId="4E8E3928">
            <w:pPr>
              <w:rPr>
                <w:color w:val="auto"/>
                <w:highlight w:val="none"/>
              </w:rPr>
            </w:pPr>
          </w:p>
        </w:tc>
        <w:tc>
          <w:tcPr>
            <w:tcW w:w="1708" w:type="dxa"/>
            <w:gridSpan w:val="2"/>
            <w:vAlign w:val="center"/>
          </w:tcPr>
          <w:p w14:paraId="7B1C0AE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805" w:type="dxa"/>
          </w:tcPr>
          <w:p w14:paraId="0E77319E">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31E7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721" w:type="dxa"/>
            <w:vMerge w:val="restart"/>
            <w:vAlign w:val="center"/>
          </w:tcPr>
          <w:p w14:paraId="6838A95B">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559" w:type="dxa"/>
            <w:vMerge w:val="restart"/>
            <w:vAlign w:val="center"/>
          </w:tcPr>
          <w:p w14:paraId="1FF3819B">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708" w:type="dxa"/>
            <w:gridSpan w:val="2"/>
            <w:vMerge w:val="restart"/>
            <w:vAlign w:val="center"/>
          </w:tcPr>
          <w:p w14:paraId="51D8A262">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62609729">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(总分1OO分)</w:t>
            </w:r>
          </w:p>
        </w:tc>
        <w:tc>
          <w:tcPr>
            <w:tcW w:w="5805" w:type="dxa"/>
            <w:vAlign w:val="center"/>
          </w:tcPr>
          <w:p w14:paraId="7491B55A">
            <w:pPr>
              <w:spacing w:line="360" w:lineRule="auto"/>
              <w:ind w:firstLine="0" w:firstLineChars="0"/>
              <w:rPr>
                <w:rFonts w:ascii="Times New Roman" w:hAnsi="Times New Roman" w:cs="宋体"/>
                <w:color w:val="auto"/>
                <w:kern w:val="0"/>
                <w:sz w:val="21"/>
                <w:szCs w:val="21"/>
                <w:highlight w:val="none"/>
              </w:rPr>
            </w:pPr>
            <w:r>
              <w:rPr>
                <w:rFonts w:ascii="Times New Roman" w:hAnsi="Times New Roman" w:cs="宋体"/>
                <w:color w:val="auto"/>
                <w:kern w:val="0"/>
                <w:sz w:val="21"/>
                <w:szCs w:val="21"/>
                <w:highlight w:val="none"/>
              </w:rPr>
              <w:t>一、参选报价</w:t>
            </w:r>
            <w:r>
              <w:rPr>
                <w:rFonts w:hint="eastAsia" w:ascii="Times New Roman" w:hAnsi="Times New Roman" w:cs="Times New Roman"/>
                <w:color w:val="auto"/>
                <w:kern w:val="0"/>
                <w:sz w:val="21"/>
                <w:szCs w:val="21"/>
                <w:highlight w:val="none"/>
              </w:rPr>
              <w:t>（不含税报价）</w:t>
            </w:r>
            <w:r>
              <w:rPr>
                <w:rFonts w:ascii="Times New Roman" w:hAnsi="Times New Roman" w:cs="宋体"/>
                <w:color w:val="auto"/>
                <w:kern w:val="0"/>
                <w:sz w:val="21"/>
                <w:szCs w:val="21"/>
                <w:highlight w:val="none"/>
              </w:rPr>
              <w:t>评分规则（分值：40分）</w:t>
            </w:r>
          </w:p>
          <w:p w14:paraId="47B89D58">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1.以各有效报价</w:t>
            </w:r>
            <w:r>
              <w:rPr>
                <w:rFonts w:hint="eastAsia" w:ascii="Times New Roman" w:hAnsi="Times New Roman" w:cs="Times New Roman"/>
                <w:color w:val="auto"/>
                <w:kern w:val="0"/>
                <w:sz w:val="21"/>
                <w:szCs w:val="21"/>
                <w:highlight w:val="none"/>
              </w:rPr>
              <w:t>（不含税报价）</w:t>
            </w:r>
            <w:r>
              <w:rPr>
                <w:rFonts w:hint="eastAsia" w:ascii="Times New Roman" w:hAnsi="Times New Roman" w:cs="宋体"/>
                <w:color w:val="auto"/>
                <w:kern w:val="0"/>
                <w:sz w:val="21"/>
                <w:szCs w:val="21"/>
                <w:highlight w:val="none"/>
              </w:rPr>
              <w:t>之和的平均价格作为评标基准价，基准分为</w:t>
            </w:r>
            <w:r>
              <w:rPr>
                <w:rFonts w:ascii="Times New Roman" w:hAnsi="Times New Roman" w:cs="宋体"/>
                <w:color w:val="auto"/>
                <w:kern w:val="0"/>
                <w:sz w:val="21"/>
                <w:szCs w:val="21"/>
                <w:highlight w:val="none"/>
              </w:rPr>
              <w:t>40</w:t>
            </w:r>
            <w:r>
              <w:rPr>
                <w:rFonts w:hint="eastAsia" w:ascii="Times New Roman" w:hAnsi="Times New Roman" w:cs="宋体"/>
                <w:color w:val="auto"/>
                <w:kern w:val="0"/>
                <w:sz w:val="21"/>
                <w:szCs w:val="21"/>
                <w:highlight w:val="none"/>
              </w:rPr>
              <w:t>分；</w:t>
            </w:r>
            <w:r>
              <w:rPr>
                <w:rFonts w:ascii="Times New Roman" w:hAnsi="Times New Roman" w:cs="宋体"/>
                <w:color w:val="auto"/>
                <w:kern w:val="0"/>
                <w:sz w:val="21"/>
                <w:szCs w:val="21"/>
                <w:highlight w:val="none"/>
              </w:rPr>
              <w:t>（有效供应商超过5家时，去掉一个最高价和一个最低价进行平均值计算）。</w:t>
            </w:r>
          </w:p>
          <w:p w14:paraId="61BBCC97">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r>
              <w:rPr>
                <w:rFonts w:ascii="Times New Roman" w:hAnsi="Times New Roman" w:cs="宋体"/>
                <w:color w:val="auto"/>
                <w:kern w:val="0"/>
                <w:sz w:val="21"/>
                <w:szCs w:val="21"/>
                <w:highlight w:val="none"/>
              </w:rPr>
              <w:t>。</w:t>
            </w:r>
          </w:p>
          <w:p w14:paraId="7CB9DF00">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3.报价向上每偏离基准价的1%扣1分，向下偏离基准价1</w:t>
            </w:r>
            <w:r>
              <w:rPr>
                <w:rFonts w:ascii="Times New Roman" w:hAnsi="Times New Roman" w:cs="宋体"/>
                <w:color w:val="auto"/>
                <w:kern w:val="0"/>
                <w:sz w:val="21"/>
                <w:szCs w:val="21"/>
                <w:highlight w:val="none"/>
              </w:rPr>
              <w:t>0</w:t>
            </w:r>
            <w:r>
              <w:rPr>
                <w:rFonts w:hint="eastAsia" w:ascii="Times New Roman" w:hAnsi="Times New Roman" w:cs="宋体"/>
                <w:color w:val="auto"/>
                <w:kern w:val="0"/>
                <w:sz w:val="21"/>
                <w:szCs w:val="21"/>
                <w:highlight w:val="none"/>
              </w:rPr>
              <w:t>%</w:t>
            </w:r>
            <w:r>
              <w:rPr>
                <w:rFonts w:ascii="Times New Roman" w:hAnsi="Times New Roman" w:cs="宋体"/>
                <w:color w:val="auto"/>
                <w:kern w:val="0"/>
                <w:sz w:val="21"/>
                <w:szCs w:val="21"/>
                <w:highlight w:val="none"/>
              </w:rPr>
              <w:t>以内的，不扣分；向下偏离基准价超过10%的，在向下偏离基准价10%的基础上，向下偏离每多超过1%扣0.5</w:t>
            </w:r>
            <w:r>
              <w:rPr>
                <w:rFonts w:hint="eastAsia" w:ascii="Times New Roman" w:hAnsi="Times New Roman" w:cs="宋体"/>
                <w:color w:val="auto"/>
                <w:kern w:val="0"/>
                <w:sz w:val="21"/>
                <w:szCs w:val="21"/>
                <w:highlight w:val="none"/>
              </w:rPr>
              <w:t>分，扣完为止，不足1%的不予扣减。</w:t>
            </w:r>
          </w:p>
        </w:tc>
      </w:tr>
      <w:tr w14:paraId="62F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21" w:type="dxa"/>
            <w:vMerge w:val="continue"/>
            <w:vAlign w:val="center"/>
          </w:tcPr>
          <w:p w14:paraId="37241CFB">
            <w:pPr>
              <w:rPr>
                <w:color w:val="auto"/>
                <w:highlight w:val="none"/>
              </w:rPr>
            </w:pPr>
          </w:p>
        </w:tc>
        <w:tc>
          <w:tcPr>
            <w:tcW w:w="1559" w:type="dxa"/>
            <w:vMerge w:val="continue"/>
            <w:vAlign w:val="center"/>
          </w:tcPr>
          <w:p w14:paraId="57B7D0EB">
            <w:pPr>
              <w:rPr>
                <w:color w:val="auto"/>
                <w:highlight w:val="none"/>
              </w:rPr>
            </w:pPr>
          </w:p>
        </w:tc>
        <w:tc>
          <w:tcPr>
            <w:tcW w:w="1708" w:type="dxa"/>
            <w:gridSpan w:val="2"/>
            <w:vMerge w:val="continue"/>
            <w:vAlign w:val="center"/>
          </w:tcPr>
          <w:p w14:paraId="2B710A93">
            <w:pPr>
              <w:rPr>
                <w:color w:val="auto"/>
                <w:highlight w:val="none"/>
              </w:rPr>
            </w:pPr>
          </w:p>
        </w:tc>
        <w:tc>
          <w:tcPr>
            <w:tcW w:w="5805" w:type="dxa"/>
            <w:vAlign w:val="center"/>
          </w:tcPr>
          <w:p w14:paraId="16357557">
            <w:pPr>
              <w:spacing w:line="360" w:lineRule="auto"/>
              <w:ind w:firstLine="0" w:firstLineChars="0"/>
              <w:rPr>
                <w:rFonts w:ascii="宋体" w:cs="宋体"/>
                <w:color w:val="auto"/>
                <w:kern w:val="0"/>
                <w:sz w:val="21"/>
                <w:szCs w:val="21"/>
                <w:highlight w:val="none"/>
              </w:rPr>
            </w:pPr>
            <w:r>
              <w:rPr>
                <w:rFonts w:ascii="Times New Roman" w:hAnsi="Times New Roman" w:cs="宋体"/>
                <w:color w:val="auto"/>
                <w:kern w:val="0"/>
                <w:sz w:val="21"/>
                <w:szCs w:val="21"/>
                <w:highlight w:val="none"/>
              </w:rPr>
              <w:t>二、商务部分评分规则（分值：25分）</w:t>
            </w:r>
          </w:p>
          <w:p w14:paraId="0B52047E">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 xml:space="preserve">1. </w:t>
            </w:r>
            <w:r>
              <w:rPr>
                <w:rFonts w:hint="eastAsia" w:ascii="宋体" w:cs="宋体"/>
                <w:color w:val="auto"/>
                <w:kern w:val="0"/>
                <w:sz w:val="21"/>
                <w:szCs w:val="21"/>
                <w:highlight w:val="none"/>
              </w:rPr>
              <w:t>参选人管理资质（分值：</w:t>
            </w:r>
            <w:r>
              <w:rPr>
                <w:rFonts w:ascii="宋体" w:cs="宋体"/>
                <w:color w:val="auto"/>
                <w:kern w:val="0"/>
                <w:sz w:val="21"/>
                <w:szCs w:val="21"/>
                <w:highlight w:val="none"/>
              </w:rPr>
              <w:t>4</w:t>
            </w:r>
            <w:r>
              <w:rPr>
                <w:rFonts w:hint="eastAsia" w:ascii="宋体" w:cs="宋体"/>
                <w:color w:val="auto"/>
                <w:kern w:val="0"/>
                <w:sz w:val="21"/>
                <w:szCs w:val="21"/>
                <w:highlight w:val="none"/>
              </w:rPr>
              <w:t>分）</w:t>
            </w:r>
          </w:p>
          <w:p w14:paraId="2ED91F3E">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（1）有ISO体系相关认证，如：ISO9001（质量管理）/ISO20000（服务管理）/ISO27001（信息安全）/ISO22301（业务连续性），每项有一项认证得0.5分；满分</w:t>
            </w:r>
            <w:r>
              <w:rPr>
                <w:rFonts w:ascii="宋体" w:cs="宋体"/>
                <w:color w:val="auto"/>
                <w:kern w:val="0"/>
                <w:sz w:val="21"/>
                <w:szCs w:val="21"/>
                <w:highlight w:val="none"/>
              </w:rPr>
              <w:t>2</w:t>
            </w:r>
            <w:r>
              <w:rPr>
                <w:rFonts w:hint="eastAsia" w:ascii="宋体" w:cs="宋体"/>
                <w:color w:val="auto"/>
                <w:kern w:val="0"/>
                <w:sz w:val="21"/>
                <w:szCs w:val="21"/>
                <w:highlight w:val="none"/>
              </w:rPr>
              <w:t>分。</w:t>
            </w:r>
            <w:r>
              <w:rPr>
                <w:rFonts w:hint="eastAsia" w:ascii="宋体" w:cs="宋体"/>
                <w:color w:val="auto"/>
                <w:kern w:val="0"/>
                <w:sz w:val="21"/>
                <w:szCs w:val="21"/>
                <w:highlight w:val="none"/>
              </w:rPr>
              <w:cr/>
            </w:r>
            <w:r>
              <w:rPr>
                <w:rFonts w:hint="eastAsia" w:ascii="宋体" w:cs="宋体"/>
                <w:color w:val="auto"/>
                <w:kern w:val="0"/>
                <w:sz w:val="21"/>
                <w:szCs w:val="21"/>
                <w:highlight w:val="none"/>
              </w:rPr>
              <w:t>（2）有软件成熟度相关认证，CMMI 3级以下不得分</w:t>
            </w:r>
            <w:r>
              <w:rPr>
                <w:rFonts w:ascii="宋体" w:cs="宋体"/>
                <w:color w:val="auto"/>
                <w:kern w:val="0"/>
                <w:sz w:val="21"/>
                <w:szCs w:val="21"/>
                <w:highlight w:val="none"/>
              </w:rPr>
              <w:t>，</w:t>
            </w:r>
            <w:r>
              <w:rPr>
                <w:rFonts w:hint="eastAsia" w:ascii="宋体" w:cs="宋体"/>
                <w:color w:val="auto"/>
                <w:kern w:val="0"/>
                <w:sz w:val="21"/>
                <w:szCs w:val="21"/>
                <w:highlight w:val="none"/>
              </w:rPr>
              <w:t>CMMI 3级得</w:t>
            </w:r>
            <w:r>
              <w:rPr>
                <w:rFonts w:ascii="宋体" w:cs="宋体"/>
                <w:color w:val="auto"/>
                <w:kern w:val="0"/>
                <w:sz w:val="21"/>
                <w:szCs w:val="21"/>
                <w:highlight w:val="none"/>
              </w:rPr>
              <w:t>1</w:t>
            </w:r>
            <w:r>
              <w:rPr>
                <w:rFonts w:hint="eastAsia" w:ascii="宋体" w:cs="宋体"/>
                <w:color w:val="auto"/>
                <w:kern w:val="0"/>
                <w:sz w:val="21"/>
                <w:szCs w:val="21"/>
                <w:highlight w:val="none"/>
              </w:rPr>
              <w:t>分，CMMI 4级得</w:t>
            </w:r>
            <w:r>
              <w:rPr>
                <w:rFonts w:ascii="宋体" w:cs="宋体"/>
                <w:color w:val="auto"/>
                <w:kern w:val="0"/>
                <w:sz w:val="21"/>
                <w:szCs w:val="21"/>
                <w:highlight w:val="none"/>
              </w:rPr>
              <w:t>1.5</w:t>
            </w:r>
            <w:r>
              <w:rPr>
                <w:rFonts w:hint="eastAsia" w:ascii="宋体" w:cs="宋体"/>
                <w:color w:val="auto"/>
                <w:kern w:val="0"/>
                <w:sz w:val="21"/>
                <w:szCs w:val="21"/>
                <w:highlight w:val="none"/>
              </w:rPr>
              <w:t>分，CMMI 5级得</w:t>
            </w:r>
            <w:r>
              <w:rPr>
                <w:rFonts w:ascii="宋体" w:cs="宋体"/>
                <w:color w:val="auto"/>
                <w:kern w:val="0"/>
                <w:sz w:val="21"/>
                <w:szCs w:val="21"/>
                <w:highlight w:val="none"/>
              </w:rPr>
              <w:t>2</w:t>
            </w:r>
            <w:r>
              <w:rPr>
                <w:rFonts w:hint="eastAsia" w:ascii="宋体" w:cs="宋体"/>
                <w:color w:val="auto"/>
                <w:kern w:val="0"/>
                <w:sz w:val="21"/>
                <w:szCs w:val="21"/>
                <w:highlight w:val="none"/>
              </w:rPr>
              <w:t>分；满分</w:t>
            </w:r>
            <w:r>
              <w:rPr>
                <w:rFonts w:ascii="宋体" w:cs="宋体"/>
                <w:color w:val="auto"/>
                <w:kern w:val="0"/>
                <w:sz w:val="21"/>
                <w:szCs w:val="21"/>
                <w:highlight w:val="none"/>
              </w:rPr>
              <w:t>2</w:t>
            </w:r>
            <w:r>
              <w:rPr>
                <w:rFonts w:hint="eastAsia" w:ascii="宋体" w:cs="宋体"/>
                <w:color w:val="auto"/>
                <w:kern w:val="0"/>
                <w:sz w:val="21"/>
                <w:szCs w:val="21"/>
                <w:highlight w:val="none"/>
              </w:rPr>
              <w:t>分。</w:t>
            </w:r>
          </w:p>
          <w:p w14:paraId="030A3B53">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注：需提供证书复印件。</w:t>
            </w:r>
          </w:p>
          <w:p w14:paraId="69B9CA5D">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2</w:t>
            </w:r>
            <w:r>
              <w:rPr>
                <w:rFonts w:hint="eastAsia" w:ascii="宋体" w:cs="宋体"/>
                <w:color w:val="auto"/>
                <w:kern w:val="0"/>
                <w:sz w:val="21"/>
                <w:szCs w:val="21"/>
                <w:highlight w:val="none"/>
              </w:rPr>
              <w:t>.</w:t>
            </w:r>
            <w:r>
              <w:rPr>
                <w:rFonts w:ascii="宋体" w:cs="宋体"/>
                <w:color w:val="auto"/>
                <w:kern w:val="0"/>
                <w:sz w:val="21"/>
                <w:szCs w:val="21"/>
                <w:highlight w:val="none"/>
              </w:rPr>
              <w:t>参选人</w:t>
            </w:r>
            <w:r>
              <w:rPr>
                <w:rFonts w:hint="eastAsia" w:ascii="宋体" w:cs="宋体"/>
                <w:color w:val="auto"/>
                <w:kern w:val="0"/>
                <w:sz w:val="21"/>
                <w:szCs w:val="21"/>
                <w:highlight w:val="none"/>
              </w:rPr>
              <w:t>实施案例（分值：</w:t>
            </w:r>
            <w:r>
              <w:rPr>
                <w:rFonts w:ascii="宋体" w:cs="宋体"/>
                <w:color w:val="auto"/>
                <w:kern w:val="0"/>
                <w:sz w:val="21"/>
                <w:szCs w:val="21"/>
                <w:highlight w:val="none"/>
              </w:rPr>
              <w:t>7</w:t>
            </w:r>
            <w:r>
              <w:rPr>
                <w:rFonts w:hint="eastAsia" w:ascii="宋体" w:cs="宋体"/>
                <w:color w:val="auto"/>
                <w:kern w:val="0"/>
                <w:sz w:val="21"/>
                <w:szCs w:val="21"/>
                <w:highlight w:val="none"/>
              </w:rPr>
              <w:t>分）</w:t>
            </w:r>
          </w:p>
          <w:p w14:paraId="25AC01AC">
            <w:pPr>
              <w:autoSpaceDE/>
              <w:autoSpaceDN/>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有效案例需同时满足以下条件：</w:t>
            </w:r>
          </w:p>
          <w:p w14:paraId="4FAC8FEE">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（1）</w:t>
            </w:r>
            <w:r>
              <w:rPr>
                <w:rFonts w:ascii="Times New Roman" w:hAnsi="Times New Roman" w:cs="Times New Roman"/>
                <w:color w:val="auto"/>
                <w:kern w:val="0"/>
                <w:sz w:val="21"/>
                <w:szCs w:val="21"/>
                <w:highlight w:val="none"/>
              </w:rPr>
              <w:t>2021年1月1日至</w:t>
            </w:r>
            <w:r>
              <w:rPr>
                <w:rFonts w:hint="eastAsia" w:ascii="Times New Roman" w:hAnsi="Times New Roman" w:cs="Times New Roman"/>
                <w:color w:val="auto"/>
                <w:kern w:val="0"/>
                <w:sz w:val="21"/>
                <w:szCs w:val="21"/>
                <w:highlight w:val="none"/>
              </w:rPr>
              <w:t>2</w:t>
            </w:r>
            <w:r>
              <w:rPr>
                <w:rFonts w:ascii="Times New Roman" w:hAnsi="Times New Roman" w:cs="Times New Roman"/>
                <w:color w:val="auto"/>
                <w:kern w:val="0"/>
                <w:sz w:val="21"/>
                <w:szCs w:val="21"/>
                <w:highlight w:val="none"/>
              </w:rPr>
              <w:t>024年</w:t>
            </w:r>
            <w:r>
              <w:rPr>
                <w:rFonts w:hint="eastAsia" w:ascii="Times New Roman" w:hAnsi="Times New Roman" w:cs="Times New Roman"/>
                <w:color w:val="auto"/>
                <w:kern w:val="0"/>
                <w:sz w:val="21"/>
                <w:szCs w:val="21"/>
                <w:highlight w:val="none"/>
              </w:rPr>
              <w:t>3月3</w:t>
            </w:r>
            <w:r>
              <w:rPr>
                <w:rFonts w:ascii="Times New Roman" w:hAnsi="Times New Roman" w:cs="Times New Roman"/>
                <w:color w:val="auto"/>
                <w:kern w:val="0"/>
                <w:sz w:val="21"/>
                <w:szCs w:val="21"/>
                <w:highlight w:val="none"/>
              </w:rPr>
              <w:t>1日（以合同签订日期为准）的实施案例。</w:t>
            </w:r>
          </w:p>
          <w:p w14:paraId="08A79BA9">
            <w:pPr>
              <w:autoSpaceDE/>
              <w:autoSpaceDN/>
              <w:spacing w:line="360" w:lineRule="auto"/>
              <w:ind w:firstLine="0" w:firstLineChars="0"/>
              <w:rPr>
                <w:rFonts w:ascii="Times New Roman" w:hAnsi="Times New Roman" w:cs="Times New Roman"/>
                <w:color w:val="auto"/>
                <w:kern w:val="0"/>
                <w:sz w:val="21"/>
                <w:szCs w:val="21"/>
                <w:highlight w:val="none"/>
              </w:rPr>
            </w:pPr>
            <w:r>
              <w:rPr>
                <w:rFonts w:ascii="宋体" w:cs="宋体"/>
                <w:color w:val="auto"/>
                <w:kern w:val="0"/>
                <w:sz w:val="21"/>
                <w:szCs w:val="21"/>
                <w:highlight w:val="none"/>
              </w:rPr>
              <w:t>（2）</w:t>
            </w:r>
            <w:r>
              <w:rPr>
                <w:rFonts w:ascii="Times New Roman" w:hAnsi="Times New Roman" w:cs="Times New Roman"/>
                <w:color w:val="auto"/>
                <w:kern w:val="0"/>
                <w:sz w:val="21"/>
                <w:szCs w:val="21"/>
                <w:highlight w:val="none"/>
              </w:rPr>
              <w:t>有效案例须满足参选人资格要求条件基础上进行评分，参选人资格审查的案例不纳入评分。</w:t>
            </w:r>
          </w:p>
          <w:p w14:paraId="00CC7209">
            <w:pPr>
              <w:autoSpaceDE/>
              <w:autoSpaceDN/>
              <w:spacing w:line="360" w:lineRule="auto"/>
              <w:ind w:firstLine="0" w:firstLineChars="0"/>
              <w:rPr>
                <w:rFonts w:ascii="宋体" w:cs="宋体"/>
                <w:color w:val="auto"/>
                <w:kern w:val="0"/>
                <w:sz w:val="21"/>
                <w:szCs w:val="21"/>
                <w:highlight w:val="none"/>
              </w:rPr>
            </w:pPr>
            <w:r>
              <w:rPr>
                <w:rFonts w:ascii="Times New Roman" w:hAnsi="Times New Roman" w:cs="Times New Roman"/>
                <w:color w:val="auto"/>
                <w:kern w:val="0"/>
                <w:sz w:val="21"/>
                <w:szCs w:val="21"/>
                <w:highlight w:val="none"/>
              </w:rPr>
              <w:t>（3）有效案例</w:t>
            </w:r>
            <w:r>
              <w:rPr>
                <w:rFonts w:ascii="宋体" w:cs="宋体"/>
                <w:color w:val="auto"/>
                <w:kern w:val="0"/>
                <w:sz w:val="21"/>
                <w:szCs w:val="21"/>
                <w:highlight w:val="none"/>
              </w:rPr>
              <w:t>须是</w:t>
            </w:r>
            <w:r>
              <w:rPr>
                <w:rFonts w:hint="eastAsia" w:ascii="宋体" w:cs="宋体"/>
                <w:color w:val="auto"/>
                <w:kern w:val="0"/>
                <w:sz w:val="21"/>
                <w:szCs w:val="21"/>
                <w:highlight w:val="none"/>
              </w:rPr>
              <w:t>首次建设</w:t>
            </w:r>
            <w:r>
              <w:rPr>
                <w:rFonts w:ascii="宋体" w:cs="宋体"/>
                <w:color w:val="auto"/>
                <w:kern w:val="0"/>
                <w:sz w:val="21"/>
                <w:szCs w:val="21"/>
                <w:highlight w:val="none"/>
              </w:rPr>
              <w:t>或重新建设的全栈国产化（信创）</w:t>
            </w:r>
            <w:r>
              <w:rPr>
                <w:rFonts w:hint="eastAsia" w:ascii="宋体" w:cs="宋体"/>
                <w:color w:val="auto"/>
                <w:kern w:val="0"/>
                <w:sz w:val="21"/>
                <w:szCs w:val="21"/>
                <w:highlight w:val="none"/>
              </w:rPr>
              <w:t>项目，</w:t>
            </w:r>
            <w:r>
              <w:rPr>
                <w:rFonts w:ascii="宋体" w:cs="宋体"/>
                <w:color w:val="auto"/>
                <w:kern w:val="0"/>
                <w:sz w:val="21"/>
                <w:szCs w:val="21"/>
                <w:highlight w:val="none"/>
              </w:rPr>
              <w:t>优化升级</w:t>
            </w:r>
            <w:r>
              <w:rPr>
                <w:rFonts w:hint="eastAsia" w:ascii="宋体" w:cs="宋体"/>
                <w:color w:val="auto"/>
                <w:kern w:val="0"/>
                <w:sz w:val="21"/>
                <w:szCs w:val="21"/>
                <w:highlight w:val="none"/>
              </w:rPr>
              <w:t>项目不算</w:t>
            </w:r>
            <w:r>
              <w:rPr>
                <w:rFonts w:ascii="宋体" w:cs="宋体"/>
                <w:color w:val="auto"/>
                <w:kern w:val="0"/>
                <w:sz w:val="21"/>
                <w:szCs w:val="21"/>
                <w:highlight w:val="none"/>
              </w:rPr>
              <w:t>。</w:t>
            </w:r>
          </w:p>
          <w:p w14:paraId="24C2F760">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（4）多个案例属于</w:t>
            </w:r>
            <w:r>
              <w:rPr>
                <w:rFonts w:hint="eastAsia" w:ascii="宋体" w:cs="宋体"/>
                <w:color w:val="auto"/>
                <w:kern w:val="0"/>
                <w:sz w:val="21"/>
                <w:szCs w:val="21"/>
                <w:highlight w:val="none"/>
              </w:rPr>
              <w:t>同一银行不同分、支行，或同一银行多个案例，视为一个</w:t>
            </w:r>
            <w:r>
              <w:rPr>
                <w:rFonts w:ascii="宋体" w:cs="宋体"/>
                <w:color w:val="auto"/>
                <w:kern w:val="0"/>
                <w:sz w:val="21"/>
                <w:szCs w:val="21"/>
                <w:highlight w:val="none"/>
              </w:rPr>
              <w:t>有效</w:t>
            </w:r>
            <w:r>
              <w:rPr>
                <w:rFonts w:hint="eastAsia" w:ascii="宋体" w:cs="宋体"/>
                <w:color w:val="auto"/>
                <w:kern w:val="0"/>
                <w:sz w:val="21"/>
                <w:szCs w:val="21"/>
                <w:highlight w:val="none"/>
              </w:rPr>
              <w:t>案例</w:t>
            </w:r>
            <w:r>
              <w:rPr>
                <w:rFonts w:ascii="宋体" w:cs="宋体"/>
                <w:color w:val="auto"/>
                <w:kern w:val="0"/>
                <w:sz w:val="21"/>
                <w:szCs w:val="21"/>
                <w:highlight w:val="none"/>
              </w:rPr>
              <w:t>。</w:t>
            </w:r>
          </w:p>
          <w:p w14:paraId="4D789AFC">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（5）有效案例须是</w:t>
            </w:r>
            <w:r>
              <w:rPr>
                <w:rFonts w:hint="eastAsia" w:ascii="宋体" w:cs="宋体"/>
                <w:color w:val="auto"/>
                <w:kern w:val="0"/>
                <w:sz w:val="21"/>
                <w:szCs w:val="21"/>
                <w:highlight w:val="none"/>
              </w:rPr>
              <w:t>全国性股份制商业银行或城市商业银行</w:t>
            </w:r>
            <w:r>
              <w:rPr>
                <w:rFonts w:ascii="宋体" w:cs="宋体"/>
                <w:color w:val="auto"/>
                <w:kern w:val="0"/>
                <w:sz w:val="21"/>
                <w:szCs w:val="21"/>
                <w:highlight w:val="none"/>
              </w:rPr>
              <w:t>及</w:t>
            </w:r>
            <w:r>
              <w:rPr>
                <w:rFonts w:hint="eastAsia" w:ascii="宋体" w:cs="宋体"/>
                <w:color w:val="auto"/>
                <w:kern w:val="0"/>
                <w:sz w:val="21"/>
                <w:szCs w:val="21"/>
                <w:highlight w:val="none"/>
              </w:rPr>
              <w:t>农村商业银行（含信用社）全行级审计信息系统项目</w:t>
            </w:r>
            <w:r>
              <w:rPr>
                <w:rFonts w:ascii="宋体" w:cs="宋体"/>
                <w:color w:val="auto"/>
                <w:kern w:val="0"/>
                <w:sz w:val="21"/>
                <w:szCs w:val="21"/>
                <w:highlight w:val="none"/>
              </w:rPr>
              <w:t>。</w:t>
            </w:r>
          </w:p>
          <w:p w14:paraId="0E4516D2">
            <w:pPr>
              <w:autoSpaceDE/>
              <w:autoSpaceDN/>
              <w:spacing w:line="360" w:lineRule="auto"/>
              <w:ind w:firstLine="0" w:firstLineChars="0"/>
              <w:rPr>
                <w:rFonts w:ascii="宋体" w:cs="宋体"/>
                <w:color w:val="auto"/>
                <w:kern w:val="0"/>
                <w:sz w:val="21"/>
                <w:szCs w:val="21"/>
                <w:highlight w:val="none"/>
              </w:rPr>
            </w:pPr>
            <w:r>
              <w:rPr>
                <w:rFonts w:ascii="Times New Roman" w:hAnsi="Times New Roman" w:cs="Times New Roman"/>
                <w:color w:val="auto"/>
                <w:kern w:val="0"/>
                <w:sz w:val="21"/>
                <w:szCs w:val="21"/>
                <w:highlight w:val="none"/>
              </w:rPr>
              <w:t>计分规则：</w:t>
            </w:r>
          </w:p>
          <w:p w14:paraId="29D352CA">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参选人</w:t>
            </w:r>
            <w:r>
              <w:rPr>
                <w:rFonts w:hint="eastAsia" w:ascii="宋体" w:cs="宋体"/>
                <w:color w:val="auto"/>
                <w:kern w:val="0"/>
                <w:sz w:val="21"/>
                <w:szCs w:val="21"/>
                <w:highlight w:val="none"/>
              </w:rPr>
              <w:t>具有</w:t>
            </w:r>
            <w:r>
              <w:rPr>
                <w:rFonts w:ascii="宋体" w:cs="宋体"/>
                <w:color w:val="auto"/>
                <w:kern w:val="0"/>
                <w:sz w:val="21"/>
                <w:szCs w:val="21"/>
                <w:highlight w:val="none"/>
              </w:rPr>
              <w:t>有效</w:t>
            </w:r>
            <w:r>
              <w:rPr>
                <w:rFonts w:hint="eastAsia" w:ascii="宋体" w:cs="宋体"/>
                <w:color w:val="auto"/>
                <w:kern w:val="0"/>
                <w:sz w:val="21"/>
                <w:szCs w:val="21"/>
                <w:highlight w:val="none"/>
              </w:rPr>
              <w:t>案例1个得1分，满分7分。</w:t>
            </w:r>
          </w:p>
          <w:p w14:paraId="3BEC1BD4">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提供项目</w:t>
            </w:r>
            <w:r>
              <w:rPr>
                <w:rFonts w:ascii="Times New Roman" w:hAnsi="Times New Roman" w:cs="Times New Roman"/>
                <w:color w:val="auto"/>
                <w:kern w:val="0"/>
                <w:sz w:val="21"/>
                <w:szCs w:val="21"/>
                <w:highlight w:val="none"/>
              </w:rPr>
              <w:t>合同关键页包括</w:t>
            </w:r>
            <w:r>
              <w:rPr>
                <w:rFonts w:ascii="Times New Roman" w:hAnsi="Times New Roman" w:cs="Times New Roman"/>
                <w:bCs/>
                <w:color w:val="auto"/>
                <w:kern w:val="0"/>
                <w:sz w:val="21"/>
                <w:szCs w:val="21"/>
                <w:highlight w:val="none"/>
              </w:rPr>
              <w:t>甲乙双方名称、双方印章、项目/产品的名称、合同/中标通知书签订时间、需求内容页等。</w:t>
            </w:r>
            <w:r>
              <w:rPr>
                <w:rFonts w:hint="eastAsia" w:ascii="宋体" w:cs="宋体"/>
                <w:color w:val="auto"/>
                <w:kern w:val="0"/>
                <w:sz w:val="21"/>
                <w:szCs w:val="21"/>
                <w:highlight w:val="none"/>
              </w:rPr>
              <w:t>需提供相关国产化案例基线产品的适配证明材料</w:t>
            </w:r>
            <w:r>
              <w:rPr>
                <w:rFonts w:ascii="宋体" w:cs="宋体"/>
                <w:color w:val="auto"/>
                <w:kern w:val="0"/>
                <w:sz w:val="21"/>
                <w:szCs w:val="21"/>
                <w:highlight w:val="none"/>
              </w:rPr>
              <w:t>。</w:t>
            </w:r>
          </w:p>
          <w:p w14:paraId="62A5E4C0">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3</w:t>
            </w:r>
            <w:r>
              <w:rPr>
                <w:rFonts w:hint="eastAsia" w:ascii="宋体" w:cs="宋体"/>
                <w:color w:val="auto"/>
                <w:kern w:val="0"/>
                <w:sz w:val="21"/>
                <w:szCs w:val="21"/>
                <w:highlight w:val="none"/>
              </w:rPr>
              <w:t>.参选人服务能力要求（分值：</w:t>
            </w:r>
            <w:r>
              <w:rPr>
                <w:rFonts w:ascii="宋体" w:cs="宋体"/>
                <w:color w:val="auto"/>
                <w:kern w:val="0"/>
                <w:sz w:val="21"/>
                <w:szCs w:val="21"/>
                <w:highlight w:val="none"/>
              </w:rPr>
              <w:t>3</w:t>
            </w:r>
            <w:r>
              <w:rPr>
                <w:rFonts w:hint="eastAsia" w:ascii="宋体" w:cs="宋体"/>
                <w:color w:val="auto"/>
                <w:kern w:val="0"/>
                <w:sz w:val="21"/>
                <w:szCs w:val="21"/>
                <w:highlight w:val="none"/>
              </w:rPr>
              <w:t>分）</w:t>
            </w:r>
          </w:p>
          <w:p w14:paraId="2706DB96">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在重庆或成都有常驻团队，且在当地缴纳社保的员工</w:t>
            </w:r>
            <w:r>
              <w:rPr>
                <w:rFonts w:ascii="宋体" w:cs="宋体"/>
                <w:color w:val="auto"/>
                <w:kern w:val="0"/>
                <w:sz w:val="21"/>
                <w:szCs w:val="21"/>
                <w:highlight w:val="none"/>
              </w:rPr>
              <w:t>10（含）到15人得1分，15（含）到20人得2分，20</w:t>
            </w:r>
            <w:r>
              <w:rPr>
                <w:rFonts w:hint="eastAsia" w:ascii="宋体" w:cs="宋体"/>
                <w:color w:val="auto"/>
                <w:kern w:val="0"/>
                <w:sz w:val="21"/>
                <w:szCs w:val="21"/>
                <w:highlight w:val="none"/>
              </w:rPr>
              <w:t>人（含）</w:t>
            </w:r>
            <w:r>
              <w:rPr>
                <w:rFonts w:ascii="宋体" w:cs="宋体"/>
                <w:color w:val="auto"/>
                <w:kern w:val="0"/>
                <w:sz w:val="21"/>
                <w:szCs w:val="21"/>
                <w:highlight w:val="none"/>
              </w:rPr>
              <w:t>以上</w:t>
            </w:r>
            <w:r>
              <w:rPr>
                <w:rFonts w:hint="eastAsia" w:ascii="宋体" w:cs="宋体"/>
                <w:color w:val="auto"/>
                <w:kern w:val="0"/>
                <w:sz w:val="21"/>
                <w:szCs w:val="21"/>
                <w:highlight w:val="none"/>
              </w:rPr>
              <w:t>，得</w:t>
            </w:r>
            <w:r>
              <w:rPr>
                <w:rFonts w:ascii="宋体" w:cs="宋体"/>
                <w:color w:val="auto"/>
                <w:kern w:val="0"/>
                <w:sz w:val="21"/>
                <w:szCs w:val="21"/>
                <w:highlight w:val="none"/>
              </w:rPr>
              <w:t>3</w:t>
            </w:r>
            <w:r>
              <w:rPr>
                <w:rFonts w:hint="eastAsia" w:ascii="宋体" w:cs="宋体"/>
                <w:color w:val="auto"/>
                <w:kern w:val="0"/>
                <w:sz w:val="21"/>
                <w:szCs w:val="21"/>
                <w:highlight w:val="none"/>
              </w:rPr>
              <w:t>分，不满足条件不得分。</w:t>
            </w:r>
            <w:r>
              <w:rPr>
                <w:rFonts w:ascii="宋体" w:cs="宋体"/>
                <w:color w:val="auto"/>
                <w:kern w:val="0"/>
                <w:sz w:val="21"/>
                <w:szCs w:val="21"/>
                <w:highlight w:val="none"/>
              </w:rPr>
              <w:t>要求：</w:t>
            </w:r>
            <w:r>
              <w:rPr>
                <w:rFonts w:hint="eastAsia" w:ascii="宋体" w:cs="宋体"/>
                <w:color w:val="auto"/>
                <w:kern w:val="0"/>
                <w:sz w:val="21"/>
                <w:szCs w:val="21"/>
                <w:highlight w:val="none"/>
              </w:rPr>
              <w:t>需提供员工缴纳社保证明。</w:t>
            </w:r>
          </w:p>
          <w:p w14:paraId="47287F16">
            <w:pPr>
              <w:autoSpaceDE/>
              <w:autoSpaceDN/>
              <w:spacing w:line="360" w:lineRule="auto"/>
              <w:ind w:firstLine="0" w:firstLineChars="0"/>
              <w:rPr>
                <w:rFonts w:ascii="宋体" w:cs="宋体"/>
                <w:color w:val="auto"/>
                <w:kern w:val="0"/>
                <w:sz w:val="21"/>
                <w:szCs w:val="21"/>
                <w:highlight w:val="none"/>
              </w:rPr>
            </w:pPr>
            <w:r>
              <w:rPr>
                <w:rFonts w:ascii="宋体" w:cs="宋体"/>
                <w:color w:val="auto"/>
                <w:kern w:val="0"/>
                <w:sz w:val="21"/>
                <w:szCs w:val="21"/>
                <w:highlight w:val="none"/>
              </w:rPr>
              <w:t>4.</w:t>
            </w:r>
            <w:r>
              <w:rPr>
                <w:rFonts w:hint="eastAsia" w:ascii="宋体" w:cs="宋体"/>
                <w:color w:val="auto"/>
                <w:kern w:val="0"/>
                <w:sz w:val="21"/>
                <w:szCs w:val="21"/>
                <w:highlight w:val="none"/>
              </w:rPr>
              <w:t>实施团队要求</w:t>
            </w:r>
            <w:r>
              <w:rPr>
                <w:rFonts w:ascii="宋体" w:cs="宋体"/>
                <w:color w:val="auto"/>
                <w:kern w:val="0"/>
                <w:sz w:val="21"/>
                <w:szCs w:val="21"/>
                <w:highlight w:val="none"/>
              </w:rPr>
              <w:t>（分值：8分）</w:t>
            </w:r>
          </w:p>
          <w:p w14:paraId="11FD921E">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（1）</w:t>
            </w:r>
            <w:r>
              <w:rPr>
                <w:rFonts w:ascii="宋体" w:cs="宋体"/>
                <w:color w:val="auto"/>
                <w:kern w:val="0"/>
                <w:sz w:val="21"/>
                <w:szCs w:val="21"/>
                <w:highlight w:val="none"/>
              </w:rPr>
              <w:t>现场</w:t>
            </w:r>
            <w:r>
              <w:rPr>
                <w:rFonts w:hint="eastAsia" w:ascii="宋体" w:cs="宋体"/>
                <w:color w:val="auto"/>
                <w:kern w:val="0"/>
                <w:sz w:val="21"/>
                <w:szCs w:val="21"/>
                <w:highlight w:val="none"/>
              </w:rPr>
              <w:t>项目经理：具有</w:t>
            </w:r>
            <w:r>
              <w:rPr>
                <w:rFonts w:ascii="宋体" w:cs="宋体"/>
                <w:color w:val="auto"/>
                <w:kern w:val="0"/>
                <w:sz w:val="21"/>
                <w:szCs w:val="21"/>
                <w:highlight w:val="none"/>
              </w:rPr>
              <w:t>8</w:t>
            </w:r>
            <w:r>
              <w:rPr>
                <w:rFonts w:hint="eastAsia" w:ascii="宋体" w:cs="宋体"/>
                <w:color w:val="auto"/>
                <w:kern w:val="0"/>
                <w:sz w:val="21"/>
                <w:szCs w:val="21"/>
                <w:highlight w:val="none"/>
              </w:rPr>
              <w:t>年（含）以上审计系统从业经验，并具备</w:t>
            </w:r>
            <w:r>
              <w:rPr>
                <w:rFonts w:ascii="宋体" w:cs="宋体"/>
                <w:color w:val="auto"/>
                <w:kern w:val="0"/>
                <w:sz w:val="21"/>
                <w:szCs w:val="21"/>
                <w:highlight w:val="none"/>
              </w:rPr>
              <w:t>6</w:t>
            </w:r>
            <w:r>
              <w:rPr>
                <w:rFonts w:hint="eastAsia" w:ascii="宋体" w:cs="宋体"/>
                <w:color w:val="auto"/>
                <w:kern w:val="0"/>
                <w:sz w:val="21"/>
                <w:szCs w:val="21"/>
                <w:highlight w:val="none"/>
              </w:rPr>
              <w:t>个（含）以上全国性股份制商业银行、城商行或农商行审计系统项目经验，</w:t>
            </w:r>
            <w:r>
              <w:rPr>
                <w:rFonts w:ascii="宋体" w:cs="宋体"/>
                <w:color w:val="auto"/>
                <w:kern w:val="0"/>
                <w:sz w:val="21"/>
                <w:szCs w:val="21"/>
                <w:highlight w:val="none"/>
              </w:rPr>
              <w:t>得3</w:t>
            </w:r>
            <w:r>
              <w:rPr>
                <w:rFonts w:hint="eastAsia" w:ascii="宋体" w:cs="宋体"/>
                <w:color w:val="auto"/>
                <w:kern w:val="0"/>
                <w:sz w:val="21"/>
                <w:szCs w:val="21"/>
                <w:highlight w:val="none"/>
              </w:rPr>
              <w:t>分；具有</w:t>
            </w:r>
            <w:r>
              <w:rPr>
                <w:rFonts w:ascii="宋体" w:cs="宋体"/>
                <w:color w:val="auto"/>
                <w:kern w:val="0"/>
                <w:sz w:val="21"/>
                <w:szCs w:val="21"/>
                <w:highlight w:val="none"/>
              </w:rPr>
              <w:t>6</w:t>
            </w:r>
            <w:r>
              <w:rPr>
                <w:rFonts w:hint="eastAsia" w:ascii="宋体" w:cs="宋体"/>
                <w:color w:val="auto"/>
                <w:kern w:val="0"/>
                <w:sz w:val="21"/>
                <w:szCs w:val="21"/>
                <w:highlight w:val="none"/>
              </w:rPr>
              <w:t>年（含）以上审计系统从业经验，并具备</w:t>
            </w:r>
            <w:r>
              <w:rPr>
                <w:rFonts w:ascii="宋体" w:cs="宋体"/>
                <w:color w:val="auto"/>
                <w:kern w:val="0"/>
                <w:sz w:val="21"/>
                <w:szCs w:val="21"/>
                <w:highlight w:val="none"/>
              </w:rPr>
              <w:t>4</w:t>
            </w:r>
            <w:r>
              <w:rPr>
                <w:rFonts w:hint="eastAsia" w:ascii="宋体" w:cs="宋体"/>
                <w:color w:val="auto"/>
                <w:kern w:val="0"/>
                <w:sz w:val="21"/>
                <w:szCs w:val="21"/>
                <w:highlight w:val="none"/>
              </w:rPr>
              <w:t>个（含）以上全国性股份制商业银行、城商行或农商行审计系统项目经验，</w:t>
            </w:r>
            <w:r>
              <w:rPr>
                <w:rFonts w:ascii="宋体" w:cs="宋体"/>
                <w:color w:val="auto"/>
                <w:kern w:val="0"/>
                <w:sz w:val="21"/>
                <w:szCs w:val="21"/>
                <w:highlight w:val="none"/>
              </w:rPr>
              <w:t>得2</w:t>
            </w:r>
            <w:r>
              <w:rPr>
                <w:rFonts w:hint="eastAsia" w:ascii="宋体" w:cs="宋体"/>
                <w:color w:val="auto"/>
                <w:kern w:val="0"/>
                <w:sz w:val="21"/>
                <w:szCs w:val="21"/>
                <w:highlight w:val="none"/>
              </w:rPr>
              <w:t>分</w:t>
            </w:r>
            <w:r>
              <w:rPr>
                <w:rFonts w:ascii="宋体" w:cs="宋体"/>
                <w:color w:val="auto"/>
                <w:kern w:val="0"/>
                <w:sz w:val="21"/>
                <w:szCs w:val="21"/>
                <w:highlight w:val="none"/>
              </w:rPr>
              <w:t>；不满足条件不得分</w:t>
            </w:r>
            <w:r>
              <w:rPr>
                <w:rFonts w:hint="eastAsia" w:ascii="宋体" w:cs="宋体"/>
                <w:color w:val="auto"/>
                <w:kern w:val="0"/>
                <w:sz w:val="21"/>
                <w:szCs w:val="21"/>
                <w:highlight w:val="none"/>
              </w:rPr>
              <w:t>。</w:t>
            </w:r>
          </w:p>
          <w:p w14:paraId="2414C970">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w:t>
            </w:r>
            <w:r>
              <w:rPr>
                <w:rFonts w:ascii="宋体" w:cs="宋体"/>
                <w:color w:val="auto"/>
                <w:kern w:val="0"/>
                <w:sz w:val="21"/>
                <w:szCs w:val="21"/>
                <w:highlight w:val="none"/>
              </w:rPr>
              <w:t>2</w:t>
            </w:r>
            <w:r>
              <w:rPr>
                <w:rFonts w:hint="eastAsia" w:ascii="宋体" w:cs="宋体"/>
                <w:color w:val="auto"/>
                <w:kern w:val="0"/>
                <w:sz w:val="21"/>
                <w:szCs w:val="21"/>
                <w:highlight w:val="none"/>
              </w:rPr>
              <w:t>）</w:t>
            </w:r>
            <w:r>
              <w:rPr>
                <w:rFonts w:ascii="宋体" w:cs="宋体"/>
                <w:color w:val="auto"/>
                <w:kern w:val="0"/>
                <w:sz w:val="21"/>
                <w:szCs w:val="21"/>
                <w:highlight w:val="none"/>
              </w:rPr>
              <w:t>现场</w:t>
            </w:r>
            <w:r>
              <w:rPr>
                <w:rFonts w:hint="eastAsia" w:ascii="宋体" w:cs="宋体"/>
                <w:color w:val="auto"/>
                <w:kern w:val="0"/>
                <w:sz w:val="21"/>
                <w:szCs w:val="21"/>
                <w:highlight w:val="none"/>
              </w:rPr>
              <w:t>项目</w:t>
            </w:r>
            <w:r>
              <w:rPr>
                <w:rFonts w:ascii="宋体" w:cs="宋体"/>
                <w:color w:val="auto"/>
                <w:kern w:val="0"/>
                <w:sz w:val="21"/>
                <w:szCs w:val="21"/>
                <w:highlight w:val="none"/>
              </w:rPr>
              <w:t>开发、实施人员</w:t>
            </w:r>
            <w:r>
              <w:rPr>
                <w:rFonts w:hint="eastAsia" w:ascii="宋体" w:cs="宋体"/>
                <w:color w:val="auto"/>
                <w:kern w:val="0"/>
                <w:sz w:val="21"/>
                <w:szCs w:val="21"/>
                <w:highlight w:val="none"/>
              </w:rPr>
              <w:t>：全部人员必须具备2年及以上金融机构</w:t>
            </w:r>
            <w:r>
              <w:rPr>
                <w:rFonts w:ascii="宋体" w:cs="宋体"/>
                <w:color w:val="auto"/>
                <w:kern w:val="0"/>
                <w:sz w:val="21"/>
                <w:szCs w:val="21"/>
                <w:highlight w:val="none"/>
              </w:rPr>
              <w:t>审计系统</w:t>
            </w:r>
            <w:r>
              <w:rPr>
                <w:rFonts w:hint="eastAsia" w:ascii="宋体" w:cs="宋体"/>
                <w:color w:val="auto"/>
                <w:kern w:val="0"/>
                <w:sz w:val="21"/>
                <w:szCs w:val="21"/>
                <w:highlight w:val="none"/>
              </w:rPr>
              <w:t>项目</w:t>
            </w:r>
            <w:r>
              <w:rPr>
                <w:rFonts w:ascii="宋体" w:cs="宋体"/>
                <w:color w:val="auto"/>
                <w:kern w:val="0"/>
                <w:sz w:val="21"/>
                <w:szCs w:val="21"/>
                <w:highlight w:val="none"/>
              </w:rPr>
              <w:t>开发、实施</w:t>
            </w:r>
            <w:r>
              <w:rPr>
                <w:rFonts w:hint="eastAsia" w:ascii="宋体" w:cs="宋体"/>
                <w:color w:val="auto"/>
                <w:kern w:val="0"/>
                <w:sz w:val="21"/>
                <w:szCs w:val="21"/>
                <w:highlight w:val="none"/>
              </w:rPr>
              <w:t>经验，得2分；</w:t>
            </w:r>
            <w:r>
              <w:rPr>
                <w:rFonts w:ascii="宋体" w:cs="宋体"/>
                <w:color w:val="auto"/>
                <w:kern w:val="0"/>
                <w:sz w:val="21"/>
                <w:szCs w:val="21"/>
                <w:highlight w:val="none"/>
              </w:rPr>
              <w:t>常驻人数3名（含）到5名得2分，5名（含）以上得3分。</w:t>
            </w:r>
          </w:p>
          <w:p w14:paraId="67E3D540">
            <w:pPr>
              <w:spacing w:line="360" w:lineRule="auto"/>
              <w:ind w:firstLine="0" w:firstLineChars="0"/>
              <w:rPr>
                <w:rFonts w:hint="eastAsia" w:ascii="宋体" w:eastAsia="宋体"/>
                <w:color w:val="auto"/>
                <w:sz w:val="20"/>
                <w:highlight w:val="none"/>
                <w:lang w:eastAsia="zh-CN"/>
              </w:rPr>
            </w:pPr>
            <w:r>
              <w:rPr>
                <w:rFonts w:ascii="宋体" w:cs="宋体"/>
                <w:color w:val="auto"/>
                <w:kern w:val="0"/>
                <w:sz w:val="21"/>
                <w:szCs w:val="21"/>
                <w:highlight w:val="none"/>
              </w:rPr>
              <w:t>5、服务承诺（分值：3分）</w:t>
            </w:r>
          </w:p>
          <w:p w14:paraId="50FF8D13">
            <w:pPr>
              <w:spacing w:line="360" w:lineRule="auto"/>
              <w:ind w:firstLine="0" w:firstLineChars="0"/>
              <w:rPr>
                <w:rFonts w:ascii="宋体"/>
                <w:color w:val="auto"/>
                <w:sz w:val="20"/>
                <w:highlight w:val="none"/>
              </w:rPr>
            </w:pPr>
            <w:r>
              <w:rPr>
                <w:rFonts w:hint="eastAsia" w:ascii="宋体" w:hAnsi="宋体" w:eastAsia="宋体" w:cs="宋体"/>
                <w:color w:val="auto"/>
                <w:sz w:val="21"/>
                <w:szCs w:val="21"/>
                <w:highlight w:val="none"/>
              </w:rPr>
              <w:t>根据参选人提供的参选函，</w:t>
            </w:r>
            <w:r>
              <w:rPr>
                <w:rFonts w:hint="eastAsia" w:ascii="宋体"/>
                <w:color w:val="auto"/>
                <w:sz w:val="20"/>
                <w:highlight w:val="none"/>
              </w:rPr>
              <w:t>本项目最终验收后，</w:t>
            </w:r>
            <w:r>
              <w:rPr>
                <w:rFonts w:hint="eastAsia" w:ascii="宋体"/>
                <w:color w:val="auto"/>
                <w:sz w:val="20"/>
                <w:highlight w:val="none"/>
                <w:lang w:val="en-US" w:eastAsia="zh-CN"/>
              </w:rPr>
              <w:t>免费</w:t>
            </w:r>
            <w:r>
              <w:rPr>
                <w:rFonts w:hint="eastAsia" w:ascii="宋体"/>
                <w:color w:val="auto"/>
                <w:sz w:val="20"/>
                <w:highlight w:val="none"/>
              </w:rPr>
              <w:t>维护期</w:t>
            </w:r>
            <w:r>
              <w:rPr>
                <w:rFonts w:ascii="宋体"/>
                <w:color w:val="auto"/>
                <w:sz w:val="20"/>
                <w:highlight w:val="none"/>
              </w:rPr>
              <w:t>至少2</w:t>
            </w:r>
            <w:r>
              <w:rPr>
                <w:rFonts w:hint="eastAsia" w:ascii="宋体"/>
                <w:color w:val="auto"/>
                <w:sz w:val="20"/>
                <w:highlight w:val="none"/>
              </w:rPr>
              <w:t>年（维护期结束日需延期至到期当年的6月30日或12月31日中较近日期）</w:t>
            </w:r>
            <w:r>
              <w:rPr>
                <w:rFonts w:ascii="宋体"/>
                <w:color w:val="auto"/>
                <w:sz w:val="20"/>
                <w:highlight w:val="none"/>
              </w:rPr>
              <w:t>，</w:t>
            </w:r>
            <w:r>
              <w:rPr>
                <w:rFonts w:ascii="Times New Roman" w:hAnsi="Times New Roman" w:cs="Times New Roman"/>
                <w:color w:val="auto"/>
                <w:kern w:val="0"/>
                <w:sz w:val="21"/>
                <w:szCs w:val="21"/>
                <w:highlight w:val="none"/>
              </w:rPr>
              <w:t>期满后，每年维护费用不高于合同价8%。</w:t>
            </w:r>
          </w:p>
          <w:p w14:paraId="0B05491F">
            <w:pPr>
              <w:spacing w:line="360" w:lineRule="auto"/>
              <w:ind w:firstLine="0" w:firstLineChars="0"/>
              <w:rPr>
                <w:rFonts w:ascii="Times New Roman" w:hAnsi="Times New Roman" w:cs="宋体"/>
                <w:color w:val="auto"/>
                <w:kern w:val="0"/>
                <w:sz w:val="21"/>
                <w:szCs w:val="21"/>
                <w:highlight w:val="none"/>
              </w:rPr>
            </w:pPr>
            <w:r>
              <w:rPr>
                <w:rFonts w:ascii="Times New Roman" w:hAnsi="Times New Roman" w:cs="宋体"/>
                <w:color w:val="auto"/>
                <w:kern w:val="0"/>
                <w:sz w:val="21"/>
                <w:szCs w:val="21"/>
                <w:highlight w:val="none"/>
              </w:rPr>
              <w:t>（1）</w:t>
            </w:r>
            <w:r>
              <w:rPr>
                <w:rFonts w:hint="eastAsia" w:ascii="宋体" w:hAnsi="宋体" w:eastAsia="宋体" w:cs="宋体"/>
                <w:color w:val="auto"/>
                <w:sz w:val="21"/>
                <w:szCs w:val="21"/>
                <w:highlight w:val="none"/>
              </w:rPr>
              <w:t>在2年的基础上，</w:t>
            </w:r>
            <w:r>
              <w:rPr>
                <w:rFonts w:ascii="Times New Roman" w:hAnsi="Times New Roman" w:cs="Times New Roman"/>
                <w:color w:val="auto"/>
                <w:kern w:val="0"/>
                <w:sz w:val="21"/>
                <w:szCs w:val="21"/>
                <w:highlight w:val="none"/>
              </w:rPr>
              <w:t>维护期每增加1年得1分，本项满分2分。</w:t>
            </w:r>
          </w:p>
          <w:p w14:paraId="2F898982">
            <w:pPr>
              <w:spacing w:line="360" w:lineRule="auto"/>
              <w:ind w:firstLine="0" w:firstLineChars="0"/>
              <w:rPr>
                <w:rFonts w:ascii="Times New Roman" w:hAnsi="Times New Roman" w:cs="宋体"/>
                <w:color w:val="auto"/>
                <w:kern w:val="0"/>
                <w:sz w:val="21"/>
                <w:szCs w:val="21"/>
                <w:highlight w:val="none"/>
              </w:rPr>
            </w:pPr>
            <w:r>
              <w:rPr>
                <w:rFonts w:ascii="Times New Roman" w:hAnsi="Times New Roman" w:cs="宋体"/>
                <w:color w:val="auto"/>
                <w:kern w:val="0"/>
                <w:sz w:val="21"/>
                <w:szCs w:val="21"/>
                <w:highlight w:val="none"/>
              </w:rPr>
              <w:t>（2）</w:t>
            </w:r>
            <w:r>
              <w:rPr>
                <w:rFonts w:hint="eastAsia" w:ascii="宋体" w:hAnsi="宋体" w:eastAsia="宋体" w:cs="宋体"/>
                <w:color w:val="auto"/>
                <w:sz w:val="21"/>
                <w:szCs w:val="21"/>
                <w:highlight w:val="none"/>
              </w:rPr>
              <w:t>每年维护费在合同费用的8%的基础上，</w:t>
            </w:r>
            <w:r>
              <w:rPr>
                <w:rFonts w:ascii="Times New Roman" w:hAnsi="Times New Roman" w:cs="Times New Roman"/>
                <w:color w:val="auto"/>
                <w:kern w:val="0"/>
                <w:sz w:val="21"/>
                <w:szCs w:val="21"/>
                <w:highlight w:val="none"/>
              </w:rPr>
              <w:t>每降低1%得0.5分，不足1%不得分，本项满分1分。</w:t>
            </w:r>
          </w:p>
        </w:tc>
      </w:tr>
      <w:tr w14:paraId="451E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jc w:val="center"/>
        </w:trPr>
        <w:tc>
          <w:tcPr>
            <w:tcW w:w="721" w:type="dxa"/>
            <w:vMerge w:val="continue"/>
            <w:vAlign w:val="center"/>
          </w:tcPr>
          <w:p w14:paraId="4A73AB46">
            <w:pPr>
              <w:rPr>
                <w:color w:val="auto"/>
                <w:highlight w:val="none"/>
              </w:rPr>
            </w:pPr>
          </w:p>
        </w:tc>
        <w:tc>
          <w:tcPr>
            <w:tcW w:w="1559" w:type="dxa"/>
            <w:vAlign w:val="center"/>
          </w:tcPr>
          <w:p w14:paraId="79A04260">
            <w:pPr>
              <w:spacing w:line="360" w:lineRule="auto"/>
              <w:ind w:firstLine="0" w:firstLineChars="0"/>
              <w:jc w:val="center"/>
              <w:rPr>
                <w:rFonts w:ascii="Times New Roman" w:hAnsi="Times New Roman" w:cs="宋体"/>
                <w:color w:val="auto"/>
                <w:kern w:val="0"/>
                <w:sz w:val="21"/>
                <w:szCs w:val="21"/>
                <w:highlight w:val="none"/>
              </w:rPr>
            </w:pPr>
          </w:p>
        </w:tc>
        <w:tc>
          <w:tcPr>
            <w:tcW w:w="1708" w:type="dxa"/>
            <w:gridSpan w:val="2"/>
            <w:vAlign w:val="center"/>
          </w:tcPr>
          <w:p w14:paraId="7BED0C01">
            <w:pPr>
              <w:tabs>
                <w:tab w:val="left" w:pos="1875"/>
              </w:tabs>
              <w:spacing w:line="360" w:lineRule="auto"/>
              <w:ind w:firstLine="0" w:firstLineChars="0"/>
              <w:jc w:val="center"/>
              <w:rPr>
                <w:rFonts w:ascii="Times New Roman" w:hAnsi="Times New Roman" w:cs="宋体"/>
                <w:color w:val="auto"/>
                <w:sz w:val="21"/>
                <w:szCs w:val="21"/>
                <w:highlight w:val="none"/>
              </w:rPr>
            </w:pPr>
          </w:p>
        </w:tc>
        <w:tc>
          <w:tcPr>
            <w:tcW w:w="5805" w:type="dxa"/>
            <w:vAlign w:val="center"/>
          </w:tcPr>
          <w:p w14:paraId="521F3667">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三、技术部分评分规则（分值：</w:t>
            </w:r>
            <w:r>
              <w:rPr>
                <w:rFonts w:ascii="宋体" w:cs="宋体"/>
                <w:color w:val="auto"/>
                <w:kern w:val="0"/>
                <w:sz w:val="21"/>
                <w:szCs w:val="21"/>
                <w:highlight w:val="none"/>
              </w:rPr>
              <w:t>35</w:t>
            </w:r>
            <w:r>
              <w:rPr>
                <w:rFonts w:hint="eastAsia" w:ascii="宋体" w:cs="宋体"/>
                <w:color w:val="auto"/>
                <w:kern w:val="0"/>
                <w:sz w:val="21"/>
                <w:szCs w:val="21"/>
                <w:highlight w:val="none"/>
              </w:rPr>
              <w:t>分）</w:t>
            </w:r>
          </w:p>
          <w:p w14:paraId="48DD9363">
            <w:pPr>
              <w:autoSpaceDE/>
              <w:autoSpaceDN/>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1.项目实施方案（分值：</w:t>
            </w:r>
            <w:r>
              <w:rPr>
                <w:rFonts w:ascii="宋体" w:cs="宋体"/>
                <w:color w:val="auto"/>
                <w:kern w:val="0"/>
                <w:sz w:val="21"/>
                <w:szCs w:val="21"/>
                <w:highlight w:val="none"/>
              </w:rPr>
              <w:t>5</w:t>
            </w:r>
            <w:r>
              <w:rPr>
                <w:rFonts w:hint="eastAsia" w:ascii="宋体" w:cs="宋体"/>
                <w:color w:val="auto"/>
                <w:kern w:val="0"/>
                <w:sz w:val="21"/>
                <w:szCs w:val="21"/>
                <w:highlight w:val="none"/>
              </w:rPr>
              <w:t>分）</w:t>
            </w:r>
          </w:p>
          <w:p w14:paraId="44D95B37">
            <w:pPr>
              <w:autoSpaceDE/>
              <w:autoSpaceDN/>
              <w:spacing w:line="360" w:lineRule="auto"/>
              <w:ind w:firstLine="0" w:firstLineChars="0"/>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根据</w:t>
            </w:r>
            <w:r>
              <w:rPr>
                <w:rFonts w:hint="eastAsia" w:ascii="宋体" w:cs="宋体"/>
                <w:color w:val="auto"/>
                <w:kern w:val="0"/>
                <w:sz w:val="21"/>
                <w:szCs w:val="21"/>
                <w:highlight w:val="none"/>
              </w:rPr>
              <w:t>参选人所提供的</w:t>
            </w:r>
            <w:r>
              <w:rPr>
                <w:rFonts w:hint="eastAsia" w:ascii="宋体" w:cs="宋体"/>
                <w:color w:val="auto"/>
                <w:kern w:val="0"/>
                <w:sz w:val="21"/>
                <w:szCs w:val="21"/>
                <w:highlight w:val="none"/>
                <w:lang w:val="en-US" w:eastAsia="zh-CN"/>
              </w:rPr>
              <w:t>项目</w:t>
            </w:r>
            <w:r>
              <w:rPr>
                <w:rFonts w:hint="eastAsia" w:ascii="宋体" w:cs="宋体"/>
                <w:color w:val="auto"/>
                <w:kern w:val="0"/>
                <w:sz w:val="21"/>
                <w:szCs w:val="21"/>
                <w:highlight w:val="none"/>
              </w:rPr>
              <w:t>实施方案</w:t>
            </w:r>
            <w:r>
              <w:rPr>
                <w:rFonts w:hint="eastAsia" w:ascii="宋体" w:cs="宋体"/>
                <w:color w:val="auto"/>
                <w:kern w:val="0"/>
                <w:sz w:val="21"/>
                <w:szCs w:val="21"/>
                <w:highlight w:val="none"/>
                <w:lang w:eastAsia="zh-CN"/>
              </w:rPr>
              <w:t>，</w:t>
            </w:r>
            <w:r>
              <w:rPr>
                <w:rFonts w:hint="eastAsia" w:ascii="宋体" w:cs="宋体"/>
                <w:color w:val="auto"/>
                <w:kern w:val="0"/>
                <w:sz w:val="21"/>
                <w:szCs w:val="21"/>
                <w:highlight w:val="none"/>
                <w:lang w:val="en-US" w:eastAsia="zh-CN"/>
              </w:rPr>
              <w:t>从方案</w:t>
            </w:r>
            <w:r>
              <w:rPr>
                <w:rFonts w:hint="eastAsia" w:ascii="宋体" w:cs="宋体"/>
                <w:color w:val="auto"/>
                <w:kern w:val="0"/>
                <w:sz w:val="21"/>
                <w:szCs w:val="21"/>
                <w:highlight w:val="none"/>
              </w:rPr>
              <w:t>完整</w:t>
            </w:r>
            <w:r>
              <w:rPr>
                <w:rFonts w:hint="eastAsia" w:ascii="宋体" w:cs="宋体"/>
                <w:color w:val="auto"/>
                <w:kern w:val="0"/>
                <w:sz w:val="21"/>
                <w:szCs w:val="21"/>
                <w:highlight w:val="none"/>
                <w:lang w:val="en-US" w:eastAsia="zh-CN"/>
              </w:rPr>
              <w:t>性</w:t>
            </w:r>
            <w:r>
              <w:rPr>
                <w:rFonts w:hint="eastAsia" w:ascii="宋体" w:cs="宋体"/>
                <w:color w:val="auto"/>
                <w:kern w:val="0"/>
                <w:sz w:val="21"/>
                <w:szCs w:val="21"/>
                <w:highlight w:val="none"/>
              </w:rPr>
              <w:t>、详细</w:t>
            </w:r>
            <w:r>
              <w:rPr>
                <w:rFonts w:hint="eastAsia" w:ascii="宋体" w:cs="宋体"/>
                <w:color w:val="auto"/>
                <w:kern w:val="0"/>
                <w:sz w:val="21"/>
                <w:szCs w:val="21"/>
                <w:highlight w:val="none"/>
                <w:lang w:val="en-US" w:eastAsia="zh-CN"/>
              </w:rPr>
              <w:t>程度</w:t>
            </w:r>
            <w:r>
              <w:rPr>
                <w:rFonts w:hint="eastAsia" w:ascii="宋体" w:cs="宋体"/>
                <w:color w:val="auto"/>
                <w:kern w:val="0"/>
                <w:sz w:val="21"/>
                <w:szCs w:val="21"/>
                <w:highlight w:val="none"/>
              </w:rPr>
              <w:t>，实施步骤</w:t>
            </w:r>
            <w:r>
              <w:rPr>
                <w:rFonts w:hint="eastAsia" w:ascii="宋体" w:cs="宋体"/>
                <w:color w:val="auto"/>
                <w:kern w:val="0"/>
                <w:sz w:val="21"/>
                <w:szCs w:val="21"/>
                <w:highlight w:val="none"/>
                <w:lang w:val="en-US" w:eastAsia="zh-CN"/>
              </w:rPr>
              <w:t>是否明确</w:t>
            </w:r>
            <w:r>
              <w:rPr>
                <w:rFonts w:hint="eastAsia" w:ascii="宋体" w:cs="宋体"/>
                <w:color w:val="auto"/>
                <w:kern w:val="0"/>
                <w:sz w:val="21"/>
                <w:szCs w:val="21"/>
                <w:highlight w:val="none"/>
              </w:rPr>
              <w:t>、计划</w:t>
            </w:r>
            <w:r>
              <w:rPr>
                <w:rFonts w:hint="eastAsia" w:ascii="宋体" w:cs="宋体"/>
                <w:color w:val="auto"/>
                <w:kern w:val="0"/>
                <w:sz w:val="21"/>
                <w:szCs w:val="21"/>
                <w:highlight w:val="none"/>
                <w:lang w:val="en-US" w:eastAsia="zh-CN"/>
              </w:rPr>
              <w:t>是否</w:t>
            </w:r>
            <w:r>
              <w:rPr>
                <w:rFonts w:hint="eastAsia" w:ascii="宋体" w:cs="宋体"/>
                <w:color w:val="auto"/>
                <w:kern w:val="0"/>
                <w:sz w:val="21"/>
                <w:szCs w:val="21"/>
                <w:highlight w:val="none"/>
              </w:rPr>
              <w:t>明确</w:t>
            </w:r>
            <w:r>
              <w:rPr>
                <w:rFonts w:hint="eastAsia" w:ascii="宋体" w:cs="宋体"/>
                <w:color w:val="auto"/>
                <w:kern w:val="0"/>
                <w:sz w:val="21"/>
                <w:szCs w:val="21"/>
                <w:highlight w:val="none"/>
                <w:lang w:eastAsia="zh-CN"/>
              </w:rPr>
              <w:t>、</w:t>
            </w:r>
            <w:r>
              <w:rPr>
                <w:rFonts w:hint="eastAsia" w:ascii="宋体" w:cs="宋体"/>
                <w:color w:val="auto"/>
                <w:kern w:val="0"/>
                <w:sz w:val="21"/>
                <w:szCs w:val="21"/>
                <w:highlight w:val="none"/>
                <w:lang w:val="en-US" w:eastAsia="zh-CN"/>
              </w:rPr>
              <w:t>是否</w:t>
            </w:r>
            <w:r>
              <w:rPr>
                <w:rFonts w:hint="eastAsia" w:ascii="宋体" w:cs="宋体"/>
                <w:color w:val="auto"/>
                <w:kern w:val="0"/>
                <w:sz w:val="21"/>
                <w:szCs w:val="21"/>
                <w:highlight w:val="none"/>
              </w:rPr>
              <w:t>符合项目建设要求</w:t>
            </w:r>
            <w:r>
              <w:rPr>
                <w:rFonts w:hint="eastAsia" w:ascii="宋体" w:cs="宋体"/>
                <w:color w:val="auto"/>
                <w:kern w:val="0"/>
                <w:sz w:val="21"/>
                <w:szCs w:val="21"/>
                <w:highlight w:val="none"/>
                <w:lang w:val="en-US" w:eastAsia="zh-CN"/>
              </w:rPr>
              <w:t>和</w:t>
            </w:r>
            <w:r>
              <w:rPr>
                <w:rFonts w:hint="eastAsia" w:ascii="宋体" w:cs="宋体"/>
                <w:color w:val="auto"/>
                <w:kern w:val="0"/>
                <w:sz w:val="21"/>
                <w:szCs w:val="21"/>
                <w:highlight w:val="none"/>
              </w:rPr>
              <w:t>可行性</w:t>
            </w:r>
            <w:r>
              <w:rPr>
                <w:rFonts w:hint="eastAsia" w:ascii="宋体" w:cs="宋体"/>
                <w:color w:val="auto"/>
                <w:kern w:val="0"/>
                <w:sz w:val="21"/>
                <w:szCs w:val="21"/>
                <w:highlight w:val="none"/>
                <w:lang w:val="en-US" w:eastAsia="zh-CN"/>
              </w:rPr>
              <w:t>等方面，由评审委员会酌情给分。</w:t>
            </w:r>
          </w:p>
          <w:p w14:paraId="0D30BF85">
            <w:pPr>
              <w:autoSpaceDE/>
              <w:autoSpaceDN/>
              <w:spacing w:line="360" w:lineRule="auto"/>
              <w:ind w:firstLine="0" w:firstLineChars="0"/>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方案内容优秀，得4-5分；</w:t>
            </w:r>
          </w:p>
          <w:p w14:paraId="13C95819">
            <w:pPr>
              <w:autoSpaceDE/>
              <w:autoSpaceDN/>
              <w:spacing w:line="360" w:lineRule="auto"/>
              <w:ind w:firstLine="0" w:firstLineChars="0"/>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方案内容一般，得2-3分；</w:t>
            </w:r>
          </w:p>
          <w:p w14:paraId="07FA8D27">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lang w:val="en-US" w:eastAsia="zh-CN"/>
              </w:rPr>
              <w:t>方案内容差，得0-1分。</w:t>
            </w:r>
          </w:p>
          <w:p w14:paraId="3427DC8B">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2.功能满足度（分值：</w:t>
            </w:r>
            <w:r>
              <w:rPr>
                <w:rFonts w:ascii="宋体" w:cs="宋体"/>
                <w:color w:val="auto"/>
                <w:kern w:val="0"/>
                <w:sz w:val="21"/>
                <w:szCs w:val="21"/>
                <w:highlight w:val="none"/>
              </w:rPr>
              <w:t>30</w:t>
            </w:r>
            <w:r>
              <w:rPr>
                <w:rFonts w:hint="eastAsia" w:ascii="宋体" w:cs="宋体"/>
                <w:color w:val="auto"/>
                <w:kern w:val="0"/>
                <w:sz w:val="21"/>
                <w:szCs w:val="21"/>
                <w:highlight w:val="none"/>
              </w:rPr>
              <w:t>分）</w:t>
            </w:r>
          </w:p>
          <w:p w14:paraId="6749331C">
            <w:pPr>
              <w:autoSpaceDE/>
              <w:autoSpaceDN/>
              <w:spacing w:line="360" w:lineRule="auto"/>
              <w:ind w:firstLine="0" w:firstLineChars="0"/>
              <w:rPr>
                <w:rFonts w:ascii="宋体" w:cs="宋体"/>
                <w:color w:val="auto"/>
                <w:kern w:val="0"/>
                <w:sz w:val="21"/>
                <w:szCs w:val="21"/>
                <w:highlight w:val="none"/>
              </w:rPr>
            </w:pPr>
            <w:r>
              <w:rPr>
                <w:rFonts w:hint="eastAsia" w:ascii="宋体" w:cs="宋体"/>
                <w:color w:val="auto"/>
                <w:kern w:val="0"/>
                <w:sz w:val="21"/>
                <w:szCs w:val="21"/>
                <w:highlight w:val="none"/>
              </w:rPr>
              <w:t>根据POC测试评分表中的得分*0.</w:t>
            </w:r>
            <w:r>
              <w:rPr>
                <w:rFonts w:ascii="宋体" w:cs="宋体"/>
                <w:color w:val="auto"/>
                <w:kern w:val="0"/>
                <w:sz w:val="21"/>
                <w:szCs w:val="21"/>
                <w:highlight w:val="none"/>
              </w:rPr>
              <w:t>3</w:t>
            </w:r>
            <w:r>
              <w:rPr>
                <w:rFonts w:hint="eastAsia" w:ascii="宋体" w:cs="宋体"/>
                <w:color w:val="auto"/>
                <w:kern w:val="0"/>
                <w:sz w:val="21"/>
                <w:szCs w:val="21"/>
                <w:highlight w:val="none"/>
              </w:rPr>
              <w:t>即为本项得分。注：由比选人根据POC方案进行。</w:t>
            </w:r>
          </w:p>
        </w:tc>
      </w:tr>
      <w:tr w14:paraId="2F1F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721" w:type="dxa"/>
            <w:vAlign w:val="center"/>
          </w:tcPr>
          <w:p w14:paraId="3782C2EB">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559" w:type="dxa"/>
            <w:vAlign w:val="center"/>
          </w:tcPr>
          <w:p w14:paraId="44629D3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513" w:type="dxa"/>
            <w:gridSpan w:val="3"/>
          </w:tcPr>
          <w:p w14:paraId="4B37E3C0">
            <w:pPr>
              <w:spacing w:line="360" w:lineRule="auto"/>
              <w:ind w:firstLine="0" w:firstLineChars="0"/>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1.比选人组织POC测试打分环节。</w:t>
            </w:r>
          </w:p>
          <w:p w14:paraId="3F70E6BF">
            <w:pPr>
              <w:spacing w:line="360" w:lineRule="auto"/>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hint="eastAsia" w:ascii="Times New Roman" w:hAnsi="Times New Roman" w:cs="Times New Roman"/>
                <w:color w:val="auto"/>
                <w:sz w:val="21"/>
                <w:szCs w:val="21"/>
                <w:highlight w:val="none"/>
              </w:rPr>
              <w:t>.评审委员会在初步评审前，按本章第3.1.3项的规定对参选报价有算术性错误的进行算术性错误修正。</w:t>
            </w:r>
          </w:p>
          <w:p w14:paraId="651F8598">
            <w:pPr>
              <w:spacing w:line="360" w:lineRule="auto"/>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r>
              <w:rPr>
                <w:rFonts w:hint="eastAsia" w:ascii="Times New Roman" w:hAnsi="Times New Roman" w:cs="Times New Roman"/>
                <w:color w:val="auto"/>
                <w:sz w:val="21"/>
                <w:szCs w:val="21"/>
                <w:highlight w:val="none"/>
              </w:rPr>
              <w:t>.评审委员会对参选文件进行初步评审。</w:t>
            </w:r>
          </w:p>
          <w:p w14:paraId="2C2D1047">
            <w:pPr>
              <w:spacing w:line="360" w:lineRule="auto"/>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r>
              <w:rPr>
                <w:rFonts w:hint="eastAsia" w:ascii="Times New Roman" w:hAnsi="Times New Roman" w:cs="Times New Roman"/>
                <w:color w:val="auto"/>
                <w:sz w:val="21"/>
                <w:szCs w:val="21"/>
                <w:highlight w:val="none"/>
              </w:rPr>
              <w:t>.评审委员会对初步评审合格的参选文件进行详细评审，主观评审部分由各专家独立评审打分，最后取平均得分，保留2位小数。</w:t>
            </w:r>
          </w:p>
          <w:p w14:paraId="598A1A0B">
            <w:pPr>
              <w:pStyle w:val="41"/>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注：详细评审的部分打分项需评审委员会根据比选人POC测试得分给出对应分值。</w:t>
            </w:r>
          </w:p>
          <w:p w14:paraId="3780F769">
            <w:pPr>
              <w:spacing w:line="360" w:lineRule="auto"/>
              <w:ind w:firstLine="0" w:firstLineChars="0"/>
              <w:rPr>
                <w:rFonts w:ascii="Times New Roman" w:hAnsi="Times New Roman" w:cs="宋体"/>
                <w:color w:val="auto"/>
                <w:sz w:val="21"/>
                <w:szCs w:val="21"/>
                <w:highlight w:val="none"/>
              </w:rPr>
            </w:pPr>
            <w:r>
              <w:rPr>
                <w:rFonts w:hint="eastAsia" w:ascii="宋体" w:hAnsi="宋体" w:eastAsia="宋体" w:cs="宋体"/>
                <w:color w:val="auto"/>
                <w:sz w:val="21"/>
                <w:szCs w:val="21"/>
                <w:highlight w:val="none"/>
              </w:rPr>
              <w:t>5.评审委员会汇总详细评审得分，根据详细评审得分由高至低进行排序，推荐1-3家合格的中选候选人。并依次为第一、二、三中选候选人。</w:t>
            </w:r>
          </w:p>
        </w:tc>
      </w:tr>
      <w:tr w14:paraId="52F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80" w:type="dxa"/>
            <w:gridSpan w:val="2"/>
            <w:vAlign w:val="center"/>
          </w:tcPr>
          <w:p w14:paraId="4A20A4FB">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33" w:type="dxa"/>
            <w:vAlign w:val="center"/>
          </w:tcPr>
          <w:p w14:paraId="4325D9B8">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980" w:type="dxa"/>
            <w:gridSpan w:val="2"/>
            <w:vAlign w:val="center"/>
          </w:tcPr>
          <w:p w14:paraId="01A9979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参选人得分=参选报价得分+商务部分得分</w:t>
            </w:r>
            <w:r>
              <w:rPr>
                <w:rFonts w:ascii="Times New Roman" w:hAnsi="Times New Roman" w:cs="宋体"/>
                <w:color w:val="auto"/>
                <w:sz w:val="21"/>
                <w:szCs w:val="21"/>
                <w:highlight w:val="none"/>
              </w:rPr>
              <w:t>+技术</w:t>
            </w:r>
            <w:r>
              <w:rPr>
                <w:rFonts w:hint="eastAsia" w:ascii="Times New Roman" w:hAnsi="Times New Roman" w:cs="宋体"/>
                <w:color w:val="auto"/>
                <w:kern w:val="0"/>
                <w:sz w:val="21"/>
                <w:szCs w:val="21"/>
                <w:highlight w:val="none"/>
              </w:rPr>
              <w:t>部分</w:t>
            </w:r>
            <w:r>
              <w:rPr>
                <w:rFonts w:ascii="Times New Roman" w:hAnsi="Times New Roman" w:cs="宋体"/>
                <w:color w:val="auto"/>
                <w:sz w:val="21"/>
                <w:szCs w:val="21"/>
                <w:highlight w:val="none"/>
              </w:rPr>
              <w:t>得分</w:t>
            </w:r>
          </w:p>
        </w:tc>
      </w:tr>
      <w:bookmarkEnd w:id="246"/>
    </w:tbl>
    <w:p w14:paraId="0B208B69">
      <w:pPr>
        <w:rPr>
          <w:rFonts w:ascii="Times New Roman" w:hAnsi="Times New Roman" w:cs="宋体"/>
          <w:snapToGrid w:val="0"/>
          <w:color w:val="auto"/>
          <w:sz w:val="21"/>
          <w:szCs w:val="21"/>
          <w:highlight w:val="none"/>
        </w:rPr>
      </w:pPr>
      <w:bookmarkStart w:id="247" w:name="_Toc636"/>
      <w:bookmarkStart w:id="248" w:name="_Toc21111"/>
      <w:r>
        <w:rPr>
          <w:rFonts w:hint="eastAsia" w:ascii="Times New Roman" w:hAnsi="Times New Roman" w:cs="宋体"/>
          <w:snapToGrid w:val="0"/>
          <w:color w:val="auto"/>
          <w:sz w:val="21"/>
          <w:szCs w:val="21"/>
          <w:highlight w:val="none"/>
        </w:rPr>
        <w:br w:type="page"/>
      </w:r>
    </w:p>
    <w:p w14:paraId="12C88F56">
      <w:pPr>
        <w:pStyle w:val="3"/>
        <w:rPr>
          <w:rFonts w:ascii="Times New Roman" w:hAnsi="Times New Roman"/>
          <w:color w:val="auto"/>
          <w:highlight w:val="none"/>
        </w:rPr>
      </w:pPr>
      <w:bookmarkStart w:id="249" w:name="_Toc28684"/>
      <w:bookmarkStart w:id="250" w:name="_Toc18283"/>
      <w:bookmarkStart w:id="251" w:name="_Toc6944"/>
      <w:bookmarkStart w:id="252" w:name="_Toc27234"/>
      <w:bookmarkStart w:id="253" w:name="_Toc13475"/>
      <w:r>
        <w:rPr>
          <w:rFonts w:hint="eastAsia" w:ascii="Times New Roman" w:hAnsi="Times New Roman"/>
          <w:color w:val="auto"/>
          <w:highlight w:val="none"/>
        </w:rPr>
        <w:t>1. 评审方法</w:t>
      </w:r>
      <w:bookmarkEnd w:id="247"/>
      <w:bookmarkEnd w:id="248"/>
      <w:bookmarkEnd w:id="249"/>
      <w:bookmarkEnd w:id="250"/>
      <w:bookmarkEnd w:id="251"/>
      <w:bookmarkEnd w:id="252"/>
      <w:bookmarkEnd w:id="253"/>
    </w:p>
    <w:p w14:paraId="0DE220FD">
      <w:pPr>
        <w:rPr>
          <w:rFonts w:ascii="Times New Roman" w:hAnsi="Times New Roman"/>
          <w:color w:val="auto"/>
          <w:highlight w:val="none"/>
        </w:rPr>
      </w:pPr>
      <w:bookmarkStart w:id="254" w:name="_Toc407195379"/>
      <w:bookmarkStart w:id="255" w:name="_Toc330569206"/>
      <w:bookmarkStart w:id="256" w:name="_Toc200513199"/>
      <w:bookmarkStart w:id="257" w:name="_Toc287620752"/>
      <w:bookmarkStart w:id="258" w:name="_Toc440022827"/>
      <w:bookmarkStart w:id="259" w:name="_Toc377115419"/>
      <w:bookmarkStart w:id="260" w:name="_Toc287607813"/>
      <w:bookmarkStart w:id="261" w:name="_Toc277082619"/>
      <w:bookmarkStart w:id="262" w:name="_Toc377067339"/>
      <w:bookmarkStart w:id="263" w:name="_Toc376114120"/>
      <w:bookmarkStart w:id="264" w:name="_Toc224103385"/>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05D8CFBB">
      <w:pPr>
        <w:pStyle w:val="3"/>
        <w:rPr>
          <w:rFonts w:ascii="Times New Roman" w:hAnsi="Times New Roman"/>
          <w:color w:val="auto"/>
          <w:highlight w:val="none"/>
        </w:rPr>
      </w:pPr>
      <w:bookmarkStart w:id="265" w:name="_Toc16716"/>
      <w:bookmarkStart w:id="266" w:name="_Toc765"/>
      <w:bookmarkStart w:id="267" w:name="_Toc2274"/>
      <w:bookmarkStart w:id="268" w:name="_Toc31615"/>
      <w:bookmarkStart w:id="269" w:name="_Toc444155968"/>
      <w:bookmarkStart w:id="270" w:name="_Toc27931"/>
      <w:bookmarkStart w:id="271" w:name="_Toc27406"/>
      <w:bookmarkStart w:id="272" w:name="_Toc4710"/>
      <w:bookmarkStart w:id="273" w:name="_Toc23969"/>
      <w:bookmarkStart w:id="274" w:name="_Toc26807"/>
      <w:bookmarkStart w:id="275" w:name="_Toc5950"/>
      <w:r>
        <w:rPr>
          <w:rFonts w:hint="eastAsia" w:ascii="Times New Roman" w:hAnsi="Times New Roman"/>
          <w:color w:val="auto"/>
          <w:highlight w:val="none"/>
        </w:rPr>
        <w:t>2. 评审标准</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E8C500C">
      <w:pPr>
        <w:pStyle w:val="4"/>
        <w:rPr>
          <w:rFonts w:ascii="Times New Roman" w:hAnsi="Times New Roman"/>
          <w:color w:val="auto"/>
          <w:highlight w:val="none"/>
        </w:rPr>
      </w:pPr>
      <w:bookmarkStart w:id="276" w:name="_Toc30885"/>
      <w:bookmarkStart w:id="277" w:name="_Toc330569207"/>
      <w:bookmarkStart w:id="278" w:name="_Toc32649"/>
      <w:bookmarkStart w:id="279" w:name="_Toc7584"/>
      <w:bookmarkStart w:id="280" w:name="_Toc1358"/>
      <w:bookmarkStart w:id="281" w:name="_Toc377115420"/>
      <w:bookmarkStart w:id="282" w:name="_Toc11839"/>
      <w:bookmarkStart w:id="283" w:name="_Toc21593"/>
      <w:bookmarkStart w:id="284" w:name="_Toc440022828"/>
      <w:bookmarkStart w:id="285" w:name="_Toc23425"/>
      <w:bookmarkStart w:id="286" w:name="_Toc377067340"/>
      <w:bookmarkStart w:id="287" w:name="_Toc224103386"/>
      <w:bookmarkStart w:id="288" w:name="_Toc444155969"/>
      <w:bookmarkStart w:id="289" w:name="_Toc10533"/>
      <w:bookmarkStart w:id="290" w:name="_Toc287607814"/>
      <w:bookmarkStart w:id="291" w:name="_Toc376114121"/>
      <w:bookmarkStart w:id="292" w:name="_Toc407195380"/>
      <w:bookmarkStart w:id="293" w:name="_Toc16537"/>
      <w:bookmarkStart w:id="294" w:name="_Toc287620753"/>
      <w:bookmarkStart w:id="295" w:name="_Toc200513200"/>
      <w:bookmarkStart w:id="296" w:name="_Toc277082620"/>
      <w:r>
        <w:rPr>
          <w:rFonts w:hint="eastAsia" w:ascii="Times New Roman" w:hAnsi="Times New Roman"/>
          <w:color w:val="auto"/>
          <w:highlight w:val="none"/>
        </w:rPr>
        <w:t>2.1 初步评审标准</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65FAB6F">
      <w:pPr>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754A2F38">
      <w:pPr>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44AD4CDF">
      <w:pPr>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369F54F2">
      <w:pPr>
        <w:pStyle w:val="4"/>
        <w:rPr>
          <w:rFonts w:ascii="Times New Roman" w:hAnsi="Times New Roman"/>
          <w:color w:val="auto"/>
          <w:highlight w:val="none"/>
        </w:rPr>
      </w:pPr>
      <w:bookmarkStart w:id="297" w:name="_Toc6503"/>
      <w:bookmarkStart w:id="298" w:name="_Toc23393"/>
      <w:bookmarkStart w:id="299" w:name="_Toc23296"/>
      <w:bookmarkStart w:id="300" w:name="_Toc1387"/>
      <w:bookmarkStart w:id="301" w:name="_Toc287607815"/>
      <w:bookmarkStart w:id="302" w:name="_Toc377067341"/>
      <w:bookmarkStart w:id="303" w:name="_Toc200513201"/>
      <w:bookmarkStart w:id="304" w:name="_Toc407195381"/>
      <w:bookmarkStart w:id="305" w:name="_Toc224103387"/>
      <w:bookmarkStart w:id="306" w:name="_Toc25129"/>
      <w:bookmarkStart w:id="307" w:name="_Toc444155970"/>
      <w:bookmarkStart w:id="308" w:name="_Toc287620754"/>
      <w:bookmarkStart w:id="309" w:name="_Toc376114122"/>
      <w:bookmarkStart w:id="310" w:name="_Toc20840"/>
      <w:bookmarkStart w:id="311" w:name="_Toc21015"/>
      <w:bookmarkStart w:id="312" w:name="_Toc330569208"/>
      <w:bookmarkStart w:id="313" w:name="_Toc440022829"/>
      <w:bookmarkStart w:id="314" w:name="_Toc9090"/>
      <w:bookmarkStart w:id="315" w:name="_Toc277082621"/>
      <w:bookmarkStart w:id="316" w:name="_Toc377115421"/>
      <w:bookmarkStart w:id="317" w:name="_Toc2340"/>
      <w:r>
        <w:rPr>
          <w:rFonts w:hint="eastAsia" w:ascii="Times New Roman" w:hAnsi="Times New Roman"/>
          <w:color w:val="auto"/>
          <w:highlight w:val="none"/>
        </w:rPr>
        <w:t>2.2 分值构成与评分标准</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3FA6970">
      <w:pPr>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062CBFB1">
      <w:pPr>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7F8D19BF">
      <w:pPr>
        <w:rPr>
          <w:rFonts w:ascii="Times New Roman" w:hAnsi="Times New Roman"/>
          <w:color w:val="auto"/>
          <w:highlight w:val="none"/>
        </w:rPr>
      </w:pPr>
      <w:r>
        <w:rPr>
          <w:rFonts w:hint="eastAsia" w:ascii="Times New Roman" w:hAnsi="Times New Roman"/>
          <w:color w:val="auto"/>
          <w:highlight w:val="none"/>
        </w:rPr>
        <w:t>2.2.3 评分标准：</w:t>
      </w:r>
    </w:p>
    <w:p w14:paraId="79746670">
      <w:pPr>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07B80AEB">
      <w:pPr>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1908EEEF">
      <w:pPr>
        <w:pStyle w:val="3"/>
        <w:rPr>
          <w:rFonts w:ascii="Times New Roman" w:hAnsi="Times New Roman"/>
          <w:color w:val="auto"/>
          <w:highlight w:val="none"/>
        </w:rPr>
      </w:pPr>
      <w:bookmarkStart w:id="318" w:name="_Toc12538"/>
      <w:bookmarkStart w:id="319" w:name="_Toc2982"/>
      <w:bookmarkStart w:id="320" w:name="_Toc277082622"/>
      <w:bookmarkStart w:id="321" w:name="_Toc444155971"/>
      <w:bookmarkStart w:id="322" w:name="_Toc377115422"/>
      <w:bookmarkStart w:id="323" w:name="_Toc200513202"/>
      <w:bookmarkStart w:id="324" w:name="_Toc9488"/>
      <w:bookmarkStart w:id="325" w:name="_Toc376114123"/>
      <w:bookmarkStart w:id="326" w:name="_Toc330569209"/>
      <w:bookmarkStart w:id="327" w:name="_Toc287620755"/>
      <w:bookmarkStart w:id="328" w:name="_Toc224103388"/>
      <w:bookmarkStart w:id="329" w:name="_Toc17845"/>
      <w:bookmarkStart w:id="330" w:name="_Toc287607816"/>
      <w:bookmarkStart w:id="331" w:name="_Toc17614"/>
      <w:bookmarkStart w:id="332" w:name="_Toc14353"/>
      <w:bookmarkStart w:id="333" w:name="_Toc407195382"/>
      <w:bookmarkStart w:id="334" w:name="_Toc8004"/>
      <w:bookmarkStart w:id="335" w:name="_Toc440022830"/>
      <w:bookmarkStart w:id="336" w:name="_Toc377067342"/>
      <w:bookmarkStart w:id="337" w:name="_Toc15132"/>
      <w:bookmarkStart w:id="338" w:name="_Toc23633"/>
      <w:bookmarkStart w:id="339" w:name="_Toc5546"/>
      <w:r>
        <w:rPr>
          <w:rFonts w:hint="eastAsia" w:ascii="Times New Roman" w:hAnsi="Times New Roman"/>
          <w:color w:val="auto"/>
          <w:highlight w:val="none"/>
        </w:rPr>
        <w:t>3. 评审程序</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41F9DBC">
      <w:pPr>
        <w:pStyle w:val="4"/>
        <w:rPr>
          <w:rFonts w:ascii="Times New Roman" w:hAnsi="Times New Roman"/>
          <w:color w:val="auto"/>
          <w:highlight w:val="none"/>
        </w:rPr>
      </w:pPr>
      <w:bookmarkStart w:id="340" w:name="_Toc376114124"/>
      <w:bookmarkStart w:id="341" w:name="_Toc287620756"/>
      <w:bookmarkStart w:id="342" w:name="_Toc9683"/>
      <w:bookmarkStart w:id="343" w:name="_Toc440022831"/>
      <w:bookmarkStart w:id="344" w:name="_Toc5713"/>
      <w:bookmarkStart w:id="345" w:name="_Toc200513203"/>
      <w:bookmarkStart w:id="346" w:name="_Toc24375"/>
      <w:bookmarkStart w:id="347" w:name="_Toc377067343"/>
      <w:bookmarkStart w:id="348" w:name="_Toc32002"/>
      <w:bookmarkStart w:id="349" w:name="_Toc22279"/>
      <w:bookmarkStart w:id="350" w:name="_Toc287607817"/>
      <w:bookmarkStart w:id="351" w:name="_Toc444155972"/>
      <w:bookmarkStart w:id="352" w:name="_Toc5462"/>
      <w:bookmarkStart w:id="353" w:name="_Toc19840"/>
      <w:bookmarkStart w:id="354" w:name="_Toc6448"/>
      <w:bookmarkStart w:id="355" w:name="_Toc13851"/>
      <w:bookmarkStart w:id="356" w:name="_Toc377115423"/>
      <w:bookmarkStart w:id="357" w:name="_Toc330569210"/>
      <w:bookmarkStart w:id="358" w:name="_Toc277082623"/>
      <w:bookmarkStart w:id="359" w:name="_Toc224103389"/>
      <w:bookmarkStart w:id="360" w:name="_Toc407195383"/>
      <w:r>
        <w:rPr>
          <w:rFonts w:hint="eastAsia" w:ascii="Times New Roman" w:hAnsi="Times New Roman"/>
          <w:color w:val="auto"/>
          <w:highlight w:val="none"/>
        </w:rPr>
        <w:t>3.1 初步评审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78C4AE5">
      <w:pPr>
        <w:rPr>
          <w:rFonts w:ascii="Times New Roman" w:hAnsi="Times New Roman"/>
          <w:color w:val="auto"/>
          <w:highlight w:val="none"/>
        </w:rPr>
      </w:pPr>
      <w:bookmarkStart w:id="361" w:name="_Toc354387014"/>
      <w:bookmarkStart w:id="362" w:name="_Toc356243677"/>
      <w:bookmarkStart w:id="363" w:name="_Toc330569211"/>
      <w:bookmarkStart w:id="364" w:name="_Toc332015984"/>
      <w:bookmarkStart w:id="365" w:name="_Toc331232649"/>
      <w:bookmarkStart w:id="366" w:name="_Toc334002333"/>
      <w:bookmarkStart w:id="367" w:name="_Toc407195384"/>
      <w:bookmarkStart w:id="368" w:name="_Toc376114125"/>
      <w:bookmarkStart w:id="369" w:name="_Toc356484119"/>
      <w:bookmarkStart w:id="370" w:name="_Toc332380970"/>
      <w:bookmarkStart w:id="371" w:name="_Toc377067344"/>
      <w:bookmarkStart w:id="372" w:name="_Toc444155973"/>
      <w:bookmarkStart w:id="373" w:name="_Toc331232467"/>
      <w:bookmarkStart w:id="374" w:name="_Toc373264792"/>
      <w:bookmarkStart w:id="375" w:name="_Toc440022832"/>
      <w:bookmarkStart w:id="376" w:name="_Toc332028970"/>
      <w:bookmarkStart w:id="377" w:name="_Toc377115424"/>
      <w:bookmarkStart w:id="378" w:name="_Toc27164"/>
      <w:bookmarkStart w:id="379" w:name="_Toc373172234"/>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3E9F63B4">
      <w:pPr>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1D5119DD">
      <w:pPr>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5070CA4A">
      <w:pPr>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7D4A0E48">
      <w:pPr>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635D4CC8">
      <w:pPr>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05CBBA7A">
      <w:pPr>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4987FFDC">
      <w:pPr>
        <w:pStyle w:val="4"/>
        <w:rPr>
          <w:rFonts w:ascii="Times New Roman" w:hAnsi="Times New Roman"/>
          <w:color w:val="auto"/>
          <w:highlight w:val="none"/>
        </w:rPr>
      </w:pPr>
      <w:bookmarkStart w:id="380" w:name="_Toc287620757"/>
      <w:bookmarkStart w:id="381" w:name="_Toc277082624"/>
      <w:bookmarkStart w:id="382" w:name="_Toc25410"/>
      <w:bookmarkStart w:id="383" w:name="_Toc22246"/>
      <w:bookmarkStart w:id="384" w:name="_Toc10847"/>
      <w:bookmarkStart w:id="385" w:name="_Toc376114126"/>
      <w:bookmarkStart w:id="386" w:name="_Toc200513204"/>
      <w:bookmarkStart w:id="387" w:name="_Toc224103390"/>
      <w:bookmarkStart w:id="388" w:name="_Toc377115425"/>
      <w:bookmarkStart w:id="389" w:name="_Toc440022833"/>
      <w:bookmarkStart w:id="390" w:name="_Toc19604"/>
      <w:bookmarkStart w:id="391" w:name="_Toc287607818"/>
      <w:bookmarkStart w:id="392" w:name="_Toc330569212"/>
      <w:bookmarkStart w:id="393" w:name="_Toc11246"/>
      <w:bookmarkStart w:id="394" w:name="_Toc7832"/>
      <w:bookmarkStart w:id="395" w:name="_Toc407195385"/>
      <w:bookmarkStart w:id="396" w:name="_Toc22848"/>
      <w:bookmarkStart w:id="397" w:name="_Toc377067345"/>
      <w:bookmarkStart w:id="398" w:name="_Toc444155974"/>
      <w:bookmarkStart w:id="399" w:name="_Toc24613"/>
      <w:bookmarkStart w:id="400" w:name="_Toc29925"/>
      <w:r>
        <w:rPr>
          <w:rFonts w:hint="eastAsia" w:ascii="Times New Roman" w:hAnsi="Times New Roman"/>
          <w:color w:val="auto"/>
          <w:highlight w:val="none"/>
        </w:rPr>
        <w:t>3.2 详细评审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7F9D97D">
      <w:pPr>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4A0017A0">
      <w:pPr>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36AD6208">
      <w:pPr>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52EBD703">
      <w:pPr>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74EB739A">
      <w:pPr>
        <w:rPr>
          <w:rFonts w:ascii="Times New Roman" w:hAnsi="Times New Roman"/>
          <w:color w:val="auto"/>
          <w:highlight w:val="none"/>
        </w:rPr>
      </w:pPr>
      <w:r>
        <w:rPr>
          <w:rFonts w:hint="eastAsia" w:ascii="Times New Roman" w:hAnsi="Times New Roman"/>
          <w:color w:val="auto"/>
          <w:highlight w:val="none"/>
        </w:rPr>
        <w:t>3.2.3 参选人得分=参选报价得分+商务部分得分。</w:t>
      </w:r>
    </w:p>
    <w:p w14:paraId="1F459060">
      <w:pPr>
        <w:pStyle w:val="4"/>
        <w:rPr>
          <w:rFonts w:ascii="Times New Roman" w:hAnsi="Times New Roman"/>
          <w:color w:val="auto"/>
          <w:highlight w:val="none"/>
        </w:rPr>
      </w:pPr>
      <w:bookmarkStart w:id="401" w:name="_Toc29261"/>
      <w:bookmarkStart w:id="402" w:name="_Toc1080"/>
      <w:bookmarkStart w:id="403" w:name="_Toc224103391"/>
      <w:bookmarkStart w:id="404" w:name="_Toc2542"/>
      <w:bookmarkStart w:id="405" w:name="_Toc377067346"/>
      <w:bookmarkStart w:id="406" w:name="_Toc330569213"/>
      <w:bookmarkStart w:id="407" w:name="_Toc277082625"/>
      <w:bookmarkStart w:id="408" w:name="_Toc407195386"/>
      <w:bookmarkStart w:id="409" w:name="_Toc376114127"/>
      <w:bookmarkStart w:id="410" w:name="_Toc440022834"/>
      <w:bookmarkStart w:id="411" w:name="_Toc32039"/>
      <w:bookmarkStart w:id="412" w:name="_Toc7176"/>
      <w:bookmarkStart w:id="413" w:name="_Toc287620758"/>
      <w:bookmarkStart w:id="414" w:name="_Toc200513205"/>
      <w:bookmarkStart w:id="415" w:name="_Toc444155975"/>
      <w:bookmarkStart w:id="416" w:name="_Toc287607819"/>
      <w:bookmarkStart w:id="417" w:name="_Toc18708"/>
      <w:bookmarkStart w:id="418" w:name="_Toc20948"/>
      <w:bookmarkStart w:id="419" w:name="_Toc20575"/>
      <w:bookmarkStart w:id="420" w:name="_Toc377115426"/>
      <w:bookmarkStart w:id="421" w:name="_Toc7295"/>
      <w:r>
        <w:rPr>
          <w:rFonts w:hint="eastAsia" w:ascii="Times New Roman" w:hAnsi="Times New Roman"/>
          <w:color w:val="auto"/>
          <w:highlight w:val="none"/>
        </w:rPr>
        <w:t>3.3 参选文件的澄清和补正</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8F1F667">
      <w:pPr>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37D1C1A8">
      <w:pPr>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2C93FFB8">
      <w:pPr>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2DE6527C">
      <w:pPr>
        <w:pStyle w:val="4"/>
        <w:rPr>
          <w:rFonts w:ascii="Times New Roman" w:hAnsi="Times New Roman"/>
          <w:color w:val="auto"/>
          <w:highlight w:val="none"/>
        </w:rPr>
      </w:pPr>
      <w:bookmarkStart w:id="422" w:name="_Toc377067347"/>
      <w:bookmarkStart w:id="423" w:name="_Toc444155976"/>
      <w:bookmarkStart w:id="424" w:name="_Toc8988"/>
      <w:bookmarkStart w:id="425" w:name="_Toc440022835"/>
      <w:bookmarkStart w:id="426" w:name="_Toc287620759"/>
      <w:bookmarkStart w:id="427" w:name="_Toc30672"/>
      <w:bookmarkStart w:id="428" w:name="_Toc377115427"/>
      <w:bookmarkStart w:id="429" w:name="_Toc14840"/>
      <w:bookmarkStart w:id="430" w:name="_Toc6310"/>
      <w:bookmarkStart w:id="431" w:name="_Toc31270"/>
      <w:bookmarkStart w:id="432" w:name="_Toc21628"/>
      <w:bookmarkStart w:id="433" w:name="_Toc4814"/>
      <w:bookmarkStart w:id="434" w:name="_Toc407195387"/>
      <w:bookmarkStart w:id="435" w:name="_Toc376114128"/>
      <w:bookmarkStart w:id="436" w:name="_Toc330569214"/>
      <w:bookmarkStart w:id="437" w:name="_Toc21450"/>
      <w:bookmarkStart w:id="438" w:name="_Toc287607820"/>
      <w:bookmarkStart w:id="439" w:name="_Toc277082626"/>
      <w:bookmarkStart w:id="440" w:name="_Toc200513206"/>
      <w:bookmarkStart w:id="441" w:name="_Toc224103392"/>
      <w:bookmarkStart w:id="442" w:name="_Toc19054"/>
      <w:r>
        <w:rPr>
          <w:rFonts w:hint="eastAsia" w:ascii="Times New Roman" w:hAnsi="Times New Roman"/>
          <w:color w:val="auto"/>
          <w:highlight w:val="none"/>
        </w:rPr>
        <w:t>3.4 评审结果</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5403871F">
      <w:pPr>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0E0D3EC9">
      <w:pPr>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5446B9AB">
      <w:pPr>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2C97DDC3">
      <w:pPr>
        <w:pStyle w:val="4"/>
        <w:rPr>
          <w:rFonts w:ascii="Times New Roman" w:hAnsi="Times New Roman"/>
          <w:color w:val="auto"/>
          <w:highlight w:val="none"/>
        </w:rPr>
      </w:pPr>
      <w:bookmarkStart w:id="443" w:name="_Toc12531"/>
      <w:bookmarkStart w:id="444" w:name="_Toc20466"/>
      <w:r>
        <w:rPr>
          <w:rFonts w:hint="eastAsia" w:ascii="Times New Roman" w:hAnsi="Times New Roman"/>
          <w:color w:val="auto"/>
          <w:highlight w:val="none"/>
        </w:rPr>
        <w:t>3.5 对评审委员会成员的纪律要求</w:t>
      </w:r>
      <w:bookmarkEnd w:id="443"/>
      <w:bookmarkEnd w:id="444"/>
    </w:p>
    <w:p w14:paraId="4E3A4EB0">
      <w:pPr>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1D278F4">
      <w:pPr>
        <w:pStyle w:val="4"/>
        <w:rPr>
          <w:rFonts w:ascii="Times New Roman" w:hAnsi="Times New Roman"/>
          <w:color w:val="auto"/>
          <w:highlight w:val="none"/>
        </w:rPr>
      </w:pPr>
      <w:bookmarkStart w:id="445" w:name="_Toc14425"/>
      <w:bookmarkStart w:id="446" w:name="_Toc29595"/>
      <w:r>
        <w:rPr>
          <w:rFonts w:hint="eastAsia" w:ascii="Times New Roman" w:hAnsi="Times New Roman"/>
          <w:color w:val="auto"/>
          <w:highlight w:val="none"/>
        </w:rPr>
        <w:t>3.6 对与评审活动有关的工作人员的纪律要求</w:t>
      </w:r>
      <w:bookmarkEnd w:id="445"/>
      <w:bookmarkEnd w:id="446"/>
    </w:p>
    <w:p w14:paraId="7F5365BE">
      <w:pPr>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072C4BA">
      <w:pPr>
        <w:rPr>
          <w:rFonts w:ascii="Times New Roman" w:hAnsi="Times New Roman"/>
          <w:color w:val="auto"/>
          <w:highlight w:val="none"/>
        </w:rPr>
      </w:pPr>
    </w:p>
    <w:p w14:paraId="4AB72C93">
      <w:pPr>
        <w:rPr>
          <w:rFonts w:ascii="Times New Roman" w:hAnsi="Times New Roman"/>
          <w:color w:val="auto"/>
          <w:highlight w:val="none"/>
        </w:rPr>
      </w:pPr>
      <w:bookmarkStart w:id="447" w:name="_Toc150953074"/>
      <w:bookmarkStart w:id="448" w:name="_Toc89675170"/>
      <w:bookmarkStart w:id="449" w:name="_Toc303066034"/>
      <w:r>
        <w:rPr>
          <w:rFonts w:hint="eastAsia" w:ascii="Times New Roman" w:hAnsi="Times New Roman"/>
          <w:color w:val="auto"/>
          <w:highlight w:val="none"/>
        </w:rPr>
        <w:br w:type="page"/>
      </w:r>
    </w:p>
    <w:p w14:paraId="3EA27893">
      <w:pPr>
        <w:pStyle w:val="2"/>
        <w:rPr>
          <w:rFonts w:ascii="Times New Roman" w:hAnsi="Times New Roman"/>
          <w:color w:val="auto"/>
          <w:highlight w:val="none"/>
        </w:rPr>
      </w:pPr>
      <w:bookmarkStart w:id="450" w:name="_Toc3482"/>
      <w:bookmarkStart w:id="451" w:name="_Toc12976"/>
      <w:bookmarkStart w:id="452" w:name="_Toc15453"/>
      <w:bookmarkStart w:id="453" w:name="_Toc32306"/>
      <w:bookmarkStart w:id="454" w:name="_Toc6341"/>
      <w:bookmarkStart w:id="455" w:name="_Toc30307"/>
      <w:r>
        <w:rPr>
          <w:rFonts w:hint="eastAsia" w:ascii="Times New Roman" w:hAnsi="Times New Roman"/>
          <w:color w:val="auto"/>
          <w:highlight w:val="none"/>
        </w:rPr>
        <w:t>第五章 合同</w:t>
      </w:r>
      <w:r>
        <w:rPr>
          <w:rFonts w:ascii="Times New Roman" w:hAnsi="Times New Roman"/>
          <w:color w:val="auto"/>
          <w:highlight w:val="none"/>
        </w:rPr>
        <w:t>模板</w:t>
      </w:r>
      <w:bookmarkEnd w:id="447"/>
      <w:bookmarkEnd w:id="450"/>
      <w:bookmarkEnd w:id="451"/>
      <w:bookmarkEnd w:id="452"/>
      <w:bookmarkEnd w:id="453"/>
      <w:bookmarkEnd w:id="454"/>
      <w:bookmarkEnd w:id="455"/>
    </w:p>
    <w:p w14:paraId="397C2133">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3676CBF9">
      <w:pPr>
        <w:rPr>
          <w:rFonts w:ascii="Times New Roman" w:hAnsi="Times New Roman"/>
          <w:color w:val="auto"/>
          <w:highlight w:val="none"/>
        </w:rPr>
      </w:pPr>
      <w:r>
        <w:rPr>
          <w:rFonts w:hint="eastAsia" w:ascii="Times New Roman" w:hAnsi="Times New Roman"/>
          <w:color w:val="auto"/>
          <w:highlight w:val="none"/>
        </w:rPr>
        <w:br w:type="page"/>
      </w:r>
    </w:p>
    <w:p w14:paraId="5084ED80">
      <w:pPr>
        <w:spacing w:line="360" w:lineRule="auto"/>
        <w:jc w:val="right"/>
        <w:rPr>
          <w:rStyle w:val="27"/>
          <w:rFonts w:ascii="宋体"/>
          <w:b w:val="0"/>
          <w:color w:val="auto"/>
          <w:sz w:val="28"/>
          <w:szCs w:val="28"/>
          <w:highlight w:val="none"/>
        </w:rPr>
      </w:pPr>
      <w:r>
        <w:rPr>
          <w:rStyle w:val="27"/>
          <w:rFonts w:hint="eastAsia" w:ascii="宋体"/>
          <w:b w:val="0"/>
          <w:color w:val="auto"/>
          <w:sz w:val="28"/>
          <w:szCs w:val="28"/>
          <w:highlight w:val="none"/>
        </w:rPr>
        <w:t>编号：SXYH20220101018_______</w:t>
      </w:r>
    </w:p>
    <w:p w14:paraId="3816A969">
      <w:pPr>
        <w:spacing w:line="360" w:lineRule="auto"/>
        <w:jc w:val="center"/>
        <w:rPr>
          <w:rStyle w:val="27"/>
          <w:color w:val="auto"/>
          <w:szCs w:val="21"/>
          <w:highlight w:val="none"/>
        </w:rPr>
      </w:pPr>
    </w:p>
    <w:p w14:paraId="1FED4351">
      <w:pPr>
        <w:spacing w:line="360" w:lineRule="auto"/>
        <w:jc w:val="center"/>
        <w:rPr>
          <w:rStyle w:val="27"/>
          <w:color w:val="auto"/>
          <w:szCs w:val="21"/>
          <w:highlight w:val="none"/>
        </w:rPr>
      </w:pPr>
    </w:p>
    <w:p w14:paraId="06B5A77B">
      <w:pPr>
        <w:spacing w:line="360" w:lineRule="auto"/>
        <w:jc w:val="center"/>
        <w:rPr>
          <w:rStyle w:val="27"/>
          <w:color w:val="auto"/>
          <w:szCs w:val="21"/>
          <w:highlight w:val="none"/>
        </w:rPr>
      </w:pPr>
    </w:p>
    <w:p w14:paraId="2E212E81">
      <w:pPr>
        <w:spacing w:line="360" w:lineRule="auto"/>
        <w:jc w:val="center"/>
        <w:rPr>
          <w:rStyle w:val="27"/>
          <w:color w:val="auto"/>
          <w:szCs w:val="21"/>
          <w:highlight w:val="none"/>
        </w:rPr>
      </w:pPr>
    </w:p>
    <w:p w14:paraId="7CA757E2">
      <w:pPr>
        <w:spacing w:line="360" w:lineRule="auto"/>
        <w:ind w:firstLine="0" w:firstLineChars="0"/>
        <w:jc w:val="center"/>
        <w:rPr>
          <w:rStyle w:val="27"/>
          <w:rFonts w:ascii="宋体"/>
          <w:color w:val="auto"/>
          <w:sz w:val="52"/>
          <w:szCs w:val="52"/>
          <w:highlight w:val="none"/>
        </w:rPr>
      </w:pPr>
      <w:r>
        <w:rPr>
          <w:rStyle w:val="27"/>
          <w:rFonts w:hint="eastAsia" w:ascii="宋体"/>
          <w:color w:val="auto"/>
          <w:sz w:val="52"/>
          <w:szCs w:val="52"/>
          <w:highlight w:val="none"/>
        </w:rPr>
        <w:t>重庆三峡银行</w:t>
      </w:r>
    </w:p>
    <w:p w14:paraId="5C9D375A">
      <w:pPr>
        <w:spacing w:line="360" w:lineRule="auto"/>
        <w:ind w:firstLine="0" w:firstLineChars="0"/>
        <w:jc w:val="center"/>
        <w:rPr>
          <w:rFonts w:ascii="宋体"/>
          <w:color w:val="auto"/>
          <w:sz w:val="52"/>
          <w:szCs w:val="52"/>
          <w:highlight w:val="none"/>
        </w:rPr>
      </w:pPr>
      <w:r>
        <w:rPr>
          <w:rStyle w:val="27"/>
          <w:rFonts w:ascii="宋体"/>
          <w:color w:val="auto"/>
          <w:sz w:val="52"/>
          <w:szCs w:val="52"/>
          <w:highlight w:val="none"/>
        </w:rPr>
        <w:t>审计监督信息系统优化升级项目</w:t>
      </w:r>
    </w:p>
    <w:p w14:paraId="67552EEE">
      <w:pPr>
        <w:spacing w:line="360" w:lineRule="auto"/>
        <w:ind w:firstLine="0" w:firstLineChars="0"/>
        <w:jc w:val="center"/>
        <w:rPr>
          <w:rStyle w:val="27"/>
          <w:color w:val="auto"/>
          <w:sz w:val="36"/>
          <w:szCs w:val="21"/>
          <w:highlight w:val="none"/>
        </w:rPr>
      </w:pPr>
      <w:r>
        <w:rPr>
          <w:rStyle w:val="27"/>
          <w:rFonts w:hint="eastAsia" w:ascii="宋体"/>
          <w:color w:val="auto"/>
          <w:sz w:val="52"/>
          <w:szCs w:val="52"/>
          <w:highlight w:val="none"/>
        </w:rPr>
        <w:t>外包开发合同</w:t>
      </w:r>
    </w:p>
    <w:p w14:paraId="4BBA4B1A">
      <w:pPr>
        <w:spacing w:line="360" w:lineRule="auto"/>
        <w:jc w:val="center"/>
        <w:rPr>
          <w:rStyle w:val="27"/>
          <w:color w:val="auto"/>
          <w:szCs w:val="21"/>
          <w:highlight w:val="none"/>
        </w:rPr>
      </w:pPr>
    </w:p>
    <w:p w14:paraId="46516C27">
      <w:pPr>
        <w:spacing w:line="360" w:lineRule="auto"/>
        <w:jc w:val="center"/>
        <w:rPr>
          <w:rStyle w:val="27"/>
          <w:color w:val="auto"/>
          <w:szCs w:val="21"/>
          <w:highlight w:val="none"/>
        </w:rPr>
      </w:pPr>
    </w:p>
    <w:p w14:paraId="6CBDA820">
      <w:pPr>
        <w:spacing w:line="360" w:lineRule="auto"/>
        <w:jc w:val="center"/>
        <w:rPr>
          <w:b/>
          <w:bCs/>
          <w:color w:val="auto"/>
          <w:highlight w:val="none"/>
        </w:rPr>
      </w:pPr>
    </w:p>
    <w:p w14:paraId="518BF619">
      <w:pPr>
        <w:spacing w:line="360" w:lineRule="auto"/>
        <w:jc w:val="center"/>
        <w:rPr>
          <w:b/>
          <w:bCs/>
          <w:color w:val="auto"/>
          <w:highlight w:val="none"/>
        </w:rPr>
      </w:pPr>
    </w:p>
    <w:p w14:paraId="1B620080">
      <w:pPr>
        <w:spacing w:line="360" w:lineRule="auto"/>
        <w:jc w:val="center"/>
        <w:rPr>
          <w:b/>
          <w:bCs/>
          <w:color w:val="auto"/>
          <w:highlight w:val="none"/>
        </w:rPr>
      </w:pPr>
    </w:p>
    <w:p w14:paraId="1DA7C3E9">
      <w:pPr>
        <w:spacing w:line="360" w:lineRule="auto"/>
        <w:rPr>
          <w:b/>
          <w:bCs/>
          <w:color w:val="auto"/>
          <w:highlight w:val="none"/>
        </w:rPr>
      </w:pPr>
    </w:p>
    <w:p w14:paraId="51ABDA13">
      <w:pPr>
        <w:spacing w:line="360" w:lineRule="auto"/>
        <w:jc w:val="center"/>
        <w:rPr>
          <w:b/>
          <w:bCs/>
          <w:color w:val="auto"/>
          <w:highlight w:val="none"/>
        </w:rPr>
      </w:pPr>
    </w:p>
    <w:p w14:paraId="683E8356">
      <w:pPr>
        <w:spacing w:line="360" w:lineRule="auto"/>
        <w:jc w:val="center"/>
        <w:rPr>
          <w:b/>
          <w:bCs/>
          <w:color w:val="auto"/>
          <w:highlight w:val="none"/>
        </w:rPr>
      </w:pPr>
    </w:p>
    <w:p w14:paraId="58D6C579">
      <w:pPr>
        <w:spacing w:line="360" w:lineRule="auto"/>
        <w:jc w:val="center"/>
        <w:rPr>
          <w:b/>
          <w:bCs/>
          <w:color w:val="auto"/>
          <w:highlight w:val="none"/>
        </w:rPr>
      </w:pPr>
    </w:p>
    <w:p w14:paraId="45EF79E9">
      <w:pPr>
        <w:spacing w:line="360" w:lineRule="auto"/>
        <w:ind w:left="840" w:firstLine="420" w:firstLineChars="0"/>
        <w:rPr>
          <w:rFonts w:ascii="宋体"/>
          <w:b/>
          <w:bCs/>
          <w:color w:val="auto"/>
          <w:sz w:val="28"/>
          <w:highlight w:val="none"/>
        </w:rPr>
      </w:pPr>
      <w:r>
        <w:rPr>
          <w:rFonts w:hint="eastAsia" w:ascii="宋体"/>
          <w:b/>
          <w:bCs/>
          <w:color w:val="auto"/>
          <w:sz w:val="28"/>
          <w:highlight w:val="none"/>
        </w:rPr>
        <w:t>委托方（甲方）：重庆三峡银行股份有限公司</w:t>
      </w:r>
    </w:p>
    <w:p w14:paraId="5ED14C89">
      <w:pPr>
        <w:spacing w:line="360" w:lineRule="auto"/>
        <w:ind w:left="840" w:firstLine="420" w:firstLineChars="0"/>
        <w:rPr>
          <w:rFonts w:ascii="宋体"/>
          <w:b/>
          <w:bCs/>
          <w:color w:val="auto"/>
          <w:sz w:val="28"/>
          <w:highlight w:val="none"/>
        </w:rPr>
      </w:pPr>
      <w:r>
        <w:rPr>
          <w:rFonts w:hint="eastAsia" w:ascii="宋体"/>
          <w:b/>
          <w:bCs/>
          <w:color w:val="auto"/>
          <w:sz w:val="28"/>
          <w:highlight w:val="none"/>
        </w:rPr>
        <w:t>受托方（乙方）：XXXXXXXXXXX</w:t>
      </w:r>
    </w:p>
    <w:p w14:paraId="30A949F6">
      <w:pPr>
        <w:spacing w:line="360" w:lineRule="auto"/>
        <w:ind w:left="840" w:firstLine="420" w:firstLineChars="0"/>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w:t>
      </w:r>
    </w:p>
    <w:p w14:paraId="12A276B9">
      <w:pPr>
        <w:spacing w:line="360" w:lineRule="auto"/>
        <w:rPr>
          <w:b/>
          <w:color w:val="auto"/>
          <w:sz w:val="32"/>
          <w:highlight w:val="none"/>
        </w:rPr>
      </w:pPr>
    </w:p>
    <w:p w14:paraId="567B9526">
      <w:pPr>
        <w:spacing w:line="360" w:lineRule="auto"/>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    录</w:t>
      </w:r>
    </w:p>
    <w:p w14:paraId="03EE289D">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第一条  定义</w:t>
      </w:r>
    </w:p>
    <w:p w14:paraId="091C2C4C">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第二条  外包开发内容</w:t>
      </w:r>
    </w:p>
    <w:p w14:paraId="1277C61D">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第三条  项目履行的进度、期限、地点、地域、方式</w:t>
      </w:r>
    </w:p>
    <w:p w14:paraId="68423F4F">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第四条  方案调整</w:t>
      </w:r>
    </w:p>
    <w:p w14:paraId="4047C26B">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第五条  项目验收</w:t>
      </w:r>
    </w:p>
    <w:p w14:paraId="191C866E">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第六条  交付使用后维护期、系统完善和保修维护服务</w:t>
      </w:r>
    </w:p>
    <w:p w14:paraId="4D84BBF5">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第七条  技术辅导与培训</w:t>
      </w:r>
    </w:p>
    <w:p w14:paraId="0C7E779D">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第八条  双方的权利、义务</w:t>
      </w:r>
    </w:p>
    <w:p w14:paraId="36492005">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第九条  乙方的声明与保证</w:t>
      </w:r>
    </w:p>
    <w:p w14:paraId="0FDD0CCE">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第十条  知识产权</w:t>
      </w:r>
    </w:p>
    <w:p w14:paraId="21C0FDDC">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第十一条  第三方索赔</w:t>
      </w:r>
    </w:p>
    <w:p w14:paraId="19BCA3FA">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第十二条  保密</w:t>
      </w:r>
    </w:p>
    <w:p w14:paraId="2B30ACA8">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第十三条  价格与支付</w:t>
      </w:r>
    </w:p>
    <w:p w14:paraId="1D9883B1">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第十四条  风险责任的承担</w:t>
      </w:r>
    </w:p>
    <w:p w14:paraId="642BA927">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第十五条  违约与赔偿</w:t>
      </w:r>
    </w:p>
    <w:p w14:paraId="11222C99">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第十六条  合同的解除</w:t>
      </w:r>
    </w:p>
    <w:p w14:paraId="0CF7FDC6">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第十七条  合同变更及转让</w:t>
      </w:r>
    </w:p>
    <w:p w14:paraId="38ECDA69">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第十八条  争议解决</w:t>
      </w:r>
    </w:p>
    <w:p w14:paraId="23F95228">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第十九条 通知与送达</w:t>
      </w:r>
    </w:p>
    <w:p w14:paraId="0C82DEC2">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第二十条  合同生效</w:t>
      </w:r>
    </w:p>
    <w:p w14:paraId="36AE9671">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第二十一条  不可抗力</w:t>
      </w:r>
    </w:p>
    <w:p w14:paraId="6F1C1BA4">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第二十二条  反商业贿赂</w:t>
      </w:r>
    </w:p>
    <w:p w14:paraId="351A1948">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第二十三条  附件</w:t>
      </w:r>
    </w:p>
    <w:p w14:paraId="32F8101A">
      <w:pPr>
        <w:pStyle w:val="19"/>
        <w:tabs>
          <w:tab w:val="right" w:leader="dot" w:pos="8302"/>
        </w:tabs>
        <w:ind w:firstLine="480"/>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第二十四条  其他</w:t>
      </w:r>
    </w:p>
    <w:p w14:paraId="0D939D23">
      <w:pPr>
        <w:spacing w:line="360" w:lineRule="auto"/>
        <w:rPr>
          <w:rFonts w:ascii="宋体"/>
          <w:color w:val="auto"/>
          <w:highlight w:val="none"/>
        </w:rPr>
      </w:pPr>
    </w:p>
    <w:p w14:paraId="64589BD9">
      <w:pPr>
        <w:spacing w:line="360" w:lineRule="auto"/>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69B7FE0E">
      <w:pPr>
        <w:spacing w:line="360" w:lineRule="auto"/>
        <w:rPr>
          <w:rFonts w:ascii="宋体"/>
          <w:color w:val="auto"/>
          <w:highlight w:val="none"/>
        </w:rPr>
      </w:pPr>
      <w:r>
        <w:rPr>
          <w:rFonts w:hint="eastAsia" w:ascii="宋体"/>
          <w:color w:val="auto"/>
          <w:highlight w:val="none"/>
        </w:rPr>
        <w:t>法定代表人：刘江桥</w:t>
      </w:r>
    </w:p>
    <w:p w14:paraId="20346B6B">
      <w:pPr>
        <w:spacing w:line="360" w:lineRule="auto"/>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46666C36">
      <w:pPr>
        <w:spacing w:line="360" w:lineRule="auto"/>
        <w:rPr>
          <w:rFonts w:ascii="宋体"/>
          <w:color w:val="auto"/>
          <w:highlight w:val="none"/>
        </w:rPr>
      </w:pPr>
      <w:r>
        <w:rPr>
          <w:rFonts w:hint="eastAsia" w:ascii="宋体"/>
          <w:color w:val="auto"/>
          <w:highlight w:val="none"/>
        </w:rPr>
        <w:t>邮政编码：400010</w:t>
      </w:r>
    </w:p>
    <w:p w14:paraId="6BC64C24">
      <w:pPr>
        <w:spacing w:line="360" w:lineRule="auto"/>
        <w:rPr>
          <w:rFonts w:ascii="宋体"/>
          <w:color w:val="auto"/>
          <w:highlight w:val="none"/>
        </w:rPr>
      </w:pPr>
      <w:r>
        <w:rPr>
          <w:rFonts w:hint="eastAsia" w:ascii="宋体"/>
          <w:color w:val="auto"/>
          <w:highlight w:val="none"/>
        </w:rPr>
        <w:t>联系人： 邓皓然</w:t>
      </w:r>
    </w:p>
    <w:p w14:paraId="5BE6D3D2">
      <w:pPr>
        <w:spacing w:line="360" w:lineRule="auto"/>
        <w:rPr>
          <w:rFonts w:ascii="宋体"/>
          <w:color w:val="auto"/>
          <w:highlight w:val="none"/>
        </w:rPr>
      </w:pPr>
      <w:r>
        <w:rPr>
          <w:rFonts w:hint="eastAsia" w:ascii="宋体"/>
          <w:color w:val="auto"/>
          <w:highlight w:val="none"/>
        </w:rPr>
        <w:t>电话：023-86126316</w:t>
      </w:r>
    </w:p>
    <w:p w14:paraId="0841FB9B">
      <w:pPr>
        <w:spacing w:line="360" w:lineRule="auto"/>
        <w:rPr>
          <w:rFonts w:ascii="宋体"/>
          <w:color w:val="auto"/>
          <w:highlight w:val="none"/>
        </w:rPr>
      </w:pPr>
      <w:r>
        <w:rPr>
          <w:rFonts w:hint="eastAsia" w:ascii="宋体"/>
          <w:color w:val="auto"/>
          <w:highlight w:val="none"/>
        </w:rPr>
        <w:t>传真：023-86126011</w:t>
      </w:r>
    </w:p>
    <w:p w14:paraId="39F4E685">
      <w:pPr>
        <w:spacing w:line="360" w:lineRule="auto"/>
        <w:rPr>
          <w:rFonts w:ascii="宋体"/>
          <w:color w:val="auto"/>
          <w:highlight w:val="none"/>
        </w:rPr>
      </w:pPr>
      <w:r>
        <w:rPr>
          <w:rFonts w:hint="eastAsia" w:ascii="宋体"/>
          <w:color w:val="auto"/>
          <w:highlight w:val="none"/>
        </w:rPr>
        <w:t>电子邮箱：itsrdc@ccqtgb.com</w:t>
      </w:r>
    </w:p>
    <w:p w14:paraId="22F05196">
      <w:pPr>
        <w:spacing w:line="360" w:lineRule="auto"/>
        <w:rPr>
          <w:rFonts w:ascii="宋体"/>
          <w:color w:val="auto"/>
          <w:highlight w:val="none"/>
        </w:rPr>
      </w:pPr>
    </w:p>
    <w:p w14:paraId="0BCAB0BB">
      <w:pPr>
        <w:spacing w:line="360" w:lineRule="auto"/>
        <w:rPr>
          <w:rFonts w:ascii="宋体"/>
          <w:b/>
          <w:color w:val="auto"/>
          <w:highlight w:val="none"/>
        </w:rPr>
      </w:pPr>
      <w:r>
        <w:rPr>
          <w:rFonts w:hint="eastAsia" w:ascii="宋体"/>
          <w:b/>
          <w:color w:val="auto"/>
          <w:highlight w:val="none"/>
        </w:rPr>
        <w:t>受托方：XXXXXXXXXXXXX（以下简称“乙方”）</w:t>
      </w:r>
    </w:p>
    <w:p w14:paraId="45D1636E">
      <w:pPr>
        <w:spacing w:line="360" w:lineRule="auto"/>
        <w:rPr>
          <w:rFonts w:ascii="宋体"/>
          <w:color w:val="auto"/>
          <w:highlight w:val="none"/>
        </w:rPr>
      </w:pPr>
      <w:r>
        <w:rPr>
          <w:rFonts w:hint="eastAsia" w:ascii="宋体"/>
          <w:color w:val="auto"/>
          <w:highlight w:val="none"/>
        </w:rPr>
        <w:t xml:space="preserve">法定代表人： </w:t>
      </w:r>
    </w:p>
    <w:p w14:paraId="2792DB15">
      <w:pPr>
        <w:spacing w:line="360" w:lineRule="auto"/>
        <w:rPr>
          <w:rFonts w:ascii="宋体"/>
          <w:color w:val="auto"/>
          <w:highlight w:val="none"/>
        </w:rPr>
      </w:pPr>
      <w:r>
        <w:rPr>
          <w:rFonts w:hint="eastAsia" w:ascii="宋体"/>
          <w:color w:val="auto"/>
          <w:highlight w:val="none"/>
        </w:rPr>
        <w:t>地址：</w:t>
      </w:r>
    </w:p>
    <w:p w14:paraId="614CFEA7">
      <w:pPr>
        <w:spacing w:line="360" w:lineRule="auto"/>
        <w:rPr>
          <w:rFonts w:ascii="宋体"/>
          <w:color w:val="auto"/>
          <w:highlight w:val="none"/>
        </w:rPr>
      </w:pPr>
      <w:r>
        <w:rPr>
          <w:rFonts w:hint="eastAsia" w:ascii="宋体"/>
          <w:color w:val="auto"/>
          <w:highlight w:val="none"/>
        </w:rPr>
        <w:t>邮政编码：</w:t>
      </w:r>
    </w:p>
    <w:p w14:paraId="68F91D07">
      <w:pPr>
        <w:spacing w:line="360" w:lineRule="auto"/>
        <w:rPr>
          <w:rFonts w:ascii="宋体"/>
          <w:color w:val="auto"/>
          <w:highlight w:val="none"/>
        </w:rPr>
      </w:pPr>
      <w:r>
        <w:rPr>
          <w:rFonts w:hint="eastAsia" w:ascii="宋体"/>
          <w:color w:val="auto"/>
          <w:highlight w:val="none"/>
        </w:rPr>
        <w:t xml:space="preserve">开户银行： </w:t>
      </w:r>
    </w:p>
    <w:p w14:paraId="0BB768BF">
      <w:pPr>
        <w:spacing w:line="360" w:lineRule="auto"/>
        <w:rPr>
          <w:rFonts w:ascii="宋体"/>
          <w:color w:val="auto"/>
          <w:highlight w:val="none"/>
        </w:rPr>
      </w:pPr>
      <w:r>
        <w:rPr>
          <w:rFonts w:hint="eastAsia" w:ascii="宋体"/>
          <w:color w:val="auto"/>
          <w:highlight w:val="none"/>
        </w:rPr>
        <w:t xml:space="preserve">账号：  </w:t>
      </w:r>
    </w:p>
    <w:p w14:paraId="3C6EF670">
      <w:pPr>
        <w:spacing w:line="360" w:lineRule="auto"/>
        <w:rPr>
          <w:rFonts w:ascii="宋体"/>
          <w:color w:val="auto"/>
          <w:highlight w:val="none"/>
        </w:rPr>
      </w:pPr>
      <w:r>
        <w:rPr>
          <w:rFonts w:hint="eastAsia" w:ascii="宋体"/>
          <w:color w:val="auto"/>
          <w:highlight w:val="none"/>
        </w:rPr>
        <w:t>税号：</w:t>
      </w:r>
    </w:p>
    <w:p w14:paraId="6FAA1186">
      <w:pPr>
        <w:spacing w:line="360" w:lineRule="auto"/>
        <w:rPr>
          <w:rFonts w:ascii="宋体"/>
          <w:color w:val="auto"/>
          <w:highlight w:val="none"/>
        </w:rPr>
      </w:pPr>
      <w:r>
        <w:rPr>
          <w:rFonts w:hint="eastAsia" w:ascii="宋体"/>
          <w:color w:val="auto"/>
          <w:highlight w:val="none"/>
        </w:rPr>
        <w:t xml:space="preserve">联系人： </w:t>
      </w:r>
    </w:p>
    <w:p w14:paraId="1CD574E7">
      <w:pPr>
        <w:spacing w:line="360" w:lineRule="auto"/>
        <w:rPr>
          <w:rFonts w:ascii="宋体"/>
          <w:color w:val="auto"/>
          <w:highlight w:val="none"/>
        </w:rPr>
      </w:pPr>
      <w:r>
        <w:rPr>
          <w:rFonts w:hint="eastAsia" w:ascii="宋体"/>
          <w:color w:val="auto"/>
          <w:highlight w:val="none"/>
        </w:rPr>
        <w:t>电话：</w:t>
      </w:r>
    </w:p>
    <w:p w14:paraId="27CD25AA">
      <w:pPr>
        <w:spacing w:line="360" w:lineRule="auto"/>
        <w:rPr>
          <w:rFonts w:ascii="宋体"/>
          <w:color w:val="auto"/>
          <w:highlight w:val="none"/>
        </w:rPr>
      </w:pPr>
      <w:r>
        <w:rPr>
          <w:rFonts w:hint="eastAsia" w:ascii="宋体"/>
          <w:color w:val="auto"/>
          <w:highlight w:val="none"/>
        </w:rPr>
        <w:t>手机：</w:t>
      </w:r>
    </w:p>
    <w:p w14:paraId="3783D552">
      <w:pPr>
        <w:spacing w:line="360" w:lineRule="auto"/>
        <w:rPr>
          <w:rFonts w:ascii="宋体"/>
          <w:color w:val="auto"/>
          <w:highlight w:val="none"/>
        </w:rPr>
      </w:pPr>
      <w:r>
        <w:rPr>
          <w:rFonts w:hint="eastAsia" w:ascii="宋体"/>
          <w:color w:val="auto"/>
          <w:highlight w:val="none"/>
        </w:rPr>
        <w:t>传真：</w:t>
      </w:r>
    </w:p>
    <w:p w14:paraId="0CC7747B">
      <w:pPr>
        <w:spacing w:line="360" w:lineRule="auto"/>
        <w:rPr>
          <w:rFonts w:ascii="宋体"/>
          <w:color w:val="auto"/>
          <w:highlight w:val="none"/>
          <w:lang w:val="en-GB"/>
        </w:rPr>
      </w:pPr>
      <w:r>
        <w:rPr>
          <w:rFonts w:hint="eastAsia" w:ascii="宋体"/>
          <w:color w:val="auto"/>
          <w:highlight w:val="none"/>
        </w:rPr>
        <w:t>电子邮箱：</w:t>
      </w:r>
    </w:p>
    <w:p w14:paraId="58016F6B">
      <w:pPr>
        <w:spacing w:line="360" w:lineRule="auto"/>
        <w:rPr>
          <w:rFonts w:ascii="宋体"/>
          <w:b/>
          <w:color w:val="auto"/>
          <w:highlight w:val="none"/>
        </w:rPr>
      </w:pPr>
      <w:r>
        <w:rPr>
          <w:rFonts w:hint="eastAsia" w:ascii="宋体"/>
          <w:color w:val="auto"/>
          <w:highlight w:val="none"/>
        </w:rPr>
        <w:br w:type="page"/>
      </w:r>
      <w:r>
        <w:rPr>
          <w:rFonts w:hint="eastAsia" w:ascii="宋体"/>
          <w:b/>
          <w:color w:val="auto"/>
          <w:highlight w:val="none"/>
        </w:rPr>
        <w:t>鉴于：</w:t>
      </w:r>
    </w:p>
    <w:p w14:paraId="3824DF67">
      <w:pPr>
        <w:spacing w:line="360" w:lineRule="auto"/>
        <w:rPr>
          <w:rFonts w:ascii="宋体"/>
          <w:color w:val="auto"/>
          <w:highlight w:val="none"/>
        </w:rPr>
      </w:pPr>
      <w:r>
        <w:rPr>
          <w:rStyle w:val="40"/>
          <w:rFonts w:hint="eastAsia" w:ascii="宋体"/>
          <w:color w:val="auto"/>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color w:val="auto"/>
          <w:highlight w:val="none"/>
        </w:rPr>
        <w:t>以资信守：</w:t>
      </w:r>
    </w:p>
    <w:p w14:paraId="0966D401">
      <w:pPr>
        <w:spacing w:line="360" w:lineRule="auto"/>
        <w:ind w:firstLine="428" w:firstLineChars="0"/>
        <w:rPr>
          <w:rFonts w:ascii="宋体"/>
          <w:color w:val="auto"/>
          <w:highlight w:val="none"/>
        </w:rPr>
      </w:pPr>
    </w:p>
    <w:p w14:paraId="5CAB88FA">
      <w:pPr>
        <w:spacing w:line="360" w:lineRule="auto"/>
        <w:ind w:firstLine="472" w:firstLineChars="196"/>
        <w:outlineLvl w:val="0"/>
        <w:rPr>
          <w:rFonts w:ascii="宋体"/>
          <w:b/>
          <w:color w:val="auto"/>
          <w:highlight w:val="none"/>
        </w:rPr>
      </w:pPr>
      <w:bookmarkStart w:id="456" w:name="_Toc30578"/>
      <w:bookmarkStart w:id="457" w:name="_Toc63757457"/>
      <w:bookmarkStart w:id="458" w:name="_Toc28270"/>
      <w:bookmarkStart w:id="459" w:name="_Toc10383"/>
      <w:r>
        <w:rPr>
          <w:rFonts w:hint="eastAsia" w:ascii="宋体"/>
          <w:b/>
          <w:color w:val="auto"/>
          <w:highlight w:val="none"/>
        </w:rPr>
        <w:t>第一条  定义</w:t>
      </w:r>
      <w:bookmarkEnd w:id="456"/>
      <w:bookmarkEnd w:id="457"/>
      <w:bookmarkEnd w:id="458"/>
      <w:bookmarkEnd w:id="459"/>
    </w:p>
    <w:p w14:paraId="3DF416AB">
      <w:pPr>
        <w:spacing w:line="360" w:lineRule="auto"/>
        <w:rPr>
          <w:rFonts w:ascii="宋体"/>
          <w:color w:val="auto"/>
          <w:highlight w:val="none"/>
        </w:rPr>
      </w:pPr>
      <w:r>
        <w:rPr>
          <w:rFonts w:hint="eastAsia" w:ascii="宋体"/>
          <w:color w:val="auto"/>
          <w:highlight w:val="none"/>
        </w:rPr>
        <w:t>在本合同中，除非有相反的表述，下列术语具有如下含义：</w:t>
      </w:r>
    </w:p>
    <w:p w14:paraId="51FD0A8D">
      <w:pPr>
        <w:spacing w:line="360" w:lineRule="auto"/>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3EE54E95">
      <w:pPr>
        <w:spacing w:line="360" w:lineRule="auto"/>
        <w:rPr>
          <w:rFonts w:ascii="宋体"/>
          <w:color w:val="auto"/>
          <w:highlight w:val="none"/>
        </w:rPr>
      </w:pPr>
      <w:r>
        <w:rPr>
          <w:rFonts w:hint="eastAsia" w:ascii="宋体"/>
          <w:color w:val="auto"/>
          <w:highlight w:val="none"/>
        </w:rPr>
        <w:t>1.2“客户化工作”指项目交付乙方后乙方对甲方的需求进行开发实施。</w:t>
      </w:r>
    </w:p>
    <w:p w14:paraId="44B17658">
      <w:pPr>
        <w:spacing w:line="360" w:lineRule="auto"/>
        <w:rPr>
          <w:rFonts w:ascii="宋体"/>
          <w:color w:val="auto"/>
          <w:highlight w:val="none"/>
        </w:rPr>
      </w:pPr>
      <w:r>
        <w:rPr>
          <w:rFonts w:hint="eastAsia" w:ascii="宋体"/>
          <w:color w:val="auto"/>
          <w:highlight w:val="none"/>
        </w:rPr>
        <w:t>1.3“产品实施数据迁移”指乙方产品的安装配置和业务数据迁移服务。</w:t>
      </w:r>
    </w:p>
    <w:p w14:paraId="484B8D78">
      <w:pPr>
        <w:spacing w:line="360" w:lineRule="auto"/>
        <w:rPr>
          <w:rFonts w:ascii="宋体"/>
          <w:color w:val="auto"/>
          <w:highlight w:val="none"/>
        </w:rPr>
      </w:pPr>
      <w:r>
        <w:rPr>
          <w:rFonts w:hint="eastAsia" w:ascii="宋体"/>
          <w:color w:val="auto"/>
          <w:highlight w:val="none"/>
        </w:rPr>
        <w:t>1.4“</w:t>
      </w:r>
      <w:r>
        <w:rPr>
          <w:rFonts w:ascii="宋体"/>
          <w:color w:val="auto"/>
          <w:highlight w:val="none"/>
        </w:rPr>
        <w:t>审计监督信息系统</w:t>
      </w:r>
      <w:r>
        <w:rPr>
          <w:rFonts w:hint="eastAsia" w:ascii="宋体"/>
          <w:color w:val="auto"/>
          <w:highlight w:val="none"/>
        </w:rPr>
        <w:t>业务”指乙方提供给甲方的附件一中所涵盖的业务功能。</w:t>
      </w:r>
    </w:p>
    <w:p w14:paraId="4EBBCCB0">
      <w:pPr>
        <w:spacing w:line="360" w:lineRule="auto"/>
        <w:ind w:left="-2" w:leftChars="-1"/>
        <w:rPr>
          <w:rFonts w:ascii="宋体" w:cs="宋体"/>
          <w:color w:val="auto"/>
          <w:szCs w:val="24"/>
          <w:highlight w:val="none"/>
        </w:rPr>
      </w:pPr>
      <w:r>
        <w:rPr>
          <w:rFonts w:hint="eastAsia" w:ascii="宋体" w:cs="宋体"/>
          <w:color w:val="auto"/>
          <w:szCs w:val="24"/>
          <w:highlight w:val="none"/>
        </w:rPr>
        <w:t>1.5“缺陷逃逸率”：后一测试阶段测试期间发现的缺陷个数/（当前测试期间所发现的缺陷个数+后一测试期间发现的缺陷个数）。</w:t>
      </w:r>
    </w:p>
    <w:p w14:paraId="2AAF4C15">
      <w:pPr>
        <w:spacing w:line="360" w:lineRule="auto"/>
        <w:ind w:left="-2" w:leftChars="-1"/>
        <w:rPr>
          <w:rFonts w:ascii="宋体" w:cs="宋体"/>
          <w:color w:val="auto"/>
          <w:szCs w:val="24"/>
          <w:highlight w:val="none"/>
        </w:rPr>
      </w:pPr>
      <w:r>
        <w:rPr>
          <w:rFonts w:hint="eastAsia" w:ascii="宋体" w:cs="宋体"/>
          <w:color w:val="auto"/>
          <w:szCs w:val="24"/>
          <w:highlight w:val="none"/>
        </w:rPr>
        <w:t>1.6“试运行”：项目上线后进入试运行阶段，项目试运行至少3个月。在试运行期间，甲方随时将发现的逃逸的缺陷通知乙方，乙方在最快的时间内予以响应。</w:t>
      </w:r>
    </w:p>
    <w:p w14:paraId="158F9ACB">
      <w:pPr>
        <w:spacing w:line="360" w:lineRule="auto"/>
        <w:ind w:left="-2" w:leftChars="-1"/>
        <w:rPr>
          <w:rFonts w:ascii="宋体" w:cs="宋体"/>
          <w:color w:val="auto"/>
          <w:szCs w:val="24"/>
          <w:highlight w:val="none"/>
        </w:rPr>
      </w:pPr>
      <w:r>
        <w:rPr>
          <w:rFonts w:hint="eastAsia" w:ascii="宋体" w:cs="宋体"/>
          <w:color w:val="auto"/>
          <w:szCs w:val="24"/>
          <w:highlight w:val="none"/>
        </w:rPr>
        <w:t>1.7“响应时间”：指乙方就甲方提出的问题予以答复的时间。</w:t>
      </w:r>
    </w:p>
    <w:p w14:paraId="6E4B5347">
      <w:pPr>
        <w:spacing w:line="360" w:lineRule="auto"/>
        <w:ind w:left="-2" w:leftChars="-1"/>
        <w:rPr>
          <w:rFonts w:ascii="宋体" w:cs="宋体"/>
          <w:color w:val="auto"/>
          <w:szCs w:val="24"/>
          <w:highlight w:val="none"/>
        </w:rPr>
      </w:pPr>
      <w:r>
        <w:rPr>
          <w:rFonts w:hint="eastAsia" w:ascii="宋体" w:cs="宋体"/>
          <w:color w:val="auto"/>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2E2795A6">
      <w:pPr>
        <w:spacing w:line="360" w:lineRule="auto"/>
        <w:ind w:left="-2" w:leftChars="-1"/>
        <w:rPr>
          <w:rFonts w:ascii="宋体" w:cs="宋体"/>
          <w:color w:val="auto"/>
          <w:szCs w:val="24"/>
          <w:highlight w:val="none"/>
        </w:rPr>
      </w:pPr>
      <w:r>
        <w:rPr>
          <w:rFonts w:hint="eastAsia" w:ascii="宋体" w:cs="宋体"/>
          <w:color w:val="auto"/>
          <w:szCs w:val="24"/>
          <w:highlight w:val="none"/>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28CD021F">
      <w:pPr>
        <w:spacing w:line="360" w:lineRule="auto"/>
        <w:ind w:left="-2" w:leftChars="-1"/>
        <w:rPr>
          <w:rFonts w:ascii="宋体" w:cs="宋体"/>
          <w:color w:val="auto"/>
          <w:szCs w:val="24"/>
          <w:highlight w:val="none"/>
        </w:rPr>
      </w:pPr>
      <w:r>
        <w:rPr>
          <w:rFonts w:hint="eastAsia" w:ascii="宋体" w:cs="宋体"/>
          <w:color w:val="auto"/>
          <w:szCs w:val="24"/>
          <w:highlight w:val="none"/>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10AF37C8">
      <w:pPr>
        <w:spacing w:line="360" w:lineRule="auto"/>
        <w:ind w:left="-2" w:leftChars="-1"/>
        <w:rPr>
          <w:rFonts w:ascii="宋体" w:cs="宋体"/>
          <w:color w:val="auto"/>
          <w:szCs w:val="24"/>
          <w:highlight w:val="none"/>
        </w:rPr>
      </w:pPr>
      <w:r>
        <w:rPr>
          <w:rFonts w:hint="eastAsia" w:ascii="宋体" w:cs="宋体"/>
          <w:color w:val="auto"/>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45CDC08">
      <w:pPr>
        <w:spacing w:line="360" w:lineRule="auto"/>
        <w:ind w:left="-2" w:leftChars="-1"/>
        <w:rPr>
          <w:rFonts w:ascii="宋体" w:cs="宋体"/>
          <w:color w:val="auto"/>
          <w:szCs w:val="24"/>
          <w:highlight w:val="none"/>
        </w:rPr>
      </w:pPr>
      <w:r>
        <w:rPr>
          <w:rFonts w:hint="eastAsia" w:ascii="宋体" w:cs="宋体"/>
          <w:color w:val="auto"/>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02CE9660">
      <w:pPr>
        <w:spacing w:line="360" w:lineRule="auto"/>
        <w:ind w:left="-2" w:leftChars="-1"/>
        <w:rPr>
          <w:rFonts w:ascii="宋体" w:cs="宋体"/>
          <w:color w:val="auto"/>
          <w:szCs w:val="24"/>
          <w:highlight w:val="none"/>
        </w:rPr>
      </w:pPr>
      <w:r>
        <w:rPr>
          <w:rFonts w:hint="eastAsia" w:ascii="宋体" w:cs="宋体"/>
          <w:color w:val="auto"/>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310D427">
      <w:pPr>
        <w:spacing w:line="360" w:lineRule="auto"/>
        <w:ind w:left="-2" w:leftChars="-1"/>
        <w:rPr>
          <w:rFonts w:ascii="宋体" w:cs="宋体"/>
          <w:color w:val="auto"/>
          <w:szCs w:val="24"/>
          <w:highlight w:val="none"/>
        </w:rPr>
      </w:pPr>
      <w:r>
        <w:rPr>
          <w:rFonts w:hint="eastAsia" w:ascii="宋体" w:cs="宋体"/>
          <w:color w:val="auto"/>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372C4FE2">
      <w:pPr>
        <w:spacing w:line="360" w:lineRule="auto"/>
        <w:ind w:left="-2" w:leftChars="-1"/>
        <w:rPr>
          <w:rFonts w:ascii="宋体"/>
          <w:color w:val="auto"/>
          <w:szCs w:val="24"/>
          <w:highlight w:val="none"/>
        </w:rPr>
      </w:pPr>
      <w:r>
        <w:rPr>
          <w:rFonts w:hint="eastAsia" w:ascii="宋体"/>
          <w:color w:val="auto"/>
          <w:szCs w:val="24"/>
          <w:highlight w:val="none"/>
        </w:rPr>
        <w:t>1.15“重大缺陷”：指严重缺陷和致命缺陷。</w:t>
      </w:r>
    </w:p>
    <w:p w14:paraId="7D25C992">
      <w:pPr>
        <w:spacing w:line="360" w:lineRule="auto"/>
        <w:ind w:left="560" w:hanging="560" w:firstLineChars="0"/>
        <w:rPr>
          <w:rFonts w:ascii="宋体"/>
          <w:color w:val="auto"/>
          <w:highlight w:val="none"/>
        </w:rPr>
      </w:pPr>
    </w:p>
    <w:p w14:paraId="0A55163E">
      <w:pPr>
        <w:spacing w:line="360" w:lineRule="auto"/>
        <w:ind w:firstLine="472" w:firstLineChars="196"/>
        <w:outlineLvl w:val="0"/>
        <w:rPr>
          <w:rFonts w:ascii="宋体"/>
          <w:b/>
          <w:color w:val="auto"/>
          <w:highlight w:val="none"/>
        </w:rPr>
      </w:pPr>
      <w:bookmarkStart w:id="460" w:name="_Toc8567"/>
      <w:bookmarkStart w:id="461" w:name="_Toc18616"/>
      <w:bookmarkStart w:id="462" w:name="_Toc20023"/>
      <w:bookmarkStart w:id="463" w:name="_Toc63757458"/>
      <w:r>
        <w:rPr>
          <w:rFonts w:hint="eastAsia" w:ascii="宋体"/>
          <w:b/>
          <w:color w:val="auto"/>
          <w:highlight w:val="none"/>
        </w:rPr>
        <w:t xml:space="preserve">第二条  </w:t>
      </w:r>
      <w:bookmarkStart w:id="464" w:name="_Toc58337493"/>
      <w:r>
        <w:rPr>
          <w:rFonts w:hint="eastAsia" w:ascii="宋体"/>
          <w:b/>
          <w:color w:val="auto"/>
          <w:highlight w:val="none"/>
        </w:rPr>
        <w:t>外包开发内容</w:t>
      </w:r>
      <w:bookmarkEnd w:id="460"/>
      <w:bookmarkEnd w:id="461"/>
      <w:bookmarkEnd w:id="462"/>
      <w:bookmarkEnd w:id="463"/>
      <w:bookmarkEnd w:id="464"/>
    </w:p>
    <w:p w14:paraId="2F133D81">
      <w:pPr>
        <w:spacing w:line="360" w:lineRule="auto"/>
        <w:rPr>
          <w:rFonts w:ascii="宋体"/>
          <w:color w:val="auto"/>
          <w:highlight w:val="none"/>
        </w:rPr>
      </w:pPr>
      <w:r>
        <w:rPr>
          <w:rFonts w:hint="eastAsia" w:ascii="宋体"/>
          <w:color w:val="auto"/>
          <w:highlight w:val="none"/>
        </w:rPr>
        <w:t>2.1本项目系由甲方委托乙方负责实施。</w:t>
      </w:r>
    </w:p>
    <w:p w14:paraId="6F038E6E">
      <w:pPr>
        <w:spacing w:line="360" w:lineRule="auto"/>
        <w:rPr>
          <w:rFonts w:ascii="宋体"/>
          <w:color w:val="auto"/>
          <w:highlight w:val="none"/>
        </w:rPr>
      </w:pPr>
      <w:bookmarkStart w:id="465" w:name="_Toc58337494"/>
      <w:r>
        <w:rPr>
          <w:rFonts w:hint="eastAsia" w:ascii="宋体"/>
          <w:color w:val="auto"/>
          <w:highlight w:val="none"/>
        </w:rPr>
        <w:t>2.2开发内容</w:t>
      </w:r>
      <w:bookmarkEnd w:id="465"/>
    </w:p>
    <w:p w14:paraId="5F15F481">
      <w:pPr>
        <w:spacing w:line="360" w:lineRule="auto"/>
        <w:rPr>
          <w:rFonts w:ascii="宋体"/>
          <w:color w:val="auto"/>
          <w:highlight w:val="none"/>
        </w:rPr>
      </w:pPr>
      <w:r>
        <w:rPr>
          <w:rFonts w:hint="eastAsia" w:ascii="宋体"/>
          <w:color w:val="auto"/>
          <w:highlight w:val="none"/>
        </w:rPr>
        <w:t>内容详见附件一</w:t>
      </w:r>
    </w:p>
    <w:p w14:paraId="0AE98CB4">
      <w:pPr>
        <w:spacing w:line="360" w:lineRule="auto"/>
        <w:rPr>
          <w:rFonts w:ascii="宋体"/>
          <w:color w:val="auto"/>
          <w:highlight w:val="none"/>
        </w:rPr>
      </w:pPr>
      <w:bookmarkStart w:id="466" w:name="_Toc58337495"/>
      <w:r>
        <w:rPr>
          <w:rFonts w:hint="eastAsia" w:ascii="宋体"/>
          <w:color w:val="auto"/>
          <w:highlight w:val="none"/>
        </w:rPr>
        <w:t>2.3技术指标和质量要求</w:t>
      </w:r>
      <w:bookmarkEnd w:id="466"/>
      <w:r>
        <w:rPr>
          <w:rFonts w:hint="eastAsia" w:ascii="宋体"/>
          <w:color w:val="auto"/>
          <w:highlight w:val="none"/>
        </w:rPr>
        <w:t>。</w:t>
      </w:r>
    </w:p>
    <w:p w14:paraId="54785F43">
      <w:pPr>
        <w:snapToGrid w:val="0"/>
        <w:rPr>
          <w:rFonts w:ascii="宋体"/>
          <w:color w:val="auto"/>
          <w:highlight w:val="none"/>
        </w:rPr>
      </w:pPr>
      <w:r>
        <w:rPr>
          <w:rFonts w:hint="eastAsia" w:ascii="宋体"/>
          <w:color w:val="auto"/>
          <w:highlight w:val="none"/>
        </w:rPr>
        <w:t>见附件一、附件四。</w:t>
      </w:r>
    </w:p>
    <w:p w14:paraId="30D645E6">
      <w:pPr>
        <w:spacing w:line="360" w:lineRule="auto"/>
        <w:rPr>
          <w:rFonts w:ascii="宋体"/>
          <w:color w:val="auto"/>
          <w:highlight w:val="none"/>
        </w:rPr>
      </w:pPr>
      <w:bookmarkStart w:id="467" w:name="_Toc58337496"/>
      <w:r>
        <w:rPr>
          <w:rFonts w:hint="eastAsia" w:ascii="宋体"/>
          <w:color w:val="auto"/>
          <w:highlight w:val="none"/>
        </w:rPr>
        <w:t>2.4应当遵循的标准和规范</w:t>
      </w:r>
      <w:bookmarkEnd w:id="467"/>
      <w:r>
        <w:rPr>
          <w:rFonts w:hint="eastAsia" w:ascii="宋体"/>
          <w:color w:val="auto"/>
          <w:highlight w:val="none"/>
        </w:rPr>
        <w:t>。</w:t>
      </w:r>
    </w:p>
    <w:p w14:paraId="340B8219">
      <w:pPr>
        <w:spacing w:line="360" w:lineRule="auto"/>
        <w:ind w:firstLine="420" w:firstLineChars="0"/>
        <w:rPr>
          <w:rFonts w:ascii="宋体"/>
          <w:color w:val="auto"/>
          <w:highlight w:val="none"/>
        </w:rPr>
      </w:pPr>
      <w:r>
        <w:rPr>
          <w:rFonts w:hint="eastAsia" w:ascii="宋体"/>
          <w:color w:val="auto"/>
          <w:highlight w:val="none"/>
        </w:rPr>
        <w:t>乙方交付的</w:t>
      </w:r>
      <w:r>
        <w:rPr>
          <w:rFonts w:ascii="宋体"/>
          <w:color w:val="auto"/>
          <w:highlight w:val="none"/>
        </w:rPr>
        <w:t>审计监督信息系统</w:t>
      </w:r>
      <w:r>
        <w:rPr>
          <w:rFonts w:hint="eastAsia" w:ascii="宋体"/>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7EB5496B">
      <w:pPr>
        <w:spacing w:line="360" w:lineRule="auto"/>
        <w:ind w:firstLine="472" w:firstLineChars="196"/>
        <w:outlineLvl w:val="0"/>
        <w:rPr>
          <w:rFonts w:ascii="宋体"/>
          <w:b/>
          <w:color w:val="auto"/>
          <w:highlight w:val="none"/>
        </w:rPr>
      </w:pPr>
      <w:bookmarkStart w:id="468" w:name="_Toc21559"/>
      <w:bookmarkStart w:id="469" w:name="_Toc1104"/>
      <w:bookmarkStart w:id="470" w:name="_Toc9779"/>
      <w:bookmarkStart w:id="471" w:name="_Toc63757459"/>
      <w:r>
        <w:rPr>
          <w:rFonts w:hint="eastAsia" w:ascii="宋体"/>
          <w:b/>
          <w:color w:val="auto"/>
          <w:highlight w:val="none"/>
        </w:rPr>
        <w:t>第三条  项目履行的进度、期限、地点、地域、方式</w:t>
      </w:r>
      <w:bookmarkEnd w:id="468"/>
      <w:bookmarkEnd w:id="469"/>
      <w:bookmarkEnd w:id="470"/>
      <w:bookmarkEnd w:id="471"/>
    </w:p>
    <w:p w14:paraId="176D1870">
      <w:pPr>
        <w:spacing w:line="360" w:lineRule="auto"/>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445774B7">
      <w:pPr>
        <w:spacing w:line="360" w:lineRule="auto"/>
        <w:rPr>
          <w:rFonts w:ascii="宋体"/>
          <w:color w:val="auto"/>
          <w:highlight w:val="none"/>
        </w:rPr>
      </w:pPr>
      <w:r>
        <w:rPr>
          <w:rFonts w:hint="eastAsia" w:ascii="宋体"/>
          <w:color w:val="auto"/>
          <w:highlight w:val="none"/>
        </w:rPr>
        <w:t>3.2进度：乙方应严格按照3.3所列示的期限完成项目实施任务。</w:t>
      </w:r>
    </w:p>
    <w:p w14:paraId="284CFF58">
      <w:pPr>
        <w:spacing w:line="360" w:lineRule="auto"/>
        <w:rPr>
          <w:rFonts w:ascii="宋体"/>
          <w:color w:val="auto"/>
          <w:highlight w:val="none"/>
        </w:rPr>
      </w:pPr>
      <w:r>
        <w:rPr>
          <w:rFonts w:hint="eastAsia" w:ascii="宋体"/>
          <w:color w:val="auto"/>
          <w:highlight w:val="none"/>
        </w:rPr>
        <w:t>3.3期限：上线时间为    年    月     日前</w:t>
      </w:r>
    </w:p>
    <w:p w14:paraId="0FCD874B">
      <w:pPr>
        <w:spacing w:line="360" w:lineRule="auto"/>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；驻场实施。</w:t>
      </w:r>
    </w:p>
    <w:p w14:paraId="149DAE56">
      <w:pPr>
        <w:spacing w:line="360" w:lineRule="auto"/>
        <w:rPr>
          <w:rFonts w:ascii="宋体"/>
          <w:color w:val="auto"/>
          <w:highlight w:val="none"/>
        </w:rPr>
      </w:pPr>
      <w:r>
        <w:rPr>
          <w:rFonts w:hint="eastAsia" w:ascii="宋体"/>
          <w:color w:val="auto"/>
          <w:highlight w:val="none"/>
        </w:rPr>
        <w:t xml:space="preserve">3.5地域：本项目适用机构所在地域包括： </w:t>
      </w:r>
      <w:r>
        <w:rPr>
          <w:rFonts w:hint="eastAsia" w:ascii="宋体"/>
          <w:color w:val="auto"/>
          <w:highlight w:val="none"/>
          <w:u w:val="single"/>
        </w:rPr>
        <w:t xml:space="preserve">重庆三峡银行总行各部门及辖内各经营机构 </w:t>
      </w:r>
      <w:r>
        <w:rPr>
          <w:rFonts w:hint="eastAsia" w:ascii="宋体"/>
          <w:color w:val="auto"/>
          <w:highlight w:val="none"/>
        </w:rPr>
        <w:t>。</w:t>
      </w:r>
    </w:p>
    <w:p w14:paraId="465105BE">
      <w:pPr>
        <w:spacing w:line="360" w:lineRule="auto"/>
        <w:rPr>
          <w:rFonts w:ascii="宋体"/>
          <w:color w:val="auto"/>
          <w:highlight w:val="none"/>
        </w:rPr>
      </w:pPr>
      <w:r>
        <w:rPr>
          <w:rFonts w:hint="eastAsia" w:ascii="宋体"/>
          <w:color w:val="auto"/>
          <w:highlight w:val="none"/>
        </w:rPr>
        <w:t>3.6方式：</w:t>
      </w:r>
    </w:p>
    <w:p w14:paraId="5FA25BAC">
      <w:pPr>
        <w:spacing w:line="360" w:lineRule="auto"/>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7CE9ED3A">
      <w:pPr>
        <w:spacing w:line="360" w:lineRule="auto"/>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C8647AE">
      <w:pPr>
        <w:spacing w:line="360" w:lineRule="auto"/>
        <w:ind w:firstLine="472" w:firstLineChars="196"/>
        <w:outlineLvl w:val="0"/>
        <w:rPr>
          <w:color w:val="auto"/>
          <w:highlight w:val="none"/>
        </w:rPr>
      </w:pPr>
      <w:bookmarkStart w:id="472" w:name="_Toc63757460"/>
      <w:bookmarkStart w:id="473" w:name="_Toc6682"/>
      <w:bookmarkStart w:id="474" w:name="_Toc8634"/>
      <w:bookmarkStart w:id="475" w:name="_Toc18952"/>
      <w:r>
        <w:rPr>
          <w:rFonts w:hint="eastAsia" w:ascii="宋体"/>
          <w:b/>
          <w:color w:val="auto"/>
          <w:highlight w:val="none"/>
        </w:rPr>
        <w:t>第四条  方案调整</w:t>
      </w:r>
      <w:bookmarkEnd w:id="472"/>
      <w:bookmarkEnd w:id="473"/>
      <w:bookmarkEnd w:id="474"/>
      <w:bookmarkEnd w:id="475"/>
      <w:r>
        <w:rPr>
          <w:rFonts w:hint="eastAsia"/>
          <w:color w:val="auto"/>
          <w:highlight w:val="none"/>
        </w:rPr>
        <w:t xml:space="preserve"> </w:t>
      </w:r>
    </w:p>
    <w:p w14:paraId="68B99B55">
      <w:pPr>
        <w:spacing w:line="360" w:lineRule="auto"/>
        <w:rPr>
          <w:rFonts w:ascii="宋体"/>
          <w:color w:val="auto"/>
          <w:highlight w:val="none"/>
        </w:rPr>
      </w:pPr>
      <w:r>
        <w:rPr>
          <w:rStyle w:val="40"/>
          <w:rFonts w:hint="eastAsia" w:ascii="宋体"/>
          <w:color w:val="auto"/>
          <w:kern w:val="0"/>
          <w:highlight w:val="none"/>
        </w:rPr>
        <w:t>4.1因甲方原因提出导致增加</w:t>
      </w:r>
      <w:r>
        <w:rPr>
          <w:rStyle w:val="40"/>
          <w:rFonts w:ascii="宋体"/>
          <w:color w:val="auto"/>
          <w:kern w:val="0"/>
          <w:highlight w:val="none"/>
        </w:rPr>
        <w:t>【】</w:t>
      </w:r>
      <w:r>
        <w:rPr>
          <w:rStyle w:val="40"/>
          <w:rFonts w:hint="eastAsia" w:ascii="宋体"/>
          <w:color w:val="auto"/>
          <w:kern w:val="0"/>
          <w:highlight w:val="none"/>
        </w:rPr>
        <w:t>∕人∕月以上工作量的需求变更，</w:t>
      </w:r>
      <w:r>
        <w:rPr>
          <w:rFonts w:hint="eastAsia" w:ascii="宋体"/>
          <w:color w:val="auto"/>
          <w:highlight w:val="none"/>
        </w:rPr>
        <w:t>须通知乙方并由乙方确认</w:t>
      </w:r>
      <w:r>
        <w:rPr>
          <w:rStyle w:val="40"/>
          <w:rFonts w:hint="eastAsia" w:asci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16AA198D">
      <w:pPr>
        <w:spacing w:line="360" w:lineRule="auto"/>
        <w:rPr>
          <w:rFonts w:ascii="宋体"/>
          <w:color w:val="auto"/>
          <w:highlight w:val="none"/>
        </w:rPr>
      </w:pPr>
      <w:r>
        <w:rPr>
          <w:rFonts w:hint="eastAsia" w:ascii="宋体"/>
          <w:color w:val="auto"/>
          <w:highlight w:val="none"/>
        </w:rPr>
        <w:t>4.2 方案一经双方确认，任何一方有方案调整意见，均需与对方签字确认。</w:t>
      </w:r>
    </w:p>
    <w:p w14:paraId="6F1CA6CD">
      <w:pPr>
        <w:spacing w:line="360" w:lineRule="auto"/>
        <w:ind w:left="420"/>
        <w:rPr>
          <w:rFonts w:ascii="宋体"/>
          <w:color w:val="auto"/>
          <w:highlight w:val="none"/>
        </w:rPr>
      </w:pPr>
    </w:p>
    <w:p w14:paraId="56765CD0">
      <w:pPr>
        <w:spacing w:line="360" w:lineRule="auto"/>
        <w:ind w:firstLine="472" w:firstLineChars="196"/>
        <w:outlineLvl w:val="0"/>
        <w:rPr>
          <w:rFonts w:ascii="宋体"/>
          <w:b/>
          <w:color w:val="auto"/>
          <w:highlight w:val="none"/>
        </w:rPr>
      </w:pPr>
      <w:bookmarkStart w:id="476" w:name="_Toc63757461"/>
      <w:bookmarkStart w:id="477" w:name="_Toc22826"/>
      <w:bookmarkStart w:id="478" w:name="_Toc18218"/>
      <w:bookmarkStart w:id="479" w:name="_Toc3418"/>
      <w:r>
        <w:rPr>
          <w:rFonts w:hint="eastAsia" w:ascii="宋体"/>
          <w:b/>
          <w:color w:val="auto"/>
          <w:highlight w:val="none"/>
        </w:rPr>
        <w:t>第五条  项目验收</w:t>
      </w:r>
      <w:bookmarkEnd w:id="476"/>
      <w:bookmarkEnd w:id="477"/>
      <w:bookmarkEnd w:id="478"/>
      <w:bookmarkEnd w:id="479"/>
    </w:p>
    <w:p w14:paraId="5F9E3807">
      <w:pPr>
        <w:pStyle w:val="10"/>
        <w:spacing w:before="0" w:beforeLines="0" w:line="360" w:lineRule="auto"/>
        <w:ind w:left="0" w:leftChars="0"/>
        <w:rPr>
          <w:rFonts w:ascii="宋体" w:eastAsia="宋体"/>
          <w:color w:val="auto"/>
          <w:spacing w:val="0"/>
          <w:kern w:val="0"/>
          <w:highlight w:val="none"/>
        </w:rPr>
      </w:pPr>
      <w:r>
        <w:rPr>
          <w:rFonts w:hint="eastAsia" w:ascii="宋体" w:eastAsia="宋体"/>
          <w:color w:val="auto"/>
          <w:spacing w:val="0"/>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color w:val="auto"/>
          <w:spacing w:val="0"/>
          <w:kern w:val="0"/>
          <w:highlight w:val="none"/>
        </w:rPr>
        <w:t>本合同中的产品出现的任何问题，乙方应及时解决，保证试运行期间的稳定运行，试运行期间若出现</w:t>
      </w:r>
      <w:r>
        <w:rPr>
          <w:rFonts w:hint="eastAsia" w:ascii="宋体" w:eastAsia="宋体" w:cs="宋体"/>
          <w:bCs/>
          <w:color w:val="auto"/>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color w:val="auto"/>
          <w:spacing w:val="0"/>
          <w:kern w:val="0"/>
          <w:highlight w:val="none"/>
        </w:rPr>
        <w:t>在符合甲方项目预期目标且试运行满</w:t>
      </w:r>
      <w:r>
        <w:rPr>
          <w:rFonts w:hint="eastAsia" w:ascii="宋体" w:eastAsia="宋体"/>
          <w:color w:val="auto"/>
          <w:spacing w:val="0"/>
          <w:kern w:val="0"/>
          <w:highlight w:val="none"/>
          <w:u w:val="single"/>
        </w:rPr>
        <w:t>三个月</w:t>
      </w:r>
      <w:r>
        <w:rPr>
          <w:rFonts w:hint="eastAsia" w:ascii="宋体" w:eastAsia="宋体"/>
          <w:color w:val="auto"/>
          <w:spacing w:val="0"/>
          <w:kern w:val="0"/>
          <w:highlight w:val="none"/>
        </w:rPr>
        <w:t>后，由甲方按照合同约定进行正式验收，验收通过后签署验收表或验收报告。</w:t>
      </w:r>
    </w:p>
    <w:p w14:paraId="1A7E21B4">
      <w:pPr>
        <w:pStyle w:val="10"/>
        <w:spacing w:before="0" w:beforeLines="0" w:line="360" w:lineRule="auto"/>
        <w:ind w:left="0" w:leftChars="0"/>
        <w:rPr>
          <w:rFonts w:ascii="宋体" w:eastAsia="宋体"/>
          <w:color w:val="auto"/>
          <w:spacing w:val="0"/>
          <w:kern w:val="0"/>
          <w:highlight w:val="none"/>
        </w:rPr>
      </w:pPr>
      <w:r>
        <w:rPr>
          <w:rFonts w:hint="eastAsia" w:ascii="宋体" w:eastAsia="宋体"/>
          <w:color w:val="auto"/>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536B6102">
      <w:pPr>
        <w:pStyle w:val="10"/>
        <w:spacing w:before="0" w:beforeLines="0" w:line="360" w:lineRule="auto"/>
        <w:ind w:left="0" w:leftChars="0"/>
        <w:rPr>
          <w:rStyle w:val="40"/>
          <w:rFonts w:ascii="宋体" w:eastAsia="宋体"/>
          <w:color w:val="auto"/>
          <w:spacing w:val="0"/>
          <w:kern w:val="0"/>
          <w:highlight w:val="none"/>
        </w:rPr>
      </w:pPr>
    </w:p>
    <w:p w14:paraId="770DCA53">
      <w:pPr>
        <w:spacing w:line="360" w:lineRule="auto"/>
        <w:ind w:firstLine="472" w:firstLineChars="196"/>
        <w:outlineLvl w:val="0"/>
        <w:rPr>
          <w:rFonts w:ascii="宋体"/>
          <w:b/>
          <w:color w:val="auto"/>
          <w:highlight w:val="none"/>
        </w:rPr>
      </w:pPr>
      <w:bookmarkStart w:id="480" w:name="_Toc28830"/>
      <w:bookmarkStart w:id="481" w:name="_Toc63757462"/>
      <w:bookmarkStart w:id="482" w:name="_Toc28051"/>
      <w:bookmarkStart w:id="483" w:name="_Toc32177"/>
      <w:r>
        <w:rPr>
          <w:rFonts w:hint="eastAsia" w:ascii="宋体"/>
          <w:b/>
          <w:color w:val="auto"/>
          <w:highlight w:val="none"/>
        </w:rPr>
        <w:t>第六条  交付使用后维护期、系统完善和保修维护服务</w:t>
      </w:r>
      <w:bookmarkEnd w:id="480"/>
      <w:bookmarkEnd w:id="481"/>
      <w:bookmarkEnd w:id="482"/>
      <w:bookmarkEnd w:id="483"/>
    </w:p>
    <w:p w14:paraId="44EDB1A0">
      <w:pPr>
        <w:tabs>
          <w:tab w:val="left" w:pos="851"/>
        </w:tabs>
        <w:spacing w:line="360" w:lineRule="auto"/>
        <w:rPr>
          <w:rFonts w:ascii="宋体"/>
          <w:color w:val="auto"/>
          <w:highlight w:val="none"/>
        </w:rPr>
      </w:pPr>
      <w:r>
        <w:rPr>
          <w:rFonts w:hint="eastAsia" w:ascii="宋体"/>
          <w:color w:val="auto"/>
          <w:highlight w:val="none"/>
        </w:rPr>
        <w:t>6.1本合同金额包含【】年维护，维护期为自本产品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23B83D76">
      <w:pPr>
        <w:tabs>
          <w:tab w:val="left" w:pos="851"/>
        </w:tabs>
        <w:spacing w:line="360" w:lineRule="auto"/>
        <w:rPr>
          <w:rFonts w:ascii="宋体"/>
          <w:color w:val="auto"/>
          <w:highlight w:val="none"/>
        </w:rPr>
      </w:pPr>
      <w:r>
        <w:rPr>
          <w:rFonts w:hint="eastAsia" w:ascii="宋体"/>
          <w:color w:val="auto"/>
          <w:highlight w:val="none"/>
        </w:rPr>
        <w:t>6.2本合同产品的有偿技术服务期为本合同第6.1条约定的维护期到期之日起</w:t>
      </w:r>
      <w:r>
        <w:rPr>
          <w:rFonts w:hint="eastAsia" w:ascii="宋体"/>
          <w:color w:val="auto"/>
          <w:highlight w:val="none"/>
          <w:u w:val="single"/>
        </w:rPr>
        <w:t>10</w:t>
      </w:r>
      <w:r>
        <w:rPr>
          <w:rFonts w:hint="eastAsia" w:ascii="宋体"/>
          <w:color w:val="auto"/>
          <w:highlight w:val="none"/>
        </w:rPr>
        <w:t>年。本项目产品服务期内（包括本合同第6.1条约定的维护期与有偿技术服务期）如甲方对照附件一发现项目存在技术缺陷和隐蔽瑕疵，乙方应负责予以解决并应承担相应法律责任。</w:t>
      </w:r>
    </w:p>
    <w:p w14:paraId="793A34C4">
      <w:pPr>
        <w:spacing w:line="360" w:lineRule="auto"/>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01FEFFCD">
      <w:pPr>
        <w:spacing w:line="360" w:lineRule="auto"/>
        <w:rPr>
          <w:rFonts w:ascii="宋体"/>
          <w:color w:val="auto"/>
          <w:highlight w:val="none"/>
        </w:rPr>
      </w:pPr>
      <w:r>
        <w:rPr>
          <w:rFonts w:hint="eastAsia" w:ascii="宋体"/>
          <w:color w:val="auto"/>
          <w:highlight w:val="none"/>
        </w:rPr>
        <w:t>6.4本合同第6.1条约定的维护期与有偿技术服务期内，服务内容和服务方式详见附件四《维护服务条款》。</w:t>
      </w:r>
    </w:p>
    <w:p w14:paraId="5C3F800E">
      <w:pPr>
        <w:spacing w:line="360" w:lineRule="auto"/>
        <w:rPr>
          <w:rFonts w:ascii="宋体"/>
          <w:color w:val="auto"/>
          <w:highlight w:val="none"/>
        </w:rPr>
      </w:pPr>
      <w:r>
        <w:rPr>
          <w:rFonts w:hint="eastAsia" w:ascii="宋体"/>
          <w:color w:val="auto"/>
          <w:highlight w:val="none"/>
        </w:rPr>
        <w:t>6.5上述服务，不包括由下列事件引起的故障：</w:t>
      </w:r>
    </w:p>
    <w:p w14:paraId="5576CDC5">
      <w:pPr>
        <w:spacing w:line="360" w:lineRule="auto"/>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592E487B">
      <w:pPr>
        <w:spacing w:line="360" w:lineRule="auto"/>
        <w:rPr>
          <w:rFonts w:ascii="宋体"/>
          <w:color w:val="auto"/>
          <w:highlight w:val="none"/>
        </w:rPr>
      </w:pPr>
      <w:r>
        <w:rPr>
          <w:rFonts w:hint="eastAsia" w:ascii="宋体"/>
          <w:color w:val="auto"/>
          <w:highlight w:val="none"/>
        </w:rPr>
        <w:t>6.5.2 使用并非由乙方提供的产品或服务。</w:t>
      </w:r>
    </w:p>
    <w:p w14:paraId="60B3FAFE">
      <w:pPr>
        <w:spacing w:line="360" w:lineRule="auto"/>
        <w:rPr>
          <w:rFonts w:ascii="宋体"/>
          <w:color w:val="auto"/>
          <w:highlight w:val="none"/>
        </w:rPr>
      </w:pPr>
      <w:r>
        <w:rPr>
          <w:rFonts w:hint="eastAsia" w:ascii="宋体"/>
          <w:color w:val="auto"/>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033321D5">
      <w:pPr>
        <w:spacing w:line="360" w:lineRule="auto"/>
        <w:rPr>
          <w:rFonts w:ascii="宋体"/>
          <w:color w:val="auto"/>
          <w:highlight w:val="none"/>
        </w:rPr>
      </w:pPr>
      <w:r>
        <w:rPr>
          <w:rFonts w:hint="eastAsia" w:ascii="宋体"/>
          <w:color w:val="auto"/>
          <w:highlight w:val="none"/>
        </w:rPr>
        <w:t>6</w:t>
      </w:r>
      <w:r>
        <w:rPr>
          <w:rStyle w:val="40"/>
          <w:rFonts w:hint="eastAsia" w:ascii="宋体"/>
          <w:color w:val="auto"/>
          <w:kern w:val="0"/>
          <w:highlight w:val="none"/>
        </w:rPr>
        <w:t>.7</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0"/>
          <w:rFonts w:hint="eastAsia" w:ascii="宋体"/>
          <w:color w:val="auto"/>
          <w:kern w:val="0"/>
          <w:highlight w:val="none"/>
        </w:rPr>
        <w:t>如</w:t>
      </w:r>
      <w:r>
        <w:rPr>
          <w:rFonts w:hint="eastAsia" w:ascii="宋体"/>
          <w:color w:val="auto"/>
          <w:highlight w:val="none"/>
        </w:rPr>
        <w:t>甲方需要乙方提供维护服务,乙方应予提供。双方确认，甲方有权选择是否购买维护服务，乙方无权要求甲方对未使用维护服务的期间支付费用。</w:t>
      </w:r>
    </w:p>
    <w:p w14:paraId="5F5C991E">
      <w:pPr>
        <w:spacing w:line="360" w:lineRule="auto"/>
        <w:rPr>
          <w:rFonts w:ascii="宋体"/>
          <w:b/>
          <w:color w:val="auto"/>
          <w:highlight w:val="none"/>
        </w:rPr>
      </w:pPr>
      <w:r>
        <w:rPr>
          <w:rFonts w:hint="eastAsia" w:ascii="宋体"/>
          <w:color w:val="auto"/>
          <w:highlight w:val="none"/>
        </w:rPr>
        <w:t>6.8 维</w:t>
      </w:r>
      <w:r>
        <w:rPr>
          <w:rStyle w:val="40"/>
          <w:rFonts w:hint="eastAsia" w:ascii="宋体"/>
          <w:color w:val="auto"/>
          <w:kern w:val="0"/>
          <w:highlight w:val="none"/>
        </w:rPr>
        <w:t>护期结束后有偿技术服务期每年的维护价格不超过</w:t>
      </w:r>
      <w:r>
        <w:rPr>
          <w:rStyle w:val="40"/>
          <w:rFonts w:hint="eastAsia" w:ascii="宋体"/>
          <w:iCs/>
          <w:color w:val="auto"/>
          <w:kern w:val="0"/>
          <w:highlight w:val="none"/>
        </w:rPr>
        <w:t>合同总额的</w:t>
      </w:r>
      <w:r>
        <w:rPr>
          <w:rStyle w:val="40"/>
          <w:rFonts w:ascii="宋体"/>
          <w:iCs/>
          <w:color w:val="auto"/>
          <w:kern w:val="0"/>
          <w:highlight w:val="none"/>
        </w:rPr>
        <w:t>【】</w:t>
      </w:r>
      <w:r>
        <w:rPr>
          <w:rStyle w:val="40"/>
          <w:rFonts w:hint="eastAsia" w:ascii="宋体"/>
          <w:iCs/>
          <w:color w:val="auto"/>
          <w:kern w:val="0"/>
          <w:highlight w:val="none"/>
        </w:rPr>
        <w:t>%</w:t>
      </w:r>
      <w:r>
        <w:rPr>
          <w:rStyle w:val="40"/>
          <w:rFonts w:hint="eastAsia" w:ascii="宋体"/>
          <w:color w:val="auto"/>
          <w:kern w:val="0"/>
          <w:highlight w:val="none"/>
        </w:rPr>
        <w:t>，具体</w:t>
      </w:r>
      <w:r>
        <w:rPr>
          <w:rFonts w:hint="eastAsia" w:ascii="宋体"/>
          <w:color w:val="auto"/>
          <w:highlight w:val="none"/>
        </w:rPr>
        <w:t>服务内容详见附件四《维护服务条款》。有偿技术服务期的服务水平不低于附件四承诺的维护期的服务水平。</w:t>
      </w:r>
      <w:r>
        <w:rPr>
          <w:rFonts w:hint="eastAsia" w:ascii="宋体"/>
          <w:b/>
          <w:color w:val="auto"/>
          <w:highlight w:val="none"/>
        </w:rPr>
        <w:t>后续改造类项目维护费用以系统首期建设合同（即本合同）约定为准，不得叠加、单独收取。</w:t>
      </w:r>
    </w:p>
    <w:p w14:paraId="385FA522">
      <w:pPr>
        <w:spacing w:line="360" w:lineRule="auto"/>
        <w:rPr>
          <w:rFonts w:ascii="宋体"/>
          <w:color w:val="auto"/>
          <w:highlight w:val="none"/>
        </w:rPr>
      </w:pPr>
      <w:r>
        <w:rPr>
          <w:rFonts w:hint="eastAsia" w:ascii="宋体"/>
          <w:b/>
          <w:color w:val="auto"/>
          <w:highlight w:val="none"/>
        </w:rPr>
        <w:t>本合同为改造类项目合同，后续维保费用以系统首期建设合同（可注明首期建设合同名称及编号）约定为准，不得叠加、单独收取。</w:t>
      </w:r>
    </w:p>
    <w:p w14:paraId="56731B76">
      <w:pPr>
        <w:spacing w:line="360" w:lineRule="auto"/>
        <w:rPr>
          <w:rFonts w:ascii="宋体"/>
          <w:color w:val="auto"/>
          <w:highlight w:val="none"/>
        </w:rPr>
      </w:pPr>
      <w:r>
        <w:rPr>
          <w:rFonts w:hint="eastAsia" w:ascii="宋体"/>
          <w:color w:val="auto"/>
          <w:highlight w:val="none"/>
        </w:rPr>
        <w:t>6.9本合同并非维护期结束后的维护服务合同，有偿技术服务的合同由双方另行签订。</w:t>
      </w:r>
    </w:p>
    <w:p w14:paraId="15747AC4">
      <w:pPr>
        <w:spacing w:line="360" w:lineRule="auto"/>
        <w:ind w:left="560" w:hanging="560" w:firstLineChars="0"/>
        <w:rPr>
          <w:rFonts w:ascii="宋体"/>
          <w:color w:val="auto"/>
          <w:highlight w:val="none"/>
        </w:rPr>
      </w:pPr>
    </w:p>
    <w:p w14:paraId="08591DD2">
      <w:pPr>
        <w:spacing w:line="360" w:lineRule="auto"/>
        <w:ind w:firstLine="472" w:firstLineChars="196"/>
        <w:outlineLvl w:val="0"/>
        <w:rPr>
          <w:rFonts w:ascii="宋体"/>
          <w:b/>
          <w:color w:val="auto"/>
          <w:highlight w:val="none"/>
        </w:rPr>
      </w:pPr>
      <w:bookmarkStart w:id="484" w:name="_Toc63757463"/>
      <w:bookmarkStart w:id="485" w:name="_Toc11907"/>
      <w:bookmarkStart w:id="486" w:name="_Toc17397"/>
      <w:bookmarkStart w:id="487" w:name="_Toc5599"/>
      <w:r>
        <w:rPr>
          <w:rFonts w:hint="eastAsia" w:ascii="宋体"/>
          <w:b/>
          <w:color w:val="auto"/>
          <w:highlight w:val="none"/>
        </w:rPr>
        <w:t>第七条  技术辅导与培训</w:t>
      </w:r>
      <w:bookmarkEnd w:id="484"/>
      <w:bookmarkEnd w:id="485"/>
      <w:bookmarkEnd w:id="486"/>
      <w:bookmarkEnd w:id="487"/>
    </w:p>
    <w:p w14:paraId="0CF4D51F">
      <w:pPr>
        <w:pStyle w:val="15"/>
        <w:spacing w:line="360" w:lineRule="auto"/>
        <w:ind w:firstLine="560" w:firstLineChars="0"/>
        <w:rPr>
          <w:rFonts w:ascii="宋体"/>
          <w:color w:val="auto"/>
          <w:highlight w:val="none"/>
        </w:rPr>
      </w:pPr>
      <w:r>
        <w:rPr>
          <w:rFonts w:hint="eastAsia" w:ascii="宋体"/>
          <w:color w:val="auto"/>
          <w:highlight w:val="none"/>
        </w:rPr>
        <w:t>乙方应负责向甲方提供技术辅导与培训，以使甲方人员熟练掌握该项目产品的应用和日常维护。培训内容包括：</w:t>
      </w:r>
      <w:r>
        <w:rPr>
          <w:rFonts w:ascii="宋体"/>
          <w:color w:val="auto"/>
          <w:highlight w:val="none"/>
        </w:rPr>
        <w:t>XXXXXX</w:t>
      </w:r>
    </w:p>
    <w:p w14:paraId="30520B7A">
      <w:pPr>
        <w:pStyle w:val="15"/>
        <w:spacing w:line="360" w:lineRule="auto"/>
        <w:rPr>
          <w:rFonts w:ascii="宋体"/>
          <w:color w:val="auto"/>
          <w:highlight w:val="none"/>
        </w:rPr>
      </w:pPr>
      <w:r>
        <w:rPr>
          <w:rFonts w:hint="eastAsia" w:ascii="宋体"/>
          <w:color w:val="auto"/>
          <w:highlight w:val="none"/>
        </w:rPr>
        <w:t>具体培训内容由双方共同商定，并由甲方项目经理签字确认。</w:t>
      </w:r>
    </w:p>
    <w:p w14:paraId="5DDF0441">
      <w:pPr>
        <w:pStyle w:val="15"/>
        <w:spacing w:line="360" w:lineRule="auto"/>
        <w:rPr>
          <w:rFonts w:ascii="宋体"/>
          <w:color w:val="auto"/>
          <w:highlight w:val="none"/>
        </w:rPr>
      </w:pPr>
    </w:p>
    <w:p w14:paraId="2392E763">
      <w:pPr>
        <w:spacing w:line="360" w:lineRule="auto"/>
        <w:ind w:firstLine="472" w:firstLineChars="196"/>
        <w:outlineLvl w:val="0"/>
        <w:rPr>
          <w:rFonts w:ascii="宋体"/>
          <w:b/>
          <w:color w:val="auto"/>
          <w:highlight w:val="none"/>
        </w:rPr>
      </w:pPr>
      <w:bookmarkStart w:id="488" w:name="_Toc63757464"/>
      <w:bookmarkStart w:id="489" w:name="_Toc22653"/>
      <w:bookmarkStart w:id="490" w:name="_Toc8582"/>
      <w:bookmarkStart w:id="491" w:name="_Toc11161"/>
      <w:r>
        <w:rPr>
          <w:rFonts w:hint="eastAsia" w:ascii="宋体"/>
          <w:b/>
          <w:color w:val="auto"/>
          <w:highlight w:val="none"/>
        </w:rPr>
        <w:t>第八条  双方的权利、义务</w:t>
      </w:r>
      <w:bookmarkEnd w:id="488"/>
      <w:bookmarkEnd w:id="489"/>
      <w:bookmarkEnd w:id="490"/>
      <w:bookmarkEnd w:id="491"/>
    </w:p>
    <w:p w14:paraId="51243B45">
      <w:pPr>
        <w:spacing w:line="360" w:lineRule="auto"/>
        <w:rPr>
          <w:rFonts w:ascii="宋体"/>
          <w:color w:val="auto"/>
          <w:highlight w:val="none"/>
        </w:rPr>
      </w:pPr>
      <w:r>
        <w:rPr>
          <w:rFonts w:hint="eastAsia" w:ascii="宋体"/>
          <w:color w:val="auto"/>
          <w:highlight w:val="none"/>
        </w:rPr>
        <w:t>8.1除本合同其他条款外，甲方应承担如下义务：</w:t>
      </w:r>
    </w:p>
    <w:p w14:paraId="14068683">
      <w:pPr>
        <w:spacing w:line="360" w:lineRule="auto"/>
        <w:rPr>
          <w:rFonts w:ascii="宋体"/>
          <w:color w:val="auto"/>
          <w:highlight w:val="none"/>
        </w:rPr>
      </w:pPr>
      <w:r>
        <w:rPr>
          <w:rFonts w:hint="eastAsia" w:ascii="宋体"/>
          <w:color w:val="auto"/>
          <w:highlight w:val="none"/>
        </w:rPr>
        <w:t>8.1.1 按照本合同第十三条的规定向乙方支付报酬。</w:t>
      </w:r>
    </w:p>
    <w:p w14:paraId="081ED043">
      <w:pPr>
        <w:spacing w:line="360" w:lineRule="auto"/>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6A6E1095">
      <w:pPr>
        <w:spacing w:line="360" w:lineRule="auto"/>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2B22FAB2">
      <w:pPr>
        <w:spacing w:line="360" w:lineRule="auto"/>
        <w:rPr>
          <w:rFonts w:ascii="宋体"/>
          <w:color w:val="auto"/>
          <w:highlight w:val="none"/>
        </w:rPr>
      </w:pPr>
      <w:r>
        <w:rPr>
          <w:rFonts w:hint="eastAsia" w:ascii="宋体"/>
          <w:color w:val="auto"/>
          <w:highlight w:val="none"/>
        </w:rPr>
        <w:t>8.1.4 甲方为乙方解决现场人员正常开展工作的开发测试系统环境和场地。</w:t>
      </w:r>
    </w:p>
    <w:p w14:paraId="17A262FD">
      <w:pPr>
        <w:spacing w:line="360" w:lineRule="auto"/>
        <w:rPr>
          <w:rFonts w:ascii="宋体"/>
          <w:color w:val="auto"/>
          <w:highlight w:val="none"/>
        </w:rPr>
      </w:pPr>
      <w:r>
        <w:rPr>
          <w:rFonts w:hint="eastAsia" w:ascii="宋体"/>
          <w:color w:val="auto"/>
          <w:highlight w:val="none"/>
        </w:rPr>
        <w:t>8.2除本合同其他条款外，乙方应承担如下义务：</w:t>
      </w:r>
    </w:p>
    <w:p w14:paraId="066D12A9">
      <w:pPr>
        <w:pStyle w:val="13"/>
        <w:tabs>
          <w:tab w:val="left" w:pos="0"/>
        </w:tabs>
        <w:spacing w:line="360" w:lineRule="auto"/>
        <w:ind w:left="-2" w:leftChars="-1"/>
        <w:rPr>
          <w:color w:val="auto"/>
          <w:highlight w:val="none"/>
        </w:rPr>
      </w:pPr>
      <w:r>
        <w:rPr>
          <w:color w:val="auto"/>
          <w:highlight w:val="none"/>
        </w:rPr>
        <w:t>8.2.1 遵守法律法规及银行业金融机构内部管理制度</w:t>
      </w:r>
      <w:r>
        <w:rPr>
          <w:rFonts w:hint="eastAsia"/>
          <w:color w:val="auto"/>
          <w:highlight w:val="none"/>
        </w:rPr>
        <w:t>及规定</w:t>
      </w:r>
      <w:r>
        <w:rPr>
          <w:color w:val="auto"/>
          <w:highlight w:val="none"/>
        </w:rPr>
        <w:t>，贯彻执行相关监管政策。</w:t>
      </w:r>
    </w:p>
    <w:p w14:paraId="49CA42AB">
      <w:pPr>
        <w:spacing w:line="360" w:lineRule="auto"/>
        <w:rPr>
          <w:rFonts w:ascii="宋体"/>
          <w:color w:val="auto"/>
          <w:highlight w:val="none"/>
        </w:rPr>
      </w:pPr>
      <w:r>
        <w:rPr>
          <w:rFonts w:hint="eastAsia" w:ascii="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2BDD45A7">
      <w:pPr>
        <w:spacing w:line="360" w:lineRule="auto"/>
        <w:rPr>
          <w:rFonts w:ascii="宋体"/>
          <w:color w:val="auto"/>
          <w:highlight w:val="none"/>
        </w:rPr>
      </w:pPr>
      <w:r>
        <w:rPr>
          <w:rFonts w:hint="eastAsia" w:ascii="宋体"/>
          <w:color w:val="auto"/>
          <w:highlight w:val="none"/>
        </w:rPr>
        <w:t>8.2.3 负责在甲方的环境内安装并调试实施项目。</w:t>
      </w:r>
    </w:p>
    <w:p w14:paraId="3FF42EE5">
      <w:pPr>
        <w:spacing w:line="360" w:lineRule="auto"/>
        <w:rPr>
          <w:rFonts w:ascii="宋体"/>
          <w:color w:val="auto"/>
          <w:highlight w:val="none"/>
        </w:rPr>
      </w:pPr>
      <w:r>
        <w:rPr>
          <w:rFonts w:hint="eastAsia" w:ascii="宋体"/>
          <w:color w:val="auto"/>
          <w:highlight w:val="none"/>
        </w:rPr>
        <w:t>8.2.4 指派一名项目主要负责人参加甲、乙双方为本项目召开的会议并协调相关工作和签署有关文件。</w:t>
      </w:r>
    </w:p>
    <w:p w14:paraId="2AC561FC">
      <w:pPr>
        <w:spacing w:line="360" w:lineRule="auto"/>
        <w:rPr>
          <w:rFonts w:ascii="宋体"/>
          <w:color w:val="auto"/>
          <w:highlight w:val="none"/>
        </w:rPr>
      </w:pPr>
      <w:r>
        <w:rPr>
          <w:rFonts w:hint="eastAsia" w:ascii="宋体"/>
          <w:color w:val="auto"/>
          <w:highlight w:val="none"/>
        </w:rPr>
        <w:t>8.2.5 指派独立于开发团队的测试人员负责项目系统测试，并承诺按照甲方质量管理要求完成项目系统测试、性能测试、安全测试等。</w:t>
      </w:r>
    </w:p>
    <w:p w14:paraId="0B9EF4A2">
      <w:pPr>
        <w:spacing w:line="360" w:lineRule="auto"/>
        <w:rPr>
          <w:rFonts w:ascii="宋体"/>
          <w:color w:val="auto"/>
          <w:highlight w:val="none"/>
        </w:rPr>
      </w:pPr>
      <w:r>
        <w:rPr>
          <w:rFonts w:hint="eastAsia" w:ascii="宋体"/>
          <w:color w:val="auto"/>
          <w:highlight w:val="none"/>
        </w:rPr>
        <w:t>8.2.6 按照本合同的约定向甲方提供相关技术资料并提供技术指导。</w:t>
      </w:r>
    </w:p>
    <w:p w14:paraId="23CADC91">
      <w:pPr>
        <w:spacing w:line="360" w:lineRule="auto"/>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250E83BB">
      <w:pPr>
        <w:spacing w:line="360" w:lineRule="auto"/>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6689B4C0">
      <w:pPr>
        <w:spacing w:line="360" w:lineRule="auto"/>
        <w:rPr>
          <w:rFonts w:ascii="宋体"/>
          <w:color w:val="auto"/>
          <w:highlight w:val="none"/>
        </w:rPr>
      </w:pPr>
      <w:r>
        <w:rPr>
          <w:rFonts w:hint="eastAsia" w:ascii="宋体"/>
          <w:color w:val="auto"/>
          <w:highlight w:val="none"/>
        </w:rPr>
        <w:t>8.2.9 乙方应针对服务内容为甲方制定业务连续性计划和应急计划并维护好相关资源，在服务质量不能满足合同要求时，甲方具有优先获取服务资源的权利。</w:t>
      </w:r>
    </w:p>
    <w:p w14:paraId="0853900F">
      <w:pPr>
        <w:spacing w:line="360" w:lineRule="auto"/>
        <w:rPr>
          <w:rFonts w:ascii="宋体"/>
          <w:color w:val="auto"/>
          <w:highlight w:val="none"/>
        </w:rPr>
      </w:pPr>
      <w:r>
        <w:rPr>
          <w:rFonts w:hint="eastAsia" w:ascii="宋体"/>
          <w:color w:val="auto"/>
          <w:highlight w:val="none"/>
        </w:rPr>
        <w:t>8.2.10 乙方应当自己完成本合同项下的开发、测试或维护等工作，而不得分包给任何第三方，也不得进行转包或变相转包。</w:t>
      </w:r>
    </w:p>
    <w:p w14:paraId="00C556FA">
      <w:pPr>
        <w:spacing w:line="360" w:lineRule="auto"/>
        <w:rPr>
          <w:rFonts w:ascii="宋体"/>
          <w:color w:val="auto"/>
          <w:highlight w:val="none"/>
        </w:rPr>
      </w:pPr>
      <w:r>
        <w:rPr>
          <w:rFonts w:hint="eastAsia" w:ascii="宋体"/>
          <w:color w:val="auto"/>
          <w:highlight w:val="none"/>
        </w:rPr>
        <w:t xml:space="preserve">8.2.11 </w:t>
      </w:r>
      <w:r>
        <w:rPr>
          <w:rFonts w:hint="eastAsia"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6F0B2AB9">
      <w:pPr>
        <w:spacing w:line="360" w:lineRule="auto"/>
        <w:rPr>
          <w:rFonts w:ascii="宋体"/>
          <w:color w:val="auto"/>
          <w:highlight w:val="none"/>
        </w:rPr>
      </w:pPr>
    </w:p>
    <w:p w14:paraId="0D8D6BF6">
      <w:pPr>
        <w:spacing w:line="360" w:lineRule="auto"/>
        <w:ind w:firstLine="472" w:firstLineChars="196"/>
        <w:outlineLvl w:val="0"/>
        <w:rPr>
          <w:rFonts w:ascii="宋体"/>
          <w:b/>
          <w:color w:val="auto"/>
          <w:highlight w:val="none"/>
        </w:rPr>
      </w:pPr>
      <w:bookmarkStart w:id="492" w:name="_Toc16641"/>
      <w:bookmarkStart w:id="493" w:name="_Toc28701"/>
      <w:bookmarkStart w:id="494" w:name="_Toc7514"/>
      <w:bookmarkStart w:id="495" w:name="_Toc63757465"/>
      <w:r>
        <w:rPr>
          <w:rFonts w:hint="eastAsia" w:ascii="宋体"/>
          <w:b/>
          <w:color w:val="auto"/>
          <w:highlight w:val="none"/>
        </w:rPr>
        <w:t>第九条  乙方的声明与保证</w:t>
      </w:r>
      <w:bookmarkEnd w:id="492"/>
      <w:bookmarkEnd w:id="493"/>
      <w:bookmarkEnd w:id="494"/>
      <w:bookmarkEnd w:id="495"/>
    </w:p>
    <w:p w14:paraId="7E41F9F4">
      <w:pPr>
        <w:spacing w:line="360" w:lineRule="auto"/>
        <w:rPr>
          <w:rFonts w:ascii="宋体"/>
          <w:color w:val="auto"/>
          <w:highlight w:val="none"/>
        </w:rPr>
      </w:pPr>
      <w:r>
        <w:rPr>
          <w:rFonts w:hint="eastAsia" w:ascii="宋体"/>
          <w:color w:val="auto"/>
          <w:highlight w:val="none"/>
        </w:rPr>
        <w:t>乙方向甲方做出如下声明与保证：</w:t>
      </w:r>
    </w:p>
    <w:p w14:paraId="2DB5CD50">
      <w:pPr>
        <w:spacing w:line="360" w:lineRule="auto"/>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605C3B78">
      <w:pPr>
        <w:spacing w:line="360" w:lineRule="auto"/>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6AD11D70">
      <w:pPr>
        <w:spacing w:line="360" w:lineRule="auto"/>
        <w:rPr>
          <w:rFonts w:ascii="宋体"/>
          <w:color w:val="auto"/>
          <w:highlight w:val="none"/>
        </w:rPr>
      </w:pPr>
      <w:r>
        <w:rPr>
          <w:rStyle w:val="40"/>
          <w:rFonts w:hint="eastAsia" w:ascii="宋体"/>
          <w:color w:val="auto"/>
          <w:kern w:val="0"/>
          <w:highlight w:val="none"/>
        </w:rPr>
        <w:t>9.3乙方在本项目中【使用/未使用】第三方</w:t>
      </w:r>
      <w:r>
        <w:rPr>
          <w:rStyle w:val="40"/>
          <w:rFonts w:ascii="宋体"/>
          <w:color w:val="auto"/>
          <w:kern w:val="0"/>
          <w:highlight w:val="none"/>
        </w:rPr>
        <w:t>产品</w:t>
      </w:r>
      <w:r>
        <w:rPr>
          <w:rStyle w:val="40"/>
          <w:rFonts w:hint="eastAsia" w:ascii="宋体"/>
          <w:color w:val="auto"/>
          <w:kern w:val="0"/>
          <w:highlight w:val="none"/>
        </w:rPr>
        <w:t>，</w:t>
      </w:r>
      <w:r>
        <w:rPr>
          <w:rStyle w:val="40"/>
          <w:rFonts w:ascii="宋体"/>
          <w:color w:val="auto"/>
          <w:kern w:val="0"/>
          <w:highlight w:val="none"/>
        </w:rPr>
        <w:t>包括第三方</w:t>
      </w:r>
      <w:r>
        <w:rPr>
          <w:rStyle w:val="40"/>
          <w:rFonts w:hint="eastAsia" w:asci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5BAFEB4C">
      <w:pPr>
        <w:spacing w:line="360" w:lineRule="auto"/>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1A70F449">
      <w:pPr>
        <w:spacing w:line="360" w:lineRule="auto"/>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42E1BCF9">
      <w:pPr>
        <w:spacing w:line="360" w:lineRule="auto"/>
        <w:rPr>
          <w:rStyle w:val="40"/>
          <w:rFonts w:asci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0"/>
          <w:rFonts w:hint="eastAsia" w:ascii="宋体"/>
          <w:color w:val="auto"/>
          <w:kern w:val="0"/>
          <w:highlight w:val="none"/>
        </w:rPr>
        <w:t>第三方产品出现安全漏洞</w:t>
      </w:r>
      <w:r>
        <w:rPr>
          <w:rFonts w:hint="eastAsia" w:ascii="宋体"/>
          <w:color w:val="auto"/>
          <w:highlight w:val="none"/>
        </w:rPr>
        <w:t>或违反个人信息保护相关法规，</w:t>
      </w:r>
      <w:r>
        <w:rPr>
          <w:rStyle w:val="40"/>
          <w:rFonts w:hint="eastAsia" w:ascii="宋体"/>
          <w:color w:val="auto"/>
          <w:kern w:val="0"/>
          <w:highlight w:val="none"/>
        </w:rPr>
        <w:t>甲方有权要求乙方进行修复，若因此给甲方造成损失的，甲方有权随时向乙方追偿。</w:t>
      </w:r>
    </w:p>
    <w:p w14:paraId="18BBCB20">
      <w:pPr>
        <w:spacing w:line="360" w:lineRule="auto"/>
        <w:rPr>
          <w:rStyle w:val="40"/>
          <w:rFonts w:ascii="宋体"/>
          <w:color w:val="auto"/>
          <w:kern w:val="0"/>
          <w:highlight w:val="none"/>
        </w:rPr>
      </w:pPr>
      <w:r>
        <w:rPr>
          <w:rStyle w:val="40"/>
          <w:rFonts w:hint="eastAsia" w:ascii="宋体"/>
          <w:color w:val="auto"/>
          <w:kern w:val="0"/>
          <w:highlight w:val="none"/>
        </w:rPr>
        <w:t>9</w:t>
      </w:r>
      <w:r>
        <w:rPr>
          <w:rStyle w:val="40"/>
          <w:rFonts w:ascii="宋体"/>
          <w:color w:val="auto"/>
          <w:kern w:val="0"/>
          <w:highlight w:val="none"/>
        </w:rPr>
        <w:t>.4</w:t>
      </w:r>
      <w:r>
        <w:rPr>
          <w:rStyle w:val="40"/>
          <w:rFonts w:hint="eastAsia" w:ascii="宋体"/>
          <w:color w:val="auto"/>
          <w:kern w:val="0"/>
          <w:highlight w:val="none"/>
        </w:rPr>
        <w:t>乙方保证向甲方提供的项目产品（含第三方产品）的安全性、合规性，保证无恶意脚本、后门及恶意漏洞，不携带任何病毒，不越权收集、处理客户信息。</w:t>
      </w:r>
    </w:p>
    <w:p w14:paraId="38DD5ECD">
      <w:pPr>
        <w:spacing w:line="360" w:lineRule="auto"/>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60192443">
      <w:pPr>
        <w:spacing w:line="360" w:lineRule="auto"/>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42A3A2A9">
      <w:pPr>
        <w:spacing w:line="360" w:lineRule="auto"/>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785AD54A">
      <w:pPr>
        <w:spacing w:line="360" w:lineRule="auto"/>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305EB8D0">
      <w:pPr>
        <w:spacing w:line="360" w:lineRule="auto"/>
        <w:ind w:left="560" w:hanging="560" w:firstLineChars="0"/>
        <w:rPr>
          <w:rFonts w:ascii="宋体"/>
          <w:color w:val="auto"/>
          <w:highlight w:val="none"/>
        </w:rPr>
      </w:pPr>
    </w:p>
    <w:p w14:paraId="49BA4F25">
      <w:pPr>
        <w:spacing w:line="360" w:lineRule="auto"/>
        <w:ind w:firstLine="472" w:firstLineChars="196"/>
        <w:outlineLvl w:val="0"/>
        <w:rPr>
          <w:rFonts w:ascii="宋体"/>
          <w:b/>
          <w:color w:val="auto"/>
          <w:highlight w:val="none"/>
        </w:rPr>
      </w:pPr>
      <w:bookmarkStart w:id="496" w:name="_Toc17507"/>
      <w:bookmarkStart w:id="497" w:name="_Toc24082"/>
      <w:bookmarkStart w:id="498" w:name="_Toc63757466"/>
      <w:bookmarkStart w:id="499" w:name="_Toc13748"/>
      <w:r>
        <w:rPr>
          <w:rFonts w:hint="eastAsia" w:ascii="宋体"/>
          <w:b/>
          <w:color w:val="auto"/>
          <w:highlight w:val="none"/>
        </w:rPr>
        <w:t>第十条  知识产权</w:t>
      </w:r>
      <w:bookmarkEnd w:id="496"/>
      <w:bookmarkEnd w:id="497"/>
      <w:bookmarkEnd w:id="498"/>
      <w:bookmarkEnd w:id="499"/>
    </w:p>
    <w:p w14:paraId="373F19EC">
      <w:pPr>
        <w:spacing w:line="360" w:lineRule="auto"/>
        <w:rPr>
          <w:rStyle w:val="40"/>
          <w:rFonts w:ascii="宋体"/>
          <w:color w:val="auto"/>
          <w:kern w:val="0"/>
          <w:highlight w:val="none"/>
        </w:rPr>
      </w:pPr>
      <w:r>
        <w:rPr>
          <w:rStyle w:val="40"/>
          <w:rFonts w:hint="eastAsia" w:asci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58B0B5D2">
      <w:pPr>
        <w:spacing w:line="360" w:lineRule="auto"/>
        <w:rPr>
          <w:rStyle w:val="40"/>
          <w:rFonts w:ascii="宋体"/>
          <w:color w:val="auto"/>
          <w:highlight w:val="none"/>
        </w:rPr>
      </w:pPr>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B292714">
      <w:pPr>
        <w:spacing w:line="360" w:lineRule="auto"/>
        <w:rPr>
          <w:rStyle w:val="40"/>
          <w:rFonts w:ascii="宋体"/>
          <w:color w:val="auto"/>
          <w:highlight w:val="none"/>
        </w:rPr>
      </w:pPr>
      <w:r>
        <w:rPr>
          <w:rFonts w:hint="eastAsia" w:ascii="宋体"/>
          <w:color w:val="auto"/>
          <w:highlight w:val="none"/>
        </w:rPr>
        <w:t>10.</w:t>
      </w:r>
      <w:r>
        <w:rPr>
          <w:rFonts w:ascii="宋体"/>
          <w:color w:val="auto"/>
          <w:highlight w:val="none"/>
        </w:rPr>
        <w:t>3</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0"/>
          <w:rFonts w:hint="eastAsia" w:asci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253A6322">
      <w:pPr>
        <w:spacing w:line="360" w:lineRule="auto"/>
        <w:rPr>
          <w:rStyle w:val="40"/>
          <w:rFonts w:ascii="宋体"/>
          <w:color w:val="auto"/>
          <w:highlight w:val="none"/>
        </w:rPr>
      </w:pPr>
      <w:r>
        <w:rPr>
          <w:rStyle w:val="40"/>
          <w:rFonts w:hint="eastAsia" w:ascii="宋体"/>
          <w:color w:val="auto"/>
          <w:highlight w:val="none"/>
        </w:rPr>
        <w:t>1</w:t>
      </w:r>
      <w:r>
        <w:rPr>
          <w:rStyle w:val="40"/>
          <w:rFonts w:ascii="宋体"/>
          <w:color w:val="auto"/>
          <w:highlight w:val="none"/>
        </w:rPr>
        <w:t>0.4本项目</w:t>
      </w:r>
      <w:r>
        <w:rPr>
          <w:rStyle w:val="40"/>
          <w:rFonts w:hint="eastAsia" w:ascii="宋体"/>
          <w:color w:val="auto"/>
          <w:highlight w:val="none"/>
        </w:rPr>
        <w:t>客户化源代码的知识产权归甲方单独所有，其余部分归双方共有。</w:t>
      </w:r>
    </w:p>
    <w:p w14:paraId="340F8362">
      <w:pPr>
        <w:spacing w:line="360" w:lineRule="auto"/>
        <w:rPr>
          <w:rStyle w:val="40"/>
          <w:rFonts w:ascii="宋体"/>
          <w:color w:val="auto"/>
          <w:kern w:val="0"/>
          <w:highlight w:val="none"/>
        </w:rPr>
      </w:pPr>
      <w:r>
        <w:rPr>
          <w:rStyle w:val="40"/>
          <w:rFonts w:hint="eastAsia" w:ascii="宋体"/>
          <w:color w:val="auto"/>
          <w:highlight w:val="none"/>
        </w:rPr>
        <w:t>1</w:t>
      </w:r>
      <w:r>
        <w:rPr>
          <w:rStyle w:val="40"/>
          <w:rFonts w:ascii="宋体"/>
          <w:color w:val="auto"/>
          <w:highlight w:val="none"/>
        </w:rPr>
        <w:t>0.4.1</w:t>
      </w:r>
      <w:r>
        <w:rPr>
          <w:rStyle w:val="40"/>
          <w:rFonts w:hint="eastAsia" w:asci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4702963B">
      <w:pPr>
        <w:spacing w:line="360" w:lineRule="auto"/>
        <w:rPr>
          <w:rStyle w:val="40"/>
          <w:rFonts w:ascii="宋体"/>
          <w:color w:val="auto"/>
          <w:highlight w:val="none"/>
        </w:rPr>
      </w:pPr>
      <w:r>
        <w:rPr>
          <w:rStyle w:val="40"/>
          <w:rFonts w:ascii="宋体"/>
          <w:color w:val="auto"/>
          <w:highlight w:val="none"/>
        </w:rPr>
        <w:t>10.4.2</w:t>
      </w:r>
      <w:r>
        <w:rPr>
          <w:rStyle w:val="40"/>
          <w:rFonts w:hint="eastAsia" w:asci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0"/>
          <w:rFonts w:hint="eastAsia" w:ascii="宋体"/>
          <w:color w:val="auto"/>
          <w:highlight w:val="none"/>
        </w:rPr>
        <w:t>乙方拥有在其公司和其他组织范围内使用的权利，但乙方使用时不得侵犯甲方利益。</w:t>
      </w:r>
    </w:p>
    <w:p w14:paraId="6020DCE1">
      <w:pPr>
        <w:spacing w:line="360" w:lineRule="auto"/>
        <w:rPr>
          <w:rStyle w:val="40"/>
          <w:rFonts w:ascii="宋体"/>
          <w:color w:val="auto"/>
          <w:highlight w:val="none"/>
        </w:rPr>
      </w:pPr>
      <w:r>
        <w:rPr>
          <w:rStyle w:val="40"/>
          <w:rFonts w:ascii="宋体"/>
          <w:color w:val="auto"/>
          <w:highlight w:val="none"/>
        </w:rPr>
        <w:t>10.4.</w:t>
      </w:r>
      <w:r>
        <w:rPr>
          <w:rStyle w:val="40"/>
          <w:rFonts w:hint="eastAsia" w:ascii="宋体"/>
          <w:color w:val="auto"/>
          <w:highlight w:val="none"/>
        </w:rPr>
        <w:t>3</w:t>
      </w:r>
      <w:r>
        <w:rPr>
          <w:rStyle w:val="40"/>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6216F833">
      <w:pPr>
        <w:spacing w:line="360" w:lineRule="auto"/>
        <w:rPr>
          <w:rFonts w:ascii="宋体"/>
          <w:color w:val="auto"/>
          <w:kern w:val="0"/>
          <w:highlight w:val="none"/>
        </w:rPr>
      </w:pPr>
    </w:p>
    <w:p w14:paraId="4E4081F2">
      <w:pPr>
        <w:spacing w:line="360" w:lineRule="auto"/>
        <w:rPr>
          <w:rFonts w:ascii="宋体"/>
          <w:b/>
          <w:color w:val="auto"/>
          <w:highlight w:val="none"/>
        </w:rPr>
      </w:pPr>
    </w:p>
    <w:p w14:paraId="27EA99A6">
      <w:pPr>
        <w:spacing w:line="360" w:lineRule="auto"/>
        <w:ind w:firstLine="472" w:firstLineChars="196"/>
        <w:outlineLvl w:val="0"/>
        <w:rPr>
          <w:rFonts w:ascii="宋体"/>
          <w:b/>
          <w:color w:val="auto"/>
          <w:highlight w:val="none"/>
        </w:rPr>
      </w:pPr>
      <w:bookmarkStart w:id="500" w:name="_Toc27119"/>
      <w:bookmarkStart w:id="501" w:name="_Toc63757467"/>
      <w:bookmarkStart w:id="502" w:name="_Toc8858"/>
      <w:bookmarkStart w:id="503" w:name="_Toc20164"/>
      <w:r>
        <w:rPr>
          <w:rFonts w:hint="eastAsia" w:ascii="宋体"/>
          <w:b/>
          <w:color w:val="auto"/>
          <w:highlight w:val="none"/>
        </w:rPr>
        <w:t>第十一条  第三方索赔</w:t>
      </w:r>
      <w:bookmarkEnd w:id="500"/>
      <w:bookmarkEnd w:id="501"/>
      <w:bookmarkEnd w:id="502"/>
      <w:bookmarkEnd w:id="503"/>
    </w:p>
    <w:p w14:paraId="72D49C44">
      <w:pPr>
        <w:spacing w:line="360" w:lineRule="auto"/>
        <w:rPr>
          <w:rFonts w:ascii="宋体"/>
          <w:color w:val="auto"/>
          <w:highlight w:val="none"/>
        </w:rPr>
      </w:pPr>
      <w:r>
        <w:rPr>
          <w:rFonts w:hint="eastAsia" w:ascii="宋体"/>
          <w:color w:val="auto"/>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AAD57C6">
      <w:pPr>
        <w:spacing w:line="360" w:lineRule="auto"/>
        <w:rPr>
          <w:rFonts w:ascii="宋体"/>
          <w:color w:val="auto"/>
          <w:highlight w:val="none"/>
        </w:rPr>
      </w:pPr>
      <w:r>
        <w:rPr>
          <w:rFonts w:hint="eastAsia" w:ascii="宋体"/>
          <w:color w:val="auto"/>
          <w:highlight w:val="none"/>
        </w:rPr>
        <w:t>11.2对于第11.1条涉及的侵权索赔，乙方将承担全部费用，包括</w:t>
      </w:r>
      <w:r>
        <w:rPr>
          <w:rStyle w:val="40"/>
          <w:rFonts w:hint="eastAsia" w:ascii="宋体"/>
          <w:color w:val="auto"/>
          <w:kern w:val="0"/>
          <w:highlight w:val="none"/>
        </w:rPr>
        <w:t>诉讼费、仲裁费、甲方支付的律师费、差旅住宿费、公证费、鉴定费、调解费及仲裁裁决、法院判决或调解协议中由甲方承担的赔偿金。</w:t>
      </w:r>
    </w:p>
    <w:p w14:paraId="4FA2EA14">
      <w:pPr>
        <w:spacing w:line="360" w:lineRule="auto"/>
        <w:rPr>
          <w:rFonts w:ascii="宋体"/>
          <w:color w:val="auto"/>
          <w:highlight w:val="none"/>
        </w:rPr>
      </w:pPr>
      <w:r>
        <w:rPr>
          <w:rFonts w:hint="eastAsia" w:ascii="宋体"/>
          <w:color w:val="auto"/>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0"/>
          <w:rFonts w:hint="eastAsia" w:ascii="宋体"/>
          <w:color w:val="auto"/>
          <w:kern w:val="0"/>
          <w:highlight w:val="none"/>
        </w:rPr>
        <w:t>部损失</w:t>
      </w:r>
      <w:r>
        <w:rPr>
          <w:rFonts w:hint="eastAsia" w:ascii="宋体"/>
          <w:color w:val="auto"/>
          <w:highlight w:val="none"/>
        </w:rPr>
        <w:t>。</w:t>
      </w:r>
    </w:p>
    <w:p w14:paraId="3E6EF8F5">
      <w:pPr>
        <w:spacing w:line="360" w:lineRule="auto"/>
        <w:rPr>
          <w:rFonts w:ascii="宋体"/>
          <w:color w:val="auto"/>
          <w:highlight w:val="none"/>
        </w:rPr>
      </w:pPr>
      <w:r>
        <w:rPr>
          <w:rFonts w:hint="eastAsia" w:ascii="宋体"/>
          <w:color w:val="auto"/>
          <w:highlight w:val="none"/>
        </w:rPr>
        <w:t>11.4乙方对由以下非乙方的过错引起的侵权索赔不承担责任：</w:t>
      </w:r>
    </w:p>
    <w:p w14:paraId="2A5FCBCD">
      <w:pPr>
        <w:spacing w:line="360" w:lineRule="auto"/>
        <w:rPr>
          <w:rFonts w:ascii="宋体"/>
          <w:color w:val="auto"/>
          <w:highlight w:val="none"/>
        </w:rPr>
      </w:pPr>
      <w:r>
        <w:rPr>
          <w:rStyle w:val="40"/>
          <w:rFonts w:hint="eastAsia" w:ascii="宋体"/>
          <w:color w:val="auto"/>
          <w:kern w:val="0"/>
          <w:highlight w:val="none"/>
        </w:rPr>
        <w:t>11.4.1 甲方使用不当所造成的侵权。</w:t>
      </w:r>
    </w:p>
    <w:p w14:paraId="715B602D">
      <w:pPr>
        <w:spacing w:line="360" w:lineRule="auto"/>
        <w:rPr>
          <w:rFonts w:ascii="宋体"/>
          <w:color w:val="auto"/>
          <w:highlight w:val="none"/>
        </w:rPr>
      </w:pPr>
      <w:r>
        <w:rPr>
          <w:rFonts w:hint="eastAsia" w:ascii="宋体"/>
          <w:color w:val="auto"/>
          <w:highlight w:val="none"/>
        </w:rPr>
        <w:t>11.4.2 因甲方或第三方对开发软件或资料进行修改所直接造成的侵权。</w:t>
      </w:r>
    </w:p>
    <w:p w14:paraId="10D7E058">
      <w:pPr>
        <w:spacing w:line="360" w:lineRule="auto"/>
        <w:ind w:left="840" w:hanging="840" w:firstLineChars="0"/>
        <w:rPr>
          <w:rFonts w:ascii="宋体"/>
          <w:color w:val="auto"/>
          <w:highlight w:val="none"/>
        </w:rPr>
      </w:pPr>
    </w:p>
    <w:p w14:paraId="493FEF41">
      <w:pPr>
        <w:spacing w:line="360" w:lineRule="auto"/>
        <w:ind w:firstLine="472" w:firstLineChars="196"/>
        <w:outlineLvl w:val="0"/>
        <w:rPr>
          <w:rFonts w:ascii="宋体"/>
          <w:b/>
          <w:color w:val="auto"/>
          <w:highlight w:val="none"/>
        </w:rPr>
      </w:pPr>
      <w:bookmarkStart w:id="504" w:name="_Toc25932"/>
      <w:bookmarkStart w:id="505" w:name="_Toc10362"/>
      <w:bookmarkStart w:id="506" w:name="_Toc63757468"/>
      <w:bookmarkStart w:id="507" w:name="_Toc7239"/>
      <w:r>
        <w:rPr>
          <w:rFonts w:hint="eastAsia" w:ascii="宋体"/>
          <w:b/>
          <w:color w:val="auto"/>
          <w:highlight w:val="none"/>
        </w:rPr>
        <w:t>第十二条  保密</w:t>
      </w:r>
      <w:bookmarkEnd w:id="504"/>
      <w:bookmarkEnd w:id="505"/>
      <w:bookmarkEnd w:id="506"/>
      <w:bookmarkEnd w:id="507"/>
    </w:p>
    <w:p w14:paraId="583D5B68">
      <w:pPr>
        <w:spacing w:line="360" w:lineRule="auto"/>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55CE4FA8">
      <w:pPr>
        <w:tabs>
          <w:tab w:val="left" w:pos="1134"/>
        </w:tabs>
        <w:spacing w:line="360" w:lineRule="auto"/>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460FDE4B">
      <w:pPr>
        <w:spacing w:line="360" w:lineRule="auto"/>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 xml:space="preserve"> 乙方不得以甲方名义开展活动，不得将甲方数据、信息以任何形式转移、挪用或谋取合同约定以外的利益。</w:t>
      </w:r>
    </w:p>
    <w:p w14:paraId="35FD4FD2">
      <w:pPr>
        <w:spacing w:line="360" w:lineRule="auto"/>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12.4乙方知道违反本条规定将给甲方客户权利以及甲方造成难以弥补的损失，为此同意承担由此产生的经济上和法律上的责任和损失。</w:t>
      </w:r>
    </w:p>
    <w:p w14:paraId="7E0206A5">
      <w:pPr>
        <w:spacing w:line="360" w:lineRule="auto"/>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35DBF8C8">
      <w:pPr>
        <w:spacing w:line="360" w:lineRule="auto"/>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27E78027">
      <w:pPr>
        <w:spacing w:line="360" w:lineRule="auto"/>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07470812">
      <w:pPr>
        <w:spacing w:line="360" w:lineRule="auto"/>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3F1A2ED1">
      <w:pPr>
        <w:spacing w:line="360" w:lineRule="auto"/>
        <w:rPr>
          <w:rFonts w:ascii="宋体"/>
          <w:color w:val="auto"/>
          <w:kern w:val="0"/>
          <w:highlight w:val="none"/>
        </w:rPr>
      </w:pPr>
      <w:r>
        <w:rPr>
          <w:rFonts w:hint="eastAsia" w:ascii="宋体"/>
          <w:color w:val="auto"/>
          <w:kern w:val="0"/>
          <w:highlight w:val="none"/>
        </w:rPr>
        <w:t>12.9 本合同项下乙方人员行为视为乙方行为，乙方应承担全部责任及损失。当客户信息不安全或客户权利受到重大不利影响时，甲方有权随时终止合同。</w:t>
      </w:r>
    </w:p>
    <w:p w14:paraId="4A2F88A0">
      <w:pPr>
        <w:spacing w:line="360" w:lineRule="auto"/>
        <w:ind w:left="1440" w:leftChars="200" w:hanging="960" w:hangingChars="400"/>
        <w:rPr>
          <w:rFonts w:ascii="宋体"/>
          <w:color w:val="auto"/>
          <w:highlight w:val="none"/>
        </w:rPr>
      </w:pPr>
    </w:p>
    <w:p w14:paraId="50739B44">
      <w:pPr>
        <w:spacing w:line="360" w:lineRule="auto"/>
        <w:ind w:firstLine="472" w:firstLineChars="196"/>
        <w:outlineLvl w:val="0"/>
        <w:rPr>
          <w:rFonts w:ascii="宋体"/>
          <w:b/>
          <w:color w:val="auto"/>
          <w:highlight w:val="none"/>
        </w:rPr>
      </w:pPr>
      <w:bookmarkStart w:id="508" w:name="_Toc12055"/>
      <w:bookmarkStart w:id="509" w:name="_Toc8681"/>
      <w:bookmarkStart w:id="510" w:name="_Toc31207"/>
      <w:bookmarkStart w:id="511" w:name="_Toc63757469"/>
      <w:r>
        <w:rPr>
          <w:rFonts w:hint="eastAsia" w:ascii="宋体"/>
          <w:b/>
          <w:color w:val="auto"/>
          <w:highlight w:val="none"/>
        </w:rPr>
        <w:t>第十三条  价格与支付</w:t>
      </w:r>
      <w:bookmarkEnd w:id="508"/>
      <w:bookmarkEnd w:id="509"/>
      <w:bookmarkEnd w:id="510"/>
      <w:bookmarkEnd w:id="511"/>
    </w:p>
    <w:p w14:paraId="1AFFB10A">
      <w:pPr>
        <w:spacing w:line="360" w:lineRule="auto"/>
        <w:rPr>
          <w:rStyle w:val="40"/>
          <w:rFonts w:ascii="宋体"/>
          <w:color w:val="auto"/>
          <w:kern w:val="0"/>
          <w:highlight w:val="none"/>
        </w:rPr>
      </w:pPr>
      <w:r>
        <w:rPr>
          <w:rStyle w:val="40"/>
          <w:rFonts w:hint="eastAsia" w:ascii="宋体"/>
          <w:color w:val="auto"/>
          <w:kern w:val="0"/>
          <w:highlight w:val="none"/>
        </w:rPr>
        <w:t>13.1本项目产品实施总金额（价税合计）为</w:t>
      </w:r>
      <w:r>
        <w:rPr>
          <w:rStyle w:val="40"/>
          <w:rFonts w:hint="eastAsia" w:ascii="宋体"/>
          <w:color w:val="auto"/>
          <w:kern w:val="0"/>
          <w:highlight w:val="none"/>
          <w:u w:val="single"/>
        </w:rPr>
        <w:t xml:space="preserve">       </w:t>
      </w:r>
      <w:r>
        <w:rPr>
          <w:rStyle w:val="40"/>
          <w:rFonts w:hint="eastAsia" w:ascii="宋体"/>
          <w:color w:val="auto"/>
          <w:szCs w:val="2"/>
          <w:highlight w:val="none"/>
          <w:u w:val="single"/>
        </w:rPr>
        <w:t>元</w:t>
      </w:r>
      <w:r>
        <w:rPr>
          <w:rStyle w:val="40"/>
          <w:rFonts w:hint="eastAsia" w:ascii="宋体"/>
          <w:color w:val="auto"/>
          <w:kern w:val="0"/>
          <w:highlight w:val="none"/>
          <w:u w:val="single"/>
        </w:rPr>
        <w:t>（大写：         元整）</w:t>
      </w:r>
      <w:r>
        <w:rPr>
          <w:rStyle w:val="40"/>
          <w:rFonts w:hint="eastAsia" w:ascii="宋体"/>
          <w:color w:val="auto"/>
          <w:kern w:val="0"/>
          <w:highlight w:val="none"/>
        </w:rPr>
        <w:t>。</w:t>
      </w:r>
      <w:r>
        <w:rPr>
          <w:rStyle w:val="40"/>
          <w:rFonts w:hint="eastAsia" w:ascii="宋体"/>
          <w:color w:val="auto"/>
          <w:szCs w:val="2"/>
          <w:highlight w:val="none"/>
        </w:rPr>
        <w:t>不含税价为：</w:t>
      </w:r>
      <w:r>
        <w:rPr>
          <w:rStyle w:val="40"/>
          <w:rFonts w:hint="eastAsia" w:ascii="宋体"/>
          <w:color w:val="auto"/>
          <w:szCs w:val="2"/>
          <w:highlight w:val="none"/>
          <w:u w:val="single"/>
        </w:rPr>
        <w:t xml:space="preserve">       元</w:t>
      </w:r>
      <w:r>
        <w:rPr>
          <w:rStyle w:val="40"/>
          <w:rFonts w:hint="eastAsia" w:ascii="宋体"/>
          <w:color w:val="auto"/>
          <w:szCs w:val="2"/>
          <w:highlight w:val="none"/>
        </w:rPr>
        <w:t>（</w:t>
      </w:r>
      <w:r>
        <w:rPr>
          <w:rStyle w:val="40"/>
          <w:rFonts w:hint="eastAsia" w:ascii="宋体"/>
          <w:color w:val="auto"/>
          <w:szCs w:val="2"/>
          <w:highlight w:val="none"/>
          <w:u w:val="single"/>
        </w:rPr>
        <w:t>大写：         整）</w:t>
      </w:r>
      <w:r>
        <w:rPr>
          <w:rStyle w:val="40"/>
          <w:rFonts w:hint="eastAsia" w:ascii="宋体"/>
          <w:color w:val="auto"/>
          <w:szCs w:val="2"/>
          <w:highlight w:val="none"/>
        </w:rPr>
        <w:t>,税额为：</w:t>
      </w:r>
      <w:r>
        <w:rPr>
          <w:rStyle w:val="40"/>
          <w:rFonts w:hint="eastAsia" w:ascii="宋体"/>
          <w:color w:val="auto"/>
          <w:szCs w:val="2"/>
          <w:highlight w:val="none"/>
          <w:u w:val="single"/>
        </w:rPr>
        <w:t xml:space="preserve">       元</w:t>
      </w:r>
      <w:r>
        <w:rPr>
          <w:rStyle w:val="40"/>
          <w:rFonts w:hint="eastAsia" w:ascii="宋体"/>
          <w:color w:val="auto"/>
          <w:szCs w:val="2"/>
          <w:highlight w:val="none"/>
        </w:rPr>
        <w:t>（</w:t>
      </w:r>
      <w:r>
        <w:rPr>
          <w:rStyle w:val="40"/>
          <w:rFonts w:hint="eastAsia" w:ascii="宋体"/>
          <w:color w:val="auto"/>
          <w:szCs w:val="2"/>
          <w:highlight w:val="none"/>
          <w:u w:val="single"/>
        </w:rPr>
        <w:t>大写：         整）</w:t>
      </w:r>
      <w:r>
        <w:rPr>
          <w:rStyle w:val="40"/>
          <w:rFonts w:hint="eastAsia" w:ascii="宋体"/>
          <w:color w:val="auto"/>
          <w:szCs w:val="2"/>
          <w:highlight w:val="none"/>
        </w:rPr>
        <w:t>；不含税价格不因国家税率变化而变化，若在合同履行期间，如遇国家的税率调整，则价税合计应相应调整，以开具发票的时间为准。</w:t>
      </w:r>
      <w:r>
        <w:rPr>
          <w:rStyle w:val="40"/>
          <w:rFonts w:hint="eastAsia" w:ascii="宋体"/>
          <w:color w:val="auto"/>
          <w:kern w:val="0"/>
          <w:highlight w:val="none"/>
        </w:rPr>
        <w:t>该金额为本合同约定项目的全部费用，除双方另有约定外，甲方无须向乙方支付其他任何费用。</w:t>
      </w:r>
    </w:p>
    <w:p w14:paraId="243C2391">
      <w:pPr>
        <w:spacing w:line="360" w:lineRule="auto"/>
        <w:rPr>
          <w:rFonts w:ascii="宋体"/>
          <w:color w:val="auto"/>
          <w:highlight w:val="none"/>
        </w:rPr>
      </w:pPr>
      <w:r>
        <w:rPr>
          <w:rFonts w:hint="eastAsia" w:ascii="宋体"/>
          <w:color w:val="auto"/>
          <w:highlight w:val="none"/>
        </w:rPr>
        <w:t>13.2支付方式：</w:t>
      </w:r>
    </w:p>
    <w:p w14:paraId="7EE31146">
      <w:pPr>
        <w:spacing w:line="360" w:lineRule="auto"/>
        <w:rPr>
          <w:rFonts w:ascii="宋体"/>
          <w:color w:val="auto"/>
          <w:highlight w:val="none"/>
        </w:rPr>
      </w:pPr>
      <w:r>
        <w:rPr>
          <w:rFonts w:hint="eastAsia" w:ascii="宋体"/>
          <w:color w:val="auto"/>
          <w:highlight w:val="none"/>
        </w:rPr>
        <w:t>本合同实施款项采用分期付款：</w:t>
      </w:r>
    </w:p>
    <w:p w14:paraId="4316491A">
      <w:pPr>
        <w:spacing w:line="360" w:lineRule="auto"/>
        <w:rPr>
          <w:rFonts w:ascii="宋体"/>
          <w:color w:val="auto"/>
          <w:highlight w:val="none"/>
        </w:rPr>
      </w:pPr>
      <w:r>
        <w:rPr>
          <w:rFonts w:hint="eastAsia" w:ascii="宋体"/>
          <w:color w:val="auto"/>
          <w:highlight w:val="none"/>
        </w:rPr>
        <w:t>13.2.1项目安装、调试并投入试运行后30个工作日内,乙方向甲方提供合法足额的增值税专用发票，甲方向乙方支付合同总额的60％，即</w:t>
      </w:r>
      <w:r>
        <w:rPr>
          <w:rFonts w:hint="eastAsia" w:ascii="宋体"/>
          <w:color w:val="auto"/>
          <w:highlight w:val="none"/>
          <w:u w:val="single"/>
        </w:rPr>
        <w:t xml:space="preserve">       </w:t>
      </w:r>
      <w:r>
        <w:rPr>
          <w:rFonts w:hint="eastAsia" w:ascii="宋体"/>
          <w:color w:val="auto"/>
          <w:highlight w:val="none"/>
        </w:rPr>
        <w:t>元（大写：</w:t>
      </w:r>
      <w:r>
        <w:rPr>
          <w:rFonts w:hint="eastAsia" w:ascii="宋体"/>
          <w:color w:val="auto"/>
          <w:highlight w:val="none"/>
          <w:u w:val="single"/>
        </w:rPr>
        <w:t xml:space="preserve">      元整 </w:t>
      </w:r>
      <w:r>
        <w:rPr>
          <w:rFonts w:hint="eastAsia" w:ascii="宋体"/>
          <w:color w:val="auto"/>
          <w:highlight w:val="none"/>
        </w:rPr>
        <w:t>）。</w:t>
      </w:r>
    </w:p>
    <w:p w14:paraId="6C3E1B68">
      <w:pPr>
        <w:spacing w:line="360" w:lineRule="auto"/>
        <w:rPr>
          <w:rFonts w:ascii="宋体"/>
          <w:color w:val="auto"/>
          <w:highlight w:val="none"/>
        </w:rPr>
      </w:pPr>
      <w:r>
        <w:rPr>
          <w:rFonts w:hint="eastAsia" w:ascii="宋体"/>
          <w:color w:val="auto"/>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color w:val="auto"/>
          <w:kern w:val="0"/>
          <w:highlight w:val="none"/>
        </w:rPr>
        <w:t>，</w:t>
      </w:r>
      <w:r>
        <w:rPr>
          <w:rFonts w:hint="eastAsia" w:ascii="宋体"/>
          <w:color w:val="auto"/>
          <w:highlight w:val="none"/>
        </w:rPr>
        <w:t>即</w:t>
      </w:r>
      <w:r>
        <w:rPr>
          <w:rFonts w:hint="eastAsia" w:ascii="宋体"/>
          <w:color w:val="auto"/>
          <w:highlight w:val="none"/>
          <w:u w:val="single"/>
        </w:rPr>
        <w:t xml:space="preserve">        </w:t>
      </w:r>
      <w:r>
        <w:rPr>
          <w:rFonts w:hint="eastAsia" w:ascii="宋体"/>
          <w:color w:val="auto"/>
          <w:highlight w:val="none"/>
        </w:rPr>
        <w:t>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w:t>
      </w:r>
    </w:p>
    <w:p w14:paraId="538FEB85">
      <w:pPr>
        <w:spacing w:line="360" w:lineRule="auto"/>
        <w:rPr>
          <w:rFonts w:ascii="宋体"/>
          <w:color w:val="auto"/>
          <w:highlight w:val="none"/>
        </w:rPr>
      </w:pPr>
      <w:r>
        <w:rPr>
          <w:rFonts w:hint="eastAsia" w:ascii="宋体"/>
          <w:color w:val="auto"/>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color w:val="auto"/>
          <w:highlight w:val="none"/>
          <w:u w:val="single"/>
        </w:rPr>
        <w:t xml:space="preserve">      </w:t>
      </w:r>
      <w:r>
        <w:rPr>
          <w:rFonts w:hint="eastAsia" w:ascii="宋体"/>
          <w:color w:val="auto"/>
          <w:highlight w:val="none"/>
        </w:rPr>
        <w:t>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），否则按《服务水平协议（SLA）》进行相应金额扣除（13.2.2中已扣除部分，本条不重复扣减）。</w:t>
      </w:r>
    </w:p>
    <w:p w14:paraId="267A48FB">
      <w:pPr>
        <w:spacing w:line="360" w:lineRule="auto"/>
        <w:rPr>
          <w:rFonts w:ascii="宋体"/>
          <w:color w:val="auto"/>
          <w:highlight w:val="none"/>
        </w:rPr>
      </w:pPr>
      <w:r>
        <w:rPr>
          <w:rFonts w:hint="eastAsia" w:ascii="宋体"/>
          <w:color w:val="auto"/>
          <w:highlight w:val="none"/>
        </w:rPr>
        <w:t>13.3发票要求：</w:t>
      </w:r>
    </w:p>
    <w:p w14:paraId="7AB18716">
      <w:pPr>
        <w:spacing w:line="360" w:lineRule="auto"/>
        <w:rPr>
          <w:rFonts w:ascii="宋体"/>
          <w:color w:val="auto"/>
          <w:highlight w:val="none"/>
        </w:rPr>
      </w:pPr>
      <w:r>
        <w:rPr>
          <w:rFonts w:hint="eastAsia" w:ascii="宋体"/>
          <w:color w:val="auto"/>
          <w:highlight w:val="none"/>
        </w:rPr>
        <w:t>乙方须严格按照合同内容开具税率为</w:t>
      </w:r>
      <w:r>
        <w:rPr>
          <w:rFonts w:ascii="宋体"/>
          <w:color w:val="auto"/>
          <w:highlight w:val="none"/>
        </w:rPr>
        <w:t>【】</w:t>
      </w:r>
      <w:r>
        <w:rPr>
          <w:rFonts w:hint="eastAsia" w:ascii="宋体"/>
          <w:b/>
          <w:color w:val="auto"/>
          <w:highlight w:val="none"/>
        </w:rPr>
        <w:t>%</w:t>
      </w:r>
      <w:r>
        <w:rPr>
          <w:rFonts w:hint="eastAsia" w:ascii="宋体"/>
          <w:color w:val="auto"/>
          <w:highlight w:val="none"/>
        </w:rPr>
        <w:t>的增值税专用发票（若遇国家税率调整另议），乙方在甲方每次付款前30个工作日需向甲方交付合法足额发票，否则甲方有权拒绝支付任何费用且不承担逾期付款违约责任。</w:t>
      </w:r>
    </w:p>
    <w:p w14:paraId="3CA78289">
      <w:pPr>
        <w:spacing w:line="360" w:lineRule="auto"/>
        <w:rPr>
          <w:rFonts w:ascii="宋体"/>
          <w:color w:val="auto"/>
          <w:highlight w:val="none"/>
        </w:rPr>
      </w:pPr>
    </w:p>
    <w:p w14:paraId="32698C0F">
      <w:pPr>
        <w:spacing w:line="360" w:lineRule="auto"/>
        <w:ind w:firstLine="472" w:firstLineChars="196"/>
        <w:outlineLvl w:val="0"/>
        <w:rPr>
          <w:rFonts w:ascii="宋体"/>
          <w:b/>
          <w:color w:val="auto"/>
          <w:highlight w:val="none"/>
        </w:rPr>
      </w:pPr>
      <w:bookmarkStart w:id="512" w:name="_Toc17436"/>
      <w:bookmarkStart w:id="513" w:name="_Toc29775"/>
      <w:bookmarkStart w:id="514" w:name="_Toc63757470"/>
      <w:bookmarkStart w:id="515" w:name="_Toc2038"/>
      <w:r>
        <w:rPr>
          <w:rFonts w:hint="eastAsia" w:ascii="宋体"/>
          <w:b/>
          <w:color w:val="auto"/>
          <w:highlight w:val="none"/>
        </w:rPr>
        <w:t>第十四条  风险责任的承担</w:t>
      </w:r>
      <w:bookmarkEnd w:id="512"/>
      <w:bookmarkEnd w:id="513"/>
      <w:bookmarkEnd w:id="514"/>
      <w:bookmarkEnd w:id="515"/>
    </w:p>
    <w:p w14:paraId="6EBAB2FE">
      <w:pPr>
        <w:tabs>
          <w:tab w:val="left" w:pos="6020"/>
        </w:tabs>
        <w:spacing w:line="360" w:lineRule="auto"/>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17158660">
      <w:pPr>
        <w:tabs>
          <w:tab w:val="left" w:pos="6020"/>
        </w:tabs>
        <w:spacing w:line="360" w:lineRule="auto"/>
        <w:rPr>
          <w:rStyle w:val="40"/>
          <w:rFonts w:ascii="宋体"/>
          <w:color w:val="auto"/>
          <w:kern w:val="0"/>
          <w:highlight w:val="none"/>
        </w:rPr>
      </w:pPr>
      <w:r>
        <w:rPr>
          <w:rStyle w:val="40"/>
          <w:rFonts w:hint="eastAsia" w:ascii="宋体"/>
          <w:color w:val="auto"/>
          <w:kern w:val="0"/>
          <w:highlight w:val="none"/>
        </w:rPr>
        <w:t>14.2乙方发现可能导致实施项目失败或者部分失败的情况时，应当及时通知甲方并采取适当措施减少损失；乙方没有及时通知甲方并采取适当措施致使措施扩大的，应当就扩大的损失承担责任。</w:t>
      </w:r>
    </w:p>
    <w:p w14:paraId="52F8F7F4">
      <w:pPr>
        <w:tabs>
          <w:tab w:val="left" w:pos="6020"/>
        </w:tabs>
        <w:spacing w:line="360" w:lineRule="auto"/>
        <w:rPr>
          <w:rFonts w:ascii="宋体"/>
          <w:color w:val="auto"/>
          <w:highlight w:val="none"/>
        </w:rPr>
      </w:pPr>
      <w:r>
        <w:rPr>
          <w:rStyle w:val="40"/>
          <w:rFonts w:hint="eastAsia" w:asci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3FB0AA4">
      <w:pPr>
        <w:tabs>
          <w:tab w:val="left" w:pos="6020"/>
        </w:tabs>
        <w:spacing w:line="360" w:lineRule="auto"/>
        <w:ind w:firstLine="560" w:firstLineChars="0"/>
        <w:rPr>
          <w:rFonts w:ascii="宋体"/>
          <w:color w:val="auto"/>
          <w:highlight w:val="none"/>
        </w:rPr>
      </w:pPr>
    </w:p>
    <w:p w14:paraId="50594838">
      <w:pPr>
        <w:spacing w:line="360" w:lineRule="auto"/>
        <w:ind w:firstLine="472" w:firstLineChars="196"/>
        <w:outlineLvl w:val="0"/>
        <w:rPr>
          <w:rFonts w:ascii="宋体"/>
          <w:b/>
          <w:color w:val="auto"/>
          <w:highlight w:val="none"/>
        </w:rPr>
      </w:pPr>
      <w:bookmarkStart w:id="516" w:name="_Toc7329"/>
      <w:bookmarkStart w:id="517" w:name="_Toc5205"/>
      <w:bookmarkStart w:id="518" w:name="_Toc26864"/>
      <w:bookmarkStart w:id="519" w:name="_Toc63757471"/>
      <w:r>
        <w:rPr>
          <w:rFonts w:hint="eastAsia" w:ascii="宋体"/>
          <w:b/>
          <w:color w:val="auto"/>
          <w:highlight w:val="none"/>
        </w:rPr>
        <w:t xml:space="preserve">第十五条  </w:t>
      </w:r>
      <w:bookmarkStart w:id="520" w:name="_Toc58337511"/>
      <w:r>
        <w:rPr>
          <w:rFonts w:hint="eastAsia" w:ascii="宋体"/>
          <w:b/>
          <w:color w:val="auto"/>
          <w:highlight w:val="none"/>
        </w:rPr>
        <w:t>违约与赔偿</w:t>
      </w:r>
      <w:bookmarkEnd w:id="516"/>
      <w:bookmarkEnd w:id="517"/>
      <w:bookmarkEnd w:id="518"/>
      <w:bookmarkEnd w:id="519"/>
      <w:bookmarkEnd w:id="520"/>
    </w:p>
    <w:p w14:paraId="4C692118">
      <w:pPr>
        <w:spacing w:line="360" w:lineRule="auto"/>
        <w:rPr>
          <w:rFonts w:ascii="宋体"/>
          <w:color w:val="auto"/>
          <w:highlight w:val="none"/>
        </w:rPr>
      </w:pPr>
      <w:r>
        <w:rPr>
          <w:rFonts w:hint="eastAsia" w:ascii="宋体"/>
          <w:color w:val="auto"/>
          <w:highlight w:val="none"/>
        </w:rPr>
        <w:t>15.1因甲方原因未按本合同规定支付第一期研究开发报酬，且经乙方合理催告后，仍无正当理由并逾期支付达30个工作日以上的，乙方有权解除合同。</w:t>
      </w:r>
    </w:p>
    <w:p w14:paraId="799CC0AB">
      <w:pPr>
        <w:spacing w:line="360" w:lineRule="auto"/>
        <w:rPr>
          <w:rFonts w:ascii="宋体"/>
          <w:color w:val="auto"/>
          <w:highlight w:val="none"/>
        </w:rPr>
      </w:pPr>
      <w:r>
        <w:rPr>
          <w:rFonts w:hint="eastAsia" w:ascii="宋体"/>
          <w:color w:val="auto"/>
          <w:highlight w:val="none"/>
        </w:rPr>
        <w:t>15.2因甲方原因逾期支付第二期或第三期研究开发报酬的，自逾期一个月后的第二天起，每逾期一天支付应付逾期付款金额的万分之五的违约金，违约金总额不超过应付款额的5%。</w:t>
      </w:r>
    </w:p>
    <w:p w14:paraId="735C7E29">
      <w:pPr>
        <w:spacing w:line="360" w:lineRule="auto"/>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3AEA533">
      <w:pPr>
        <w:spacing w:line="360" w:lineRule="auto"/>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4F3A36C8">
      <w:pPr>
        <w:spacing w:line="360" w:lineRule="auto"/>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15.5乙方未能完成甲方委托的开发项目或开发成果不符合本合同约定的要求，乙方承担本合同总额20%的违约金，并返还甲方已支付的研究开发费用。</w:t>
      </w:r>
    </w:p>
    <w:p w14:paraId="74F35DCD">
      <w:pPr>
        <w:spacing w:line="360" w:lineRule="auto"/>
        <w:rPr>
          <w:rFonts w:ascii="宋体"/>
          <w:color w:val="auto"/>
          <w:highlight w:val="none"/>
        </w:rPr>
      </w:pPr>
      <w:r>
        <w:rPr>
          <w:rFonts w:hint="eastAsia" w:ascii="宋体"/>
          <w:color w:val="auto"/>
          <w:highlight w:val="none"/>
        </w:rPr>
        <w:t>15.6乙方将甲方支付的研发经费用于履行合同以外的目的，甲方有权制止并要求其纠正。如因此造成本合同研究开发项目停滞、延误或失败的，乙方应当承担给甲方造成的损失赔偿责任。</w:t>
      </w:r>
    </w:p>
    <w:p w14:paraId="303C053D">
      <w:pPr>
        <w:spacing w:line="360" w:lineRule="auto"/>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7AD55CA6">
      <w:pPr>
        <w:spacing w:line="360" w:lineRule="auto"/>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56DB2944">
      <w:pPr>
        <w:spacing w:line="360" w:lineRule="auto"/>
        <w:ind w:left="1200" w:leftChars="200" w:hanging="720" w:hangingChars="300"/>
        <w:rPr>
          <w:rFonts w:ascii="宋体"/>
          <w:color w:val="auto"/>
          <w:highlight w:val="none"/>
        </w:rPr>
      </w:pPr>
    </w:p>
    <w:p w14:paraId="44596A45">
      <w:pPr>
        <w:spacing w:line="360" w:lineRule="auto"/>
        <w:ind w:firstLine="472" w:firstLineChars="196"/>
        <w:outlineLvl w:val="0"/>
        <w:rPr>
          <w:rFonts w:ascii="宋体"/>
          <w:b/>
          <w:color w:val="auto"/>
          <w:highlight w:val="none"/>
        </w:rPr>
      </w:pPr>
      <w:bookmarkStart w:id="521" w:name="_Toc63757472"/>
      <w:bookmarkStart w:id="522" w:name="_Toc10477"/>
      <w:bookmarkStart w:id="523" w:name="_Toc29533"/>
      <w:bookmarkStart w:id="524" w:name="_Toc15616"/>
      <w:r>
        <w:rPr>
          <w:rFonts w:hint="eastAsia" w:ascii="宋体"/>
          <w:b/>
          <w:color w:val="auto"/>
          <w:highlight w:val="none"/>
        </w:rPr>
        <w:t>第十六条  合同的解除</w:t>
      </w:r>
      <w:bookmarkEnd w:id="521"/>
      <w:r>
        <w:rPr>
          <w:rFonts w:hint="eastAsia" w:ascii="宋体"/>
          <w:b/>
          <w:color w:val="auto"/>
          <w:highlight w:val="none"/>
        </w:rPr>
        <w:t>和终止</w:t>
      </w:r>
      <w:bookmarkEnd w:id="522"/>
      <w:bookmarkEnd w:id="523"/>
      <w:bookmarkEnd w:id="524"/>
    </w:p>
    <w:p w14:paraId="274D33D4">
      <w:pPr>
        <w:spacing w:line="360" w:lineRule="auto"/>
        <w:rPr>
          <w:rFonts w:ascii="宋体"/>
          <w:color w:val="auto"/>
          <w:highlight w:val="none"/>
        </w:rPr>
      </w:pPr>
      <w:r>
        <w:rPr>
          <w:rFonts w:hint="eastAsia" w:ascii="宋体"/>
          <w:color w:val="auto"/>
          <w:highlight w:val="none"/>
        </w:rPr>
        <w:t>16.1如果满足以下条件，任一方在通知对方后，都可以解除本合同。</w:t>
      </w:r>
    </w:p>
    <w:p w14:paraId="2CABFDFE">
      <w:pPr>
        <w:spacing w:line="360" w:lineRule="auto"/>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56BB4C7">
      <w:pPr>
        <w:spacing w:line="360" w:lineRule="auto"/>
        <w:rPr>
          <w:rFonts w:ascii="宋体"/>
          <w:color w:val="auto"/>
          <w:highlight w:val="none"/>
        </w:rPr>
      </w:pP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30E3D610">
      <w:pPr>
        <w:spacing w:line="360" w:lineRule="auto"/>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1171870F">
      <w:pPr>
        <w:spacing w:line="360" w:lineRule="auto"/>
        <w:rPr>
          <w:rFonts w:ascii="宋体"/>
          <w:color w:val="auto"/>
          <w:highlight w:val="none"/>
        </w:rPr>
      </w:pPr>
      <w:r>
        <w:rPr>
          <w:rFonts w:hint="eastAsia" w:ascii="宋体"/>
          <w:color w:val="auto"/>
          <w:highlight w:val="none"/>
        </w:rPr>
        <w:t>16.3当本合同以任何原因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011E22FF">
      <w:pPr>
        <w:spacing w:line="360" w:lineRule="auto"/>
        <w:rPr>
          <w:rFonts w:ascii="宋体"/>
          <w:b/>
          <w:color w:val="auto"/>
          <w:highlight w:val="none"/>
        </w:rPr>
      </w:pPr>
    </w:p>
    <w:p w14:paraId="3AB4F8DB">
      <w:pPr>
        <w:spacing w:line="360" w:lineRule="auto"/>
        <w:ind w:firstLine="472" w:firstLineChars="196"/>
        <w:outlineLvl w:val="0"/>
        <w:rPr>
          <w:rFonts w:ascii="宋体"/>
          <w:b/>
          <w:color w:val="auto"/>
          <w:highlight w:val="none"/>
        </w:rPr>
      </w:pPr>
      <w:bookmarkStart w:id="525" w:name="_Toc63757473"/>
      <w:bookmarkStart w:id="526" w:name="_Toc22476"/>
      <w:bookmarkStart w:id="527" w:name="_Toc17752"/>
      <w:bookmarkStart w:id="528" w:name="_Toc27823"/>
      <w:r>
        <w:rPr>
          <w:rFonts w:hint="eastAsia" w:ascii="宋体"/>
          <w:b/>
          <w:color w:val="auto"/>
          <w:highlight w:val="none"/>
        </w:rPr>
        <w:t>第十七条  合同变更及转让</w:t>
      </w:r>
      <w:bookmarkEnd w:id="525"/>
      <w:bookmarkEnd w:id="526"/>
      <w:bookmarkEnd w:id="527"/>
      <w:bookmarkEnd w:id="528"/>
    </w:p>
    <w:p w14:paraId="632CCF41">
      <w:pPr>
        <w:spacing w:line="360" w:lineRule="auto"/>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53B34942">
      <w:pPr>
        <w:spacing w:line="360" w:lineRule="auto"/>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03EE867F">
      <w:pPr>
        <w:spacing w:line="360" w:lineRule="auto"/>
        <w:rPr>
          <w:rFonts w:ascii="宋体"/>
          <w:b/>
          <w:color w:val="auto"/>
          <w:highlight w:val="none"/>
        </w:rPr>
      </w:pPr>
    </w:p>
    <w:p w14:paraId="7D4D2A42">
      <w:pPr>
        <w:spacing w:line="360" w:lineRule="auto"/>
        <w:ind w:firstLine="472" w:firstLineChars="196"/>
        <w:outlineLvl w:val="0"/>
        <w:rPr>
          <w:rFonts w:ascii="宋体"/>
          <w:b/>
          <w:color w:val="auto"/>
          <w:highlight w:val="none"/>
        </w:rPr>
      </w:pPr>
      <w:bookmarkStart w:id="529" w:name="_Toc8753"/>
      <w:bookmarkStart w:id="530" w:name="_Toc5134"/>
      <w:bookmarkStart w:id="531" w:name="_Toc15913"/>
      <w:bookmarkStart w:id="532" w:name="_Toc63757474"/>
      <w:r>
        <w:rPr>
          <w:rFonts w:hint="eastAsia" w:ascii="宋体"/>
          <w:b/>
          <w:color w:val="auto"/>
          <w:highlight w:val="none"/>
        </w:rPr>
        <w:t>第十八条  争议解决</w:t>
      </w:r>
      <w:bookmarkEnd w:id="529"/>
      <w:bookmarkEnd w:id="530"/>
      <w:bookmarkEnd w:id="531"/>
      <w:bookmarkEnd w:id="532"/>
    </w:p>
    <w:p w14:paraId="42575E40">
      <w:pPr>
        <w:spacing w:line="360" w:lineRule="auto"/>
        <w:rPr>
          <w:rFonts w:ascii="宋体"/>
          <w:color w:val="auto"/>
          <w:highlight w:val="none"/>
        </w:rPr>
      </w:pPr>
      <w:r>
        <w:rPr>
          <w:rFonts w:hint="eastAsia" w:ascii="宋体"/>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14:paraId="326D75DA">
      <w:pPr>
        <w:spacing w:line="360" w:lineRule="auto"/>
        <w:rPr>
          <w:rFonts w:ascii="宋体"/>
          <w:color w:val="auto"/>
          <w:highlight w:val="none"/>
        </w:rPr>
      </w:pPr>
    </w:p>
    <w:p w14:paraId="4DE47B43">
      <w:pPr>
        <w:spacing w:line="360" w:lineRule="auto"/>
        <w:ind w:firstLine="472" w:firstLineChars="196"/>
        <w:outlineLvl w:val="0"/>
        <w:rPr>
          <w:rFonts w:ascii="宋体"/>
          <w:b/>
          <w:color w:val="auto"/>
          <w:highlight w:val="none"/>
        </w:rPr>
      </w:pPr>
      <w:bookmarkStart w:id="533" w:name="_Toc29494"/>
      <w:bookmarkStart w:id="534" w:name="_Toc1161"/>
      <w:bookmarkStart w:id="535" w:name="_Toc12143"/>
      <w:bookmarkStart w:id="536" w:name="_Toc63757475"/>
      <w:r>
        <w:rPr>
          <w:rFonts w:hint="eastAsia" w:ascii="宋体"/>
          <w:b/>
          <w:color w:val="auto"/>
          <w:highlight w:val="none"/>
        </w:rPr>
        <w:t>第十九条 通知与送达</w:t>
      </w:r>
      <w:bookmarkEnd w:id="533"/>
      <w:bookmarkEnd w:id="534"/>
      <w:bookmarkEnd w:id="535"/>
      <w:bookmarkEnd w:id="536"/>
    </w:p>
    <w:p w14:paraId="7BCCC38A">
      <w:pPr>
        <w:spacing w:line="360" w:lineRule="auto"/>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ABFEF34">
      <w:pPr>
        <w:adjustRightInd w:val="0"/>
        <w:spacing w:line="336" w:lineRule="auto"/>
        <w:ind w:firstLine="537" w:firstLineChars="224"/>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4FC595E">
      <w:pPr>
        <w:spacing w:line="360" w:lineRule="auto"/>
        <w:rPr>
          <w:rFonts w:ascii="宋体"/>
          <w:color w:val="auto"/>
          <w:highlight w:val="none"/>
        </w:rPr>
      </w:pPr>
    </w:p>
    <w:p w14:paraId="7AED2A40">
      <w:pPr>
        <w:spacing w:line="360" w:lineRule="auto"/>
        <w:ind w:firstLine="472" w:firstLineChars="196"/>
        <w:outlineLvl w:val="0"/>
        <w:rPr>
          <w:rFonts w:ascii="宋体"/>
          <w:b/>
          <w:color w:val="auto"/>
          <w:highlight w:val="none"/>
        </w:rPr>
      </w:pPr>
      <w:bookmarkStart w:id="537" w:name="_Toc63757476"/>
      <w:bookmarkStart w:id="538" w:name="_Toc23941"/>
      <w:bookmarkStart w:id="539" w:name="_Toc11756"/>
      <w:bookmarkStart w:id="540" w:name="_Toc13997"/>
      <w:r>
        <w:rPr>
          <w:rFonts w:hint="eastAsia" w:ascii="宋体"/>
          <w:b/>
          <w:color w:val="auto"/>
          <w:highlight w:val="none"/>
        </w:rPr>
        <w:t>第二十条  合同生效</w:t>
      </w:r>
      <w:bookmarkEnd w:id="537"/>
      <w:bookmarkEnd w:id="538"/>
      <w:bookmarkEnd w:id="539"/>
      <w:bookmarkEnd w:id="540"/>
    </w:p>
    <w:p w14:paraId="70AAA2BB">
      <w:pPr>
        <w:spacing w:line="360" w:lineRule="auto"/>
        <w:rPr>
          <w:rFonts w:ascii="宋体"/>
          <w:color w:val="auto"/>
          <w:highlight w:val="none"/>
        </w:rPr>
      </w:pPr>
      <w:r>
        <w:rPr>
          <w:rFonts w:hint="eastAsia" w:ascii="宋体"/>
          <w:color w:val="auto"/>
          <w:highlight w:val="none"/>
        </w:rPr>
        <w:t>本合同自下列条件全部满足之日起生效：</w:t>
      </w:r>
    </w:p>
    <w:p w14:paraId="6B448483">
      <w:pPr>
        <w:spacing w:line="360" w:lineRule="auto"/>
        <w:rPr>
          <w:rFonts w:ascii="宋体"/>
          <w:color w:val="auto"/>
          <w:highlight w:val="none"/>
        </w:rPr>
      </w:pPr>
      <w:r>
        <w:rPr>
          <w:rFonts w:hint="eastAsia" w:ascii="宋体"/>
          <w:color w:val="auto"/>
          <w:highlight w:val="none"/>
        </w:rPr>
        <w:t>双方对本合同及其全部附件内容达成一致并加盖公章。</w:t>
      </w:r>
    </w:p>
    <w:p w14:paraId="62CEFB0D">
      <w:pPr>
        <w:spacing w:line="360" w:lineRule="auto"/>
        <w:rPr>
          <w:rFonts w:ascii="宋体"/>
          <w:b/>
          <w:color w:val="auto"/>
          <w:highlight w:val="none"/>
        </w:rPr>
      </w:pPr>
    </w:p>
    <w:p w14:paraId="3186EFC6">
      <w:pPr>
        <w:spacing w:line="360" w:lineRule="auto"/>
        <w:ind w:firstLine="472" w:firstLineChars="196"/>
        <w:outlineLvl w:val="0"/>
        <w:rPr>
          <w:rFonts w:ascii="宋体"/>
          <w:b/>
          <w:color w:val="auto"/>
          <w:highlight w:val="none"/>
        </w:rPr>
      </w:pPr>
      <w:bookmarkStart w:id="541" w:name="_Toc1835"/>
      <w:bookmarkStart w:id="542" w:name="_Toc17592"/>
      <w:bookmarkStart w:id="543" w:name="_Toc11058"/>
      <w:bookmarkStart w:id="544" w:name="_Toc63757477"/>
      <w:r>
        <w:rPr>
          <w:rFonts w:hint="eastAsia" w:ascii="宋体"/>
          <w:b/>
          <w:color w:val="auto"/>
          <w:highlight w:val="none"/>
        </w:rPr>
        <w:t>第二十一条  不可抗力</w:t>
      </w:r>
      <w:bookmarkEnd w:id="541"/>
      <w:bookmarkEnd w:id="542"/>
      <w:bookmarkEnd w:id="543"/>
      <w:bookmarkEnd w:id="544"/>
    </w:p>
    <w:p w14:paraId="413E5D79">
      <w:pPr>
        <w:spacing w:line="360" w:lineRule="auto"/>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2B1061AF">
      <w:pPr>
        <w:spacing w:line="360" w:lineRule="auto"/>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0E0D3679">
      <w:pPr>
        <w:spacing w:line="360" w:lineRule="auto"/>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7FD14526">
      <w:pPr>
        <w:spacing w:line="360" w:lineRule="auto"/>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790DC99B">
      <w:pPr>
        <w:spacing w:line="360" w:lineRule="auto"/>
        <w:rPr>
          <w:rFonts w:ascii="宋体"/>
          <w:b/>
          <w:color w:val="auto"/>
          <w:highlight w:val="none"/>
        </w:rPr>
      </w:pPr>
    </w:p>
    <w:p w14:paraId="5D43BB56">
      <w:pPr>
        <w:spacing w:line="360" w:lineRule="auto"/>
        <w:ind w:firstLine="472" w:firstLineChars="196"/>
        <w:outlineLvl w:val="0"/>
        <w:rPr>
          <w:rFonts w:ascii="宋体"/>
          <w:b/>
          <w:color w:val="auto"/>
          <w:highlight w:val="none"/>
        </w:rPr>
      </w:pPr>
      <w:bookmarkStart w:id="545" w:name="_Toc26426"/>
      <w:bookmarkStart w:id="546" w:name="_Toc7317"/>
      <w:bookmarkStart w:id="547" w:name="_Toc63757478"/>
      <w:bookmarkStart w:id="548" w:name="_Toc9306"/>
      <w:r>
        <w:rPr>
          <w:rFonts w:hint="eastAsia" w:ascii="宋体"/>
          <w:b/>
          <w:color w:val="auto"/>
          <w:highlight w:val="none"/>
        </w:rPr>
        <w:t>第二十二条  反商业贿赂</w:t>
      </w:r>
      <w:bookmarkEnd w:id="545"/>
      <w:bookmarkEnd w:id="546"/>
      <w:bookmarkEnd w:id="547"/>
      <w:bookmarkEnd w:id="548"/>
    </w:p>
    <w:p w14:paraId="171013E9">
      <w:pPr>
        <w:spacing w:line="360" w:lineRule="auto"/>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622C591A">
      <w:pPr>
        <w:spacing w:line="360" w:lineRule="auto"/>
        <w:rPr>
          <w:rFonts w:ascii="宋体"/>
          <w:b/>
          <w:color w:val="auto"/>
          <w:highlight w:val="none"/>
        </w:rPr>
      </w:pPr>
    </w:p>
    <w:p w14:paraId="28800EDC">
      <w:pPr>
        <w:spacing w:line="360" w:lineRule="auto"/>
        <w:ind w:firstLine="472" w:firstLineChars="196"/>
        <w:outlineLvl w:val="0"/>
        <w:rPr>
          <w:rFonts w:ascii="宋体"/>
          <w:b/>
          <w:color w:val="auto"/>
          <w:highlight w:val="none"/>
        </w:rPr>
      </w:pPr>
      <w:bookmarkStart w:id="549" w:name="_Toc17076"/>
      <w:bookmarkStart w:id="550" w:name="_Toc21129"/>
      <w:bookmarkStart w:id="551" w:name="_Toc11224"/>
      <w:bookmarkStart w:id="552" w:name="_Toc63757479"/>
      <w:r>
        <w:rPr>
          <w:rFonts w:hint="eastAsia" w:ascii="宋体"/>
          <w:b/>
          <w:color w:val="auto"/>
          <w:highlight w:val="none"/>
        </w:rPr>
        <w:t>第二十三条  附件</w:t>
      </w:r>
      <w:bookmarkEnd w:id="549"/>
      <w:bookmarkEnd w:id="550"/>
      <w:bookmarkEnd w:id="551"/>
      <w:bookmarkEnd w:id="552"/>
    </w:p>
    <w:p w14:paraId="4BB48451">
      <w:pPr>
        <w:spacing w:line="360" w:lineRule="auto"/>
        <w:ind w:firstLine="55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34B793B5">
      <w:pPr>
        <w:spacing w:line="360" w:lineRule="auto"/>
        <w:ind w:left="560"/>
        <w:rPr>
          <w:rFonts w:ascii="宋体"/>
          <w:color w:val="auto"/>
          <w:highlight w:val="none"/>
        </w:rPr>
      </w:pPr>
      <w:r>
        <w:rPr>
          <w:rFonts w:hint="eastAsia" w:ascii="宋体"/>
          <w:color w:val="auto"/>
          <w:highlight w:val="none"/>
        </w:rPr>
        <w:t>附件一：工作（需求）说明书</w:t>
      </w:r>
    </w:p>
    <w:p w14:paraId="078232D3">
      <w:pPr>
        <w:spacing w:line="360" w:lineRule="auto"/>
        <w:ind w:left="560"/>
        <w:rPr>
          <w:rFonts w:ascii="宋体"/>
          <w:color w:val="auto"/>
          <w:highlight w:val="none"/>
        </w:rPr>
      </w:pPr>
      <w:r>
        <w:rPr>
          <w:rFonts w:hint="eastAsia" w:ascii="宋体"/>
          <w:color w:val="auto"/>
          <w:highlight w:val="none"/>
        </w:rPr>
        <w:t>附件二：项目人员名单及人员应急退出机制</w:t>
      </w:r>
    </w:p>
    <w:p w14:paraId="04DB4585">
      <w:pPr>
        <w:spacing w:line="360" w:lineRule="auto"/>
        <w:ind w:left="560"/>
        <w:rPr>
          <w:rFonts w:ascii="宋体"/>
          <w:color w:val="auto"/>
          <w:highlight w:val="none"/>
        </w:rPr>
      </w:pPr>
      <w:r>
        <w:rPr>
          <w:rFonts w:hint="eastAsia" w:ascii="宋体"/>
          <w:color w:val="auto"/>
          <w:highlight w:val="none"/>
        </w:rPr>
        <w:t>附件三：验收标准及流程</w:t>
      </w:r>
    </w:p>
    <w:p w14:paraId="3A329C2D">
      <w:pPr>
        <w:spacing w:line="360" w:lineRule="auto"/>
        <w:ind w:left="560"/>
        <w:rPr>
          <w:rFonts w:ascii="宋体"/>
          <w:color w:val="auto"/>
          <w:highlight w:val="none"/>
        </w:rPr>
      </w:pPr>
      <w:r>
        <w:rPr>
          <w:rFonts w:hint="eastAsia" w:ascii="宋体"/>
          <w:color w:val="auto"/>
          <w:highlight w:val="none"/>
        </w:rPr>
        <w:t>附件四：维护服务条款</w:t>
      </w:r>
    </w:p>
    <w:p w14:paraId="7F83F247">
      <w:pPr>
        <w:spacing w:line="360" w:lineRule="auto"/>
        <w:ind w:left="560"/>
        <w:rPr>
          <w:rFonts w:ascii="宋体"/>
          <w:color w:val="auto"/>
          <w:highlight w:val="none"/>
        </w:rPr>
      </w:pPr>
      <w:r>
        <w:rPr>
          <w:rFonts w:hint="eastAsia" w:ascii="宋体"/>
          <w:color w:val="auto"/>
          <w:highlight w:val="none"/>
        </w:rPr>
        <w:t>附件五：服务水平协议（SLA）</w:t>
      </w:r>
    </w:p>
    <w:p w14:paraId="4E6EFF29">
      <w:pPr>
        <w:spacing w:line="360" w:lineRule="auto"/>
        <w:ind w:left="560"/>
        <w:rPr>
          <w:rFonts w:ascii="宋体"/>
          <w:color w:val="auto"/>
          <w:highlight w:val="none"/>
        </w:rPr>
      </w:pPr>
      <w:r>
        <w:rPr>
          <w:rFonts w:hint="eastAsia" w:ascii="宋体"/>
          <w:color w:val="auto"/>
          <w:highlight w:val="none"/>
        </w:rPr>
        <w:t>附件六：服务连续性预案</w:t>
      </w:r>
    </w:p>
    <w:p w14:paraId="3D1D188F">
      <w:pPr>
        <w:spacing w:line="360" w:lineRule="auto"/>
        <w:ind w:left="560"/>
        <w:rPr>
          <w:rFonts w:ascii="宋体"/>
          <w:color w:val="auto"/>
          <w:highlight w:val="none"/>
        </w:rPr>
      </w:pPr>
    </w:p>
    <w:p w14:paraId="245B7031">
      <w:pPr>
        <w:spacing w:line="360" w:lineRule="auto"/>
        <w:ind w:firstLine="472" w:firstLineChars="196"/>
        <w:outlineLvl w:val="0"/>
        <w:rPr>
          <w:rFonts w:ascii="宋体"/>
          <w:b/>
          <w:color w:val="auto"/>
          <w:highlight w:val="none"/>
        </w:rPr>
      </w:pPr>
      <w:bookmarkStart w:id="553" w:name="_Toc63757480"/>
      <w:bookmarkStart w:id="554" w:name="_Toc28037"/>
      <w:bookmarkStart w:id="555" w:name="_Toc30477"/>
      <w:bookmarkStart w:id="556" w:name="_Toc30998"/>
      <w:r>
        <w:rPr>
          <w:rFonts w:hint="eastAsia" w:ascii="宋体"/>
          <w:b/>
          <w:color w:val="auto"/>
          <w:highlight w:val="none"/>
        </w:rPr>
        <w:t>第二十四条  其他</w:t>
      </w:r>
      <w:bookmarkEnd w:id="553"/>
      <w:bookmarkEnd w:id="554"/>
      <w:bookmarkEnd w:id="555"/>
      <w:bookmarkEnd w:id="556"/>
    </w:p>
    <w:p w14:paraId="3F0A7A3D">
      <w:pPr>
        <w:pStyle w:val="15"/>
        <w:spacing w:line="360" w:lineRule="auto"/>
        <w:rPr>
          <w:rFonts w:ascii="宋体"/>
          <w:color w:val="auto"/>
          <w:highlight w:val="none"/>
        </w:rPr>
      </w:pPr>
      <w:r>
        <w:rPr>
          <w:rStyle w:val="40"/>
          <w:rFonts w:hint="eastAsia" w:ascii="宋体"/>
          <w:color w:val="auto"/>
          <w:kern w:val="0"/>
          <w:highlight w:val="none"/>
        </w:rPr>
        <w:t>24.1除本</w:t>
      </w:r>
      <w:r>
        <w:rPr>
          <w:rFonts w:hint="eastAsia" w:ascii="宋体"/>
          <w:color w:val="auto"/>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34E34C34">
      <w:pPr>
        <w:pStyle w:val="15"/>
        <w:spacing w:line="360" w:lineRule="auto"/>
        <w:rPr>
          <w:rFonts w:ascii="宋体"/>
          <w:color w:val="auto"/>
          <w:highlight w:val="none"/>
        </w:rPr>
      </w:pPr>
      <w:r>
        <w:rPr>
          <w:rFonts w:hint="eastAsia" w:ascii="宋体"/>
          <w:color w:val="auto"/>
          <w:highlight w:val="none"/>
        </w:rPr>
        <w:t>24.</w:t>
      </w:r>
      <w:r>
        <w:rPr>
          <w:rStyle w:val="40"/>
          <w:rFonts w:hint="eastAsia" w:ascii="宋体"/>
          <w:color w:val="auto"/>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highlight w:val="none"/>
        </w:rPr>
        <w:t>同其他条款或内容的合法性、有效性和可执行性不受影响。</w:t>
      </w:r>
    </w:p>
    <w:p w14:paraId="1A5EF8B8">
      <w:pPr>
        <w:spacing w:line="360" w:lineRule="auto"/>
        <w:rPr>
          <w:rFonts w:ascii="宋体"/>
          <w:color w:val="auto"/>
          <w:highlight w:val="none"/>
        </w:rPr>
      </w:pPr>
      <w:r>
        <w:rPr>
          <w:rStyle w:val="40"/>
          <w:rFonts w:hint="eastAsia" w:ascii="宋体"/>
          <w:color w:val="auto"/>
          <w:kern w:val="0"/>
          <w:highlight w:val="none"/>
        </w:rPr>
        <w:t>24.3本</w:t>
      </w:r>
      <w:r>
        <w:rPr>
          <w:rFonts w:hint="eastAsia" w:ascii="宋体"/>
          <w:color w:val="auto"/>
          <w:highlight w:val="none"/>
        </w:rPr>
        <w:t>合同签订后，如需要就与合同执行有关的事项签订补充合同，应由双方加盖公章后，补充合同即生效。主合同与附件如有冲突，以主合同为准。</w:t>
      </w:r>
    </w:p>
    <w:p w14:paraId="20F5F91B">
      <w:pPr>
        <w:spacing w:line="360" w:lineRule="auto"/>
        <w:rPr>
          <w:rStyle w:val="40"/>
          <w:rFonts w:ascii="宋体"/>
          <w:color w:val="auto"/>
          <w:kern w:val="0"/>
          <w:highlight w:val="none"/>
        </w:rPr>
      </w:pPr>
      <w:r>
        <w:rPr>
          <w:rStyle w:val="40"/>
          <w:rFonts w:hint="eastAsia" w:ascii="宋体"/>
          <w:color w:val="auto"/>
          <w:kern w:val="0"/>
          <w:highlight w:val="none"/>
        </w:rPr>
        <w:t>24.4本合同以中文版本为准，除非本合同明确规定或双方另有约定，为履行本合同的所有文件及信函均以中文书写。</w:t>
      </w:r>
    </w:p>
    <w:p w14:paraId="72AF9185">
      <w:pPr>
        <w:spacing w:line="360" w:lineRule="auto"/>
        <w:rPr>
          <w:rFonts w:ascii="宋体"/>
          <w:color w:val="auto"/>
          <w:highlight w:val="none"/>
        </w:rPr>
      </w:pPr>
      <w:r>
        <w:rPr>
          <w:rStyle w:val="40"/>
          <w:rFonts w:hint="eastAsia" w:ascii="宋体"/>
          <w:color w:val="auto"/>
          <w:kern w:val="0"/>
          <w:highlight w:val="none"/>
        </w:rPr>
        <w:t>24.5本合同一式肆份，甲方执贰份，乙方执贰份，每份具有同等法律</w:t>
      </w:r>
      <w:r>
        <w:rPr>
          <w:rFonts w:hint="eastAsia" w:ascii="宋体"/>
          <w:color w:val="auto"/>
          <w:highlight w:val="none"/>
        </w:rPr>
        <w:t>效力。</w:t>
      </w:r>
    </w:p>
    <w:p w14:paraId="28367F55">
      <w:pPr>
        <w:spacing w:line="360" w:lineRule="auto"/>
        <w:rPr>
          <w:rFonts w:ascii="宋体"/>
          <w:b/>
          <w:iCs/>
          <w:color w:val="auto"/>
          <w:highlight w:val="none"/>
        </w:rPr>
      </w:pPr>
      <w:r>
        <w:rPr>
          <w:rFonts w:hint="eastAsia" w:ascii="宋体"/>
          <w:b/>
          <w:iCs/>
          <w:color w:val="auto"/>
          <w:highlight w:val="none"/>
        </w:rPr>
        <w:t>本合同由各方于本合同签署页所述日期正式签署，以昭信守。</w:t>
      </w:r>
    </w:p>
    <w:p w14:paraId="4FEF7371">
      <w:pPr>
        <w:spacing w:line="360" w:lineRule="auto"/>
        <w:rPr>
          <w:rFonts w:ascii="宋体"/>
          <w:b/>
          <w:iCs/>
          <w:color w:val="auto"/>
          <w:highlight w:val="none"/>
        </w:rPr>
      </w:pPr>
      <w:r>
        <w:rPr>
          <w:rFonts w:hint="eastAsia" w:ascii="宋体"/>
          <w:b/>
          <w:iCs/>
          <w:color w:val="auto"/>
          <w:highlight w:val="none"/>
        </w:rPr>
        <w:t>（以下无正文）</w:t>
      </w:r>
    </w:p>
    <w:p w14:paraId="7ADA0CD3">
      <w:pPr>
        <w:spacing w:line="360" w:lineRule="auto"/>
        <w:rPr>
          <w:rFonts w:ascii="宋体"/>
          <w:b/>
          <w:iCs/>
          <w:color w:val="auto"/>
          <w:highlight w:val="none"/>
        </w:rPr>
      </w:pPr>
      <w:r>
        <w:rPr>
          <w:rFonts w:hint="eastAsia" w:ascii="宋体"/>
          <w:b/>
          <w:color w:val="auto"/>
          <w:highlight w:val="none"/>
        </w:rPr>
        <w:br w:type="page"/>
      </w:r>
      <w:r>
        <w:rPr>
          <w:rFonts w:hint="eastAsia" w:ascii="宋体"/>
          <w:b/>
          <w:iCs/>
          <w:color w:val="auto"/>
          <w:highlight w:val="none"/>
        </w:rPr>
        <w:t>（本页无正文，为编号XXXXXXXXX《</w:t>
      </w:r>
      <w:r>
        <w:rPr>
          <w:rFonts w:ascii="宋体"/>
          <w:b/>
          <w:iCs/>
          <w:color w:val="auto"/>
          <w:highlight w:val="none"/>
        </w:rPr>
        <w:t>重庆三峡银行审计监督信息系统优化升级项目外包开发合同</w:t>
      </w:r>
      <w:r>
        <w:rPr>
          <w:rFonts w:hint="eastAsia" w:ascii="宋体"/>
          <w:b/>
          <w:iCs/>
          <w:color w:val="auto"/>
          <w:highlight w:val="none"/>
        </w:rPr>
        <w:t>》的签署页）</w:t>
      </w:r>
    </w:p>
    <w:p w14:paraId="7A82C695">
      <w:pPr>
        <w:spacing w:line="360" w:lineRule="auto"/>
        <w:rPr>
          <w:rFonts w:ascii="宋体"/>
          <w:b/>
          <w:color w:val="auto"/>
          <w:highlight w:val="none"/>
        </w:rPr>
      </w:pPr>
    </w:p>
    <w:p w14:paraId="7C831BE9">
      <w:pPr>
        <w:spacing w:line="360" w:lineRule="auto"/>
        <w:rPr>
          <w:rFonts w:ascii="宋体"/>
          <w:b/>
          <w:color w:val="auto"/>
          <w:highlight w:val="none"/>
        </w:rPr>
      </w:pPr>
    </w:p>
    <w:p w14:paraId="3F10FB1F">
      <w:pPr>
        <w:tabs>
          <w:tab w:val="left" w:pos="851"/>
        </w:tabs>
        <w:adjustRightInd w:val="0"/>
        <w:spacing w:line="360" w:lineRule="auto"/>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 xml:space="preserve">     （公章）</w:t>
      </w:r>
    </w:p>
    <w:p w14:paraId="5B231796">
      <w:pPr>
        <w:spacing w:line="360" w:lineRule="auto"/>
        <w:rPr>
          <w:rFonts w:ascii="宋体"/>
          <w:color w:val="auto"/>
          <w:highlight w:val="none"/>
        </w:rPr>
      </w:pPr>
    </w:p>
    <w:p w14:paraId="61815633">
      <w:pPr>
        <w:tabs>
          <w:tab w:val="left" w:pos="851"/>
        </w:tabs>
        <w:adjustRightInd w:val="0"/>
        <w:spacing w:line="360" w:lineRule="auto"/>
        <w:ind w:firstLine="720" w:firstLineChars="300"/>
        <w:textAlignment w:val="baseline"/>
        <w:rPr>
          <w:rFonts w:ascii="宋体"/>
          <w:color w:val="auto"/>
          <w:kern w:val="0"/>
          <w:highlight w:val="none"/>
        </w:rPr>
      </w:pPr>
      <w:r>
        <w:rPr>
          <w:rFonts w:hint="eastAsia" w:ascii="宋体"/>
          <w:color w:val="auto"/>
          <w:kern w:val="0"/>
          <w:highlight w:val="none"/>
        </w:rPr>
        <w:t>经办人：</w:t>
      </w:r>
    </w:p>
    <w:p w14:paraId="176B1075">
      <w:pPr>
        <w:tabs>
          <w:tab w:val="left" w:pos="851"/>
        </w:tabs>
        <w:adjustRightInd w:val="0"/>
        <w:spacing w:line="360" w:lineRule="auto"/>
        <w:ind w:firstLine="720" w:firstLineChars="300"/>
        <w:textAlignment w:val="baseline"/>
        <w:rPr>
          <w:rFonts w:ascii="宋体"/>
          <w:color w:val="auto"/>
          <w:kern w:val="0"/>
          <w:highlight w:val="none"/>
        </w:rPr>
      </w:pPr>
    </w:p>
    <w:p w14:paraId="7CEBCCE0">
      <w:pPr>
        <w:spacing w:line="360" w:lineRule="auto"/>
        <w:rPr>
          <w:rFonts w:ascii="宋体"/>
          <w:color w:val="auto"/>
          <w:highlight w:val="none"/>
        </w:rPr>
      </w:pPr>
    </w:p>
    <w:p w14:paraId="738FA496">
      <w:pPr>
        <w:spacing w:line="360" w:lineRule="auto"/>
        <w:rPr>
          <w:rFonts w:ascii="宋体"/>
          <w:color w:val="auto"/>
          <w:highlight w:val="none"/>
        </w:rPr>
      </w:pPr>
    </w:p>
    <w:p w14:paraId="3606795D">
      <w:pPr>
        <w:spacing w:line="360" w:lineRule="auto"/>
        <w:rPr>
          <w:rFonts w:ascii="宋体"/>
          <w:color w:val="auto"/>
          <w:highlight w:val="none"/>
        </w:rPr>
      </w:pPr>
    </w:p>
    <w:p w14:paraId="57247371">
      <w:pPr>
        <w:spacing w:line="360" w:lineRule="auto"/>
        <w:rPr>
          <w:rFonts w:ascii="宋体"/>
          <w:color w:val="auto"/>
          <w:highlight w:val="none"/>
        </w:rPr>
      </w:pPr>
      <w:r>
        <w:rPr>
          <w:rFonts w:hint="eastAsia" w:ascii="宋体"/>
          <w:color w:val="auto"/>
          <w:highlight w:val="none"/>
        </w:rPr>
        <w:t>乙方：</w:t>
      </w:r>
      <w:r>
        <w:rPr>
          <w:rFonts w:hint="eastAsia" w:ascii="宋体"/>
          <w:b/>
          <w:color w:val="auto"/>
          <w:highlight w:val="none"/>
        </w:rPr>
        <w:t>XXXXXXXXXXXXXXXXXXXXXXX</w:t>
      </w:r>
      <w:r>
        <w:rPr>
          <w:rFonts w:hint="eastAsia" w:ascii="宋体"/>
          <w:color w:val="auto"/>
          <w:highlight w:val="none"/>
        </w:rPr>
        <w:t>（公章）</w:t>
      </w:r>
    </w:p>
    <w:p w14:paraId="2A156DD6">
      <w:pPr>
        <w:spacing w:line="360" w:lineRule="auto"/>
        <w:rPr>
          <w:rFonts w:ascii="宋体"/>
          <w:color w:val="auto"/>
          <w:highlight w:val="none"/>
        </w:rPr>
      </w:pPr>
    </w:p>
    <w:p w14:paraId="1BBDEA32">
      <w:pPr>
        <w:spacing w:line="360" w:lineRule="auto"/>
        <w:ind w:firstLine="720" w:firstLineChars="300"/>
        <w:rPr>
          <w:rFonts w:ascii="宋体"/>
          <w:color w:val="auto"/>
          <w:highlight w:val="none"/>
        </w:rPr>
      </w:pPr>
      <w:r>
        <w:rPr>
          <w:rFonts w:hint="eastAsia" w:ascii="宋体"/>
          <w:color w:val="auto"/>
          <w:highlight w:val="none"/>
        </w:rPr>
        <w:t>经办人：</w:t>
      </w:r>
    </w:p>
    <w:p w14:paraId="400AD502">
      <w:pPr>
        <w:spacing w:line="360" w:lineRule="auto"/>
        <w:rPr>
          <w:rFonts w:ascii="宋体"/>
          <w:color w:val="auto"/>
          <w:highlight w:val="none"/>
        </w:rPr>
      </w:pPr>
    </w:p>
    <w:p w14:paraId="27C52342">
      <w:pPr>
        <w:spacing w:line="360" w:lineRule="auto"/>
        <w:ind w:firstLine="5040" w:firstLineChars="2100"/>
        <w:rPr>
          <w:rFonts w:ascii="宋体"/>
          <w:color w:val="auto"/>
          <w:highlight w:val="none"/>
        </w:rPr>
      </w:pPr>
    </w:p>
    <w:p w14:paraId="62F02AAE">
      <w:pPr>
        <w:spacing w:line="360" w:lineRule="auto"/>
        <w:ind w:firstLine="5040" w:firstLineChars="2100"/>
        <w:rPr>
          <w:rFonts w:ascii="宋体"/>
          <w:color w:val="auto"/>
          <w:highlight w:val="none"/>
        </w:rPr>
      </w:pPr>
    </w:p>
    <w:p w14:paraId="2D0119EB">
      <w:pPr>
        <w:spacing w:line="360" w:lineRule="auto"/>
        <w:ind w:firstLine="5040" w:firstLineChars="2100"/>
        <w:rPr>
          <w:rFonts w:ascii="宋体"/>
          <w:color w:val="auto"/>
          <w:highlight w:val="none"/>
        </w:rPr>
      </w:pPr>
      <w:r>
        <w:rPr>
          <w:rFonts w:hint="eastAsia" w:ascii="宋体"/>
          <w:color w:val="auto"/>
          <w:highlight w:val="none"/>
        </w:rPr>
        <w:t>日期：    年    月    日</w:t>
      </w:r>
    </w:p>
    <w:p w14:paraId="641F645F">
      <w:pPr>
        <w:pStyle w:val="2"/>
        <w:rPr>
          <w:rStyle w:val="40"/>
          <w:color w:val="auto"/>
          <w:sz w:val="30"/>
          <w:highlight w:val="none"/>
        </w:rPr>
      </w:pPr>
      <w:r>
        <w:rPr>
          <w:color w:val="auto"/>
          <w:highlight w:val="none"/>
        </w:rPr>
        <w:br w:type="page"/>
      </w:r>
      <w:bookmarkStart w:id="557" w:name="_Toc5801"/>
      <w:bookmarkStart w:id="558" w:name="_Toc1556"/>
      <w:bookmarkStart w:id="559" w:name="_Toc13297"/>
      <w:bookmarkStart w:id="560" w:name="_Toc5239"/>
      <w:bookmarkStart w:id="561" w:name="_Toc63757481"/>
      <w:bookmarkStart w:id="562" w:name="_Toc4333"/>
      <w:r>
        <w:rPr>
          <w:rStyle w:val="40"/>
          <w:rFonts w:hint="eastAsia"/>
          <w:color w:val="auto"/>
          <w:sz w:val="30"/>
          <w:highlight w:val="none"/>
        </w:rPr>
        <w:t>附件一：工作（需求）说明书</w:t>
      </w:r>
      <w:bookmarkEnd w:id="557"/>
      <w:bookmarkEnd w:id="558"/>
      <w:bookmarkEnd w:id="559"/>
      <w:bookmarkEnd w:id="560"/>
      <w:bookmarkEnd w:id="561"/>
      <w:bookmarkEnd w:id="562"/>
    </w:p>
    <w:p w14:paraId="720B1430">
      <w:pPr>
        <w:spacing w:line="360" w:lineRule="auto"/>
        <w:rPr>
          <w:rFonts w:ascii="宋体"/>
          <w:color w:val="auto"/>
          <w:kern w:val="0"/>
          <w:szCs w:val="24"/>
          <w:highlight w:val="none"/>
        </w:rPr>
      </w:pPr>
      <w:bookmarkStart w:id="563" w:name="_Toc63757482"/>
      <w:r>
        <w:rPr>
          <w:rFonts w:hint="eastAsia" w:ascii="宋体"/>
          <w:color w:val="auto"/>
          <w:kern w:val="0"/>
          <w:szCs w:val="24"/>
          <w:highlight w:val="none"/>
        </w:rPr>
        <w:t>1.1 建设现场审计作业平台，对现场审计工作进行全流程闭环管理。审计流程根据实际工作情况进行设定，以下流程作为参考：年度审计计划—审计立项-审计通知-审计方案和审计抽样-审计资料获取-工作底稿-事实确认书（审计取证）-审计报告（各个版本）-审计报告征求意见-审计质控会-审计报告发文-审计整改-审计归档。</w:t>
      </w:r>
    </w:p>
    <w:p w14:paraId="114A3A8E">
      <w:pPr>
        <w:spacing w:line="360" w:lineRule="auto"/>
        <w:rPr>
          <w:rFonts w:ascii="宋体"/>
          <w:color w:val="auto"/>
          <w:kern w:val="0"/>
          <w:szCs w:val="24"/>
          <w:highlight w:val="none"/>
        </w:rPr>
      </w:pPr>
      <w:r>
        <w:rPr>
          <w:rFonts w:hint="eastAsia" w:ascii="宋体"/>
          <w:color w:val="auto"/>
          <w:kern w:val="0"/>
          <w:szCs w:val="24"/>
          <w:highlight w:val="none"/>
        </w:rPr>
        <w:t>1.1.1 流程可配置化。按审计项目类型在后台可设置并调整不同的审计流程和审批节点要求，同时每个审计项目的具体流程和审批程序在审计立项时可单独配置，尽量减少繁琐的审批程序，增加工作便捷性，提升用户使用体验感。</w:t>
      </w:r>
    </w:p>
    <w:p w14:paraId="03BB1988">
      <w:pPr>
        <w:spacing w:line="360" w:lineRule="auto"/>
        <w:rPr>
          <w:rFonts w:ascii="宋体"/>
          <w:color w:val="auto"/>
          <w:kern w:val="0"/>
          <w:szCs w:val="24"/>
          <w:highlight w:val="none"/>
        </w:rPr>
      </w:pPr>
      <w:r>
        <w:rPr>
          <w:rFonts w:hint="eastAsia" w:ascii="宋体"/>
          <w:color w:val="auto"/>
          <w:kern w:val="0"/>
          <w:szCs w:val="24"/>
          <w:highlight w:val="none"/>
        </w:rPr>
        <w:t>1.1.2 系统推送。审计系统与新办公平台关联，审计通知书发送、审计资料清单发送与获取、事实确认书的确认及反馈、审计报告意见征求、审计报告发送、审计整改反馈及表格填写、廉洁意见的反馈，均可以通过审计系统推送移动办公系统弹出消息提醒进行，可以通过办公平台移动端登录进行审计流程审批、审计通知推送等功能，为审计无纸化归档打下坚实基础。</w:t>
      </w:r>
    </w:p>
    <w:p w14:paraId="27346D6E">
      <w:pPr>
        <w:spacing w:line="360" w:lineRule="auto"/>
        <w:rPr>
          <w:rFonts w:ascii="宋体"/>
          <w:color w:val="auto"/>
          <w:kern w:val="0"/>
          <w:szCs w:val="24"/>
          <w:highlight w:val="none"/>
        </w:rPr>
      </w:pPr>
      <w:r>
        <w:rPr>
          <w:rFonts w:hint="eastAsia" w:ascii="宋体"/>
          <w:color w:val="auto"/>
          <w:kern w:val="0"/>
          <w:szCs w:val="24"/>
          <w:highlight w:val="none"/>
        </w:rPr>
        <w:t>1.1.3 审计取证。审计系统与新办公平台移动端关联，审计取证可以通过手机拍照直接上传审计系统。</w:t>
      </w:r>
    </w:p>
    <w:p w14:paraId="07D5104A">
      <w:pPr>
        <w:spacing w:line="360" w:lineRule="auto"/>
        <w:rPr>
          <w:rFonts w:ascii="宋体"/>
          <w:color w:val="auto"/>
          <w:kern w:val="0"/>
          <w:szCs w:val="24"/>
          <w:highlight w:val="none"/>
        </w:rPr>
      </w:pPr>
      <w:r>
        <w:rPr>
          <w:rFonts w:hint="eastAsia" w:ascii="宋体"/>
          <w:color w:val="auto"/>
          <w:kern w:val="0"/>
          <w:szCs w:val="24"/>
          <w:highlight w:val="none"/>
        </w:rPr>
        <w:t>1.1.4 审计整改。被审计对象通过办公系统便捷登录进去可以看到权限范围内的内容。系统会在整改时限到之前自动提醒被审计单位和主审，在系统中填写表格以及上传整改证明，会自动汇总到问题总表。审计整改增加主审复核流程，复核不通过的会继续要求被审计单位整改。对于未完成整改的事项，会按照风险程度，分不同频率推送要求整改。</w:t>
      </w:r>
    </w:p>
    <w:p w14:paraId="522E219B">
      <w:pPr>
        <w:spacing w:line="360" w:lineRule="auto"/>
        <w:rPr>
          <w:rFonts w:ascii="宋体"/>
          <w:color w:val="auto"/>
          <w:kern w:val="0"/>
          <w:szCs w:val="24"/>
          <w:highlight w:val="none"/>
        </w:rPr>
      </w:pPr>
      <w:r>
        <w:rPr>
          <w:rFonts w:hint="eastAsia" w:ascii="宋体"/>
          <w:color w:val="auto"/>
          <w:kern w:val="0"/>
          <w:szCs w:val="24"/>
          <w:highlight w:val="none"/>
        </w:rPr>
        <w:t>1.1.5 审计归档。审计系统与电子档案系统关联。审计归档用于审计结项后对涉及的全部电子文档进行汇总，汇总的电子文档以文件夹的形式呈现在结项的归档环节中。相应的文件夹包括但不限于审计计划、审计方案、审计通知书、工作底稿、事实确认书、调阅清单、审计发现问题台账、审计整改意见书、审计报告等。相关电子档案最终推送至电子档案系统，进行线上归档。</w:t>
      </w:r>
    </w:p>
    <w:p w14:paraId="447CFB90">
      <w:pPr>
        <w:spacing w:line="360" w:lineRule="auto"/>
        <w:rPr>
          <w:rStyle w:val="40"/>
          <w:rFonts w:ascii="宋体"/>
          <w:b/>
          <w:color w:val="auto"/>
          <w:kern w:val="0"/>
          <w:sz w:val="30"/>
          <w:highlight w:val="none"/>
        </w:rPr>
      </w:pPr>
      <w:r>
        <w:rPr>
          <w:rFonts w:hint="eastAsia" w:ascii="宋体"/>
          <w:color w:val="auto"/>
          <w:kern w:val="0"/>
          <w:szCs w:val="24"/>
          <w:highlight w:val="none"/>
        </w:rPr>
        <w:t>1.2 建设非现场数据分析平台。提供数据管理、模型应用管理功能，为数据分析提供数据资源，实现模型配置、探索、发布、固化等管理。</w:t>
      </w:r>
    </w:p>
    <w:p w14:paraId="7E41EB54">
      <w:pPr>
        <w:spacing w:line="360" w:lineRule="auto"/>
        <w:rPr>
          <w:rFonts w:ascii="宋体"/>
          <w:color w:val="auto"/>
          <w:kern w:val="0"/>
          <w:szCs w:val="24"/>
          <w:highlight w:val="none"/>
        </w:rPr>
      </w:pPr>
      <w:r>
        <w:rPr>
          <w:rFonts w:hint="eastAsia" w:ascii="宋体"/>
          <w:color w:val="auto"/>
          <w:kern w:val="0"/>
          <w:szCs w:val="24"/>
          <w:highlight w:val="none"/>
        </w:rPr>
        <w:t>1.2.1 建设数据分析工具。包括但不限于：SQL工具、模型探索工具，智慧图谱等。SQL工具：系统提供SQL语言开发界面，支持常用的函数提示，关键字提示，数据库表名等。模型探索工具：利用可视化图形操作界面，通过“拖拉拽”的方式编写模型，该工具应该提供数据合并、叠加、排序、关联、筛选等操作，支持数据提取、汇总。智慧图谱：支持界面化本体模型设计，支持图元数据管理，实现对审计图数据点和边的新增、修改、删除及查询功能，可以通过知识图谱技术实现以下场景：一是通过交易流水实现资金交易流向监控；二是实现信贷循环担保监控；三是实现对公客户关联企业关系展示，包括但不限于资金来往、控股、集团成员关系等。</w:t>
      </w:r>
    </w:p>
    <w:p w14:paraId="04A9A598">
      <w:pPr>
        <w:spacing w:line="360" w:lineRule="auto"/>
        <w:rPr>
          <w:rFonts w:ascii="宋体"/>
          <w:color w:val="auto"/>
          <w:kern w:val="0"/>
          <w:szCs w:val="24"/>
          <w:highlight w:val="none"/>
        </w:rPr>
      </w:pPr>
      <w:r>
        <w:rPr>
          <w:rFonts w:hint="eastAsia" w:ascii="宋体"/>
          <w:color w:val="auto"/>
          <w:kern w:val="0"/>
          <w:szCs w:val="24"/>
          <w:highlight w:val="none"/>
        </w:rPr>
        <w:t>1.2.2 建设监控预警平台，通过固化模型逻辑、阈值等，定期对模型进行监测，提供多样的可视化展现，对指标值及变化趋势进行分析判断，形成待办工作任务推进排查工作。包括疑点库管理、相关后续处理及疑点结果跟踪等功能，实现非现场审计结果流程化管理，并支持疑点信息结果反馈。</w:t>
      </w:r>
    </w:p>
    <w:p w14:paraId="3354881C">
      <w:pPr>
        <w:spacing w:line="360" w:lineRule="auto"/>
        <w:rPr>
          <w:rFonts w:ascii="宋体"/>
          <w:color w:val="auto"/>
          <w:kern w:val="0"/>
          <w:szCs w:val="24"/>
          <w:highlight w:val="none"/>
        </w:rPr>
      </w:pPr>
      <w:r>
        <w:rPr>
          <w:rFonts w:hint="eastAsia" w:ascii="宋体"/>
          <w:color w:val="auto"/>
          <w:kern w:val="0"/>
          <w:szCs w:val="24"/>
          <w:highlight w:val="none"/>
        </w:rPr>
        <w:t>1.2.3 建设审计模型库。分别对已上线、正在编辑、模型灵感库进行管理。已上线模型库根据模型关注点进行分类管理，并记录基本信息及优化升级情况，所有审计人员可以在模型灵感库里面进行录入，后期转化为模型库内容。</w:t>
      </w:r>
    </w:p>
    <w:p w14:paraId="06BFBCE9">
      <w:pPr>
        <w:spacing w:line="360" w:lineRule="auto"/>
        <w:rPr>
          <w:rFonts w:ascii="宋体"/>
          <w:color w:val="auto"/>
          <w:kern w:val="0"/>
          <w:szCs w:val="24"/>
          <w:highlight w:val="none"/>
        </w:rPr>
      </w:pPr>
      <w:r>
        <w:rPr>
          <w:rFonts w:hint="eastAsia" w:ascii="宋体"/>
          <w:color w:val="auto"/>
          <w:kern w:val="0"/>
          <w:szCs w:val="24"/>
          <w:highlight w:val="none"/>
        </w:rPr>
        <w:t>1.2.4 建设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6F099FEB">
      <w:pPr>
        <w:spacing w:line="360" w:lineRule="auto"/>
        <w:rPr>
          <w:rFonts w:ascii="宋体"/>
          <w:color w:val="auto"/>
          <w:kern w:val="0"/>
          <w:szCs w:val="24"/>
          <w:highlight w:val="none"/>
        </w:rPr>
      </w:pPr>
      <w:r>
        <w:rPr>
          <w:rFonts w:hint="eastAsia" w:ascii="宋体"/>
          <w:color w:val="auto"/>
          <w:kern w:val="0"/>
          <w:szCs w:val="24"/>
          <w:highlight w:val="none"/>
        </w:rPr>
        <w:t>1.2.5 建设审计画像以直观方式对机构、客户、员工的关键指标进行分析，对机构、客户、员工的主要特征进行归纳、分类，为审计人员对于相关机构进行检查提供策略参考的功能。能多维度查询，能生成图表，能手工录入指标、能灵活配置、修改指标模板。</w:t>
      </w:r>
    </w:p>
    <w:p w14:paraId="4E58C24F">
      <w:pPr>
        <w:spacing w:line="360" w:lineRule="auto"/>
        <w:rPr>
          <w:rFonts w:ascii="宋体"/>
          <w:color w:val="auto"/>
          <w:kern w:val="0"/>
          <w:szCs w:val="24"/>
          <w:highlight w:val="none"/>
        </w:rPr>
      </w:pPr>
      <w:r>
        <w:rPr>
          <w:rFonts w:hint="eastAsia" w:ascii="宋体"/>
          <w:color w:val="auto"/>
          <w:kern w:val="0"/>
          <w:szCs w:val="24"/>
          <w:highlight w:val="none"/>
        </w:rPr>
        <w:t>1.3 建立审计驾驶舱，实时统计系统中所需各类数据并作图形化展示，如审计项目完成率、审计问题整改率、正在进行审计项目状态、审计模型使用情况等等。</w:t>
      </w:r>
    </w:p>
    <w:p w14:paraId="6F41CF1E">
      <w:pPr>
        <w:spacing w:line="360" w:lineRule="auto"/>
        <w:rPr>
          <w:rFonts w:ascii="宋体"/>
          <w:color w:val="auto"/>
          <w:kern w:val="0"/>
          <w:szCs w:val="24"/>
          <w:highlight w:val="none"/>
        </w:rPr>
      </w:pPr>
      <w:r>
        <w:rPr>
          <w:rFonts w:hint="eastAsia" w:ascii="宋体"/>
          <w:color w:val="auto"/>
          <w:kern w:val="0"/>
          <w:szCs w:val="24"/>
          <w:highlight w:val="none"/>
        </w:rPr>
        <w:t>1.3.1 统计分析功能，可以前台自定义统计表，并通过各种图标功能展示，可以选择固化在驾驶舱或者用户主页中。</w:t>
      </w:r>
    </w:p>
    <w:p w14:paraId="5F4736F9">
      <w:pPr>
        <w:spacing w:line="360" w:lineRule="auto"/>
        <w:rPr>
          <w:rFonts w:ascii="宋体"/>
          <w:color w:val="auto"/>
          <w:kern w:val="0"/>
          <w:szCs w:val="24"/>
          <w:highlight w:val="none"/>
        </w:rPr>
      </w:pPr>
      <w:r>
        <w:rPr>
          <w:rFonts w:hint="eastAsia" w:ascii="宋体"/>
          <w:color w:val="auto"/>
          <w:kern w:val="0"/>
          <w:szCs w:val="24"/>
          <w:highlight w:val="none"/>
        </w:rPr>
        <w:t>1.4 建设知识平台，从知识保障角度为审计工作的开展提供既往项目档案、审计样本库、制度法规、审计资料、文档模板、审计问题的管理和支持，将日常审计工作成果进行信息标准化存档。</w:t>
      </w:r>
    </w:p>
    <w:p w14:paraId="73622322">
      <w:pPr>
        <w:spacing w:line="360" w:lineRule="auto"/>
        <w:rPr>
          <w:rFonts w:ascii="宋体"/>
          <w:color w:val="auto"/>
          <w:kern w:val="0"/>
          <w:szCs w:val="24"/>
          <w:highlight w:val="none"/>
        </w:rPr>
      </w:pPr>
      <w:r>
        <w:rPr>
          <w:rFonts w:hint="eastAsia" w:ascii="宋体"/>
          <w:color w:val="auto"/>
          <w:kern w:val="0"/>
          <w:szCs w:val="24"/>
          <w:highlight w:val="none"/>
        </w:rPr>
        <w:t>1.4.1 建设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297EF7E8">
      <w:pPr>
        <w:spacing w:line="360" w:lineRule="auto"/>
        <w:rPr>
          <w:rFonts w:ascii="宋体"/>
          <w:color w:val="auto"/>
          <w:kern w:val="0"/>
          <w:szCs w:val="24"/>
          <w:highlight w:val="none"/>
        </w:rPr>
      </w:pPr>
      <w:r>
        <w:rPr>
          <w:rFonts w:hint="eastAsia" w:ascii="宋体"/>
          <w:color w:val="auto"/>
          <w:kern w:val="0"/>
          <w:szCs w:val="24"/>
          <w:highlight w:val="none"/>
        </w:rPr>
        <w:t>1.5 建设公共平台，对系统进行管理，主要是实现对全系统审计人员、机构和用户角色、权限等进行综合管理，由系统管理员对系统底层各项基础信息进行定义维护，包括新增、修改、删除等操作；系统还需提供强大的配置功能，以应对各类可能发生的变更处理，如审计工作流配置、系统公共参数配置、日志管理等。为提高系统性能，减少IO操作，降低数据库负载，通过缓存的方式对整体系统基础配置进行统一调配和管理。</w:t>
      </w:r>
    </w:p>
    <w:p w14:paraId="4487C71F">
      <w:pPr>
        <w:spacing w:line="360" w:lineRule="auto"/>
        <w:rPr>
          <w:rFonts w:ascii="宋体"/>
          <w:color w:val="auto"/>
          <w:kern w:val="0"/>
          <w:szCs w:val="24"/>
          <w:highlight w:val="none"/>
        </w:rPr>
      </w:pPr>
      <w:r>
        <w:rPr>
          <w:rFonts w:hint="eastAsia" w:ascii="宋体"/>
          <w:color w:val="auto"/>
          <w:kern w:val="0"/>
          <w:szCs w:val="24"/>
          <w:highlight w:val="none"/>
        </w:rPr>
        <w:t>1.6 建设综合平台，对审计日常工作进行支撑性管理，如实现自定义表样的信息推送及采集功能，记录审计相关委员会会议情况、审计人员培训情况管理等。</w:t>
      </w:r>
    </w:p>
    <w:p w14:paraId="1E2397B9">
      <w:pPr>
        <w:spacing w:line="360" w:lineRule="auto"/>
        <w:rPr>
          <w:rFonts w:ascii="宋体"/>
          <w:color w:val="auto"/>
          <w:kern w:val="0"/>
          <w:szCs w:val="24"/>
          <w:highlight w:val="none"/>
        </w:rPr>
      </w:pPr>
      <w:r>
        <w:rPr>
          <w:rFonts w:hint="eastAsia" w:ascii="宋体"/>
          <w:color w:val="auto"/>
          <w:kern w:val="0"/>
          <w:szCs w:val="24"/>
          <w:highlight w:val="none"/>
        </w:rPr>
        <w:t>1.7 审计数据集市整理和建设，根据行内数据中台建设情况，讨论决定系统取数规则，通过单独建立审计数据集市或直接从大数据中台读取数据的形式实现基础数据的获取。数据管理根据数据应用的需要，在数据完成抽取、转换、验证等一系列加工后，可以根据使用需要，划分数据主题域，数据配置包括数据主题设置、实体及属性维护及代码配置等。数据实体管理：非现场审计系统提供数据实体及其属性的管理功能。代码配置业务：数据中部分数据以代码形式存储，非现场审计功能模块需要提供代码值及其含义的维护功能，以方便用户查阅。</w:t>
      </w:r>
    </w:p>
    <w:p w14:paraId="38794D4E">
      <w:pPr>
        <w:spacing w:line="360" w:lineRule="auto"/>
        <w:rPr>
          <w:rFonts w:ascii="宋体"/>
          <w:color w:val="auto"/>
          <w:kern w:val="0"/>
          <w:szCs w:val="24"/>
          <w:highlight w:val="none"/>
        </w:rPr>
      </w:pPr>
      <w:r>
        <w:rPr>
          <w:rFonts w:hint="eastAsia" w:ascii="宋体"/>
          <w:color w:val="auto"/>
          <w:kern w:val="0"/>
          <w:szCs w:val="24"/>
          <w:highlight w:val="none"/>
        </w:rPr>
        <w:t>通过直接采集、数据整合加工、手工导入录入、外部数据采集等多种方式，实现指标数据的采集分析，将散乱的的行内数据、非结构化数据、同业数据、网络舆情数据，整合成业务维度、风险维度、机构维度、经营维度等多种维度的数据集，建设符合行内需要的指标体系。</w:t>
      </w:r>
    </w:p>
    <w:p w14:paraId="04855D92">
      <w:pPr>
        <w:spacing w:line="360" w:lineRule="auto"/>
        <w:rPr>
          <w:rFonts w:ascii="宋体"/>
          <w:color w:val="auto"/>
          <w:kern w:val="0"/>
          <w:szCs w:val="24"/>
          <w:highlight w:val="none"/>
        </w:rPr>
      </w:pPr>
      <w:r>
        <w:rPr>
          <w:rFonts w:hint="eastAsia" w:ascii="宋体"/>
          <w:color w:val="auto"/>
          <w:kern w:val="0"/>
          <w:szCs w:val="24"/>
          <w:highlight w:val="none"/>
        </w:rPr>
        <w:t>1.8 对数据安全控制进行全面管理，通过采用细分用户权限、对用户敏感数据（可选择）进行脱敏展示、对下载数据均在背景中增加下载人的工号、姓名及下载时间作为水印等等手段，增强数据安全管理及控制。</w:t>
      </w:r>
    </w:p>
    <w:p w14:paraId="6E0BF8C8">
      <w:pPr>
        <w:spacing w:line="360" w:lineRule="auto"/>
        <w:rPr>
          <w:rFonts w:ascii="宋体"/>
          <w:color w:val="auto"/>
          <w:kern w:val="0"/>
          <w:szCs w:val="24"/>
          <w:highlight w:val="none"/>
        </w:rPr>
      </w:pPr>
      <w:r>
        <w:rPr>
          <w:rFonts w:hint="eastAsia" w:ascii="宋体"/>
          <w:color w:val="auto"/>
          <w:kern w:val="0"/>
          <w:szCs w:val="24"/>
          <w:highlight w:val="none"/>
        </w:rPr>
        <w:t>1.9 增加图片识别自动提取文字功能，对检查资料为图片的关键字进行批处理和自动提取，并开展后续数据分析，扩宽“大数据”审计的应用场景。同时，添加图片处理文字提取插件功能，提升审计人员工作的便捷程度。</w:t>
      </w:r>
    </w:p>
    <w:p w14:paraId="179E0B89">
      <w:pPr>
        <w:spacing w:line="360" w:lineRule="auto"/>
        <w:rPr>
          <w:rFonts w:ascii="宋体"/>
          <w:color w:val="auto"/>
          <w:kern w:val="0"/>
          <w:szCs w:val="24"/>
          <w:highlight w:val="none"/>
        </w:rPr>
      </w:pPr>
      <w:r>
        <w:rPr>
          <w:rFonts w:hint="eastAsia" w:ascii="宋体"/>
          <w:color w:val="auto"/>
          <w:kern w:val="0"/>
          <w:szCs w:val="24"/>
          <w:highlight w:val="none"/>
        </w:rPr>
        <w:t>1.10 本项目须对原审计监督信息系统存量数据进行数据迁移，保障项目实施完成后的审计监督系统继承存量审计数据。</w:t>
      </w:r>
    </w:p>
    <w:p w14:paraId="125EE1BF">
      <w:pPr>
        <w:spacing w:line="360" w:lineRule="auto"/>
        <w:rPr>
          <w:rFonts w:ascii="宋体"/>
          <w:color w:val="auto"/>
          <w:kern w:val="0"/>
          <w:szCs w:val="24"/>
          <w:highlight w:val="none"/>
        </w:rPr>
      </w:pPr>
      <w:r>
        <w:rPr>
          <w:rFonts w:hint="eastAsia" w:ascii="宋体"/>
          <w:color w:val="auto"/>
          <w:kern w:val="0"/>
          <w:szCs w:val="24"/>
          <w:highlight w:val="none"/>
        </w:rPr>
        <w:t>1.11 为保证全行检查问题分类及统计的一致性，获取操作风险管理系统问题词条库并应用在审计系统问题库中，同时根据审计工作调查需要获取操作风险管理系统中全行内外部检查问题台账。</w:t>
      </w:r>
    </w:p>
    <w:p w14:paraId="20D32FFF">
      <w:pPr>
        <w:spacing w:line="360" w:lineRule="auto"/>
        <w:rPr>
          <w:rFonts w:ascii="宋体"/>
          <w:color w:val="auto"/>
          <w:kern w:val="0"/>
          <w:szCs w:val="24"/>
          <w:highlight w:val="none"/>
        </w:rPr>
      </w:pPr>
      <w:r>
        <w:rPr>
          <w:rFonts w:hint="eastAsia" w:ascii="宋体"/>
          <w:color w:val="auto"/>
          <w:kern w:val="0"/>
          <w:szCs w:val="24"/>
          <w:highlight w:val="none"/>
        </w:rPr>
        <w:t>（</w:t>
      </w:r>
      <w:r>
        <w:rPr>
          <w:rFonts w:hint="eastAsia" w:ascii="宋体"/>
          <w:bCs/>
          <w:color w:val="auto"/>
          <w:kern w:val="0"/>
          <w:szCs w:val="24"/>
          <w:highlight w:val="none"/>
        </w:rPr>
        <w:t>最终需求以双方会签后的《项目需求分析说明书》为准</w:t>
      </w:r>
      <w:r>
        <w:rPr>
          <w:rFonts w:hint="eastAsia" w:ascii="宋体"/>
          <w:color w:val="auto"/>
          <w:kern w:val="0"/>
          <w:szCs w:val="24"/>
          <w:highlight w:val="none"/>
        </w:rPr>
        <w:t>）</w:t>
      </w:r>
    </w:p>
    <w:p w14:paraId="513020DA">
      <w:pPr>
        <w:pStyle w:val="2"/>
        <w:rPr>
          <w:rStyle w:val="40"/>
          <w:color w:val="auto"/>
          <w:sz w:val="30"/>
          <w:highlight w:val="none"/>
        </w:rPr>
      </w:pPr>
      <w:r>
        <w:rPr>
          <w:rStyle w:val="40"/>
          <w:b w:val="0"/>
          <w:color w:val="auto"/>
          <w:sz w:val="30"/>
          <w:highlight w:val="none"/>
        </w:rPr>
        <w:br w:type="page"/>
      </w:r>
      <w:bookmarkStart w:id="564" w:name="_Toc6593"/>
      <w:bookmarkStart w:id="565" w:name="_Toc27810"/>
      <w:bookmarkStart w:id="566" w:name="_Toc24921"/>
      <w:bookmarkStart w:id="567" w:name="_Toc27995"/>
      <w:bookmarkStart w:id="568" w:name="_Toc9386"/>
      <w:r>
        <w:rPr>
          <w:rStyle w:val="40"/>
          <w:rFonts w:hint="eastAsia"/>
          <w:b w:val="0"/>
          <w:color w:val="auto"/>
          <w:sz w:val="30"/>
          <w:highlight w:val="none"/>
        </w:rPr>
        <w:t>附件二：</w:t>
      </w:r>
      <w:r>
        <w:rPr>
          <w:rStyle w:val="40"/>
          <w:rFonts w:hint="eastAsia"/>
          <w:color w:val="auto"/>
          <w:sz w:val="30"/>
          <w:highlight w:val="none"/>
        </w:rPr>
        <w:t>项目人员名单及人员应急退出机制</w:t>
      </w:r>
      <w:bookmarkEnd w:id="563"/>
      <w:bookmarkEnd w:id="564"/>
      <w:bookmarkEnd w:id="565"/>
      <w:bookmarkEnd w:id="566"/>
      <w:bookmarkEnd w:id="567"/>
      <w:bookmarkEnd w:id="568"/>
    </w:p>
    <w:p w14:paraId="104C0458">
      <w:pPr>
        <w:spacing w:line="360" w:lineRule="auto"/>
        <w:rPr>
          <w:rStyle w:val="40"/>
          <w:rFonts w:ascii="宋体"/>
          <w:color w:val="auto"/>
          <w:kern w:val="0"/>
          <w:highlight w:val="none"/>
        </w:rPr>
      </w:pPr>
    </w:p>
    <w:p w14:paraId="7C09CCBD">
      <w:pPr>
        <w:spacing w:line="360" w:lineRule="auto"/>
        <w:rPr>
          <w:rStyle w:val="40"/>
          <w:rFonts w:ascii="宋体"/>
          <w:b/>
          <w:color w:val="auto"/>
          <w:kern w:val="0"/>
          <w:highlight w:val="none"/>
        </w:rPr>
      </w:pPr>
      <w:r>
        <w:rPr>
          <w:rStyle w:val="40"/>
          <w:rFonts w:hint="eastAsia" w:ascii="宋体"/>
          <w:b/>
          <w:color w:val="auto"/>
          <w:kern w:val="0"/>
          <w:highlight w:val="none"/>
        </w:rPr>
        <w:t>一、项目人员名单</w:t>
      </w:r>
    </w:p>
    <w:p w14:paraId="0B0576F6">
      <w:pPr>
        <w:spacing w:line="360" w:lineRule="auto"/>
        <w:rPr>
          <w:rStyle w:val="40"/>
          <w:rFonts w:ascii="宋体"/>
          <w:color w:val="auto"/>
          <w:kern w:val="0"/>
          <w:highlight w:val="none"/>
        </w:rPr>
      </w:pPr>
      <w:r>
        <w:rPr>
          <w:rStyle w:val="40"/>
          <w:rFonts w:hint="eastAsia" w:ascii="宋体"/>
          <w:color w:val="auto"/>
          <w:kern w:val="0"/>
          <w:highlight w:val="none"/>
        </w:rPr>
        <w:t xml:space="preserve">项目经理： </w:t>
      </w:r>
    </w:p>
    <w:p w14:paraId="30BFED9A">
      <w:pPr>
        <w:spacing w:line="360" w:lineRule="auto"/>
        <w:rPr>
          <w:rStyle w:val="40"/>
          <w:rFonts w:ascii="宋体"/>
          <w:color w:val="auto"/>
          <w:kern w:val="0"/>
          <w:highlight w:val="none"/>
        </w:rPr>
      </w:pPr>
      <w:r>
        <w:rPr>
          <w:rStyle w:val="40"/>
          <w:rFonts w:hint="eastAsia" w:ascii="宋体"/>
          <w:color w:val="auto"/>
          <w:kern w:val="0"/>
          <w:highlight w:val="none"/>
        </w:rPr>
        <w:t>技术骨干：</w:t>
      </w:r>
    </w:p>
    <w:p w14:paraId="487BAB56">
      <w:pPr>
        <w:spacing w:line="360" w:lineRule="auto"/>
        <w:rPr>
          <w:rStyle w:val="40"/>
          <w:rFonts w:ascii="宋体"/>
          <w:color w:val="auto"/>
          <w:kern w:val="0"/>
          <w:highlight w:val="none"/>
        </w:rPr>
      </w:pPr>
      <w:r>
        <w:rPr>
          <w:rStyle w:val="40"/>
          <w:rFonts w:hint="eastAsia" w:ascii="宋体"/>
          <w:color w:val="auto"/>
          <w:kern w:val="0"/>
          <w:highlight w:val="none"/>
        </w:rPr>
        <w:t xml:space="preserve">项目组成员： </w:t>
      </w:r>
    </w:p>
    <w:p w14:paraId="40980DA7">
      <w:pPr>
        <w:spacing w:line="360" w:lineRule="auto"/>
        <w:rPr>
          <w:rStyle w:val="40"/>
          <w:rFonts w:ascii="宋体"/>
          <w:color w:val="auto"/>
          <w:kern w:val="0"/>
          <w:highlight w:val="none"/>
        </w:rPr>
      </w:pPr>
    </w:p>
    <w:p w14:paraId="503ADB7E">
      <w:pPr>
        <w:spacing w:line="360" w:lineRule="auto"/>
        <w:rPr>
          <w:rStyle w:val="40"/>
          <w:rFonts w:ascii="宋体"/>
          <w:b/>
          <w:color w:val="auto"/>
          <w:kern w:val="0"/>
          <w:highlight w:val="none"/>
        </w:rPr>
      </w:pPr>
      <w:r>
        <w:rPr>
          <w:rStyle w:val="40"/>
          <w:rFonts w:hint="eastAsia" w:ascii="宋体"/>
          <w:b/>
          <w:color w:val="auto"/>
          <w:kern w:val="0"/>
          <w:highlight w:val="none"/>
        </w:rPr>
        <w:t>二、人员应急退出机制</w:t>
      </w:r>
    </w:p>
    <w:p w14:paraId="4DA0A58D">
      <w:pPr>
        <w:spacing w:line="360" w:lineRule="auto"/>
        <w:rPr>
          <w:rStyle w:val="40"/>
          <w:rFonts w:ascii="宋体"/>
          <w:color w:val="auto"/>
          <w:kern w:val="0"/>
          <w:highlight w:val="none"/>
        </w:rPr>
      </w:pPr>
      <w:r>
        <w:rPr>
          <w:rStyle w:val="40"/>
          <w:rFonts w:hint="eastAsia" w:asci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E76B1FD">
      <w:pPr>
        <w:spacing w:line="360" w:lineRule="auto"/>
        <w:ind w:firstLine="465" w:firstLineChars="0"/>
        <w:rPr>
          <w:rStyle w:val="40"/>
          <w:rFonts w:ascii="宋体"/>
          <w:color w:val="auto"/>
          <w:kern w:val="0"/>
          <w:highlight w:val="none"/>
        </w:rPr>
      </w:pPr>
      <w:r>
        <w:rPr>
          <w:rStyle w:val="40"/>
          <w:rFonts w:hint="eastAsia" w:ascii="宋体"/>
          <w:color w:val="auto"/>
          <w:kern w:val="0"/>
          <w:highlight w:val="none"/>
        </w:rPr>
        <w:t>备用项目经理：</w:t>
      </w:r>
    </w:p>
    <w:p w14:paraId="61BA7BD6">
      <w:pPr>
        <w:spacing w:line="360" w:lineRule="auto"/>
        <w:ind w:firstLine="465" w:firstLineChars="0"/>
        <w:rPr>
          <w:rStyle w:val="40"/>
          <w:rFonts w:ascii="宋体"/>
          <w:color w:val="auto"/>
          <w:kern w:val="0"/>
          <w:highlight w:val="none"/>
        </w:rPr>
      </w:pPr>
      <w:r>
        <w:rPr>
          <w:rStyle w:val="40"/>
          <w:rFonts w:hint="eastAsia" w:ascii="宋体"/>
          <w:color w:val="auto"/>
          <w:kern w:val="0"/>
          <w:highlight w:val="none"/>
        </w:rPr>
        <w:t>备用技术骨干：</w:t>
      </w:r>
    </w:p>
    <w:p w14:paraId="410A7D4B">
      <w:pPr>
        <w:pStyle w:val="2"/>
        <w:rPr>
          <w:rStyle w:val="40"/>
          <w:color w:val="auto"/>
          <w:sz w:val="30"/>
          <w:highlight w:val="none"/>
        </w:rPr>
      </w:pPr>
      <w:r>
        <w:rPr>
          <w:rStyle w:val="40"/>
          <w:rFonts w:hint="eastAsia"/>
          <w:b w:val="0"/>
          <w:color w:val="auto"/>
          <w:sz w:val="30"/>
          <w:highlight w:val="none"/>
        </w:rPr>
        <w:br w:type="page"/>
      </w:r>
      <w:bookmarkStart w:id="569" w:name="_Toc2927"/>
      <w:bookmarkStart w:id="570" w:name="_Toc5579"/>
      <w:bookmarkStart w:id="571" w:name="_Toc20663"/>
      <w:bookmarkStart w:id="572" w:name="_Toc4994"/>
      <w:bookmarkStart w:id="573" w:name="_Toc63757483"/>
      <w:bookmarkStart w:id="574" w:name="_Toc7952"/>
      <w:r>
        <w:rPr>
          <w:rStyle w:val="40"/>
          <w:rFonts w:hint="eastAsia"/>
          <w:color w:val="auto"/>
          <w:sz w:val="30"/>
          <w:highlight w:val="none"/>
        </w:rPr>
        <w:t>附件三：验收标准及流程</w:t>
      </w:r>
      <w:bookmarkEnd w:id="569"/>
      <w:bookmarkEnd w:id="570"/>
      <w:bookmarkEnd w:id="571"/>
      <w:bookmarkEnd w:id="572"/>
      <w:bookmarkEnd w:id="573"/>
      <w:bookmarkEnd w:id="574"/>
    </w:p>
    <w:p w14:paraId="7A52402E">
      <w:pPr>
        <w:spacing w:line="360" w:lineRule="auto"/>
        <w:rPr>
          <w:rStyle w:val="40"/>
          <w:rFonts w:ascii="宋体"/>
          <w:color w:val="auto"/>
          <w:kern w:val="0"/>
          <w:highlight w:val="none"/>
        </w:rPr>
      </w:pPr>
      <w:r>
        <w:rPr>
          <w:rStyle w:val="40"/>
          <w:rFonts w:hint="eastAsia" w:ascii="宋体"/>
          <w:b/>
          <w:color w:val="auto"/>
          <w:kern w:val="0"/>
          <w:highlight w:val="none"/>
        </w:rPr>
        <w:t>一、验收标准</w:t>
      </w:r>
    </w:p>
    <w:p w14:paraId="6CBC7267">
      <w:pPr>
        <w:numPr>
          <w:ilvl w:val="0"/>
          <w:numId w:val="1"/>
        </w:numPr>
        <w:spacing w:line="360" w:lineRule="auto"/>
        <w:ind w:firstLineChars="0"/>
        <w:rPr>
          <w:rStyle w:val="40"/>
          <w:rFonts w:ascii="宋体"/>
          <w:color w:val="auto"/>
          <w:kern w:val="0"/>
          <w:highlight w:val="none"/>
        </w:rPr>
      </w:pPr>
      <w:r>
        <w:rPr>
          <w:rStyle w:val="40"/>
          <w:rFonts w:hint="eastAsia" w:ascii="宋体"/>
          <w:color w:val="auto"/>
          <w:kern w:val="0"/>
          <w:highlight w:val="none"/>
        </w:rPr>
        <w:t>验收系统须满足试运行期内项目产品运行稳定、无遗留问题。</w:t>
      </w:r>
    </w:p>
    <w:p w14:paraId="5B10B491">
      <w:pPr>
        <w:numPr>
          <w:ilvl w:val="0"/>
          <w:numId w:val="1"/>
        </w:numPr>
        <w:spacing w:line="360" w:lineRule="auto"/>
        <w:ind w:firstLineChars="0"/>
        <w:rPr>
          <w:rStyle w:val="40"/>
          <w:rFonts w:ascii="宋体"/>
          <w:color w:val="auto"/>
          <w:kern w:val="0"/>
          <w:highlight w:val="none"/>
        </w:rPr>
      </w:pPr>
      <w:r>
        <w:rPr>
          <w:rStyle w:val="40"/>
          <w:rFonts w:hint="eastAsia" w:ascii="宋体"/>
          <w:color w:val="auto"/>
          <w:kern w:val="0"/>
          <w:highlight w:val="none"/>
        </w:rPr>
        <w:t>项目知识及文档已全部完成转移。</w:t>
      </w:r>
    </w:p>
    <w:p w14:paraId="666472EB">
      <w:pPr>
        <w:spacing w:line="360" w:lineRule="auto"/>
        <w:ind w:firstLine="360" w:firstLineChars="150"/>
        <w:rPr>
          <w:rStyle w:val="40"/>
          <w:rFonts w:ascii="宋体"/>
          <w:color w:val="auto"/>
          <w:kern w:val="0"/>
          <w:highlight w:val="none"/>
        </w:rPr>
      </w:pPr>
      <w:r>
        <w:rPr>
          <w:rStyle w:val="40"/>
          <w:rFonts w:hint="eastAsia" w:ascii="宋体"/>
          <w:color w:val="auto"/>
          <w:kern w:val="0"/>
          <w:highlight w:val="none"/>
        </w:rPr>
        <w:t>3、 验收交付物包括：</w:t>
      </w:r>
    </w:p>
    <w:p w14:paraId="68EFC9EA">
      <w:pPr>
        <w:spacing w:line="360" w:lineRule="auto"/>
        <w:rPr>
          <w:rStyle w:val="40"/>
          <w:rFonts w:ascii="宋体"/>
          <w:color w:val="auto"/>
          <w:kern w:val="0"/>
          <w:highlight w:val="none"/>
        </w:rPr>
      </w:pPr>
      <w:r>
        <w:rPr>
          <w:rStyle w:val="40"/>
          <w:rFonts w:hint="eastAsia" w:ascii="宋体"/>
          <w:color w:val="auto"/>
          <w:kern w:val="0"/>
          <w:highlight w:val="none"/>
        </w:rPr>
        <w:t>《项目需求分析说明书》、《概要设计说明书》、《详细设计说明书》、《数据库设计说明书》、《系统安装部署手册》、《系统运行维护手册》、《用户操作手册》、《试运行报告》、《验收报告》</w:t>
      </w:r>
    </w:p>
    <w:p w14:paraId="58227F10">
      <w:pPr>
        <w:spacing w:line="360" w:lineRule="auto"/>
        <w:rPr>
          <w:rStyle w:val="40"/>
          <w:rFonts w:ascii="宋体"/>
          <w:color w:val="auto"/>
          <w:kern w:val="0"/>
          <w:highlight w:val="none"/>
        </w:rPr>
      </w:pPr>
      <w:r>
        <w:rPr>
          <w:rStyle w:val="40"/>
          <w:rFonts w:hint="eastAsia" w:ascii="宋体"/>
          <w:color w:val="auto"/>
          <w:kern w:val="0"/>
          <w:highlight w:val="none"/>
        </w:rPr>
        <w:t>涉及数据迁移的，准备《数据迁移方案》；涉及兼容性方面的，准备《软件兼容性方案》；项目自负系统测试的，准备《系统测试计划》、《系统测试报告》、《性能测试报告》、《安全测试报告》；正文要求提供源代码的，准备源代码</w:t>
      </w:r>
    </w:p>
    <w:p w14:paraId="01134A7C">
      <w:pPr>
        <w:spacing w:line="360" w:lineRule="auto"/>
        <w:rPr>
          <w:rStyle w:val="40"/>
          <w:rFonts w:ascii="宋体"/>
          <w:b/>
          <w:color w:val="auto"/>
          <w:kern w:val="0"/>
          <w:highlight w:val="none"/>
        </w:rPr>
      </w:pPr>
      <w:r>
        <w:rPr>
          <w:rStyle w:val="40"/>
          <w:rFonts w:hint="eastAsia" w:ascii="宋体"/>
          <w:b/>
          <w:color w:val="auto"/>
          <w:kern w:val="0"/>
          <w:highlight w:val="none"/>
        </w:rPr>
        <w:t>二、验收流程</w:t>
      </w:r>
    </w:p>
    <w:p w14:paraId="0D09FA2C">
      <w:pPr>
        <w:spacing w:line="360" w:lineRule="auto"/>
        <w:ind w:left="2" w:leftChars="1" w:firstLine="360" w:firstLineChars="150"/>
        <w:rPr>
          <w:rStyle w:val="40"/>
          <w:rFonts w:ascii="宋体"/>
          <w:color w:val="auto"/>
          <w:kern w:val="0"/>
          <w:highlight w:val="none"/>
        </w:rPr>
      </w:pPr>
      <w:r>
        <w:rPr>
          <w:rStyle w:val="40"/>
          <w:rFonts w:hint="eastAsia" w:asci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439DC44A">
      <w:pPr>
        <w:spacing w:line="360" w:lineRule="auto"/>
        <w:ind w:left="-358"/>
        <w:rPr>
          <w:rStyle w:val="40"/>
          <w:rFonts w:ascii="宋体"/>
          <w:color w:val="auto"/>
          <w:kern w:val="0"/>
          <w:highlight w:val="none"/>
        </w:rPr>
      </w:pPr>
    </w:p>
    <w:p w14:paraId="1B0AFE9C">
      <w:pPr>
        <w:pStyle w:val="2"/>
        <w:rPr>
          <w:color w:val="auto"/>
          <w:highlight w:val="none"/>
        </w:rPr>
      </w:pPr>
      <w:r>
        <w:rPr>
          <w:rStyle w:val="40"/>
          <w:rFonts w:hint="eastAsia"/>
          <w:b w:val="0"/>
          <w:color w:val="auto"/>
          <w:sz w:val="30"/>
          <w:highlight w:val="none"/>
        </w:rPr>
        <w:br w:type="page"/>
      </w:r>
      <w:bookmarkStart w:id="575" w:name="_Toc7775"/>
      <w:bookmarkStart w:id="576" w:name="_Toc20609"/>
      <w:bookmarkStart w:id="577" w:name="_Toc63757484"/>
      <w:bookmarkStart w:id="578" w:name="_Toc25646"/>
      <w:bookmarkStart w:id="579" w:name="_Toc10057"/>
      <w:bookmarkStart w:id="580" w:name="_Toc12579"/>
      <w:r>
        <w:rPr>
          <w:rStyle w:val="40"/>
          <w:rFonts w:hint="eastAsia"/>
          <w:color w:val="auto"/>
          <w:sz w:val="30"/>
          <w:highlight w:val="none"/>
        </w:rPr>
        <w:t>附件四：维护服务条款</w:t>
      </w:r>
      <w:bookmarkEnd w:id="575"/>
      <w:bookmarkEnd w:id="576"/>
      <w:bookmarkEnd w:id="577"/>
      <w:bookmarkEnd w:id="578"/>
      <w:bookmarkEnd w:id="579"/>
      <w:bookmarkEnd w:id="580"/>
    </w:p>
    <w:p w14:paraId="2E1259CC">
      <w:pPr>
        <w:spacing w:line="360" w:lineRule="auto"/>
        <w:ind w:firstLine="480" w:firstLineChars="0"/>
        <w:rPr>
          <w:rStyle w:val="40"/>
          <w:rFonts w:ascii="宋体"/>
          <w:color w:val="auto"/>
          <w:kern w:val="0"/>
          <w:highlight w:val="none"/>
        </w:rPr>
      </w:pPr>
      <w:r>
        <w:rPr>
          <w:rStyle w:val="40"/>
          <w:rFonts w:hint="eastAsia" w:ascii="宋体"/>
          <w:color w:val="auto"/>
          <w:kern w:val="0"/>
          <w:highlight w:val="none"/>
        </w:rPr>
        <w:t>乙方业务代表作为技术服务的第一联系人，项目经理作为该项目的技术服务第二联系人，随时接受客户的电话服务支持，并申请调配相关资源为客户提供及时服务。</w:t>
      </w:r>
    </w:p>
    <w:p w14:paraId="2A5891C5">
      <w:pPr>
        <w:numPr>
          <w:ilvl w:val="0"/>
          <w:numId w:val="0"/>
        </w:numPr>
        <w:spacing w:line="360" w:lineRule="auto"/>
        <w:ind w:left="420" w:hanging="420" w:firstLineChars="0"/>
        <w:rPr>
          <w:rStyle w:val="40"/>
          <w:rFonts w:ascii="宋体"/>
          <w:color w:val="auto"/>
          <w:highlight w:val="none"/>
        </w:rPr>
      </w:pPr>
      <w:r>
        <w:rPr>
          <w:rFonts w:ascii="宋体" w:hAnsi="Cambria Math" w:eastAsia="宋体" w:cs="Cambria Math"/>
          <w:color w:val="auto"/>
          <w:kern w:val="2"/>
          <w:sz w:val="24"/>
          <w:szCs w:val="20"/>
          <w:highlight w:val="none"/>
          <w:lang w:val="en-US" w:eastAsia="zh-CN" w:bidi="ar-SA"/>
        </w:rPr>
        <w:t>1)</w:t>
      </w:r>
      <w:r>
        <w:rPr>
          <w:rStyle w:val="40"/>
          <w:rFonts w:hint="eastAsia" w:ascii="宋体"/>
          <w:color w:val="auto"/>
          <w:highlight w:val="none"/>
        </w:rPr>
        <w:t>系统正式验收通过，上线后提供三个月免费人员现场驻场维护，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0"/>
          <w:rFonts w:hint="eastAsia" w:ascii="宋体"/>
          <w:color w:val="auto"/>
          <w:highlight w:val="none"/>
        </w:rPr>
        <w:t>至次年</w:t>
      </w:r>
      <w:r>
        <w:rPr>
          <w:rFonts w:hint="eastAsia" w:ascii="宋体"/>
          <w:color w:val="auto"/>
          <w:highlight w:val="none"/>
        </w:rPr>
        <w:t>并延期至6月30日或12月31日中较近日期（即维保延期最长不超过半年）</w:t>
      </w:r>
      <w:r>
        <w:rPr>
          <w:rStyle w:val="40"/>
          <w:rFonts w:hint="eastAsia" w:ascii="宋体"/>
          <w:color w:val="auto"/>
          <w:highlight w:val="none"/>
        </w:rPr>
        <w:t>提供支持和服务。</w:t>
      </w:r>
    </w:p>
    <w:p w14:paraId="06C300B4">
      <w:pPr>
        <w:numPr>
          <w:ilvl w:val="0"/>
          <w:numId w:val="0"/>
        </w:numPr>
        <w:spacing w:line="360" w:lineRule="auto"/>
        <w:ind w:left="420" w:hanging="420" w:firstLineChars="0"/>
        <w:rPr>
          <w:rStyle w:val="40"/>
          <w:rFonts w:ascii="宋体"/>
          <w:color w:val="auto"/>
          <w:highlight w:val="none"/>
        </w:rPr>
      </w:pPr>
      <w:r>
        <w:rPr>
          <w:rFonts w:ascii="宋体" w:hAnsi="Cambria Math" w:eastAsia="宋体" w:cs="Cambria Math"/>
          <w:color w:val="auto"/>
          <w:kern w:val="2"/>
          <w:sz w:val="24"/>
          <w:szCs w:val="20"/>
          <w:highlight w:val="none"/>
          <w:lang w:val="en-US" w:eastAsia="zh-CN" w:bidi="ar-SA"/>
        </w:rPr>
        <w:t>2)</w:t>
      </w:r>
      <w:r>
        <w:rPr>
          <w:rStyle w:val="40"/>
          <w:rFonts w:hint="eastAsia" w:ascii="宋体"/>
          <w:color w:val="auto"/>
          <w:highlight w:val="none"/>
        </w:rPr>
        <w:t>维护期内，提供平台升级及优化服务。</w:t>
      </w:r>
    </w:p>
    <w:p w14:paraId="49ABC07C">
      <w:pPr>
        <w:numPr>
          <w:ilvl w:val="0"/>
          <w:numId w:val="0"/>
        </w:numPr>
        <w:spacing w:line="360" w:lineRule="auto"/>
        <w:ind w:left="420" w:hanging="420" w:firstLineChars="0"/>
        <w:rPr>
          <w:rStyle w:val="40"/>
          <w:rFonts w:ascii="宋体"/>
          <w:color w:val="auto"/>
          <w:highlight w:val="none"/>
        </w:rPr>
      </w:pPr>
      <w:r>
        <w:rPr>
          <w:rFonts w:ascii="宋体" w:hAnsi="Cambria Math" w:eastAsia="宋体" w:cs="Cambria Math"/>
          <w:color w:val="auto"/>
          <w:kern w:val="2"/>
          <w:sz w:val="24"/>
          <w:szCs w:val="20"/>
          <w:highlight w:val="none"/>
          <w:lang w:val="en-US" w:eastAsia="zh-CN" w:bidi="ar-SA"/>
        </w:rPr>
        <w:t>3)</w:t>
      </w:r>
      <w:r>
        <w:rPr>
          <w:rStyle w:val="40"/>
          <w:rFonts w:hint="eastAsia" w:ascii="宋体"/>
          <w:color w:val="auto"/>
          <w:highlight w:val="none"/>
        </w:rPr>
        <w:t>系统上线后，提供二次系统和产品的培训，时间为每次1天。在维护期内，也可以根据用户需求，随时到客户现场进行系统和产品的培训。</w:t>
      </w:r>
    </w:p>
    <w:p w14:paraId="7A8AABC5">
      <w:pPr>
        <w:numPr>
          <w:ilvl w:val="0"/>
          <w:numId w:val="0"/>
        </w:numPr>
        <w:spacing w:line="360" w:lineRule="auto"/>
        <w:ind w:left="420" w:hanging="420" w:firstLineChars="0"/>
        <w:rPr>
          <w:rFonts w:ascii="宋体"/>
          <w:color w:val="auto"/>
          <w:highlight w:val="none"/>
        </w:rPr>
      </w:pPr>
      <w:r>
        <w:rPr>
          <w:rFonts w:ascii="宋体" w:hAnsi="Cambria Math" w:eastAsia="宋体" w:cs="Cambria Math"/>
          <w:color w:val="auto"/>
          <w:kern w:val="2"/>
          <w:sz w:val="24"/>
          <w:szCs w:val="20"/>
          <w:highlight w:val="none"/>
          <w:lang w:val="en-US" w:eastAsia="zh-CN" w:bidi="ar-SA"/>
        </w:rPr>
        <w:t>4)</w:t>
      </w:r>
      <w:r>
        <w:rPr>
          <w:rStyle w:val="40"/>
          <w:rFonts w:hint="eastAsia" w:ascii="宋体"/>
          <w:color w:val="auto"/>
          <w:highlight w:val="none"/>
        </w:rPr>
        <w:t>维护期内，每季度派工程师现场巡检一次，并在巡检后提交巡检报告，针对巡检中发现的问题立即组织整改。</w:t>
      </w:r>
      <w:bookmarkStart w:id="581" w:name="_Toc87509290"/>
      <w:bookmarkStart w:id="582" w:name="_Toc85087070"/>
      <w:bookmarkStart w:id="583" w:name="_Toc131174383"/>
    </w:p>
    <w:p w14:paraId="5AEB1142">
      <w:pPr>
        <w:spacing w:line="360" w:lineRule="auto"/>
        <w:rPr>
          <w:rFonts w:ascii="宋体"/>
          <w:color w:val="auto"/>
          <w:highlight w:val="none"/>
        </w:rPr>
      </w:pPr>
      <w:r>
        <w:rPr>
          <w:rFonts w:hint="eastAsia" w:ascii="宋体"/>
          <w:color w:val="auto"/>
          <w:highlight w:val="none"/>
        </w:rPr>
        <w:t>支持方式和手段</w:t>
      </w:r>
      <w:bookmarkEnd w:id="581"/>
      <w:bookmarkEnd w:id="582"/>
      <w:bookmarkEnd w:id="583"/>
    </w:p>
    <w:p w14:paraId="76CDA378">
      <w:pPr>
        <w:numPr>
          <w:ilvl w:val="0"/>
          <w:numId w:val="0"/>
        </w:numPr>
        <w:spacing w:line="360" w:lineRule="auto"/>
        <w:ind w:left="420" w:hanging="420" w:firstLineChars="0"/>
        <w:rPr>
          <w:rFonts w:ascii="宋体"/>
          <w:color w:val="auto"/>
          <w:highlight w:val="none"/>
        </w:rPr>
      </w:pPr>
      <w:r>
        <w:rPr>
          <w:rFonts w:ascii="宋体" w:hAnsi="Cambria Math" w:eastAsia="宋体" w:cs="Cambria Math"/>
          <w:color w:val="auto"/>
          <w:kern w:val="2"/>
          <w:sz w:val="24"/>
          <w:szCs w:val="20"/>
          <w:highlight w:val="none"/>
          <w:lang w:val="en-US" w:eastAsia="zh-CN" w:bidi="ar-SA"/>
        </w:rPr>
        <w:t>1)</w:t>
      </w:r>
      <w:r>
        <w:rPr>
          <w:rFonts w:hint="eastAsia" w:ascii="宋体" w:cs="Cambria Math"/>
          <w:color w:val="auto"/>
          <w:kern w:val="2"/>
          <w:sz w:val="24"/>
          <w:szCs w:val="20"/>
          <w:highlight w:val="none"/>
          <w:lang w:val="en-US" w:eastAsia="zh-CN" w:bidi="ar-SA"/>
        </w:rPr>
        <w:t xml:space="preserve"> </w:t>
      </w:r>
      <w:r>
        <w:rPr>
          <w:rFonts w:hint="eastAsia" w:ascii="宋体"/>
          <w:color w:val="auto"/>
          <w:highlight w:val="none"/>
        </w:rPr>
        <w:t>热线电话</w:t>
      </w:r>
    </w:p>
    <w:p w14:paraId="7FBED5B0">
      <w:pPr>
        <w:numPr>
          <w:ilvl w:val="0"/>
          <w:numId w:val="0"/>
        </w:numPr>
        <w:spacing w:line="360" w:lineRule="auto"/>
        <w:ind w:left="0" w:firstLine="480" w:firstLineChars="200"/>
        <w:rPr>
          <w:color w:val="auto"/>
          <w:highlight w:val="none"/>
        </w:rPr>
      </w:pPr>
      <w:r>
        <w:rPr>
          <w:rFonts w:hint="eastAsia"/>
          <w:color w:val="auto"/>
          <w:highlight w:val="none"/>
        </w:rPr>
        <w:t>针对具体业务过程中产生的各种技术咨询，开设专线，提供7*24小时的技术服务支持。</w:t>
      </w:r>
    </w:p>
    <w:p w14:paraId="6F3FAECD">
      <w:pPr>
        <w:numPr>
          <w:ilvl w:val="0"/>
          <w:numId w:val="0"/>
        </w:numPr>
        <w:spacing w:line="360" w:lineRule="auto"/>
        <w:ind w:left="420" w:hanging="420" w:firstLineChars="0"/>
        <w:rPr>
          <w:rFonts w:ascii="宋体"/>
          <w:color w:val="auto"/>
          <w:highlight w:val="none"/>
        </w:rPr>
      </w:pPr>
      <w:r>
        <w:rPr>
          <w:rFonts w:hint="eastAsia" w:ascii="宋体" w:cs="Cambria Math"/>
          <w:color w:val="auto"/>
          <w:kern w:val="2"/>
          <w:sz w:val="24"/>
          <w:szCs w:val="20"/>
          <w:highlight w:val="none"/>
          <w:lang w:val="en-US" w:eastAsia="zh-CN" w:bidi="ar-SA"/>
        </w:rPr>
        <w:t>2</w:t>
      </w:r>
      <w:r>
        <w:rPr>
          <w:rFonts w:ascii="宋体" w:hAnsi="Cambria Math" w:eastAsia="宋体" w:cs="Cambria Math"/>
          <w:color w:val="auto"/>
          <w:kern w:val="2"/>
          <w:sz w:val="24"/>
          <w:szCs w:val="20"/>
          <w:highlight w:val="none"/>
          <w:lang w:val="en-US" w:eastAsia="zh-CN" w:bidi="ar-SA"/>
        </w:rPr>
        <w:t>)</w:t>
      </w:r>
      <w:r>
        <w:rPr>
          <w:rFonts w:hint="eastAsia" w:ascii="宋体"/>
          <w:color w:val="auto"/>
          <w:highlight w:val="none"/>
        </w:rPr>
        <w:t>E-mail</w:t>
      </w:r>
    </w:p>
    <w:p w14:paraId="7A8143D7">
      <w:pPr>
        <w:numPr>
          <w:ilvl w:val="0"/>
          <w:numId w:val="0"/>
        </w:numPr>
        <w:spacing w:line="360" w:lineRule="auto"/>
        <w:ind w:left="0" w:firstLine="480" w:firstLineChars="200"/>
        <w:rPr>
          <w:rFonts w:hint="eastAsia" w:ascii="Cambria Math"/>
          <w:color w:val="auto"/>
          <w:highlight w:val="none"/>
        </w:rPr>
      </w:pPr>
      <w:r>
        <w:rPr>
          <w:rFonts w:hint="eastAsia" w:ascii="Cambria Math"/>
          <w:color w:val="auto"/>
          <w:highlight w:val="none"/>
        </w:rPr>
        <w:t>客户建议、意见及技术支持同样可以通过</w:t>
      </w:r>
      <w:r>
        <w:rPr>
          <w:rFonts w:hint="eastAsia" w:ascii="Cambria Math"/>
          <w:color w:val="auto"/>
          <w:highlight w:val="none"/>
          <w:u w:val="none"/>
        </w:rPr>
        <w:t xml:space="preserve">    XXXXX公司（乙方）  </w:t>
      </w:r>
      <w:r>
        <w:rPr>
          <w:rFonts w:hint="eastAsia" w:ascii="Cambria Math"/>
          <w:color w:val="auto"/>
          <w:highlight w:val="none"/>
        </w:rPr>
        <w:t>提供的服务支持电子信箱获得响应，我们将做出详细、全面的服务解答，在半天内给予E-mail回复。</w:t>
      </w:r>
    </w:p>
    <w:p w14:paraId="65D79AF4">
      <w:pPr>
        <w:numPr>
          <w:ilvl w:val="0"/>
          <w:numId w:val="0"/>
        </w:numPr>
        <w:spacing w:line="360" w:lineRule="auto"/>
        <w:ind w:left="420" w:hanging="420" w:firstLineChars="0"/>
        <w:rPr>
          <w:rFonts w:ascii="宋体"/>
          <w:color w:val="auto"/>
          <w:highlight w:val="none"/>
        </w:rPr>
      </w:pPr>
      <w:r>
        <w:rPr>
          <w:rFonts w:hint="eastAsia" w:ascii="宋体" w:cs="Cambria Math"/>
          <w:color w:val="auto"/>
          <w:kern w:val="2"/>
          <w:sz w:val="24"/>
          <w:szCs w:val="20"/>
          <w:highlight w:val="none"/>
          <w:lang w:val="en-US" w:eastAsia="zh-CN" w:bidi="ar-SA"/>
        </w:rPr>
        <w:t>3</w:t>
      </w:r>
      <w:r>
        <w:rPr>
          <w:rFonts w:ascii="宋体" w:hAnsi="Cambria Math" w:eastAsia="宋体" w:cs="Cambria Math"/>
          <w:color w:val="auto"/>
          <w:kern w:val="2"/>
          <w:sz w:val="24"/>
          <w:szCs w:val="20"/>
          <w:highlight w:val="none"/>
          <w:lang w:val="en-US" w:eastAsia="zh-CN" w:bidi="ar-SA"/>
        </w:rPr>
        <w:t>)</w:t>
      </w:r>
      <w:r>
        <w:rPr>
          <w:rFonts w:hint="eastAsia" w:ascii="宋体"/>
          <w:color w:val="auto"/>
          <w:highlight w:val="none"/>
        </w:rPr>
        <w:t>远程登录</w:t>
      </w:r>
    </w:p>
    <w:p w14:paraId="4E2C2D79">
      <w:pPr>
        <w:numPr>
          <w:ilvl w:val="0"/>
          <w:numId w:val="0"/>
        </w:numPr>
        <w:spacing w:line="360" w:lineRule="auto"/>
        <w:ind w:left="0" w:firstLine="480" w:firstLineChars="200"/>
        <w:rPr>
          <w:rFonts w:hint="eastAsia" w:ascii="Cambria Math"/>
          <w:color w:val="auto"/>
          <w:highlight w:val="none"/>
        </w:rPr>
      </w:pPr>
      <w:r>
        <w:rPr>
          <w:rFonts w:hint="eastAsia" w:ascii="Cambria Math"/>
          <w:color w:val="auto"/>
          <w:highlight w:val="none"/>
        </w:rPr>
        <w:t>对客户所遇到技术问题可以在客户条件许可的情况下进行远程访问排除故障，以方便客户能够及时解决疑难杂症。</w:t>
      </w:r>
    </w:p>
    <w:p w14:paraId="10E96C2E">
      <w:pPr>
        <w:numPr>
          <w:ilvl w:val="0"/>
          <w:numId w:val="0"/>
        </w:numPr>
        <w:spacing w:line="360" w:lineRule="auto"/>
        <w:ind w:left="420" w:hanging="420" w:firstLineChars="0"/>
        <w:rPr>
          <w:rFonts w:ascii="宋体"/>
          <w:color w:val="auto"/>
          <w:highlight w:val="none"/>
        </w:rPr>
      </w:pPr>
      <w:r>
        <w:rPr>
          <w:rFonts w:hint="eastAsia" w:ascii="宋体" w:cs="Cambria Math"/>
          <w:color w:val="auto"/>
          <w:kern w:val="2"/>
          <w:sz w:val="24"/>
          <w:szCs w:val="20"/>
          <w:highlight w:val="none"/>
          <w:lang w:val="en-US" w:eastAsia="zh-CN" w:bidi="ar-SA"/>
        </w:rPr>
        <w:t>4</w:t>
      </w:r>
      <w:r>
        <w:rPr>
          <w:rFonts w:ascii="宋体" w:hAnsi="Cambria Math" w:eastAsia="宋体" w:cs="Cambria Math"/>
          <w:color w:val="auto"/>
          <w:kern w:val="2"/>
          <w:sz w:val="24"/>
          <w:szCs w:val="20"/>
          <w:highlight w:val="none"/>
          <w:lang w:val="en-US" w:eastAsia="zh-CN" w:bidi="ar-SA"/>
        </w:rPr>
        <w:t>)</w:t>
      </w:r>
      <w:r>
        <w:rPr>
          <w:rFonts w:hint="eastAsia" w:ascii="宋体"/>
          <w:color w:val="auto"/>
          <w:highlight w:val="none"/>
        </w:rPr>
        <w:t>现场支持</w:t>
      </w:r>
    </w:p>
    <w:p w14:paraId="0B3632D5">
      <w:pPr>
        <w:numPr>
          <w:ilvl w:val="0"/>
          <w:numId w:val="0"/>
        </w:numPr>
        <w:spacing w:line="360" w:lineRule="auto"/>
        <w:ind w:left="0" w:firstLine="480" w:firstLineChars="200"/>
        <w:rPr>
          <w:rFonts w:hint="eastAsia" w:ascii="Cambria Math"/>
          <w:color w:val="auto"/>
          <w:highlight w:val="none"/>
        </w:rPr>
      </w:pPr>
      <w:r>
        <w:rPr>
          <w:rFonts w:hint="eastAsia" w:ascii="Cambria Math"/>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166A5807">
      <w:pPr>
        <w:numPr>
          <w:ilvl w:val="0"/>
          <w:numId w:val="0"/>
        </w:numPr>
        <w:spacing w:line="360" w:lineRule="auto"/>
        <w:ind w:left="420" w:hanging="420" w:firstLineChars="0"/>
        <w:rPr>
          <w:rFonts w:ascii="宋体"/>
          <w:color w:val="auto"/>
          <w:highlight w:val="none"/>
        </w:rPr>
      </w:pPr>
      <w:r>
        <w:rPr>
          <w:rFonts w:hint="eastAsia" w:ascii="宋体" w:cs="Cambria Math"/>
          <w:color w:val="auto"/>
          <w:kern w:val="2"/>
          <w:sz w:val="24"/>
          <w:szCs w:val="20"/>
          <w:highlight w:val="none"/>
          <w:lang w:val="en-US" w:eastAsia="zh-CN" w:bidi="ar-SA"/>
        </w:rPr>
        <w:t>5</w:t>
      </w:r>
      <w:r>
        <w:rPr>
          <w:rFonts w:ascii="宋体" w:hAnsi="Cambria Math" w:eastAsia="宋体" w:cs="Cambria Math"/>
          <w:color w:val="auto"/>
          <w:kern w:val="2"/>
          <w:sz w:val="24"/>
          <w:szCs w:val="20"/>
          <w:highlight w:val="none"/>
          <w:lang w:val="en-US" w:eastAsia="zh-CN" w:bidi="ar-SA"/>
        </w:rPr>
        <w:t>)</w:t>
      </w:r>
      <w:r>
        <w:rPr>
          <w:rFonts w:hint="eastAsia" w:ascii="宋体"/>
          <w:color w:val="auto"/>
          <w:highlight w:val="none"/>
        </w:rPr>
        <w:t>运行日志定期检查</w:t>
      </w:r>
    </w:p>
    <w:p w14:paraId="640FDDD2">
      <w:pPr>
        <w:numPr>
          <w:ilvl w:val="0"/>
          <w:numId w:val="0"/>
        </w:numPr>
        <w:spacing w:line="360" w:lineRule="auto"/>
        <w:ind w:left="0" w:firstLine="480" w:firstLineChars="200"/>
        <w:rPr>
          <w:rFonts w:hint="eastAsia" w:ascii="Cambria Math"/>
          <w:color w:val="auto"/>
          <w:highlight w:val="none"/>
        </w:rPr>
      </w:pPr>
      <w:r>
        <w:rPr>
          <w:rFonts w:hint="eastAsia" w:ascii="Cambria Math"/>
          <w:color w:val="auto"/>
          <w:highlight w:val="none"/>
        </w:rPr>
        <w:t>最好的服务方式是提前发现问题，将问题解决于发生前，在</w:t>
      </w:r>
      <w:r>
        <w:rPr>
          <w:rFonts w:hint="eastAsia" w:ascii="Cambria Math"/>
          <w:color w:val="auto"/>
          <w:kern w:val="2"/>
          <w:highlight w:val="none"/>
        </w:rPr>
        <w:t>乙方</w:t>
      </w:r>
      <w:r>
        <w:rPr>
          <w:rFonts w:hint="eastAsia" w:ascii="Cambria Math"/>
          <w:color w:val="auto"/>
          <w:highlight w:val="none"/>
        </w:rPr>
        <w:t>实施的系统中，提供了相关的运行日志，通过和客户的协商，通过客户定期提供的运行日志，可实现定期的日志检查，可以提前发现系统的运行问题，以起到防患于未然的效果。</w:t>
      </w:r>
    </w:p>
    <w:p w14:paraId="2B5B19D8">
      <w:pPr>
        <w:numPr>
          <w:ilvl w:val="0"/>
          <w:numId w:val="0"/>
        </w:numPr>
        <w:spacing w:line="360" w:lineRule="auto"/>
        <w:ind w:left="420" w:hanging="420" w:firstLineChars="0"/>
        <w:rPr>
          <w:rFonts w:ascii="宋体"/>
          <w:color w:val="auto"/>
          <w:highlight w:val="none"/>
        </w:rPr>
      </w:pPr>
      <w:r>
        <w:rPr>
          <w:rFonts w:hint="eastAsia" w:ascii="宋体" w:cs="Cambria Math"/>
          <w:color w:val="auto"/>
          <w:kern w:val="2"/>
          <w:sz w:val="24"/>
          <w:szCs w:val="20"/>
          <w:highlight w:val="none"/>
          <w:lang w:val="en-US" w:eastAsia="zh-CN" w:bidi="ar-SA"/>
        </w:rPr>
        <w:t>6</w:t>
      </w:r>
      <w:r>
        <w:rPr>
          <w:rFonts w:ascii="宋体" w:hAnsi="Cambria Math" w:eastAsia="宋体" w:cs="Cambria Math"/>
          <w:color w:val="auto"/>
          <w:kern w:val="2"/>
          <w:sz w:val="24"/>
          <w:szCs w:val="20"/>
          <w:highlight w:val="none"/>
          <w:lang w:val="en-US" w:eastAsia="zh-CN" w:bidi="ar-SA"/>
        </w:rPr>
        <w:t>)</w:t>
      </w:r>
      <w:r>
        <w:rPr>
          <w:rFonts w:hint="eastAsia" w:ascii="宋体"/>
          <w:color w:val="auto"/>
          <w:highlight w:val="none"/>
        </w:rPr>
        <w:t>故障处理流程</w:t>
      </w:r>
    </w:p>
    <w:p w14:paraId="73263DD9">
      <w:pPr>
        <w:numPr>
          <w:ilvl w:val="0"/>
          <w:numId w:val="0"/>
        </w:numPr>
        <w:spacing w:line="360" w:lineRule="auto"/>
        <w:ind w:left="0" w:firstLine="480"/>
        <w:rPr>
          <w:rFonts w:hint="eastAsia" w:ascii="Cambria Math"/>
          <w:color w:val="auto"/>
          <w:highlight w:val="none"/>
        </w:rPr>
        <w:sectPr>
          <w:footerReference r:id="rId6" w:type="default"/>
          <w:pgSz w:w="11906" w:h="16838"/>
          <w:pgMar w:top="1440" w:right="1797" w:bottom="1440" w:left="1797" w:header="851" w:footer="992" w:gutter="0"/>
          <w:pgNumType w:fmt="decimal"/>
          <w:cols w:space="720" w:num="1"/>
          <w:docGrid w:type="lines" w:linePitch="326" w:charSpace="3252"/>
        </w:sectPr>
      </w:pPr>
      <w:r>
        <w:rPr>
          <w:rFonts w:hint="eastAsia" w:ascii="Cambria Math"/>
          <w:color w:val="auto"/>
          <w:highlight w:val="none"/>
        </w:rPr>
        <w:t>通过现象定位错误原因，编写处理说明书（包含处理完成时间）。</w:t>
      </w:r>
    </w:p>
    <w:p w14:paraId="573E4AD1">
      <w:pPr>
        <w:pStyle w:val="2"/>
        <w:rPr>
          <w:rStyle w:val="40"/>
          <w:color w:val="auto"/>
          <w:sz w:val="30"/>
          <w:highlight w:val="none"/>
        </w:rPr>
      </w:pPr>
      <w:bookmarkStart w:id="584" w:name="_Toc12353"/>
      <w:bookmarkStart w:id="585" w:name="_Toc13450"/>
      <w:bookmarkStart w:id="586" w:name="_Toc32001"/>
      <w:bookmarkStart w:id="587" w:name="_Toc63757485"/>
      <w:bookmarkStart w:id="588" w:name="_Toc31940"/>
      <w:bookmarkStart w:id="589" w:name="_Toc26699"/>
      <w:r>
        <w:rPr>
          <w:rStyle w:val="40"/>
          <w:rFonts w:hint="eastAsia"/>
          <w:color w:val="auto"/>
          <w:sz w:val="30"/>
          <w:highlight w:val="none"/>
        </w:rPr>
        <w:t>附件五：服务水平协议（SLA）</w:t>
      </w:r>
      <w:bookmarkEnd w:id="584"/>
      <w:bookmarkEnd w:id="585"/>
      <w:bookmarkEnd w:id="586"/>
      <w:bookmarkEnd w:id="587"/>
      <w:bookmarkEnd w:id="588"/>
      <w:bookmarkEnd w:id="589"/>
    </w:p>
    <w:p w14:paraId="404B813B">
      <w:pPr>
        <w:spacing w:line="360" w:lineRule="auto"/>
        <w:rPr>
          <w:rFonts w:ascii="宋体"/>
          <w:color w:val="auto"/>
          <w:kern w:val="0"/>
          <w:sz w:val="21"/>
          <w:szCs w:val="24"/>
          <w:highlight w:val="none"/>
        </w:rPr>
      </w:pPr>
    </w:p>
    <w:p w14:paraId="7DE3B77C">
      <w:pPr>
        <w:rPr>
          <w:rFonts w:ascii="宋体"/>
          <w:b/>
          <w:bCs/>
          <w:color w:val="auto"/>
          <w:szCs w:val="24"/>
          <w:highlight w:val="none"/>
        </w:rPr>
      </w:pPr>
      <w:bookmarkStart w:id="590" w:name="_Toc254884639"/>
      <w:r>
        <w:rPr>
          <w:rFonts w:hint="eastAsia" w:ascii="宋体"/>
          <w:b/>
          <w:bCs/>
          <w:color w:val="auto"/>
          <w:kern w:val="32"/>
          <w:szCs w:val="24"/>
          <w:highlight w:val="none"/>
        </w:rPr>
        <w:t>1. 目标</w:t>
      </w:r>
      <w:bookmarkEnd w:id="590"/>
    </w:p>
    <w:p w14:paraId="496A8C9F">
      <w:pPr>
        <w:spacing w:line="360" w:lineRule="auto"/>
        <w:rPr>
          <w:rFonts w:ascii="宋体"/>
          <w:color w:val="auto"/>
          <w:szCs w:val="24"/>
          <w:highlight w:val="none"/>
        </w:rPr>
      </w:pPr>
      <w:r>
        <w:rPr>
          <w:rFonts w:hint="eastAsia" w:ascii="宋体"/>
          <w:color w:val="auto"/>
          <w:szCs w:val="24"/>
          <w:highlight w:val="none"/>
        </w:rPr>
        <w:t>本服务水平协议（SLA）的目标是为了清晰地定义由xxxxxx公司（乙方）在本项目中为重庆三峡银行（甲方）提供的服务水平，本SLA主要：</w:t>
      </w:r>
    </w:p>
    <w:p w14:paraId="5D4E5E80">
      <w:pPr>
        <w:widowControl/>
        <w:numPr>
          <w:ilvl w:val="0"/>
          <w:numId w:val="2"/>
        </w:numPr>
        <w:spacing w:line="360" w:lineRule="auto"/>
        <w:ind w:firstLineChars="0"/>
        <w:rPr>
          <w:rFonts w:ascii="宋体"/>
          <w:color w:val="auto"/>
          <w:szCs w:val="24"/>
          <w:highlight w:val="none"/>
        </w:rPr>
      </w:pPr>
      <w:r>
        <w:rPr>
          <w:rFonts w:hint="eastAsia" w:ascii="宋体"/>
          <w:color w:val="auto"/>
          <w:szCs w:val="24"/>
          <w:highlight w:val="none"/>
        </w:rPr>
        <w:t>明确甲方对外包乙方所提供服务水平的期望</w:t>
      </w:r>
    </w:p>
    <w:p w14:paraId="6B00DBFF">
      <w:pPr>
        <w:widowControl/>
        <w:numPr>
          <w:ilvl w:val="0"/>
          <w:numId w:val="2"/>
        </w:numPr>
        <w:spacing w:line="360" w:lineRule="auto"/>
        <w:ind w:firstLineChars="0"/>
        <w:rPr>
          <w:rFonts w:ascii="宋体"/>
          <w:color w:val="auto"/>
          <w:szCs w:val="24"/>
          <w:highlight w:val="none"/>
        </w:rPr>
      </w:pPr>
      <w:r>
        <w:rPr>
          <w:rFonts w:hint="eastAsia" w:ascii="宋体"/>
          <w:color w:val="auto"/>
          <w:szCs w:val="24"/>
          <w:highlight w:val="none"/>
        </w:rPr>
        <w:t>规范和加强甲方对乙方所提供服务水平的控制</w:t>
      </w:r>
    </w:p>
    <w:p w14:paraId="3BB829F4">
      <w:pPr>
        <w:spacing w:line="360" w:lineRule="auto"/>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1E1622A5">
      <w:pPr>
        <w:rPr>
          <w:rFonts w:ascii="宋体"/>
          <w:b/>
          <w:bCs/>
          <w:color w:val="auto"/>
          <w:kern w:val="32"/>
          <w:szCs w:val="24"/>
          <w:highlight w:val="none"/>
        </w:rPr>
      </w:pPr>
      <w:bookmarkStart w:id="591" w:name="_Toc254884640"/>
      <w:r>
        <w:rPr>
          <w:rFonts w:hint="eastAsia" w:ascii="宋体"/>
          <w:b/>
          <w:bCs/>
          <w:color w:val="auto"/>
          <w:kern w:val="32"/>
          <w:szCs w:val="24"/>
          <w:highlight w:val="none"/>
        </w:rPr>
        <w:t>2. 协议期限</w:t>
      </w:r>
      <w:bookmarkEnd w:id="591"/>
    </w:p>
    <w:p w14:paraId="1B386F1C">
      <w:pPr>
        <w:spacing w:line="360" w:lineRule="auto"/>
        <w:ind w:firstLine="424"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3E28DC08">
      <w:pPr>
        <w:rPr>
          <w:rFonts w:ascii="宋体"/>
          <w:b/>
          <w:bCs/>
          <w:color w:val="auto"/>
          <w:kern w:val="32"/>
          <w:szCs w:val="24"/>
          <w:highlight w:val="none"/>
        </w:rPr>
      </w:pPr>
      <w:bookmarkStart w:id="592" w:name="_Toc254884641"/>
      <w:r>
        <w:rPr>
          <w:rFonts w:hint="eastAsia" w:ascii="宋体"/>
          <w:b/>
          <w:bCs/>
          <w:color w:val="auto"/>
          <w:kern w:val="32"/>
          <w:szCs w:val="24"/>
          <w:highlight w:val="none"/>
        </w:rPr>
        <w:t>3. 双方职责</w:t>
      </w:r>
      <w:bookmarkEnd w:id="592"/>
    </w:p>
    <w:p w14:paraId="5F7A9ECE">
      <w:pPr>
        <w:rPr>
          <w:rFonts w:ascii="宋体"/>
          <w:b/>
          <w:bCs/>
          <w:color w:val="auto"/>
          <w:kern w:val="32"/>
          <w:szCs w:val="24"/>
          <w:highlight w:val="none"/>
        </w:rPr>
      </w:pPr>
      <w:bookmarkStart w:id="593" w:name="_Toc254884642"/>
      <w:r>
        <w:rPr>
          <w:rFonts w:hint="eastAsia" w:ascii="宋体"/>
          <w:b/>
          <w:bCs/>
          <w:color w:val="auto"/>
          <w:kern w:val="32"/>
          <w:szCs w:val="24"/>
          <w:highlight w:val="none"/>
        </w:rPr>
        <w:t>3.1乙方</w:t>
      </w:r>
      <w:bookmarkEnd w:id="593"/>
    </w:p>
    <w:p w14:paraId="53057322">
      <w:pPr>
        <w:spacing w:line="360" w:lineRule="auto"/>
        <w:rPr>
          <w:rFonts w:ascii="宋体"/>
          <w:color w:val="auto"/>
          <w:szCs w:val="24"/>
          <w:highlight w:val="none"/>
        </w:rPr>
      </w:pPr>
      <w:r>
        <w:rPr>
          <w:rFonts w:hint="eastAsia" w:ascii="宋体"/>
          <w:color w:val="auto"/>
          <w:szCs w:val="24"/>
          <w:highlight w:val="none"/>
        </w:rPr>
        <w:t>除本协议第7条描述的服务水平衡量和目标外，乙方还应：</w:t>
      </w:r>
    </w:p>
    <w:p w14:paraId="2A2C501F">
      <w:pPr>
        <w:widowControl/>
        <w:numPr>
          <w:ilvl w:val="0"/>
          <w:numId w:val="2"/>
        </w:numPr>
        <w:spacing w:line="360" w:lineRule="auto"/>
        <w:ind w:firstLineChars="0"/>
        <w:rPr>
          <w:rFonts w:ascii="宋体"/>
          <w:color w:val="auto"/>
          <w:szCs w:val="24"/>
          <w:highlight w:val="none"/>
        </w:rPr>
      </w:pPr>
      <w:r>
        <w:rPr>
          <w:rFonts w:hint="eastAsia" w:ascii="宋体"/>
          <w:color w:val="auto"/>
          <w:szCs w:val="24"/>
          <w:highlight w:val="none"/>
        </w:rPr>
        <w:t>尽快向甲方管理层汇报发现的问题；</w:t>
      </w:r>
    </w:p>
    <w:p w14:paraId="54770B6C">
      <w:pPr>
        <w:widowControl/>
        <w:numPr>
          <w:ilvl w:val="0"/>
          <w:numId w:val="2"/>
        </w:numPr>
        <w:spacing w:line="360" w:lineRule="auto"/>
        <w:ind w:firstLineChars="0"/>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045330D4">
      <w:pPr>
        <w:widowControl/>
        <w:numPr>
          <w:ilvl w:val="0"/>
          <w:numId w:val="3"/>
        </w:numPr>
        <w:spacing w:line="360" w:lineRule="auto"/>
        <w:ind w:firstLineChars="0"/>
        <w:rPr>
          <w:rFonts w:ascii="宋体"/>
          <w:color w:val="auto"/>
          <w:szCs w:val="24"/>
          <w:highlight w:val="none"/>
        </w:rPr>
      </w:pPr>
      <w:r>
        <w:rPr>
          <w:rFonts w:hint="eastAsia" w:ascii="宋体"/>
          <w:color w:val="auto"/>
          <w:szCs w:val="24"/>
          <w:highlight w:val="none"/>
        </w:rPr>
        <w:t>组织架构变更</w:t>
      </w:r>
    </w:p>
    <w:p w14:paraId="6285C5AD">
      <w:pPr>
        <w:widowControl/>
        <w:numPr>
          <w:ilvl w:val="0"/>
          <w:numId w:val="3"/>
        </w:numPr>
        <w:spacing w:line="360" w:lineRule="auto"/>
        <w:ind w:firstLineChars="0"/>
        <w:rPr>
          <w:rFonts w:ascii="宋体"/>
          <w:color w:val="auto"/>
          <w:szCs w:val="24"/>
          <w:highlight w:val="none"/>
        </w:rPr>
      </w:pPr>
      <w:r>
        <w:rPr>
          <w:rFonts w:hint="eastAsia" w:ascii="宋体"/>
          <w:color w:val="auto"/>
          <w:szCs w:val="24"/>
          <w:highlight w:val="none"/>
        </w:rPr>
        <w:t>技术变更</w:t>
      </w:r>
    </w:p>
    <w:p w14:paraId="5B24CC76">
      <w:pPr>
        <w:widowControl/>
        <w:numPr>
          <w:ilvl w:val="0"/>
          <w:numId w:val="3"/>
        </w:numPr>
        <w:spacing w:line="360" w:lineRule="auto"/>
        <w:ind w:firstLineChars="0"/>
        <w:rPr>
          <w:rFonts w:ascii="宋体"/>
          <w:color w:val="auto"/>
          <w:szCs w:val="24"/>
          <w:highlight w:val="none"/>
        </w:rPr>
      </w:pPr>
      <w:r>
        <w:rPr>
          <w:rFonts w:hint="eastAsia" w:ascii="宋体"/>
          <w:color w:val="auto"/>
          <w:szCs w:val="24"/>
          <w:highlight w:val="none"/>
        </w:rPr>
        <w:t>职能变更</w:t>
      </w:r>
    </w:p>
    <w:p w14:paraId="267C7AB5">
      <w:pPr>
        <w:widowControl/>
        <w:numPr>
          <w:ilvl w:val="0"/>
          <w:numId w:val="3"/>
        </w:numPr>
        <w:spacing w:line="360" w:lineRule="auto"/>
        <w:ind w:firstLineChars="0"/>
        <w:rPr>
          <w:rFonts w:ascii="宋体"/>
          <w:color w:val="auto"/>
          <w:szCs w:val="24"/>
          <w:highlight w:val="none"/>
        </w:rPr>
      </w:pPr>
      <w:r>
        <w:rPr>
          <w:rFonts w:hint="eastAsia" w:ascii="宋体"/>
          <w:color w:val="auto"/>
          <w:szCs w:val="24"/>
          <w:highlight w:val="none"/>
        </w:rPr>
        <w:t>其他可能影响对甲方服务的突发事件</w:t>
      </w:r>
    </w:p>
    <w:p w14:paraId="4EE364DA">
      <w:pPr>
        <w:widowControl/>
        <w:numPr>
          <w:ilvl w:val="0"/>
          <w:numId w:val="2"/>
        </w:numPr>
        <w:spacing w:line="360" w:lineRule="auto"/>
        <w:ind w:left="709" w:hanging="229" w:firstLineChars="0"/>
        <w:rPr>
          <w:rFonts w:ascii="宋体"/>
          <w:color w:val="auto"/>
          <w:szCs w:val="24"/>
          <w:highlight w:val="none"/>
        </w:rPr>
      </w:pPr>
      <w:r>
        <w:rPr>
          <w:rFonts w:hint="eastAsia" w:ascii="宋体"/>
          <w:color w:val="auto"/>
          <w:szCs w:val="24"/>
          <w:highlight w:val="none"/>
        </w:rPr>
        <w:t xml:space="preserve"> 协助甲方及时解决生产事件。当问题产生时，应尽快采取适当的措施识别并修复问题。</w:t>
      </w:r>
    </w:p>
    <w:p w14:paraId="33CF76EF">
      <w:pPr>
        <w:rPr>
          <w:rFonts w:ascii="宋体"/>
          <w:b/>
          <w:bCs/>
          <w:color w:val="auto"/>
          <w:kern w:val="32"/>
          <w:szCs w:val="24"/>
          <w:highlight w:val="none"/>
        </w:rPr>
      </w:pPr>
      <w:r>
        <w:rPr>
          <w:rFonts w:hint="eastAsia" w:ascii="宋体"/>
          <w:b/>
          <w:bCs/>
          <w:color w:val="auto"/>
          <w:kern w:val="32"/>
          <w:szCs w:val="24"/>
          <w:highlight w:val="none"/>
        </w:rPr>
        <w:t>3.2甲方</w:t>
      </w:r>
    </w:p>
    <w:p w14:paraId="094C711A">
      <w:pPr>
        <w:widowControl/>
        <w:numPr>
          <w:ilvl w:val="0"/>
          <w:numId w:val="2"/>
        </w:numPr>
        <w:spacing w:line="360" w:lineRule="auto"/>
        <w:ind w:left="709" w:hanging="229" w:firstLineChars="0"/>
        <w:rPr>
          <w:rFonts w:ascii="宋体"/>
          <w:color w:val="auto"/>
          <w:szCs w:val="24"/>
          <w:highlight w:val="none"/>
        </w:rPr>
      </w:pPr>
      <w:r>
        <w:rPr>
          <w:rFonts w:hint="eastAsia" w:ascii="宋体"/>
          <w:color w:val="auto"/>
          <w:szCs w:val="24"/>
          <w:highlight w:val="none"/>
        </w:rPr>
        <w:t>甲方将尽快将问题汇报给乙方管理层；</w:t>
      </w:r>
    </w:p>
    <w:p w14:paraId="36B19C31">
      <w:pPr>
        <w:widowControl/>
        <w:numPr>
          <w:ilvl w:val="0"/>
          <w:numId w:val="2"/>
        </w:numPr>
        <w:spacing w:line="360" w:lineRule="auto"/>
        <w:ind w:left="709" w:hanging="229" w:firstLineChars="0"/>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7812FF28">
      <w:pPr>
        <w:widowControl/>
        <w:numPr>
          <w:ilvl w:val="0"/>
          <w:numId w:val="3"/>
        </w:numPr>
        <w:spacing w:line="360" w:lineRule="auto"/>
        <w:ind w:firstLineChars="0"/>
        <w:rPr>
          <w:rFonts w:ascii="宋体"/>
          <w:color w:val="auto"/>
          <w:szCs w:val="24"/>
          <w:highlight w:val="none"/>
        </w:rPr>
      </w:pPr>
      <w:r>
        <w:rPr>
          <w:rFonts w:hint="eastAsia" w:ascii="宋体"/>
          <w:color w:val="auto"/>
          <w:szCs w:val="24"/>
          <w:highlight w:val="none"/>
        </w:rPr>
        <w:t>组织架构变更</w:t>
      </w:r>
    </w:p>
    <w:p w14:paraId="2F571290">
      <w:pPr>
        <w:widowControl/>
        <w:numPr>
          <w:ilvl w:val="0"/>
          <w:numId w:val="3"/>
        </w:numPr>
        <w:spacing w:line="360" w:lineRule="auto"/>
        <w:ind w:firstLineChars="0"/>
        <w:rPr>
          <w:rFonts w:ascii="宋体"/>
          <w:color w:val="auto"/>
          <w:szCs w:val="24"/>
          <w:highlight w:val="none"/>
        </w:rPr>
      </w:pPr>
      <w:r>
        <w:rPr>
          <w:rFonts w:hint="eastAsia" w:ascii="宋体"/>
          <w:color w:val="auto"/>
          <w:szCs w:val="24"/>
          <w:highlight w:val="none"/>
        </w:rPr>
        <w:t>技术变更</w:t>
      </w:r>
    </w:p>
    <w:p w14:paraId="1B617BAA">
      <w:pPr>
        <w:widowControl/>
        <w:numPr>
          <w:ilvl w:val="0"/>
          <w:numId w:val="3"/>
        </w:numPr>
        <w:spacing w:line="360" w:lineRule="auto"/>
        <w:ind w:firstLineChars="0"/>
        <w:rPr>
          <w:rFonts w:ascii="宋体"/>
          <w:color w:val="auto"/>
          <w:szCs w:val="24"/>
          <w:highlight w:val="none"/>
        </w:rPr>
      </w:pPr>
      <w:r>
        <w:rPr>
          <w:rFonts w:hint="eastAsia" w:ascii="宋体"/>
          <w:color w:val="auto"/>
          <w:szCs w:val="24"/>
          <w:highlight w:val="none"/>
        </w:rPr>
        <w:t>职能变更</w:t>
      </w:r>
    </w:p>
    <w:p w14:paraId="331B2FD3">
      <w:pPr>
        <w:rPr>
          <w:rFonts w:ascii="宋体"/>
          <w:b/>
          <w:bCs/>
          <w:color w:val="auto"/>
          <w:kern w:val="32"/>
          <w:szCs w:val="24"/>
          <w:highlight w:val="none"/>
        </w:rPr>
      </w:pPr>
      <w:bookmarkStart w:id="594" w:name="_Toc254884644"/>
      <w:r>
        <w:rPr>
          <w:rFonts w:hint="eastAsia" w:ascii="宋体"/>
          <w:b/>
          <w:bCs/>
          <w:color w:val="auto"/>
          <w:kern w:val="32"/>
          <w:szCs w:val="24"/>
          <w:highlight w:val="none"/>
        </w:rPr>
        <w:t>4. 服务内容</w:t>
      </w:r>
      <w:bookmarkEnd w:id="594"/>
    </w:p>
    <w:tbl>
      <w:tblPr>
        <w:tblStyle w:val="24"/>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10"/>
        <w:gridCol w:w="6014"/>
      </w:tblGrid>
      <w:tr w14:paraId="135F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l2br w:val="nil"/>
              <w:tr2bl w:val="nil"/>
            </w:tcBorders>
            <w:vAlign w:val="center"/>
          </w:tcPr>
          <w:p w14:paraId="50FC5C03">
            <w:pPr>
              <w:ind w:firstLine="0" w:firstLineChars="0"/>
              <w:rPr>
                <w:rFonts w:ascii="宋体"/>
                <w:color w:val="auto"/>
                <w:szCs w:val="24"/>
                <w:highlight w:val="none"/>
              </w:rPr>
            </w:pPr>
            <w:r>
              <w:rPr>
                <w:rFonts w:hint="eastAsia" w:ascii="宋体"/>
                <w:b/>
                <w:bCs/>
                <w:color w:val="auto"/>
                <w:kern w:val="32"/>
                <w:szCs w:val="24"/>
                <w:highlight w:val="none"/>
              </w:rPr>
              <w:t>4.1技术管理</w:t>
            </w:r>
          </w:p>
        </w:tc>
      </w:tr>
      <w:tr w14:paraId="4883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3D51BBA8">
            <w:pPr>
              <w:ind w:firstLine="0" w:firstLineChars="0"/>
              <w:rPr>
                <w:rFonts w:ascii="宋体"/>
                <w:color w:val="auto"/>
                <w:szCs w:val="24"/>
                <w:highlight w:val="none"/>
              </w:rPr>
            </w:pPr>
            <w:r>
              <w:rPr>
                <w:rFonts w:hint="eastAsia" w:ascii="宋体"/>
                <w:color w:val="auto"/>
                <w:szCs w:val="24"/>
                <w:highlight w:val="none"/>
              </w:rPr>
              <w:t>4.1.1</w:t>
            </w:r>
          </w:p>
        </w:tc>
        <w:tc>
          <w:tcPr>
            <w:tcW w:w="2022" w:type="dxa"/>
            <w:tcBorders>
              <w:tl2br w:val="nil"/>
              <w:tr2bl w:val="nil"/>
            </w:tcBorders>
            <w:vAlign w:val="center"/>
          </w:tcPr>
          <w:p w14:paraId="4CBA5018">
            <w:pPr>
              <w:ind w:firstLine="0" w:firstLineChars="0"/>
              <w:rPr>
                <w:rFonts w:ascii="宋体"/>
                <w:color w:val="auto"/>
                <w:szCs w:val="24"/>
                <w:highlight w:val="none"/>
              </w:rPr>
            </w:pPr>
            <w:r>
              <w:rPr>
                <w:rFonts w:hint="eastAsia" w:ascii="宋体"/>
                <w:color w:val="auto"/>
                <w:szCs w:val="24"/>
                <w:highlight w:val="none"/>
              </w:rPr>
              <w:t>项目执行控制</w:t>
            </w:r>
          </w:p>
        </w:tc>
        <w:tc>
          <w:tcPr>
            <w:tcW w:w="6059" w:type="dxa"/>
            <w:tcBorders>
              <w:tl2br w:val="nil"/>
              <w:tr2bl w:val="nil"/>
            </w:tcBorders>
            <w:vAlign w:val="center"/>
          </w:tcPr>
          <w:p w14:paraId="40933DF9">
            <w:pPr>
              <w:ind w:firstLine="0" w:firstLineChars="0"/>
              <w:rPr>
                <w:rFonts w:ascii="宋体"/>
                <w:color w:val="auto"/>
                <w:szCs w:val="24"/>
                <w:highlight w:val="none"/>
              </w:rPr>
            </w:pPr>
            <w:r>
              <w:rPr>
                <w:rFonts w:hint="eastAsia" w:ascii="宋体"/>
                <w:color w:val="auto"/>
                <w:szCs w:val="24"/>
                <w:highlight w:val="none"/>
              </w:rPr>
              <w:t>管理目标、沟通和范围</w:t>
            </w:r>
          </w:p>
        </w:tc>
      </w:tr>
      <w:tr w14:paraId="75B36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21988D75">
            <w:pPr>
              <w:ind w:firstLine="0" w:firstLineChars="0"/>
              <w:rPr>
                <w:rFonts w:ascii="宋体"/>
                <w:color w:val="auto"/>
                <w:szCs w:val="24"/>
                <w:highlight w:val="none"/>
              </w:rPr>
            </w:pPr>
            <w:r>
              <w:rPr>
                <w:rFonts w:hint="eastAsia" w:ascii="宋体"/>
                <w:color w:val="auto"/>
                <w:szCs w:val="24"/>
                <w:highlight w:val="none"/>
              </w:rPr>
              <w:t>4.1.2</w:t>
            </w:r>
          </w:p>
        </w:tc>
        <w:tc>
          <w:tcPr>
            <w:tcW w:w="2022" w:type="dxa"/>
            <w:tcBorders>
              <w:tl2br w:val="nil"/>
              <w:tr2bl w:val="nil"/>
            </w:tcBorders>
            <w:vAlign w:val="center"/>
          </w:tcPr>
          <w:p w14:paraId="0D7202C3">
            <w:pPr>
              <w:ind w:firstLine="0" w:firstLineChars="0"/>
              <w:rPr>
                <w:rFonts w:ascii="宋体"/>
                <w:color w:val="auto"/>
                <w:szCs w:val="24"/>
                <w:highlight w:val="none"/>
              </w:rPr>
            </w:pPr>
            <w:r>
              <w:rPr>
                <w:rFonts w:hint="eastAsia" w:ascii="宋体"/>
                <w:color w:val="auto"/>
                <w:szCs w:val="24"/>
                <w:highlight w:val="none"/>
              </w:rPr>
              <w:t>系统部署</w:t>
            </w:r>
          </w:p>
        </w:tc>
        <w:tc>
          <w:tcPr>
            <w:tcW w:w="6059" w:type="dxa"/>
            <w:tcBorders>
              <w:tl2br w:val="nil"/>
              <w:tr2bl w:val="nil"/>
            </w:tcBorders>
            <w:vAlign w:val="center"/>
          </w:tcPr>
          <w:p w14:paraId="673F1B1A">
            <w:pPr>
              <w:ind w:firstLine="0" w:firstLineChars="0"/>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30881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4D9D48FD">
            <w:pPr>
              <w:ind w:firstLine="0" w:firstLineChars="0"/>
              <w:rPr>
                <w:rFonts w:ascii="宋体"/>
                <w:color w:val="auto"/>
                <w:szCs w:val="24"/>
                <w:highlight w:val="none"/>
              </w:rPr>
            </w:pPr>
            <w:r>
              <w:rPr>
                <w:rFonts w:hint="eastAsia" w:ascii="宋体"/>
                <w:color w:val="auto"/>
                <w:szCs w:val="24"/>
                <w:highlight w:val="none"/>
              </w:rPr>
              <w:t>4.1.3</w:t>
            </w:r>
          </w:p>
        </w:tc>
        <w:tc>
          <w:tcPr>
            <w:tcW w:w="2022" w:type="dxa"/>
            <w:tcBorders>
              <w:tl2br w:val="nil"/>
              <w:tr2bl w:val="nil"/>
            </w:tcBorders>
            <w:vAlign w:val="center"/>
          </w:tcPr>
          <w:p w14:paraId="1110C079">
            <w:pPr>
              <w:ind w:firstLine="0" w:firstLineChars="0"/>
              <w:rPr>
                <w:rFonts w:ascii="宋体"/>
                <w:color w:val="auto"/>
                <w:szCs w:val="24"/>
                <w:highlight w:val="none"/>
              </w:rPr>
            </w:pPr>
            <w:r>
              <w:rPr>
                <w:rFonts w:hint="eastAsia" w:ascii="宋体"/>
                <w:color w:val="auto"/>
                <w:szCs w:val="24"/>
                <w:highlight w:val="none"/>
              </w:rPr>
              <w:t>管理系统</w:t>
            </w:r>
          </w:p>
        </w:tc>
        <w:tc>
          <w:tcPr>
            <w:tcW w:w="6059" w:type="dxa"/>
            <w:tcBorders>
              <w:tl2br w:val="nil"/>
              <w:tr2bl w:val="nil"/>
            </w:tcBorders>
            <w:vAlign w:val="center"/>
          </w:tcPr>
          <w:p w14:paraId="5AE97D8A">
            <w:pPr>
              <w:ind w:firstLine="0" w:firstLineChars="0"/>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7E98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l2br w:val="nil"/>
              <w:tr2bl w:val="nil"/>
            </w:tcBorders>
            <w:vAlign w:val="center"/>
          </w:tcPr>
          <w:p w14:paraId="581C9E93">
            <w:pPr>
              <w:ind w:firstLine="0" w:firstLineChars="0"/>
              <w:rPr>
                <w:rFonts w:ascii="宋体"/>
                <w:b/>
                <w:color w:val="auto"/>
                <w:szCs w:val="24"/>
                <w:highlight w:val="none"/>
              </w:rPr>
            </w:pPr>
            <w:r>
              <w:rPr>
                <w:rFonts w:hint="eastAsia" w:ascii="宋体"/>
                <w:b/>
                <w:color w:val="auto"/>
                <w:szCs w:val="24"/>
                <w:highlight w:val="none"/>
              </w:rPr>
              <w:t>4.2系统处理</w:t>
            </w:r>
          </w:p>
        </w:tc>
      </w:tr>
      <w:tr w14:paraId="38C21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39793988">
            <w:pPr>
              <w:ind w:firstLine="0" w:firstLineChars="0"/>
              <w:rPr>
                <w:rFonts w:ascii="宋体"/>
                <w:color w:val="auto"/>
                <w:szCs w:val="24"/>
                <w:highlight w:val="none"/>
              </w:rPr>
            </w:pPr>
            <w:r>
              <w:rPr>
                <w:rFonts w:hint="eastAsia" w:ascii="宋体"/>
                <w:color w:val="auto"/>
                <w:szCs w:val="24"/>
                <w:highlight w:val="none"/>
              </w:rPr>
              <w:t>4.2.1</w:t>
            </w:r>
          </w:p>
        </w:tc>
        <w:tc>
          <w:tcPr>
            <w:tcW w:w="2022" w:type="dxa"/>
            <w:tcBorders>
              <w:tl2br w:val="nil"/>
              <w:tr2bl w:val="nil"/>
            </w:tcBorders>
            <w:vAlign w:val="center"/>
          </w:tcPr>
          <w:p w14:paraId="153EB008">
            <w:pPr>
              <w:ind w:firstLine="0" w:firstLineChars="0"/>
              <w:rPr>
                <w:rFonts w:ascii="宋体"/>
                <w:color w:val="auto"/>
                <w:szCs w:val="24"/>
                <w:highlight w:val="none"/>
              </w:rPr>
            </w:pPr>
            <w:r>
              <w:rPr>
                <w:rFonts w:hint="eastAsia" w:ascii="宋体"/>
                <w:color w:val="auto"/>
                <w:szCs w:val="24"/>
                <w:highlight w:val="none"/>
              </w:rPr>
              <w:t>备份</w:t>
            </w:r>
          </w:p>
        </w:tc>
        <w:tc>
          <w:tcPr>
            <w:tcW w:w="6059" w:type="dxa"/>
            <w:tcBorders>
              <w:tl2br w:val="nil"/>
              <w:tr2bl w:val="nil"/>
            </w:tcBorders>
            <w:vAlign w:val="center"/>
          </w:tcPr>
          <w:p w14:paraId="684001CA">
            <w:pPr>
              <w:ind w:firstLine="0" w:firstLineChars="0"/>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0075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36B8BCFE">
            <w:pPr>
              <w:ind w:firstLine="0" w:firstLineChars="0"/>
              <w:rPr>
                <w:rFonts w:ascii="宋体"/>
                <w:color w:val="auto"/>
                <w:szCs w:val="24"/>
                <w:highlight w:val="none"/>
              </w:rPr>
            </w:pPr>
            <w:r>
              <w:rPr>
                <w:rFonts w:hint="eastAsia" w:ascii="宋体"/>
                <w:color w:val="auto"/>
                <w:szCs w:val="24"/>
                <w:highlight w:val="none"/>
              </w:rPr>
              <w:t>4.2.2</w:t>
            </w:r>
          </w:p>
        </w:tc>
        <w:tc>
          <w:tcPr>
            <w:tcW w:w="2022" w:type="dxa"/>
            <w:tcBorders>
              <w:tl2br w:val="nil"/>
              <w:tr2bl w:val="nil"/>
            </w:tcBorders>
            <w:vAlign w:val="center"/>
          </w:tcPr>
          <w:p w14:paraId="615B7C5C">
            <w:pPr>
              <w:ind w:firstLine="0" w:firstLineChars="0"/>
              <w:rPr>
                <w:rFonts w:ascii="宋体"/>
                <w:color w:val="auto"/>
                <w:szCs w:val="24"/>
                <w:highlight w:val="none"/>
              </w:rPr>
            </w:pPr>
            <w:r>
              <w:rPr>
                <w:rFonts w:hint="eastAsia" w:ascii="宋体"/>
                <w:color w:val="auto"/>
                <w:szCs w:val="24"/>
                <w:highlight w:val="none"/>
              </w:rPr>
              <w:t>恢复</w:t>
            </w:r>
          </w:p>
        </w:tc>
        <w:tc>
          <w:tcPr>
            <w:tcW w:w="6059" w:type="dxa"/>
            <w:tcBorders>
              <w:tl2br w:val="nil"/>
              <w:tr2bl w:val="nil"/>
            </w:tcBorders>
            <w:vAlign w:val="center"/>
          </w:tcPr>
          <w:p w14:paraId="1F92D210">
            <w:pPr>
              <w:ind w:firstLine="0" w:firstLineChars="0"/>
              <w:rPr>
                <w:rFonts w:ascii="宋体"/>
                <w:color w:val="auto"/>
                <w:szCs w:val="24"/>
                <w:highlight w:val="none"/>
              </w:rPr>
            </w:pPr>
            <w:r>
              <w:rPr>
                <w:rFonts w:hint="eastAsia" w:ascii="宋体"/>
                <w:color w:val="auto"/>
                <w:szCs w:val="24"/>
                <w:highlight w:val="none"/>
              </w:rPr>
              <w:t>设计系统的恢复策略，完成其有效性验证</w:t>
            </w:r>
          </w:p>
        </w:tc>
      </w:tr>
      <w:tr w14:paraId="200E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l2br w:val="nil"/>
              <w:tr2bl w:val="nil"/>
            </w:tcBorders>
            <w:vAlign w:val="center"/>
          </w:tcPr>
          <w:p w14:paraId="2D0B3DC2">
            <w:pPr>
              <w:ind w:firstLine="0" w:firstLineChars="0"/>
              <w:rPr>
                <w:rFonts w:ascii="宋体"/>
                <w:b/>
                <w:color w:val="auto"/>
                <w:szCs w:val="24"/>
                <w:highlight w:val="none"/>
              </w:rPr>
            </w:pPr>
            <w:r>
              <w:rPr>
                <w:rFonts w:hint="eastAsia" w:ascii="宋体"/>
                <w:b/>
                <w:color w:val="auto"/>
                <w:szCs w:val="24"/>
                <w:highlight w:val="none"/>
              </w:rPr>
              <w:t>4.3软件开发及测试</w:t>
            </w:r>
          </w:p>
        </w:tc>
      </w:tr>
      <w:tr w14:paraId="34A7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77233391">
            <w:pPr>
              <w:ind w:firstLine="0" w:firstLineChars="0"/>
              <w:rPr>
                <w:rFonts w:ascii="宋体"/>
                <w:color w:val="auto"/>
                <w:szCs w:val="24"/>
                <w:highlight w:val="none"/>
              </w:rPr>
            </w:pPr>
            <w:r>
              <w:rPr>
                <w:rFonts w:hint="eastAsia" w:ascii="宋体"/>
                <w:color w:val="auto"/>
                <w:szCs w:val="24"/>
                <w:highlight w:val="none"/>
              </w:rPr>
              <w:t>4.3.1</w:t>
            </w:r>
          </w:p>
        </w:tc>
        <w:tc>
          <w:tcPr>
            <w:tcW w:w="2022" w:type="dxa"/>
            <w:tcBorders>
              <w:tl2br w:val="nil"/>
              <w:tr2bl w:val="nil"/>
            </w:tcBorders>
            <w:vAlign w:val="center"/>
          </w:tcPr>
          <w:p w14:paraId="035CE037">
            <w:pPr>
              <w:ind w:firstLine="0" w:firstLineChars="0"/>
              <w:rPr>
                <w:rFonts w:ascii="宋体"/>
                <w:color w:val="auto"/>
                <w:szCs w:val="24"/>
                <w:highlight w:val="none"/>
              </w:rPr>
            </w:pPr>
            <w:r>
              <w:rPr>
                <w:rFonts w:hint="eastAsia" w:ascii="宋体"/>
                <w:color w:val="auto"/>
                <w:szCs w:val="24"/>
                <w:highlight w:val="none"/>
              </w:rPr>
              <w:t>软件管理</w:t>
            </w:r>
          </w:p>
        </w:tc>
        <w:tc>
          <w:tcPr>
            <w:tcW w:w="6059" w:type="dxa"/>
            <w:tcBorders>
              <w:tl2br w:val="nil"/>
              <w:tr2bl w:val="nil"/>
            </w:tcBorders>
            <w:vAlign w:val="center"/>
          </w:tcPr>
          <w:p w14:paraId="0F2A72E8">
            <w:pPr>
              <w:ind w:firstLine="0" w:firstLineChars="0"/>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4AB6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19133B15">
            <w:pPr>
              <w:ind w:firstLine="0" w:firstLineChars="0"/>
              <w:rPr>
                <w:rFonts w:ascii="宋体"/>
                <w:color w:val="auto"/>
                <w:szCs w:val="24"/>
                <w:highlight w:val="none"/>
              </w:rPr>
            </w:pPr>
            <w:r>
              <w:rPr>
                <w:rFonts w:hint="eastAsia" w:ascii="宋体"/>
                <w:color w:val="auto"/>
                <w:szCs w:val="24"/>
                <w:highlight w:val="none"/>
              </w:rPr>
              <w:t>4.3.2</w:t>
            </w:r>
          </w:p>
        </w:tc>
        <w:tc>
          <w:tcPr>
            <w:tcW w:w="2022" w:type="dxa"/>
            <w:tcBorders>
              <w:tl2br w:val="nil"/>
              <w:tr2bl w:val="nil"/>
            </w:tcBorders>
            <w:vAlign w:val="center"/>
          </w:tcPr>
          <w:p w14:paraId="01D322AC">
            <w:pPr>
              <w:ind w:firstLine="0" w:firstLineChars="0"/>
              <w:rPr>
                <w:rFonts w:ascii="宋体"/>
                <w:color w:val="auto"/>
                <w:szCs w:val="24"/>
                <w:highlight w:val="none"/>
              </w:rPr>
            </w:pPr>
            <w:r>
              <w:rPr>
                <w:rFonts w:hint="eastAsia" w:ascii="宋体"/>
                <w:color w:val="auto"/>
                <w:szCs w:val="24"/>
                <w:highlight w:val="none"/>
              </w:rPr>
              <w:t>系统接口开发</w:t>
            </w:r>
          </w:p>
        </w:tc>
        <w:tc>
          <w:tcPr>
            <w:tcW w:w="6059" w:type="dxa"/>
            <w:tcBorders>
              <w:tl2br w:val="nil"/>
              <w:tr2bl w:val="nil"/>
            </w:tcBorders>
            <w:vAlign w:val="center"/>
          </w:tcPr>
          <w:p w14:paraId="2B0E05E3">
            <w:pPr>
              <w:ind w:firstLine="0" w:firstLineChars="0"/>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3946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71F30CA0">
            <w:pPr>
              <w:ind w:firstLine="0" w:firstLineChars="0"/>
              <w:rPr>
                <w:rFonts w:ascii="宋体"/>
                <w:color w:val="auto"/>
                <w:szCs w:val="24"/>
                <w:highlight w:val="none"/>
              </w:rPr>
            </w:pPr>
            <w:r>
              <w:rPr>
                <w:rFonts w:hint="eastAsia" w:ascii="宋体"/>
                <w:color w:val="auto"/>
                <w:szCs w:val="24"/>
                <w:highlight w:val="none"/>
              </w:rPr>
              <w:t>4.3.3</w:t>
            </w:r>
          </w:p>
        </w:tc>
        <w:tc>
          <w:tcPr>
            <w:tcW w:w="2022" w:type="dxa"/>
            <w:tcBorders>
              <w:tl2br w:val="nil"/>
              <w:tr2bl w:val="nil"/>
            </w:tcBorders>
            <w:vAlign w:val="center"/>
          </w:tcPr>
          <w:p w14:paraId="7CE4CD9D">
            <w:pPr>
              <w:ind w:firstLine="0" w:firstLineChars="0"/>
              <w:rPr>
                <w:rFonts w:ascii="宋体"/>
                <w:color w:val="auto"/>
                <w:szCs w:val="24"/>
                <w:highlight w:val="none"/>
              </w:rPr>
            </w:pPr>
            <w:r>
              <w:rPr>
                <w:rFonts w:hint="eastAsia" w:ascii="宋体"/>
                <w:color w:val="auto"/>
                <w:szCs w:val="24"/>
                <w:highlight w:val="none"/>
              </w:rPr>
              <w:t>代码开发和测试</w:t>
            </w:r>
          </w:p>
        </w:tc>
        <w:tc>
          <w:tcPr>
            <w:tcW w:w="6059" w:type="dxa"/>
            <w:tcBorders>
              <w:tl2br w:val="nil"/>
              <w:tr2bl w:val="nil"/>
            </w:tcBorders>
            <w:vAlign w:val="center"/>
          </w:tcPr>
          <w:p w14:paraId="51F7EE29">
            <w:pPr>
              <w:ind w:firstLine="0" w:firstLineChars="0"/>
              <w:rPr>
                <w:rFonts w:ascii="宋体"/>
                <w:color w:val="auto"/>
                <w:szCs w:val="24"/>
                <w:highlight w:val="none"/>
              </w:rPr>
            </w:pPr>
            <w:r>
              <w:rPr>
                <w:rFonts w:hint="eastAsia" w:ascii="宋体"/>
                <w:color w:val="auto"/>
                <w:szCs w:val="24"/>
                <w:highlight w:val="none"/>
              </w:rPr>
              <w:t>编写代码并且完成开发自测与系统测试</w:t>
            </w:r>
          </w:p>
        </w:tc>
      </w:tr>
      <w:tr w14:paraId="109B4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4612B169">
            <w:pPr>
              <w:ind w:firstLine="0" w:firstLineChars="0"/>
              <w:rPr>
                <w:rFonts w:ascii="宋体"/>
                <w:color w:val="auto"/>
                <w:szCs w:val="24"/>
                <w:highlight w:val="none"/>
              </w:rPr>
            </w:pPr>
            <w:r>
              <w:rPr>
                <w:rFonts w:hint="eastAsia" w:ascii="宋体"/>
                <w:color w:val="auto"/>
                <w:szCs w:val="24"/>
                <w:highlight w:val="none"/>
              </w:rPr>
              <w:t>4.3.4</w:t>
            </w:r>
          </w:p>
        </w:tc>
        <w:tc>
          <w:tcPr>
            <w:tcW w:w="2022" w:type="dxa"/>
            <w:tcBorders>
              <w:tl2br w:val="nil"/>
              <w:tr2bl w:val="nil"/>
            </w:tcBorders>
            <w:vAlign w:val="center"/>
          </w:tcPr>
          <w:p w14:paraId="440C1F3E">
            <w:pPr>
              <w:ind w:firstLine="0" w:firstLineChars="0"/>
              <w:rPr>
                <w:rFonts w:ascii="宋体"/>
                <w:color w:val="auto"/>
                <w:szCs w:val="24"/>
                <w:highlight w:val="none"/>
              </w:rPr>
            </w:pPr>
            <w:r>
              <w:rPr>
                <w:rFonts w:hint="eastAsia" w:ascii="宋体"/>
                <w:color w:val="auto"/>
                <w:szCs w:val="24"/>
                <w:highlight w:val="none"/>
              </w:rPr>
              <w:t>知识转移</w:t>
            </w:r>
          </w:p>
        </w:tc>
        <w:tc>
          <w:tcPr>
            <w:tcW w:w="6059" w:type="dxa"/>
            <w:tcBorders>
              <w:tl2br w:val="nil"/>
              <w:tr2bl w:val="nil"/>
            </w:tcBorders>
            <w:vAlign w:val="center"/>
          </w:tcPr>
          <w:p w14:paraId="474C37C4">
            <w:pPr>
              <w:ind w:firstLine="0" w:firstLineChars="0"/>
              <w:rPr>
                <w:rFonts w:ascii="宋体"/>
                <w:color w:val="auto"/>
                <w:szCs w:val="24"/>
                <w:highlight w:val="none"/>
              </w:rPr>
            </w:pPr>
            <w:r>
              <w:rPr>
                <w:rFonts w:hint="eastAsia" w:ascii="宋体"/>
                <w:color w:val="auto"/>
                <w:szCs w:val="24"/>
                <w:highlight w:val="none"/>
              </w:rPr>
              <w:t>负责现场培训</w:t>
            </w:r>
          </w:p>
        </w:tc>
      </w:tr>
      <w:tr w14:paraId="4310E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l2br w:val="nil"/>
              <w:tr2bl w:val="nil"/>
            </w:tcBorders>
            <w:vAlign w:val="center"/>
          </w:tcPr>
          <w:p w14:paraId="05F6252B">
            <w:pPr>
              <w:ind w:firstLine="0" w:firstLineChars="0"/>
              <w:rPr>
                <w:rFonts w:ascii="宋体"/>
                <w:b/>
                <w:color w:val="auto"/>
                <w:szCs w:val="24"/>
                <w:highlight w:val="none"/>
              </w:rPr>
            </w:pPr>
            <w:r>
              <w:rPr>
                <w:rFonts w:hint="eastAsia" w:ascii="宋体"/>
                <w:b/>
                <w:color w:val="auto"/>
                <w:szCs w:val="24"/>
                <w:highlight w:val="none"/>
              </w:rPr>
              <w:t>4.4 支持和维护</w:t>
            </w:r>
          </w:p>
        </w:tc>
      </w:tr>
      <w:tr w14:paraId="341BB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78FC8911">
            <w:pPr>
              <w:ind w:firstLine="0" w:firstLineChars="0"/>
              <w:rPr>
                <w:rFonts w:ascii="宋体"/>
                <w:color w:val="auto"/>
                <w:szCs w:val="24"/>
                <w:highlight w:val="none"/>
              </w:rPr>
            </w:pPr>
            <w:r>
              <w:rPr>
                <w:rFonts w:hint="eastAsia" w:ascii="宋体"/>
                <w:color w:val="auto"/>
                <w:szCs w:val="24"/>
                <w:highlight w:val="none"/>
              </w:rPr>
              <w:t>4.4.1</w:t>
            </w:r>
          </w:p>
        </w:tc>
        <w:tc>
          <w:tcPr>
            <w:tcW w:w="2022" w:type="dxa"/>
            <w:tcBorders>
              <w:tl2br w:val="nil"/>
              <w:tr2bl w:val="nil"/>
            </w:tcBorders>
            <w:vAlign w:val="center"/>
          </w:tcPr>
          <w:p w14:paraId="01FAF2EF">
            <w:pPr>
              <w:ind w:firstLine="0" w:firstLineChars="0"/>
              <w:rPr>
                <w:rFonts w:ascii="宋体"/>
                <w:color w:val="auto"/>
                <w:szCs w:val="24"/>
                <w:highlight w:val="none"/>
              </w:rPr>
            </w:pPr>
            <w:r>
              <w:rPr>
                <w:rFonts w:hint="eastAsia" w:ascii="宋体"/>
                <w:color w:val="auto"/>
                <w:szCs w:val="24"/>
                <w:highlight w:val="none"/>
              </w:rPr>
              <w:t>变更管理</w:t>
            </w:r>
          </w:p>
        </w:tc>
        <w:tc>
          <w:tcPr>
            <w:tcW w:w="6059" w:type="dxa"/>
            <w:tcBorders>
              <w:tl2br w:val="nil"/>
              <w:tr2bl w:val="nil"/>
            </w:tcBorders>
            <w:vAlign w:val="center"/>
          </w:tcPr>
          <w:p w14:paraId="3F1E8F69">
            <w:pPr>
              <w:ind w:firstLine="0" w:firstLineChars="0"/>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3574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3BA8C2B4">
            <w:pPr>
              <w:ind w:firstLine="0" w:firstLineChars="0"/>
              <w:rPr>
                <w:rFonts w:ascii="宋体"/>
                <w:color w:val="auto"/>
                <w:szCs w:val="24"/>
                <w:highlight w:val="none"/>
              </w:rPr>
            </w:pPr>
            <w:r>
              <w:rPr>
                <w:rFonts w:hint="eastAsia" w:ascii="宋体"/>
                <w:color w:val="auto"/>
                <w:szCs w:val="24"/>
                <w:highlight w:val="none"/>
              </w:rPr>
              <w:t>4.4.2</w:t>
            </w:r>
          </w:p>
        </w:tc>
        <w:tc>
          <w:tcPr>
            <w:tcW w:w="2022" w:type="dxa"/>
            <w:tcBorders>
              <w:tl2br w:val="nil"/>
              <w:tr2bl w:val="nil"/>
            </w:tcBorders>
            <w:vAlign w:val="center"/>
          </w:tcPr>
          <w:p w14:paraId="0581CEC5">
            <w:pPr>
              <w:ind w:firstLine="0" w:firstLineChars="0"/>
              <w:rPr>
                <w:rFonts w:ascii="宋体"/>
                <w:color w:val="auto"/>
                <w:szCs w:val="24"/>
                <w:highlight w:val="none"/>
              </w:rPr>
            </w:pPr>
            <w:r>
              <w:rPr>
                <w:rFonts w:hint="eastAsia" w:ascii="宋体"/>
                <w:color w:val="auto"/>
                <w:szCs w:val="24"/>
                <w:highlight w:val="none"/>
              </w:rPr>
              <w:t>系统监控</w:t>
            </w:r>
          </w:p>
        </w:tc>
        <w:tc>
          <w:tcPr>
            <w:tcW w:w="6059" w:type="dxa"/>
            <w:tcBorders>
              <w:tl2br w:val="nil"/>
              <w:tr2bl w:val="nil"/>
            </w:tcBorders>
            <w:vAlign w:val="center"/>
          </w:tcPr>
          <w:p w14:paraId="3F9FB001">
            <w:pPr>
              <w:ind w:firstLine="0" w:firstLineChars="0"/>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00CC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297FDC18">
            <w:pPr>
              <w:ind w:firstLine="0" w:firstLineChars="0"/>
              <w:rPr>
                <w:rFonts w:ascii="宋体"/>
                <w:color w:val="auto"/>
                <w:szCs w:val="24"/>
                <w:highlight w:val="none"/>
              </w:rPr>
            </w:pPr>
            <w:r>
              <w:rPr>
                <w:rFonts w:hint="eastAsia" w:ascii="宋体"/>
                <w:color w:val="auto"/>
                <w:szCs w:val="24"/>
                <w:highlight w:val="none"/>
              </w:rPr>
              <w:t>4.4.3</w:t>
            </w:r>
          </w:p>
        </w:tc>
        <w:tc>
          <w:tcPr>
            <w:tcW w:w="2022" w:type="dxa"/>
            <w:tcBorders>
              <w:tl2br w:val="nil"/>
              <w:tr2bl w:val="nil"/>
            </w:tcBorders>
            <w:vAlign w:val="center"/>
          </w:tcPr>
          <w:p w14:paraId="20C26132">
            <w:pPr>
              <w:ind w:firstLine="0" w:firstLineChars="0"/>
              <w:rPr>
                <w:rFonts w:ascii="宋体"/>
                <w:color w:val="auto"/>
                <w:szCs w:val="24"/>
                <w:highlight w:val="none"/>
              </w:rPr>
            </w:pPr>
            <w:r>
              <w:rPr>
                <w:rFonts w:hint="eastAsia" w:ascii="宋体"/>
                <w:color w:val="auto"/>
                <w:szCs w:val="24"/>
                <w:highlight w:val="none"/>
              </w:rPr>
              <w:t>发布管理</w:t>
            </w:r>
          </w:p>
        </w:tc>
        <w:tc>
          <w:tcPr>
            <w:tcW w:w="6059" w:type="dxa"/>
            <w:tcBorders>
              <w:tl2br w:val="nil"/>
              <w:tr2bl w:val="nil"/>
            </w:tcBorders>
            <w:vAlign w:val="center"/>
          </w:tcPr>
          <w:p w14:paraId="14FF59F0">
            <w:pPr>
              <w:ind w:firstLine="0" w:firstLineChars="0"/>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2F11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7478FE88">
            <w:pPr>
              <w:ind w:firstLine="0" w:firstLineChars="0"/>
              <w:rPr>
                <w:rFonts w:ascii="宋体"/>
                <w:color w:val="auto"/>
                <w:szCs w:val="24"/>
                <w:highlight w:val="none"/>
              </w:rPr>
            </w:pPr>
            <w:r>
              <w:rPr>
                <w:rFonts w:hint="eastAsia" w:ascii="宋体"/>
                <w:color w:val="auto"/>
                <w:szCs w:val="24"/>
                <w:highlight w:val="none"/>
              </w:rPr>
              <w:t>4.4.4</w:t>
            </w:r>
          </w:p>
        </w:tc>
        <w:tc>
          <w:tcPr>
            <w:tcW w:w="2022" w:type="dxa"/>
            <w:tcBorders>
              <w:tl2br w:val="nil"/>
              <w:tr2bl w:val="nil"/>
            </w:tcBorders>
            <w:vAlign w:val="center"/>
          </w:tcPr>
          <w:p w14:paraId="4CA2498B">
            <w:pPr>
              <w:ind w:firstLine="0" w:firstLineChars="0"/>
              <w:rPr>
                <w:rFonts w:ascii="宋体"/>
                <w:color w:val="auto"/>
                <w:szCs w:val="24"/>
                <w:highlight w:val="none"/>
              </w:rPr>
            </w:pPr>
            <w:r>
              <w:rPr>
                <w:rFonts w:hint="eastAsia" w:ascii="宋体"/>
                <w:color w:val="auto"/>
                <w:szCs w:val="24"/>
                <w:highlight w:val="none"/>
              </w:rPr>
              <w:t>安全管理</w:t>
            </w:r>
          </w:p>
        </w:tc>
        <w:tc>
          <w:tcPr>
            <w:tcW w:w="6059" w:type="dxa"/>
            <w:tcBorders>
              <w:tl2br w:val="nil"/>
              <w:tr2bl w:val="nil"/>
            </w:tcBorders>
            <w:vAlign w:val="center"/>
          </w:tcPr>
          <w:p w14:paraId="35064C7F">
            <w:pPr>
              <w:ind w:firstLine="0" w:firstLineChars="0"/>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07CF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l2br w:val="nil"/>
              <w:tr2bl w:val="nil"/>
            </w:tcBorders>
            <w:vAlign w:val="center"/>
          </w:tcPr>
          <w:p w14:paraId="046DDB1F">
            <w:pPr>
              <w:ind w:firstLine="0" w:firstLineChars="0"/>
              <w:rPr>
                <w:rFonts w:ascii="宋体"/>
                <w:b/>
                <w:color w:val="auto"/>
                <w:szCs w:val="24"/>
                <w:highlight w:val="none"/>
              </w:rPr>
            </w:pPr>
            <w:r>
              <w:rPr>
                <w:rFonts w:hint="eastAsia" w:ascii="宋体"/>
                <w:b/>
                <w:color w:val="auto"/>
                <w:szCs w:val="24"/>
                <w:highlight w:val="none"/>
              </w:rPr>
              <w:t>4.5 后续支持</w:t>
            </w:r>
          </w:p>
        </w:tc>
      </w:tr>
      <w:tr w14:paraId="1CAA2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228F2919">
            <w:pPr>
              <w:ind w:firstLine="0" w:firstLineChars="0"/>
              <w:rPr>
                <w:rFonts w:ascii="宋体"/>
                <w:color w:val="auto"/>
                <w:szCs w:val="24"/>
                <w:highlight w:val="none"/>
              </w:rPr>
            </w:pPr>
            <w:r>
              <w:rPr>
                <w:rFonts w:hint="eastAsia" w:ascii="宋体"/>
                <w:color w:val="auto"/>
                <w:szCs w:val="24"/>
                <w:highlight w:val="none"/>
              </w:rPr>
              <w:t>4.5.1</w:t>
            </w:r>
          </w:p>
        </w:tc>
        <w:tc>
          <w:tcPr>
            <w:tcW w:w="2022" w:type="dxa"/>
            <w:tcBorders>
              <w:tl2br w:val="nil"/>
              <w:tr2bl w:val="nil"/>
            </w:tcBorders>
            <w:vAlign w:val="center"/>
          </w:tcPr>
          <w:p w14:paraId="50C8BC71">
            <w:pPr>
              <w:ind w:firstLine="0" w:firstLineChars="0"/>
              <w:rPr>
                <w:rFonts w:ascii="宋体"/>
                <w:color w:val="auto"/>
                <w:szCs w:val="24"/>
                <w:highlight w:val="none"/>
              </w:rPr>
            </w:pPr>
            <w:r>
              <w:rPr>
                <w:rFonts w:hint="eastAsia" w:ascii="宋体"/>
                <w:color w:val="auto"/>
                <w:szCs w:val="24"/>
                <w:highlight w:val="none"/>
              </w:rPr>
              <w:t>版本安装、更新和升级</w:t>
            </w:r>
          </w:p>
        </w:tc>
        <w:tc>
          <w:tcPr>
            <w:tcW w:w="6059" w:type="dxa"/>
            <w:tcBorders>
              <w:tl2br w:val="nil"/>
              <w:tr2bl w:val="nil"/>
            </w:tcBorders>
            <w:vAlign w:val="center"/>
          </w:tcPr>
          <w:p w14:paraId="03055D8E">
            <w:pPr>
              <w:ind w:firstLine="0" w:firstLineChars="0"/>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60F4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7972C497">
            <w:pPr>
              <w:ind w:firstLine="0" w:firstLineChars="0"/>
              <w:rPr>
                <w:rFonts w:ascii="宋体"/>
                <w:color w:val="auto"/>
                <w:szCs w:val="24"/>
                <w:highlight w:val="none"/>
              </w:rPr>
            </w:pPr>
            <w:r>
              <w:rPr>
                <w:rFonts w:hint="eastAsia" w:ascii="宋体"/>
                <w:color w:val="auto"/>
                <w:szCs w:val="24"/>
                <w:highlight w:val="none"/>
              </w:rPr>
              <w:t>4.5.2</w:t>
            </w:r>
          </w:p>
        </w:tc>
        <w:tc>
          <w:tcPr>
            <w:tcW w:w="2022" w:type="dxa"/>
            <w:tcBorders>
              <w:tl2br w:val="nil"/>
              <w:tr2bl w:val="nil"/>
            </w:tcBorders>
            <w:vAlign w:val="center"/>
          </w:tcPr>
          <w:p w14:paraId="7838533F">
            <w:pPr>
              <w:ind w:firstLine="0" w:firstLineChars="0"/>
              <w:rPr>
                <w:rFonts w:ascii="宋体"/>
                <w:color w:val="auto"/>
                <w:szCs w:val="24"/>
                <w:highlight w:val="none"/>
              </w:rPr>
            </w:pPr>
            <w:r>
              <w:rPr>
                <w:rFonts w:hint="eastAsia" w:ascii="宋体"/>
                <w:color w:val="auto"/>
                <w:szCs w:val="24"/>
                <w:highlight w:val="none"/>
              </w:rPr>
              <w:t>安全漏洞整改</w:t>
            </w:r>
          </w:p>
        </w:tc>
        <w:tc>
          <w:tcPr>
            <w:tcW w:w="6059" w:type="dxa"/>
            <w:tcBorders>
              <w:tl2br w:val="nil"/>
              <w:tr2bl w:val="nil"/>
            </w:tcBorders>
            <w:vAlign w:val="center"/>
          </w:tcPr>
          <w:p w14:paraId="06FA55BB">
            <w:pPr>
              <w:ind w:firstLine="0" w:firstLineChars="0"/>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3EB14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17971C3B">
            <w:pPr>
              <w:ind w:firstLine="0" w:firstLineChars="0"/>
              <w:rPr>
                <w:rFonts w:ascii="宋体"/>
                <w:color w:val="auto"/>
                <w:szCs w:val="24"/>
                <w:highlight w:val="none"/>
              </w:rPr>
            </w:pPr>
            <w:r>
              <w:rPr>
                <w:rFonts w:hint="eastAsia" w:ascii="宋体"/>
                <w:color w:val="auto"/>
                <w:szCs w:val="24"/>
                <w:highlight w:val="none"/>
              </w:rPr>
              <w:t>4.5.3</w:t>
            </w:r>
          </w:p>
        </w:tc>
        <w:tc>
          <w:tcPr>
            <w:tcW w:w="2022" w:type="dxa"/>
            <w:tcBorders>
              <w:tl2br w:val="nil"/>
              <w:tr2bl w:val="nil"/>
            </w:tcBorders>
            <w:vAlign w:val="center"/>
          </w:tcPr>
          <w:p w14:paraId="2FFF17E0">
            <w:pPr>
              <w:ind w:firstLine="0" w:firstLineChars="0"/>
              <w:rPr>
                <w:rFonts w:ascii="宋体"/>
                <w:color w:val="auto"/>
                <w:szCs w:val="24"/>
                <w:highlight w:val="none"/>
              </w:rPr>
            </w:pPr>
            <w:r>
              <w:rPr>
                <w:rFonts w:hint="eastAsia" w:ascii="宋体"/>
                <w:color w:val="auto"/>
                <w:szCs w:val="24"/>
                <w:highlight w:val="none"/>
              </w:rPr>
              <w:t>服务台支持</w:t>
            </w:r>
          </w:p>
        </w:tc>
        <w:tc>
          <w:tcPr>
            <w:tcW w:w="6059" w:type="dxa"/>
            <w:tcBorders>
              <w:tl2br w:val="nil"/>
              <w:tr2bl w:val="nil"/>
            </w:tcBorders>
            <w:vAlign w:val="center"/>
          </w:tcPr>
          <w:p w14:paraId="230BAA9E">
            <w:pPr>
              <w:ind w:firstLine="0" w:firstLineChars="0"/>
              <w:rPr>
                <w:rFonts w:ascii="宋体"/>
                <w:color w:val="auto"/>
                <w:szCs w:val="24"/>
                <w:highlight w:val="none"/>
              </w:rPr>
            </w:pPr>
            <w:r>
              <w:rPr>
                <w:rFonts w:hint="eastAsia" w:ascii="宋体"/>
                <w:color w:val="auto"/>
                <w:szCs w:val="24"/>
                <w:highlight w:val="none"/>
              </w:rPr>
              <w:t>提供7×24小时的技术支持服务</w:t>
            </w:r>
          </w:p>
        </w:tc>
      </w:tr>
      <w:tr w14:paraId="64AD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3EE13E24">
            <w:pPr>
              <w:ind w:firstLine="0" w:firstLineChars="0"/>
              <w:rPr>
                <w:rFonts w:ascii="宋体"/>
                <w:color w:val="auto"/>
                <w:szCs w:val="24"/>
                <w:highlight w:val="none"/>
              </w:rPr>
            </w:pPr>
            <w:r>
              <w:rPr>
                <w:rFonts w:hint="eastAsia" w:ascii="宋体"/>
                <w:color w:val="auto"/>
                <w:szCs w:val="24"/>
                <w:highlight w:val="none"/>
              </w:rPr>
              <w:t>4.5.4</w:t>
            </w:r>
          </w:p>
        </w:tc>
        <w:tc>
          <w:tcPr>
            <w:tcW w:w="2022" w:type="dxa"/>
            <w:tcBorders>
              <w:tl2br w:val="nil"/>
              <w:tr2bl w:val="nil"/>
            </w:tcBorders>
            <w:vAlign w:val="center"/>
          </w:tcPr>
          <w:p w14:paraId="1119D177">
            <w:pPr>
              <w:ind w:firstLine="0" w:firstLineChars="0"/>
              <w:rPr>
                <w:rFonts w:ascii="宋体"/>
                <w:color w:val="auto"/>
                <w:szCs w:val="24"/>
                <w:highlight w:val="none"/>
              </w:rPr>
            </w:pPr>
            <w:r>
              <w:rPr>
                <w:rFonts w:hint="eastAsia" w:ascii="宋体"/>
                <w:color w:val="auto"/>
                <w:szCs w:val="24"/>
                <w:highlight w:val="none"/>
              </w:rPr>
              <w:t>巡检服务</w:t>
            </w:r>
          </w:p>
        </w:tc>
        <w:tc>
          <w:tcPr>
            <w:tcW w:w="6059" w:type="dxa"/>
            <w:tcBorders>
              <w:tl2br w:val="nil"/>
              <w:tr2bl w:val="nil"/>
            </w:tcBorders>
            <w:vAlign w:val="center"/>
          </w:tcPr>
          <w:p w14:paraId="1C2ECAEB">
            <w:pPr>
              <w:ind w:firstLine="0" w:firstLineChars="0"/>
              <w:rPr>
                <w:rFonts w:ascii="宋体"/>
                <w:color w:val="auto"/>
                <w:szCs w:val="24"/>
                <w:highlight w:val="none"/>
              </w:rPr>
            </w:pPr>
            <w:r>
              <w:rPr>
                <w:rFonts w:hint="eastAsia" w:ascii="宋体"/>
                <w:color w:val="auto"/>
                <w:szCs w:val="24"/>
                <w:highlight w:val="none"/>
              </w:rPr>
              <w:t>提供系统运行状况报告</w:t>
            </w:r>
          </w:p>
        </w:tc>
      </w:tr>
      <w:tr w14:paraId="73EAE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7724B2BA">
            <w:pPr>
              <w:ind w:firstLine="0" w:firstLineChars="0"/>
              <w:rPr>
                <w:rFonts w:ascii="宋体"/>
                <w:color w:val="auto"/>
                <w:szCs w:val="24"/>
                <w:highlight w:val="none"/>
              </w:rPr>
            </w:pPr>
            <w:r>
              <w:rPr>
                <w:rFonts w:hint="eastAsia" w:ascii="宋体"/>
                <w:color w:val="auto"/>
                <w:szCs w:val="24"/>
                <w:highlight w:val="none"/>
              </w:rPr>
              <w:t>4.5.5</w:t>
            </w:r>
          </w:p>
        </w:tc>
        <w:tc>
          <w:tcPr>
            <w:tcW w:w="2022" w:type="dxa"/>
            <w:tcBorders>
              <w:tl2br w:val="nil"/>
              <w:tr2bl w:val="nil"/>
            </w:tcBorders>
            <w:vAlign w:val="center"/>
          </w:tcPr>
          <w:p w14:paraId="700811A0">
            <w:pPr>
              <w:ind w:firstLine="0" w:firstLineChars="0"/>
              <w:rPr>
                <w:rFonts w:ascii="宋体"/>
                <w:color w:val="auto"/>
                <w:szCs w:val="24"/>
                <w:highlight w:val="none"/>
              </w:rPr>
            </w:pPr>
            <w:r>
              <w:rPr>
                <w:rFonts w:hint="eastAsia" w:ascii="宋体"/>
                <w:color w:val="auto"/>
                <w:szCs w:val="24"/>
                <w:highlight w:val="none"/>
              </w:rPr>
              <w:t>现场问题解决</w:t>
            </w:r>
          </w:p>
        </w:tc>
        <w:tc>
          <w:tcPr>
            <w:tcW w:w="6059" w:type="dxa"/>
            <w:tcBorders>
              <w:tl2br w:val="nil"/>
              <w:tr2bl w:val="nil"/>
            </w:tcBorders>
            <w:vAlign w:val="center"/>
          </w:tcPr>
          <w:p w14:paraId="407F233B">
            <w:pPr>
              <w:ind w:firstLine="0" w:firstLineChars="0"/>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463F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l2br w:val="nil"/>
              <w:tr2bl w:val="nil"/>
            </w:tcBorders>
            <w:vAlign w:val="center"/>
          </w:tcPr>
          <w:p w14:paraId="68AE2349">
            <w:pPr>
              <w:ind w:firstLine="0" w:firstLineChars="0"/>
              <w:rPr>
                <w:rFonts w:ascii="宋体"/>
                <w:color w:val="auto"/>
                <w:szCs w:val="24"/>
                <w:highlight w:val="none"/>
              </w:rPr>
            </w:pPr>
            <w:r>
              <w:rPr>
                <w:rFonts w:hint="eastAsia" w:ascii="宋体"/>
                <w:color w:val="auto"/>
                <w:szCs w:val="24"/>
                <w:highlight w:val="none"/>
              </w:rPr>
              <w:t>4.5.6</w:t>
            </w:r>
          </w:p>
        </w:tc>
        <w:tc>
          <w:tcPr>
            <w:tcW w:w="2022" w:type="dxa"/>
            <w:tcBorders>
              <w:tl2br w:val="nil"/>
              <w:tr2bl w:val="nil"/>
            </w:tcBorders>
            <w:vAlign w:val="center"/>
          </w:tcPr>
          <w:p w14:paraId="015F5092">
            <w:pPr>
              <w:ind w:firstLine="0" w:firstLineChars="0"/>
              <w:rPr>
                <w:rFonts w:ascii="宋体"/>
                <w:color w:val="auto"/>
                <w:szCs w:val="24"/>
                <w:highlight w:val="none"/>
              </w:rPr>
            </w:pPr>
            <w:r>
              <w:rPr>
                <w:rFonts w:hint="eastAsia" w:ascii="宋体"/>
                <w:color w:val="auto"/>
                <w:szCs w:val="24"/>
                <w:highlight w:val="none"/>
              </w:rPr>
              <w:t>响应要求</w:t>
            </w:r>
          </w:p>
        </w:tc>
        <w:tc>
          <w:tcPr>
            <w:tcW w:w="6059" w:type="dxa"/>
            <w:tcBorders>
              <w:tl2br w:val="nil"/>
              <w:tr2bl w:val="nil"/>
            </w:tcBorders>
            <w:vAlign w:val="center"/>
          </w:tcPr>
          <w:p w14:paraId="6B19B4DB">
            <w:pPr>
              <w:ind w:firstLine="0" w:firstLineChars="0"/>
              <w:rPr>
                <w:rFonts w:ascii="宋体"/>
                <w:color w:val="auto"/>
                <w:szCs w:val="24"/>
                <w:highlight w:val="none"/>
              </w:rPr>
            </w:pPr>
            <w:r>
              <w:rPr>
                <w:rFonts w:hint="eastAsia" w:ascii="宋体"/>
                <w:color w:val="auto"/>
                <w:szCs w:val="24"/>
                <w:highlight w:val="none"/>
              </w:rPr>
              <w:t>要求按服务水平和指标及时响应：</w:t>
            </w:r>
          </w:p>
          <w:p w14:paraId="4FFEB48D">
            <w:pPr>
              <w:ind w:firstLine="0" w:firstLineChars="0"/>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2EF9BECB">
            <w:pPr>
              <w:ind w:firstLine="0" w:firstLineChars="0"/>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4C00A89E">
            <w:pPr>
              <w:ind w:firstLine="0" w:firstLineChars="0"/>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394F05B2">
            <w:pPr>
              <w:ind w:firstLine="0" w:firstLineChars="0"/>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459875B6">
      <w:pPr>
        <w:rPr>
          <w:rFonts w:ascii="宋体"/>
          <w:b/>
          <w:bCs/>
          <w:color w:val="auto"/>
          <w:kern w:val="32"/>
          <w:szCs w:val="24"/>
          <w:highlight w:val="none"/>
        </w:rPr>
      </w:pPr>
    </w:p>
    <w:p w14:paraId="3EEBADD1">
      <w:pPr>
        <w:rPr>
          <w:rFonts w:ascii="宋体"/>
          <w:b/>
          <w:bCs/>
          <w:color w:val="auto"/>
          <w:kern w:val="32"/>
          <w:szCs w:val="24"/>
          <w:highlight w:val="none"/>
        </w:rPr>
      </w:pPr>
      <w:bookmarkStart w:id="595" w:name="_Toc254884645"/>
      <w:r>
        <w:rPr>
          <w:rFonts w:hint="eastAsia" w:ascii="宋体"/>
          <w:b/>
          <w:bCs/>
          <w:color w:val="auto"/>
          <w:kern w:val="32"/>
          <w:szCs w:val="24"/>
          <w:highlight w:val="none"/>
        </w:rPr>
        <w:t>5. 问题管理流程</w:t>
      </w:r>
      <w:bookmarkEnd w:id="595"/>
    </w:p>
    <w:p w14:paraId="3437A5DB">
      <w:pPr>
        <w:rPr>
          <w:rFonts w:ascii="宋体"/>
          <w:b/>
          <w:bCs/>
          <w:color w:val="auto"/>
          <w:kern w:val="32"/>
          <w:szCs w:val="24"/>
          <w:highlight w:val="none"/>
        </w:rPr>
      </w:pPr>
      <w:bookmarkStart w:id="596" w:name="_Toc254884646"/>
      <w:r>
        <w:rPr>
          <w:rFonts w:hint="eastAsia" w:ascii="宋体"/>
          <w:b/>
          <w:bCs/>
          <w:color w:val="auto"/>
          <w:kern w:val="32"/>
          <w:szCs w:val="24"/>
          <w:highlight w:val="none"/>
        </w:rPr>
        <w:t>5.1问题处理流程</w:t>
      </w:r>
      <w:bookmarkEnd w:id="596"/>
    </w:p>
    <w:p w14:paraId="5102BB90">
      <w:pPr>
        <w:widowControl/>
        <w:numPr>
          <w:ilvl w:val="0"/>
          <w:numId w:val="4"/>
        </w:numPr>
        <w:spacing w:line="360" w:lineRule="auto"/>
        <w:ind w:left="0" w:firstLine="648"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269BD340">
      <w:pPr>
        <w:widowControl/>
        <w:numPr>
          <w:ilvl w:val="0"/>
          <w:numId w:val="4"/>
        </w:numPr>
        <w:spacing w:line="360" w:lineRule="auto"/>
        <w:ind w:left="0" w:firstLine="648"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2F11012D">
      <w:pPr>
        <w:widowControl/>
        <w:numPr>
          <w:ilvl w:val="0"/>
          <w:numId w:val="4"/>
        </w:numPr>
        <w:spacing w:line="360" w:lineRule="auto"/>
        <w:ind w:left="0" w:firstLine="648"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7D56E7AF">
      <w:pPr>
        <w:widowControl/>
        <w:numPr>
          <w:ilvl w:val="0"/>
          <w:numId w:val="4"/>
        </w:numPr>
        <w:spacing w:line="360" w:lineRule="auto"/>
        <w:ind w:left="0" w:firstLine="648"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0D4E6292">
      <w:pPr>
        <w:widowControl/>
        <w:numPr>
          <w:ilvl w:val="0"/>
          <w:numId w:val="4"/>
        </w:numPr>
        <w:spacing w:line="360" w:lineRule="auto"/>
        <w:ind w:left="0" w:firstLine="648"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5DB496BF">
      <w:pPr>
        <w:rPr>
          <w:rFonts w:ascii="宋体"/>
          <w:b/>
          <w:bCs/>
          <w:color w:val="auto"/>
          <w:kern w:val="32"/>
          <w:szCs w:val="24"/>
          <w:highlight w:val="none"/>
        </w:rPr>
      </w:pPr>
      <w:bookmarkStart w:id="597" w:name="_Toc254884647"/>
      <w:r>
        <w:rPr>
          <w:rFonts w:hint="eastAsia" w:ascii="宋体"/>
          <w:b/>
          <w:bCs/>
          <w:color w:val="auto"/>
          <w:kern w:val="32"/>
          <w:szCs w:val="24"/>
          <w:highlight w:val="none"/>
        </w:rPr>
        <w:t>5.2问题升级流程</w:t>
      </w:r>
      <w:bookmarkEnd w:id="597"/>
    </w:p>
    <w:p w14:paraId="63A6D987">
      <w:pPr>
        <w:widowControl/>
        <w:numPr>
          <w:ilvl w:val="0"/>
          <w:numId w:val="5"/>
        </w:numPr>
        <w:spacing w:line="360" w:lineRule="auto"/>
        <w:ind w:firstLineChars="0"/>
        <w:rPr>
          <w:rFonts w:ascii="宋体"/>
          <w:color w:val="auto"/>
          <w:szCs w:val="24"/>
          <w:highlight w:val="none"/>
        </w:rPr>
      </w:pPr>
      <w:r>
        <w:rPr>
          <w:rFonts w:hint="eastAsia" w:ascii="宋体"/>
          <w:color w:val="auto"/>
          <w:szCs w:val="24"/>
          <w:highlight w:val="none"/>
        </w:rPr>
        <w:t>甲方或者乙方都有可能首先提出该流程；</w:t>
      </w:r>
    </w:p>
    <w:p w14:paraId="23DB52A2">
      <w:pPr>
        <w:widowControl/>
        <w:numPr>
          <w:ilvl w:val="0"/>
          <w:numId w:val="5"/>
        </w:numPr>
        <w:spacing w:line="360" w:lineRule="auto"/>
        <w:ind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136C0E58">
      <w:pPr>
        <w:widowControl/>
        <w:numPr>
          <w:ilvl w:val="0"/>
          <w:numId w:val="5"/>
        </w:numPr>
        <w:spacing w:line="360" w:lineRule="auto"/>
        <w:ind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53A477C4">
      <w:pPr>
        <w:widowControl/>
        <w:numPr>
          <w:ilvl w:val="0"/>
          <w:numId w:val="5"/>
        </w:numPr>
        <w:spacing w:line="360" w:lineRule="auto"/>
        <w:ind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53CAC279">
      <w:pPr>
        <w:rPr>
          <w:rFonts w:ascii="宋体"/>
          <w:b/>
          <w:bCs/>
          <w:color w:val="auto"/>
          <w:kern w:val="32"/>
          <w:szCs w:val="24"/>
          <w:highlight w:val="none"/>
        </w:rPr>
      </w:pPr>
      <w:bookmarkStart w:id="598" w:name="_Toc254884648"/>
      <w:r>
        <w:rPr>
          <w:rFonts w:hint="eastAsia" w:ascii="宋体"/>
          <w:b/>
          <w:bCs/>
          <w:color w:val="auto"/>
          <w:kern w:val="32"/>
          <w:szCs w:val="24"/>
          <w:highlight w:val="none"/>
        </w:rPr>
        <w:t>5.3联络表</w:t>
      </w:r>
      <w:bookmarkEnd w:id="598"/>
    </w:p>
    <w:tbl>
      <w:tblPr>
        <w:tblStyle w:val="24"/>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04F2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6FB5C73">
            <w:pPr>
              <w:spacing w:line="360" w:lineRule="auto"/>
              <w:jc w:val="center"/>
              <w:rPr>
                <w:rFonts w:ascii="宋体"/>
                <w:color w:val="auto"/>
                <w:szCs w:val="24"/>
                <w:highlight w:val="none"/>
              </w:rPr>
            </w:pPr>
            <w:r>
              <w:rPr>
                <w:rFonts w:hint="eastAsia" w:ascii="宋体"/>
                <w:b/>
                <w:color w:val="auto"/>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1257FB77">
            <w:pPr>
              <w:spacing w:line="360" w:lineRule="auto"/>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3D89D94">
            <w:pPr>
              <w:spacing w:line="360" w:lineRule="auto"/>
              <w:jc w:val="center"/>
              <w:rPr>
                <w:rFonts w:ascii="宋体"/>
                <w:b/>
                <w:color w:val="auto"/>
                <w:szCs w:val="24"/>
                <w:highlight w:val="none"/>
              </w:rPr>
            </w:pPr>
            <w:r>
              <w:rPr>
                <w:rFonts w:hint="eastAsia" w:ascii="宋体"/>
                <w:b/>
                <w:color w:val="auto"/>
                <w:szCs w:val="24"/>
                <w:highlight w:val="none"/>
              </w:rPr>
              <w:t>电话</w:t>
            </w:r>
          </w:p>
        </w:tc>
      </w:tr>
      <w:tr w14:paraId="64EC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D278A29">
            <w:pPr>
              <w:spacing w:line="360" w:lineRule="auto"/>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F871511">
            <w:pPr>
              <w:spacing w:line="360" w:lineRule="auto"/>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A51AE54">
            <w:pPr>
              <w:spacing w:line="360" w:lineRule="auto"/>
              <w:jc w:val="center"/>
              <w:rPr>
                <w:rFonts w:ascii="宋体"/>
                <w:color w:val="auto"/>
                <w:szCs w:val="24"/>
                <w:highlight w:val="none"/>
              </w:rPr>
            </w:pPr>
          </w:p>
        </w:tc>
      </w:tr>
      <w:tr w14:paraId="73F8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599517F">
            <w:pPr>
              <w:spacing w:line="360" w:lineRule="auto"/>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D4F240E">
            <w:pPr>
              <w:spacing w:line="360" w:lineRule="auto"/>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B278015">
            <w:pPr>
              <w:spacing w:line="360" w:lineRule="auto"/>
              <w:jc w:val="center"/>
              <w:rPr>
                <w:rFonts w:ascii="宋体"/>
                <w:color w:val="auto"/>
                <w:szCs w:val="24"/>
                <w:highlight w:val="none"/>
              </w:rPr>
            </w:pPr>
          </w:p>
        </w:tc>
      </w:tr>
      <w:tr w14:paraId="7A5E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19CA9A0">
            <w:pPr>
              <w:spacing w:line="360" w:lineRule="auto"/>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81ECC3F">
            <w:pPr>
              <w:spacing w:line="360" w:lineRule="auto"/>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10B2EB9">
            <w:pPr>
              <w:spacing w:line="360" w:lineRule="auto"/>
              <w:jc w:val="center"/>
              <w:rPr>
                <w:rFonts w:ascii="宋体"/>
                <w:color w:val="auto"/>
                <w:szCs w:val="24"/>
                <w:highlight w:val="none"/>
              </w:rPr>
            </w:pPr>
          </w:p>
        </w:tc>
      </w:tr>
      <w:tr w14:paraId="06EB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1B75176">
            <w:pPr>
              <w:spacing w:line="360" w:lineRule="auto"/>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95A95F9">
            <w:pPr>
              <w:spacing w:line="360" w:lineRule="auto"/>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5636628">
            <w:pPr>
              <w:spacing w:line="360" w:lineRule="auto"/>
              <w:jc w:val="center"/>
              <w:rPr>
                <w:rFonts w:ascii="宋体"/>
                <w:color w:val="auto"/>
                <w:szCs w:val="24"/>
                <w:highlight w:val="none"/>
              </w:rPr>
            </w:pPr>
          </w:p>
        </w:tc>
      </w:tr>
    </w:tbl>
    <w:p w14:paraId="2D78393E">
      <w:pPr>
        <w:rPr>
          <w:rFonts w:ascii="宋体"/>
          <w:b/>
          <w:bCs/>
          <w:color w:val="auto"/>
          <w:kern w:val="32"/>
          <w:szCs w:val="24"/>
          <w:highlight w:val="none"/>
        </w:rPr>
      </w:pPr>
      <w:bookmarkStart w:id="599" w:name="_Toc254884649"/>
      <w:r>
        <w:rPr>
          <w:rFonts w:hint="eastAsia" w:ascii="宋体"/>
          <w:b/>
          <w:bCs/>
          <w:color w:val="auto"/>
          <w:kern w:val="32"/>
          <w:szCs w:val="24"/>
          <w:highlight w:val="none"/>
        </w:rPr>
        <w:t>6. 汇报内容及流程</w:t>
      </w:r>
      <w:bookmarkEnd w:id="599"/>
    </w:p>
    <w:p w14:paraId="5CF52AD2">
      <w:pPr>
        <w:spacing w:line="360" w:lineRule="auto"/>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142A5DC9">
      <w:pPr>
        <w:rPr>
          <w:rFonts w:ascii="宋体"/>
          <w:b/>
          <w:bCs/>
          <w:color w:val="auto"/>
          <w:kern w:val="32"/>
          <w:szCs w:val="24"/>
          <w:highlight w:val="none"/>
        </w:rPr>
      </w:pPr>
      <w:bookmarkStart w:id="600" w:name="_Toc254884650"/>
      <w:r>
        <w:rPr>
          <w:rFonts w:hint="eastAsia" w:ascii="宋体"/>
          <w:b/>
          <w:bCs/>
          <w:color w:val="auto"/>
          <w:kern w:val="32"/>
          <w:szCs w:val="24"/>
          <w:highlight w:val="none"/>
        </w:rPr>
        <w:t>7. 服务水平和指标</w:t>
      </w:r>
      <w:bookmarkEnd w:id="600"/>
    </w:p>
    <w:p w14:paraId="1BF4C4CC">
      <w:pPr>
        <w:widowControl/>
        <w:numPr>
          <w:ilvl w:val="0"/>
          <w:numId w:val="6"/>
        </w:numPr>
        <w:spacing w:line="360" w:lineRule="auto"/>
        <w:ind w:left="0" w:hanging="2" w:firstLineChars="0"/>
        <w:rPr>
          <w:rFonts w:ascii="宋体"/>
          <w:color w:val="auto"/>
          <w:szCs w:val="24"/>
          <w:highlight w:val="none"/>
        </w:rPr>
      </w:pPr>
      <w:r>
        <w:rPr>
          <w:rFonts w:hint="eastAsia" w:ascii="宋体"/>
          <w:color w:val="auto"/>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4"/>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417"/>
        <w:gridCol w:w="1701"/>
        <w:gridCol w:w="1843"/>
        <w:gridCol w:w="1984"/>
        <w:gridCol w:w="709"/>
      </w:tblGrid>
      <w:tr w14:paraId="58AD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l2br w:val="nil"/>
              <w:tr2bl w:val="nil"/>
            </w:tcBorders>
            <w:shd w:val="clear" w:color="auto" w:fill="auto"/>
            <w:vAlign w:val="center"/>
          </w:tcPr>
          <w:p w14:paraId="14B644BF">
            <w:pPr>
              <w:widowControl/>
              <w:ind w:firstLine="0" w:firstLineChars="0"/>
              <w:jc w:val="center"/>
              <w:rPr>
                <w:rFonts w:ascii="宋体"/>
                <w:b/>
                <w:color w:val="auto"/>
                <w:sz w:val="21"/>
                <w:szCs w:val="21"/>
                <w:highlight w:val="none"/>
              </w:rPr>
            </w:pPr>
            <w:r>
              <w:rPr>
                <w:rFonts w:hint="eastAsia" w:ascii="宋体"/>
                <w:b/>
                <w:color w:val="auto"/>
                <w:sz w:val="21"/>
                <w:szCs w:val="21"/>
                <w:highlight w:val="none"/>
              </w:rPr>
              <w:t>序号</w:t>
            </w:r>
          </w:p>
        </w:tc>
        <w:tc>
          <w:tcPr>
            <w:tcW w:w="710" w:type="dxa"/>
            <w:tcBorders>
              <w:tl2br w:val="nil"/>
              <w:tr2bl w:val="nil"/>
            </w:tcBorders>
            <w:shd w:val="clear" w:color="auto" w:fill="auto"/>
            <w:vAlign w:val="center"/>
          </w:tcPr>
          <w:p w14:paraId="59F45663">
            <w:pPr>
              <w:widowControl/>
              <w:ind w:firstLine="0" w:firstLineChars="0"/>
              <w:jc w:val="center"/>
              <w:rPr>
                <w:rFonts w:ascii="宋体"/>
                <w:b/>
                <w:color w:val="auto"/>
                <w:sz w:val="21"/>
                <w:szCs w:val="21"/>
                <w:highlight w:val="none"/>
              </w:rPr>
            </w:pPr>
            <w:r>
              <w:rPr>
                <w:rFonts w:hint="eastAsia" w:ascii="宋体"/>
                <w:b/>
                <w:color w:val="auto"/>
                <w:sz w:val="21"/>
                <w:szCs w:val="21"/>
                <w:highlight w:val="none"/>
              </w:rPr>
              <w:t>服务内容</w:t>
            </w:r>
          </w:p>
        </w:tc>
        <w:tc>
          <w:tcPr>
            <w:tcW w:w="1134" w:type="dxa"/>
            <w:tcBorders>
              <w:tl2br w:val="nil"/>
              <w:tr2bl w:val="nil"/>
            </w:tcBorders>
            <w:shd w:val="clear" w:color="auto" w:fill="auto"/>
            <w:vAlign w:val="center"/>
          </w:tcPr>
          <w:p w14:paraId="22043555">
            <w:pPr>
              <w:widowControl/>
              <w:ind w:firstLine="0" w:firstLineChars="0"/>
              <w:jc w:val="center"/>
              <w:rPr>
                <w:rFonts w:ascii="宋体"/>
                <w:b/>
                <w:color w:val="auto"/>
                <w:sz w:val="21"/>
                <w:szCs w:val="21"/>
                <w:highlight w:val="none"/>
              </w:rPr>
            </w:pPr>
            <w:r>
              <w:rPr>
                <w:rFonts w:hint="eastAsia" w:ascii="宋体"/>
                <w:b/>
                <w:color w:val="auto"/>
                <w:sz w:val="21"/>
                <w:szCs w:val="21"/>
                <w:highlight w:val="none"/>
              </w:rPr>
              <w:t>服务定义</w:t>
            </w:r>
          </w:p>
        </w:tc>
        <w:tc>
          <w:tcPr>
            <w:tcW w:w="1417" w:type="dxa"/>
            <w:tcBorders>
              <w:tl2br w:val="nil"/>
              <w:tr2bl w:val="nil"/>
            </w:tcBorders>
            <w:shd w:val="clear" w:color="auto" w:fill="auto"/>
            <w:vAlign w:val="center"/>
          </w:tcPr>
          <w:p w14:paraId="784B2630">
            <w:pPr>
              <w:widowControl/>
              <w:ind w:firstLine="0" w:firstLineChars="0"/>
              <w:jc w:val="center"/>
              <w:rPr>
                <w:rFonts w:ascii="宋体"/>
                <w:b/>
                <w:color w:val="auto"/>
                <w:sz w:val="21"/>
                <w:szCs w:val="21"/>
                <w:highlight w:val="none"/>
              </w:rPr>
            </w:pPr>
            <w:r>
              <w:rPr>
                <w:rFonts w:hint="eastAsia" w:ascii="宋体"/>
                <w:b/>
                <w:color w:val="auto"/>
                <w:sz w:val="21"/>
                <w:szCs w:val="21"/>
                <w:highlight w:val="none"/>
              </w:rPr>
              <w:t>服务标准</w:t>
            </w:r>
          </w:p>
        </w:tc>
        <w:tc>
          <w:tcPr>
            <w:tcW w:w="1701" w:type="dxa"/>
            <w:tcBorders>
              <w:tl2br w:val="nil"/>
              <w:tr2bl w:val="nil"/>
            </w:tcBorders>
            <w:shd w:val="clear" w:color="auto" w:fill="auto"/>
            <w:vAlign w:val="center"/>
          </w:tcPr>
          <w:p w14:paraId="3F44D4DE">
            <w:pPr>
              <w:widowControl/>
              <w:ind w:firstLine="0" w:firstLineChars="0"/>
              <w:jc w:val="center"/>
              <w:rPr>
                <w:rFonts w:ascii="宋体"/>
                <w:b/>
                <w:color w:val="auto"/>
                <w:sz w:val="21"/>
                <w:szCs w:val="21"/>
                <w:highlight w:val="none"/>
              </w:rPr>
            </w:pPr>
            <w:r>
              <w:rPr>
                <w:rFonts w:hint="eastAsia" w:ascii="宋体"/>
                <w:b/>
                <w:color w:val="auto"/>
                <w:sz w:val="21"/>
                <w:szCs w:val="21"/>
                <w:highlight w:val="none"/>
              </w:rPr>
              <w:t>指标计算</w:t>
            </w:r>
          </w:p>
        </w:tc>
        <w:tc>
          <w:tcPr>
            <w:tcW w:w="1843" w:type="dxa"/>
            <w:tcBorders>
              <w:tl2br w:val="nil"/>
              <w:tr2bl w:val="nil"/>
            </w:tcBorders>
            <w:shd w:val="clear" w:color="auto" w:fill="auto"/>
            <w:vAlign w:val="center"/>
          </w:tcPr>
          <w:p w14:paraId="759E11E3">
            <w:pPr>
              <w:widowControl/>
              <w:ind w:firstLine="0" w:firstLineChars="0"/>
              <w:jc w:val="center"/>
              <w:rPr>
                <w:rFonts w:ascii="宋体"/>
                <w:b/>
                <w:bCs/>
                <w:color w:val="auto"/>
                <w:sz w:val="21"/>
                <w:szCs w:val="21"/>
                <w:highlight w:val="none"/>
              </w:rPr>
            </w:pPr>
            <w:r>
              <w:rPr>
                <w:rFonts w:hint="eastAsia" w:ascii="宋体"/>
                <w:b/>
                <w:bCs/>
                <w:color w:val="auto"/>
                <w:sz w:val="21"/>
                <w:szCs w:val="21"/>
                <w:highlight w:val="none"/>
              </w:rPr>
              <w:t>服务水平要求</w:t>
            </w:r>
          </w:p>
        </w:tc>
        <w:tc>
          <w:tcPr>
            <w:tcW w:w="1984" w:type="dxa"/>
            <w:tcBorders>
              <w:tl2br w:val="nil"/>
              <w:tr2bl w:val="nil"/>
            </w:tcBorders>
            <w:shd w:val="clear" w:color="auto" w:fill="auto"/>
            <w:vAlign w:val="center"/>
          </w:tcPr>
          <w:p w14:paraId="2632749B">
            <w:pPr>
              <w:widowControl/>
              <w:ind w:firstLine="0" w:firstLineChars="0"/>
              <w:jc w:val="center"/>
              <w:rPr>
                <w:rFonts w:ascii="宋体"/>
                <w:b/>
                <w:color w:val="auto"/>
                <w:sz w:val="21"/>
                <w:szCs w:val="21"/>
                <w:highlight w:val="none"/>
              </w:rPr>
            </w:pPr>
            <w:r>
              <w:rPr>
                <w:rFonts w:hint="eastAsia" w:ascii="宋体"/>
                <w:b/>
                <w:color w:val="auto"/>
                <w:sz w:val="21"/>
                <w:szCs w:val="21"/>
                <w:highlight w:val="none"/>
              </w:rPr>
              <w:t>违约金标准</w:t>
            </w:r>
          </w:p>
        </w:tc>
        <w:tc>
          <w:tcPr>
            <w:tcW w:w="709" w:type="dxa"/>
            <w:tcBorders>
              <w:tl2br w:val="nil"/>
              <w:tr2bl w:val="nil"/>
            </w:tcBorders>
          </w:tcPr>
          <w:p w14:paraId="4EBF6E2C">
            <w:pPr>
              <w:widowControl/>
              <w:ind w:firstLine="0" w:firstLineChars="0"/>
              <w:jc w:val="center"/>
              <w:rPr>
                <w:rFonts w:ascii="宋体"/>
                <w:b/>
                <w:color w:val="auto"/>
                <w:sz w:val="21"/>
                <w:szCs w:val="21"/>
                <w:highlight w:val="none"/>
              </w:rPr>
            </w:pPr>
            <w:r>
              <w:rPr>
                <w:rFonts w:hint="eastAsia" w:ascii="宋体"/>
                <w:b/>
                <w:color w:val="auto"/>
                <w:sz w:val="21"/>
                <w:szCs w:val="21"/>
                <w:highlight w:val="none"/>
              </w:rPr>
              <w:t>是否满足</w:t>
            </w:r>
          </w:p>
        </w:tc>
      </w:tr>
      <w:tr w14:paraId="0B48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3A7313B5">
            <w:pPr>
              <w:widowControl/>
              <w:ind w:firstLine="0" w:firstLineChars="0"/>
              <w:jc w:val="center"/>
              <w:rPr>
                <w:rFonts w:ascii="宋体"/>
                <w:color w:val="auto"/>
                <w:szCs w:val="24"/>
                <w:highlight w:val="none"/>
              </w:rPr>
            </w:pPr>
            <w:r>
              <w:rPr>
                <w:rFonts w:hint="eastAsia" w:ascii="宋体"/>
                <w:color w:val="auto"/>
                <w:szCs w:val="24"/>
                <w:highlight w:val="none"/>
              </w:rPr>
              <w:t>1</w:t>
            </w:r>
          </w:p>
        </w:tc>
        <w:tc>
          <w:tcPr>
            <w:tcW w:w="710" w:type="dxa"/>
            <w:tcBorders>
              <w:tl2br w:val="nil"/>
              <w:tr2bl w:val="nil"/>
            </w:tcBorders>
            <w:shd w:val="clear" w:color="auto" w:fill="auto"/>
            <w:vAlign w:val="center"/>
          </w:tcPr>
          <w:p w14:paraId="39E07E77">
            <w:pPr>
              <w:widowControl/>
              <w:ind w:firstLine="0" w:firstLineChars="0"/>
              <w:rPr>
                <w:rFonts w:ascii="宋体"/>
                <w:color w:val="auto"/>
                <w:sz w:val="21"/>
                <w:szCs w:val="24"/>
                <w:highlight w:val="none"/>
              </w:rPr>
            </w:pPr>
            <w:r>
              <w:rPr>
                <w:rFonts w:hint="eastAsia" w:ascii="宋体"/>
                <w:color w:val="auto"/>
                <w:sz w:val="21"/>
                <w:szCs w:val="24"/>
                <w:highlight w:val="none"/>
              </w:rPr>
              <w:t>任务响应</w:t>
            </w:r>
          </w:p>
        </w:tc>
        <w:tc>
          <w:tcPr>
            <w:tcW w:w="1134" w:type="dxa"/>
            <w:tcBorders>
              <w:tl2br w:val="nil"/>
              <w:tr2bl w:val="nil"/>
            </w:tcBorders>
            <w:shd w:val="clear" w:color="auto" w:fill="auto"/>
            <w:vAlign w:val="center"/>
          </w:tcPr>
          <w:p w14:paraId="286BA630">
            <w:pPr>
              <w:widowControl/>
              <w:ind w:firstLine="0" w:firstLineChars="0"/>
              <w:rPr>
                <w:rFonts w:ascii="宋体"/>
                <w:color w:val="auto"/>
                <w:sz w:val="21"/>
                <w:szCs w:val="24"/>
                <w:highlight w:val="none"/>
              </w:rPr>
            </w:pPr>
            <w:r>
              <w:rPr>
                <w:rFonts w:hint="eastAsia" w:ascii="宋体"/>
                <w:color w:val="auto"/>
                <w:sz w:val="21"/>
                <w:szCs w:val="24"/>
                <w:highlight w:val="none"/>
              </w:rPr>
              <w:t>衡量乙方在需求与问题响应方面的能力</w:t>
            </w:r>
          </w:p>
        </w:tc>
        <w:tc>
          <w:tcPr>
            <w:tcW w:w="1417" w:type="dxa"/>
            <w:tcBorders>
              <w:tl2br w:val="nil"/>
              <w:tr2bl w:val="nil"/>
            </w:tcBorders>
            <w:shd w:val="clear" w:color="auto" w:fill="auto"/>
            <w:vAlign w:val="center"/>
          </w:tcPr>
          <w:p w14:paraId="75B4FF4A">
            <w:pPr>
              <w:widowControl/>
              <w:ind w:firstLine="0" w:firstLineChars="0"/>
              <w:rPr>
                <w:rFonts w:ascii="宋体"/>
                <w:color w:val="auto"/>
                <w:sz w:val="21"/>
                <w:szCs w:val="24"/>
                <w:highlight w:val="none"/>
              </w:rPr>
            </w:pPr>
            <w:r>
              <w:rPr>
                <w:rFonts w:hint="eastAsia" w:ascii="宋体"/>
                <w:color w:val="auto"/>
                <w:sz w:val="21"/>
                <w:szCs w:val="24"/>
                <w:highlight w:val="none"/>
              </w:rPr>
              <w:t>乙方在收到甲方任务后2个工作日内，向甲方反馈确认任务的实施方案、计划和工作量等</w:t>
            </w:r>
          </w:p>
        </w:tc>
        <w:tc>
          <w:tcPr>
            <w:tcW w:w="1701" w:type="dxa"/>
            <w:tcBorders>
              <w:tl2br w:val="nil"/>
              <w:tr2bl w:val="nil"/>
            </w:tcBorders>
            <w:shd w:val="clear" w:color="auto" w:fill="auto"/>
            <w:vAlign w:val="center"/>
          </w:tcPr>
          <w:p w14:paraId="09FC774F">
            <w:pPr>
              <w:widowControl/>
              <w:ind w:firstLine="0" w:firstLineChars="0"/>
              <w:rPr>
                <w:rFonts w:ascii="宋体"/>
                <w:color w:val="auto"/>
                <w:sz w:val="21"/>
                <w:szCs w:val="24"/>
                <w:highlight w:val="none"/>
              </w:rPr>
            </w:pPr>
            <w:r>
              <w:rPr>
                <w:rFonts w:hint="eastAsia" w:ascii="宋体"/>
                <w:color w:val="auto"/>
                <w:sz w:val="21"/>
                <w:szCs w:val="24"/>
                <w:highlight w:val="none"/>
              </w:rPr>
              <w:t>甲方应当明确任务提出时间，乙方应当向甲方发出一个确认任务响应信息</w:t>
            </w:r>
          </w:p>
        </w:tc>
        <w:tc>
          <w:tcPr>
            <w:tcW w:w="1843" w:type="dxa"/>
            <w:tcBorders>
              <w:tl2br w:val="nil"/>
              <w:tr2bl w:val="nil"/>
            </w:tcBorders>
            <w:shd w:val="clear" w:color="auto" w:fill="auto"/>
            <w:vAlign w:val="center"/>
          </w:tcPr>
          <w:p w14:paraId="790618D2">
            <w:pPr>
              <w:widowControl/>
              <w:ind w:firstLine="0" w:firstLineChars="0"/>
              <w:rPr>
                <w:rFonts w:ascii="宋体"/>
                <w:color w:val="auto"/>
                <w:sz w:val="21"/>
                <w:szCs w:val="24"/>
                <w:highlight w:val="none"/>
              </w:rPr>
            </w:pPr>
            <w:r>
              <w:rPr>
                <w:rFonts w:hint="eastAsia" w:ascii="宋体"/>
                <w:color w:val="auto"/>
                <w:sz w:val="21"/>
                <w:szCs w:val="24"/>
                <w:highlight w:val="none"/>
              </w:rPr>
              <w:t>乙方不得违反承诺响应时间</w:t>
            </w:r>
          </w:p>
        </w:tc>
        <w:tc>
          <w:tcPr>
            <w:tcW w:w="1984" w:type="dxa"/>
            <w:tcBorders>
              <w:tl2br w:val="nil"/>
              <w:tr2bl w:val="nil"/>
            </w:tcBorders>
            <w:shd w:val="clear" w:color="auto" w:fill="auto"/>
            <w:vAlign w:val="center"/>
          </w:tcPr>
          <w:p w14:paraId="0DA63D34">
            <w:pPr>
              <w:widowControl/>
              <w:ind w:firstLine="0" w:firstLineChars="0"/>
              <w:rPr>
                <w:rFonts w:ascii="宋体"/>
                <w:color w:val="auto"/>
                <w:sz w:val="21"/>
                <w:szCs w:val="24"/>
                <w:highlight w:val="none"/>
              </w:rPr>
            </w:pPr>
            <w:r>
              <w:rPr>
                <w:rFonts w:hint="eastAsia" w:ascii="宋体"/>
                <w:color w:val="auto"/>
                <w:sz w:val="21"/>
                <w:szCs w:val="24"/>
                <w:highlight w:val="none"/>
              </w:rPr>
              <w:t>如违反承诺的响应时间要求，每次扣除1000元违约金</w:t>
            </w:r>
          </w:p>
        </w:tc>
        <w:tc>
          <w:tcPr>
            <w:tcW w:w="709" w:type="dxa"/>
            <w:tcBorders>
              <w:tl2br w:val="nil"/>
              <w:tr2bl w:val="nil"/>
            </w:tcBorders>
          </w:tcPr>
          <w:p w14:paraId="2C1485A8">
            <w:pPr>
              <w:widowControl/>
              <w:ind w:firstLine="0" w:firstLineChars="0"/>
              <w:rPr>
                <w:rFonts w:ascii="宋体"/>
                <w:color w:val="auto"/>
                <w:sz w:val="21"/>
                <w:szCs w:val="24"/>
                <w:highlight w:val="none"/>
              </w:rPr>
            </w:pPr>
          </w:p>
        </w:tc>
      </w:tr>
      <w:tr w14:paraId="10AD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7" w:type="dxa"/>
            <w:tcBorders>
              <w:tl2br w:val="nil"/>
              <w:tr2bl w:val="nil"/>
            </w:tcBorders>
            <w:shd w:val="clear" w:color="auto" w:fill="auto"/>
            <w:vAlign w:val="center"/>
          </w:tcPr>
          <w:p w14:paraId="0A7C81FF">
            <w:pPr>
              <w:widowControl/>
              <w:ind w:firstLine="0" w:firstLineChars="0"/>
              <w:jc w:val="center"/>
              <w:rPr>
                <w:rFonts w:ascii="宋体"/>
                <w:color w:val="auto"/>
                <w:szCs w:val="24"/>
                <w:highlight w:val="none"/>
              </w:rPr>
            </w:pPr>
            <w:r>
              <w:rPr>
                <w:rFonts w:hint="eastAsia" w:ascii="宋体"/>
                <w:color w:val="auto"/>
                <w:szCs w:val="24"/>
                <w:highlight w:val="none"/>
              </w:rPr>
              <w:t>2</w:t>
            </w:r>
          </w:p>
        </w:tc>
        <w:tc>
          <w:tcPr>
            <w:tcW w:w="710" w:type="dxa"/>
            <w:tcBorders>
              <w:tl2br w:val="nil"/>
              <w:tr2bl w:val="nil"/>
            </w:tcBorders>
            <w:shd w:val="clear" w:color="auto" w:fill="auto"/>
            <w:vAlign w:val="center"/>
          </w:tcPr>
          <w:p w14:paraId="3F38D4B4">
            <w:pPr>
              <w:widowControl/>
              <w:ind w:firstLine="0" w:firstLineChars="0"/>
              <w:rPr>
                <w:rFonts w:ascii="宋体"/>
                <w:color w:val="auto"/>
                <w:sz w:val="21"/>
                <w:szCs w:val="24"/>
                <w:highlight w:val="none"/>
              </w:rPr>
            </w:pPr>
            <w:r>
              <w:rPr>
                <w:rFonts w:hint="eastAsia" w:ascii="宋体"/>
                <w:color w:val="auto"/>
                <w:sz w:val="21"/>
                <w:szCs w:val="24"/>
                <w:highlight w:val="none"/>
              </w:rPr>
              <w:t>项目延期</w:t>
            </w:r>
          </w:p>
        </w:tc>
        <w:tc>
          <w:tcPr>
            <w:tcW w:w="1134" w:type="dxa"/>
            <w:tcBorders>
              <w:tl2br w:val="nil"/>
              <w:tr2bl w:val="nil"/>
            </w:tcBorders>
            <w:shd w:val="clear" w:color="auto" w:fill="auto"/>
            <w:vAlign w:val="center"/>
          </w:tcPr>
          <w:p w14:paraId="78BD53DB">
            <w:pPr>
              <w:widowControl/>
              <w:ind w:firstLine="0" w:firstLineChars="0"/>
              <w:rPr>
                <w:rFonts w:ascii="宋体"/>
                <w:color w:val="auto"/>
                <w:sz w:val="21"/>
                <w:szCs w:val="24"/>
                <w:highlight w:val="none"/>
              </w:rPr>
            </w:pPr>
            <w:r>
              <w:rPr>
                <w:rFonts w:hint="eastAsia" w:ascii="宋体"/>
                <w:color w:val="auto"/>
                <w:sz w:val="21"/>
                <w:szCs w:val="24"/>
                <w:highlight w:val="none"/>
              </w:rPr>
              <w:t>衡量乙方对项目整体实施进度的控制能力</w:t>
            </w:r>
          </w:p>
        </w:tc>
        <w:tc>
          <w:tcPr>
            <w:tcW w:w="1417" w:type="dxa"/>
            <w:tcBorders>
              <w:tl2br w:val="nil"/>
              <w:tr2bl w:val="nil"/>
            </w:tcBorders>
            <w:shd w:val="clear" w:color="auto" w:fill="auto"/>
            <w:vAlign w:val="center"/>
          </w:tcPr>
          <w:p w14:paraId="3072A032">
            <w:pPr>
              <w:widowControl/>
              <w:ind w:firstLine="0" w:firstLineChars="0"/>
              <w:rPr>
                <w:rFonts w:ascii="宋体"/>
                <w:color w:val="auto"/>
                <w:sz w:val="21"/>
                <w:szCs w:val="24"/>
                <w:highlight w:val="none"/>
              </w:rPr>
            </w:pPr>
            <w:r>
              <w:rPr>
                <w:rFonts w:hint="eastAsia" w:ascii="宋体"/>
                <w:color w:val="auto"/>
                <w:sz w:val="21"/>
                <w:szCs w:val="24"/>
                <w:highlight w:val="none"/>
              </w:rPr>
              <w:t>乙方原因导致的项目进度偏差</w:t>
            </w:r>
          </w:p>
        </w:tc>
        <w:tc>
          <w:tcPr>
            <w:tcW w:w="1701" w:type="dxa"/>
            <w:tcBorders>
              <w:tl2br w:val="nil"/>
              <w:tr2bl w:val="nil"/>
            </w:tcBorders>
            <w:shd w:val="clear" w:color="auto" w:fill="auto"/>
            <w:vAlign w:val="center"/>
          </w:tcPr>
          <w:p w14:paraId="2CD2775C">
            <w:pPr>
              <w:widowControl/>
              <w:ind w:firstLine="0" w:firstLineChars="0"/>
              <w:rPr>
                <w:rFonts w:ascii="宋体"/>
                <w:color w:val="auto"/>
                <w:sz w:val="21"/>
                <w:szCs w:val="24"/>
                <w:highlight w:val="none"/>
              </w:rPr>
            </w:pPr>
            <w:r>
              <w:rPr>
                <w:rFonts w:hint="eastAsia" w:ascii="宋体"/>
                <w:color w:val="auto"/>
                <w:sz w:val="21"/>
                <w:szCs w:val="24"/>
                <w:highlight w:val="none"/>
              </w:rPr>
              <w:t>按项目计划为基准计算进度偏差天数（进度偏差率≤20%）</w:t>
            </w:r>
          </w:p>
        </w:tc>
        <w:tc>
          <w:tcPr>
            <w:tcW w:w="1843" w:type="dxa"/>
            <w:tcBorders>
              <w:tl2br w:val="nil"/>
              <w:tr2bl w:val="nil"/>
            </w:tcBorders>
            <w:shd w:val="clear" w:color="auto" w:fill="auto"/>
            <w:vAlign w:val="center"/>
          </w:tcPr>
          <w:p w14:paraId="3A724404">
            <w:pPr>
              <w:widowControl/>
              <w:ind w:firstLine="0" w:firstLineChars="0"/>
              <w:rPr>
                <w:rFonts w:ascii="宋体"/>
                <w:color w:val="auto"/>
                <w:sz w:val="21"/>
                <w:szCs w:val="24"/>
                <w:highlight w:val="none"/>
              </w:rPr>
            </w:pPr>
            <w:r>
              <w:rPr>
                <w:rFonts w:hint="eastAsia" w:ascii="宋体"/>
                <w:color w:val="auto"/>
                <w:sz w:val="21"/>
                <w:szCs w:val="24"/>
                <w:highlight w:val="none"/>
              </w:rPr>
              <w:t>进度偏差率=进度偏差天数/项目计划中进度天数（进度偏差率≤20%）</w:t>
            </w:r>
          </w:p>
        </w:tc>
        <w:tc>
          <w:tcPr>
            <w:tcW w:w="1984" w:type="dxa"/>
            <w:tcBorders>
              <w:tl2br w:val="nil"/>
              <w:tr2bl w:val="nil"/>
            </w:tcBorders>
            <w:shd w:val="clear" w:color="auto" w:fill="auto"/>
            <w:vAlign w:val="center"/>
          </w:tcPr>
          <w:p w14:paraId="739CB739">
            <w:pPr>
              <w:widowControl/>
              <w:ind w:firstLine="0" w:firstLineChars="0"/>
              <w:rPr>
                <w:rFonts w:ascii="宋体"/>
                <w:color w:val="auto"/>
                <w:sz w:val="21"/>
                <w:szCs w:val="24"/>
                <w:highlight w:val="none"/>
              </w:rPr>
            </w:pPr>
            <w:r>
              <w:rPr>
                <w:rFonts w:hint="eastAsia" w:ascii="宋体"/>
                <w:color w:val="auto"/>
                <w:sz w:val="21"/>
                <w:szCs w:val="24"/>
                <w:highlight w:val="none"/>
              </w:rPr>
              <w:t>20%＜进度偏差率≤30%，每偏差一天按合同总金额的0.1%计违约金，进度偏差率＞30%并且延期3个月以上，违约金为合同总金额的10%</w:t>
            </w:r>
          </w:p>
        </w:tc>
        <w:tc>
          <w:tcPr>
            <w:tcW w:w="709" w:type="dxa"/>
            <w:tcBorders>
              <w:tl2br w:val="nil"/>
              <w:tr2bl w:val="nil"/>
            </w:tcBorders>
          </w:tcPr>
          <w:p w14:paraId="528F50DB">
            <w:pPr>
              <w:widowControl/>
              <w:ind w:firstLine="0" w:firstLineChars="0"/>
              <w:rPr>
                <w:rFonts w:ascii="宋体"/>
                <w:color w:val="auto"/>
                <w:sz w:val="21"/>
                <w:szCs w:val="24"/>
                <w:highlight w:val="none"/>
              </w:rPr>
            </w:pPr>
          </w:p>
        </w:tc>
      </w:tr>
      <w:tr w14:paraId="2C58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7" w:type="dxa"/>
            <w:tcBorders>
              <w:tl2br w:val="nil"/>
              <w:tr2bl w:val="nil"/>
            </w:tcBorders>
            <w:shd w:val="clear" w:color="auto" w:fill="auto"/>
            <w:vAlign w:val="center"/>
          </w:tcPr>
          <w:p w14:paraId="7E4B51EC">
            <w:pPr>
              <w:widowControl/>
              <w:ind w:firstLine="0" w:firstLineChars="0"/>
              <w:jc w:val="center"/>
              <w:rPr>
                <w:rFonts w:ascii="宋体"/>
                <w:color w:val="auto"/>
                <w:szCs w:val="24"/>
                <w:highlight w:val="none"/>
              </w:rPr>
            </w:pPr>
            <w:r>
              <w:rPr>
                <w:rFonts w:hint="eastAsia" w:ascii="宋体"/>
                <w:color w:val="auto"/>
                <w:szCs w:val="24"/>
                <w:highlight w:val="none"/>
              </w:rPr>
              <w:t>3</w:t>
            </w:r>
          </w:p>
        </w:tc>
        <w:tc>
          <w:tcPr>
            <w:tcW w:w="710" w:type="dxa"/>
            <w:tcBorders>
              <w:tl2br w:val="nil"/>
              <w:tr2bl w:val="nil"/>
            </w:tcBorders>
            <w:shd w:val="clear" w:color="auto" w:fill="auto"/>
            <w:vAlign w:val="center"/>
          </w:tcPr>
          <w:p w14:paraId="44AD0BCD">
            <w:pPr>
              <w:widowControl/>
              <w:ind w:firstLine="0" w:firstLineChars="0"/>
              <w:rPr>
                <w:rFonts w:ascii="宋体"/>
                <w:color w:val="auto"/>
                <w:sz w:val="21"/>
                <w:szCs w:val="24"/>
                <w:highlight w:val="none"/>
              </w:rPr>
            </w:pPr>
            <w:r>
              <w:rPr>
                <w:rFonts w:hint="eastAsia" w:ascii="宋体"/>
                <w:color w:val="auto"/>
                <w:sz w:val="21"/>
                <w:szCs w:val="24"/>
                <w:highlight w:val="none"/>
              </w:rPr>
              <w:t>任务完成情况</w:t>
            </w:r>
          </w:p>
        </w:tc>
        <w:tc>
          <w:tcPr>
            <w:tcW w:w="1134" w:type="dxa"/>
            <w:tcBorders>
              <w:tl2br w:val="nil"/>
              <w:tr2bl w:val="nil"/>
            </w:tcBorders>
            <w:shd w:val="clear" w:color="auto" w:fill="auto"/>
            <w:vAlign w:val="center"/>
          </w:tcPr>
          <w:p w14:paraId="184C3B49">
            <w:pPr>
              <w:widowControl/>
              <w:snapToGrid w:val="0"/>
              <w:spacing w:line="320" w:lineRule="exact"/>
              <w:ind w:firstLine="0" w:firstLineChars="0"/>
              <w:rPr>
                <w:rFonts w:ascii="宋体"/>
                <w:color w:val="auto"/>
                <w:highlight w:val="none"/>
              </w:rPr>
            </w:pPr>
            <w:r>
              <w:rPr>
                <w:rFonts w:hint="eastAsia" w:ascii="宋体"/>
                <w:color w:val="auto"/>
                <w:sz w:val="21"/>
                <w:szCs w:val="24"/>
                <w:highlight w:val="none"/>
              </w:rPr>
              <w:t>衡量乙方按计划完成任务的能力</w:t>
            </w:r>
          </w:p>
        </w:tc>
        <w:tc>
          <w:tcPr>
            <w:tcW w:w="1417" w:type="dxa"/>
            <w:tcBorders>
              <w:tl2br w:val="nil"/>
              <w:tr2bl w:val="nil"/>
            </w:tcBorders>
            <w:shd w:val="clear" w:color="auto" w:fill="auto"/>
            <w:vAlign w:val="center"/>
          </w:tcPr>
          <w:p w14:paraId="00B14CE9">
            <w:pPr>
              <w:widowControl/>
              <w:ind w:firstLine="0" w:firstLineChars="0"/>
              <w:rPr>
                <w:rFonts w:ascii="宋体"/>
                <w:color w:val="auto"/>
                <w:sz w:val="21"/>
                <w:szCs w:val="24"/>
                <w:highlight w:val="none"/>
              </w:rPr>
            </w:pPr>
            <w:r>
              <w:rPr>
                <w:rFonts w:hint="eastAsia" w:ascii="宋体"/>
                <w:color w:val="auto"/>
                <w:sz w:val="21"/>
                <w:szCs w:val="24"/>
                <w:highlight w:val="none"/>
              </w:rPr>
              <w:t>乙方应当在双方确认的时间内完成任务</w:t>
            </w:r>
          </w:p>
        </w:tc>
        <w:tc>
          <w:tcPr>
            <w:tcW w:w="1701" w:type="dxa"/>
            <w:tcBorders>
              <w:tl2br w:val="nil"/>
              <w:tr2bl w:val="nil"/>
            </w:tcBorders>
            <w:shd w:val="clear" w:color="auto" w:fill="auto"/>
            <w:vAlign w:val="center"/>
          </w:tcPr>
          <w:p w14:paraId="6C6BCDD3">
            <w:pPr>
              <w:widowControl/>
              <w:ind w:firstLine="0" w:firstLineChars="0"/>
              <w:rPr>
                <w:rFonts w:ascii="宋体"/>
                <w:color w:val="auto"/>
                <w:sz w:val="21"/>
                <w:szCs w:val="24"/>
                <w:highlight w:val="none"/>
              </w:rPr>
            </w:pPr>
          </w:p>
          <w:p w14:paraId="5CB47BC7">
            <w:pPr>
              <w:widowControl/>
              <w:ind w:firstLine="0" w:firstLineChars="0"/>
              <w:rPr>
                <w:rFonts w:ascii="宋体"/>
                <w:color w:val="auto"/>
                <w:sz w:val="21"/>
                <w:szCs w:val="24"/>
                <w:highlight w:val="none"/>
              </w:rPr>
            </w:pPr>
            <w:r>
              <w:rPr>
                <w:rFonts w:hint="eastAsia" w:ascii="宋体"/>
                <w:color w:val="auto"/>
                <w:sz w:val="21"/>
                <w:szCs w:val="24"/>
                <w:highlight w:val="none"/>
              </w:rPr>
              <w:t>甲方标识出每一项任务完成的具体时间，对比乙方给出的任务完成计划时间</w:t>
            </w:r>
          </w:p>
        </w:tc>
        <w:tc>
          <w:tcPr>
            <w:tcW w:w="1843" w:type="dxa"/>
            <w:tcBorders>
              <w:tl2br w:val="nil"/>
              <w:tr2bl w:val="nil"/>
            </w:tcBorders>
            <w:shd w:val="clear" w:color="auto" w:fill="auto"/>
            <w:vAlign w:val="center"/>
          </w:tcPr>
          <w:p w14:paraId="3D95ADFF">
            <w:pPr>
              <w:widowControl/>
              <w:ind w:firstLine="0" w:firstLineChars="0"/>
              <w:rPr>
                <w:rFonts w:ascii="宋体"/>
                <w:color w:val="auto"/>
                <w:sz w:val="21"/>
                <w:szCs w:val="24"/>
                <w:highlight w:val="none"/>
              </w:rPr>
            </w:pPr>
            <w:r>
              <w:rPr>
                <w:rFonts w:hint="eastAsia" w:ascii="宋体"/>
                <w:color w:val="auto"/>
                <w:sz w:val="21"/>
                <w:szCs w:val="24"/>
                <w:highlight w:val="none"/>
              </w:rPr>
              <w:t>1.需求分析说明、概要设计、详细设计100%完成；</w:t>
            </w:r>
          </w:p>
          <w:p w14:paraId="70C077AB">
            <w:pPr>
              <w:widowControl/>
              <w:ind w:firstLine="0" w:firstLineChars="0"/>
              <w:rPr>
                <w:rFonts w:ascii="宋体"/>
                <w:color w:val="auto"/>
                <w:sz w:val="21"/>
                <w:szCs w:val="24"/>
                <w:highlight w:val="none"/>
              </w:rPr>
            </w:pPr>
            <w:r>
              <w:rPr>
                <w:rFonts w:hint="eastAsia" w:ascii="宋体"/>
                <w:color w:val="auto"/>
                <w:sz w:val="21"/>
                <w:szCs w:val="24"/>
                <w:highlight w:val="none"/>
              </w:rPr>
              <w:t>2.软件编码100%完成；</w:t>
            </w:r>
          </w:p>
          <w:p w14:paraId="088EF1BE">
            <w:pPr>
              <w:widowControl/>
              <w:ind w:firstLine="0" w:firstLineChars="0"/>
              <w:rPr>
                <w:rFonts w:ascii="宋体"/>
                <w:color w:val="auto"/>
                <w:sz w:val="21"/>
                <w:szCs w:val="24"/>
                <w:highlight w:val="none"/>
              </w:rPr>
            </w:pPr>
            <w:r>
              <w:rPr>
                <w:rFonts w:hint="eastAsia" w:ascii="宋体"/>
                <w:color w:val="auto"/>
                <w:sz w:val="21"/>
                <w:szCs w:val="24"/>
                <w:highlight w:val="none"/>
              </w:rPr>
              <w:t>3.测试案例需求覆盖率100%，且测试案例执行率100%</w:t>
            </w:r>
          </w:p>
        </w:tc>
        <w:tc>
          <w:tcPr>
            <w:tcW w:w="1984" w:type="dxa"/>
            <w:tcBorders>
              <w:tl2br w:val="nil"/>
              <w:tr2bl w:val="nil"/>
            </w:tcBorders>
            <w:shd w:val="clear" w:color="auto" w:fill="auto"/>
            <w:vAlign w:val="center"/>
          </w:tcPr>
          <w:p w14:paraId="6FC36E3B">
            <w:pPr>
              <w:widowControl/>
              <w:ind w:firstLine="0" w:firstLineChars="0"/>
              <w:rPr>
                <w:rFonts w:ascii="宋体"/>
                <w:color w:val="auto"/>
                <w:sz w:val="21"/>
                <w:szCs w:val="24"/>
                <w:highlight w:val="none"/>
              </w:rPr>
            </w:pPr>
            <w:r>
              <w:rPr>
                <w:rFonts w:hint="eastAsia" w:ascii="宋体"/>
                <w:color w:val="auto"/>
                <w:sz w:val="21"/>
                <w:szCs w:val="24"/>
                <w:highlight w:val="none"/>
              </w:rPr>
              <w:t>以上三个指标之一低于90%甲方有权终止合同，追回支付款项，要求赔偿损失</w:t>
            </w:r>
          </w:p>
        </w:tc>
        <w:tc>
          <w:tcPr>
            <w:tcW w:w="709" w:type="dxa"/>
            <w:tcBorders>
              <w:tl2br w:val="nil"/>
              <w:tr2bl w:val="nil"/>
            </w:tcBorders>
          </w:tcPr>
          <w:p w14:paraId="013EF835">
            <w:pPr>
              <w:widowControl/>
              <w:ind w:firstLine="0" w:firstLineChars="0"/>
              <w:rPr>
                <w:rFonts w:ascii="宋体"/>
                <w:color w:val="auto"/>
                <w:sz w:val="21"/>
                <w:szCs w:val="24"/>
                <w:highlight w:val="none"/>
              </w:rPr>
            </w:pPr>
          </w:p>
        </w:tc>
      </w:tr>
      <w:tr w14:paraId="18F7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38F2F116">
            <w:pPr>
              <w:widowControl/>
              <w:ind w:firstLine="0" w:firstLineChars="0"/>
              <w:jc w:val="center"/>
              <w:rPr>
                <w:rFonts w:ascii="宋体"/>
                <w:color w:val="auto"/>
                <w:szCs w:val="24"/>
                <w:highlight w:val="none"/>
              </w:rPr>
            </w:pPr>
            <w:r>
              <w:rPr>
                <w:rFonts w:hint="eastAsia" w:ascii="宋体"/>
                <w:color w:val="auto"/>
                <w:szCs w:val="24"/>
                <w:highlight w:val="none"/>
              </w:rPr>
              <w:t>4</w:t>
            </w:r>
          </w:p>
        </w:tc>
        <w:tc>
          <w:tcPr>
            <w:tcW w:w="710" w:type="dxa"/>
            <w:tcBorders>
              <w:tl2br w:val="nil"/>
              <w:tr2bl w:val="nil"/>
            </w:tcBorders>
            <w:shd w:val="clear" w:color="auto" w:fill="auto"/>
            <w:vAlign w:val="center"/>
          </w:tcPr>
          <w:p w14:paraId="5978116A">
            <w:pPr>
              <w:widowControl/>
              <w:ind w:firstLine="0" w:firstLineChars="0"/>
              <w:rPr>
                <w:rFonts w:ascii="宋体"/>
                <w:color w:val="auto"/>
                <w:sz w:val="21"/>
                <w:szCs w:val="24"/>
                <w:highlight w:val="none"/>
              </w:rPr>
            </w:pPr>
            <w:r>
              <w:rPr>
                <w:rFonts w:hint="eastAsia" w:ascii="宋体"/>
                <w:color w:val="auto"/>
                <w:sz w:val="21"/>
                <w:szCs w:val="24"/>
                <w:highlight w:val="none"/>
              </w:rPr>
              <w:t>上线后重大质量缺陷</w:t>
            </w:r>
          </w:p>
        </w:tc>
        <w:tc>
          <w:tcPr>
            <w:tcW w:w="1134" w:type="dxa"/>
            <w:tcBorders>
              <w:tl2br w:val="nil"/>
              <w:tr2bl w:val="nil"/>
            </w:tcBorders>
            <w:shd w:val="clear" w:color="auto" w:fill="auto"/>
            <w:vAlign w:val="center"/>
          </w:tcPr>
          <w:p w14:paraId="2454D1E4">
            <w:pPr>
              <w:widowControl/>
              <w:ind w:firstLine="0" w:firstLineChars="0"/>
              <w:rPr>
                <w:rFonts w:ascii="宋体"/>
                <w:color w:val="auto"/>
                <w:sz w:val="21"/>
                <w:szCs w:val="24"/>
                <w:highlight w:val="none"/>
              </w:rPr>
            </w:pPr>
            <w:r>
              <w:rPr>
                <w:rFonts w:hint="eastAsia" w:ascii="宋体"/>
                <w:color w:val="auto"/>
                <w:sz w:val="21"/>
                <w:szCs w:val="24"/>
                <w:highlight w:val="none"/>
              </w:rPr>
              <w:t>衡量乙方在系统上线运行后的稳定性</w:t>
            </w:r>
          </w:p>
        </w:tc>
        <w:tc>
          <w:tcPr>
            <w:tcW w:w="1417" w:type="dxa"/>
            <w:tcBorders>
              <w:tl2br w:val="nil"/>
              <w:tr2bl w:val="nil"/>
            </w:tcBorders>
            <w:shd w:val="clear" w:color="auto" w:fill="auto"/>
            <w:vAlign w:val="center"/>
          </w:tcPr>
          <w:p w14:paraId="2E89095B">
            <w:pPr>
              <w:widowControl/>
              <w:ind w:firstLine="0" w:firstLineChars="0"/>
              <w:rPr>
                <w:rFonts w:ascii="宋体"/>
                <w:color w:val="auto"/>
                <w:sz w:val="21"/>
                <w:szCs w:val="24"/>
                <w:highlight w:val="none"/>
              </w:rPr>
            </w:pPr>
            <w:r>
              <w:rPr>
                <w:rFonts w:hint="eastAsia" w:ascii="宋体" w:cs="宋体"/>
                <w:color w:val="auto"/>
                <w:sz w:val="21"/>
                <w:szCs w:val="24"/>
                <w:highlight w:val="none"/>
              </w:rPr>
              <w:t>系统上线后不能发生较大运营中断事件和重大质量缺陷</w:t>
            </w:r>
          </w:p>
        </w:tc>
        <w:tc>
          <w:tcPr>
            <w:tcW w:w="1701" w:type="dxa"/>
            <w:tcBorders>
              <w:tl2br w:val="nil"/>
              <w:tr2bl w:val="nil"/>
            </w:tcBorders>
            <w:shd w:val="clear" w:color="auto" w:fill="auto"/>
            <w:vAlign w:val="center"/>
          </w:tcPr>
          <w:p w14:paraId="1AA81D56">
            <w:pPr>
              <w:widowControl/>
              <w:ind w:firstLine="0" w:firstLineChars="0"/>
              <w:rPr>
                <w:rFonts w:ascii="宋体"/>
                <w:color w:val="auto"/>
                <w:sz w:val="21"/>
                <w:szCs w:val="24"/>
                <w:highlight w:val="none"/>
              </w:rPr>
            </w:pPr>
            <w:r>
              <w:rPr>
                <w:rFonts w:hint="eastAsia" w:ascii="宋体"/>
                <w:color w:val="auto"/>
                <w:sz w:val="21"/>
                <w:szCs w:val="24"/>
                <w:highlight w:val="none"/>
              </w:rPr>
              <w:t>甲方根据系统</w:t>
            </w:r>
            <w:r>
              <w:rPr>
                <w:rFonts w:hint="eastAsia" w:ascii="宋体" w:cs="宋体"/>
                <w:color w:val="auto"/>
                <w:sz w:val="21"/>
                <w:szCs w:val="24"/>
                <w:highlight w:val="none"/>
              </w:rPr>
              <w:t>生产缺陷程度</w:t>
            </w:r>
            <w:r>
              <w:rPr>
                <w:rFonts w:hint="eastAsia" w:ascii="宋体"/>
                <w:color w:val="auto"/>
                <w:sz w:val="21"/>
                <w:szCs w:val="24"/>
                <w:highlight w:val="none"/>
              </w:rPr>
              <w:t>和数量判定</w:t>
            </w:r>
          </w:p>
        </w:tc>
        <w:tc>
          <w:tcPr>
            <w:tcW w:w="1843" w:type="dxa"/>
            <w:tcBorders>
              <w:tl2br w:val="nil"/>
              <w:tr2bl w:val="nil"/>
            </w:tcBorders>
            <w:shd w:val="clear" w:color="auto" w:fill="auto"/>
            <w:vAlign w:val="center"/>
          </w:tcPr>
          <w:p w14:paraId="237FCC32">
            <w:pPr>
              <w:ind w:firstLine="0" w:firstLineChars="0"/>
              <w:rPr>
                <w:rFonts w:ascii="宋体" w:cs="宋体"/>
                <w:color w:val="auto"/>
                <w:sz w:val="21"/>
                <w:szCs w:val="24"/>
                <w:highlight w:val="none"/>
              </w:rPr>
            </w:pPr>
            <w:r>
              <w:rPr>
                <w:rFonts w:hint="eastAsia" w:ascii="宋体" w:cs="宋体"/>
                <w:color w:val="auto"/>
                <w:sz w:val="21"/>
                <w:szCs w:val="24"/>
                <w:highlight w:val="none"/>
              </w:rPr>
              <w:t>1、应用软件未出现III级(含)以上的运营中断事件；</w:t>
            </w:r>
          </w:p>
          <w:p w14:paraId="2EE94ED3">
            <w:pPr>
              <w:ind w:firstLine="0" w:firstLineChars="0"/>
              <w:rPr>
                <w:rFonts w:ascii="宋体" w:cs="宋体"/>
                <w:color w:val="auto"/>
                <w:sz w:val="21"/>
                <w:szCs w:val="24"/>
                <w:highlight w:val="none"/>
              </w:rPr>
            </w:pPr>
            <w:r>
              <w:rPr>
                <w:rFonts w:hint="eastAsia" w:ascii="宋体" w:cs="宋体"/>
                <w:color w:val="auto"/>
                <w:sz w:val="21"/>
                <w:szCs w:val="24"/>
                <w:highlight w:val="none"/>
              </w:rPr>
              <w:t>2、应用软件未出现严重缺陷和致命缺陷；</w:t>
            </w:r>
          </w:p>
          <w:p w14:paraId="7F271706">
            <w:pPr>
              <w:widowControl/>
              <w:ind w:firstLine="0" w:firstLineChars="0"/>
              <w:rPr>
                <w:rFonts w:ascii="宋体"/>
                <w:color w:val="auto"/>
                <w:sz w:val="21"/>
                <w:szCs w:val="24"/>
                <w:highlight w:val="none"/>
              </w:rPr>
            </w:pPr>
            <w:r>
              <w:rPr>
                <w:rFonts w:hint="eastAsia" w:ascii="宋体" w:cs="宋体"/>
                <w:color w:val="auto"/>
                <w:sz w:val="21"/>
                <w:szCs w:val="24"/>
                <w:highlight w:val="none"/>
              </w:rPr>
              <w:t xml:space="preserve">3、一般和微小缺陷逃逸率≤4.5% </w:t>
            </w:r>
          </w:p>
        </w:tc>
        <w:tc>
          <w:tcPr>
            <w:tcW w:w="1984" w:type="dxa"/>
            <w:tcBorders>
              <w:tl2br w:val="nil"/>
              <w:tr2bl w:val="nil"/>
            </w:tcBorders>
            <w:shd w:val="clear" w:color="auto" w:fill="auto"/>
            <w:vAlign w:val="center"/>
          </w:tcPr>
          <w:p w14:paraId="4DB38A97">
            <w:pPr>
              <w:ind w:firstLine="0" w:firstLineChars="0"/>
              <w:rPr>
                <w:rFonts w:ascii="宋体"/>
                <w:color w:val="auto"/>
                <w:sz w:val="21"/>
                <w:szCs w:val="24"/>
                <w:highlight w:val="none"/>
              </w:rPr>
            </w:pPr>
            <w:r>
              <w:rPr>
                <w:rFonts w:hint="eastAsia" w:ascii="宋体" w:cs="宋体"/>
                <w:color w:val="auto"/>
                <w:sz w:val="21"/>
                <w:szCs w:val="24"/>
                <w:highlight w:val="none"/>
              </w:rPr>
              <w:t>不满足该项任一标准扣除2万元违约金并要求乙方赔偿损失</w:t>
            </w:r>
          </w:p>
        </w:tc>
        <w:tc>
          <w:tcPr>
            <w:tcW w:w="709" w:type="dxa"/>
            <w:tcBorders>
              <w:tl2br w:val="nil"/>
              <w:tr2bl w:val="nil"/>
            </w:tcBorders>
          </w:tcPr>
          <w:p w14:paraId="12AA2201">
            <w:pPr>
              <w:ind w:firstLine="0" w:firstLineChars="0"/>
              <w:rPr>
                <w:rFonts w:ascii="宋体" w:cs="宋体"/>
                <w:color w:val="auto"/>
                <w:sz w:val="21"/>
                <w:szCs w:val="24"/>
                <w:highlight w:val="none"/>
              </w:rPr>
            </w:pPr>
          </w:p>
        </w:tc>
      </w:tr>
      <w:tr w14:paraId="43A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l2br w:val="nil"/>
              <w:tr2bl w:val="nil"/>
            </w:tcBorders>
            <w:shd w:val="clear" w:color="auto" w:fill="auto"/>
            <w:vAlign w:val="center"/>
          </w:tcPr>
          <w:p w14:paraId="7E25A881">
            <w:pPr>
              <w:widowControl/>
              <w:ind w:firstLine="0" w:firstLineChars="0"/>
              <w:jc w:val="center"/>
              <w:rPr>
                <w:rFonts w:ascii="宋体"/>
                <w:color w:val="auto"/>
                <w:szCs w:val="24"/>
                <w:highlight w:val="none"/>
              </w:rPr>
            </w:pPr>
            <w:r>
              <w:rPr>
                <w:rFonts w:hint="eastAsia" w:ascii="宋体"/>
                <w:color w:val="auto"/>
                <w:szCs w:val="24"/>
                <w:highlight w:val="none"/>
              </w:rPr>
              <w:t>5</w:t>
            </w:r>
          </w:p>
        </w:tc>
        <w:tc>
          <w:tcPr>
            <w:tcW w:w="710" w:type="dxa"/>
            <w:tcBorders>
              <w:tl2br w:val="nil"/>
              <w:tr2bl w:val="nil"/>
            </w:tcBorders>
            <w:shd w:val="clear" w:color="auto" w:fill="auto"/>
            <w:vAlign w:val="center"/>
          </w:tcPr>
          <w:p w14:paraId="6E1874E9">
            <w:pPr>
              <w:widowControl/>
              <w:ind w:firstLine="0" w:firstLineChars="0"/>
              <w:rPr>
                <w:rFonts w:ascii="宋体"/>
                <w:color w:val="auto"/>
                <w:sz w:val="21"/>
                <w:szCs w:val="24"/>
                <w:highlight w:val="none"/>
              </w:rPr>
            </w:pPr>
            <w:r>
              <w:rPr>
                <w:rFonts w:hint="eastAsia" w:ascii="宋体"/>
                <w:color w:val="auto"/>
                <w:sz w:val="21"/>
                <w:szCs w:val="24"/>
                <w:highlight w:val="none"/>
              </w:rPr>
              <w:t>上线后重大问题处理</w:t>
            </w:r>
          </w:p>
        </w:tc>
        <w:tc>
          <w:tcPr>
            <w:tcW w:w="1134" w:type="dxa"/>
            <w:tcBorders>
              <w:tl2br w:val="nil"/>
              <w:tr2bl w:val="nil"/>
            </w:tcBorders>
            <w:shd w:val="clear" w:color="auto" w:fill="auto"/>
            <w:vAlign w:val="center"/>
          </w:tcPr>
          <w:p w14:paraId="47927817">
            <w:pPr>
              <w:widowControl/>
              <w:ind w:firstLine="0" w:firstLineChars="0"/>
              <w:rPr>
                <w:rFonts w:ascii="宋体"/>
                <w:color w:val="auto"/>
                <w:sz w:val="21"/>
                <w:szCs w:val="24"/>
                <w:highlight w:val="none"/>
              </w:rPr>
            </w:pPr>
            <w:r>
              <w:rPr>
                <w:rFonts w:hint="eastAsia" w:ascii="宋体"/>
                <w:color w:val="auto"/>
                <w:sz w:val="21"/>
                <w:szCs w:val="24"/>
                <w:highlight w:val="none"/>
              </w:rPr>
              <w:t>衡量乙方在系统上线运行后及时处理重大问题的能力</w:t>
            </w:r>
          </w:p>
        </w:tc>
        <w:tc>
          <w:tcPr>
            <w:tcW w:w="1417" w:type="dxa"/>
            <w:tcBorders>
              <w:tl2br w:val="nil"/>
              <w:tr2bl w:val="nil"/>
            </w:tcBorders>
            <w:shd w:val="clear" w:color="auto" w:fill="auto"/>
            <w:vAlign w:val="center"/>
          </w:tcPr>
          <w:p w14:paraId="3B320B68">
            <w:pPr>
              <w:widowControl/>
              <w:ind w:firstLine="0" w:firstLineChars="0"/>
              <w:rPr>
                <w:rFonts w:ascii="宋体"/>
                <w:color w:val="auto"/>
                <w:sz w:val="21"/>
                <w:szCs w:val="24"/>
                <w:highlight w:val="none"/>
              </w:rPr>
            </w:pPr>
            <w:r>
              <w:rPr>
                <w:rFonts w:hint="eastAsia" w:ascii="宋体"/>
                <w:color w:val="auto"/>
                <w:sz w:val="21"/>
                <w:szCs w:val="24"/>
                <w:highlight w:val="none"/>
              </w:rPr>
              <w:t>上线后遗留问题或生产缺陷解决的及时性</w:t>
            </w:r>
          </w:p>
        </w:tc>
        <w:tc>
          <w:tcPr>
            <w:tcW w:w="1701" w:type="dxa"/>
            <w:tcBorders>
              <w:tl2br w:val="nil"/>
              <w:tr2bl w:val="nil"/>
            </w:tcBorders>
            <w:shd w:val="clear" w:color="auto" w:fill="auto"/>
            <w:vAlign w:val="center"/>
          </w:tcPr>
          <w:p w14:paraId="2F3BC74C">
            <w:pPr>
              <w:widowControl/>
              <w:ind w:firstLine="0" w:firstLineChars="0"/>
              <w:rPr>
                <w:rFonts w:ascii="宋体"/>
                <w:color w:val="auto"/>
                <w:sz w:val="21"/>
                <w:szCs w:val="24"/>
                <w:highlight w:val="none"/>
              </w:rPr>
            </w:pPr>
            <w:r>
              <w:rPr>
                <w:rFonts w:hint="eastAsia" w:ascii="宋体"/>
                <w:color w:val="auto"/>
                <w:sz w:val="21"/>
                <w:szCs w:val="24"/>
                <w:highlight w:val="none"/>
              </w:rPr>
              <w:t>甲方根据系统上线运行后的重大问题处理情况判定</w:t>
            </w:r>
          </w:p>
        </w:tc>
        <w:tc>
          <w:tcPr>
            <w:tcW w:w="1843" w:type="dxa"/>
            <w:tcBorders>
              <w:tl2br w:val="nil"/>
              <w:tr2bl w:val="nil"/>
            </w:tcBorders>
            <w:shd w:val="clear" w:color="auto" w:fill="auto"/>
            <w:vAlign w:val="center"/>
          </w:tcPr>
          <w:p w14:paraId="5560E618">
            <w:pPr>
              <w:widowControl/>
              <w:ind w:firstLine="0" w:firstLineChars="0"/>
              <w:rPr>
                <w:rFonts w:ascii="宋体"/>
                <w:color w:val="auto"/>
                <w:sz w:val="21"/>
                <w:szCs w:val="24"/>
                <w:highlight w:val="none"/>
              </w:rPr>
            </w:pPr>
            <w:r>
              <w:rPr>
                <w:rFonts w:hint="eastAsia" w:ascii="宋体"/>
                <w:color w:val="auto"/>
                <w:sz w:val="21"/>
                <w:szCs w:val="24"/>
                <w:highlight w:val="none"/>
              </w:rPr>
              <w:t>生产缺陷解决及时率=100%</w:t>
            </w:r>
          </w:p>
        </w:tc>
        <w:tc>
          <w:tcPr>
            <w:tcW w:w="1984" w:type="dxa"/>
            <w:tcBorders>
              <w:tl2br w:val="nil"/>
              <w:tr2bl w:val="nil"/>
            </w:tcBorders>
            <w:shd w:val="clear" w:color="auto" w:fill="auto"/>
            <w:vAlign w:val="center"/>
          </w:tcPr>
          <w:p w14:paraId="3D8E51BA">
            <w:pPr>
              <w:widowControl/>
              <w:ind w:firstLine="0" w:firstLineChars="0"/>
              <w:rPr>
                <w:rFonts w:ascii="宋体"/>
                <w:color w:val="auto"/>
                <w:sz w:val="21"/>
                <w:szCs w:val="24"/>
                <w:highlight w:val="none"/>
              </w:rPr>
            </w:pPr>
            <w:r>
              <w:rPr>
                <w:rFonts w:hint="eastAsia" w:ascii="宋体"/>
                <w:color w:val="auto"/>
                <w:sz w:val="21"/>
                <w:szCs w:val="24"/>
                <w:highlight w:val="none"/>
              </w:rPr>
              <w:t>重大生产缺陷、问题不能得到及时解决，每次按合同总金额的5%计违约金</w:t>
            </w:r>
          </w:p>
        </w:tc>
        <w:tc>
          <w:tcPr>
            <w:tcW w:w="709" w:type="dxa"/>
            <w:tcBorders>
              <w:tl2br w:val="nil"/>
              <w:tr2bl w:val="nil"/>
            </w:tcBorders>
          </w:tcPr>
          <w:p w14:paraId="4A425B51">
            <w:pPr>
              <w:widowControl/>
              <w:ind w:firstLine="0" w:firstLineChars="0"/>
              <w:rPr>
                <w:rFonts w:ascii="宋体"/>
                <w:color w:val="auto"/>
                <w:sz w:val="21"/>
                <w:szCs w:val="24"/>
                <w:highlight w:val="none"/>
              </w:rPr>
            </w:pPr>
          </w:p>
        </w:tc>
      </w:tr>
      <w:tr w14:paraId="2DE3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l2br w:val="nil"/>
              <w:tr2bl w:val="nil"/>
            </w:tcBorders>
            <w:shd w:val="clear" w:color="auto" w:fill="auto"/>
            <w:vAlign w:val="center"/>
          </w:tcPr>
          <w:p w14:paraId="3ED4DE54">
            <w:pPr>
              <w:widowControl/>
              <w:snapToGrid w:val="0"/>
              <w:spacing w:line="320" w:lineRule="exact"/>
              <w:ind w:firstLine="0" w:firstLineChars="0"/>
              <w:jc w:val="center"/>
              <w:rPr>
                <w:rFonts w:ascii="宋体"/>
                <w:color w:val="auto"/>
                <w:highlight w:val="none"/>
              </w:rPr>
            </w:pPr>
            <w:r>
              <w:rPr>
                <w:rFonts w:hint="eastAsia" w:ascii="宋体"/>
                <w:color w:val="auto"/>
                <w:highlight w:val="none"/>
              </w:rPr>
              <w:t>6</w:t>
            </w:r>
          </w:p>
        </w:tc>
        <w:tc>
          <w:tcPr>
            <w:tcW w:w="710" w:type="dxa"/>
            <w:tcBorders>
              <w:tl2br w:val="nil"/>
              <w:tr2bl w:val="nil"/>
            </w:tcBorders>
            <w:shd w:val="clear" w:color="auto" w:fill="auto"/>
            <w:vAlign w:val="center"/>
          </w:tcPr>
          <w:p w14:paraId="427C6078">
            <w:pPr>
              <w:widowControl/>
              <w:ind w:firstLine="0" w:firstLineChars="0"/>
              <w:rPr>
                <w:rFonts w:ascii="宋体"/>
                <w:color w:val="auto"/>
                <w:sz w:val="21"/>
                <w:szCs w:val="24"/>
                <w:highlight w:val="none"/>
              </w:rPr>
            </w:pPr>
            <w:r>
              <w:rPr>
                <w:rFonts w:hint="eastAsia" w:ascii="宋体"/>
                <w:color w:val="auto"/>
                <w:sz w:val="21"/>
                <w:szCs w:val="24"/>
                <w:highlight w:val="none"/>
              </w:rPr>
              <w:t>人力资源投入及人员稳定性</w:t>
            </w:r>
          </w:p>
        </w:tc>
        <w:tc>
          <w:tcPr>
            <w:tcW w:w="1134" w:type="dxa"/>
            <w:tcBorders>
              <w:tl2br w:val="nil"/>
              <w:tr2bl w:val="nil"/>
            </w:tcBorders>
            <w:shd w:val="clear" w:color="auto" w:fill="auto"/>
            <w:vAlign w:val="center"/>
          </w:tcPr>
          <w:p w14:paraId="5D7C5F3D">
            <w:pPr>
              <w:widowControl/>
              <w:ind w:firstLine="0" w:firstLineChars="0"/>
              <w:rPr>
                <w:rFonts w:ascii="宋体"/>
                <w:color w:val="auto"/>
                <w:sz w:val="21"/>
                <w:szCs w:val="24"/>
                <w:highlight w:val="none"/>
              </w:rPr>
            </w:pPr>
            <w:r>
              <w:rPr>
                <w:rFonts w:hint="eastAsia" w:ascii="宋体"/>
                <w:color w:val="auto"/>
                <w:sz w:val="21"/>
                <w:szCs w:val="24"/>
                <w:highlight w:val="none"/>
              </w:rPr>
              <w:t>衡量乙方人员服务的符合度及人员稳定性</w:t>
            </w:r>
          </w:p>
        </w:tc>
        <w:tc>
          <w:tcPr>
            <w:tcW w:w="1417" w:type="dxa"/>
            <w:tcBorders>
              <w:tl2br w:val="nil"/>
              <w:tr2bl w:val="nil"/>
            </w:tcBorders>
            <w:shd w:val="clear" w:color="auto" w:fill="auto"/>
            <w:vAlign w:val="center"/>
          </w:tcPr>
          <w:p w14:paraId="70B36E2B">
            <w:pPr>
              <w:widowControl/>
              <w:ind w:firstLine="0" w:firstLineChars="0"/>
              <w:rPr>
                <w:rFonts w:ascii="宋体"/>
                <w:color w:val="auto"/>
                <w:sz w:val="21"/>
                <w:szCs w:val="24"/>
                <w:highlight w:val="none"/>
              </w:rPr>
            </w:pPr>
            <w:r>
              <w:rPr>
                <w:rFonts w:hint="eastAsia" w:ascii="宋体"/>
                <w:color w:val="auto"/>
                <w:sz w:val="21"/>
                <w:szCs w:val="24"/>
                <w:highlight w:val="none"/>
              </w:rPr>
              <w:t>投入人员情况符合投标文件或合同要求，乙方项目组人员变动比例不得高于30%</w:t>
            </w:r>
          </w:p>
        </w:tc>
        <w:tc>
          <w:tcPr>
            <w:tcW w:w="1701" w:type="dxa"/>
            <w:tcBorders>
              <w:tl2br w:val="nil"/>
              <w:tr2bl w:val="nil"/>
            </w:tcBorders>
            <w:shd w:val="clear" w:color="auto" w:fill="auto"/>
            <w:vAlign w:val="center"/>
          </w:tcPr>
          <w:p w14:paraId="0DC06C8D">
            <w:pPr>
              <w:widowControl/>
              <w:ind w:firstLine="0" w:firstLineChars="0"/>
              <w:rPr>
                <w:rFonts w:ascii="宋体"/>
                <w:color w:val="auto"/>
                <w:sz w:val="21"/>
                <w:szCs w:val="24"/>
                <w:highlight w:val="none"/>
              </w:rPr>
            </w:pPr>
            <w:r>
              <w:rPr>
                <w:rFonts w:hint="eastAsia" w:ascii="宋体"/>
                <w:color w:val="auto"/>
                <w:sz w:val="21"/>
                <w:szCs w:val="24"/>
                <w:highlight w:val="none"/>
              </w:rPr>
              <w:t>甲方按合同要求判定乙方人员投入及变动情况</w:t>
            </w:r>
          </w:p>
        </w:tc>
        <w:tc>
          <w:tcPr>
            <w:tcW w:w="1843" w:type="dxa"/>
            <w:tcBorders>
              <w:tl2br w:val="nil"/>
              <w:tr2bl w:val="nil"/>
            </w:tcBorders>
            <w:shd w:val="clear" w:color="auto" w:fill="auto"/>
            <w:vAlign w:val="center"/>
          </w:tcPr>
          <w:p w14:paraId="7AEE2531">
            <w:pPr>
              <w:widowControl/>
              <w:ind w:firstLine="0" w:firstLineChars="0"/>
              <w:rPr>
                <w:rFonts w:ascii="宋体"/>
                <w:color w:val="auto"/>
                <w:sz w:val="21"/>
                <w:szCs w:val="24"/>
                <w:highlight w:val="none"/>
              </w:rPr>
            </w:pPr>
            <w:r>
              <w:rPr>
                <w:rFonts w:hint="eastAsia" w:ascii="宋体"/>
                <w:color w:val="auto"/>
                <w:sz w:val="21"/>
                <w:szCs w:val="24"/>
                <w:highlight w:val="none"/>
              </w:rPr>
              <w:t>人员数量差异=承诺人数-实际人数</w:t>
            </w:r>
          </w:p>
          <w:p w14:paraId="7A825E88">
            <w:pPr>
              <w:widowControl/>
              <w:ind w:firstLine="0" w:firstLineChars="0"/>
              <w:rPr>
                <w:rFonts w:hint="eastAsia" w:ascii="宋体" w:eastAsia="宋体"/>
                <w:color w:val="auto"/>
                <w:sz w:val="21"/>
                <w:szCs w:val="24"/>
                <w:highlight w:val="none"/>
                <w:lang w:eastAsia="zh-CN"/>
              </w:rPr>
            </w:pPr>
            <w:r>
              <w:rPr>
                <w:rFonts w:hint="eastAsia" w:ascii="宋体"/>
                <w:color w:val="auto"/>
                <w:sz w:val="21"/>
                <w:szCs w:val="24"/>
                <w:highlight w:val="none"/>
              </w:rPr>
              <w:t>人员变动率=人员变动人数/原项目组人员总人数</w:t>
            </w:r>
          </w:p>
          <w:p w14:paraId="08757E38">
            <w:pPr>
              <w:widowControl/>
              <w:ind w:firstLine="0" w:firstLineChars="0"/>
              <w:rPr>
                <w:rFonts w:ascii="宋体"/>
                <w:color w:val="auto"/>
                <w:sz w:val="21"/>
                <w:szCs w:val="24"/>
                <w:highlight w:val="none"/>
              </w:rPr>
            </w:pPr>
            <w:r>
              <w:rPr>
                <w:rFonts w:hint="eastAsia" w:ascii="宋体"/>
                <w:color w:val="auto"/>
                <w:sz w:val="21"/>
                <w:szCs w:val="24"/>
                <w:highlight w:val="none"/>
              </w:rPr>
              <w:t>（人员数量差异≤2；技术骨干及项目经理不得变动；技术人员变动率≤30%）</w:t>
            </w:r>
          </w:p>
        </w:tc>
        <w:tc>
          <w:tcPr>
            <w:tcW w:w="1984" w:type="dxa"/>
            <w:tcBorders>
              <w:tl2br w:val="nil"/>
              <w:tr2bl w:val="nil"/>
            </w:tcBorders>
            <w:shd w:val="clear" w:color="auto" w:fill="auto"/>
            <w:vAlign w:val="center"/>
          </w:tcPr>
          <w:p w14:paraId="654433B7">
            <w:pPr>
              <w:widowControl/>
              <w:ind w:firstLine="0" w:firstLineChars="0"/>
              <w:rPr>
                <w:rFonts w:ascii="宋体"/>
                <w:color w:val="auto"/>
                <w:sz w:val="21"/>
                <w:szCs w:val="24"/>
                <w:highlight w:val="none"/>
              </w:rPr>
            </w:pPr>
            <w:r>
              <w:rPr>
                <w:rFonts w:hint="eastAsia" w:ascii="宋体"/>
                <w:color w:val="auto"/>
                <w:sz w:val="21"/>
                <w:szCs w:val="24"/>
                <w:highlight w:val="none"/>
              </w:rPr>
              <w:t>技术骨干及项目经理变动扣除技术骨干人月单价（至少不低于3万元），技术人员变动超过30%，扣除合同总金额10%</w:t>
            </w:r>
          </w:p>
        </w:tc>
        <w:tc>
          <w:tcPr>
            <w:tcW w:w="709" w:type="dxa"/>
            <w:tcBorders>
              <w:tl2br w:val="nil"/>
              <w:tr2bl w:val="nil"/>
            </w:tcBorders>
          </w:tcPr>
          <w:p w14:paraId="0BE6A200">
            <w:pPr>
              <w:widowControl/>
              <w:ind w:firstLine="0" w:firstLineChars="0"/>
              <w:rPr>
                <w:rFonts w:ascii="宋体"/>
                <w:color w:val="auto"/>
                <w:sz w:val="21"/>
                <w:szCs w:val="24"/>
                <w:highlight w:val="none"/>
              </w:rPr>
            </w:pPr>
          </w:p>
        </w:tc>
      </w:tr>
      <w:tr w14:paraId="5A70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l2br w:val="nil"/>
              <w:tr2bl w:val="nil"/>
            </w:tcBorders>
            <w:shd w:val="clear" w:color="auto" w:fill="auto"/>
            <w:vAlign w:val="center"/>
          </w:tcPr>
          <w:p w14:paraId="48C34C7E">
            <w:pPr>
              <w:widowControl/>
              <w:ind w:firstLine="0" w:firstLineChars="0"/>
              <w:jc w:val="center"/>
              <w:rPr>
                <w:rFonts w:ascii="宋体"/>
                <w:color w:val="auto"/>
                <w:szCs w:val="24"/>
                <w:highlight w:val="none"/>
              </w:rPr>
            </w:pPr>
            <w:r>
              <w:rPr>
                <w:rFonts w:hint="eastAsia" w:ascii="宋体"/>
                <w:color w:val="auto"/>
                <w:szCs w:val="24"/>
                <w:highlight w:val="none"/>
              </w:rPr>
              <w:t>7</w:t>
            </w:r>
          </w:p>
        </w:tc>
        <w:tc>
          <w:tcPr>
            <w:tcW w:w="710" w:type="dxa"/>
            <w:tcBorders>
              <w:tl2br w:val="nil"/>
              <w:tr2bl w:val="nil"/>
            </w:tcBorders>
            <w:shd w:val="clear" w:color="auto" w:fill="auto"/>
            <w:vAlign w:val="center"/>
          </w:tcPr>
          <w:p w14:paraId="1D923D1F">
            <w:pPr>
              <w:widowControl/>
              <w:ind w:firstLine="0" w:firstLineChars="0"/>
              <w:rPr>
                <w:rFonts w:ascii="宋体"/>
                <w:color w:val="auto"/>
                <w:sz w:val="21"/>
                <w:szCs w:val="24"/>
                <w:highlight w:val="none"/>
              </w:rPr>
            </w:pPr>
            <w:r>
              <w:rPr>
                <w:rFonts w:hint="eastAsia" w:ascii="宋体"/>
                <w:color w:val="auto"/>
                <w:sz w:val="21"/>
                <w:szCs w:val="24"/>
                <w:highlight w:val="none"/>
              </w:rPr>
              <w:t>测试人员配置</w:t>
            </w:r>
          </w:p>
        </w:tc>
        <w:tc>
          <w:tcPr>
            <w:tcW w:w="1134" w:type="dxa"/>
            <w:tcBorders>
              <w:tl2br w:val="nil"/>
              <w:tr2bl w:val="nil"/>
            </w:tcBorders>
            <w:shd w:val="clear" w:color="auto" w:fill="auto"/>
            <w:vAlign w:val="center"/>
          </w:tcPr>
          <w:p w14:paraId="05185486">
            <w:pPr>
              <w:widowControl/>
              <w:ind w:firstLine="0" w:firstLineChars="0"/>
              <w:rPr>
                <w:rFonts w:ascii="宋体"/>
                <w:color w:val="auto"/>
                <w:sz w:val="21"/>
                <w:szCs w:val="24"/>
                <w:highlight w:val="none"/>
              </w:rPr>
            </w:pPr>
            <w:r>
              <w:rPr>
                <w:rFonts w:hint="eastAsia" w:ascii="宋体"/>
                <w:color w:val="auto"/>
                <w:sz w:val="21"/>
                <w:szCs w:val="24"/>
                <w:highlight w:val="none"/>
              </w:rPr>
              <w:t>衡量乙方投入系统测试人员的符合度</w:t>
            </w:r>
          </w:p>
        </w:tc>
        <w:tc>
          <w:tcPr>
            <w:tcW w:w="1417" w:type="dxa"/>
            <w:tcBorders>
              <w:tl2br w:val="nil"/>
              <w:tr2bl w:val="nil"/>
            </w:tcBorders>
            <w:shd w:val="clear" w:color="auto" w:fill="auto"/>
            <w:vAlign w:val="center"/>
          </w:tcPr>
          <w:p w14:paraId="61EE34A2">
            <w:pPr>
              <w:widowControl/>
              <w:ind w:firstLine="0" w:firstLineChars="0"/>
              <w:rPr>
                <w:rFonts w:ascii="宋体"/>
                <w:color w:val="auto"/>
                <w:sz w:val="21"/>
                <w:szCs w:val="24"/>
                <w:highlight w:val="none"/>
              </w:rPr>
            </w:pPr>
            <w:r>
              <w:rPr>
                <w:rFonts w:hint="eastAsia" w:ascii="宋体"/>
                <w:color w:val="auto"/>
                <w:sz w:val="21"/>
                <w:szCs w:val="24"/>
                <w:highlight w:val="none"/>
              </w:rPr>
              <w:t>投入系统测试人员情况符合投标文件或合同要求</w:t>
            </w:r>
          </w:p>
        </w:tc>
        <w:tc>
          <w:tcPr>
            <w:tcW w:w="1701" w:type="dxa"/>
            <w:tcBorders>
              <w:tl2br w:val="nil"/>
              <w:tr2bl w:val="nil"/>
            </w:tcBorders>
            <w:shd w:val="clear" w:color="auto" w:fill="auto"/>
            <w:vAlign w:val="center"/>
          </w:tcPr>
          <w:p w14:paraId="2275A6D4">
            <w:pPr>
              <w:widowControl/>
              <w:ind w:firstLine="0" w:firstLineChars="0"/>
              <w:rPr>
                <w:rFonts w:ascii="宋体"/>
                <w:color w:val="auto"/>
                <w:sz w:val="21"/>
                <w:szCs w:val="24"/>
                <w:highlight w:val="none"/>
              </w:rPr>
            </w:pPr>
            <w:r>
              <w:rPr>
                <w:rFonts w:hint="eastAsia" w:ascii="宋体"/>
                <w:color w:val="auto"/>
                <w:sz w:val="21"/>
                <w:szCs w:val="24"/>
                <w:highlight w:val="none"/>
              </w:rPr>
              <w:t>甲方按照合同或标书要求判定乙方测试人员投入情况</w:t>
            </w:r>
          </w:p>
        </w:tc>
        <w:tc>
          <w:tcPr>
            <w:tcW w:w="1843" w:type="dxa"/>
            <w:tcBorders>
              <w:tl2br w:val="nil"/>
              <w:tr2bl w:val="nil"/>
            </w:tcBorders>
            <w:shd w:val="clear" w:color="auto" w:fill="auto"/>
            <w:vAlign w:val="center"/>
          </w:tcPr>
          <w:p w14:paraId="1AAC8D2F">
            <w:pPr>
              <w:widowControl/>
              <w:ind w:firstLine="0" w:firstLineChars="0"/>
              <w:rPr>
                <w:rFonts w:ascii="宋体"/>
                <w:color w:val="auto"/>
                <w:sz w:val="21"/>
                <w:szCs w:val="24"/>
                <w:highlight w:val="none"/>
              </w:rPr>
            </w:pPr>
            <w:r>
              <w:rPr>
                <w:rFonts w:hint="eastAsia" w:ascii="宋体"/>
                <w:color w:val="auto"/>
                <w:sz w:val="21"/>
                <w:szCs w:val="24"/>
                <w:highlight w:val="none"/>
              </w:rPr>
              <w:t>人员重合率=测试人员/开发人员（人员重合率=0）</w:t>
            </w:r>
          </w:p>
        </w:tc>
        <w:tc>
          <w:tcPr>
            <w:tcW w:w="1984" w:type="dxa"/>
            <w:tcBorders>
              <w:tl2br w:val="nil"/>
              <w:tr2bl w:val="nil"/>
            </w:tcBorders>
            <w:shd w:val="clear" w:color="auto" w:fill="auto"/>
            <w:vAlign w:val="center"/>
          </w:tcPr>
          <w:p w14:paraId="3F132D7F">
            <w:pPr>
              <w:widowControl/>
              <w:ind w:firstLine="0" w:firstLineChars="0"/>
              <w:rPr>
                <w:rFonts w:ascii="宋体"/>
                <w:color w:val="auto"/>
                <w:sz w:val="21"/>
                <w:szCs w:val="24"/>
                <w:highlight w:val="none"/>
              </w:rPr>
            </w:pPr>
          </w:p>
        </w:tc>
        <w:tc>
          <w:tcPr>
            <w:tcW w:w="709" w:type="dxa"/>
            <w:tcBorders>
              <w:tl2br w:val="nil"/>
              <w:tr2bl w:val="nil"/>
            </w:tcBorders>
          </w:tcPr>
          <w:p w14:paraId="6F94C8B2">
            <w:pPr>
              <w:widowControl/>
              <w:ind w:firstLine="0" w:firstLineChars="0"/>
              <w:rPr>
                <w:rFonts w:ascii="宋体"/>
                <w:color w:val="auto"/>
                <w:sz w:val="21"/>
                <w:szCs w:val="24"/>
                <w:highlight w:val="none"/>
              </w:rPr>
            </w:pPr>
          </w:p>
        </w:tc>
      </w:tr>
      <w:tr w14:paraId="229C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l2br w:val="nil"/>
              <w:tr2bl w:val="nil"/>
            </w:tcBorders>
            <w:shd w:val="clear" w:color="auto" w:fill="auto"/>
            <w:vAlign w:val="center"/>
          </w:tcPr>
          <w:p w14:paraId="37D37572">
            <w:pPr>
              <w:widowControl/>
              <w:ind w:firstLine="0" w:firstLineChars="0"/>
              <w:jc w:val="center"/>
              <w:rPr>
                <w:rFonts w:ascii="宋体"/>
                <w:color w:val="auto"/>
                <w:szCs w:val="24"/>
                <w:highlight w:val="none"/>
              </w:rPr>
            </w:pPr>
            <w:r>
              <w:rPr>
                <w:rFonts w:hint="eastAsia" w:ascii="宋体"/>
                <w:color w:val="auto"/>
                <w:szCs w:val="24"/>
                <w:highlight w:val="none"/>
              </w:rPr>
              <w:t>8</w:t>
            </w:r>
          </w:p>
        </w:tc>
        <w:tc>
          <w:tcPr>
            <w:tcW w:w="710" w:type="dxa"/>
            <w:tcBorders>
              <w:tl2br w:val="nil"/>
              <w:tr2bl w:val="nil"/>
            </w:tcBorders>
            <w:shd w:val="clear" w:color="auto" w:fill="auto"/>
            <w:vAlign w:val="center"/>
          </w:tcPr>
          <w:p w14:paraId="111B15DE">
            <w:pPr>
              <w:widowControl/>
              <w:ind w:firstLine="0" w:firstLineChars="0"/>
              <w:rPr>
                <w:rFonts w:ascii="宋体"/>
                <w:color w:val="auto"/>
                <w:sz w:val="21"/>
                <w:szCs w:val="24"/>
                <w:highlight w:val="none"/>
              </w:rPr>
            </w:pPr>
            <w:r>
              <w:rPr>
                <w:rFonts w:hint="eastAsia" w:ascii="宋体"/>
                <w:color w:val="auto"/>
                <w:sz w:val="21"/>
                <w:szCs w:val="24"/>
                <w:highlight w:val="none"/>
              </w:rPr>
              <w:t>人员异常退出</w:t>
            </w:r>
          </w:p>
        </w:tc>
        <w:tc>
          <w:tcPr>
            <w:tcW w:w="1134" w:type="dxa"/>
            <w:tcBorders>
              <w:tl2br w:val="nil"/>
              <w:tr2bl w:val="nil"/>
            </w:tcBorders>
            <w:shd w:val="clear" w:color="auto" w:fill="auto"/>
            <w:vAlign w:val="center"/>
          </w:tcPr>
          <w:p w14:paraId="2601064A">
            <w:pPr>
              <w:widowControl/>
              <w:ind w:firstLine="0" w:firstLineChars="0"/>
              <w:rPr>
                <w:rFonts w:ascii="宋体"/>
                <w:color w:val="auto"/>
                <w:sz w:val="21"/>
                <w:szCs w:val="24"/>
                <w:highlight w:val="none"/>
              </w:rPr>
            </w:pPr>
            <w:r>
              <w:rPr>
                <w:rFonts w:hint="eastAsia" w:ascii="宋体"/>
                <w:color w:val="auto"/>
                <w:sz w:val="21"/>
                <w:szCs w:val="24"/>
                <w:highlight w:val="none"/>
              </w:rPr>
              <w:t>衡量乙方人员是否提供持续服务</w:t>
            </w:r>
          </w:p>
        </w:tc>
        <w:tc>
          <w:tcPr>
            <w:tcW w:w="1417" w:type="dxa"/>
            <w:tcBorders>
              <w:tl2br w:val="nil"/>
              <w:tr2bl w:val="nil"/>
            </w:tcBorders>
            <w:shd w:val="clear" w:color="auto" w:fill="auto"/>
            <w:vAlign w:val="center"/>
          </w:tcPr>
          <w:p w14:paraId="08A0FED9">
            <w:pPr>
              <w:widowControl/>
              <w:ind w:firstLine="0" w:firstLineChars="0"/>
              <w:rPr>
                <w:rFonts w:ascii="宋体"/>
                <w:color w:val="auto"/>
                <w:sz w:val="21"/>
                <w:szCs w:val="24"/>
                <w:highlight w:val="none"/>
              </w:rPr>
            </w:pPr>
            <w:r>
              <w:rPr>
                <w:rFonts w:hint="eastAsia" w:ascii="宋体"/>
                <w:color w:val="auto"/>
                <w:sz w:val="21"/>
                <w:szCs w:val="24"/>
                <w:highlight w:val="none"/>
              </w:rPr>
              <w:t>未经甲方同意，乙方人员辞职和离职或无计划的调离项目组</w:t>
            </w:r>
          </w:p>
        </w:tc>
        <w:tc>
          <w:tcPr>
            <w:tcW w:w="1701" w:type="dxa"/>
            <w:tcBorders>
              <w:tl2br w:val="nil"/>
              <w:tr2bl w:val="nil"/>
            </w:tcBorders>
            <w:shd w:val="clear" w:color="auto" w:fill="auto"/>
            <w:vAlign w:val="center"/>
          </w:tcPr>
          <w:p w14:paraId="0BAA4BF9">
            <w:pPr>
              <w:widowControl/>
              <w:ind w:firstLine="0" w:firstLineChars="0"/>
              <w:rPr>
                <w:rFonts w:ascii="宋体"/>
                <w:color w:val="auto"/>
                <w:sz w:val="21"/>
                <w:szCs w:val="24"/>
                <w:highlight w:val="none"/>
              </w:rPr>
            </w:pPr>
            <w:r>
              <w:rPr>
                <w:rFonts w:hint="eastAsia" w:ascii="宋体"/>
                <w:color w:val="auto"/>
                <w:sz w:val="21"/>
                <w:szCs w:val="24"/>
                <w:highlight w:val="none"/>
              </w:rPr>
              <w:t>甲方根据乙方人员退出的具体时间和原因测算</w:t>
            </w:r>
          </w:p>
        </w:tc>
        <w:tc>
          <w:tcPr>
            <w:tcW w:w="1843" w:type="dxa"/>
            <w:tcBorders>
              <w:tl2br w:val="nil"/>
              <w:tr2bl w:val="nil"/>
            </w:tcBorders>
            <w:shd w:val="clear" w:color="auto" w:fill="auto"/>
            <w:vAlign w:val="center"/>
          </w:tcPr>
          <w:p w14:paraId="6E897B70">
            <w:pPr>
              <w:widowControl/>
              <w:ind w:firstLine="0" w:firstLineChars="0"/>
              <w:rPr>
                <w:rFonts w:ascii="宋体"/>
                <w:color w:val="auto"/>
                <w:sz w:val="21"/>
                <w:szCs w:val="24"/>
                <w:highlight w:val="none"/>
              </w:rPr>
            </w:pPr>
            <w:r>
              <w:rPr>
                <w:rFonts w:hint="eastAsia" w:ascii="宋体"/>
                <w:color w:val="auto"/>
                <w:sz w:val="21"/>
                <w:szCs w:val="24"/>
                <w:highlight w:val="none"/>
              </w:rPr>
              <w:t>人员异常退出次数=0</w:t>
            </w:r>
          </w:p>
        </w:tc>
        <w:tc>
          <w:tcPr>
            <w:tcW w:w="1984" w:type="dxa"/>
            <w:tcBorders>
              <w:tl2br w:val="nil"/>
              <w:tr2bl w:val="nil"/>
            </w:tcBorders>
            <w:shd w:val="clear" w:color="auto" w:fill="auto"/>
            <w:vAlign w:val="center"/>
          </w:tcPr>
          <w:p w14:paraId="779BDBE1">
            <w:pPr>
              <w:widowControl/>
              <w:ind w:firstLine="0" w:firstLineChars="0"/>
              <w:rPr>
                <w:rFonts w:ascii="宋体"/>
                <w:color w:val="auto"/>
                <w:sz w:val="21"/>
                <w:szCs w:val="24"/>
                <w:highlight w:val="none"/>
              </w:rPr>
            </w:pPr>
            <w:r>
              <w:rPr>
                <w:rFonts w:hint="eastAsia" w:ascii="宋体"/>
                <w:color w:val="auto"/>
                <w:sz w:val="21"/>
                <w:szCs w:val="24"/>
                <w:highlight w:val="none"/>
              </w:rPr>
              <w:t>每次人员异常退出扣除乙方金额人民币1000元</w:t>
            </w:r>
          </w:p>
        </w:tc>
        <w:tc>
          <w:tcPr>
            <w:tcW w:w="709" w:type="dxa"/>
            <w:tcBorders>
              <w:tl2br w:val="nil"/>
              <w:tr2bl w:val="nil"/>
            </w:tcBorders>
          </w:tcPr>
          <w:p w14:paraId="5CDA2D90">
            <w:pPr>
              <w:widowControl/>
              <w:ind w:firstLine="0" w:firstLineChars="0"/>
              <w:rPr>
                <w:rFonts w:ascii="宋体"/>
                <w:color w:val="auto"/>
                <w:sz w:val="21"/>
                <w:szCs w:val="24"/>
                <w:highlight w:val="none"/>
              </w:rPr>
            </w:pPr>
          </w:p>
        </w:tc>
      </w:tr>
      <w:tr w14:paraId="2E91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3D06E197">
            <w:pPr>
              <w:widowControl/>
              <w:ind w:firstLine="0" w:firstLineChars="0"/>
              <w:jc w:val="center"/>
              <w:rPr>
                <w:rFonts w:ascii="宋体"/>
                <w:color w:val="auto"/>
                <w:szCs w:val="24"/>
                <w:highlight w:val="none"/>
              </w:rPr>
            </w:pPr>
            <w:r>
              <w:rPr>
                <w:rFonts w:hint="eastAsia" w:ascii="宋体"/>
                <w:color w:val="auto"/>
                <w:szCs w:val="24"/>
                <w:highlight w:val="none"/>
              </w:rPr>
              <w:t>9</w:t>
            </w:r>
          </w:p>
        </w:tc>
        <w:tc>
          <w:tcPr>
            <w:tcW w:w="710" w:type="dxa"/>
            <w:tcBorders>
              <w:tl2br w:val="nil"/>
              <w:tr2bl w:val="nil"/>
            </w:tcBorders>
            <w:shd w:val="clear" w:color="auto" w:fill="auto"/>
            <w:vAlign w:val="center"/>
          </w:tcPr>
          <w:p w14:paraId="6053072A">
            <w:pPr>
              <w:widowControl/>
              <w:ind w:firstLine="0" w:firstLineChars="0"/>
              <w:rPr>
                <w:rFonts w:ascii="宋体"/>
                <w:color w:val="auto"/>
                <w:sz w:val="21"/>
                <w:szCs w:val="24"/>
                <w:highlight w:val="none"/>
              </w:rPr>
            </w:pPr>
            <w:r>
              <w:rPr>
                <w:rFonts w:hint="eastAsia" w:ascii="宋体"/>
                <w:color w:val="auto"/>
                <w:sz w:val="21"/>
                <w:szCs w:val="24"/>
                <w:highlight w:val="none"/>
              </w:rPr>
              <w:t>人员纪律性</w:t>
            </w:r>
          </w:p>
        </w:tc>
        <w:tc>
          <w:tcPr>
            <w:tcW w:w="1134" w:type="dxa"/>
            <w:tcBorders>
              <w:tl2br w:val="nil"/>
              <w:tr2bl w:val="nil"/>
            </w:tcBorders>
            <w:shd w:val="clear" w:color="auto" w:fill="auto"/>
            <w:vAlign w:val="center"/>
          </w:tcPr>
          <w:p w14:paraId="12FC656C">
            <w:pPr>
              <w:widowControl/>
              <w:ind w:firstLine="0" w:firstLineChars="0"/>
              <w:rPr>
                <w:rFonts w:ascii="宋体"/>
                <w:color w:val="auto"/>
                <w:sz w:val="21"/>
                <w:szCs w:val="24"/>
                <w:highlight w:val="none"/>
              </w:rPr>
            </w:pPr>
            <w:r>
              <w:rPr>
                <w:rFonts w:hint="eastAsia" w:ascii="宋体"/>
                <w:color w:val="auto"/>
                <w:sz w:val="21"/>
                <w:szCs w:val="24"/>
                <w:highlight w:val="none"/>
              </w:rPr>
              <w:t>衡量乙方人员是否遵守甲方的日常规章和操作规范</w:t>
            </w:r>
          </w:p>
        </w:tc>
        <w:tc>
          <w:tcPr>
            <w:tcW w:w="1417" w:type="dxa"/>
            <w:tcBorders>
              <w:tl2br w:val="nil"/>
              <w:tr2bl w:val="nil"/>
            </w:tcBorders>
            <w:shd w:val="clear" w:color="auto" w:fill="auto"/>
            <w:vAlign w:val="center"/>
          </w:tcPr>
          <w:p w14:paraId="4E0B8BB9">
            <w:pPr>
              <w:widowControl/>
              <w:ind w:firstLine="0" w:firstLineChars="0"/>
              <w:rPr>
                <w:rFonts w:ascii="宋体"/>
                <w:color w:val="auto"/>
                <w:sz w:val="21"/>
                <w:szCs w:val="24"/>
                <w:highlight w:val="none"/>
              </w:rPr>
            </w:pPr>
            <w:r>
              <w:rPr>
                <w:rFonts w:hint="eastAsia" w:ascii="宋体"/>
                <w:color w:val="auto"/>
                <w:sz w:val="21"/>
                <w:szCs w:val="24"/>
                <w:highlight w:val="none"/>
              </w:rPr>
              <w:t>乙方人员不得违反甲方的各项规章制度和操作规范</w:t>
            </w:r>
          </w:p>
        </w:tc>
        <w:tc>
          <w:tcPr>
            <w:tcW w:w="1701" w:type="dxa"/>
            <w:tcBorders>
              <w:tl2br w:val="nil"/>
              <w:tr2bl w:val="nil"/>
            </w:tcBorders>
            <w:shd w:val="clear" w:color="auto" w:fill="auto"/>
            <w:vAlign w:val="center"/>
          </w:tcPr>
          <w:p w14:paraId="60126074">
            <w:pPr>
              <w:widowControl/>
              <w:ind w:firstLine="0" w:firstLineChars="0"/>
              <w:rPr>
                <w:rFonts w:ascii="宋体"/>
                <w:color w:val="auto"/>
                <w:sz w:val="21"/>
                <w:szCs w:val="24"/>
                <w:highlight w:val="none"/>
              </w:rPr>
            </w:pPr>
            <w:r>
              <w:rPr>
                <w:rFonts w:hint="eastAsia" w:ascii="宋体"/>
                <w:color w:val="auto"/>
                <w:sz w:val="21"/>
                <w:szCs w:val="24"/>
                <w:highlight w:val="none"/>
              </w:rPr>
              <w:t>甲方根据自身检查及其他管理部门的检查结果为依据统计乙方人员违规次数。</w:t>
            </w:r>
          </w:p>
        </w:tc>
        <w:tc>
          <w:tcPr>
            <w:tcW w:w="1843" w:type="dxa"/>
            <w:tcBorders>
              <w:tl2br w:val="nil"/>
              <w:tr2bl w:val="nil"/>
            </w:tcBorders>
            <w:shd w:val="clear" w:color="auto" w:fill="auto"/>
            <w:vAlign w:val="center"/>
          </w:tcPr>
          <w:p w14:paraId="33E4C0B9">
            <w:pPr>
              <w:widowControl/>
              <w:ind w:firstLine="0" w:firstLineChars="0"/>
              <w:rPr>
                <w:rFonts w:ascii="宋体"/>
                <w:color w:val="auto"/>
                <w:sz w:val="21"/>
                <w:szCs w:val="24"/>
                <w:highlight w:val="none"/>
              </w:rPr>
            </w:pPr>
            <w:r>
              <w:rPr>
                <w:rFonts w:hint="eastAsia" w:ascii="宋体"/>
                <w:color w:val="auto"/>
                <w:sz w:val="21"/>
                <w:szCs w:val="24"/>
                <w:highlight w:val="none"/>
              </w:rPr>
              <w:t>人员违规次数=0次</w:t>
            </w:r>
          </w:p>
        </w:tc>
        <w:tc>
          <w:tcPr>
            <w:tcW w:w="1984" w:type="dxa"/>
            <w:tcBorders>
              <w:tl2br w:val="nil"/>
              <w:tr2bl w:val="nil"/>
            </w:tcBorders>
            <w:shd w:val="clear" w:color="auto" w:fill="auto"/>
            <w:vAlign w:val="center"/>
          </w:tcPr>
          <w:p w14:paraId="73299D02">
            <w:pPr>
              <w:widowControl/>
              <w:ind w:firstLine="0" w:firstLineChars="0"/>
              <w:rPr>
                <w:rFonts w:ascii="宋体"/>
                <w:color w:val="auto"/>
                <w:sz w:val="21"/>
                <w:szCs w:val="24"/>
                <w:highlight w:val="none"/>
              </w:rPr>
            </w:pPr>
            <w:r>
              <w:rPr>
                <w:rFonts w:hint="eastAsia" w:ascii="宋体"/>
                <w:color w:val="auto"/>
                <w:sz w:val="21"/>
                <w:szCs w:val="24"/>
                <w:highlight w:val="none"/>
              </w:rPr>
              <w:t>乙方人员违反甲方规章制度或操作规范，每次扣除乙方金额人民币500元</w:t>
            </w:r>
          </w:p>
        </w:tc>
        <w:tc>
          <w:tcPr>
            <w:tcW w:w="709" w:type="dxa"/>
            <w:tcBorders>
              <w:tl2br w:val="nil"/>
              <w:tr2bl w:val="nil"/>
            </w:tcBorders>
          </w:tcPr>
          <w:p w14:paraId="635174FE">
            <w:pPr>
              <w:widowControl/>
              <w:ind w:firstLine="0" w:firstLineChars="0"/>
              <w:rPr>
                <w:rFonts w:ascii="宋体"/>
                <w:color w:val="auto"/>
                <w:sz w:val="21"/>
                <w:szCs w:val="24"/>
                <w:highlight w:val="none"/>
              </w:rPr>
            </w:pPr>
          </w:p>
        </w:tc>
      </w:tr>
      <w:tr w14:paraId="40EA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7F3C0E98">
            <w:pPr>
              <w:widowControl/>
              <w:ind w:firstLine="0" w:firstLineChars="0"/>
              <w:jc w:val="center"/>
              <w:rPr>
                <w:rFonts w:ascii="宋体"/>
                <w:color w:val="auto"/>
                <w:szCs w:val="24"/>
                <w:highlight w:val="none"/>
              </w:rPr>
            </w:pPr>
            <w:r>
              <w:rPr>
                <w:rFonts w:hint="eastAsia" w:ascii="宋体"/>
                <w:color w:val="auto"/>
                <w:szCs w:val="24"/>
                <w:highlight w:val="none"/>
              </w:rPr>
              <w:t>10</w:t>
            </w:r>
          </w:p>
        </w:tc>
        <w:tc>
          <w:tcPr>
            <w:tcW w:w="710" w:type="dxa"/>
            <w:tcBorders>
              <w:tl2br w:val="nil"/>
              <w:tr2bl w:val="nil"/>
            </w:tcBorders>
            <w:shd w:val="clear" w:color="auto" w:fill="auto"/>
            <w:vAlign w:val="center"/>
          </w:tcPr>
          <w:p w14:paraId="0CF4569B">
            <w:pPr>
              <w:widowControl/>
              <w:ind w:firstLine="0" w:firstLineChars="0"/>
              <w:rPr>
                <w:rFonts w:ascii="宋体"/>
                <w:color w:val="auto"/>
                <w:sz w:val="21"/>
                <w:szCs w:val="24"/>
                <w:highlight w:val="none"/>
              </w:rPr>
            </w:pPr>
            <w:r>
              <w:rPr>
                <w:rFonts w:hint="eastAsia" w:ascii="宋体"/>
                <w:color w:val="auto"/>
                <w:sz w:val="21"/>
                <w:szCs w:val="24"/>
                <w:highlight w:val="none"/>
              </w:rPr>
              <w:t>安全管理</w:t>
            </w:r>
          </w:p>
        </w:tc>
        <w:tc>
          <w:tcPr>
            <w:tcW w:w="1134" w:type="dxa"/>
            <w:tcBorders>
              <w:tl2br w:val="nil"/>
              <w:tr2bl w:val="nil"/>
            </w:tcBorders>
            <w:shd w:val="clear" w:color="auto" w:fill="auto"/>
            <w:vAlign w:val="center"/>
          </w:tcPr>
          <w:p w14:paraId="724469BD">
            <w:pPr>
              <w:widowControl/>
              <w:ind w:firstLine="0" w:firstLineChars="0"/>
              <w:rPr>
                <w:rFonts w:ascii="宋体"/>
                <w:color w:val="auto"/>
                <w:sz w:val="21"/>
                <w:szCs w:val="24"/>
                <w:highlight w:val="none"/>
              </w:rPr>
            </w:pPr>
            <w:r>
              <w:rPr>
                <w:rFonts w:hint="eastAsia" w:ascii="宋体"/>
                <w:color w:val="auto"/>
                <w:sz w:val="21"/>
                <w:szCs w:val="24"/>
                <w:highlight w:val="none"/>
              </w:rPr>
              <w:t>衡量乙方网络和信息安全服务的管理能力</w:t>
            </w:r>
          </w:p>
        </w:tc>
        <w:tc>
          <w:tcPr>
            <w:tcW w:w="1417" w:type="dxa"/>
            <w:tcBorders>
              <w:tl2br w:val="nil"/>
              <w:tr2bl w:val="nil"/>
            </w:tcBorders>
            <w:shd w:val="clear" w:color="auto" w:fill="auto"/>
            <w:vAlign w:val="center"/>
          </w:tcPr>
          <w:p w14:paraId="563CFFDC">
            <w:pPr>
              <w:widowControl/>
              <w:ind w:firstLine="0" w:firstLineChars="0"/>
              <w:rPr>
                <w:rFonts w:ascii="宋体"/>
                <w:color w:val="auto"/>
                <w:sz w:val="21"/>
                <w:szCs w:val="24"/>
                <w:highlight w:val="none"/>
              </w:rPr>
            </w:pPr>
            <w:r>
              <w:rPr>
                <w:rFonts w:hint="eastAsia" w:ascii="宋体"/>
                <w:color w:val="auto"/>
                <w:sz w:val="21"/>
                <w:szCs w:val="24"/>
                <w:highlight w:val="none"/>
              </w:rPr>
              <w:t>针对发现的安全漏洞及安全缺陷（包括源代码、第三方SDK或第三方小程序、第三方软件产品及开源组件等），须按甲方要求完成整改。</w:t>
            </w:r>
          </w:p>
        </w:tc>
        <w:tc>
          <w:tcPr>
            <w:tcW w:w="1701" w:type="dxa"/>
            <w:tcBorders>
              <w:tl2br w:val="nil"/>
              <w:tr2bl w:val="nil"/>
            </w:tcBorders>
            <w:shd w:val="clear" w:color="auto" w:fill="auto"/>
            <w:vAlign w:val="center"/>
          </w:tcPr>
          <w:p w14:paraId="092FFD4E">
            <w:pPr>
              <w:widowControl/>
              <w:ind w:firstLine="0" w:firstLineChars="0"/>
              <w:rPr>
                <w:rFonts w:ascii="宋体"/>
                <w:color w:val="auto"/>
                <w:sz w:val="21"/>
                <w:szCs w:val="24"/>
                <w:highlight w:val="none"/>
              </w:rPr>
            </w:pPr>
            <w:r>
              <w:rPr>
                <w:rFonts w:hint="eastAsia" w:ascii="宋体"/>
                <w:color w:val="auto"/>
                <w:sz w:val="21"/>
                <w:szCs w:val="24"/>
                <w:highlight w:val="none"/>
              </w:rPr>
              <w:t>甲方根据整改情况统计整改及时性及整改通过率。</w:t>
            </w:r>
          </w:p>
        </w:tc>
        <w:tc>
          <w:tcPr>
            <w:tcW w:w="1843" w:type="dxa"/>
            <w:tcBorders>
              <w:tl2br w:val="nil"/>
              <w:tr2bl w:val="nil"/>
            </w:tcBorders>
            <w:shd w:val="clear" w:color="auto" w:fill="auto"/>
            <w:vAlign w:val="center"/>
          </w:tcPr>
          <w:p w14:paraId="41E795A5">
            <w:pPr>
              <w:widowControl/>
              <w:ind w:firstLine="0" w:firstLineChars="0"/>
              <w:rPr>
                <w:rFonts w:ascii="宋体"/>
                <w:color w:val="auto"/>
                <w:sz w:val="21"/>
                <w:szCs w:val="24"/>
                <w:highlight w:val="none"/>
              </w:rPr>
            </w:pPr>
            <w:r>
              <w:rPr>
                <w:rFonts w:hint="eastAsia" w:ascii="宋体"/>
                <w:color w:val="auto"/>
                <w:sz w:val="21"/>
                <w:szCs w:val="24"/>
                <w:highlight w:val="none"/>
              </w:rPr>
              <w:t>互联网或电子银行类系统：</w:t>
            </w:r>
          </w:p>
          <w:p w14:paraId="26A66AE7">
            <w:pPr>
              <w:widowControl/>
              <w:ind w:firstLine="0" w:firstLineChars="0"/>
              <w:rPr>
                <w:rFonts w:ascii="宋体"/>
                <w:color w:val="auto"/>
                <w:sz w:val="21"/>
                <w:szCs w:val="24"/>
                <w:highlight w:val="none"/>
              </w:rPr>
            </w:pPr>
            <w:r>
              <w:rPr>
                <w:rFonts w:hint="eastAsia" w:ascii="宋体"/>
                <w:color w:val="auto"/>
                <w:sz w:val="21"/>
                <w:szCs w:val="24"/>
                <w:highlight w:val="none"/>
              </w:rPr>
              <w:t>1.安全漏洞及安全缺陷整改及时率=100%</w:t>
            </w:r>
          </w:p>
          <w:p w14:paraId="4030E382">
            <w:pPr>
              <w:ind w:firstLine="0" w:firstLineChars="0"/>
              <w:rPr>
                <w:rFonts w:ascii="宋体"/>
                <w:color w:val="auto"/>
                <w:sz w:val="21"/>
                <w:szCs w:val="24"/>
                <w:highlight w:val="none"/>
              </w:rPr>
            </w:pPr>
            <w:r>
              <w:rPr>
                <w:rFonts w:hint="eastAsia" w:ascii="宋体"/>
                <w:color w:val="auto"/>
                <w:sz w:val="21"/>
                <w:szCs w:val="24"/>
                <w:highlight w:val="none"/>
              </w:rPr>
              <w:t>2.安全漏洞及安全缺陷整改通过率=100%</w:t>
            </w:r>
          </w:p>
          <w:p w14:paraId="07FF76E5">
            <w:pPr>
              <w:widowControl/>
              <w:ind w:firstLine="0" w:firstLineChars="0"/>
              <w:rPr>
                <w:rFonts w:ascii="宋体"/>
                <w:color w:val="auto"/>
                <w:sz w:val="21"/>
                <w:szCs w:val="24"/>
                <w:highlight w:val="none"/>
              </w:rPr>
            </w:pPr>
            <w:r>
              <w:rPr>
                <w:rFonts w:hint="eastAsia" w:ascii="宋体"/>
                <w:color w:val="auto"/>
                <w:sz w:val="21"/>
                <w:szCs w:val="24"/>
                <w:highlight w:val="none"/>
              </w:rPr>
              <w:t>非互联网或电子银行类系统：</w:t>
            </w:r>
          </w:p>
          <w:p w14:paraId="3AEF62F0">
            <w:pPr>
              <w:widowControl/>
              <w:ind w:firstLine="0" w:firstLineChars="0"/>
              <w:rPr>
                <w:rFonts w:ascii="宋体"/>
                <w:color w:val="auto"/>
                <w:sz w:val="21"/>
                <w:szCs w:val="24"/>
                <w:highlight w:val="none"/>
              </w:rPr>
            </w:pPr>
            <w:r>
              <w:rPr>
                <w:rFonts w:hint="eastAsia" w:ascii="宋体"/>
                <w:color w:val="auto"/>
                <w:sz w:val="21"/>
                <w:szCs w:val="24"/>
                <w:highlight w:val="none"/>
              </w:rPr>
              <w:t>1.中高危安全漏洞及安全缺陷整改及时率=100%</w:t>
            </w:r>
          </w:p>
          <w:p w14:paraId="631B2C66">
            <w:pPr>
              <w:ind w:firstLine="0" w:firstLineChars="0"/>
              <w:rPr>
                <w:rFonts w:ascii="宋体"/>
                <w:color w:val="auto"/>
                <w:sz w:val="21"/>
                <w:szCs w:val="24"/>
                <w:highlight w:val="none"/>
              </w:rPr>
            </w:pPr>
            <w:r>
              <w:rPr>
                <w:rFonts w:hint="eastAsia" w:ascii="宋体"/>
                <w:color w:val="auto"/>
                <w:sz w:val="21"/>
                <w:szCs w:val="24"/>
                <w:highlight w:val="none"/>
              </w:rPr>
              <w:t>2.中高危安全漏洞及安全缺陷整改通过率=100%</w:t>
            </w:r>
          </w:p>
        </w:tc>
        <w:tc>
          <w:tcPr>
            <w:tcW w:w="1984" w:type="dxa"/>
            <w:tcBorders>
              <w:tl2br w:val="nil"/>
              <w:tr2bl w:val="nil"/>
            </w:tcBorders>
            <w:shd w:val="clear" w:color="auto" w:fill="auto"/>
            <w:vAlign w:val="center"/>
          </w:tcPr>
          <w:p w14:paraId="541955E5">
            <w:pPr>
              <w:widowControl/>
              <w:ind w:firstLine="0" w:firstLineChars="0"/>
              <w:rPr>
                <w:rFonts w:ascii="宋体"/>
                <w:color w:val="auto"/>
                <w:sz w:val="21"/>
                <w:szCs w:val="24"/>
                <w:highlight w:val="none"/>
              </w:rPr>
            </w:pPr>
            <w:r>
              <w:rPr>
                <w:rFonts w:hint="eastAsia" w:ascii="宋体"/>
                <w:color w:val="auto"/>
                <w:sz w:val="21"/>
                <w:szCs w:val="24"/>
                <w:highlight w:val="none"/>
              </w:rPr>
              <w:t>不满足该项任一标准扣除2万元违约金并要求乙方赔偿损失</w:t>
            </w:r>
          </w:p>
        </w:tc>
        <w:tc>
          <w:tcPr>
            <w:tcW w:w="709" w:type="dxa"/>
            <w:tcBorders>
              <w:tl2br w:val="nil"/>
              <w:tr2bl w:val="nil"/>
            </w:tcBorders>
          </w:tcPr>
          <w:p w14:paraId="752D8E55">
            <w:pPr>
              <w:widowControl/>
              <w:ind w:firstLine="0" w:firstLineChars="0"/>
              <w:rPr>
                <w:rFonts w:ascii="宋体"/>
                <w:color w:val="auto"/>
                <w:sz w:val="21"/>
                <w:szCs w:val="24"/>
                <w:highlight w:val="none"/>
              </w:rPr>
            </w:pPr>
          </w:p>
        </w:tc>
      </w:tr>
      <w:tr w14:paraId="263D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67D927E3">
            <w:pPr>
              <w:widowControl/>
              <w:ind w:firstLine="0" w:firstLineChars="0"/>
              <w:jc w:val="center"/>
              <w:rPr>
                <w:rFonts w:ascii="宋体"/>
                <w:color w:val="auto"/>
                <w:szCs w:val="24"/>
                <w:highlight w:val="none"/>
              </w:rPr>
            </w:pPr>
            <w:r>
              <w:rPr>
                <w:rFonts w:hint="eastAsia" w:ascii="宋体"/>
                <w:color w:val="auto"/>
                <w:szCs w:val="24"/>
                <w:highlight w:val="none"/>
              </w:rPr>
              <w:t>11</w:t>
            </w:r>
          </w:p>
        </w:tc>
        <w:tc>
          <w:tcPr>
            <w:tcW w:w="710" w:type="dxa"/>
            <w:tcBorders>
              <w:tl2br w:val="nil"/>
              <w:tr2bl w:val="nil"/>
            </w:tcBorders>
            <w:shd w:val="clear" w:color="auto" w:fill="auto"/>
            <w:vAlign w:val="center"/>
          </w:tcPr>
          <w:p w14:paraId="4FB3E613">
            <w:pPr>
              <w:widowControl/>
              <w:ind w:firstLine="0" w:firstLineChars="0"/>
              <w:rPr>
                <w:rFonts w:ascii="宋体"/>
                <w:color w:val="auto"/>
                <w:sz w:val="21"/>
                <w:szCs w:val="24"/>
                <w:highlight w:val="none"/>
              </w:rPr>
            </w:pPr>
            <w:r>
              <w:rPr>
                <w:rFonts w:hint="eastAsia" w:ascii="宋体"/>
                <w:color w:val="auto"/>
                <w:sz w:val="21"/>
                <w:szCs w:val="24"/>
                <w:highlight w:val="none"/>
              </w:rPr>
              <w:t>网络安全事件</w:t>
            </w:r>
          </w:p>
        </w:tc>
        <w:tc>
          <w:tcPr>
            <w:tcW w:w="1134" w:type="dxa"/>
            <w:tcBorders>
              <w:tl2br w:val="nil"/>
              <w:tr2bl w:val="nil"/>
            </w:tcBorders>
            <w:shd w:val="clear" w:color="auto" w:fill="auto"/>
            <w:vAlign w:val="center"/>
          </w:tcPr>
          <w:p w14:paraId="3E6DD055">
            <w:pPr>
              <w:widowControl/>
              <w:ind w:firstLine="0" w:firstLineChars="0"/>
              <w:rPr>
                <w:rFonts w:ascii="宋体"/>
                <w:color w:val="auto"/>
                <w:sz w:val="21"/>
                <w:szCs w:val="24"/>
                <w:highlight w:val="none"/>
              </w:rPr>
            </w:pPr>
            <w:r>
              <w:rPr>
                <w:rFonts w:hint="eastAsia" w:ascii="宋体"/>
                <w:color w:val="auto"/>
                <w:sz w:val="21"/>
                <w:szCs w:val="24"/>
                <w:highlight w:val="none"/>
              </w:rPr>
              <w:t>控制网络安全风险</w:t>
            </w:r>
          </w:p>
        </w:tc>
        <w:tc>
          <w:tcPr>
            <w:tcW w:w="1417" w:type="dxa"/>
            <w:tcBorders>
              <w:tl2br w:val="nil"/>
              <w:tr2bl w:val="nil"/>
            </w:tcBorders>
            <w:shd w:val="clear" w:color="auto" w:fill="auto"/>
            <w:vAlign w:val="center"/>
          </w:tcPr>
          <w:p w14:paraId="5AC42F26">
            <w:pPr>
              <w:widowControl/>
              <w:ind w:firstLine="0" w:firstLineChars="0"/>
              <w:rPr>
                <w:rFonts w:ascii="宋体"/>
                <w:color w:val="auto"/>
                <w:sz w:val="21"/>
                <w:szCs w:val="24"/>
                <w:highlight w:val="none"/>
              </w:rPr>
            </w:pPr>
            <w:r>
              <w:rPr>
                <w:rFonts w:hint="eastAsia" w:ascii="宋体"/>
                <w:color w:val="auto"/>
                <w:sz w:val="21"/>
                <w:szCs w:val="24"/>
                <w:highlight w:val="none"/>
              </w:rPr>
              <w:t>不得因乙方原因（含乙方合作的第三方）导致甲方发生网络安全事件</w:t>
            </w:r>
          </w:p>
        </w:tc>
        <w:tc>
          <w:tcPr>
            <w:tcW w:w="1701" w:type="dxa"/>
            <w:tcBorders>
              <w:tl2br w:val="nil"/>
              <w:tr2bl w:val="nil"/>
            </w:tcBorders>
            <w:shd w:val="clear" w:color="auto" w:fill="auto"/>
            <w:vAlign w:val="center"/>
          </w:tcPr>
          <w:p w14:paraId="53D53E44">
            <w:pPr>
              <w:widowControl/>
              <w:ind w:firstLine="0" w:firstLineChars="0"/>
              <w:rPr>
                <w:rFonts w:ascii="宋体"/>
                <w:color w:val="auto"/>
                <w:sz w:val="21"/>
                <w:szCs w:val="24"/>
                <w:highlight w:val="none"/>
              </w:rPr>
            </w:pPr>
            <w:r>
              <w:rPr>
                <w:rFonts w:hint="eastAsia" w:ascii="宋体"/>
                <w:color w:val="auto"/>
                <w:sz w:val="21"/>
                <w:szCs w:val="24"/>
                <w:highlight w:val="none"/>
              </w:rPr>
              <w:t>甲方根据监管及本行要求及事件危害程度判定。</w:t>
            </w:r>
          </w:p>
        </w:tc>
        <w:tc>
          <w:tcPr>
            <w:tcW w:w="1843" w:type="dxa"/>
            <w:tcBorders>
              <w:tl2br w:val="nil"/>
              <w:tr2bl w:val="nil"/>
            </w:tcBorders>
            <w:shd w:val="clear" w:color="auto" w:fill="auto"/>
            <w:vAlign w:val="center"/>
          </w:tcPr>
          <w:p w14:paraId="721809EE">
            <w:pPr>
              <w:widowControl/>
              <w:ind w:firstLine="0" w:firstLineChars="0"/>
              <w:rPr>
                <w:rFonts w:ascii="宋体"/>
                <w:color w:val="auto"/>
                <w:sz w:val="21"/>
                <w:szCs w:val="24"/>
                <w:highlight w:val="none"/>
              </w:rPr>
            </w:pPr>
            <w:r>
              <w:rPr>
                <w:rFonts w:hint="eastAsia" w:ascii="宋体"/>
                <w:color w:val="auto"/>
                <w:sz w:val="21"/>
                <w:szCs w:val="24"/>
                <w:highlight w:val="none"/>
              </w:rPr>
              <w:t>网络安全事件=0</w:t>
            </w:r>
          </w:p>
        </w:tc>
        <w:tc>
          <w:tcPr>
            <w:tcW w:w="1984" w:type="dxa"/>
            <w:tcBorders>
              <w:tl2br w:val="nil"/>
              <w:tr2bl w:val="nil"/>
            </w:tcBorders>
            <w:shd w:val="clear" w:color="auto" w:fill="auto"/>
            <w:vAlign w:val="center"/>
          </w:tcPr>
          <w:p w14:paraId="2A3F67E5">
            <w:pPr>
              <w:widowControl/>
              <w:ind w:firstLine="0" w:firstLineChars="0"/>
              <w:rPr>
                <w:rFonts w:ascii="宋体"/>
                <w:color w:val="auto"/>
                <w:sz w:val="21"/>
                <w:szCs w:val="24"/>
                <w:highlight w:val="none"/>
              </w:rPr>
            </w:pPr>
            <w:r>
              <w:rPr>
                <w:rFonts w:hint="eastAsia" w:ascii="宋体"/>
                <w:color w:val="auto"/>
                <w:sz w:val="21"/>
                <w:szCs w:val="24"/>
                <w:highlight w:val="none"/>
              </w:rPr>
              <w:t>每发生一次网络安全事件扣除乙方合同金额不低于3%,并要求乙方赔偿实际损失。</w:t>
            </w:r>
          </w:p>
        </w:tc>
        <w:tc>
          <w:tcPr>
            <w:tcW w:w="709" w:type="dxa"/>
            <w:tcBorders>
              <w:tl2br w:val="nil"/>
              <w:tr2bl w:val="nil"/>
            </w:tcBorders>
          </w:tcPr>
          <w:p w14:paraId="0BCB4704">
            <w:pPr>
              <w:widowControl/>
              <w:ind w:firstLine="0" w:firstLineChars="0"/>
              <w:rPr>
                <w:rFonts w:ascii="宋体"/>
                <w:color w:val="auto"/>
                <w:sz w:val="21"/>
                <w:szCs w:val="24"/>
                <w:highlight w:val="none"/>
              </w:rPr>
            </w:pPr>
          </w:p>
        </w:tc>
      </w:tr>
      <w:tr w14:paraId="4525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4EF74D51">
            <w:pPr>
              <w:widowControl/>
              <w:ind w:firstLine="0" w:firstLineChars="0"/>
              <w:jc w:val="center"/>
              <w:rPr>
                <w:rFonts w:ascii="宋体"/>
                <w:color w:val="auto"/>
                <w:szCs w:val="24"/>
                <w:highlight w:val="none"/>
              </w:rPr>
            </w:pPr>
            <w:r>
              <w:rPr>
                <w:rFonts w:hint="eastAsia" w:ascii="宋体"/>
                <w:color w:val="auto"/>
                <w:szCs w:val="24"/>
                <w:highlight w:val="none"/>
              </w:rPr>
              <w:t>12</w:t>
            </w:r>
          </w:p>
        </w:tc>
        <w:tc>
          <w:tcPr>
            <w:tcW w:w="710" w:type="dxa"/>
            <w:tcBorders>
              <w:tl2br w:val="nil"/>
              <w:tr2bl w:val="nil"/>
            </w:tcBorders>
            <w:shd w:val="clear" w:color="auto" w:fill="auto"/>
            <w:vAlign w:val="center"/>
          </w:tcPr>
          <w:p w14:paraId="0247B795">
            <w:pPr>
              <w:widowControl/>
              <w:ind w:firstLine="0" w:firstLineChars="0"/>
              <w:rPr>
                <w:rFonts w:ascii="宋体"/>
                <w:color w:val="auto"/>
                <w:sz w:val="21"/>
                <w:szCs w:val="24"/>
                <w:highlight w:val="none"/>
              </w:rPr>
            </w:pPr>
            <w:r>
              <w:rPr>
                <w:rFonts w:hint="eastAsia" w:ascii="宋体"/>
                <w:color w:val="auto"/>
                <w:sz w:val="21"/>
                <w:szCs w:val="24"/>
                <w:highlight w:val="none"/>
              </w:rPr>
              <w:t>外包安全事件</w:t>
            </w:r>
          </w:p>
        </w:tc>
        <w:tc>
          <w:tcPr>
            <w:tcW w:w="1134" w:type="dxa"/>
            <w:tcBorders>
              <w:tl2br w:val="nil"/>
              <w:tr2bl w:val="nil"/>
            </w:tcBorders>
            <w:shd w:val="clear" w:color="auto" w:fill="auto"/>
            <w:vAlign w:val="center"/>
          </w:tcPr>
          <w:p w14:paraId="0D03FC09">
            <w:pPr>
              <w:widowControl/>
              <w:ind w:firstLine="0" w:firstLineChars="0"/>
              <w:rPr>
                <w:rFonts w:ascii="宋体"/>
                <w:color w:val="auto"/>
                <w:sz w:val="21"/>
                <w:szCs w:val="24"/>
                <w:highlight w:val="none"/>
              </w:rPr>
            </w:pPr>
            <w:r>
              <w:rPr>
                <w:rFonts w:hint="eastAsia" w:ascii="宋体"/>
                <w:color w:val="auto"/>
                <w:sz w:val="21"/>
                <w:szCs w:val="24"/>
                <w:highlight w:val="none"/>
              </w:rPr>
              <w:t>控制外包操作风险</w:t>
            </w:r>
          </w:p>
        </w:tc>
        <w:tc>
          <w:tcPr>
            <w:tcW w:w="1417" w:type="dxa"/>
            <w:tcBorders>
              <w:tl2br w:val="nil"/>
              <w:tr2bl w:val="nil"/>
            </w:tcBorders>
            <w:shd w:val="clear" w:color="auto" w:fill="auto"/>
            <w:vAlign w:val="center"/>
          </w:tcPr>
          <w:p w14:paraId="3A4B6DA8">
            <w:pPr>
              <w:widowControl/>
              <w:ind w:firstLine="0" w:firstLineChars="0"/>
              <w:rPr>
                <w:rFonts w:ascii="宋体"/>
                <w:color w:val="auto"/>
                <w:sz w:val="21"/>
                <w:szCs w:val="24"/>
                <w:highlight w:val="none"/>
              </w:rPr>
            </w:pPr>
            <w:r>
              <w:rPr>
                <w:rFonts w:hint="eastAsia" w:ascii="宋体"/>
                <w:color w:val="auto"/>
                <w:sz w:val="21"/>
                <w:szCs w:val="24"/>
                <w:highlight w:val="none"/>
              </w:rPr>
              <w:t>乙方不得出现危害甲方生产运行安全、数据安全等并造成后果的外包安全事件。</w:t>
            </w:r>
          </w:p>
        </w:tc>
        <w:tc>
          <w:tcPr>
            <w:tcW w:w="1701" w:type="dxa"/>
            <w:tcBorders>
              <w:tl2br w:val="nil"/>
              <w:tr2bl w:val="nil"/>
            </w:tcBorders>
            <w:shd w:val="clear" w:color="auto" w:fill="auto"/>
            <w:vAlign w:val="center"/>
          </w:tcPr>
          <w:p w14:paraId="53AE1ED2">
            <w:pPr>
              <w:widowControl/>
              <w:ind w:firstLine="0" w:firstLineChars="0"/>
              <w:rPr>
                <w:rFonts w:ascii="宋体"/>
                <w:color w:val="auto"/>
                <w:sz w:val="21"/>
                <w:szCs w:val="24"/>
                <w:highlight w:val="none"/>
              </w:rPr>
            </w:pPr>
            <w:r>
              <w:rPr>
                <w:rFonts w:hint="eastAsia" w:ascii="宋体"/>
                <w:color w:val="auto"/>
                <w:sz w:val="21"/>
                <w:szCs w:val="24"/>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l2br w:val="nil"/>
              <w:tr2bl w:val="nil"/>
            </w:tcBorders>
            <w:shd w:val="clear" w:color="auto" w:fill="auto"/>
            <w:vAlign w:val="center"/>
          </w:tcPr>
          <w:p w14:paraId="02A81CBD">
            <w:pPr>
              <w:widowControl/>
              <w:ind w:firstLine="0" w:firstLineChars="0"/>
              <w:rPr>
                <w:rFonts w:ascii="宋体"/>
                <w:color w:val="auto"/>
                <w:sz w:val="21"/>
                <w:szCs w:val="24"/>
                <w:highlight w:val="none"/>
              </w:rPr>
            </w:pPr>
            <w:r>
              <w:rPr>
                <w:rFonts w:hint="eastAsia" w:ascii="宋体"/>
                <w:color w:val="auto"/>
                <w:sz w:val="21"/>
                <w:szCs w:val="24"/>
                <w:highlight w:val="none"/>
              </w:rPr>
              <w:t>外包安全事件=0</w:t>
            </w:r>
          </w:p>
        </w:tc>
        <w:tc>
          <w:tcPr>
            <w:tcW w:w="1984" w:type="dxa"/>
            <w:tcBorders>
              <w:tl2br w:val="nil"/>
              <w:tr2bl w:val="nil"/>
            </w:tcBorders>
            <w:shd w:val="clear" w:color="auto" w:fill="auto"/>
            <w:vAlign w:val="center"/>
          </w:tcPr>
          <w:p w14:paraId="005EDE73">
            <w:pPr>
              <w:widowControl/>
              <w:ind w:firstLine="0" w:firstLineChars="0"/>
              <w:rPr>
                <w:rFonts w:ascii="宋体"/>
                <w:color w:val="auto"/>
                <w:sz w:val="21"/>
                <w:szCs w:val="24"/>
                <w:highlight w:val="none"/>
              </w:rPr>
            </w:pPr>
            <w:r>
              <w:rPr>
                <w:rFonts w:hint="eastAsia" w:ascii="宋体"/>
                <w:color w:val="auto"/>
                <w:sz w:val="21"/>
                <w:szCs w:val="24"/>
                <w:highlight w:val="none"/>
              </w:rPr>
              <w:t>每次事件扣罚乙方金额不低于人民币1000元，并要求乙方赔偿实际损失。</w:t>
            </w:r>
          </w:p>
        </w:tc>
        <w:tc>
          <w:tcPr>
            <w:tcW w:w="709" w:type="dxa"/>
            <w:tcBorders>
              <w:tl2br w:val="nil"/>
              <w:tr2bl w:val="nil"/>
            </w:tcBorders>
          </w:tcPr>
          <w:p w14:paraId="629817D5">
            <w:pPr>
              <w:widowControl/>
              <w:ind w:firstLine="0" w:firstLineChars="0"/>
              <w:rPr>
                <w:rFonts w:ascii="宋体"/>
                <w:color w:val="auto"/>
                <w:sz w:val="21"/>
                <w:szCs w:val="24"/>
                <w:highlight w:val="none"/>
              </w:rPr>
            </w:pPr>
          </w:p>
        </w:tc>
      </w:tr>
      <w:tr w14:paraId="3928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000298C8">
            <w:pPr>
              <w:widowControl/>
              <w:ind w:firstLine="0" w:firstLineChars="0"/>
              <w:jc w:val="center"/>
              <w:rPr>
                <w:rFonts w:ascii="宋体"/>
                <w:color w:val="auto"/>
                <w:szCs w:val="24"/>
                <w:highlight w:val="none"/>
              </w:rPr>
            </w:pPr>
            <w:r>
              <w:rPr>
                <w:rFonts w:hint="eastAsia" w:ascii="宋体"/>
                <w:color w:val="auto"/>
                <w:szCs w:val="24"/>
                <w:highlight w:val="none"/>
              </w:rPr>
              <w:t>13</w:t>
            </w:r>
          </w:p>
        </w:tc>
        <w:tc>
          <w:tcPr>
            <w:tcW w:w="710" w:type="dxa"/>
            <w:tcBorders>
              <w:tl2br w:val="nil"/>
              <w:tr2bl w:val="nil"/>
            </w:tcBorders>
            <w:shd w:val="clear" w:color="auto" w:fill="auto"/>
            <w:vAlign w:val="center"/>
          </w:tcPr>
          <w:p w14:paraId="7324CB41">
            <w:pPr>
              <w:widowControl/>
              <w:ind w:firstLine="0" w:firstLineChars="0"/>
              <w:rPr>
                <w:rFonts w:ascii="宋体"/>
                <w:color w:val="auto"/>
                <w:sz w:val="21"/>
                <w:szCs w:val="24"/>
                <w:highlight w:val="none"/>
              </w:rPr>
            </w:pPr>
            <w:r>
              <w:rPr>
                <w:rFonts w:hint="eastAsia" w:ascii="宋体"/>
                <w:color w:val="auto"/>
                <w:sz w:val="21"/>
                <w:szCs w:val="24"/>
                <w:highlight w:val="none"/>
              </w:rPr>
              <w:t>交付文档数量及质量</w:t>
            </w:r>
          </w:p>
        </w:tc>
        <w:tc>
          <w:tcPr>
            <w:tcW w:w="1134" w:type="dxa"/>
            <w:tcBorders>
              <w:tl2br w:val="nil"/>
              <w:tr2bl w:val="nil"/>
            </w:tcBorders>
            <w:shd w:val="clear" w:color="auto" w:fill="auto"/>
            <w:vAlign w:val="center"/>
          </w:tcPr>
          <w:p w14:paraId="25007E86">
            <w:pPr>
              <w:widowControl/>
              <w:ind w:firstLine="0" w:firstLineChars="0"/>
              <w:rPr>
                <w:rFonts w:ascii="宋体"/>
                <w:color w:val="auto"/>
                <w:sz w:val="21"/>
                <w:szCs w:val="24"/>
                <w:highlight w:val="none"/>
              </w:rPr>
            </w:pPr>
            <w:r>
              <w:rPr>
                <w:rFonts w:hint="eastAsia" w:ascii="宋体"/>
                <w:color w:val="auto"/>
                <w:sz w:val="21"/>
                <w:szCs w:val="24"/>
                <w:highlight w:val="none"/>
              </w:rPr>
              <w:t>衡量甲方内部人员对乙方所提供文档的满意情况</w:t>
            </w:r>
          </w:p>
        </w:tc>
        <w:tc>
          <w:tcPr>
            <w:tcW w:w="1417" w:type="dxa"/>
            <w:tcBorders>
              <w:tl2br w:val="nil"/>
              <w:tr2bl w:val="nil"/>
            </w:tcBorders>
            <w:shd w:val="clear" w:color="auto" w:fill="auto"/>
            <w:vAlign w:val="center"/>
          </w:tcPr>
          <w:p w14:paraId="445B6703">
            <w:pPr>
              <w:widowControl/>
              <w:ind w:firstLine="0" w:firstLineChars="0"/>
              <w:rPr>
                <w:rFonts w:ascii="宋体"/>
                <w:color w:val="auto"/>
                <w:sz w:val="21"/>
                <w:szCs w:val="24"/>
                <w:highlight w:val="none"/>
              </w:rPr>
            </w:pPr>
            <w:r>
              <w:rPr>
                <w:rFonts w:hint="eastAsia" w:ascii="宋体"/>
                <w:color w:val="auto"/>
                <w:sz w:val="21"/>
                <w:szCs w:val="24"/>
                <w:highlight w:val="none"/>
              </w:rPr>
              <w:t>交付文档数量及质量满足甲方要求</w:t>
            </w:r>
          </w:p>
        </w:tc>
        <w:tc>
          <w:tcPr>
            <w:tcW w:w="1701" w:type="dxa"/>
            <w:tcBorders>
              <w:tl2br w:val="nil"/>
              <w:tr2bl w:val="nil"/>
            </w:tcBorders>
            <w:shd w:val="clear" w:color="auto" w:fill="auto"/>
            <w:vAlign w:val="center"/>
          </w:tcPr>
          <w:p w14:paraId="5F9BEA2A">
            <w:pPr>
              <w:widowControl/>
              <w:ind w:firstLine="0" w:firstLineChars="0"/>
              <w:rPr>
                <w:rFonts w:ascii="宋体"/>
                <w:color w:val="auto"/>
                <w:sz w:val="21"/>
                <w:szCs w:val="24"/>
                <w:highlight w:val="none"/>
              </w:rPr>
            </w:pPr>
            <w:r>
              <w:rPr>
                <w:rFonts w:hint="eastAsia" w:ascii="宋体"/>
                <w:color w:val="auto"/>
                <w:sz w:val="21"/>
                <w:szCs w:val="24"/>
                <w:highlight w:val="none"/>
              </w:rPr>
              <w:t>甲方根据乙方实际交付的文档数量及文档质量计算</w:t>
            </w:r>
          </w:p>
        </w:tc>
        <w:tc>
          <w:tcPr>
            <w:tcW w:w="1843" w:type="dxa"/>
            <w:tcBorders>
              <w:tl2br w:val="nil"/>
              <w:tr2bl w:val="nil"/>
            </w:tcBorders>
            <w:shd w:val="clear" w:color="auto" w:fill="auto"/>
            <w:vAlign w:val="center"/>
          </w:tcPr>
          <w:p w14:paraId="6984D80B">
            <w:pPr>
              <w:widowControl/>
              <w:ind w:firstLine="0" w:firstLineChars="0"/>
              <w:rPr>
                <w:rFonts w:ascii="宋体"/>
                <w:color w:val="auto"/>
                <w:sz w:val="21"/>
                <w:szCs w:val="24"/>
                <w:highlight w:val="none"/>
              </w:rPr>
            </w:pPr>
            <w:r>
              <w:rPr>
                <w:rFonts w:hint="eastAsia" w:ascii="宋体"/>
                <w:color w:val="auto"/>
                <w:sz w:val="21"/>
                <w:szCs w:val="24"/>
                <w:highlight w:val="none"/>
              </w:rPr>
              <w:t>文档实际交付数量不少于甲方要求数量（文档实际交付数量是指文档交付甲方后甲方确认文档质量并实际接收的文档数量）</w:t>
            </w:r>
          </w:p>
        </w:tc>
        <w:tc>
          <w:tcPr>
            <w:tcW w:w="1984" w:type="dxa"/>
            <w:tcBorders>
              <w:tl2br w:val="nil"/>
              <w:tr2bl w:val="nil"/>
            </w:tcBorders>
            <w:shd w:val="clear" w:color="auto" w:fill="auto"/>
            <w:vAlign w:val="center"/>
          </w:tcPr>
          <w:p w14:paraId="5106EBDD">
            <w:pPr>
              <w:widowControl/>
              <w:ind w:firstLine="0" w:firstLineChars="0"/>
              <w:rPr>
                <w:rFonts w:ascii="宋体"/>
                <w:color w:val="auto"/>
                <w:sz w:val="21"/>
                <w:szCs w:val="24"/>
                <w:highlight w:val="none"/>
              </w:rPr>
            </w:pPr>
            <w:r>
              <w:rPr>
                <w:rFonts w:hint="eastAsia" w:ascii="宋体"/>
                <w:color w:val="auto"/>
                <w:sz w:val="21"/>
                <w:szCs w:val="24"/>
                <w:highlight w:val="none"/>
              </w:rPr>
              <w:t>文档每缺少一个扣除合同金额2000元；每有一个文档质量不合格扣除合同金额2000元</w:t>
            </w:r>
          </w:p>
        </w:tc>
        <w:tc>
          <w:tcPr>
            <w:tcW w:w="709" w:type="dxa"/>
            <w:tcBorders>
              <w:tl2br w:val="nil"/>
              <w:tr2bl w:val="nil"/>
            </w:tcBorders>
          </w:tcPr>
          <w:p w14:paraId="5901F2D5">
            <w:pPr>
              <w:widowControl/>
              <w:ind w:firstLine="0" w:firstLineChars="0"/>
              <w:rPr>
                <w:rFonts w:ascii="宋体"/>
                <w:color w:val="auto"/>
                <w:sz w:val="21"/>
                <w:szCs w:val="24"/>
                <w:highlight w:val="none"/>
              </w:rPr>
            </w:pPr>
          </w:p>
        </w:tc>
      </w:tr>
      <w:tr w14:paraId="5646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tcBorders>
              <w:tl2br w:val="nil"/>
              <w:tr2bl w:val="nil"/>
            </w:tcBorders>
            <w:shd w:val="clear" w:color="auto" w:fill="auto"/>
            <w:vAlign w:val="center"/>
          </w:tcPr>
          <w:p w14:paraId="1A3BE064">
            <w:pPr>
              <w:widowControl/>
              <w:ind w:firstLine="0" w:firstLineChars="0"/>
              <w:jc w:val="center"/>
              <w:rPr>
                <w:rFonts w:ascii="宋体"/>
                <w:color w:val="auto"/>
                <w:szCs w:val="24"/>
                <w:highlight w:val="none"/>
              </w:rPr>
            </w:pPr>
            <w:r>
              <w:rPr>
                <w:rFonts w:hint="eastAsia" w:ascii="宋体"/>
                <w:color w:val="auto"/>
                <w:szCs w:val="24"/>
                <w:highlight w:val="none"/>
              </w:rPr>
              <w:t>14</w:t>
            </w:r>
          </w:p>
        </w:tc>
        <w:tc>
          <w:tcPr>
            <w:tcW w:w="710" w:type="dxa"/>
            <w:tcBorders>
              <w:tl2br w:val="nil"/>
              <w:tr2bl w:val="nil"/>
            </w:tcBorders>
            <w:shd w:val="clear" w:color="auto" w:fill="auto"/>
            <w:vAlign w:val="center"/>
          </w:tcPr>
          <w:p w14:paraId="11C3BC6A">
            <w:pPr>
              <w:widowControl/>
              <w:ind w:firstLine="0" w:firstLineChars="0"/>
              <w:rPr>
                <w:rFonts w:ascii="宋体"/>
                <w:color w:val="auto"/>
                <w:sz w:val="21"/>
                <w:szCs w:val="24"/>
                <w:highlight w:val="none"/>
              </w:rPr>
            </w:pPr>
            <w:r>
              <w:rPr>
                <w:rFonts w:hint="eastAsia" w:ascii="宋体"/>
                <w:color w:val="auto"/>
                <w:sz w:val="21"/>
                <w:szCs w:val="24"/>
                <w:highlight w:val="none"/>
              </w:rPr>
              <w:t>服务满意度</w:t>
            </w:r>
          </w:p>
        </w:tc>
        <w:tc>
          <w:tcPr>
            <w:tcW w:w="1134" w:type="dxa"/>
            <w:tcBorders>
              <w:tl2br w:val="nil"/>
              <w:tr2bl w:val="nil"/>
            </w:tcBorders>
            <w:shd w:val="clear" w:color="auto" w:fill="auto"/>
            <w:vAlign w:val="center"/>
          </w:tcPr>
          <w:p w14:paraId="41DD9AE8">
            <w:pPr>
              <w:widowControl/>
              <w:ind w:firstLine="0" w:firstLineChars="0"/>
              <w:rPr>
                <w:rFonts w:ascii="宋体"/>
                <w:color w:val="auto"/>
                <w:sz w:val="21"/>
                <w:szCs w:val="24"/>
                <w:highlight w:val="none"/>
              </w:rPr>
            </w:pPr>
            <w:r>
              <w:rPr>
                <w:rFonts w:hint="eastAsia" w:ascii="宋体"/>
                <w:color w:val="auto"/>
                <w:sz w:val="21"/>
                <w:szCs w:val="24"/>
                <w:highlight w:val="none"/>
              </w:rPr>
              <w:t>衡量甲方内部人员对乙方所提供服务的满意情况</w:t>
            </w:r>
          </w:p>
        </w:tc>
        <w:tc>
          <w:tcPr>
            <w:tcW w:w="1417" w:type="dxa"/>
            <w:tcBorders>
              <w:tl2br w:val="nil"/>
              <w:tr2bl w:val="nil"/>
            </w:tcBorders>
            <w:shd w:val="clear" w:color="auto" w:fill="auto"/>
            <w:vAlign w:val="center"/>
          </w:tcPr>
          <w:p w14:paraId="4C6A71EA">
            <w:pPr>
              <w:widowControl/>
              <w:ind w:firstLine="0" w:firstLineChars="0"/>
              <w:rPr>
                <w:rFonts w:ascii="宋体"/>
                <w:color w:val="auto"/>
                <w:sz w:val="21"/>
                <w:szCs w:val="24"/>
                <w:highlight w:val="none"/>
              </w:rPr>
            </w:pPr>
            <w:r>
              <w:rPr>
                <w:rFonts w:hint="eastAsia" w:ascii="宋体"/>
                <w:color w:val="auto"/>
                <w:sz w:val="21"/>
                <w:szCs w:val="24"/>
                <w:highlight w:val="none"/>
              </w:rPr>
              <w:t>服务满意度指标</w:t>
            </w:r>
          </w:p>
        </w:tc>
        <w:tc>
          <w:tcPr>
            <w:tcW w:w="1701" w:type="dxa"/>
            <w:tcBorders>
              <w:tl2br w:val="nil"/>
              <w:tr2bl w:val="nil"/>
            </w:tcBorders>
            <w:shd w:val="clear" w:color="auto" w:fill="auto"/>
            <w:vAlign w:val="center"/>
          </w:tcPr>
          <w:p w14:paraId="7C534742">
            <w:pPr>
              <w:widowControl/>
              <w:ind w:firstLine="0" w:firstLineChars="0"/>
              <w:rPr>
                <w:rFonts w:ascii="宋体"/>
                <w:color w:val="auto"/>
                <w:sz w:val="21"/>
                <w:szCs w:val="24"/>
                <w:highlight w:val="none"/>
              </w:rPr>
            </w:pPr>
            <w:r>
              <w:rPr>
                <w:rFonts w:hint="eastAsia" w:ascii="宋体"/>
                <w:color w:val="auto"/>
                <w:sz w:val="21"/>
                <w:szCs w:val="24"/>
                <w:highlight w:val="none"/>
              </w:rPr>
              <w:t>服务满意度评级判定</w:t>
            </w:r>
          </w:p>
        </w:tc>
        <w:tc>
          <w:tcPr>
            <w:tcW w:w="1843" w:type="dxa"/>
            <w:tcBorders>
              <w:tl2br w:val="nil"/>
              <w:tr2bl w:val="nil"/>
            </w:tcBorders>
            <w:shd w:val="clear" w:color="auto" w:fill="auto"/>
            <w:vAlign w:val="center"/>
          </w:tcPr>
          <w:p w14:paraId="2C96884C">
            <w:pPr>
              <w:widowControl/>
              <w:ind w:firstLine="0" w:firstLineChars="0"/>
              <w:rPr>
                <w:rFonts w:ascii="宋体"/>
                <w:color w:val="auto"/>
                <w:sz w:val="21"/>
                <w:szCs w:val="24"/>
                <w:highlight w:val="none"/>
              </w:rPr>
            </w:pPr>
            <w:r>
              <w:rPr>
                <w:rFonts w:hint="eastAsia" w:ascii="宋体"/>
                <w:color w:val="auto"/>
                <w:sz w:val="21"/>
                <w:szCs w:val="24"/>
                <w:highlight w:val="none"/>
              </w:rPr>
              <w:t>客户满意度级别为：1级（非常不满意）；2级（不满意）；3级（一般满意）；4级（满意）；5级（非常满意）（服务满意不低于3级）</w:t>
            </w:r>
          </w:p>
        </w:tc>
        <w:tc>
          <w:tcPr>
            <w:tcW w:w="1984" w:type="dxa"/>
            <w:tcBorders>
              <w:tl2br w:val="nil"/>
              <w:tr2bl w:val="nil"/>
            </w:tcBorders>
            <w:shd w:val="clear" w:color="auto" w:fill="auto"/>
            <w:vAlign w:val="center"/>
          </w:tcPr>
          <w:p w14:paraId="2D07EE87">
            <w:pPr>
              <w:widowControl/>
              <w:ind w:firstLine="0" w:firstLineChars="0"/>
              <w:rPr>
                <w:rFonts w:ascii="宋体"/>
                <w:color w:val="auto"/>
                <w:sz w:val="21"/>
                <w:szCs w:val="24"/>
                <w:highlight w:val="none"/>
              </w:rPr>
            </w:pPr>
            <w:r>
              <w:rPr>
                <w:rFonts w:hint="eastAsia" w:ascii="宋体"/>
                <w:color w:val="auto"/>
                <w:sz w:val="21"/>
                <w:szCs w:val="24"/>
                <w:highlight w:val="none"/>
              </w:rPr>
              <w:t>　</w:t>
            </w:r>
          </w:p>
        </w:tc>
        <w:tc>
          <w:tcPr>
            <w:tcW w:w="709" w:type="dxa"/>
            <w:tcBorders>
              <w:tl2br w:val="nil"/>
              <w:tr2bl w:val="nil"/>
            </w:tcBorders>
          </w:tcPr>
          <w:p w14:paraId="67D00C92">
            <w:pPr>
              <w:widowControl/>
              <w:ind w:firstLine="0" w:firstLineChars="0"/>
              <w:rPr>
                <w:rFonts w:ascii="宋体"/>
                <w:color w:val="auto"/>
                <w:sz w:val="21"/>
                <w:szCs w:val="24"/>
                <w:highlight w:val="none"/>
              </w:rPr>
            </w:pPr>
          </w:p>
        </w:tc>
      </w:tr>
      <w:tr w14:paraId="2A28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tcBorders>
              <w:tl2br w:val="nil"/>
              <w:tr2bl w:val="nil"/>
            </w:tcBorders>
            <w:shd w:val="clear" w:color="auto" w:fill="auto"/>
            <w:noWrap/>
            <w:vAlign w:val="center"/>
          </w:tcPr>
          <w:p w14:paraId="2C9F036A">
            <w:pPr>
              <w:widowControl/>
              <w:ind w:firstLine="0" w:firstLineChars="0"/>
              <w:jc w:val="center"/>
              <w:rPr>
                <w:rFonts w:ascii="宋体"/>
                <w:color w:val="auto"/>
                <w:szCs w:val="24"/>
                <w:highlight w:val="none"/>
              </w:rPr>
            </w:pPr>
            <w:r>
              <w:rPr>
                <w:rFonts w:hint="eastAsia" w:ascii="宋体"/>
                <w:color w:val="auto"/>
                <w:szCs w:val="24"/>
                <w:highlight w:val="none"/>
              </w:rPr>
              <w:t>合计</w:t>
            </w:r>
          </w:p>
        </w:tc>
        <w:tc>
          <w:tcPr>
            <w:tcW w:w="710" w:type="dxa"/>
            <w:tcBorders>
              <w:tl2br w:val="nil"/>
              <w:tr2bl w:val="nil"/>
            </w:tcBorders>
            <w:shd w:val="clear" w:color="auto" w:fill="auto"/>
            <w:noWrap/>
            <w:vAlign w:val="center"/>
          </w:tcPr>
          <w:p w14:paraId="5308045D">
            <w:pPr>
              <w:widowControl/>
              <w:ind w:firstLine="0" w:firstLineChars="0"/>
              <w:rPr>
                <w:rFonts w:ascii="宋体"/>
                <w:color w:val="auto"/>
                <w:sz w:val="21"/>
                <w:szCs w:val="24"/>
                <w:highlight w:val="none"/>
              </w:rPr>
            </w:pPr>
            <w:r>
              <w:rPr>
                <w:rFonts w:hint="eastAsia" w:ascii="宋体"/>
                <w:color w:val="auto"/>
                <w:sz w:val="21"/>
                <w:szCs w:val="24"/>
                <w:highlight w:val="none"/>
              </w:rPr>
              <w:t>SLA满足率</w:t>
            </w:r>
          </w:p>
        </w:tc>
        <w:tc>
          <w:tcPr>
            <w:tcW w:w="1134" w:type="dxa"/>
            <w:tcBorders>
              <w:tl2br w:val="nil"/>
              <w:tr2bl w:val="nil"/>
            </w:tcBorders>
            <w:shd w:val="clear" w:color="auto" w:fill="auto"/>
            <w:noWrap/>
            <w:vAlign w:val="center"/>
          </w:tcPr>
          <w:p w14:paraId="56C9E1B3">
            <w:pPr>
              <w:widowControl/>
              <w:ind w:firstLine="0" w:firstLineChars="0"/>
              <w:rPr>
                <w:rFonts w:ascii="宋体"/>
                <w:color w:val="auto"/>
                <w:sz w:val="21"/>
                <w:szCs w:val="24"/>
                <w:highlight w:val="none"/>
              </w:rPr>
            </w:pPr>
            <w:r>
              <w:rPr>
                <w:rFonts w:hint="eastAsia" w:ascii="宋体"/>
                <w:color w:val="auto"/>
                <w:sz w:val="21"/>
                <w:szCs w:val="24"/>
                <w:highlight w:val="none"/>
              </w:rPr>
              <w:t>此数据是衡量满足要求的SLA个数与整体SLA个数的百分之整体的比率</w:t>
            </w:r>
          </w:p>
        </w:tc>
        <w:tc>
          <w:tcPr>
            <w:tcW w:w="1417" w:type="dxa"/>
            <w:tcBorders>
              <w:tl2br w:val="nil"/>
              <w:tr2bl w:val="nil"/>
            </w:tcBorders>
            <w:shd w:val="clear" w:color="auto" w:fill="auto"/>
            <w:noWrap/>
            <w:vAlign w:val="center"/>
          </w:tcPr>
          <w:p w14:paraId="1D71AE06">
            <w:pPr>
              <w:widowControl/>
              <w:ind w:firstLine="0" w:firstLineChars="0"/>
              <w:rPr>
                <w:rFonts w:ascii="宋体"/>
                <w:color w:val="auto"/>
                <w:sz w:val="21"/>
                <w:szCs w:val="24"/>
                <w:highlight w:val="none"/>
              </w:rPr>
            </w:pPr>
            <w:r>
              <w:rPr>
                <w:rFonts w:hint="eastAsia" w:ascii="宋体"/>
                <w:color w:val="auto"/>
                <w:sz w:val="21"/>
                <w:szCs w:val="24"/>
                <w:highlight w:val="none"/>
              </w:rPr>
              <w:t>衡量乙方达到要求的SLA占全部SLA的百分比。</w:t>
            </w:r>
          </w:p>
        </w:tc>
        <w:tc>
          <w:tcPr>
            <w:tcW w:w="1701" w:type="dxa"/>
            <w:tcBorders>
              <w:tl2br w:val="nil"/>
              <w:tr2bl w:val="nil"/>
            </w:tcBorders>
            <w:shd w:val="clear" w:color="auto" w:fill="auto"/>
            <w:noWrap/>
            <w:vAlign w:val="center"/>
          </w:tcPr>
          <w:p w14:paraId="67D3472E">
            <w:pPr>
              <w:widowControl/>
              <w:ind w:firstLine="0" w:firstLineChars="0"/>
              <w:rPr>
                <w:rFonts w:ascii="宋体"/>
                <w:color w:val="auto"/>
                <w:sz w:val="21"/>
                <w:szCs w:val="24"/>
                <w:highlight w:val="none"/>
              </w:rPr>
            </w:pPr>
            <w:r>
              <w:rPr>
                <w:rFonts w:hint="eastAsia" w:ascii="宋体"/>
                <w:color w:val="auto"/>
                <w:sz w:val="21"/>
                <w:szCs w:val="24"/>
                <w:highlight w:val="none"/>
              </w:rPr>
              <w:t>为了这个度量报告，需要持续汇报SOW中所有SLA情况。</w:t>
            </w:r>
          </w:p>
        </w:tc>
        <w:tc>
          <w:tcPr>
            <w:tcW w:w="1843" w:type="dxa"/>
            <w:tcBorders>
              <w:tl2br w:val="nil"/>
              <w:tr2bl w:val="nil"/>
            </w:tcBorders>
            <w:shd w:val="clear" w:color="auto" w:fill="auto"/>
            <w:noWrap/>
            <w:vAlign w:val="center"/>
          </w:tcPr>
          <w:p w14:paraId="03EB98AA">
            <w:pPr>
              <w:widowControl/>
              <w:ind w:firstLine="0" w:firstLineChars="0"/>
              <w:rPr>
                <w:rFonts w:ascii="宋体"/>
                <w:color w:val="auto"/>
                <w:sz w:val="21"/>
                <w:szCs w:val="24"/>
                <w:highlight w:val="none"/>
              </w:rPr>
            </w:pPr>
            <w:r>
              <w:rPr>
                <w:rFonts w:hint="eastAsia" w:ascii="宋体"/>
                <w:color w:val="auto"/>
                <w:sz w:val="21"/>
                <w:szCs w:val="24"/>
                <w:highlight w:val="none"/>
              </w:rPr>
              <w:t>SLA满足率＝（满足SLA的个数/总体SLA的个数）×100%（SLA满足率≥70%）</w:t>
            </w:r>
          </w:p>
        </w:tc>
        <w:tc>
          <w:tcPr>
            <w:tcW w:w="1984" w:type="dxa"/>
            <w:tcBorders>
              <w:tl2br w:val="nil"/>
              <w:tr2bl w:val="nil"/>
            </w:tcBorders>
            <w:shd w:val="clear" w:color="auto" w:fill="auto"/>
            <w:noWrap/>
            <w:vAlign w:val="center"/>
          </w:tcPr>
          <w:p w14:paraId="0ABC2C08">
            <w:pPr>
              <w:widowControl/>
              <w:ind w:firstLine="0" w:firstLineChars="0"/>
              <w:rPr>
                <w:rFonts w:ascii="宋体"/>
                <w:color w:val="auto"/>
                <w:sz w:val="21"/>
                <w:szCs w:val="24"/>
                <w:highlight w:val="none"/>
              </w:rPr>
            </w:pPr>
            <w:r>
              <w:rPr>
                <w:rFonts w:hint="eastAsia" w:ascii="宋体"/>
                <w:color w:val="auto"/>
                <w:sz w:val="21"/>
                <w:szCs w:val="24"/>
                <w:highlight w:val="none"/>
              </w:rPr>
              <w:t>SLA满足率每低于标准5%，扣除合同总金额的1%</w:t>
            </w:r>
          </w:p>
        </w:tc>
        <w:tc>
          <w:tcPr>
            <w:tcW w:w="709" w:type="dxa"/>
            <w:tcBorders>
              <w:tl2br w:val="nil"/>
              <w:tr2bl w:val="nil"/>
            </w:tcBorders>
          </w:tcPr>
          <w:p w14:paraId="2F73566E">
            <w:pPr>
              <w:widowControl/>
              <w:ind w:firstLine="0" w:firstLineChars="0"/>
              <w:rPr>
                <w:rFonts w:ascii="宋体"/>
                <w:color w:val="auto"/>
                <w:sz w:val="21"/>
                <w:szCs w:val="24"/>
                <w:highlight w:val="none"/>
              </w:rPr>
            </w:pPr>
          </w:p>
        </w:tc>
      </w:tr>
      <w:tr w14:paraId="0D33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65" w:type="dxa"/>
            <w:gridSpan w:val="8"/>
            <w:tcBorders>
              <w:tl2br w:val="nil"/>
              <w:tr2bl w:val="nil"/>
            </w:tcBorders>
            <w:shd w:val="clear" w:color="auto" w:fill="auto"/>
            <w:noWrap/>
            <w:vAlign w:val="center"/>
          </w:tcPr>
          <w:p w14:paraId="230170B7">
            <w:pPr>
              <w:widowControl/>
              <w:ind w:firstLine="0" w:firstLineChars="0"/>
              <w:rPr>
                <w:rFonts w:ascii="宋体"/>
                <w:color w:val="auto"/>
                <w:sz w:val="21"/>
                <w:szCs w:val="24"/>
                <w:highlight w:val="none"/>
              </w:rPr>
            </w:pPr>
            <w:r>
              <w:rPr>
                <w:rFonts w:hint="eastAsia" w:ascii="宋体"/>
                <w:color w:val="auto"/>
                <w:sz w:val="21"/>
                <w:szCs w:val="24"/>
                <w:highlight w:val="none"/>
              </w:rPr>
              <w:t>综合评价：</w:t>
            </w:r>
          </w:p>
          <w:p w14:paraId="7A6F89BE">
            <w:pPr>
              <w:widowControl/>
              <w:ind w:firstLine="0" w:firstLineChars="0"/>
              <w:rPr>
                <w:rFonts w:ascii="宋体"/>
                <w:color w:val="auto"/>
                <w:sz w:val="21"/>
                <w:szCs w:val="24"/>
                <w:highlight w:val="none"/>
              </w:rPr>
            </w:pPr>
          </w:p>
          <w:p w14:paraId="62DFBED8">
            <w:pPr>
              <w:widowControl/>
              <w:ind w:firstLine="0" w:firstLineChars="0"/>
              <w:rPr>
                <w:rFonts w:ascii="宋体"/>
                <w:color w:val="auto"/>
                <w:sz w:val="21"/>
                <w:szCs w:val="24"/>
                <w:highlight w:val="none"/>
              </w:rPr>
            </w:pPr>
            <w:r>
              <w:rPr>
                <w:rFonts w:hint="eastAsia" w:ascii="宋体"/>
                <w:color w:val="auto"/>
                <w:sz w:val="21"/>
                <w:szCs w:val="24"/>
                <w:highlight w:val="none"/>
              </w:rPr>
              <w:t xml:space="preserve">                                                             </w:t>
            </w:r>
          </w:p>
          <w:p w14:paraId="543E79E7">
            <w:pPr>
              <w:widowControl/>
              <w:ind w:firstLine="0" w:firstLineChars="0"/>
              <w:rPr>
                <w:rFonts w:ascii="宋体"/>
                <w:color w:val="auto"/>
                <w:sz w:val="21"/>
                <w:szCs w:val="24"/>
                <w:highlight w:val="none"/>
              </w:rPr>
            </w:pPr>
          </w:p>
          <w:p w14:paraId="6B525BE7">
            <w:pPr>
              <w:widowControl/>
              <w:ind w:firstLine="0" w:firstLineChars="0"/>
              <w:rPr>
                <w:rFonts w:ascii="宋体"/>
                <w:color w:val="auto"/>
                <w:sz w:val="21"/>
                <w:szCs w:val="24"/>
                <w:highlight w:val="none"/>
              </w:rPr>
            </w:pPr>
            <w:r>
              <w:rPr>
                <w:rFonts w:hint="eastAsia" w:ascii="宋体"/>
                <w:color w:val="auto"/>
                <w:sz w:val="21"/>
                <w:szCs w:val="24"/>
                <w:highlight w:val="none"/>
              </w:rPr>
              <w:t xml:space="preserve">评价人：                 </w:t>
            </w:r>
          </w:p>
        </w:tc>
      </w:tr>
    </w:tbl>
    <w:p w14:paraId="58277501">
      <w:pPr>
        <w:spacing w:line="240" w:lineRule="auto"/>
        <w:rPr>
          <w:rStyle w:val="40"/>
          <w:rFonts w:ascii="宋体"/>
          <w:color w:val="auto"/>
          <w:kern w:val="0"/>
          <w:highlight w:val="none"/>
        </w:rPr>
      </w:pPr>
      <w:r>
        <w:rPr>
          <w:rStyle w:val="40"/>
          <w:rFonts w:ascii="宋体"/>
          <w:color w:val="auto"/>
          <w:kern w:val="0"/>
          <w:highlight w:val="none"/>
        </w:rPr>
        <w:br w:type="page"/>
      </w:r>
    </w:p>
    <w:p w14:paraId="1C76B068">
      <w:pPr>
        <w:pStyle w:val="2"/>
        <w:rPr>
          <w:rStyle w:val="40"/>
          <w:color w:val="auto"/>
          <w:sz w:val="30"/>
          <w:highlight w:val="none"/>
        </w:rPr>
      </w:pPr>
      <w:bookmarkStart w:id="601" w:name="_Toc22846"/>
      <w:bookmarkStart w:id="602" w:name="_Toc18399"/>
      <w:bookmarkStart w:id="603" w:name="_Toc14575"/>
      <w:bookmarkStart w:id="604" w:name="_Toc14712"/>
      <w:bookmarkStart w:id="605" w:name="_Toc16019"/>
      <w:r>
        <w:rPr>
          <w:rStyle w:val="40"/>
          <w:rFonts w:hint="eastAsia"/>
          <w:color w:val="auto"/>
          <w:sz w:val="30"/>
          <w:highlight w:val="none"/>
        </w:rPr>
        <w:t>附件六：服务连续性预案</w:t>
      </w:r>
      <w:bookmarkEnd w:id="601"/>
      <w:bookmarkEnd w:id="602"/>
      <w:bookmarkEnd w:id="603"/>
      <w:bookmarkEnd w:id="604"/>
      <w:bookmarkEnd w:id="605"/>
    </w:p>
    <w:p w14:paraId="1176BC15">
      <w:pPr>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289612E2">
      <w:pPr>
        <w:rPr>
          <w:rFonts w:ascii="宋体"/>
          <w:b/>
          <w:color w:val="auto"/>
          <w:szCs w:val="24"/>
          <w:highlight w:val="none"/>
        </w:rPr>
      </w:pPr>
      <w:r>
        <w:rPr>
          <w:rFonts w:hint="eastAsia" w:ascii="宋体"/>
          <w:b/>
          <w:color w:val="auto"/>
          <w:szCs w:val="24"/>
          <w:highlight w:val="none"/>
        </w:rPr>
        <w:t>一、目的</w:t>
      </w:r>
    </w:p>
    <w:p w14:paraId="15D7D65E">
      <w:pPr>
        <w:spacing w:line="360" w:lineRule="auto"/>
        <w:ind w:firstLine="55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307128AF">
      <w:pPr>
        <w:rPr>
          <w:rFonts w:ascii="宋体"/>
          <w:b/>
          <w:color w:val="auto"/>
          <w:szCs w:val="24"/>
          <w:highlight w:val="none"/>
        </w:rPr>
      </w:pPr>
      <w:r>
        <w:rPr>
          <w:rFonts w:hint="eastAsia" w:ascii="宋体"/>
          <w:b/>
          <w:color w:val="auto"/>
          <w:szCs w:val="24"/>
          <w:highlight w:val="none"/>
        </w:rPr>
        <w:t>二、应急组织架构及职责</w:t>
      </w:r>
    </w:p>
    <w:p w14:paraId="68DDDE6B">
      <w:pPr>
        <w:rPr>
          <w:rFonts w:ascii="宋体"/>
          <w:b/>
          <w:color w:val="auto"/>
          <w:szCs w:val="24"/>
          <w:highlight w:val="none"/>
        </w:rPr>
      </w:pPr>
      <w:r>
        <w:rPr>
          <w:rFonts w:hint="eastAsia" w:ascii="宋体"/>
          <w:b/>
          <w:color w:val="auto"/>
          <w:szCs w:val="24"/>
          <w:highlight w:val="none"/>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772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622A465">
            <w:pPr>
              <w:spacing w:line="360" w:lineRule="auto"/>
              <w:ind w:firstLine="559" w:firstLineChars="233"/>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29B26E5D">
            <w:pPr>
              <w:spacing w:line="360" w:lineRule="auto"/>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C715DED">
            <w:pPr>
              <w:spacing w:line="360" w:lineRule="auto"/>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F82A4A1">
            <w:pPr>
              <w:spacing w:line="360" w:lineRule="auto"/>
              <w:jc w:val="center"/>
              <w:rPr>
                <w:rFonts w:ascii="宋体"/>
                <w:color w:val="auto"/>
                <w:szCs w:val="24"/>
                <w:highlight w:val="none"/>
              </w:rPr>
            </w:pPr>
            <w:r>
              <w:rPr>
                <w:rFonts w:hint="eastAsia" w:ascii="宋体"/>
                <w:color w:val="auto"/>
                <w:szCs w:val="24"/>
                <w:highlight w:val="none"/>
              </w:rPr>
              <w:t>职责</w:t>
            </w:r>
          </w:p>
        </w:tc>
      </w:tr>
      <w:tr w14:paraId="1804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99FA5F1">
            <w:pPr>
              <w:widowControl/>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690AAAE">
            <w:pPr>
              <w:widowControl/>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24B336F">
            <w:pPr>
              <w:widowControl/>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B1BD429">
            <w:pPr>
              <w:widowControl/>
              <w:jc w:val="center"/>
              <w:rPr>
                <w:rFonts w:ascii="宋体"/>
                <w:color w:val="auto"/>
                <w:sz w:val="21"/>
                <w:szCs w:val="24"/>
                <w:highlight w:val="none"/>
              </w:rPr>
            </w:pPr>
          </w:p>
        </w:tc>
      </w:tr>
      <w:tr w14:paraId="78A0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26349C1">
            <w:pPr>
              <w:widowControl/>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DDD636C">
            <w:pPr>
              <w:widowControl/>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D8F8322">
            <w:pPr>
              <w:widowControl/>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4F93E95">
            <w:pPr>
              <w:widowControl/>
              <w:jc w:val="center"/>
              <w:rPr>
                <w:rFonts w:ascii="宋体"/>
                <w:color w:val="auto"/>
                <w:sz w:val="21"/>
                <w:szCs w:val="24"/>
                <w:highlight w:val="none"/>
              </w:rPr>
            </w:pPr>
          </w:p>
        </w:tc>
      </w:tr>
      <w:tr w14:paraId="24BB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86F2DCE">
            <w:pPr>
              <w:widowControl/>
              <w:jc w:val="center"/>
              <w:rPr>
                <w:rFonts w:ascii="宋体"/>
                <w:color w:val="auto"/>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17920C94">
            <w:pPr>
              <w:widowControl/>
              <w:jc w:val="center"/>
              <w:rPr>
                <w:rFonts w:ascii="宋体"/>
                <w:color w:val="auto"/>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354C943">
            <w:pPr>
              <w:widowControl/>
              <w:jc w:val="center"/>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4A5824E">
            <w:pPr>
              <w:widowControl/>
              <w:jc w:val="center"/>
              <w:rPr>
                <w:rFonts w:ascii="宋体"/>
                <w:color w:val="auto"/>
                <w:sz w:val="21"/>
                <w:szCs w:val="24"/>
                <w:highlight w:val="none"/>
              </w:rPr>
            </w:pPr>
          </w:p>
        </w:tc>
      </w:tr>
    </w:tbl>
    <w:p w14:paraId="1F3D9B60">
      <w:pPr>
        <w:rPr>
          <w:rFonts w:ascii="宋体"/>
          <w:b/>
          <w:color w:val="auto"/>
          <w:szCs w:val="24"/>
          <w:highlight w:val="none"/>
        </w:rPr>
      </w:pPr>
      <w:r>
        <w:rPr>
          <w:rFonts w:hint="eastAsia" w:ascii="宋体"/>
          <w:b/>
          <w:color w:val="auto"/>
          <w:szCs w:val="24"/>
          <w:highlight w:val="none"/>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7D90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78C1020">
            <w:pPr>
              <w:spacing w:line="360" w:lineRule="auto"/>
              <w:ind w:firstLine="55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0AEC2C3">
            <w:pPr>
              <w:spacing w:line="360" w:lineRule="auto"/>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4EFCA26">
            <w:pPr>
              <w:spacing w:line="360" w:lineRule="auto"/>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3A6872A9">
            <w:pPr>
              <w:spacing w:line="360" w:lineRule="auto"/>
              <w:jc w:val="center"/>
              <w:rPr>
                <w:rFonts w:ascii="宋体"/>
                <w:color w:val="auto"/>
                <w:szCs w:val="24"/>
                <w:highlight w:val="none"/>
              </w:rPr>
            </w:pPr>
            <w:r>
              <w:rPr>
                <w:rFonts w:hint="eastAsia" w:ascii="宋体"/>
                <w:color w:val="auto"/>
                <w:szCs w:val="24"/>
                <w:highlight w:val="none"/>
              </w:rPr>
              <w:t>职责</w:t>
            </w:r>
          </w:p>
        </w:tc>
      </w:tr>
      <w:tr w14:paraId="4032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1A48FC1">
            <w:pPr>
              <w:widowControl/>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49395DA">
            <w:pPr>
              <w:widowControl/>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E1BB600">
            <w:pPr>
              <w:widowControl/>
              <w:jc w:val="center"/>
              <w:rPr>
                <w:rFonts w:ascii="宋体"/>
                <w:color w:val="auto"/>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C772BEE">
            <w:pPr>
              <w:widowControl/>
              <w:jc w:val="center"/>
              <w:rPr>
                <w:rFonts w:ascii="宋体"/>
                <w:color w:val="auto"/>
                <w:sz w:val="21"/>
                <w:szCs w:val="24"/>
                <w:highlight w:val="none"/>
              </w:rPr>
            </w:pPr>
          </w:p>
        </w:tc>
      </w:tr>
      <w:tr w14:paraId="6743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8C22455">
            <w:pPr>
              <w:widowControl/>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E31DC58">
            <w:pPr>
              <w:widowControl/>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1C9FD6E">
            <w:pPr>
              <w:widowControl/>
              <w:jc w:val="center"/>
              <w:rPr>
                <w:rFonts w:ascii="宋体"/>
                <w:color w:val="auto"/>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26983C0C">
            <w:pPr>
              <w:widowControl/>
              <w:jc w:val="center"/>
              <w:rPr>
                <w:rFonts w:ascii="宋体"/>
                <w:color w:val="auto"/>
                <w:sz w:val="21"/>
                <w:szCs w:val="24"/>
                <w:highlight w:val="none"/>
              </w:rPr>
            </w:pPr>
          </w:p>
        </w:tc>
      </w:tr>
    </w:tbl>
    <w:p w14:paraId="621E437B">
      <w:pPr>
        <w:rPr>
          <w:rFonts w:ascii="宋体"/>
          <w:b/>
          <w:color w:val="auto"/>
          <w:szCs w:val="24"/>
          <w:highlight w:val="none"/>
        </w:rPr>
      </w:pPr>
      <w:r>
        <w:rPr>
          <w:rFonts w:hint="eastAsia" w:ascii="宋体"/>
          <w:b/>
          <w:color w:val="auto"/>
          <w:szCs w:val="24"/>
          <w:highlight w:val="none"/>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685A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FEF2962">
            <w:pPr>
              <w:spacing w:line="360" w:lineRule="auto"/>
              <w:ind w:firstLine="55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D98DD1A">
            <w:pPr>
              <w:spacing w:line="360" w:lineRule="auto"/>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DD0FA0F">
            <w:pPr>
              <w:spacing w:line="360" w:lineRule="auto"/>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36EC56D">
            <w:pPr>
              <w:spacing w:line="360" w:lineRule="auto"/>
              <w:jc w:val="center"/>
              <w:rPr>
                <w:rFonts w:ascii="宋体"/>
                <w:color w:val="auto"/>
                <w:szCs w:val="24"/>
                <w:highlight w:val="none"/>
              </w:rPr>
            </w:pPr>
            <w:r>
              <w:rPr>
                <w:rFonts w:hint="eastAsia" w:ascii="宋体"/>
                <w:color w:val="auto"/>
                <w:szCs w:val="24"/>
                <w:highlight w:val="none"/>
              </w:rPr>
              <w:t>职责</w:t>
            </w:r>
          </w:p>
        </w:tc>
      </w:tr>
      <w:tr w14:paraId="1179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B761475">
            <w:pPr>
              <w:widowControl/>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63D1B5A">
            <w:pPr>
              <w:widowControl/>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35A4C85">
            <w:pPr>
              <w:widowControl/>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B61B1F7">
            <w:pPr>
              <w:widowControl/>
              <w:jc w:val="center"/>
              <w:rPr>
                <w:rFonts w:ascii="宋体"/>
                <w:color w:val="auto"/>
                <w:sz w:val="21"/>
                <w:szCs w:val="24"/>
                <w:highlight w:val="none"/>
              </w:rPr>
            </w:pPr>
          </w:p>
        </w:tc>
      </w:tr>
      <w:tr w14:paraId="3DE2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15CB950">
            <w:pPr>
              <w:widowControl/>
              <w:jc w:val="center"/>
              <w:rPr>
                <w:rFonts w:ascii="宋体"/>
                <w:color w:val="auto"/>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79BA376">
            <w:pPr>
              <w:widowControl/>
              <w:jc w:val="center"/>
              <w:rPr>
                <w:rFonts w:ascii="宋体"/>
                <w:color w:val="auto"/>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6E328E8">
            <w:pPr>
              <w:widowControl/>
              <w:rPr>
                <w:rFonts w:ascii="宋体"/>
                <w:color w:val="auto"/>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C242796">
            <w:pPr>
              <w:widowControl/>
              <w:jc w:val="center"/>
              <w:rPr>
                <w:rFonts w:ascii="宋体"/>
                <w:color w:val="auto"/>
                <w:sz w:val="21"/>
                <w:szCs w:val="24"/>
                <w:highlight w:val="none"/>
              </w:rPr>
            </w:pPr>
          </w:p>
        </w:tc>
      </w:tr>
    </w:tbl>
    <w:p w14:paraId="6A48A793">
      <w:pPr>
        <w:rPr>
          <w:rFonts w:ascii="宋体"/>
          <w:b/>
          <w:color w:val="auto"/>
          <w:szCs w:val="24"/>
          <w:highlight w:val="none"/>
        </w:rPr>
      </w:pPr>
      <w:r>
        <w:rPr>
          <w:rFonts w:hint="eastAsia" w:ascii="宋体"/>
          <w:b/>
          <w:color w:val="auto"/>
          <w:szCs w:val="24"/>
          <w:highlight w:val="none"/>
        </w:rPr>
        <w:t>（四）应急领导小组职责</w:t>
      </w:r>
    </w:p>
    <w:p w14:paraId="25A16F69">
      <w:pPr>
        <w:spacing w:line="360" w:lineRule="auto"/>
        <w:ind w:firstLine="55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555B5DF7">
      <w:pPr>
        <w:spacing w:line="360" w:lineRule="auto"/>
        <w:ind w:firstLine="55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2642CCBB">
      <w:pPr>
        <w:spacing w:line="360" w:lineRule="auto"/>
        <w:ind w:firstLine="55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48C48CFE">
      <w:pPr>
        <w:spacing w:line="360" w:lineRule="auto"/>
        <w:ind w:firstLine="55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311F7F9">
      <w:pPr>
        <w:spacing w:line="360" w:lineRule="auto"/>
        <w:ind w:firstLine="55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2F269F91">
      <w:pPr>
        <w:spacing w:line="360" w:lineRule="auto"/>
        <w:ind w:firstLine="55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F687544">
      <w:pPr>
        <w:rPr>
          <w:rFonts w:ascii="宋体"/>
          <w:b/>
          <w:color w:val="auto"/>
          <w:szCs w:val="24"/>
          <w:highlight w:val="none"/>
        </w:rPr>
      </w:pPr>
      <w:r>
        <w:rPr>
          <w:rFonts w:hint="eastAsia" w:ascii="宋体"/>
          <w:b/>
          <w:color w:val="auto"/>
          <w:szCs w:val="24"/>
          <w:highlight w:val="none"/>
        </w:rPr>
        <w:t>三、应急场景</w:t>
      </w:r>
    </w:p>
    <w:p w14:paraId="4146B3F6">
      <w:pPr>
        <w:rPr>
          <w:rFonts w:ascii="宋体"/>
          <w:b/>
          <w:color w:val="auto"/>
          <w:szCs w:val="24"/>
          <w:highlight w:val="none"/>
        </w:rPr>
      </w:pPr>
      <w:r>
        <w:rPr>
          <w:rFonts w:hint="eastAsia" w:ascii="宋体"/>
          <w:b/>
          <w:color w:val="auto"/>
          <w:szCs w:val="24"/>
          <w:highlight w:val="none"/>
        </w:rPr>
        <w:t>（一）单个核心成员或某个角色无法提供正常服务</w:t>
      </w:r>
    </w:p>
    <w:p w14:paraId="1839AE64">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1.影响程度：外包服务部分中断</w:t>
      </w:r>
    </w:p>
    <w:p w14:paraId="1B5804B3">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3E90256F">
      <w:pPr>
        <w:spacing w:line="360" w:lineRule="auto"/>
        <w:ind w:firstLine="55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74A8B2BD">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7919C208">
      <w:pPr>
        <w:rPr>
          <w:rFonts w:ascii="宋体"/>
          <w:b/>
          <w:color w:val="auto"/>
          <w:szCs w:val="24"/>
          <w:highlight w:val="none"/>
        </w:rPr>
      </w:pPr>
      <w:r>
        <w:rPr>
          <w:rFonts w:hint="eastAsia" w:ascii="宋体"/>
          <w:b/>
          <w:color w:val="auto"/>
          <w:szCs w:val="24"/>
          <w:highlight w:val="none"/>
        </w:rPr>
        <w:t>（二）乙方服务团队无法提供正常服务，但乙方仍具备履约能力</w:t>
      </w:r>
    </w:p>
    <w:p w14:paraId="1CF79E6B">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191BBD31">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588831A9">
      <w:pPr>
        <w:spacing w:line="360" w:lineRule="auto"/>
        <w:ind w:firstLine="55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7F3E6B30">
      <w:pPr>
        <w:spacing w:line="360" w:lineRule="auto"/>
        <w:ind w:firstLine="55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1FC815C5">
      <w:pPr>
        <w:spacing w:line="360" w:lineRule="auto"/>
        <w:ind w:firstLine="55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66137C65">
      <w:pPr>
        <w:spacing w:line="360" w:lineRule="auto"/>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72AF938A">
      <w:pPr>
        <w:rPr>
          <w:rFonts w:ascii="宋体"/>
          <w:b/>
          <w:color w:val="auto"/>
          <w:szCs w:val="24"/>
          <w:highlight w:val="none"/>
        </w:rPr>
      </w:pPr>
      <w:r>
        <w:rPr>
          <w:rFonts w:hint="eastAsia" w:ascii="宋体"/>
          <w:b/>
          <w:color w:val="auto"/>
          <w:szCs w:val="24"/>
          <w:highlight w:val="none"/>
        </w:rPr>
        <w:t>（三）乙方服务团队无法提供正常服务且乙方不具备恢复服务能力或意愿</w:t>
      </w:r>
    </w:p>
    <w:p w14:paraId="5AFE0E57">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1869CEE0">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030D81DD">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65B561B9">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37D771A1">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421252DD">
      <w:pPr>
        <w:rPr>
          <w:rFonts w:ascii="宋体"/>
          <w:b/>
          <w:color w:val="auto"/>
          <w:szCs w:val="24"/>
          <w:highlight w:val="none"/>
        </w:rPr>
      </w:pPr>
      <w:r>
        <w:rPr>
          <w:rFonts w:hint="eastAsia" w:ascii="宋体"/>
          <w:b/>
          <w:color w:val="auto"/>
          <w:szCs w:val="24"/>
          <w:highlight w:val="none"/>
        </w:rPr>
        <w:t>（四）乙方因资质变更、被收购、兼并或破产等原因致使其无法继续提供服务</w:t>
      </w:r>
    </w:p>
    <w:p w14:paraId="4852758B">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44081E20">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1EF6C390">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2F11F7DB">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032ACE2C">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07738A48">
      <w:pPr>
        <w:spacing w:line="360" w:lineRule="auto"/>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3B6E071A">
      <w:pPr>
        <w:rPr>
          <w:rFonts w:ascii="宋体"/>
          <w:b/>
          <w:color w:val="auto"/>
          <w:szCs w:val="24"/>
          <w:highlight w:val="none"/>
        </w:rPr>
      </w:pPr>
      <w:r>
        <w:rPr>
          <w:rFonts w:hint="eastAsia" w:ascii="宋体"/>
          <w:b/>
          <w:color w:val="auto"/>
          <w:szCs w:val="24"/>
          <w:highlight w:val="none"/>
        </w:rPr>
        <w:t>（五）乙方因不可抗力导致其主动退出（国家相关法律法规调整、遭受大规模自然灾害等）</w:t>
      </w:r>
    </w:p>
    <w:p w14:paraId="06E18498">
      <w:pPr>
        <w:spacing w:line="360" w:lineRule="auto"/>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1441CD66">
      <w:pPr>
        <w:spacing w:line="360" w:lineRule="auto"/>
        <w:ind w:firstLine="559" w:firstLineChars="233"/>
        <w:rPr>
          <w:rFonts w:ascii="宋体"/>
          <w:color w:val="auto"/>
          <w:szCs w:val="24"/>
          <w:highlight w:val="none"/>
        </w:rPr>
      </w:pPr>
      <w:r>
        <w:rPr>
          <w:rFonts w:hint="eastAsia" w:ascii="宋体"/>
          <w:color w:val="auto"/>
          <w:szCs w:val="24"/>
          <w:highlight w:val="none"/>
        </w:rPr>
        <w:t>2.规避措施：</w:t>
      </w:r>
    </w:p>
    <w:p w14:paraId="22C6CD85">
      <w:pPr>
        <w:spacing w:line="360" w:lineRule="auto"/>
        <w:ind w:firstLine="55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24B46382">
      <w:pPr>
        <w:spacing w:line="360" w:lineRule="auto"/>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3B6B41BD">
      <w:pPr>
        <w:spacing w:line="360" w:lineRule="auto"/>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6B23D26F">
      <w:pPr>
        <w:rPr>
          <w:rFonts w:ascii="宋体"/>
          <w:color w:val="auto"/>
          <w:szCs w:val="24"/>
          <w:highlight w:val="none"/>
        </w:rPr>
      </w:pPr>
      <w:r>
        <w:rPr>
          <w:rFonts w:hint="eastAsia" w:ascii="宋体"/>
          <w:b/>
          <w:color w:val="auto"/>
          <w:szCs w:val="24"/>
          <w:highlight w:val="none"/>
        </w:rPr>
        <w:t>四、应急处理阶段</w:t>
      </w:r>
    </w:p>
    <w:p w14:paraId="1F600BDD">
      <w:pPr>
        <w:rPr>
          <w:rFonts w:ascii="宋体"/>
          <w:b/>
          <w:color w:val="auto"/>
          <w:szCs w:val="24"/>
          <w:highlight w:val="none"/>
        </w:rPr>
      </w:pPr>
      <w:r>
        <w:rPr>
          <w:rFonts w:hint="eastAsia" w:ascii="宋体"/>
          <w:b/>
          <w:color w:val="auto"/>
          <w:szCs w:val="24"/>
          <w:highlight w:val="none"/>
        </w:rPr>
        <w:t>（一）项目实施过程中应急服务</w:t>
      </w:r>
    </w:p>
    <w:p w14:paraId="7B2CA234">
      <w:pPr>
        <w:spacing w:line="360" w:lineRule="auto"/>
        <w:ind w:firstLine="55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508EB91">
      <w:pPr>
        <w:spacing w:line="360" w:lineRule="auto"/>
        <w:ind w:firstLine="55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3E0DF4D3">
      <w:pPr>
        <w:rPr>
          <w:rFonts w:ascii="宋体"/>
          <w:b/>
          <w:color w:val="auto"/>
          <w:szCs w:val="24"/>
          <w:highlight w:val="none"/>
        </w:rPr>
      </w:pPr>
      <w:r>
        <w:rPr>
          <w:rFonts w:hint="eastAsia" w:ascii="宋体"/>
          <w:b/>
          <w:color w:val="auto"/>
          <w:szCs w:val="24"/>
          <w:highlight w:val="none"/>
        </w:rPr>
        <w:t>（二）系统上线后应急服务</w:t>
      </w:r>
    </w:p>
    <w:p w14:paraId="0033EC9C">
      <w:pPr>
        <w:spacing w:line="360" w:lineRule="auto"/>
        <w:ind w:firstLine="55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D09F2BC">
      <w:pPr>
        <w:spacing w:line="360" w:lineRule="auto"/>
        <w:ind w:firstLine="559" w:firstLineChars="233"/>
        <w:rPr>
          <w:rFonts w:ascii="宋体"/>
          <w:color w:val="auto"/>
          <w:szCs w:val="24"/>
          <w:highlight w:val="none"/>
        </w:rPr>
      </w:pPr>
      <w:r>
        <w:rPr>
          <w:rFonts w:hint="eastAsia" w:ascii="宋体"/>
          <w:color w:val="auto"/>
          <w:szCs w:val="24"/>
          <w:highlight w:val="none"/>
        </w:rPr>
        <w:t>姓名:        手机号码：        邮箱：</w:t>
      </w:r>
    </w:p>
    <w:p w14:paraId="0AC3478F">
      <w:pPr>
        <w:rPr>
          <w:rFonts w:ascii="Times New Roman" w:hAnsi="Times New Roman"/>
          <w:color w:val="auto"/>
          <w:highlight w:val="none"/>
        </w:rPr>
      </w:pPr>
      <w:r>
        <w:rPr>
          <w:rFonts w:hint="eastAsia" w:ascii="宋体"/>
          <w:color w:val="auto"/>
          <w:szCs w:val="24"/>
          <w:highlight w:val="none"/>
        </w:rPr>
        <w:t>姓名:        手机号码：        邮箱：</w:t>
      </w:r>
    </w:p>
    <w:p w14:paraId="6D4C70E5">
      <w:pPr>
        <w:rPr>
          <w:rFonts w:ascii="Times New Roman" w:hAnsi="Times New Roman"/>
          <w:color w:val="auto"/>
          <w:highlight w:val="none"/>
        </w:rPr>
      </w:pPr>
    </w:p>
    <w:p w14:paraId="729EE306">
      <w:pPr>
        <w:rPr>
          <w:rFonts w:ascii="Times New Roman" w:hAnsi="Times New Roman"/>
          <w:color w:val="auto"/>
          <w:highlight w:val="none"/>
        </w:rPr>
        <w:sectPr>
          <w:headerReference r:id="rId8" w:type="first"/>
          <w:footerReference r:id="rId11" w:type="first"/>
          <w:headerReference r:id="rId7" w:type="default"/>
          <w:footerReference r:id="rId9" w:type="default"/>
          <w:footerReference r:id="rId10" w:type="even"/>
          <w:pgSz w:w="11906" w:h="16838"/>
          <w:pgMar w:top="1440" w:right="1800" w:bottom="1440" w:left="1800" w:header="851" w:footer="992" w:gutter="0"/>
          <w:pgNumType w:fmt="decimal"/>
          <w:cols w:space="720" w:num="1"/>
          <w:docGrid w:type="lines" w:linePitch="312" w:charSpace="0"/>
        </w:sectPr>
      </w:pPr>
    </w:p>
    <w:p w14:paraId="3ED4C861">
      <w:pPr>
        <w:pStyle w:val="2"/>
        <w:rPr>
          <w:rFonts w:ascii="Times New Roman" w:hAnsi="Times New Roman"/>
          <w:color w:val="auto"/>
          <w:highlight w:val="none"/>
        </w:rPr>
      </w:pPr>
      <w:bookmarkStart w:id="606" w:name="_Toc12796"/>
      <w:bookmarkStart w:id="607" w:name="_Toc31442"/>
      <w:bookmarkStart w:id="608" w:name="_Toc11662"/>
      <w:bookmarkStart w:id="609" w:name="_Toc7021"/>
      <w:bookmarkStart w:id="610" w:name="_Toc12107"/>
      <w:bookmarkStart w:id="611" w:name="_Toc1043"/>
      <w:r>
        <w:rPr>
          <w:rFonts w:hint="eastAsia" w:ascii="Times New Roman" w:hAnsi="Times New Roman"/>
          <w:color w:val="auto"/>
          <w:highlight w:val="none"/>
        </w:rPr>
        <w:t>第六章 参选文件</w:t>
      </w:r>
      <w:bookmarkEnd w:id="448"/>
      <w:bookmarkEnd w:id="449"/>
      <w:bookmarkStart w:id="612" w:name="_Toc303066035"/>
      <w:r>
        <w:rPr>
          <w:rFonts w:hint="eastAsia" w:ascii="Times New Roman" w:hAnsi="Times New Roman"/>
          <w:color w:val="auto"/>
          <w:highlight w:val="none"/>
        </w:rPr>
        <w:t>格式</w:t>
      </w:r>
      <w:bookmarkEnd w:id="606"/>
      <w:bookmarkEnd w:id="607"/>
      <w:bookmarkEnd w:id="608"/>
      <w:bookmarkEnd w:id="609"/>
      <w:bookmarkEnd w:id="610"/>
      <w:bookmarkEnd w:id="611"/>
    </w:p>
    <w:bookmarkEnd w:id="612"/>
    <w:p w14:paraId="1C89CE99">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6A0F7BE9">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50907D2E">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r>
        <w:rPr>
          <w:rFonts w:ascii="Times New Roman" w:hAnsi="Times New Roman" w:cs="Times New Roman"/>
          <w:b/>
          <w:snapToGrid w:val="0"/>
          <w:color w:val="auto"/>
          <w:kern w:val="0"/>
          <w:sz w:val="48"/>
          <w:szCs w:val="84"/>
          <w:highlight w:val="none"/>
        </w:rPr>
        <w:t>审计监督信息系统优化升级</w:t>
      </w:r>
      <w:r>
        <w:rPr>
          <w:rFonts w:hint="eastAsia" w:ascii="Times New Roman" w:hAnsi="Times New Roman" w:cs="Times New Roman"/>
          <w:b/>
          <w:snapToGrid w:val="0"/>
          <w:color w:val="auto"/>
          <w:kern w:val="0"/>
          <w:sz w:val="48"/>
          <w:szCs w:val="84"/>
          <w:highlight w:val="none"/>
        </w:rPr>
        <w:t>项目</w:t>
      </w:r>
    </w:p>
    <w:p w14:paraId="24BF6AC3">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16B5174E">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5CCB1392">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6CC1324C">
      <w:pPr>
        <w:adjustRightInd w:val="0"/>
        <w:snapToGrid w:val="0"/>
        <w:spacing w:line="360" w:lineRule="auto"/>
        <w:ind w:firstLine="0" w:firstLineChars="0"/>
        <w:jc w:val="center"/>
        <w:rPr>
          <w:rFonts w:ascii="Times New Roman" w:hAnsi="Times New Roman"/>
          <w:color w:val="auto"/>
          <w:kern w:val="0"/>
          <w:sz w:val="16"/>
          <w:highlight w:val="none"/>
        </w:rPr>
      </w:pPr>
    </w:p>
    <w:p w14:paraId="40237208">
      <w:pPr>
        <w:adjustRightInd w:val="0"/>
        <w:snapToGrid w:val="0"/>
        <w:spacing w:line="360" w:lineRule="auto"/>
        <w:ind w:firstLine="0" w:firstLineChars="0"/>
        <w:jc w:val="center"/>
        <w:rPr>
          <w:rFonts w:ascii="Times New Roman" w:hAnsi="Times New Roman"/>
          <w:b/>
          <w:color w:val="auto"/>
          <w:kern w:val="0"/>
          <w:sz w:val="20"/>
          <w:highlight w:val="none"/>
        </w:rPr>
      </w:pPr>
    </w:p>
    <w:p w14:paraId="1982D06A">
      <w:pPr>
        <w:adjustRightInd w:val="0"/>
        <w:snapToGrid w:val="0"/>
        <w:spacing w:line="360" w:lineRule="auto"/>
        <w:ind w:firstLine="0" w:firstLineChars="0"/>
        <w:jc w:val="center"/>
        <w:rPr>
          <w:rFonts w:ascii="Times New Roman" w:hAnsi="Times New Roman"/>
          <w:b/>
          <w:color w:val="auto"/>
          <w:kern w:val="0"/>
          <w:sz w:val="20"/>
          <w:highlight w:val="none"/>
        </w:rPr>
      </w:pPr>
    </w:p>
    <w:p w14:paraId="73906DB6">
      <w:pPr>
        <w:adjustRightInd w:val="0"/>
        <w:snapToGrid w:val="0"/>
        <w:spacing w:line="360" w:lineRule="auto"/>
        <w:ind w:firstLine="0" w:firstLineChars="0"/>
        <w:jc w:val="center"/>
        <w:rPr>
          <w:rFonts w:ascii="Times New Roman" w:hAnsi="Times New Roman"/>
          <w:b/>
          <w:color w:val="auto"/>
          <w:kern w:val="0"/>
          <w:sz w:val="20"/>
          <w:highlight w:val="none"/>
        </w:rPr>
      </w:pPr>
    </w:p>
    <w:p w14:paraId="769BA70A">
      <w:pPr>
        <w:adjustRightInd w:val="0"/>
        <w:snapToGrid w:val="0"/>
        <w:spacing w:line="360" w:lineRule="auto"/>
        <w:ind w:firstLine="0" w:firstLineChars="0"/>
        <w:jc w:val="center"/>
        <w:rPr>
          <w:rFonts w:ascii="Times New Roman" w:hAnsi="Times New Roman"/>
          <w:b/>
          <w:color w:val="auto"/>
          <w:kern w:val="0"/>
          <w:sz w:val="20"/>
          <w:highlight w:val="none"/>
        </w:rPr>
      </w:pPr>
    </w:p>
    <w:p w14:paraId="32DC7755">
      <w:pPr>
        <w:adjustRightInd w:val="0"/>
        <w:snapToGrid w:val="0"/>
        <w:spacing w:line="360" w:lineRule="auto"/>
        <w:ind w:firstLine="0" w:firstLineChars="0"/>
        <w:jc w:val="center"/>
        <w:rPr>
          <w:rFonts w:ascii="Times New Roman" w:hAnsi="Times New Roman"/>
          <w:b/>
          <w:color w:val="auto"/>
          <w:kern w:val="0"/>
          <w:sz w:val="20"/>
          <w:highlight w:val="none"/>
        </w:rPr>
      </w:pPr>
    </w:p>
    <w:p w14:paraId="70D67D6B">
      <w:pPr>
        <w:adjustRightInd w:val="0"/>
        <w:snapToGrid w:val="0"/>
        <w:spacing w:line="360" w:lineRule="auto"/>
        <w:ind w:firstLine="0" w:firstLineChars="0"/>
        <w:jc w:val="center"/>
        <w:rPr>
          <w:rFonts w:ascii="Times New Roman" w:hAnsi="Times New Roman"/>
          <w:b/>
          <w:color w:val="auto"/>
          <w:kern w:val="0"/>
          <w:sz w:val="20"/>
          <w:highlight w:val="none"/>
        </w:rPr>
      </w:pPr>
    </w:p>
    <w:p w14:paraId="1573DD5B">
      <w:pPr>
        <w:adjustRightInd w:val="0"/>
        <w:snapToGrid w:val="0"/>
        <w:spacing w:line="360" w:lineRule="auto"/>
        <w:ind w:firstLine="0" w:firstLineChars="0"/>
        <w:jc w:val="center"/>
        <w:rPr>
          <w:rFonts w:ascii="Times New Roman" w:hAnsi="Times New Roman"/>
          <w:b/>
          <w:color w:val="auto"/>
          <w:kern w:val="0"/>
          <w:sz w:val="20"/>
          <w:highlight w:val="none"/>
        </w:rPr>
      </w:pPr>
    </w:p>
    <w:p w14:paraId="615EC335">
      <w:pPr>
        <w:adjustRightInd w:val="0"/>
        <w:snapToGrid w:val="0"/>
        <w:spacing w:line="360" w:lineRule="auto"/>
        <w:ind w:firstLine="0" w:firstLineChars="0"/>
        <w:jc w:val="center"/>
        <w:rPr>
          <w:rFonts w:ascii="Times New Roman" w:hAnsi="Times New Roman"/>
          <w:b/>
          <w:color w:val="auto"/>
          <w:kern w:val="0"/>
          <w:sz w:val="20"/>
          <w:highlight w:val="none"/>
        </w:rPr>
      </w:pPr>
    </w:p>
    <w:p w14:paraId="5B86DC65">
      <w:pPr>
        <w:adjustRightInd w:val="0"/>
        <w:snapToGrid w:val="0"/>
        <w:spacing w:line="360" w:lineRule="auto"/>
        <w:ind w:firstLine="0" w:firstLineChars="0"/>
        <w:jc w:val="center"/>
        <w:rPr>
          <w:rFonts w:ascii="Times New Roman" w:hAnsi="Times New Roman"/>
          <w:b/>
          <w:color w:val="auto"/>
          <w:kern w:val="0"/>
          <w:sz w:val="20"/>
          <w:highlight w:val="none"/>
        </w:rPr>
      </w:pPr>
    </w:p>
    <w:p w14:paraId="438929F2">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1172C630">
      <w:pPr>
        <w:spacing w:line="360" w:lineRule="auto"/>
        <w:ind w:firstLine="0" w:firstLineChars="0"/>
        <w:jc w:val="center"/>
        <w:rPr>
          <w:color w:val="auto"/>
          <w:highlight w:val="none"/>
        </w:rPr>
      </w:pPr>
      <w:r>
        <w:rPr>
          <w:rFonts w:hint="eastAsia"/>
          <w:snapToGrid w:val="0"/>
          <w:color w:val="auto"/>
          <w:kern w:val="0"/>
          <w:highlight w:val="none"/>
        </w:rPr>
        <w:t>法定代表人/</w:t>
      </w: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（签字或盖章）</w:t>
      </w:r>
    </w:p>
    <w:p w14:paraId="143CB869">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6E29E431">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29431599">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771ED71A">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69CB6001">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44ECB516">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05B618C9">
      <w:pPr>
        <w:rPr>
          <w:rFonts w:ascii="Times New Roman" w:hAnsi="Times New Roman"/>
          <w:color w:val="auto"/>
          <w:highlight w:val="none"/>
        </w:rPr>
      </w:pPr>
      <w:r>
        <w:rPr>
          <w:rFonts w:hint="eastAsia" w:ascii="Times New Roman" w:hAnsi="Times New Roman"/>
          <w:color w:val="auto"/>
          <w:highlight w:val="none"/>
        </w:rPr>
        <w:t>一、参选函</w:t>
      </w:r>
    </w:p>
    <w:p w14:paraId="409B9C09">
      <w:pPr>
        <w:rPr>
          <w:rFonts w:ascii="Times New Roman" w:hAnsi="Times New Roman"/>
          <w:color w:val="auto"/>
          <w:highlight w:val="none"/>
        </w:rPr>
      </w:pPr>
      <w:r>
        <w:rPr>
          <w:rFonts w:hint="eastAsia" w:ascii="Times New Roman" w:hAnsi="Times New Roman"/>
          <w:color w:val="auto"/>
          <w:highlight w:val="none"/>
        </w:rPr>
        <w:t>二、</w:t>
      </w:r>
      <w:r>
        <w:rPr>
          <w:rFonts w:ascii="Times New Roman" w:hAnsi="Times New Roman"/>
          <w:color w:val="auto"/>
          <w:highlight w:val="none"/>
        </w:rPr>
        <w:t>报价一览表</w:t>
      </w:r>
    </w:p>
    <w:p w14:paraId="394A3BFE">
      <w:pPr>
        <w:rPr>
          <w:rFonts w:ascii="Times New Roman" w:hAnsi="Times New Roman"/>
          <w:color w:val="auto"/>
          <w:highlight w:val="none"/>
        </w:rPr>
      </w:pPr>
      <w:r>
        <w:rPr>
          <w:rFonts w:hint="eastAsia" w:ascii="Times New Roman" w:hAnsi="Times New Roman"/>
          <w:color w:val="auto"/>
          <w:highlight w:val="none"/>
        </w:rPr>
        <w:t>三、资格性文件</w:t>
      </w:r>
    </w:p>
    <w:p w14:paraId="7268F976">
      <w:pPr>
        <w:rPr>
          <w:rFonts w:ascii="Times New Roman" w:hAnsi="Times New Roman"/>
          <w:color w:val="auto"/>
          <w:highlight w:val="none"/>
        </w:rPr>
      </w:pPr>
      <w:r>
        <w:rPr>
          <w:rFonts w:ascii="Times New Roman" w:hAnsi="Times New Roman"/>
          <w:color w:val="auto"/>
          <w:highlight w:val="none"/>
        </w:rPr>
        <w:t>（一）参选人基本情况介绍，资质证明等</w:t>
      </w:r>
    </w:p>
    <w:p w14:paraId="0C5DAFFC">
      <w:pPr>
        <w:rPr>
          <w:rFonts w:ascii="Times New Roman" w:hAnsi="Times New Roman"/>
          <w:color w:val="auto"/>
          <w:highlight w:val="none"/>
        </w:rPr>
      </w:pPr>
      <w:r>
        <w:rPr>
          <w:rFonts w:ascii="Times New Roman" w:hAnsi="Times New Roman"/>
          <w:color w:val="auto"/>
          <w:highlight w:val="none"/>
        </w:rPr>
        <w:t>（二）法定代表人身份证明及授权委托书</w:t>
      </w:r>
    </w:p>
    <w:p w14:paraId="6AB2F5E4">
      <w:pPr>
        <w:rPr>
          <w:rFonts w:ascii="Times New Roman" w:hAnsi="Times New Roman"/>
          <w:color w:val="auto"/>
          <w:highlight w:val="none"/>
        </w:rPr>
      </w:pPr>
      <w:r>
        <w:rPr>
          <w:rFonts w:hint="eastAsia" w:ascii="Times New Roman" w:hAnsi="Times New Roman"/>
          <w:color w:val="auto"/>
          <w:highlight w:val="none"/>
        </w:rPr>
        <w:t>（三）书面声明</w:t>
      </w:r>
    </w:p>
    <w:p w14:paraId="1639BDCD">
      <w:pP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12001429">
      <w:pPr>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46FF1880">
      <w:pPr>
        <w:rPr>
          <w:rFonts w:hint="eastAsia" w:ascii="Times New Roman" w:hAnsi="Times New Roman"/>
          <w:color w:val="auto"/>
          <w:highlight w:val="none"/>
        </w:rPr>
      </w:pPr>
      <w:r>
        <w:rPr>
          <w:rFonts w:hint="eastAsia" w:ascii="Times New Roman" w:hAnsi="Times New Roman"/>
          <w:color w:val="auto"/>
          <w:highlight w:val="none"/>
        </w:rPr>
        <w:t>（六）第三方软件产品的原厂商授权书或确认函</w:t>
      </w:r>
    </w:p>
    <w:p w14:paraId="67C8889F">
      <w:pP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七</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其他（如有）</w:t>
      </w:r>
    </w:p>
    <w:p w14:paraId="378C6C8D">
      <w:pPr>
        <w:rPr>
          <w:rFonts w:ascii="Times New Roman" w:hAnsi="Times New Roman"/>
          <w:color w:val="auto"/>
          <w:highlight w:val="none"/>
        </w:rPr>
      </w:pPr>
      <w:r>
        <w:rPr>
          <w:rFonts w:hint="eastAsia" w:ascii="Times New Roman" w:hAnsi="Times New Roman"/>
          <w:color w:val="auto"/>
          <w:highlight w:val="none"/>
        </w:rPr>
        <w:t>四、响应</w:t>
      </w:r>
      <w:r>
        <w:rPr>
          <w:rFonts w:ascii="Times New Roman" w:hAnsi="Times New Roman"/>
          <w:color w:val="auto"/>
          <w:highlight w:val="none"/>
        </w:rPr>
        <w:t>性文件</w:t>
      </w:r>
    </w:p>
    <w:p w14:paraId="3B65DB33">
      <w:pPr>
        <w:rPr>
          <w:rFonts w:ascii="Times New Roman" w:hAnsi="Times New Roman"/>
          <w:color w:val="auto"/>
          <w:highlight w:val="none"/>
        </w:rPr>
      </w:pPr>
      <w:r>
        <w:rPr>
          <w:rFonts w:hint="eastAsia" w:ascii="Times New Roman" w:hAnsi="Times New Roman"/>
          <w:color w:val="auto"/>
          <w:highlight w:val="none"/>
        </w:rPr>
        <w:t>（一）响应承诺函</w:t>
      </w:r>
    </w:p>
    <w:p w14:paraId="4797D033">
      <w:pPr>
        <w:rPr>
          <w:rFonts w:ascii="Times New Roman" w:hAnsi="Times New Roman" w:cs="Times New Roman"/>
          <w:color w:val="auto"/>
          <w:highlight w:val="none"/>
        </w:rPr>
      </w:pPr>
      <w:r>
        <w:rPr>
          <w:rFonts w:hint="eastAsia" w:ascii="Times New Roman" w:hAnsi="Times New Roman"/>
          <w:color w:val="auto"/>
          <w:highlight w:val="none"/>
        </w:rPr>
        <w:t>（二）</w:t>
      </w:r>
      <w:r>
        <w:rPr>
          <w:rFonts w:ascii="Times New Roman" w:hAnsi="Times New Roman" w:cs="Times New Roman"/>
          <w:color w:val="auto"/>
          <w:highlight w:val="none"/>
        </w:rPr>
        <w:t>近半年公司为项目组成员缴纳社保的证明材料</w:t>
      </w:r>
    </w:p>
    <w:p w14:paraId="41AEF582">
      <w:pPr>
        <w:rPr>
          <w:rFonts w:ascii="Times New Roman" w:hAnsi="Times New Roman" w:cs="Times New Roman"/>
          <w:color w:val="auto"/>
          <w:highlight w:val="none"/>
        </w:rPr>
      </w:pPr>
      <w:r>
        <w:rPr>
          <w:rFonts w:ascii="Times New Roman" w:hAnsi="Times New Roman" w:cs="Times New Roman"/>
          <w:color w:val="auto"/>
          <w:highlight w:val="none"/>
        </w:rPr>
        <w:t>（三）项目组成员简历信息</w:t>
      </w:r>
    </w:p>
    <w:p w14:paraId="415827E6">
      <w:pPr>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rPr>
        <w:t>）售后服务和</w:t>
      </w:r>
      <w:r>
        <w:rPr>
          <w:rFonts w:ascii="Times New Roman" w:hAnsi="Times New Roman"/>
          <w:color w:val="auto"/>
          <w:highlight w:val="none"/>
        </w:rPr>
        <w:t>培训</w:t>
      </w:r>
      <w:r>
        <w:rPr>
          <w:rFonts w:hint="eastAsia" w:ascii="Times New Roman" w:hAnsi="Times New Roman"/>
          <w:color w:val="auto"/>
          <w:highlight w:val="none"/>
        </w:rPr>
        <w:t>方案</w:t>
      </w:r>
    </w:p>
    <w:p w14:paraId="7585C428">
      <w:pPr>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五</w:t>
      </w:r>
      <w:r>
        <w:rPr>
          <w:rFonts w:hint="eastAsia" w:ascii="Times New Roman" w:hAnsi="Times New Roman"/>
          <w:color w:val="auto"/>
          <w:highlight w:val="none"/>
        </w:rPr>
        <w:t>）服务连续性预案</w:t>
      </w:r>
    </w:p>
    <w:p w14:paraId="125C1CE4">
      <w:pP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六</w:t>
      </w:r>
      <w:r>
        <w:rPr>
          <w:rFonts w:ascii="Times New Roman" w:hAnsi="Times New Roman"/>
          <w:color w:val="auto"/>
          <w:highlight w:val="none"/>
        </w:rPr>
        <w:t>）</w:t>
      </w:r>
      <w:r>
        <w:rPr>
          <w:rFonts w:hint="eastAsia" w:ascii="Times New Roman" w:hAnsi="Times New Roman"/>
          <w:color w:val="auto"/>
          <w:highlight w:val="none"/>
        </w:rPr>
        <w:t>项目实施方案</w:t>
      </w:r>
    </w:p>
    <w:p w14:paraId="103F61A4">
      <w:pPr>
        <w:rPr>
          <w:rFonts w:ascii="Times New Roman" w:hAnsi="Times New Roman"/>
          <w:color w:val="auto"/>
          <w:highlight w:val="none"/>
        </w:rPr>
      </w:pPr>
      <w:r>
        <w:rPr>
          <w:rFonts w:hint="eastAsia" w:ascii="Times New Roman" w:hAnsi="Times New Roman"/>
          <w:color w:val="auto"/>
          <w:highlight w:val="none"/>
        </w:rPr>
        <w:t>五、参选保证金</w:t>
      </w:r>
    </w:p>
    <w:p w14:paraId="3D547B24">
      <w:pPr>
        <w:rPr>
          <w:rFonts w:ascii="Times New Roman" w:hAnsi="Times New Roman"/>
          <w:color w:val="auto"/>
          <w:highlight w:val="none"/>
        </w:rPr>
      </w:pPr>
      <w:r>
        <w:rPr>
          <w:rFonts w:hint="eastAsia" w:ascii="Times New Roman" w:hAnsi="Times New Roman"/>
          <w:color w:val="auto"/>
          <w:highlight w:val="none"/>
        </w:rPr>
        <w:t>六、服务水平协议（SLA）</w:t>
      </w:r>
    </w:p>
    <w:p w14:paraId="2BC4B961">
      <w:pPr>
        <w:rPr>
          <w:rFonts w:ascii="Times New Roman" w:hAnsi="Times New Roman"/>
          <w:color w:val="auto"/>
          <w:highlight w:val="none"/>
        </w:rPr>
      </w:pPr>
      <w:r>
        <w:rPr>
          <w:rFonts w:ascii="Times New Roman" w:hAnsi="Times New Roman"/>
          <w:color w:val="auto"/>
          <w:highlight w:val="none"/>
        </w:rPr>
        <w:t>七</w:t>
      </w:r>
      <w:r>
        <w:rPr>
          <w:rFonts w:hint="eastAsia" w:ascii="Times New Roman" w:hAnsi="Times New Roman"/>
          <w:color w:val="auto"/>
          <w:highlight w:val="none"/>
        </w:rPr>
        <w:t>、其他（如有）</w:t>
      </w:r>
    </w:p>
    <w:p w14:paraId="36A58D88">
      <w:pPr>
        <w:spacing w:line="360" w:lineRule="auto"/>
        <w:ind w:firstLine="0" w:firstLineChars="0"/>
        <w:jc w:val="center"/>
        <w:outlineLvl w:val="1"/>
        <w:rPr>
          <w:rStyle w:val="31"/>
          <w:rFonts w:ascii="Times New Roman" w:hAnsi="Times New Roman"/>
          <w:color w:val="auto"/>
          <w:highlight w:val="none"/>
        </w:rPr>
      </w:pPr>
      <w:r>
        <w:rPr>
          <w:rFonts w:hint="eastAsia" w:ascii="Times New Roman" w:hAnsi="Times New Roman" w:cs="宋体"/>
          <w:color w:val="auto"/>
          <w:highlight w:val="none"/>
        </w:rPr>
        <w:br w:type="page"/>
      </w:r>
      <w:bookmarkStart w:id="613" w:name="_Toc23701"/>
      <w:bookmarkStart w:id="614" w:name="_Toc8850"/>
      <w:r>
        <w:rPr>
          <w:rStyle w:val="31"/>
          <w:rFonts w:hint="eastAsia" w:ascii="Times New Roman" w:hAnsi="Times New Roman"/>
          <w:color w:val="auto"/>
          <w:highlight w:val="none"/>
        </w:rPr>
        <w:t>一、参选函</w:t>
      </w:r>
    </w:p>
    <w:bookmarkEnd w:id="613"/>
    <w:bookmarkEnd w:id="614"/>
    <w:p w14:paraId="15AAE01A">
      <w:pPr>
        <w:tabs>
          <w:tab w:val="left" w:pos="6300"/>
        </w:tabs>
        <w:snapToGrid w:val="0"/>
        <w:spacing w:line="360" w:lineRule="auto"/>
        <w:ind w:right="-34" w:rightChars="-14"/>
        <w:rPr>
          <w:rFonts w:ascii="Times New Roman" w:hAnsi="Times New Roman"/>
          <w:snapToGrid w:val="0"/>
          <w:color w:val="auto"/>
          <w:kern w:val="0"/>
          <w:szCs w:val="24"/>
          <w:highlight w:val="none"/>
          <w:u w:val="single"/>
        </w:rPr>
      </w:pPr>
    </w:p>
    <w:p w14:paraId="7CE593A2">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3EB6F6B1">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4986C5CC">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免费</w:t>
      </w:r>
      <w:r>
        <w:rPr>
          <w:rFonts w:hint="eastAsia" w:ascii="Times New Roman" w:hAnsi="Times New Roman"/>
          <w:snapToGrid w:val="0"/>
          <w:color w:val="auto"/>
          <w:kern w:val="0"/>
          <w:szCs w:val="24"/>
          <w:highlight w:val="none"/>
          <w:lang w:val="en-US" w:eastAsia="zh-CN"/>
        </w:rPr>
        <w:t>维护</w:t>
      </w:r>
      <w:r>
        <w:rPr>
          <w:rFonts w:hint="eastAsia" w:ascii="Times New Roman" w:hAnsi="Times New Roman"/>
          <w:snapToGrid w:val="0"/>
          <w:color w:val="auto"/>
          <w:kern w:val="0"/>
          <w:szCs w:val="24"/>
          <w:highlight w:val="none"/>
        </w:rPr>
        <w:t>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r>
        <w:rPr>
          <w:rFonts w:hint="eastAsia" w:ascii="Times New Roman" w:hAnsi="Times New Roman"/>
          <w:snapToGrid w:val="0"/>
          <w:color w:val="auto"/>
          <w:kern w:val="0"/>
          <w:szCs w:val="24"/>
          <w:highlight w:val="none"/>
        </w:rPr>
        <w:t>免费</w:t>
      </w:r>
      <w:r>
        <w:rPr>
          <w:rFonts w:hint="eastAsia" w:ascii="Times New Roman" w:hAnsi="Times New Roman"/>
          <w:snapToGrid w:val="0"/>
          <w:color w:val="auto"/>
          <w:kern w:val="0"/>
          <w:szCs w:val="24"/>
          <w:highlight w:val="none"/>
          <w:lang w:val="en-US" w:eastAsia="zh-CN"/>
        </w:rPr>
        <w:t>维护</w:t>
      </w:r>
      <w:r>
        <w:rPr>
          <w:rFonts w:hint="eastAsia" w:ascii="Times New Roman" w:hAnsi="Times New Roman"/>
          <w:snapToGrid w:val="0"/>
          <w:color w:val="auto"/>
          <w:kern w:val="0"/>
          <w:szCs w:val="24"/>
          <w:highlight w:val="none"/>
        </w:rPr>
        <w:t>期后的</w:t>
      </w:r>
      <w:r>
        <w:rPr>
          <w:rFonts w:hint="eastAsia"/>
          <w:snapToGrid w:val="0"/>
          <w:color w:val="auto"/>
          <w:kern w:val="0"/>
          <w:szCs w:val="24"/>
          <w:highlight w:val="none"/>
        </w:rPr>
        <w:t>每年</w:t>
      </w:r>
      <w:r>
        <w:rPr>
          <w:rFonts w:hint="eastAsia" w:ascii="Times New Roman" w:hAnsi="Times New Roman"/>
          <w:snapToGrid w:val="0"/>
          <w:color w:val="auto"/>
          <w:kern w:val="0"/>
          <w:szCs w:val="24"/>
          <w:highlight w:val="none"/>
        </w:rPr>
        <w:t>维保费率：</w:t>
      </w:r>
      <w:r>
        <w:rPr>
          <w:snapToGrid w:val="0"/>
          <w:color w:val="auto"/>
          <w:kern w:val="0"/>
          <w:szCs w:val="24"/>
          <w:highlight w:val="none"/>
          <w:u w:val="single"/>
        </w:rPr>
        <w:t xml:space="preserve">        </w:t>
      </w:r>
      <w:r>
        <w:rPr>
          <w:rFonts w:hint="eastAsia"/>
          <w:snapToGrid w:val="0"/>
          <w:color w:val="auto"/>
          <w:kern w:val="0"/>
          <w:szCs w:val="24"/>
          <w:highlight w:val="none"/>
          <w:u w:val="single"/>
        </w:rPr>
        <w:t>%</w:t>
      </w:r>
      <w:r>
        <w:rPr>
          <w:snapToGrid w:val="0"/>
          <w:color w:val="auto"/>
          <w:kern w:val="0"/>
          <w:szCs w:val="24"/>
          <w:highlight w:val="none"/>
          <w:u w:val="none"/>
        </w:rPr>
        <w:t>。</w:t>
      </w:r>
    </w:p>
    <w:p w14:paraId="3C33F158">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65EDC448">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715A1A55">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52D59E82">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03474C90">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26D40F43">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w:t>
      </w:r>
      <w:r>
        <w:rPr>
          <w:rFonts w:hint="eastAsia" w:ascii="Times New Roman" w:hAnsi="Times New Roman" w:cs="Times New Roman"/>
          <w:snapToGrid w:val="0"/>
          <w:color w:val="auto"/>
          <w:kern w:val="0"/>
          <w:szCs w:val="24"/>
          <w:highlight w:val="none"/>
        </w:rPr>
        <w:t>6</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及13%</w:t>
      </w:r>
      <w:r>
        <w:rPr>
          <w:rFonts w:hint="eastAsia" w:ascii="Times New Roman" w:hAnsi="Times New Roman"/>
          <w:snapToGrid w:val="0"/>
          <w:color w:val="auto"/>
          <w:kern w:val="0"/>
          <w:szCs w:val="24"/>
          <w:highlight w:val="none"/>
        </w:rPr>
        <w:t>的增值税专用发票。</w:t>
      </w:r>
    </w:p>
    <w:p w14:paraId="325CBCD4">
      <w:pPr>
        <w:tabs>
          <w:tab w:val="left" w:pos="6300"/>
        </w:tabs>
        <w:snapToGrid w:val="0"/>
        <w:spacing w:line="360" w:lineRule="auto"/>
        <w:ind w:right="-34" w:rightChars="-14"/>
        <w:rPr>
          <w:rFonts w:ascii="Times New Roman" w:hAnsi="Times New Roman"/>
          <w:snapToGrid w:val="0"/>
          <w:color w:val="auto"/>
          <w:kern w:val="0"/>
          <w:szCs w:val="24"/>
          <w:highlight w:val="none"/>
        </w:rPr>
      </w:pPr>
    </w:p>
    <w:p w14:paraId="769EBCE5">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7EA6AA7D">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60D4D501">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23302FAC">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285C2E66">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62E59D1A">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64883191">
      <w:pPr>
        <w:widowControl/>
        <w:spacing w:line="360" w:lineRule="auto"/>
        <w:rPr>
          <w:rFonts w:ascii="Times New Roman" w:hAnsi="Times New Roman"/>
          <w:snapToGrid w:val="0"/>
          <w:color w:val="auto"/>
          <w:kern w:val="0"/>
          <w:szCs w:val="24"/>
          <w:highlight w:val="none"/>
        </w:rPr>
      </w:pPr>
    </w:p>
    <w:p w14:paraId="66663B25">
      <w:pPr>
        <w:tabs>
          <w:tab w:val="left" w:pos="6300"/>
        </w:tabs>
        <w:snapToGrid w:val="0"/>
        <w:spacing w:line="360" w:lineRule="auto"/>
        <w:rPr>
          <w:rFonts w:ascii="Times New Roman" w:hAnsi="Times New Roman"/>
          <w:snapToGrid w:val="0"/>
          <w:color w:val="auto"/>
          <w:kern w:val="0"/>
          <w:szCs w:val="24"/>
          <w:highlight w:val="none"/>
        </w:rPr>
      </w:pPr>
    </w:p>
    <w:p w14:paraId="07E7C74D">
      <w:pPr>
        <w:widowControl/>
        <w:spacing w:line="360" w:lineRule="auto"/>
        <w:rPr>
          <w:rFonts w:ascii="Times New Roman" w:hAnsi="Times New Roman"/>
          <w:snapToGrid w:val="0"/>
          <w:color w:val="auto"/>
          <w:kern w:val="0"/>
          <w:szCs w:val="24"/>
          <w:highlight w:val="none"/>
        </w:rPr>
      </w:pPr>
    </w:p>
    <w:p w14:paraId="770EF4DD">
      <w:pPr>
        <w:widowControl/>
        <w:spacing w:line="360" w:lineRule="auto"/>
        <w:rPr>
          <w:rFonts w:ascii="Times New Roman" w:hAnsi="Times New Roman"/>
          <w:snapToGrid w:val="0"/>
          <w:color w:val="auto"/>
          <w:kern w:val="0"/>
          <w:szCs w:val="24"/>
          <w:highlight w:val="none"/>
        </w:rPr>
      </w:pPr>
    </w:p>
    <w:p w14:paraId="2F6D8A39">
      <w:pPr>
        <w:widowControl/>
        <w:spacing w:line="360" w:lineRule="auto"/>
        <w:rPr>
          <w:rFonts w:ascii="Times New Roman" w:hAnsi="Times New Roman"/>
          <w:snapToGrid w:val="0"/>
          <w:color w:val="auto"/>
          <w:kern w:val="0"/>
          <w:szCs w:val="24"/>
          <w:highlight w:val="none"/>
        </w:rPr>
      </w:pPr>
    </w:p>
    <w:p w14:paraId="4333ED1D">
      <w:pPr>
        <w:widowControl/>
        <w:spacing w:line="360" w:lineRule="auto"/>
        <w:rPr>
          <w:rFonts w:ascii="Times New Roman" w:hAnsi="Times New Roman"/>
          <w:snapToGrid w:val="0"/>
          <w:color w:val="auto"/>
          <w:kern w:val="0"/>
          <w:szCs w:val="24"/>
          <w:highlight w:val="none"/>
        </w:rPr>
      </w:pPr>
    </w:p>
    <w:p w14:paraId="0D9C4302">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51F9FA70">
      <w:pPr>
        <w:pStyle w:val="32"/>
        <w:rPr>
          <w:rFonts w:ascii="Times New Roman" w:hAnsi="Times New Roman"/>
          <w:color w:val="auto"/>
          <w:highlight w:val="none"/>
        </w:rPr>
      </w:pPr>
      <w:bookmarkStart w:id="615" w:name="_Toc27826"/>
      <w:bookmarkStart w:id="616" w:name="_Toc24907"/>
      <w:r>
        <w:rPr>
          <w:rFonts w:ascii="Times New Roman" w:hAnsi="Times New Roman"/>
          <w:color w:val="auto"/>
          <w:highlight w:val="none"/>
        </w:rPr>
        <w:t>二、报价一览表</w:t>
      </w:r>
      <w:bookmarkEnd w:id="615"/>
      <w:bookmarkEnd w:id="616"/>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2876"/>
        <w:gridCol w:w="2964"/>
      </w:tblGrid>
      <w:tr w14:paraId="00AA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73AF85C6">
            <w:pPr>
              <w:spacing w:line="240" w:lineRule="atLeast"/>
              <w:jc w:val="center"/>
              <w:rPr>
                <w:rFonts w:hint="eastAsia" w:ascii="宋体" w:hAnsi="宋体" w:eastAsia="宋体" w:cs="宋体"/>
                <w:snapToGrid w:val="0"/>
                <w:color w:val="auto"/>
                <w:kern w:val="0"/>
                <w:sz w:val="21"/>
                <w:szCs w:val="21"/>
                <w:highlight w:val="none"/>
              </w:rPr>
            </w:pPr>
            <w:bookmarkStart w:id="617" w:name="_Hlk59456849"/>
            <w:r>
              <w:rPr>
                <w:rFonts w:hint="eastAsia" w:ascii="宋体" w:hAnsi="宋体" w:eastAsia="宋体" w:cs="宋体"/>
                <w:snapToGrid w:val="0"/>
                <w:color w:val="auto"/>
                <w:kern w:val="0"/>
                <w:sz w:val="21"/>
                <w:szCs w:val="21"/>
                <w:highlight w:val="none"/>
              </w:rPr>
              <w:t>参选人全称</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0049B15E">
            <w:pPr>
              <w:spacing w:line="240" w:lineRule="atLeast"/>
              <w:jc w:val="center"/>
              <w:rPr>
                <w:rFonts w:hint="eastAsia" w:ascii="宋体" w:hAnsi="宋体" w:eastAsia="宋体" w:cs="宋体"/>
                <w:color w:val="auto"/>
                <w:sz w:val="21"/>
                <w:szCs w:val="21"/>
                <w:highlight w:val="none"/>
              </w:rPr>
            </w:pPr>
          </w:p>
        </w:tc>
      </w:tr>
      <w:tr w14:paraId="0DDC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6DEB23EA">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比选项目名称</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6C2D27E4">
            <w:pPr>
              <w:spacing w:line="240" w:lineRule="atLeast"/>
              <w:jc w:val="center"/>
              <w:rPr>
                <w:rFonts w:hint="eastAsia" w:ascii="宋体" w:hAnsi="宋体" w:eastAsia="宋体" w:cs="宋体"/>
                <w:snapToGrid w:val="0"/>
                <w:color w:val="auto"/>
                <w:sz w:val="21"/>
                <w:szCs w:val="21"/>
                <w:highlight w:val="none"/>
              </w:rPr>
            </w:pPr>
          </w:p>
        </w:tc>
      </w:tr>
      <w:tr w14:paraId="1561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6003E787">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rPr>
              <w:t>参选</w:t>
            </w:r>
            <w:r>
              <w:rPr>
                <w:rFonts w:hint="eastAsia" w:ascii="宋体" w:hAnsi="宋体" w:eastAsia="宋体" w:cs="宋体"/>
                <w:color w:val="auto"/>
                <w:sz w:val="21"/>
                <w:szCs w:val="21"/>
                <w:highlight w:val="none"/>
              </w:rPr>
              <w:t>总价（含税）</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36991C58">
            <w:pPr>
              <w:spacing w:line="240" w:lineRule="atLeas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小写（人民币）：            </w:t>
            </w:r>
          </w:p>
          <w:p w14:paraId="1FAD0D4D">
            <w:pPr>
              <w:spacing w:line="240" w:lineRule="atLeast"/>
              <w:jc w:val="both"/>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kern w:val="0"/>
                <w:sz w:val="21"/>
                <w:szCs w:val="21"/>
                <w:highlight w:val="none"/>
              </w:rPr>
              <w:t xml:space="preserve">大写（人民币）：            </w:t>
            </w:r>
          </w:p>
        </w:tc>
      </w:tr>
      <w:tr w14:paraId="47EA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7A8938D4">
            <w:pPr>
              <w:spacing w:line="240" w:lineRule="atLeast"/>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参选</w:t>
            </w:r>
            <w:r>
              <w:rPr>
                <w:rFonts w:hint="eastAsia" w:ascii="宋体" w:hAnsi="宋体" w:eastAsia="宋体" w:cs="宋体"/>
                <w:color w:val="auto"/>
                <w:sz w:val="21"/>
                <w:szCs w:val="21"/>
                <w:highlight w:val="none"/>
              </w:rPr>
              <w:t>总价（不含税）</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6EE21E8B">
            <w:pPr>
              <w:spacing w:line="240" w:lineRule="atLeas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小写（人民币）：            </w:t>
            </w:r>
          </w:p>
          <w:p w14:paraId="4FD0EFAE">
            <w:pPr>
              <w:spacing w:line="240" w:lineRule="atLeast"/>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大写（人民币）：            </w:t>
            </w:r>
          </w:p>
        </w:tc>
      </w:tr>
      <w:tr w14:paraId="3C08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right w:val="single" w:color="auto" w:sz="4" w:space="0"/>
            </w:tcBorders>
            <w:vAlign w:val="center"/>
          </w:tcPr>
          <w:p w14:paraId="23159B64">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产品报价小写</w:t>
            </w:r>
          </w:p>
          <w:p w14:paraId="205996AD">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（税率：13%：）</w:t>
            </w:r>
          </w:p>
        </w:tc>
        <w:tc>
          <w:tcPr>
            <w:tcW w:w="1688" w:type="pct"/>
            <w:tcBorders>
              <w:top w:val="single" w:color="auto" w:sz="4" w:space="0"/>
              <w:left w:val="single" w:color="auto" w:sz="4" w:space="0"/>
              <w:right w:val="single" w:color="auto" w:sz="4" w:space="0"/>
            </w:tcBorders>
            <w:vAlign w:val="center"/>
          </w:tcPr>
          <w:p w14:paraId="3EF1D8A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含税价：</w:t>
            </w:r>
          </w:p>
        </w:tc>
        <w:tc>
          <w:tcPr>
            <w:tcW w:w="1738" w:type="pct"/>
            <w:tcBorders>
              <w:top w:val="single" w:color="auto" w:sz="4" w:space="0"/>
              <w:left w:val="single" w:color="auto" w:sz="4" w:space="0"/>
              <w:bottom w:val="single" w:color="auto" w:sz="4" w:space="0"/>
              <w:right w:val="single" w:color="auto" w:sz="4" w:space="0"/>
            </w:tcBorders>
            <w:vAlign w:val="center"/>
          </w:tcPr>
          <w:p w14:paraId="070BB8C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不含税价：</w:t>
            </w:r>
          </w:p>
        </w:tc>
      </w:tr>
      <w:tr w14:paraId="0B78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left w:val="single" w:color="auto" w:sz="4" w:space="0"/>
              <w:bottom w:val="single" w:color="auto" w:sz="4" w:space="0"/>
              <w:right w:val="single" w:color="auto" w:sz="4" w:space="0"/>
            </w:tcBorders>
            <w:vAlign w:val="center"/>
          </w:tcPr>
          <w:p w14:paraId="3615FA55">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定制开发报价小写</w:t>
            </w:r>
          </w:p>
          <w:p w14:paraId="0EED97EE">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（税率：6%）</w:t>
            </w:r>
          </w:p>
        </w:tc>
        <w:tc>
          <w:tcPr>
            <w:tcW w:w="1688" w:type="pct"/>
            <w:tcBorders>
              <w:left w:val="single" w:color="auto" w:sz="4" w:space="0"/>
              <w:bottom w:val="single" w:color="auto" w:sz="4" w:space="0"/>
              <w:right w:val="single" w:color="auto" w:sz="4" w:space="0"/>
            </w:tcBorders>
            <w:vAlign w:val="center"/>
          </w:tcPr>
          <w:p w14:paraId="07955D3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含税价：</w:t>
            </w:r>
          </w:p>
        </w:tc>
        <w:tc>
          <w:tcPr>
            <w:tcW w:w="1738" w:type="pct"/>
            <w:tcBorders>
              <w:top w:val="single" w:color="auto" w:sz="4" w:space="0"/>
              <w:left w:val="single" w:color="auto" w:sz="4" w:space="0"/>
              <w:bottom w:val="single" w:color="auto" w:sz="4" w:space="0"/>
              <w:right w:val="single" w:color="auto" w:sz="4" w:space="0"/>
            </w:tcBorders>
            <w:vAlign w:val="center"/>
          </w:tcPr>
          <w:p w14:paraId="291A3A6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不含税价：</w:t>
            </w:r>
          </w:p>
        </w:tc>
      </w:tr>
      <w:tr w14:paraId="56A8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0CF059FD">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维护期</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7E5A12F9">
            <w:pPr>
              <w:spacing w:line="240" w:lineRule="atLeast"/>
              <w:jc w:val="center"/>
              <w:rPr>
                <w:rFonts w:hint="eastAsia" w:ascii="宋体" w:hAnsi="宋体" w:eastAsia="宋体" w:cs="宋体"/>
                <w:color w:val="auto"/>
                <w:sz w:val="21"/>
                <w:szCs w:val="21"/>
                <w:highlight w:val="none"/>
              </w:rPr>
            </w:pPr>
          </w:p>
        </w:tc>
      </w:tr>
      <w:tr w14:paraId="718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55E5EACE">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维护期后的维保费率</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2F7609A1">
            <w:pPr>
              <w:spacing w:line="240" w:lineRule="atLeast"/>
              <w:jc w:val="center"/>
              <w:rPr>
                <w:rFonts w:hint="eastAsia" w:ascii="宋体" w:hAnsi="宋体" w:eastAsia="宋体" w:cs="宋体"/>
                <w:color w:val="auto"/>
                <w:sz w:val="21"/>
                <w:szCs w:val="21"/>
                <w:highlight w:val="none"/>
              </w:rPr>
            </w:pPr>
          </w:p>
        </w:tc>
      </w:tr>
      <w:tr w14:paraId="62AA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vAlign w:val="center"/>
          </w:tcPr>
          <w:p w14:paraId="4CB4BAA9">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开具发票类型</w:t>
            </w:r>
          </w:p>
        </w:tc>
        <w:tc>
          <w:tcPr>
            <w:tcW w:w="3426" w:type="pct"/>
            <w:gridSpan w:val="2"/>
            <w:tcBorders>
              <w:top w:val="single" w:color="auto" w:sz="4" w:space="0"/>
              <w:left w:val="single" w:color="auto" w:sz="4" w:space="0"/>
              <w:bottom w:val="single" w:color="auto" w:sz="4" w:space="0"/>
              <w:right w:val="single" w:color="auto" w:sz="4" w:space="0"/>
            </w:tcBorders>
            <w:vAlign w:val="center"/>
          </w:tcPr>
          <w:p w14:paraId="1CB6F086">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增值税专用发票</w:t>
            </w:r>
          </w:p>
        </w:tc>
      </w:tr>
      <w:tr w14:paraId="179A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00" w:type="pct"/>
            <w:gridSpan w:val="3"/>
            <w:tcBorders>
              <w:top w:val="single" w:color="auto" w:sz="4" w:space="0"/>
              <w:left w:val="single" w:color="auto" w:sz="4" w:space="0"/>
              <w:bottom w:val="single" w:color="auto" w:sz="4" w:space="0"/>
              <w:right w:val="single" w:color="auto" w:sz="4" w:space="0"/>
            </w:tcBorders>
          </w:tcPr>
          <w:p w14:paraId="44FB2AFE">
            <w:pPr>
              <w:pStyle w:val="14"/>
              <w:spacing w:line="240" w:lineRule="atLeast"/>
              <w:rPr>
                <w:rFonts w:hint="eastAsia" w:ascii="宋体" w:hAnsi="宋体" w:eastAsia="宋体" w:cs="宋体"/>
                <w:snapToGrid w:val="0"/>
                <w:color w:val="auto"/>
                <w:sz w:val="21"/>
                <w:szCs w:val="21"/>
                <w:highlight w:val="none"/>
              </w:rPr>
            </w:pPr>
          </w:p>
          <w:p w14:paraId="0A3BDE87">
            <w:pPr>
              <w:pStyle w:val="14"/>
              <w:spacing w:line="240" w:lineRule="atLeas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bl>
    <w:p w14:paraId="5477142C">
      <w:pPr>
        <w:spacing w:line="360" w:lineRule="auto"/>
        <w:ind w:right="-34" w:rightChars="-14"/>
        <w:rPr>
          <w:rFonts w:ascii="Times New Roman" w:hAnsi="Times New Roman"/>
          <w:color w:val="auto"/>
          <w:szCs w:val="28"/>
          <w:highlight w:val="none"/>
        </w:rPr>
      </w:pPr>
    </w:p>
    <w:p w14:paraId="253EB799">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617"/>
    <w:p w14:paraId="58456784">
      <w:pPr>
        <w:spacing w:line="360" w:lineRule="auto"/>
        <w:ind w:right="-34" w:rightChars="-14"/>
        <w:rPr>
          <w:rFonts w:ascii="Times New Roman" w:hAnsi="Times New Roman"/>
          <w:color w:val="auto"/>
          <w:szCs w:val="28"/>
          <w:highlight w:val="none"/>
        </w:rPr>
      </w:pPr>
    </w:p>
    <w:p w14:paraId="2BA7EEF5">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1327C93A">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w:t>
      </w:r>
      <w:r>
        <w:rPr>
          <w:rFonts w:hint="eastAsia" w:ascii="Times New Roman" w:hAnsi="Times New Roman"/>
          <w:snapToGrid w:val="0"/>
          <w:color w:val="auto"/>
          <w:kern w:val="0"/>
          <w:szCs w:val="24"/>
          <w:highlight w:val="none"/>
          <w:lang w:val="en-US" w:eastAsia="zh-CN"/>
        </w:rPr>
        <w:t>签字或盖章</w:t>
      </w:r>
      <w:r>
        <w:rPr>
          <w:rFonts w:hint="eastAsia" w:ascii="Times New Roman" w:hAnsi="Times New Roman"/>
          <w:snapToGrid w:val="0"/>
          <w:color w:val="auto"/>
          <w:kern w:val="0"/>
          <w:szCs w:val="24"/>
          <w:highlight w:val="none"/>
        </w:rPr>
        <w:t>）</w:t>
      </w:r>
    </w:p>
    <w:p w14:paraId="2050137E">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DA55184">
      <w:pPr>
        <w:snapToGrid w:val="0"/>
        <w:spacing w:line="360" w:lineRule="auto"/>
        <w:ind w:firstLine="0" w:firstLineChars="0"/>
        <w:rPr>
          <w:rFonts w:ascii="Times New Roman" w:hAnsi="Times New Roman"/>
          <w:snapToGrid w:val="0"/>
          <w:color w:val="auto"/>
          <w:kern w:val="0"/>
          <w:szCs w:val="24"/>
          <w:highlight w:val="none"/>
        </w:rPr>
      </w:pPr>
    </w:p>
    <w:p w14:paraId="6C89161C">
      <w:pPr>
        <w:snapToGrid w:val="0"/>
        <w:spacing w:line="24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62580C14">
      <w:pPr>
        <w:snapToGrid w:val="0"/>
        <w:spacing w:line="24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6FD315CF">
      <w:pPr>
        <w:spacing w:line="240" w:lineRule="auto"/>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5E898A33">
      <w:pPr>
        <w:rPr>
          <w:rFonts w:hint="eastAsia" w:ascii="Times New Roman" w:hAnsi="Times New Roman"/>
          <w:snapToGrid w:val="0"/>
          <w:color w:val="auto"/>
          <w:kern w:val="0"/>
          <w:szCs w:val="24"/>
          <w:highlight w:val="none"/>
        </w:rPr>
      </w:pPr>
    </w:p>
    <w:p w14:paraId="71C4435C">
      <w:pPr>
        <w:rPr>
          <w:rFonts w:ascii="Times New Roman" w:hAnsi="Times New Roman"/>
          <w:snapToGrid w:val="0"/>
          <w:color w:val="auto"/>
          <w:kern w:val="0"/>
          <w:szCs w:val="24"/>
          <w:highlight w:val="none"/>
        </w:rPr>
        <w:sectPr>
          <w:pgSz w:w="11906" w:h="16838"/>
          <w:pgMar w:top="1440" w:right="1800" w:bottom="1440" w:left="1800" w:header="851" w:footer="992" w:gutter="0"/>
          <w:pgNumType w:fmt="decimal"/>
          <w:cols w:space="720" w:num="1"/>
          <w:docGrid w:type="lines" w:linePitch="312" w:charSpace="0"/>
        </w:sectPr>
      </w:pPr>
    </w:p>
    <w:p w14:paraId="5A50F4B1">
      <w:pPr>
        <w:pStyle w:val="32"/>
        <w:rPr>
          <w:rFonts w:ascii="Times New Roman" w:hAnsi="Times New Roman"/>
          <w:color w:val="auto"/>
          <w:highlight w:val="none"/>
        </w:rPr>
      </w:pPr>
      <w:bookmarkStart w:id="618" w:name="_Toc167"/>
      <w:bookmarkStart w:id="619" w:name="_Toc17114"/>
      <w:r>
        <w:rPr>
          <w:rFonts w:ascii="Times New Roman" w:hAnsi="Times New Roman"/>
          <w:color w:val="auto"/>
          <w:highlight w:val="none"/>
        </w:rPr>
        <w:t>三、资格性文件</w:t>
      </w:r>
      <w:bookmarkEnd w:id="618"/>
      <w:bookmarkEnd w:id="619"/>
    </w:p>
    <w:p w14:paraId="3E29ECD6">
      <w:pPr>
        <w:pStyle w:val="33"/>
        <w:rPr>
          <w:rFonts w:ascii="Times New Roman" w:hAnsi="Times New Roman"/>
          <w:color w:val="auto"/>
          <w:highlight w:val="none"/>
        </w:rPr>
      </w:pPr>
      <w:bookmarkStart w:id="620" w:name="_Toc1088"/>
      <w:bookmarkStart w:id="621" w:name="_Toc17929"/>
      <w:r>
        <w:rPr>
          <w:rFonts w:ascii="Times New Roman" w:hAnsi="Times New Roman"/>
          <w:color w:val="auto"/>
          <w:highlight w:val="none"/>
        </w:rPr>
        <w:t>（一）参选人基本情况介绍，资质证明等</w:t>
      </w:r>
      <w:bookmarkEnd w:id="620"/>
      <w:bookmarkEnd w:id="621"/>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450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1DDE63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0961D325">
            <w:pPr>
              <w:spacing w:line="360" w:lineRule="auto"/>
              <w:ind w:firstLine="0" w:firstLineChars="0"/>
              <w:jc w:val="center"/>
              <w:rPr>
                <w:rFonts w:ascii="Times New Roman" w:hAnsi="Times New Roman"/>
                <w:color w:val="auto"/>
                <w:sz w:val="22"/>
                <w:szCs w:val="24"/>
                <w:highlight w:val="none"/>
              </w:rPr>
            </w:pPr>
          </w:p>
        </w:tc>
      </w:tr>
      <w:tr w14:paraId="5DB9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B29BE2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9DD414C">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78D332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50E2B037">
            <w:pPr>
              <w:spacing w:line="360" w:lineRule="auto"/>
              <w:ind w:firstLine="0" w:firstLineChars="0"/>
              <w:jc w:val="center"/>
              <w:rPr>
                <w:rFonts w:ascii="Times New Roman" w:hAnsi="Times New Roman"/>
                <w:color w:val="auto"/>
                <w:sz w:val="22"/>
                <w:szCs w:val="24"/>
                <w:highlight w:val="none"/>
              </w:rPr>
            </w:pPr>
          </w:p>
        </w:tc>
      </w:tr>
      <w:tr w14:paraId="43A6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175D8F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7C79B6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383FA9C2">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EEBE16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0A2DFFB0">
            <w:pPr>
              <w:spacing w:line="360" w:lineRule="auto"/>
              <w:ind w:firstLine="0" w:firstLineChars="0"/>
              <w:jc w:val="center"/>
              <w:rPr>
                <w:rFonts w:ascii="Times New Roman" w:hAnsi="Times New Roman"/>
                <w:color w:val="auto"/>
                <w:sz w:val="22"/>
                <w:szCs w:val="24"/>
                <w:highlight w:val="none"/>
              </w:rPr>
            </w:pPr>
          </w:p>
        </w:tc>
      </w:tr>
      <w:tr w14:paraId="6E8A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C7D7170">
            <w:pPr>
              <w:rPr>
                <w:color w:val="auto"/>
                <w:highlight w:val="none"/>
              </w:rPr>
            </w:pPr>
          </w:p>
        </w:tc>
        <w:tc>
          <w:tcPr>
            <w:tcW w:w="1077" w:type="dxa"/>
            <w:tcBorders>
              <w:top w:val="single" w:color="auto" w:sz="4" w:space="0"/>
              <w:left w:val="single" w:color="auto" w:sz="4" w:space="0"/>
              <w:right w:val="single" w:color="auto" w:sz="4" w:space="0"/>
            </w:tcBorders>
            <w:vAlign w:val="center"/>
          </w:tcPr>
          <w:p w14:paraId="1F4FE22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4161ACCC">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4845AA9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641EA82F">
            <w:pPr>
              <w:spacing w:line="360" w:lineRule="auto"/>
              <w:ind w:firstLine="0" w:firstLineChars="0"/>
              <w:jc w:val="center"/>
              <w:rPr>
                <w:rFonts w:ascii="Times New Roman" w:hAnsi="Times New Roman"/>
                <w:color w:val="auto"/>
                <w:sz w:val="22"/>
                <w:szCs w:val="24"/>
                <w:highlight w:val="none"/>
              </w:rPr>
            </w:pPr>
          </w:p>
        </w:tc>
      </w:tr>
      <w:tr w14:paraId="2C74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9AE41E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334DFA94">
            <w:pPr>
              <w:spacing w:line="360" w:lineRule="auto"/>
              <w:ind w:firstLine="0" w:firstLineChars="0"/>
              <w:jc w:val="center"/>
              <w:rPr>
                <w:rFonts w:ascii="Times New Roman" w:hAnsi="Times New Roman"/>
                <w:color w:val="auto"/>
                <w:sz w:val="22"/>
                <w:szCs w:val="24"/>
                <w:highlight w:val="none"/>
              </w:rPr>
            </w:pPr>
          </w:p>
        </w:tc>
      </w:tr>
      <w:tr w14:paraId="24C7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595F44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BE660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E3192CD">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8570A2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549F657">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4A5AAB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3F6900EF">
            <w:pPr>
              <w:spacing w:line="360" w:lineRule="auto"/>
              <w:ind w:firstLine="0" w:firstLineChars="0"/>
              <w:jc w:val="center"/>
              <w:rPr>
                <w:rFonts w:ascii="Times New Roman" w:hAnsi="Times New Roman"/>
                <w:color w:val="auto"/>
                <w:sz w:val="22"/>
                <w:szCs w:val="24"/>
                <w:highlight w:val="none"/>
              </w:rPr>
            </w:pPr>
          </w:p>
        </w:tc>
      </w:tr>
      <w:tr w14:paraId="2243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20375D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3FB2328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375EA39">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104FDC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CA31A7E">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6A6776E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A1CD516">
            <w:pPr>
              <w:spacing w:line="360" w:lineRule="auto"/>
              <w:ind w:firstLine="0" w:firstLineChars="0"/>
              <w:jc w:val="center"/>
              <w:rPr>
                <w:rFonts w:ascii="Times New Roman" w:hAnsi="Times New Roman"/>
                <w:color w:val="auto"/>
                <w:sz w:val="22"/>
                <w:szCs w:val="24"/>
                <w:highlight w:val="none"/>
              </w:rPr>
            </w:pPr>
          </w:p>
        </w:tc>
      </w:tr>
      <w:tr w14:paraId="0582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08480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79CF94C">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5520F49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1F53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DF4A34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76FA7A22">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176A26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6335505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6B7A2CD0">
            <w:pPr>
              <w:spacing w:line="360" w:lineRule="auto"/>
              <w:ind w:firstLine="0" w:firstLineChars="0"/>
              <w:jc w:val="center"/>
              <w:rPr>
                <w:rFonts w:ascii="Times New Roman" w:hAnsi="Times New Roman"/>
                <w:color w:val="auto"/>
                <w:sz w:val="22"/>
                <w:szCs w:val="24"/>
                <w:highlight w:val="none"/>
              </w:rPr>
            </w:pPr>
          </w:p>
        </w:tc>
      </w:tr>
      <w:tr w14:paraId="6E92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E13ED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5AD7ED2">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1B783D6">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754EF6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3D278583">
            <w:pPr>
              <w:spacing w:line="360" w:lineRule="auto"/>
              <w:ind w:firstLine="0" w:firstLineChars="0"/>
              <w:jc w:val="center"/>
              <w:rPr>
                <w:rFonts w:ascii="Times New Roman" w:hAnsi="Times New Roman"/>
                <w:color w:val="auto"/>
                <w:sz w:val="22"/>
                <w:szCs w:val="24"/>
                <w:highlight w:val="none"/>
              </w:rPr>
            </w:pPr>
          </w:p>
        </w:tc>
      </w:tr>
      <w:tr w14:paraId="284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7B5A1E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E3ED19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D3240A2">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AD124D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2AB6BF99">
            <w:pPr>
              <w:spacing w:line="360" w:lineRule="auto"/>
              <w:ind w:firstLine="0" w:firstLineChars="0"/>
              <w:jc w:val="center"/>
              <w:rPr>
                <w:rFonts w:ascii="Times New Roman" w:hAnsi="Times New Roman"/>
                <w:color w:val="auto"/>
                <w:sz w:val="22"/>
                <w:szCs w:val="24"/>
                <w:highlight w:val="none"/>
              </w:rPr>
            </w:pPr>
          </w:p>
        </w:tc>
      </w:tr>
      <w:tr w14:paraId="3B46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F8826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2B7A10C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F006082">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2C79EF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6035C4BD">
            <w:pPr>
              <w:spacing w:line="360" w:lineRule="auto"/>
              <w:ind w:firstLine="0" w:firstLineChars="0"/>
              <w:jc w:val="center"/>
              <w:rPr>
                <w:rFonts w:ascii="Times New Roman" w:hAnsi="Times New Roman"/>
                <w:color w:val="auto"/>
                <w:sz w:val="22"/>
                <w:szCs w:val="24"/>
                <w:highlight w:val="none"/>
              </w:rPr>
            </w:pPr>
          </w:p>
        </w:tc>
      </w:tr>
      <w:tr w14:paraId="095C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DB44F1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6FA368E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A348EE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83396C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474BC7A9">
            <w:pPr>
              <w:spacing w:line="360" w:lineRule="auto"/>
              <w:ind w:firstLine="0" w:firstLineChars="0"/>
              <w:jc w:val="center"/>
              <w:rPr>
                <w:rFonts w:ascii="Times New Roman" w:hAnsi="Times New Roman"/>
                <w:color w:val="auto"/>
                <w:sz w:val="22"/>
                <w:szCs w:val="24"/>
                <w:highlight w:val="none"/>
              </w:rPr>
            </w:pPr>
          </w:p>
        </w:tc>
      </w:tr>
      <w:tr w14:paraId="10FA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F5DC82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484C11C7">
            <w:pPr>
              <w:spacing w:line="360" w:lineRule="auto"/>
              <w:ind w:firstLine="0" w:firstLineChars="0"/>
              <w:jc w:val="center"/>
              <w:rPr>
                <w:rFonts w:ascii="Times New Roman" w:hAnsi="Times New Roman"/>
                <w:color w:val="auto"/>
                <w:sz w:val="22"/>
                <w:szCs w:val="24"/>
                <w:highlight w:val="none"/>
              </w:rPr>
            </w:pPr>
          </w:p>
        </w:tc>
      </w:tr>
      <w:tr w14:paraId="268B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4B2657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2B079CB7">
            <w:pPr>
              <w:spacing w:line="360" w:lineRule="auto"/>
              <w:ind w:firstLine="0" w:firstLineChars="0"/>
              <w:jc w:val="center"/>
              <w:rPr>
                <w:rFonts w:ascii="Times New Roman" w:hAnsi="Times New Roman"/>
                <w:color w:val="auto"/>
                <w:sz w:val="22"/>
                <w:szCs w:val="24"/>
                <w:highlight w:val="none"/>
              </w:rPr>
            </w:pPr>
          </w:p>
        </w:tc>
      </w:tr>
    </w:tbl>
    <w:p w14:paraId="1EF528D6">
      <w:pPr>
        <w:widowControl/>
        <w:spacing w:line="360" w:lineRule="auto"/>
        <w:rPr>
          <w:rFonts w:hint="eastAsia" w:ascii="Times New Roman" w:hAnsi="Times New Roman"/>
          <w:color w:val="auto"/>
          <w:sz w:val="20"/>
          <w:szCs w:val="21"/>
          <w:highlight w:val="none"/>
        </w:rPr>
      </w:pPr>
      <w:r>
        <w:rPr>
          <w:rFonts w:hint="eastAsia" w:ascii="Times New Roman" w:hAnsi="Times New Roman"/>
          <w:color w:val="auto"/>
          <w:sz w:val="20"/>
          <w:szCs w:val="21"/>
          <w:highlight w:val="none"/>
        </w:rPr>
        <w:t>注：附营业执照（副本）、总公司授权委托书、资质证明复印件等。</w:t>
      </w:r>
    </w:p>
    <w:p w14:paraId="6A1FBCBF">
      <w:pPr>
        <w:widowControl/>
        <w:spacing w:line="360" w:lineRule="auto"/>
        <w:rPr>
          <w:rFonts w:hint="eastAsia" w:ascii="Times New Roman" w:hAnsi="Times New Roman"/>
          <w:color w:val="auto"/>
          <w:sz w:val="20"/>
          <w:szCs w:val="21"/>
          <w:highlight w:val="none"/>
        </w:rPr>
      </w:pPr>
    </w:p>
    <w:p w14:paraId="257EDA77">
      <w:pPr>
        <w:widowControl/>
        <w:spacing w:line="360" w:lineRule="auto"/>
        <w:rPr>
          <w:rFonts w:hint="eastAsia"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p>
    <w:p w14:paraId="365AD48D">
      <w:pPr>
        <w:pStyle w:val="33"/>
        <w:rPr>
          <w:rFonts w:ascii="Times New Roman" w:hAnsi="Times New Roman"/>
          <w:color w:val="auto"/>
          <w:highlight w:val="none"/>
        </w:rPr>
      </w:pPr>
      <w:bookmarkStart w:id="622" w:name="_Toc14270"/>
      <w:bookmarkStart w:id="623" w:name="_Toc378234584"/>
      <w:bookmarkStart w:id="624" w:name="_Toc8213"/>
      <w:bookmarkStart w:id="625" w:name="_Toc478054435"/>
      <w:bookmarkStart w:id="626" w:name="_Toc478053903"/>
      <w:bookmarkStart w:id="627" w:name="_Toc378234770"/>
      <w:bookmarkStart w:id="628" w:name="_Toc472780356"/>
      <w:r>
        <w:rPr>
          <w:rFonts w:ascii="Times New Roman" w:hAnsi="Times New Roman"/>
          <w:color w:val="auto"/>
          <w:highlight w:val="none"/>
        </w:rPr>
        <w:t>（二）法定代表人身份证明及授权委托书</w:t>
      </w:r>
      <w:bookmarkEnd w:id="622"/>
      <w:bookmarkEnd w:id="623"/>
      <w:bookmarkEnd w:id="624"/>
      <w:bookmarkEnd w:id="625"/>
      <w:bookmarkEnd w:id="626"/>
      <w:bookmarkEnd w:id="627"/>
      <w:bookmarkEnd w:id="628"/>
    </w:p>
    <w:p w14:paraId="52455CC7">
      <w:pPr>
        <w:pStyle w:val="34"/>
        <w:rPr>
          <w:rFonts w:ascii="Times New Roman" w:hAnsi="Times New Roman"/>
          <w:color w:val="auto"/>
          <w:highlight w:val="none"/>
        </w:rPr>
      </w:pPr>
      <w:r>
        <w:rPr>
          <w:rFonts w:ascii="Times New Roman" w:hAnsi="Times New Roman"/>
          <w:color w:val="auto"/>
          <w:highlight w:val="none"/>
        </w:rPr>
        <w:t>法定代表人身份证明书</w:t>
      </w:r>
    </w:p>
    <w:p w14:paraId="3115F5A6">
      <w:pPr>
        <w:tabs>
          <w:tab w:val="left" w:pos="6300"/>
        </w:tabs>
        <w:snapToGrid w:val="0"/>
        <w:spacing w:line="360" w:lineRule="auto"/>
        <w:rPr>
          <w:rFonts w:ascii="Times New Roman" w:hAnsi="Times New Roman"/>
          <w:snapToGrid w:val="0"/>
          <w:color w:val="auto"/>
          <w:kern w:val="0"/>
          <w:highlight w:val="none"/>
        </w:rPr>
      </w:pPr>
    </w:p>
    <w:p w14:paraId="6EC0632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2656777F">
      <w:pPr>
        <w:tabs>
          <w:tab w:val="left" w:pos="6300"/>
        </w:tabs>
        <w:snapToGrid w:val="0"/>
        <w:spacing w:line="360" w:lineRule="auto"/>
        <w:rPr>
          <w:rFonts w:ascii="Times New Roman" w:hAnsi="Times New Roman"/>
          <w:snapToGrid w:val="0"/>
          <w:color w:val="auto"/>
          <w:kern w:val="0"/>
          <w:highlight w:val="none"/>
        </w:rPr>
      </w:pPr>
    </w:p>
    <w:p w14:paraId="4CF5E84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EF4C0E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77331CA3">
      <w:pPr>
        <w:tabs>
          <w:tab w:val="left" w:pos="6300"/>
        </w:tabs>
        <w:snapToGrid w:val="0"/>
        <w:spacing w:line="360" w:lineRule="auto"/>
        <w:rPr>
          <w:rFonts w:ascii="Times New Roman" w:hAnsi="Times New Roman"/>
          <w:snapToGrid w:val="0"/>
          <w:color w:val="auto"/>
          <w:kern w:val="0"/>
          <w:highlight w:val="none"/>
        </w:rPr>
      </w:pPr>
    </w:p>
    <w:p w14:paraId="01A25B3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14874B25">
      <w:pPr>
        <w:tabs>
          <w:tab w:val="left" w:pos="6300"/>
        </w:tabs>
        <w:snapToGrid w:val="0"/>
        <w:spacing w:line="360" w:lineRule="auto"/>
        <w:rPr>
          <w:rFonts w:ascii="Times New Roman" w:hAnsi="Times New Roman"/>
          <w:snapToGrid w:val="0"/>
          <w:color w:val="auto"/>
          <w:kern w:val="0"/>
          <w:highlight w:val="none"/>
        </w:rPr>
      </w:pPr>
    </w:p>
    <w:p w14:paraId="7BFE009D">
      <w:pPr>
        <w:tabs>
          <w:tab w:val="left" w:pos="6300"/>
        </w:tabs>
        <w:snapToGrid w:val="0"/>
        <w:spacing w:line="360" w:lineRule="auto"/>
        <w:rPr>
          <w:rFonts w:ascii="Times New Roman" w:hAnsi="Times New Roman"/>
          <w:snapToGrid w:val="0"/>
          <w:color w:val="auto"/>
          <w:kern w:val="0"/>
          <w:highlight w:val="none"/>
        </w:rPr>
      </w:pPr>
    </w:p>
    <w:p w14:paraId="1E9D135D">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5F8E4AC6">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7527A93F">
      <w:pPr>
        <w:tabs>
          <w:tab w:val="left" w:pos="6300"/>
        </w:tabs>
        <w:snapToGrid w:val="0"/>
        <w:spacing w:line="360" w:lineRule="auto"/>
        <w:rPr>
          <w:rFonts w:ascii="Times New Roman" w:hAnsi="Times New Roman"/>
          <w:snapToGrid w:val="0"/>
          <w:color w:val="auto"/>
          <w:kern w:val="0"/>
          <w:highlight w:val="none"/>
        </w:rPr>
      </w:pPr>
    </w:p>
    <w:p w14:paraId="6A5700D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176CB5BE">
      <w:pPr>
        <w:tabs>
          <w:tab w:val="left" w:pos="6300"/>
        </w:tabs>
        <w:snapToGrid w:val="0"/>
        <w:spacing w:line="360" w:lineRule="auto"/>
        <w:rPr>
          <w:rFonts w:ascii="Times New Roman" w:hAnsi="Times New Roman"/>
          <w:snapToGrid w:val="0"/>
          <w:color w:val="auto"/>
          <w:kern w:val="0"/>
          <w:highlight w:val="none"/>
        </w:rPr>
      </w:pPr>
    </w:p>
    <w:p w14:paraId="1B93DC5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1B01A358">
      <w:pPr>
        <w:tabs>
          <w:tab w:val="left" w:pos="6300"/>
        </w:tabs>
        <w:snapToGrid w:val="0"/>
        <w:spacing w:line="360" w:lineRule="auto"/>
        <w:rPr>
          <w:rFonts w:ascii="Times New Roman" w:hAnsi="Times New Roman"/>
          <w:snapToGrid w:val="0"/>
          <w:color w:val="auto"/>
          <w:kern w:val="0"/>
          <w:highlight w:val="none"/>
        </w:rPr>
      </w:pPr>
    </w:p>
    <w:p w14:paraId="3A5A08D9">
      <w:pPr>
        <w:tabs>
          <w:tab w:val="left" w:pos="6300"/>
        </w:tabs>
        <w:snapToGrid w:val="0"/>
        <w:spacing w:line="360" w:lineRule="auto"/>
        <w:rPr>
          <w:rFonts w:ascii="Times New Roman" w:hAnsi="Times New Roman"/>
          <w:snapToGrid w:val="0"/>
          <w:color w:val="auto"/>
          <w:kern w:val="0"/>
          <w:highlight w:val="none"/>
        </w:rPr>
      </w:pPr>
    </w:p>
    <w:p w14:paraId="59F3A52E">
      <w:pPr>
        <w:tabs>
          <w:tab w:val="left" w:pos="6300"/>
        </w:tabs>
        <w:snapToGrid w:val="0"/>
        <w:spacing w:line="360" w:lineRule="auto"/>
        <w:rPr>
          <w:rFonts w:ascii="Times New Roman" w:hAnsi="Times New Roman"/>
          <w:snapToGrid w:val="0"/>
          <w:color w:val="auto"/>
          <w:kern w:val="0"/>
          <w:highlight w:val="none"/>
        </w:rPr>
      </w:pPr>
    </w:p>
    <w:p w14:paraId="41484108">
      <w:pPr>
        <w:jc w:val="center"/>
        <w:rPr>
          <w:rStyle w:val="35"/>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5"/>
          <w:rFonts w:ascii="Times New Roman" w:hAnsi="Times New Roman"/>
          <w:color w:val="auto"/>
          <w:highlight w:val="none"/>
        </w:rPr>
        <w:t>法定代表人授权委托书</w:t>
      </w:r>
    </w:p>
    <w:p w14:paraId="687F15E6">
      <w:pPr>
        <w:tabs>
          <w:tab w:val="left" w:pos="6300"/>
        </w:tabs>
        <w:snapToGrid w:val="0"/>
        <w:spacing w:line="360" w:lineRule="auto"/>
        <w:rPr>
          <w:rFonts w:ascii="Times New Roman" w:hAnsi="Times New Roman"/>
          <w:snapToGrid w:val="0"/>
          <w:color w:val="auto"/>
          <w:kern w:val="0"/>
          <w:highlight w:val="none"/>
        </w:rPr>
      </w:pPr>
    </w:p>
    <w:p w14:paraId="752438C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20888678">
      <w:pPr>
        <w:tabs>
          <w:tab w:val="left" w:pos="6300"/>
        </w:tabs>
        <w:snapToGrid w:val="0"/>
        <w:spacing w:line="360" w:lineRule="auto"/>
        <w:rPr>
          <w:rFonts w:ascii="Times New Roman" w:hAnsi="Times New Roman"/>
          <w:snapToGrid w:val="0"/>
          <w:color w:val="auto"/>
          <w:kern w:val="0"/>
          <w:highlight w:val="none"/>
        </w:rPr>
      </w:pPr>
    </w:p>
    <w:p w14:paraId="1291E38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696F36F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697EDE7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08C410E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在授权书有效期内签署的所有文件不因授权的撤消而失效。</w:t>
      </w:r>
    </w:p>
    <w:p w14:paraId="18A23AA0">
      <w:pPr>
        <w:tabs>
          <w:tab w:val="left" w:pos="6300"/>
        </w:tabs>
        <w:snapToGrid w:val="0"/>
        <w:spacing w:line="360" w:lineRule="auto"/>
        <w:rPr>
          <w:rFonts w:ascii="Times New Roman" w:hAnsi="Times New Roman"/>
          <w:snapToGrid w:val="0"/>
          <w:color w:val="auto"/>
          <w:kern w:val="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935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464E8C2D">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2E185A86">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1E7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4FD133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6FC6F28">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36844404">
      <w:pPr>
        <w:tabs>
          <w:tab w:val="left" w:pos="6300"/>
        </w:tabs>
        <w:snapToGrid w:val="0"/>
        <w:spacing w:line="360" w:lineRule="auto"/>
        <w:rPr>
          <w:rFonts w:ascii="Times New Roman" w:hAnsi="Times New Roman"/>
          <w:snapToGrid w:val="0"/>
          <w:color w:val="auto"/>
          <w:kern w:val="0"/>
          <w:highlight w:val="none"/>
        </w:rPr>
      </w:pPr>
    </w:p>
    <w:p w14:paraId="6C2E8032">
      <w:pPr>
        <w:tabs>
          <w:tab w:val="left" w:pos="6300"/>
        </w:tabs>
        <w:snapToGrid w:val="0"/>
        <w:spacing w:line="360" w:lineRule="auto"/>
        <w:rPr>
          <w:rFonts w:ascii="Times New Roman" w:hAnsi="Times New Roman"/>
          <w:snapToGrid w:val="0"/>
          <w:color w:val="auto"/>
          <w:kern w:val="0"/>
          <w:szCs w:val="28"/>
          <w:highlight w:val="none"/>
        </w:rPr>
      </w:pPr>
    </w:p>
    <w:p w14:paraId="3C751835">
      <w:pPr>
        <w:tabs>
          <w:tab w:val="left" w:pos="6300"/>
        </w:tabs>
        <w:snapToGrid w:val="0"/>
        <w:spacing w:line="360" w:lineRule="auto"/>
        <w:rPr>
          <w:rFonts w:ascii="Times New Roman" w:hAnsi="Times New Roman"/>
          <w:snapToGrid w:val="0"/>
          <w:color w:val="auto"/>
          <w:kern w:val="0"/>
          <w:highlight w:val="none"/>
        </w:rPr>
      </w:pPr>
    </w:p>
    <w:p w14:paraId="475C1DD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1AE45775">
      <w:pPr>
        <w:tabs>
          <w:tab w:val="left" w:pos="6300"/>
        </w:tabs>
        <w:snapToGrid w:val="0"/>
        <w:spacing w:line="360" w:lineRule="auto"/>
        <w:rPr>
          <w:rFonts w:ascii="Times New Roman" w:hAnsi="Times New Roman"/>
          <w:snapToGrid w:val="0"/>
          <w:color w:val="auto"/>
          <w:kern w:val="0"/>
          <w:highlight w:val="none"/>
        </w:rPr>
      </w:pPr>
    </w:p>
    <w:p w14:paraId="0FA48FBC">
      <w:pPr>
        <w:tabs>
          <w:tab w:val="left" w:pos="6300"/>
        </w:tabs>
        <w:snapToGrid w:val="0"/>
        <w:spacing w:line="360" w:lineRule="auto"/>
        <w:rPr>
          <w:rFonts w:ascii="Times New Roman" w:hAnsi="Times New Roman"/>
          <w:snapToGrid w:val="0"/>
          <w:color w:val="auto"/>
          <w:kern w:val="0"/>
          <w:highlight w:val="none"/>
        </w:rPr>
      </w:pPr>
    </w:p>
    <w:p w14:paraId="2966531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665DBB4A">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7132EAFB">
      <w:pPr>
        <w:tabs>
          <w:tab w:val="left" w:pos="6300"/>
        </w:tabs>
        <w:snapToGrid w:val="0"/>
        <w:spacing w:line="360" w:lineRule="auto"/>
        <w:rPr>
          <w:rFonts w:ascii="Times New Roman" w:hAnsi="Times New Roman"/>
          <w:snapToGrid w:val="0"/>
          <w:color w:val="auto"/>
          <w:kern w:val="0"/>
          <w:highlight w:val="none"/>
        </w:rPr>
      </w:pPr>
    </w:p>
    <w:p w14:paraId="5C472AF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B587D6">
      <w:pPr>
        <w:rPr>
          <w:rFonts w:ascii="Times New Roman" w:hAnsi="Times New Roman"/>
          <w:color w:val="auto"/>
          <w:highlight w:val="none"/>
        </w:rPr>
      </w:pPr>
    </w:p>
    <w:p w14:paraId="3777101B">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24696FC">
      <w:pPr>
        <w:pStyle w:val="33"/>
        <w:rPr>
          <w:rFonts w:ascii="Times New Roman" w:hAnsi="Times New Roman"/>
          <w:color w:val="auto"/>
          <w:highlight w:val="none"/>
        </w:rPr>
      </w:pPr>
      <w:bookmarkStart w:id="629" w:name="_Toc5527"/>
      <w:bookmarkStart w:id="630" w:name="_Toc11350"/>
      <w:r>
        <w:rPr>
          <w:rFonts w:hint="eastAsia" w:ascii="Times New Roman" w:hAnsi="Times New Roman"/>
          <w:color w:val="auto"/>
          <w:highlight w:val="none"/>
        </w:rPr>
        <w:t>（三）书面声明</w:t>
      </w:r>
      <w:bookmarkEnd w:id="629"/>
      <w:bookmarkEnd w:id="630"/>
    </w:p>
    <w:p w14:paraId="19A49520">
      <w:pPr>
        <w:tabs>
          <w:tab w:val="left" w:pos="6300"/>
        </w:tabs>
        <w:snapToGrid w:val="0"/>
        <w:spacing w:line="360" w:lineRule="auto"/>
        <w:rPr>
          <w:rFonts w:ascii="Times New Roman" w:hAnsi="Times New Roman"/>
          <w:color w:val="auto"/>
          <w:highlight w:val="none"/>
        </w:rPr>
      </w:pPr>
    </w:p>
    <w:p w14:paraId="3068AA0F">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52286F7B">
      <w:pPr>
        <w:tabs>
          <w:tab w:val="left" w:pos="6300"/>
        </w:tabs>
        <w:snapToGrid w:val="0"/>
        <w:spacing w:line="360" w:lineRule="auto"/>
        <w:rPr>
          <w:rFonts w:ascii="Times New Roman" w:hAnsi="Times New Roman"/>
          <w:color w:val="auto"/>
          <w:highlight w:val="none"/>
        </w:rPr>
      </w:pPr>
    </w:p>
    <w:p w14:paraId="45A53F31">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6A66C7EC">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w:t>
      </w:r>
      <w:r>
        <w:rPr>
          <w:rFonts w:ascii="Times New Roman" w:hAnsi="Times New Roman" w:cs="Times New Roman"/>
          <w:color w:val="auto"/>
          <w:highlight w:val="none"/>
        </w:rPr>
        <w:t>近3年财务状况稳定</w:t>
      </w:r>
      <w:r>
        <w:rPr>
          <w:rFonts w:hint="eastAsia" w:ascii="Times New Roman" w:hAnsi="Times New Roman" w:cs="Times New Roman"/>
          <w:color w:val="auto"/>
          <w:highlight w:val="none"/>
        </w:rPr>
        <w:t>，</w:t>
      </w:r>
      <w:r>
        <w:rPr>
          <w:rFonts w:hint="eastAsia" w:ascii="Times New Roman" w:hAnsi="Times New Roman"/>
          <w:color w:val="auto"/>
          <w:highlight w:val="none"/>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1569F27E">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58EDF5CF">
      <w:pPr>
        <w:tabs>
          <w:tab w:val="left" w:pos="6300"/>
        </w:tabs>
        <w:snapToGrid w:val="0"/>
        <w:spacing w:line="360" w:lineRule="auto"/>
        <w:rPr>
          <w:rFonts w:ascii="Times New Roman" w:hAnsi="Times New Roman"/>
          <w:color w:val="auto"/>
          <w:highlight w:val="none"/>
        </w:rPr>
      </w:pPr>
    </w:p>
    <w:p w14:paraId="33F74E4F">
      <w:pPr>
        <w:tabs>
          <w:tab w:val="left" w:pos="6300"/>
        </w:tabs>
        <w:snapToGrid w:val="0"/>
        <w:spacing w:line="360" w:lineRule="auto"/>
        <w:rPr>
          <w:rFonts w:ascii="Times New Roman" w:hAnsi="Times New Roman"/>
          <w:color w:val="auto"/>
          <w:highlight w:val="none"/>
        </w:rPr>
      </w:pPr>
    </w:p>
    <w:p w14:paraId="769DC412">
      <w:pPr>
        <w:tabs>
          <w:tab w:val="left" w:pos="6300"/>
        </w:tabs>
        <w:snapToGrid w:val="0"/>
        <w:spacing w:line="360" w:lineRule="auto"/>
        <w:rPr>
          <w:rFonts w:ascii="Times New Roman" w:hAnsi="Times New Roman"/>
          <w:color w:val="auto"/>
          <w:highlight w:val="none"/>
        </w:rPr>
      </w:pPr>
    </w:p>
    <w:p w14:paraId="1358E672">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76D2A772">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6C063D97">
      <w:pPr>
        <w:spacing w:line="360" w:lineRule="auto"/>
        <w:rPr>
          <w:rFonts w:ascii="Times New Roman" w:hAnsi="Times New Roman" w:cs="等线 Light"/>
          <w:snapToGrid w:val="0"/>
          <w:color w:val="auto"/>
          <w:kern w:val="0"/>
          <w:szCs w:val="24"/>
          <w:highlight w:val="none"/>
        </w:rPr>
      </w:pPr>
    </w:p>
    <w:p w14:paraId="706B198C">
      <w:pPr>
        <w:spacing w:line="360" w:lineRule="auto"/>
        <w:rPr>
          <w:rFonts w:ascii="Times New Roman" w:hAnsi="Times New Roman" w:cs="等线 Light"/>
          <w:snapToGrid w:val="0"/>
          <w:color w:val="auto"/>
          <w:kern w:val="0"/>
          <w:szCs w:val="24"/>
          <w:highlight w:val="none"/>
        </w:rPr>
      </w:pPr>
    </w:p>
    <w:p w14:paraId="03A28242">
      <w:pPr>
        <w:spacing w:line="360" w:lineRule="auto"/>
        <w:rPr>
          <w:rFonts w:ascii="Times New Roman" w:hAnsi="Times New Roman" w:cs="等线 Light"/>
          <w:snapToGrid w:val="0"/>
          <w:color w:val="auto"/>
          <w:kern w:val="0"/>
          <w:szCs w:val="24"/>
          <w:highlight w:val="none"/>
        </w:rPr>
      </w:pPr>
    </w:p>
    <w:p w14:paraId="633182A1">
      <w:pPr>
        <w:spacing w:line="360" w:lineRule="auto"/>
        <w:rPr>
          <w:rFonts w:ascii="Times New Roman" w:hAnsi="Times New Roman" w:cs="等线 Light"/>
          <w:snapToGrid w:val="0"/>
          <w:color w:val="auto"/>
          <w:kern w:val="0"/>
          <w:szCs w:val="24"/>
          <w:highlight w:val="none"/>
        </w:rPr>
      </w:pPr>
    </w:p>
    <w:p w14:paraId="4A1827C2">
      <w:pPr>
        <w:spacing w:line="360" w:lineRule="auto"/>
        <w:rPr>
          <w:rFonts w:ascii="Times New Roman" w:hAnsi="Times New Roman" w:cs="等线 Light"/>
          <w:snapToGrid w:val="0"/>
          <w:color w:val="auto"/>
          <w:kern w:val="0"/>
          <w:szCs w:val="24"/>
          <w:highlight w:val="none"/>
        </w:rPr>
      </w:pPr>
    </w:p>
    <w:p w14:paraId="0BDF831E">
      <w:pPr>
        <w:spacing w:line="360" w:lineRule="auto"/>
        <w:rPr>
          <w:rFonts w:ascii="Times New Roman" w:hAnsi="Times New Roman" w:cs="等线 Light"/>
          <w:snapToGrid w:val="0"/>
          <w:color w:val="auto"/>
          <w:kern w:val="0"/>
          <w:szCs w:val="24"/>
          <w:highlight w:val="none"/>
        </w:rPr>
      </w:pPr>
    </w:p>
    <w:p w14:paraId="14E32193">
      <w:pPr>
        <w:spacing w:line="360" w:lineRule="auto"/>
        <w:rPr>
          <w:rFonts w:ascii="Times New Roman" w:hAnsi="Times New Roman" w:cs="等线 Light"/>
          <w:snapToGrid w:val="0"/>
          <w:color w:val="auto"/>
          <w:kern w:val="0"/>
          <w:szCs w:val="24"/>
          <w:highlight w:val="none"/>
        </w:rPr>
      </w:pPr>
    </w:p>
    <w:p w14:paraId="30621230">
      <w:pPr>
        <w:rPr>
          <w:rFonts w:ascii="Times New Roman" w:hAnsi="Times New Roman"/>
          <w:b/>
          <w:bCs/>
          <w:color w:val="auto"/>
          <w:highlight w:val="none"/>
        </w:rPr>
      </w:pPr>
      <w:r>
        <w:rPr>
          <w:rFonts w:hint="eastAsia" w:ascii="Times New Roman" w:hAnsi="Times New Roman"/>
          <w:color w:val="auto"/>
          <w:kern w:val="0"/>
          <w:highlight w:val="none"/>
        </w:rPr>
        <w:br w:type="page"/>
      </w:r>
    </w:p>
    <w:p w14:paraId="619C2F61">
      <w:pPr>
        <w:pStyle w:val="33"/>
        <w:rPr>
          <w:rFonts w:ascii="Times New Roman" w:hAnsi="Times New Roman"/>
          <w:color w:val="auto"/>
          <w:highlight w:val="none"/>
        </w:rPr>
      </w:pPr>
      <w:bookmarkStart w:id="631" w:name="_Toc24274"/>
      <w:bookmarkStart w:id="632" w:name="_Toc901"/>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bookmarkEnd w:id="631"/>
      <w:bookmarkEnd w:id="632"/>
    </w:p>
    <w:p w14:paraId="02770210">
      <w:pPr>
        <w:rPr>
          <w:rFonts w:ascii="Times New Roman" w:hAnsi="Times New Roman"/>
          <w:color w:val="auto"/>
          <w:highlight w:val="none"/>
        </w:rPr>
      </w:pPr>
      <w:r>
        <w:rPr>
          <w:rFonts w:hint="eastAsia" w:ascii="Times New Roman" w:hAnsi="Times New Roman"/>
          <w:color w:val="auto"/>
          <w:highlight w:val="none"/>
          <w:lang w:val="en-US" w:eastAsia="zh-CN"/>
        </w:rPr>
        <w:t>1.</w:t>
      </w:r>
      <w:r>
        <w:rPr>
          <w:rFonts w:hint="eastAsia" w:ascii="Times New Roman" w:hAnsi="Times New Roman"/>
          <w:color w:val="auto"/>
          <w:highlight w:val="none"/>
        </w:rPr>
        <w:t>法人中国执行信息公开网截图</w:t>
      </w:r>
    </w:p>
    <w:p w14:paraId="4973492B">
      <w:pP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法定代表人中国执行信息公开网截图</w:t>
      </w:r>
    </w:p>
    <w:p w14:paraId="68EAA556">
      <w:pPr>
        <w:rPr>
          <w:rFonts w:ascii="Times New Roman" w:hAnsi="Times New Roman"/>
          <w:color w:val="auto"/>
          <w:highlight w:val="none"/>
        </w:rPr>
      </w:pPr>
    </w:p>
    <w:p w14:paraId="7499F437">
      <w:pPr>
        <w:rPr>
          <w:rFonts w:ascii="Times New Roman" w:hAnsi="Times New Roman"/>
          <w:color w:val="auto"/>
          <w:highlight w:val="none"/>
        </w:rPr>
      </w:pPr>
    </w:p>
    <w:p w14:paraId="4A98251E">
      <w:pPr>
        <w:rPr>
          <w:rFonts w:ascii="Times New Roman" w:hAnsi="Times New Roman"/>
          <w:color w:val="auto"/>
          <w:highlight w:val="none"/>
        </w:rPr>
      </w:pPr>
    </w:p>
    <w:p w14:paraId="6BD5674E">
      <w:pPr>
        <w:rPr>
          <w:rFonts w:ascii="Times New Roman" w:hAnsi="Times New Roman"/>
          <w:color w:val="auto"/>
          <w:highlight w:val="none"/>
        </w:rPr>
      </w:pPr>
      <w:r>
        <w:rPr>
          <w:rFonts w:hint="eastAsia" w:ascii="Times New Roman" w:hAnsi="Times New Roman"/>
          <w:color w:val="auto"/>
          <w:highlight w:val="none"/>
        </w:rPr>
        <w:br w:type="page"/>
      </w:r>
    </w:p>
    <w:p w14:paraId="7D9FA4C0">
      <w:pPr>
        <w:pStyle w:val="33"/>
        <w:rPr>
          <w:rFonts w:ascii="Times New Roman" w:hAnsi="Times New Roman"/>
          <w:color w:val="auto"/>
          <w:highlight w:val="none"/>
        </w:rPr>
      </w:pPr>
      <w:bookmarkStart w:id="633" w:name="_Toc30850"/>
      <w:bookmarkStart w:id="634" w:name="_Toc10193"/>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bookmarkEnd w:id="633"/>
      <w:bookmarkEnd w:id="634"/>
    </w:p>
    <w:p w14:paraId="064A3888">
      <w:pPr>
        <w:rPr>
          <w:rFonts w:ascii="Times New Roman" w:hAnsi="Times New Roman"/>
          <w:color w:val="auto"/>
          <w:highlight w:val="none"/>
          <w:lang w:val="zh-CN"/>
        </w:rPr>
      </w:pPr>
    </w:p>
    <w:p w14:paraId="237967B2">
      <w:pP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7ED5DCB9">
      <w:pPr>
        <w:pStyle w:val="33"/>
        <w:rPr>
          <w:rFonts w:ascii="Times New Roman" w:hAnsi="Times New Roman" w:cs="Times New Roman"/>
          <w:color w:val="auto"/>
          <w:highlight w:val="none"/>
        </w:rPr>
      </w:pPr>
      <w:bookmarkStart w:id="635" w:name="_Toc14576"/>
      <w:bookmarkStart w:id="636" w:name="_Toc1783"/>
      <w:r>
        <w:rPr>
          <w:rFonts w:hint="eastAsia" w:ascii="Times New Roman" w:hAnsi="Times New Roman"/>
          <w:color w:val="auto"/>
          <w:highlight w:val="none"/>
          <w:lang w:val="zh-CN"/>
        </w:rPr>
        <w:t>（</w:t>
      </w:r>
      <w:r>
        <w:rPr>
          <w:rFonts w:ascii="Times New Roman" w:hAnsi="Times New Roman"/>
          <w:color w:val="auto"/>
          <w:highlight w:val="none"/>
          <w:lang w:val="zh-CN"/>
        </w:rPr>
        <w:t>六</w:t>
      </w:r>
      <w:r>
        <w:rPr>
          <w:rFonts w:hint="eastAsia" w:ascii="Times New Roman" w:hAnsi="Times New Roman"/>
          <w:color w:val="auto"/>
          <w:highlight w:val="none"/>
          <w:lang w:val="zh-CN"/>
        </w:rPr>
        <w:t>）</w:t>
      </w:r>
      <w:r>
        <w:rPr>
          <w:rFonts w:ascii="Times New Roman" w:hAnsi="Times New Roman"/>
          <w:color w:val="auto"/>
          <w:highlight w:val="none"/>
          <w:lang w:val="zh-CN"/>
        </w:rPr>
        <w:t>第三方软件产品的原厂商授权书或确认函</w:t>
      </w:r>
      <w:bookmarkEnd w:id="635"/>
      <w:bookmarkEnd w:id="636"/>
    </w:p>
    <w:p w14:paraId="1AB2C0E0">
      <w:pPr>
        <w:rPr>
          <w:color w:val="auto"/>
          <w:highlight w:val="none"/>
        </w:rPr>
      </w:pPr>
      <w:r>
        <w:rPr>
          <w:rFonts w:hint="eastAsia"/>
          <w:color w:val="auto"/>
          <w:highlight w:val="none"/>
          <w:lang w:eastAsia="zh-CN"/>
        </w:rPr>
        <w:t>（</w:t>
      </w:r>
      <w:r>
        <w:rPr>
          <w:rFonts w:hint="eastAsia"/>
          <w:color w:val="auto"/>
          <w:highlight w:val="none"/>
        </w:rPr>
        <w:t>如果未使用第三方软件产品，需提供未使用确认函并加盖</w:t>
      </w:r>
      <w:r>
        <w:rPr>
          <w:color w:val="auto"/>
          <w:highlight w:val="none"/>
        </w:rPr>
        <w:t>公章</w:t>
      </w:r>
      <w:r>
        <w:rPr>
          <w:rFonts w:hint="eastAsia"/>
          <w:color w:val="auto"/>
          <w:highlight w:val="none"/>
          <w:lang w:eastAsia="zh-CN"/>
        </w:rPr>
        <w:t>）</w:t>
      </w:r>
    </w:p>
    <w:p w14:paraId="5C29F607">
      <w:pPr>
        <w:rPr>
          <w:color w:val="auto"/>
          <w:highlight w:val="none"/>
        </w:rPr>
      </w:pPr>
    </w:p>
    <w:p w14:paraId="0F584FF2">
      <w:pPr>
        <w:rPr>
          <w:color w:val="auto"/>
          <w:highlight w:val="none"/>
        </w:rPr>
      </w:pPr>
    </w:p>
    <w:p w14:paraId="6BD26EDA">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3B7276B3">
      <w:pPr>
        <w:pStyle w:val="33"/>
        <w:rPr>
          <w:rFonts w:ascii="Times New Roman" w:hAnsi="Times New Roman" w:cs="Times New Roman"/>
          <w:color w:val="auto"/>
          <w:highlight w:val="none"/>
          <w:lang w:val="zh-CN"/>
        </w:rPr>
      </w:pPr>
      <w:bookmarkStart w:id="637" w:name="_Toc29356"/>
      <w:bookmarkStart w:id="638" w:name="_Toc4517"/>
      <w:bookmarkStart w:id="639" w:name="_Toc21003"/>
      <w:r>
        <w:rPr>
          <w:rFonts w:hint="eastAsia" w:ascii="Times New Roman" w:hAnsi="Times New Roman" w:cs="Times New Roman"/>
          <w:color w:val="auto"/>
          <w:highlight w:val="none"/>
          <w:lang w:val="zh-CN"/>
        </w:rPr>
        <w:t>（七）其他（如有）</w:t>
      </w:r>
      <w:bookmarkEnd w:id="637"/>
      <w:bookmarkEnd w:id="638"/>
      <w:bookmarkEnd w:id="639"/>
    </w:p>
    <w:p w14:paraId="1E75A980">
      <w:pPr>
        <w:ind w:firstLine="0" w:firstLineChars="0"/>
        <w:rPr>
          <w:rFonts w:ascii="Times New Roman" w:hAnsi="Times New Roman"/>
          <w:color w:val="auto"/>
          <w:highlight w:val="none"/>
          <w:lang w:val="zh-CN"/>
        </w:rPr>
      </w:pPr>
    </w:p>
    <w:p w14:paraId="1CA1653A">
      <w:pPr>
        <w:ind w:firstLine="0" w:firstLineChars="0"/>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036EFD0C">
      <w:pPr>
        <w:pStyle w:val="32"/>
        <w:rPr>
          <w:rFonts w:ascii="Times New Roman" w:hAnsi="Times New Roman"/>
          <w:color w:val="auto"/>
          <w:highlight w:val="none"/>
        </w:rPr>
      </w:pPr>
      <w:bookmarkStart w:id="640" w:name="_Toc26614"/>
      <w:bookmarkStart w:id="641" w:name="_Toc10721"/>
      <w:r>
        <w:rPr>
          <w:rFonts w:ascii="Times New Roman" w:hAnsi="Times New Roman"/>
          <w:color w:val="auto"/>
          <w:highlight w:val="none"/>
        </w:rPr>
        <w:t>四、响应性文件</w:t>
      </w:r>
      <w:bookmarkEnd w:id="640"/>
      <w:bookmarkEnd w:id="641"/>
    </w:p>
    <w:p w14:paraId="6E6560D8">
      <w:pPr>
        <w:pStyle w:val="33"/>
        <w:rPr>
          <w:rFonts w:ascii="Times New Roman" w:hAnsi="Times New Roman" w:cs="Times New Roman"/>
          <w:color w:val="auto"/>
          <w:highlight w:val="none"/>
        </w:rPr>
      </w:pPr>
      <w:bookmarkStart w:id="642" w:name="_Toc23408"/>
      <w:bookmarkStart w:id="643" w:name="_Toc5108"/>
      <w:bookmarkStart w:id="644" w:name="_Toc32355"/>
      <w:r>
        <w:rPr>
          <w:rFonts w:ascii="Times New Roman" w:hAnsi="Times New Roman" w:cs="Times New Roman"/>
          <w:color w:val="auto"/>
          <w:highlight w:val="none"/>
        </w:rPr>
        <w:t>（一）响应承诺函</w:t>
      </w:r>
      <w:bookmarkEnd w:id="642"/>
      <w:bookmarkEnd w:id="643"/>
      <w:bookmarkEnd w:id="644"/>
    </w:p>
    <w:p w14:paraId="6E000B31">
      <w:pPr>
        <w:rPr>
          <w:color w:val="auto"/>
          <w:highlight w:val="none"/>
        </w:rPr>
      </w:pPr>
      <w:r>
        <w:rPr>
          <w:rFonts w:hint="eastAsia" w:ascii="宋体"/>
          <w:color w:val="auto"/>
          <w:szCs w:val="28"/>
          <w:highlight w:val="none"/>
        </w:rPr>
        <w:t>项目名称</w:t>
      </w:r>
      <w:r>
        <w:rPr>
          <w:rFonts w:hint="eastAsia" w:ascii="宋体"/>
          <w:color w:val="auto"/>
          <w:highlight w:val="none"/>
        </w:rPr>
        <w:t>：</w:t>
      </w:r>
    </w:p>
    <w:p w14:paraId="0DC2443B">
      <w:pPr>
        <w:rPr>
          <w:color w:val="auto"/>
          <w:highlight w:val="none"/>
        </w:rPr>
      </w:pPr>
    </w:p>
    <w:p w14:paraId="1513C96D">
      <w:pPr>
        <w:spacing w:line="480" w:lineRule="exact"/>
        <w:ind w:firstLine="0" w:firstLineChars="0"/>
        <w:rPr>
          <w:color w:val="auto"/>
          <w:highlight w:val="none"/>
        </w:rPr>
      </w:pPr>
      <w:r>
        <w:rPr>
          <w:rFonts w:hint="eastAsia"/>
          <w:color w:val="auto"/>
          <w:highlight w:val="none"/>
        </w:rPr>
        <w:t>致：重庆三峡银行股份有限公司：</w:t>
      </w:r>
    </w:p>
    <w:p w14:paraId="1FC5D810">
      <w:pPr>
        <w:rPr>
          <w:color w:val="auto"/>
          <w:highlight w:val="none"/>
        </w:rPr>
      </w:pPr>
    </w:p>
    <w:p w14:paraId="29A6FE65">
      <w:pPr>
        <w:rPr>
          <w:color w:val="auto"/>
          <w:highlight w:val="none"/>
        </w:rPr>
      </w:pPr>
      <w:r>
        <w:rPr>
          <w:rFonts w:hint="eastAsia"/>
          <w:color w:val="auto"/>
          <w:highlight w:val="none"/>
        </w:rPr>
        <w:t>我公司郑重承诺，完全满足第三章“项目要求”所有内容。</w:t>
      </w:r>
    </w:p>
    <w:p w14:paraId="3C51A350">
      <w:pPr>
        <w:rPr>
          <w:rFonts w:ascii="Times New Roman" w:hAnsi="Times New Roman" w:cs="Times New Roman"/>
          <w:color w:val="auto"/>
          <w:highlight w:val="none"/>
        </w:rPr>
      </w:pPr>
      <w:r>
        <w:rPr>
          <w:rFonts w:hint="eastAsia"/>
          <w:color w:val="auto"/>
          <w:highlight w:val="none"/>
        </w:rPr>
        <w:t>我公司中选后，</w:t>
      </w:r>
      <w:r>
        <w:rPr>
          <w:rFonts w:ascii="Times New Roman" w:hAnsi="Times New Roman" w:cs="Times New Roman"/>
          <w:color w:val="auto"/>
          <w:highlight w:val="none"/>
        </w:rPr>
        <w:t>未征得比选人书面同意的情况下不得更换项目成员</w:t>
      </w:r>
      <w:r>
        <w:rPr>
          <w:rFonts w:hint="eastAsia" w:ascii="Times New Roman" w:hAnsi="Times New Roman" w:cs="Times New Roman"/>
          <w:color w:val="auto"/>
          <w:highlight w:val="none"/>
        </w:rPr>
        <w:t>。</w:t>
      </w:r>
    </w:p>
    <w:p w14:paraId="09A201B9">
      <w:pPr>
        <w:rPr>
          <w:color w:val="auto"/>
          <w:highlight w:val="none"/>
        </w:rPr>
      </w:pPr>
      <w:r>
        <w:rPr>
          <w:rFonts w:hint="eastAsia"/>
          <w:color w:val="auto"/>
          <w:highlight w:val="none"/>
        </w:rPr>
        <w:t>我公司中选后，将根据</w:t>
      </w:r>
      <w:r>
        <w:rPr>
          <w:color w:val="auto"/>
          <w:highlight w:val="none"/>
        </w:rPr>
        <w:t>比选人要求</w:t>
      </w:r>
      <w:r>
        <w:rPr>
          <w:rFonts w:hint="eastAsia" w:ascii="Times New Roman" w:hAnsi="Times New Roman" w:cs="Times New Roman"/>
          <w:color w:val="auto"/>
          <w:highlight w:val="none"/>
        </w:rPr>
        <w:t>提供</w:t>
      </w:r>
      <w:r>
        <w:rPr>
          <w:rFonts w:ascii="Times New Roman" w:hAnsi="Times New Roman" w:cs="Times New Roman"/>
          <w:color w:val="auto"/>
          <w:highlight w:val="none"/>
        </w:rPr>
        <w:t>售后服务和培训方案</w:t>
      </w:r>
      <w:r>
        <w:rPr>
          <w:rFonts w:hint="eastAsia" w:ascii="Times New Roman" w:hAnsi="Times New Roman" w:cs="Times New Roman"/>
          <w:color w:val="auto"/>
          <w:highlight w:val="none"/>
        </w:rPr>
        <w:t>进行售后服务和培训。</w:t>
      </w:r>
    </w:p>
    <w:p w14:paraId="50A82A49">
      <w:pPr>
        <w:rPr>
          <w:color w:val="auto"/>
          <w:highlight w:val="none"/>
        </w:rPr>
      </w:pPr>
    </w:p>
    <w:p w14:paraId="30DAF755">
      <w:pPr>
        <w:spacing w:line="480" w:lineRule="exact"/>
        <w:ind w:firstLine="0" w:firstLineChars="0"/>
        <w:rPr>
          <w:color w:val="auto"/>
          <w:highlight w:val="none"/>
        </w:rPr>
      </w:pPr>
      <w:r>
        <w:rPr>
          <w:rFonts w:hint="eastAsia"/>
          <w:color w:val="auto"/>
          <w:highlight w:val="none"/>
        </w:rPr>
        <w:t>特此承诺。</w:t>
      </w:r>
    </w:p>
    <w:p w14:paraId="0CEC1297">
      <w:pPr>
        <w:tabs>
          <w:tab w:val="left" w:pos="6300"/>
        </w:tabs>
        <w:snapToGrid w:val="0"/>
        <w:spacing w:line="480" w:lineRule="exact"/>
        <w:rPr>
          <w:rFonts w:ascii="宋体"/>
          <w:color w:val="auto"/>
          <w:highlight w:val="none"/>
        </w:rPr>
      </w:pPr>
    </w:p>
    <w:p w14:paraId="35F67147">
      <w:pPr>
        <w:tabs>
          <w:tab w:val="left" w:pos="6300"/>
        </w:tabs>
        <w:snapToGrid w:val="0"/>
        <w:spacing w:line="480" w:lineRule="exact"/>
        <w:rPr>
          <w:rFonts w:ascii="宋体"/>
          <w:color w:val="auto"/>
          <w:highlight w:val="none"/>
        </w:rPr>
      </w:pPr>
    </w:p>
    <w:p w14:paraId="1A9A8806">
      <w:pPr>
        <w:tabs>
          <w:tab w:val="left" w:pos="6300"/>
        </w:tabs>
        <w:snapToGrid w:val="0"/>
        <w:spacing w:line="480" w:lineRule="exact"/>
        <w:ind w:right="424"/>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452FD77D">
      <w:pPr>
        <w:tabs>
          <w:tab w:val="left" w:pos="6300"/>
        </w:tabs>
        <w:snapToGrid w:val="0"/>
        <w:spacing w:line="480" w:lineRule="exact"/>
        <w:ind w:right="480"/>
        <w:jc w:val="right"/>
        <w:rPr>
          <w:rFonts w:ascii="宋体"/>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highlight w:val="none"/>
        </w:rPr>
        <w:t>年   月   日</w:t>
      </w:r>
    </w:p>
    <w:p w14:paraId="26474C12">
      <w:pPr>
        <w:autoSpaceDE/>
        <w:autoSpaceDN/>
        <w:ind w:firstLine="0" w:firstLineChars="0"/>
        <w:jc w:val="center"/>
        <w:outlineLvl w:val="2"/>
        <w:rPr>
          <w:rFonts w:hint="eastAsia" w:ascii="Times New Roman" w:hAnsi="Times New Roman" w:cs="Times New Roman"/>
          <w:color w:val="auto"/>
          <w:highlight w:val="none"/>
        </w:rPr>
      </w:pPr>
      <w:r>
        <w:rPr>
          <w:rFonts w:hint="eastAsia" w:ascii="Times New Roman" w:hAnsi="Times New Roman" w:cs="Times New Roman"/>
          <w:color w:val="auto"/>
          <w:highlight w:val="none"/>
        </w:rPr>
        <w:t>（二）近半年公司为项目组成员缴纳社保的证明材料</w:t>
      </w:r>
    </w:p>
    <w:p w14:paraId="60D2BC18">
      <w:pPr>
        <w:autoSpaceDE/>
        <w:autoSpaceDN/>
        <w:ind w:firstLine="0" w:firstLineChars="0"/>
        <w:jc w:val="left"/>
        <w:outlineLvl w:val="9"/>
        <w:rPr>
          <w:rFonts w:hint="eastAsia"/>
          <w:color w:val="auto"/>
          <w:highlight w:val="none"/>
        </w:rPr>
      </w:pPr>
    </w:p>
    <w:p w14:paraId="24159EB4">
      <w:pPr>
        <w:autoSpaceDE/>
        <w:autoSpaceDN/>
        <w:ind w:firstLine="0" w:firstLineChars="0"/>
        <w:jc w:val="left"/>
        <w:outlineLvl w:val="9"/>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43B754D1">
      <w:pPr>
        <w:autoSpaceDE/>
        <w:autoSpaceDN/>
        <w:ind w:firstLine="0" w:firstLineChars="0"/>
        <w:jc w:val="center"/>
        <w:outlineLvl w:val="2"/>
        <w:rPr>
          <w:rFonts w:ascii="Times New Roman" w:hAnsi="Times New Roman"/>
          <w:snapToGrid w:val="0"/>
          <w:color w:val="auto"/>
          <w:kern w:val="0"/>
          <w:highlight w:val="none"/>
        </w:rPr>
      </w:pPr>
      <w:bookmarkStart w:id="645" w:name="_Toc22709"/>
      <w:r>
        <w:rPr>
          <w:rFonts w:hint="eastAsia" w:ascii="Times New Roman" w:hAnsi="Times New Roman"/>
          <w:color w:val="auto"/>
          <w:highlight w:val="none"/>
        </w:rPr>
        <w:t>（</w:t>
      </w:r>
      <w:r>
        <w:rPr>
          <w:rFonts w:ascii="Times New Roman" w:hAnsi="Times New Roman"/>
          <w:color w:val="auto"/>
          <w:highlight w:val="none"/>
        </w:rPr>
        <w:t>三</w:t>
      </w:r>
      <w:r>
        <w:rPr>
          <w:rFonts w:hint="eastAsia" w:ascii="Times New Roman" w:hAnsi="Times New Roman"/>
          <w:color w:val="auto"/>
          <w:highlight w:val="none"/>
        </w:rPr>
        <w:t>）</w:t>
      </w:r>
      <w:r>
        <w:rPr>
          <w:rFonts w:ascii="Times New Roman" w:hAnsi="Times New Roman"/>
          <w:snapToGrid w:val="0"/>
          <w:color w:val="auto"/>
          <w:kern w:val="0"/>
          <w:highlight w:val="none"/>
        </w:rPr>
        <w:t>项目组成员简历信息</w:t>
      </w:r>
      <w:bookmarkEnd w:id="645"/>
    </w:p>
    <w:p w14:paraId="51EFF150">
      <w:pPr>
        <w:jc w:val="center"/>
        <w:rPr>
          <w:b/>
          <w:bCs/>
          <w:color w:val="auto"/>
          <w:sz w:val="32"/>
          <w:szCs w:val="32"/>
          <w:highlight w:val="none"/>
        </w:rPr>
      </w:pPr>
      <w:r>
        <w:rPr>
          <w:b/>
          <w:bCs/>
          <w:color w:val="auto"/>
          <w:sz w:val="32"/>
          <w:szCs w:val="32"/>
          <w:highlight w:val="none"/>
        </w:rPr>
        <w:t>重庆三峡银行审计监督信息系统优化升级项目组成员</w:t>
      </w:r>
      <w:r>
        <w:rPr>
          <w:rFonts w:hint="eastAsia"/>
          <w:b/>
          <w:bCs/>
          <w:color w:val="auto"/>
          <w:sz w:val="32"/>
          <w:szCs w:val="32"/>
          <w:highlight w:val="none"/>
        </w:rPr>
        <w:t>简历</w:t>
      </w:r>
    </w:p>
    <w:p w14:paraId="3294785C">
      <w:pPr>
        <w:ind w:firstLine="0" w:firstLineChars="0"/>
        <w:rPr>
          <w:b/>
          <w:color w:val="auto"/>
          <w:highlight w:val="none"/>
        </w:rPr>
      </w:pPr>
      <w:r>
        <w:rPr>
          <w:rFonts w:hint="eastAsia"/>
          <w:b/>
          <w:color w:val="auto"/>
          <w:highlight w:val="none"/>
        </w:rPr>
        <w:t xml:space="preserve">公司名称：                                              </w:t>
      </w:r>
    </w:p>
    <w:tbl>
      <w:tblPr>
        <w:tblStyle w:val="24"/>
        <w:tblW w:w="4998"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6"/>
        <w:gridCol w:w="1186"/>
        <w:gridCol w:w="738"/>
        <w:gridCol w:w="268"/>
        <w:gridCol w:w="380"/>
        <w:gridCol w:w="1299"/>
        <w:gridCol w:w="772"/>
        <w:gridCol w:w="724"/>
        <w:gridCol w:w="1716"/>
      </w:tblGrid>
      <w:tr w14:paraId="5058093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right w:val="single" w:color="auto" w:sz="4" w:space="0"/>
              <w:tl2br w:val="nil"/>
              <w:tr2bl w:val="nil"/>
            </w:tcBorders>
            <w:shd w:val="clear" w:color="auto" w:fill="auto"/>
            <w:vAlign w:val="center"/>
          </w:tcPr>
          <w:p w14:paraId="3361BC6E">
            <w:pPr>
              <w:pStyle w:val="10"/>
              <w:spacing w:before="0" w:beforeLines="0" w:after="0" w:line="240" w:lineRule="auto"/>
              <w:ind w:left="0" w:leftChars="0" w:firstLine="0" w:firstLineChars="0"/>
              <w:rPr>
                <w:b/>
                <w:color w:val="auto"/>
                <w:highlight w:val="none"/>
              </w:rPr>
            </w:pPr>
            <w:r>
              <w:rPr>
                <w:rFonts w:hint="eastAsia"/>
                <w:b/>
                <w:color w:val="auto"/>
                <w:highlight w:val="none"/>
              </w:rPr>
              <w:t>姓    名</w:t>
            </w:r>
          </w:p>
        </w:tc>
        <w:tc>
          <w:tcPr>
            <w:tcW w:w="696" w:type="pct"/>
            <w:tcBorders>
              <w:left w:val="single" w:color="auto" w:sz="4" w:space="0"/>
              <w:tl2br w:val="nil"/>
              <w:tr2bl w:val="nil"/>
            </w:tcBorders>
            <w:shd w:val="clear" w:color="auto" w:fill="auto"/>
            <w:vAlign w:val="center"/>
          </w:tcPr>
          <w:p w14:paraId="09D665F5">
            <w:pPr>
              <w:pStyle w:val="10"/>
              <w:spacing w:before="0" w:beforeLines="0" w:after="0" w:line="240" w:lineRule="auto"/>
              <w:ind w:left="0" w:leftChars="0" w:firstLine="0" w:firstLineChars="0"/>
              <w:jc w:val="center"/>
              <w:rPr>
                <w:color w:val="auto"/>
                <w:highlight w:val="none"/>
              </w:rPr>
            </w:pPr>
          </w:p>
        </w:tc>
        <w:tc>
          <w:tcPr>
            <w:tcW w:w="813" w:type="pct"/>
            <w:gridSpan w:val="3"/>
            <w:tcBorders>
              <w:left w:val="single" w:color="auto" w:sz="4" w:space="0"/>
              <w:tl2br w:val="nil"/>
              <w:tr2bl w:val="nil"/>
            </w:tcBorders>
            <w:shd w:val="clear" w:color="auto" w:fill="auto"/>
            <w:vAlign w:val="center"/>
          </w:tcPr>
          <w:p w14:paraId="7BFE5C62">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性  别</w:t>
            </w:r>
          </w:p>
        </w:tc>
        <w:tc>
          <w:tcPr>
            <w:tcW w:w="762" w:type="pct"/>
            <w:tcBorders>
              <w:tl2br w:val="nil"/>
              <w:tr2bl w:val="nil"/>
            </w:tcBorders>
            <w:shd w:val="clear" w:color="auto" w:fill="auto"/>
            <w:vAlign w:val="center"/>
          </w:tcPr>
          <w:p w14:paraId="7283A814">
            <w:pPr>
              <w:pStyle w:val="10"/>
              <w:spacing w:before="0" w:beforeLines="0" w:after="0" w:line="240" w:lineRule="auto"/>
              <w:ind w:left="0" w:leftChars="0" w:firstLine="0" w:firstLineChars="0"/>
              <w:jc w:val="center"/>
              <w:rPr>
                <w:color w:val="auto"/>
                <w:highlight w:val="none"/>
              </w:rPr>
            </w:pPr>
          </w:p>
        </w:tc>
        <w:tc>
          <w:tcPr>
            <w:tcW w:w="878" w:type="pct"/>
            <w:gridSpan w:val="2"/>
            <w:tcBorders>
              <w:tl2br w:val="nil"/>
              <w:tr2bl w:val="nil"/>
            </w:tcBorders>
            <w:shd w:val="clear" w:color="auto" w:fill="auto"/>
            <w:vAlign w:val="center"/>
          </w:tcPr>
          <w:p w14:paraId="00A8186E">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出生年月</w:t>
            </w:r>
          </w:p>
        </w:tc>
        <w:tc>
          <w:tcPr>
            <w:tcW w:w="1005" w:type="pct"/>
            <w:tcBorders>
              <w:tl2br w:val="nil"/>
              <w:tr2bl w:val="nil"/>
            </w:tcBorders>
            <w:shd w:val="clear" w:color="auto" w:fill="auto"/>
            <w:vAlign w:val="center"/>
          </w:tcPr>
          <w:p w14:paraId="2F0C4C19">
            <w:pPr>
              <w:pStyle w:val="10"/>
              <w:spacing w:before="0" w:beforeLines="0" w:after="0" w:line="240" w:lineRule="auto"/>
              <w:ind w:left="0" w:leftChars="0" w:firstLine="0" w:firstLineChars="0"/>
              <w:jc w:val="center"/>
              <w:rPr>
                <w:color w:val="auto"/>
                <w:highlight w:val="none"/>
              </w:rPr>
            </w:pPr>
          </w:p>
        </w:tc>
      </w:tr>
      <w:tr w14:paraId="500F0431">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right w:val="single" w:color="auto" w:sz="4" w:space="0"/>
              <w:tl2br w:val="nil"/>
              <w:tr2bl w:val="nil"/>
            </w:tcBorders>
            <w:shd w:val="clear" w:color="auto" w:fill="auto"/>
            <w:vAlign w:val="center"/>
          </w:tcPr>
          <w:p w14:paraId="079DB6FA">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所属部门</w:t>
            </w:r>
          </w:p>
        </w:tc>
        <w:tc>
          <w:tcPr>
            <w:tcW w:w="1509" w:type="pct"/>
            <w:gridSpan w:val="4"/>
            <w:tcBorders>
              <w:left w:val="single" w:color="auto" w:sz="4" w:space="0"/>
              <w:tl2br w:val="nil"/>
              <w:tr2bl w:val="nil"/>
            </w:tcBorders>
            <w:shd w:val="clear" w:color="auto" w:fill="auto"/>
            <w:vAlign w:val="center"/>
          </w:tcPr>
          <w:p w14:paraId="7E48976D">
            <w:pPr>
              <w:pStyle w:val="10"/>
              <w:spacing w:before="0" w:beforeLines="0" w:after="0" w:line="240" w:lineRule="auto"/>
              <w:ind w:left="0" w:leftChars="0" w:firstLine="0" w:firstLineChars="0"/>
              <w:jc w:val="center"/>
              <w:rPr>
                <w:b/>
                <w:color w:val="auto"/>
                <w:highlight w:val="none"/>
              </w:rPr>
            </w:pPr>
          </w:p>
        </w:tc>
        <w:tc>
          <w:tcPr>
            <w:tcW w:w="762" w:type="pct"/>
            <w:tcBorders>
              <w:tl2br w:val="nil"/>
              <w:tr2bl w:val="nil"/>
            </w:tcBorders>
            <w:shd w:val="clear" w:color="auto" w:fill="auto"/>
            <w:vAlign w:val="center"/>
          </w:tcPr>
          <w:p w14:paraId="1083CDE3">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职  务</w:t>
            </w:r>
          </w:p>
        </w:tc>
        <w:tc>
          <w:tcPr>
            <w:tcW w:w="1884" w:type="pct"/>
            <w:gridSpan w:val="3"/>
            <w:tcBorders>
              <w:tl2br w:val="nil"/>
              <w:tr2bl w:val="nil"/>
            </w:tcBorders>
            <w:shd w:val="clear" w:color="auto" w:fill="auto"/>
            <w:vAlign w:val="center"/>
          </w:tcPr>
          <w:p w14:paraId="6599E9AD">
            <w:pPr>
              <w:pStyle w:val="10"/>
              <w:spacing w:before="0" w:beforeLines="0" w:after="0" w:line="240" w:lineRule="auto"/>
              <w:ind w:left="0" w:leftChars="0" w:firstLine="0" w:firstLineChars="0"/>
              <w:jc w:val="center"/>
              <w:rPr>
                <w:color w:val="auto"/>
                <w:highlight w:val="none"/>
              </w:rPr>
            </w:pPr>
          </w:p>
        </w:tc>
      </w:tr>
      <w:tr w14:paraId="313BFB28">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right w:val="single" w:color="auto" w:sz="4" w:space="0"/>
              <w:tl2br w:val="nil"/>
              <w:tr2bl w:val="nil"/>
            </w:tcBorders>
            <w:shd w:val="clear" w:color="auto" w:fill="auto"/>
            <w:vAlign w:val="center"/>
          </w:tcPr>
          <w:p w14:paraId="309193E9">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毕业院校</w:t>
            </w:r>
          </w:p>
        </w:tc>
        <w:tc>
          <w:tcPr>
            <w:tcW w:w="1509" w:type="pct"/>
            <w:gridSpan w:val="4"/>
            <w:tcBorders>
              <w:left w:val="single" w:color="auto" w:sz="4" w:space="0"/>
              <w:tl2br w:val="nil"/>
              <w:tr2bl w:val="nil"/>
            </w:tcBorders>
            <w:shd w:val="clear" w:color="auto" w:fill="auto"/>
            <w:vAlign w:val="center"/>
          </w:tcPr>
          <w:p w14:paraId="35E02472">
            <w:pPr>
              <w:pStyle w:val="10"/>
              <w:spacing w:before="0" w:beforeLines="0" w:after="0" w:line="240" w:lineRule="auto"/>
              <w:ind w:left="0" w:leftChars="0" w:firstLine="0" w:firstLineChars="0"/>
              <w:jc w:val="center"/>
              <w:rPr>
                <w:b/>
                <w:color w:val="auto"/>
                <w:highlight w:val="none"/>
              </w:rPr>
            </w:pPr>
          </w:p>
        </w:tc>
        <w:tc>
          <w:tcPr>
            <w:tcW w:w="762" w:type="pct"/>
            <w:tcBorders>
              <w:tl2br w:val="nil"/>
              <w:tr2bl w:val="nil"/>
            </w:tcBorders>
            <w:shd w:val="clear" w:color="auto" w:fill="auto"/>
            <w:vAlign w:val="center"/>
          </w:tcPr>
          <w:p w14:paraId="3F527F3A">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专业</w:t>
            </w:r>
          </w:p>
        </w:tc>
        <w:tc>
          <w:tcPr>
            <w:tcW w:w="1884" w:type="pct"/>
            <w:gridSpan w:val="3"/>
            <w:tcBorders>
              <w:tl2br w:val="nil"/>
              <w:tr2bl w:val="nil"/>
            </w:tcBorders>
            <w:shd w:val="clear" w:color="auto" w:fill="auto"/>
            <w:vAlign w:val="center"/>
          </w:tcPr>
          <w:p w14:paraId="4DC28517">
            <w:pPr>
              <w:pStyle w:val="10"/>
              <w:spacing w:before="0" w:beforeLines="0" w:after="0" w:line="240" w:lineRule="auto"/>
              <w:ind w:left="0" w:leftChars="0" w:firstLine="0" w:firstLineChars="0"/>
              <w:jc w:val="center"/>
              <w:rPr>
                <w:color w:val="auto"/>
                <w:highlight w:val="none"/>
              </w:rPr>
            </w:pPr>
          </w:p>
        </w:tc>
      </w:tr>
      <w:tr w14:paraId="0726FF81">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l2br w:val="nil"/>
              <w:tr2bl w:val="nil"/>
            </w:tcBorders>
            <w:shd w:val="clear" w:color="auto" w:fill="auto"/>
            <w:vAlign w:val="center"/>
          </w:tcPr>
          <w:p w14:paraId="0B505020">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学  位</w:t>
            </w:r>
          </w:p>
        </w:tc>
        <w:tc>
          <w:tcPr>
            <w:tcW w:w="1129" w:type="pct"/>
            <w:gridSpan w:val="2"/>
            <w:tcBorders>
              <w:tl2br w:val="nil"/>
              <w:tr2bl w:val="nil"/>
            </w:tcBorders>
            <w:shd w:val="clear" w:color="auto" w:fill="auto"/>
            <w:vAlign w:val="center"/>
          </w:tcPr>
          <w:p w14:paraId="0FC967C9">
            <w:pPr>
              <w:pStyle w:val="10"/>
              <w:spacing w:before="0" w:beforeLines="0" w:after="0" w:line="240" w:lineRule="auto"/>
              <w:ind w:left="0" w:leftChars="0" w:firstLine="0" w:firstLineChars="0"/>
              <w:jc w:val="center"/>
              <w:rPr>
                <w:color w:val="auto"/>
                <w:highlight w:val="none"/>
              </w:rPr>
            </w:pPr>
          </w:p>
        </w:tc>
        <w:tc>
          <w:tcPr>
            <w:tcW w:w="1595" w:type="pct"/>
            <w:gridSpan w:val="4"/>
            <w:tcBorders>
              <w:tl2br w:val="nil"/>
              <w:tr2bl w:val="nil"/>
            </w:tcBorders>
            <w:shd w:val="clear" w:color="auto" w:fill="auto"/>
            <w:vAlign w:val="center"/>
          </w:tcPr>
          <w:p w14:paraId="35D3D9FA">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联系电话</w:t>
            </w:r>
          </w:p>
        </w:tc>
        <w:tc>
          <w:tcPr>
            <w:tcW w:w="1431" w:type="pct"/>
            <w:gridSpan w:val="2"/>
            <w:tcBorders>
              <w:tl2br w:val="nil"/>
              <w:tr2bl w:val="nil"/>
            </w:tcBorders>
            <w:shd w:val="clear" w:color="auto" w:fill="auto"/>
            <w:vAlign w:val="center"/>
          </w:tcPr>
          <w:p w14:paraId="13A7CE70">
            <w:pPr>
              <w:pStyle w:val="10"/>
              <w:spacing w:before="0" w:beforeLines="0" w:after="0" w:line="240" w:lineRule="auto"/>
              <w:ind w:left="0" w:leftChars="0" w:firstLine="0" w:firstLineChars="0"/>
              <w:jc w:val="center"/>
              <w:rPr>
                <w:color w:val="auto"/>
                <w:highlight w:val="none"/>
              </w:rPr>
            </w:pPr>
          </w:p>
        </w:tc>
      </w:tr>
      <w:tr w14:paraId="0B7E1C0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l2br w:val="nil"/>
              <w:tr2bl w:val="nil"/>
            </w:tcBorders>
            <w:shd w:val="clear" w:color="auto" w:fill="auto"/>
            <w:vAlign w:val="center"/>
          </w:tcPr>
          <w:p w14:paraId="3D631CDA">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从业年限</w:t>
            </w:r>
          </w:p>
        </w:tc>
        <w:tc>
          <w:tcPr>
            <w:tcW w:w="1129" w:type="pct"/>
            <w:gridSpan w:val="2"/>
            <w:tcBorders>
              <w:tl2br w:val="nil"/>
              <w:tr2bl w:val="nil"/>
            </w:tcBorders>
            <w:shd w:val="clear" w:color="auto" w:fill="auto"/>
            <w:vAlign w:val="center"/>
          </w:tcPr>
          <w:p w14:paraId="4648B1DB">
            <w:pPr>
              <w:pStyle w:val="10"/>
              <w:spacing w:before="0" w:beforeLines="0" w:after="0" w:line="240" w:lineRule="auto"/>
              <w:ind w:left="0" w:leftChars="0" w:firstLine="0" w:firstLineChars="0"/>
              <w:jc w:val="center"/>
              <w:rPr>
                <w:color w:val="auto"/>
                <w:highlight w:val="none"/>
              </w:rPr>
            </w:pPr>
          </w:p>
        </w:tc>
        <w:tc>
          <w:tcPr>
            <w:tcW w:w="1595" w:type="pct"/>
            <w:gridSpan w:val="4"/>
            <w:tcBorders>
              <w:tl2br w:val="nil"/>
              <w:tr2bl w:val="nil"/>
            </w:tcBorders>
            <w:shd w:val="clear" w:color="auto" w:fill="auto"/>
            <w:vAlign w:val="center"/>
          </w:tcPr>
          <w:p w14:paraId="4DAE6B49">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同类项目从业经验（月）</w:t>
            </w:r>
          </w:p>
        </w:tc>
        <w:tc>
          <w:tcPr>
            <w:tcW w:w="1431" w:type="pct"/>
            <w:gridSpan w:val="2"/>
            <w:tcBorders>
              <w:tl2br w:val="nil"/>
              <w:tr2bl w:val="nil"/>
            </w:tcBorders>
            <w:shd w:val="clear" w:color="auto" w:fill="auto"/>
            <w:vAlign w:val="center"/>
          </w:tcPr>
          <w:p w14:paraId="4E8BFDBA">
            <w:pPr>
              <w:pStyle w:val="10"/>
              <w:spacing w:before="0" w:beforeLines="0" w:after="0" w:line="240" w:lineRule="auto"/>
              <w:ind w:left="0" w:leftChars="0" w:firstLine="0" w:firstLineChars="0"/>
              <w:jc w:val="center"/>
              <w:rPr>
                <w:color w:val="auto"/>
                <w:highlight w:val="none"/>
              </w:rPr>
            </w:pPr>
          </w:p>
        </w:tc>
      </w:tr>
      <w:tr w14:paraId="3948634C">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l2br w:val="nil"/>
              <w:tr2bl w:val="nil"/>
            </w:tcBorders>
            <w:shd w:val="clear" w:color="auto" w:fill="auto"/>
            <w:vAlign w:val="center"/>
          </w:tcPr>
          <w:p w14:paraId="4A298183">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资质证书</w:t>
            </w:r>
          </w:p>
        </w:tc>
        <w:tc>
          <w:tcPr>
            <w:tcW w:w="4156" w:type="pct"/>
            <w:gridSpan w:val="8"/>
            <w:tcBorders>
              <w:tl2br w:val="nil"/>
              <w:tr2bl w:val="nil"/>
            </w:tcBorders>
            <w:shd w:val="clear" w:color="auto" w:fill="auto"/>
            <w:vAlign w:val="center"/>
          </w:tcPr>
          <w:p w14:paraId="59F369B8">
            <w:pPr>
              <w:pStyle w:val="10"/>
              <w:spacing w:before="0" w:beforeLines="0" w:after="0" w:line="240" w:lineRule="auto"/>
              <w:ind w:left="0" w:leftChars="0" w:firstLine="0" w:firstLineChars="0"/>
              <w:jc w:val="center"/>
              <w:rPr>
                <w:color w:val="auto"/>
                <w:highlight w:val="none"/>
              </w:rPr>
            </w:pPr>
          </w:p>
        </w:tc>
      </w:tr>
      <w:tr w14:paraId="59ECBFB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right w:val="single" w:color="auto" w:sz="4" w:space="0"/>
              <w:tl2br w:val="nil"/>
              <w:tr2bl w:val="nil"/>
            </w:tcBorders>
            <w:shd w:val="clear" w:color="auto" w:fill="auto"/>
            <w:vAlign w:val="center"/>
          </w:tcPr>
          <w:p w14:paraId="2319B6DE">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是否</w:t>
            </w:r>
            <w:r>
              <w:rPr>
                <w:b/>
                <w:color w:val="auto"/>
                <w:highlight w:val="none"/>
              </w:rPr>
              <w:t>存在本行亲属</w:t>
            </w:r>
          </w:p>
        </w:tc>
        <w:tc>
          <w:tcPr>
            <w:tcW w:w="696" w:type="pct"/>
            <w:tcBorders>
              <w:left w:val="single" w:color="auto" w:sz="4" w:space="0"/>
              <w:tl2br w:val="nil"/>
              <w:tr2bl w:val="nil"/>
            </w:tcBorders>
            <w:shd w:val="clear" w:color="auto" w:fill="auto"/>
            <w:vAlign w:val="center"/>
          </w:tcPr>
          <w:p w14:paraId="3A8DB53B">
            <w:pPr>
              <w:pStyle w:val="10"/>
              <w:spacing w:before="0" w:beforeLines="0" w:after="0" w:line="240" w:lineRule="auto"/>
              <w:ind w:left="0" w:leftChars="0" w:firstLine="0" w:firstLineChars="0"/>
              <w:jc w:val="center"/>
              <w:rPr>
                <w:color w:val="auto"/>
                <w:highlight w:val="none"/>
              </w:rPr>
            </w:pPr>
          </w:p>
        </w:tc>
        <w:tc>
          <w:tcPr>
            <w:tcW w:w="813" w:type="pct"/>
            <w:gridSpan w:val="3"/>
            <w:tcBorders>
              <w:left w:val="single" w:color="auto" w:sz="4" w:space="0"/>
              <w:tl2br w:val="nil"/>
              <w:tr2bl w:val="nil"/>
            </w:tcBorders>
            <w:shd w:val="clear" w:color="auto" w:fill="auto"/>
            <w:vAlign w:val="center"/>
          </w:tcPr>
          <w:p w14:paraId="566D241A">
            <w:pPr>
              <w:pStyle w:val="10"/>
              <w:spacing w:before="0" w:beforeLines="0" w:after="0" w:line="240" w:lineRule="auto"/>
              <w:ind w:left="0" w:leftChars="0" w:firstLine="0" w:firstLineChars="0"/>
              <w:jc w:val="center"/>
              <w:rPr>
                <w:b/>
                <w:color w:val="auto"/>
                <w:highlight w:val="none"/>
              </w:rPr>
            </w:pPr>
            <w:r>
              <w:rPr>
                <w:b/>
                <w:color w:val="auto"/>
                <w:highlight w:val="none"/>
              </w:rPr>
              <w:t>亲属姓名</w:t>
            </w:r>
          </w:p>
        </w:tc>
        <w:tc>
          <w:tcPr>
            <w:tcW w:w="762" w:type="pct"/>
            <w:tcBorders>
              <w:tl2br w:val="nil"/>
              <w:tr2bl w:val="nil"/>
            </w:tcBorders>
            <w:shd w:val="clear" w:color="auto" w:fill="auto"/>
            <w:vAlign w:val="center"/>
          </w:tcPr>
          <w:p w14:paraId="3AC95F1A">
            <w:pPr>
              <w:pStyle w:val="10"/>
              <w:spacing w:before="0" w:beforeLines="0" w:after="0" w:line="240" w:lineRule="auto"/>
              <w:ind w:left="0" w:leftChars="0" w:firstLine="0" w:firstLineChars="0"/>
              <w:jc w:val="center"/>
              <w:rPr>
                <w:color w:val="auto"/>
                <w:highlight w:val="none"/>
              </w:rPr>
            </w:pPr>
          </w:p>
        </w:tc>
        <w:tc>
          <w:tcPr>
            <w:tcW w:w="878" w:type="pct"/>
            <w:gridSpan w:val="2"/>
            <w:tcBorders>
              <w:tl2br w:val="nil"/>
              <w:tr2bl w:val="nil"/>
            </w:tcBorders>
            <w:shd w:val="clear" w:color="auto" w:fill="auto"/>
            <w:vAlign w:val="center"/>
          </w:tcPr>
          <w:p w14:paraId="78F6DE85">
            <w:pPr>
              <w:pStyle w:val="10"/>
              <w:spacing w:before="0" w:beforeLines="0" w:after="0" w:line="240" w:lineRule="auto"/>
              <w:ind w:left="0" w:leftChars="0" w:firstLine="0" w:firstLineChars="0"/>
              <w:jc w:val="center"/>
              <w:rPr>
                <w:b/>
                <w:color w:val="auto"/>
                <w:highlight w:val="none"/>
              </w:rPr>
            </w:pPr>
            <w:r>
              <w:rPr>
                <w:b/>
                <w:color w:val="auto"/>
                <w:highlight w:val="none"/>
              </w:rPr>
              <w:t>亲属联系电话</w:t>
            </w:r>
          </w:p>
        </w:tc>
        <w:tc>
          <w:tcPr>
            <w:tcW w:w="1005" w:type="pct"/>
            <w:tcBorders>
              <w:tl2br w:val="nil"/>
              <w:tr2bl w:val="nil"/>
            </w:tcBorders>
            <w:shd w:val="clear" w:color="auto" w:fill="auto"/>
            <w:vAlign w:val="center"/>
          </w:tcPr>
          <w:p w14:paraId="08EC28A8">
            <w:pPr>
              <w:pStyle w:val="10"/>
              <w:spacing w:before="0" w:beforeLines="0" w:after="0" w:line="240" w:lineRule="auto"/>
              <w:ind w:left="0" w:leftChars="0" w:firstLine="0" w:firstLineChars="0"/>
              <w:jc w:val="center"/>
              <w:rPr>
                <w:color w:val="auto"/>
                <w:highlight w:val="none"/>
              </w:rPr>
            </w:pPr>
          </w:p>
        </w:tc>
      </w:tr>
      <w:tr w14:paraId="64F0A1A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l2br w:val="nil"/>
              <w:tr2bl w:val="nil"/>
            </w:tcBorders>
            <w:shd w:val="clear" w:color="auto" w:fill="auto"/>
            <w:vAlign w:val="center"/>
          </w:tcPr>
          <w:p w14:paraId="63132F26">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参与项目</w:t>
            </w:r>
          </w:p>
          <w:p w14:paraId="624EFCAC">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起止时间</w:t>
            </w:r>
          </w:p>
        </w:tc>
        <w:tc>
          <w:tcPr>
            <w:tcW w:w="1286" w:type="pct"/>
            <w:gridSpan w:val="3"/>
            <w:tcBorders>
              <w:tl2br w:val="nil"/>
              <w:tr2bl w:val="nil"/>
            </w:tcBorders>
            <w:shd w:val="clear" w:color="auto" w:fill="auto"/>
            <w:vAlign w:val="center"/>
          </w:tcPr>
          <w:p w14:paraId="1834D3F1">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参与同类项目</w:t>
            </w:r>
          </w:p>
          <w:p w14:paraId="734C0E43">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名称</w:t>
            </w:r>
          </w:p>
        </w:tc>
        <w:tc>
          <w:tcPr>
            <w:tcW w:w="1438" w:type="pct"/>
            <w:gridSpan w:val="3"/>
            <w:tcBorders>
              <w:tl2br w:val="nil"/>
              <w:tr2bl w:val="nil"/>
            </w:tcBorders>
            <w:shd w:val="clear" w:color="auto" w:fill="auto"/>
            <w:vAlign w:val="center"/>
          </w:tcPr>
          <w:p w14:paraId="075B8009">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项目职责及工作内容</w:t>
            </w:r>
          </w:p>
        </w:tc>
        <w:tc>
          <w:tcPr>
            <w:tcW w:w="1431" w:type="pct"/>
            <w:gridSpan w:val="2"/>
            <w:tcBorders>
              <w:tl2br w:val="nil"/>
              <w:tr2bl w:val="nil"/>
            </w:tcBorders>
            <w:shd w:val="clear" w:color="auto" w:fill="auto"/>
            <w:vAlign w:val="center"/>
          </w:tcPr>
          <w:p w14:paraId="777FDDE9">
            <w:pPr>
              <w:pStyle w:val="10"/>
              <w:spacing w:before="0" w:beforeLines="0" w:after="0" w:line="240" w:lineRule="auto"/>
              <w:ind w:left="0" w:leftChars="0" w:firstLine="0" w:firstLineChars="0"/>
              <w:jc w:val="center"/>
              <w:rPr>
                <w:b/>
                <w:color w:val="auto"/>
                <w:highlight w:val="none"/>
              </w:rPr>
            </w:pPr>
            <w:r>
              <w:rPr>
                <w:rFonts w:hint="eastAsia"/>
                <w:b/>
                <w:color w:val="auto"/>
                <w:highlight w:val="none"/>
              </w:rPr>
              <w:t>该项目单位证明人及联系电话</w:t>
            </w:r>
          </w:p>
        </w:tc>
      </w:tr>
      <w:tr w14:paraId="746E664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l2br w:val="nil"/>
              <w:tr2bl w:val="nil"/>
            </w:tcBorders>
            <w:shd w:val="clear" w:color="auto" w:fill="auto"/>
            <w:vAlign w:val="center"/>
          </w:tcPr>
          <w:p w14:paraId="01DAE5B4">
            <w:pPr>
              <w:pStyle w:val="10"/>
              <w:spacing w:before="0" w:beforeLines="0" w:after="0" w:line="240" w:lineRule="auto"/>
              <w:ind w:left="0" w:leftChars="0" w:firstLine="0" w:firstLineChars="0"/>
              <w:rPr>
                <w:color w:val="auto"/>
                <w:highlight w:val="none"/>
              </w:rPr>
            </w:pPr>
          </w:p>
        </w:tc>
        <w:tc>
          <w:tcPr>
            <w:tcW w:w="1286" w:type="pct"/>
            <w:gridSpan w:val="3"/>
            <w:tcBorders>
              <w:tl2br w:val="nil"/>
              <w:tr2bl w:val="nil"/>
            </w:tcBorders>
            <w:shd w:val="clear" w:color="auto" w:fill="auto"/>
            <w:vAlign w:val="center"/>
          </w:tcPr>
          <w:p w14:paraId="10B1AE96">
            <w:pPr>
              <w:pStyle w:val="10"/>
              <w:spacing w:before="0" w:beforeLines="0" w:after="0" w:line="240" w:lineRule="auto"/>
              <w:ind w:left="0" w:leftChars="0" w:firstLine="0" w:firstLineChars="0"/>
              <w:rPr>
                <w:color w:val="auto"/>
                <w:highlight w:val="none"/>
              </w:rPr>
            </w:pPr>
          </w:p>
        </w:tc>
        <w:tc>
          <w:tcPr>
            <w:tcW w:w="1438" w:type="pct"/>
            <w:gridSpan w:val="3"/>
            <w:tcBorders>
              <w:tl2br w:val="nil"/>
              <w:tr2bl w:val="nil"/>
            </w:tcBorders>
            <w:shd w:val="clear" w:color="auto" w:fill="auto"/>
            <w:vAlign w:val="center"/>
          </w:tcPr>
          <w:p w14:paraId="6AD76E62">
            <w:pPr>
              <w:pStyle w:val="10"/>
              <w:spacing w:before="0" w:beforeLines="0" w:after="0" w:line="240" w:lineRule="auto"/>
              <w:ind w:left="0" w:leftChars="0" w:firstLine="0" w:firstLineChars="0"/>
              <w:jc w:val="center"/>
              <w:rPr>
                <w:color w:val="auto"/>
                <w:highlight w:val="none"/>
              </w:rPr>
            </w:pPr>
          </w:p>
        </w:tc>
        <w:tc>
          <w:tcPr>
            <w:tcW w:w="1431" w:type="pct"/>
            <w:gridSpan w:val="2"/>
            <w:tcBorders>
              <w:tl2br w:val="nil"/>
              <w:tr2bl w:val="nil"/>
            </w:tcBorders>
            <w:shd w:val="clear" w:color="auto" w:fill="auto"/>
            <w:vAlign w:val="center"/>
          </w:tcPr>
          <w:p w14:paraId="5AFA623C">
            <w:pPr>
              <w:pStyle w:val="10"/>
              <w:spacing w:before="0" w:beforeLines="0" w:after="0" w:line="240" w:lineRule="auto"/>
              <w:ind w:left="0" w:leftChars="0" w:firstLine="0" w:firstLineChars="0"/>
              <w:jc w:val="center"/>
              <w:rPr>
                <w:color w:val="auto"/>
                <w:highlight w:val="none"/>
              </w:rPr>
            </w:pPr>
          </w:p>
        </w:tc>
      </w:tr>
      <w:tr w14:paraId="7A78ECA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l2br w:val="nil"/>
              <w:tr2bl w:val="nil"/>
            </w:tcBorders>
            <w:shd w:val="clear" w:color="auto" w:fill="auto"/>
            <w:vAlign w:val="center"/>
          </w:tcPr>
          <w:p w14:paraId="655DB0D7">
            <w:pPr>
              <w:pStyle w:val="10"/>
              <w:spacing w:before="0" w:beforeLines="0" w:after="0" w:line="240" w:lineRule="auto"/>
              <w:ind w:left="0" w:leftChars="0" w:firstLine="0" w:firstLineChars="0"/>
              <w:rPr>
                <w:color w:val="auto"/>
                <w:highlight w:val="none"/>
              </w:rPr>
            </w:pPr>
          </w:p>
        </w:tc>
        <w:tc>
          <w:tcPr>
            <w:tcW w:w="1286" w:type="pct"/>
            <w:gridSpan w:val="3"/>
            <w:tcBorders>
              <w:tl2br w:val="nil"/>
              <w:tr2bl w:val="nil"/>
            </w:tcBorders>
            <w:shd w:val="clear" w:color="auto" w:fill="auto"/>
            <w:vAlign w:val="center"/>
          </w:tcPr>
          <w:p w14:paraId="0D726E7C">
            <w:pPr>
              <w:pStyle w:val="10"/>
              <w:spacing w:before="0" w:beforeLines="0" w:after="0" w:line="240" w:lineRule="auto"/>
              <w:ind w:left="0" w:leftChars="0" w:firstLine="0" w:firstLineChars="0"/>
              <w:rPr>
                <w:color w:val="auto"/>
                <w:highlight w:val="none"/>
              </w:rPr>
            </w:pPr>
          </w:p>
        </w:tc>
        <w:tc>
          <w:tcPr>
            <w:tcW w:w="1438" w:type="pct"/>
            <w:gridSpan w:val="3"/>
            <w:tcBorders>
              <w:tl2br w:val="nil"/>
              <w:tr2bl w:val="nil"/>
            </w:tcBorders>
            <w:shd w:val="clear" w:color="auto" w:fill="auto"/>
            <w:vAlign w:val="center"/>
          </w:tcPr>
          <w:p w14:paraId="23D517CB">
            <w:pPr>
              <w:pStyle w:val="10"/>
              <w:spacing w:before="0" w:beforeLines="0" w:after="0" w:line="240" w:lineRule="auto"/>
              <w:ind w:left="0" w:leftChars="0" w:firstLine="0" w:firstLineChars="0"/>
              <w:jc w:val="center"/>
              <w:rPr>
                <w:color w:val="auto"/>
                <w:highlight w:val="none"/>
              </w:rPr>
            </w:pPr>
          </w:p>
        </w:tc>
        <w:tc>
          <w:tcPr>
            <w:tcW w:w="1431" w:type="pct"/>
            <w:gridSpan w:val="2"/>
            <w:tcBorders>
              <w:tl2br w:val="nil"/>
              <w:tr2bl w:val="nil"/>
            </w:tcBorders>
            <w:shd w:val="clear" w:color="auto" w:fill="auto"/>
            <w:vAlign w:val="center"/>
          </w:tcPr>
          <w:p w14:paraId="62CF9D05">
            <w:pPr>
              <w:pStyle w:val="10"/>
              <w:spacing w:before="0" w:beforeLines="0" w:after="0" w:line="240" w:lineRule="auto"/>
              <w:ind w:left="0" w:leftChars="0" w:firstLine="0" w:firstLineChars="0"/>
              <w:jc w:val="center"/>
              <w:rPr>
                <w:color w:val="auto"/>
                <w:highlight w:val="none"/>
              </w:rPr>
            </w:pPr>
          </w:p>
        </w:tc>
      </w:tr>
      <w:tr w14:paraId="1854B61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l2br w:val="nil"/>
              <w:tr2bl w:val="nil"/>
            </w:tcBorders>
            <w:shd w:val="clear" w:color="auto" w:fill="auto"/>
            <w:vAlign w:val="center"/>
          </w:tcPr>
          <w:p w14:paraId="56A231D2">
            <w:pPr>
              <w:pStyle w:val="10"/>
              <w:spacing w:before="0" w:beforeLines="0" w:after="0" w:line="240" w:lineRule="auto"/>
              <w:ind w:left="0" w:leftChars="0" w:firstLine="0" w:firstLineChars="0"/>
              <w:rPr>
                <w:color w:val="auto"/>
                <w:highlight w:val="none"/>
              </w:rPr>
            </w:pPr>
          </w:p>
        </w:tc>
        <w:tc>
          <w:tcPr>
            <w:tcW w:w="1286" w:type="pct"/>
            <w:gridSpan w:val="3"/>
            <w:tcBorders>
              <w:tl2br w:val="nil"/>
              <w:tr2bl w:val="nil"/>
            </w:tcBorders>
            <w:shd w:val="clear" w:color="auto" w:fill="auto"/>
            <w:vAlign w:val="center"/>
          </w:tcPr>
          <w:p w14:paraId="5918F24A">
            <w:pPr>
              <w:pStyle w:val="10"/>
              <w:spacing w:before="0" w:beforeLines="0" w:after="0" w:line="240" w:lineRule="auto"/>
              <w:ind w:left="0" w:leftChars="0" w:firstLine="0" w:firstLineChars="0"/>
              <w:rPr>
                <w:color w:val="auto"/>
                <w:highlight w:val="none"/>
              </w:rPr>
            </w:pPr>
          </w:p>
        </w:tc>
        <w:tc>
          <w:tcPr>
            <w:tcW w:w="1438" w:type="pct"/>
            <w:gridSpan w:val="3"/>
            <w:tcBorders>
              <w:tl2br w:val="nil"/>
              <w:tr2bl w:val="nil"/>
            </w:tcBorders>
            <w:shd w:val="clear" w:color="auto" w:fill="auto"/>
            <w:vAlign w:val="center"/>
          </w:tcPr>
          <w:p w14:paraId="239E734C">
            <w:pPr>
              <w:pStyle w:val="10"/>
              <w:spacing w:before="0" w:beforeLines="0" w:after="0" w:line="240" w:lineRule="auto"/>
              <w:ind w:left="0" w:leftChars="0" w:firstLine="0" w:firstLineChars="0"/>
              <w:jc w:val="center"/>
              <w:rPr>
                <w:color w:val="auto"/>
                <w:highlight w:val="none"/>
              </w:rPr>
            </w:pPr>
          </w:p>
        </w:tc>
        <w:tc>
          <w:tcPr>
            <w:tcW w:w="1431" w:type="pct"/>
            <w:gridSpan w:val="2"/>
            <w:tcBorders>
              <w:tl2br w:val="nil"/>
              <w:tr2bl w:val="nil"/>
            </w:tcBorders>
            <w:shd w:val="clear" w:color="auto" w:fill="auto"/>
            <w:vAlign w:val="center"/>
          </w:tcPr>
          <w:p w14:paraId="7FA9F06D">
            <w:pPr>
              <w:pStyle w:val="10"/>
              <w:spacing w:before="0" w:beforeLines="0" w:after="0" w:line="240" w:lineRule="auto"/>
              <w:ind w:left="0" w:leftChars="0" w:firstLine="0" w:firstLineChars="0"/>
              <w:jc w:val="center"/>
              <w:rPr>
                <w:color w:val="auto"/>
                <w:highlight w:val="none"/>
              </w:rPr>
            </w:pPr>
          </w:p>
        </w:tc>
      </w:tr>
    </w:tbl>
    <w:p w14:paraId="47B730EA">
      <w:pPr>
        <w:tabs>
          <w:tab w:val="left" w:pos="1270"/>
          <w:tab w:val="left" w:pos="4185"/>
        </w:tabs>
        <w:spacing w:after="240" w:line="360" w:lineRule="auto"/>
        <w:ind w:firstLine="0" w:firstLineChars="0"/>
        <w:rPr>
          <w:b/>
          <w:bCs/>
          <w:color w:val="auto"/>
          <w:highlight w:val="none"/>
        </w:rPr>
      </w:pPr>
      <w:r>
        <w:rPr>
          <w:b/>
          <w:bCs/>
          <w:color w:val="auto"/>
          <w:szCs w:val="24"/>
          <w:highlight w:val="none"/>
        </w:rPr>
        <w:t>注：</w:t>
      </w:r>
      <w:r>
        <w:rPr>
          <w:b/>
          <w:bCs/>
          <w:color w:val="auto"/>
          <w:highlight w:val="none"/>
        </w:rPr>
        <w:t>若存在亲属为本行员工，请在</w:t>
      </w:r>
      <w:r>
        <w:rPr>
          <w:rFonts w:hint="eastAsia"/>
          <w:b/>
          <w:bCs/>
          <w:color w:val="auto"/>
          <w:highlight w:val="none"/>
        </w:rPr>
        <w:t>“</w:t>
      </w:r>
      <w:r>
        <w:rPr>
          <w:b/>
          <w:bCs/>
          <w:color w:val="auto"/>
          <w:highlight w:val="none"/>
        </w:rPr>
        <w:t>是否存在本行亲属</w:t>
      </w:r>
      <w:r>
        <w:rPr>
          <w:rFonts w:hint="eastAsia"/>
          <w:b/>
          <w:bCs/>
          <w:color w:val="auto"/>
          <w:highlight w:val="none"/>
        </w:rPr>
        <w:t>”</w:t>
      </w:r>
      <w:r>
        <w:rPr>
          <w:b/>
          <w:bCs/>
          <w:color w:val="auto"/>
          <w:highlight w:val="none"/>
        </w:rPr>
        <w:t>栏填</w:t>
      </w:r>
      <w:r>
        <w:rPr>
          <w:rFonts w:hint="eastAsia"/>
          <w:b/>
          <w:bCs/>
          <w:color w:val="auto"/>
          <w:highlight w:val="none"/>
        </w:rPr>
        <w:t>“是”</w:t>
      </w:r>
      <w:r>
        <w:rPr>
          <w:b/>
          <w:bCs/>
          <w:color w:val="auto"/>
          <w:highlight w:val="none"/>
        </w:rPr>
        <w:t>，并备注亲属姓名以及联系方式，否则填</w:t>
      </w:r>
      <w:r>
        <w:rPr>
          <w:rFonts w:hint="eastAsia"/>
          <w:b/>
          <w:bCs/>
          <w:color w:val="auto"/>
          <w:highlight w:val="none"/>
        </w:rPr>
        <w:t>“无”</w:t>
      </w:r>
      <w:r>
        <w:rPr>
          <w:b/>
          <w:bCs/>
          <w:color w:val="auto"/>
          <w:highlight w:val="none"/>
        </w:rPr>
        <w:t>。</w:t>
      </w:r>
    </w:p>
    <w:p w14:paraId="66FAB3B3">
      <w:pPr>
        <w:spacing w:line="360" w:lineRule="auto"/>
        <w:ind w:firstLine="0" w:firstLineChars="0"/>
        <w:rPr>
          <w:rFonts w:ascii="Times New Roman" w:hAnsi="Times New Roman" w:cs="等线 Light"/>
          <w:color w:val="auto"/>
          <w:sz w:val="21"/>
          <w:szCs w:val="21"/>
          <w:highlight w:val="none"/>
        </w:rPr>
      </w:pPr>
    </w:p>
    <w:p w14:paraId="20253218">
      <w:pPr>
        <w:spacing w:line="360" w:lineRule="auto"/>
        <w:ind w:firstLine="0" w:firstLineChars="0"/>
        <w:rPr>
          <w:rFonts w:ascii="Times New Roman" w:hAnsi="Times New Roman" w:cs="等线 Light"/>
          <w:color w:val="auto"/>
          <w:sz w:val="21"/>
          <w:szCs w:val="21"/>
          <w:highlight w:val="none"/>
        </w:rPr>
      </w:pPr>
    </w:p>
    <w:p w14:paraId="1A9AEFCF">
      <w:pPr>
        <w:spacing w:line="360" w:lineRule="auto"/>
        <w:ind w:firstLine="0" w:firstLineChars="0"/>
        <w:rPr>
          <w:rFonts w:ascii="Times New Roman" w:hAnsi="Times New Roman" w:cs="等线 Light"/>
          <w:color w:val="auto"/>
          <w:sz w:val="21"/>
          <w:szCs w:val="21"/>
          <w:highlight w:val="none"/>
        </w:rPr>
      </w:pPr>
    </w:p>
    <w:p w14:paraId="46B5B1DD">
      <w:pPr>
        <w:spacing w:line="360" w:lineRule="auto"/>
        <w:ind w:firstLine="0" w:firstLineChars="0"/>
        <w:rPr>
          <w:rFonts w:ascii="Times New Roman" w:hAnsi="Times New Roman" w:cs="等线 Light"/>
          <w:color w:val="auto"/>
          <w:sz w:val="21"/>
          <w:szCs w:val="21"/>
          <w:highlight w:val="none"/>
        </w:rPr>
      </w:pPr>
    </w:p>
    <w:p w14:paraId="0B951DEF">
      <w:pPr>
        <w:spacing w:line="360" w:lineRule="auto"/>
        <w:ind w:firstLine="0" w:firstLineChars="0"/>
        <w:rPr>
          <w:rFonts w:ascii="Times New Roman" w:hAnsi="Times New Roman" w:cs="等线 Light"/>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5989E694">
      <w:pPr>
        <w:pStyle w:val="33"/>
        <w:rPr>
          <w:rFonts w:ascii="Times New Roman" w:hAnsi="Times New Roman" w:cs="等线 Light"/>
          <w:color w:val="auto"/>
          <w:highlight w:val="none"/>
        </w:rPr>
      </w:pPr>
      <w:bookmarkStart w:id="646" w:name="_Toc20801"/>
      <w:bookmarkStart w:id="647" w:name="_Toc12247"/>
      <w:r>
        <w:rPr>
          <w:rFonts w:hint="eastAsia" w:ascii="Times New Roman" w:hAnsi="Times New Roman" w:cs="等线 Light"/>
          <w:color w:val="auto"/>
          <w:highlight w:val="none"/>
        </w:rPr>
        <w:t>（</w:t>
      </w:r>
      <w:r>
        <w:rPr>
          <w:rFonts w:hint="eastAsia" w:ascii="Times New Roman" w:hAnsi="Times New Roman" w:cs="等线 Light"/>
          <w:color w:val="auto"/>
          <w:highlight w:val="none"/>
          <w:lang w:val="en-US" w:eastAsia="zh-CN"/>
        </w:rPr>
        <w:t>四</w:t>
      </w:r>
      <w:r>
        <w:rPr>
          <w:rFonts w:hint="eastAsia" w:ascii="Times New Roman" w:hAnsi="Times New Roman" w:cs="等线 Light"/>
          <w:color w:val="auto"/>
          <w:highlight w:val="none"/>
        </w:rPr>
        <w:t>）</w:t>
      </w:r>
      <w:r>
        <w:rPr>
          <w:rFonts w:ascii="Times New Roman" w:hAnsi="Times New Roman" w:cs="等线 Light"/>
          <w:color w:val="auto"/>
          <w:highlight w:val="none"/>
        </w:rPr>
        <w:t>售后服务和培训方案</w:t>
      </w:r>
      <w:bookmarkEnd w:id="646"/>
      <w:bookmarkEnd w:id="647"/>
    </w:p>
    <w:p w14:paraId="1D67DE56">
      <w:pPr>
        <w:rPr>
          <w:color w:val="auto"/>
          <w:highlight w:val="none"/>
        </w:rPr>
      </w:pPr>
    </w:p>
    <w:p w14:paraId="664801DF">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634ECD9">
      <w:pPr>
        <w:pStyle w:val="33"/>
        <w:rPr>
          <w:rFonts w:ascii="Times New Roman" w:hAnsi="Times New Roman" w:cs="等线 Light"/>
          <w:color w:val="auto"/>
          <w:highlight w:val="none"/>
        </w:rPr>
      </w:pPr>
      <w:bookmarkStart w:id="648" w:name="_Toc29252"/>
      <w:bookmarkStart w:id="649" w:name="_Toc28481"/>
      <w:r>
        <w:rPr>
          <w:rFonts w:hint="eastAsia" w:ascii="Times New Roman" w:hAnsi="Times New Roman" w:cs="等线 Light"/>
          <w:color w:val="auto"/>
          <w:highlight w:val="none"/>
        </w:rPr>
        <w:t>（</w:t>
      </w:r>
      <w:r>
        <w:rPr>
          <w:rFonts w:hint="eastAsia" w:ascii="Times New Roman" w:hAnsi="Times New Roman" w:cs="等线 Light"/>
          <w:color w:val="auto"/>
          <w:highlight w:val="none"/>
          <w:lang w:val="en-US" w:eastAsia="zh-CN"/>
        </w:rPr>
        <w:t>五</w:t>
      </w:r>
      <w:r>
        <w:rPr>
          <w:rFonts w:hint="eastAsia" w:ascii="Times New Roman" w:hAnsi="Times New Roman" w:cs="等线 Light"/>
          <w:color w:val="auto"/>
          <w:highlight w:val="none"/>
        </w:rPr>
        <w:t>）</w:t>
      </w:r>
      <w:r>
        <w:rPr>
          <w:rFonts w:ascii="Times New Roman" w:hAnsi="Times New Roman" w:cs="等线 Light"/>
          <w:color w:val="auto"/>
          <w:highlight w:val="none"/>
        </w:rPr>
        <w:t>服务连续性预案</w:t>
      </w:r>
      <w:bookmarkEnd w:id="648"/>
      <w:bookmarkEnd w:id="649"/>
    </w:p>
    <w:p w14:paraId="3255F7B7">
      <w:pPr>
        <w:rPr>
          <w:color w:val="auto"/>
          <w:highlight w:val="none"/>
        </w:rPr>
      </w:pPr>
    </w:p>
    <w:p w14:paraId="16CF2B1B">
      <w:pPr>
        <w:rPr>
          <w:color w:val="auto"/>
          <w:highlight w:val="none"/>
        </w:rPr>
      </w:pPr>
    </w:p>
    <w:p w14:paraId="426CF1F4">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04D8FDF9">
      <w:pPr>
        <w:pStyle w:val="33"/>
        <w:rPr>
          <w:rFonts w:hint="eastAsia" w:ascii="Times New Roman" w:hAnsi="Times New Roman" w:cs="等线 Light"/>
          <w:color w:val="auto"/>
          <w:highlight w:val="none"/>
        </w:rPr>
      </w:pPr>
      <w:bookmarkStart w:id="650" w:name="_Toc15215"/>
      <w:bookmarkStart w:id="651" w:name="_Toc1618"/>
      <w:r>
        <w:rPr>
          <w:rFonts w:hint="eastAsia" w:ascii="Times New Roman" w:hAnsi="Times New Roman" w:cs="等线 Light"/>
          <w:color w:val="auto"/>
          <w:highlight w:val="none"/>
        </w:rPr>
        <w:t>（</w:t>
      </w:r>
      <w:r>
        <w:rPr>
          <w:rFonts w:hint="eastAsia" w:ascii="Times New Roman" w:hAnsi="Times New Roman" w:cs="等线 Light"/>
          <w:color w:val="auto"/>
          <w:highlight w:val="none"/>
          <w:lang w:val="en-US" w:eastAsia="zh-CN"/>
        </w:rPr>
        <w:t>六</w:t>
      </w:r>
      <w:r>
        <w:rPr>
          <w:rFonts w:hint="eastAsia" w:ascii="Times New Roman" w:hAnsi="Times New Roman" w:cs="等线 Light"/>
          <w:color w:val="auto"/>
          <w:highlight w:val="none"/>
        </w:rPr>
        <w:t>）项目实施方案</w:t>
      </w:r>
      <w:bookmarkEnd w:id="650"/>
      <w:bookmarkEnd w:id="651"/>
    </w:p>
    <w:p w14:paraId="16686163">
      <w:pPr>
        <w:rPr>
          <w:rFonts w:hint="eastAsia" w:ascii="Times New Roman" w:hAnsi="Times New Roman" w:cs="等线 Light"/>
          <w:color w:val="auto"/>
          <w:highlight w:val="none"/>
        </w:rPr>
      </w:pPr>
    </w:p>
    <w:p w14:paraId="1A8C65B1">
      <w:pPr>
        <w:rPr>
          <w:rFonts w:hint="eastAsia" w:ascii="Times New Roman" w:hAnsi="Times New Roman" w:cs="等线 Light"/>
          <w:color w:val="auto"/>
          <w:highlight w:val="none"/>
        </w:rPr>
      </w:pPr>
    </w:p>
    <w:p w14:paraId="0FDED6BA">
      <w:pPr>
        <w:ind w:firstLine="0" w:firstLineChars="0"/>
        <w:rPr>
          <w:color w:val="auto"/>
          <w:highlight w:val="none"/>
        </w:rPr>
        <w:sectPr>
          <w:pgSz w:w="11906" w:h="16838"/>
          <w:pgMar w:top="1440" w:right="1800" w:bottom="1440" w:left="1800" w:header="851" w:footer="992" w:gutter="0"/>
          <w:pgNumType w:fmt="decimal"/>
          <w:cols w:space="720" w:num="1"/>
          <w:docGrid w:type="lines" w:linePitch="312" w:charSpace="0"/>
        </w:sectPr>
      </w:pPr>
    </w:p>
    <w:p w14:paraId="597BB8D2">
      <w:pPr>
        <w:pStyle w:val="32"/>
        <w:rPr>
          <w:rFonts w:ascii="Times New Roman" w:hAnsi="Times New Roman"/>
          <w:color w:val="auto"/>
          <w:highlight w:val="none"/>
        </w:rPr>
      </w:pPr>
      <w:bookmarkStart w:id="652" w:name="_Toc24477"/>
      <w:bookmarkStart w:id="653" w:name="_Toc30345"/>
      <w:r>
        <w:rPr>
          <w:rFonts w:ascii="Times New Roman" w:hAnsi="Times New Roman"/>
          <w:color w:val="auto"/>
          <w:highlight w:val="none"/>
        </w:rPr>
        <w:t>五、参选保证金</w:t>
      </w:r>
      <w:bookmarkEnd w:id="652"/>
      <w:bookmarkEnd w:id="653"/>
    </w:p>
    <w:p w14:paraId="79541272">
      <w:pPr>
        <w:spacing w:line="360" w:lineRule="auto"/>
        <w:rPr>
          <w:rFonts w:ascii="Times New Roman" w:hAnsi="Times New Roman" w:cs="等线 Light"/>
          <w:color w:val="auto"/>
          <w:highlight w:val="none"/>
        </w:rPr>
      </w:pPr>
    </w:p>
    <w:p w14:paraId="0BCE558B">
      <w:pPr>
        <w:spacing w:line="360" w:lineRule="auto"/>
        <w:rPr>
          <w:rFonts w:ascii="Times New Roman" w:hAnsi="Times New Roman" w:cs="等线 Light"/>
          <w:color w:val="auto"/>
          <w:highlight w:val="none"/>
        </w:rPr>
      </w:pPr>
    </w:p>
    <w:p w14:paraId="499AD88D">
      <w:pPr>
        <w:spacing w:line="360" w:lineRule="auto"/>
        <w:rPr>
          <w:rFonts w:ascii="Times New Roman" w:hAnsi="Times New Roman" w:cs="等线 Light"/>
          <w:color w:val="auto"/>
          <w:highlight w:val="none"/>
        </w:rPr>
      </w:pPr>
    </w:p>
    <w:p w14:paraId="21305E0C">
      <w:pPr>
        <w:spacing w:line="360" w:lineRule="auto"/>
        <w:rPr>
          <w:rFonts w:ascii="Times New Roman" w:hAnsi="Times New Roman" w:cs="等线 Light"/>
          <w:color w:val="auto"/>
          <w:highlight w:val="none"/>
        </w:rPr>
      </w:pPr>
    </w:p>
    <w:p w14:paraId="79772CD7">
      <w:pPr>
        <w:spacing w:line="360" w:lineRule="auto"/>
        <w:rPr>
          <w:rFonts w:ascii="Times New Roman" w:hAnsi="Times New Roman" w:cs="等线 Light"/>
          <w:color w:val="auto"/>
          <w:highlight w:val="none"/>
        </w:rPr>
      </w:pPr>
    </w:p>
    <w:p w14:paraId="2D944277">
      <w:pPr>
        <w:spacing w:line="360" w:lineRule="auto"/>
        <w:rPr>
          <w:rFonts w:ascii="Times New Roman" w:hAnsi="Times New Roman" w:cs="等线 Light"/>
          <w:color w:val="auto"/>
          <w:highlight w:val="none"/>
        </w:rPr>
      </w:pPr>
    </w:p>
    <w:p w14:paraId="3905BC10">
      <w:pPr>
        <w:spacing w:line="360" w:lineRule="auto"/>
        <w:rPr>
          <w:rFonts w:ascii="Times New Roman" w:hAnsi="Times New Roman" w:cs="等线 Light"/>
          <w:color w:val="auto"/>
          <w:highlight w:val="none"/>
        </w:rPr>
      </w:pPr>
    </w:p>
    <w:p w14:paraId="266FDABC">
      <w:pPr>
        <w:spacing w:line="360" w:lineRule="auto"/>
        <w:rPr>
          <w:rFonts w:ascii="Times New Roman" w:hAnsi="Times New Roman" w:cs="等线 Light"/>
          <w:color w:val="auto"/>
          <w:highlight w:val="none"/>
        </w:rPr>
      </w:pPr>
    </w:p>
    <w:p w14:paraId="2DF416FF">
      <w:pPr>
        <w:spacing w:line="360" w:lineRule="auto"/>
        <w:rPr>
          <w:rFonts w:ascii="Times New Roman" w:hAnsi="Times New Roman" w:cs="等线 Light"/>
          <w:color w:val="auto"/>
          <w:highlight w:val="none"/>
        </w:rPr>
      </w:pPr>
    </w:p>
    <w:p w14:paraId="22D25326">
      <w:pPr>
        <w:spacing w:line="360" w:lineRule="auto"/>
        <w:rPr>
          <w:rFonts w:ascii="Times New Roman" w:hAnsi="Times New Roman" w:cs="等线 Light"/>
          <w:color w:val="auto"/>
          <w:highlight w:val="none"/>
        </w:rPr>
      </w:pPr>
    </w:p>
    <w:p w14:paraId="09B48215">
      <w:pPr>
        <w:spacing w:line="360" w:lineRule="auto"/>
        <w:rPr>
          <w:rFonts w:ascii="Times New Roman" w:hAnsi="Times New Roman" w:cs="等线 Light"/>
          <w:color w:val="auto"/>
          <w:highlight w:val="none"/>
        </w:rPr>
      </w:pPr>
    </w:p>
    <w:p w14:paraId="77E72681">
      <w:pPr>
        <w:spacing w:line="360" w:lineRule="auto"/>
        <w:rPr>
          <w:rFonts w:ascii="Times New Roman" w:hAnsi="Times New Roman" w:cs="等线 Light"/>
          <w:color w:val="auto"/>
          <w:highlight w:val="none"/>
        </w:rPr>
      </w:pPr>
    </w:p>
    <w:p w14:paraId="12AD9E3E">
      <w:pPr>
        <w:spacing w:line="360" w:lineRule="auto"/>
        <w:rPr>
          <w:rFonts w:ascii="Times New Roman" w:hAnsi="Times New Roman" w:cs="等线 Light"/>
          <w:color w:val="auto"/>
          <w:highlight w:val="none"/>
        </w:rPr>
      </w:pPr>
    </w:p>
    <w:p w14:paraId="3462746D">
      <w:pPr>
        <w:spacing w:line="360" w:lineRule="auto"/>
        <w:rPr>
          <w:rFonts w:ascii="Times New Roman" w:hAnsi="Times New Roman" w:cs="等线 Light"/>
          <w:color w:val="auto"/>
          <w:highlight w:val="none"/>
        </w:rPr>
      </w:pPr>
    </w:p>
    <w:p w14:paraId="0F1DEE64">
      <w:pPr>
        <w:spacing w:line="360" w:lineRule="auto"/>
        <w:rPr>
          <w:rFonts w:ascii="Times New Roman" w:hAnsi="Times New Roman" w:cs="等线 Light"/>
          <w:color w:val="auto"/>
          <w:highlight w:val="none"/>
        </w:rPr>
      </w:pPr>
    </w:p>
    <w:p w14:paraId="18F3471A">
      <w:pPr>
        <w:spacing w:line="360" w:lineRule="auto"/>
        <w:rPr>
          <w:rFonts w:ascii="Times New Roman" w:hAnsi="Times New Roman" w:cs="等线 Light"/>
          <w:color w:val="auto"/>
          <w:highlight w:val="none"/>
        </w:rPr>
      </w:pPr>
    </w:p>
    <w:p w14:paraId="18305B3C">
      <w:pPr>
        <w:spacing w:line="360" w:lineRule="auto"/>
        <w:rPr>
          <w:rFonts w:ascii="Times New Roman" w:hAnsi="Times New Roman" w:cs="等线 Light"/>
          <w:color w:val="auto"/>
          <w:highlight w:val="none"/>
        </w:rPr>
      </w:pPr>
    </w:p>
    <w:p w14:paraId="65FDF0B6">
      <w:pPr>
        <w:spacing w:line="360" w:lineRule="auto"/>
        <w:rPr>
          <w:rFonts w:ascii="Times New Roman" w:hAnsi="Times New Roman" w:cs="等线 Light"/>
          <w:color w:val="auto"/>
          <w:highlight w:val="none"/>
        </w:rPr>
      </w:pPr>
    </w:p>
    <w:p w14:paraId="28944D1B">
      <w:pPr>
        <w:adjustRightInd w:val="0"/>
        <w:snapToGrid w:val="0"/>
        <w:spacing w:line="360" w:lineRule="auto"/>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14:paraId="4185BCE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035F61A9">
      <w:pPr>
        <w:spacing w:line="360" w:lineRule="auto"/>
        <w:rPr>
          <w:rFonts w:ascii="Times New Roman" w:hAnsi="Times New Roman" w:cs="等线 Light"/>
          <w:color w:val="auto"/>
          <w:sz w:val="21"/>
          <w:szCs w:val="21"/>
          <w:highlight w:val="none"/>
        </w:rPr>
      </w:pPr>
    </w:p>
    <w:p w14:paraId="48C76B06">
      <w:pPr>
        <w:spacing w:line="360" w:lineRule="auto"/>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6FA8127D">
      <w:pPr>
        <w:pStyle w:val="32"/>
        <w:rPr>
          <w:rFonts w:ascii="Times New Roman" w:hAnsi="Times New Roman"/>
          <w:color w:val="auto"/>
          <w:highlight w:val="none"/>
        </w:rPr>
      </w:pPr>
      <w:bookmarkStart w:id="654" w:name="_Toc25396"/>
      <w:bookmarkStart w:id="655" w:name="_Toc27031"/>
      <w:r>
        <w:rPr>
          <w:rFonts w:ascii="Times New Roman" w:hAnsi="Times New Roman"/>
          <w:color w:val="auto"/>
          <w:highlight w:val="none"/>
        </w:rPr>
        <w:t>六、服务水平协议（SLA）</w:t>
      </w:r>
      <w:bookmarkEnd w:id="654"/>
      <w:bookmarkEnd w:id="655"/>
    </w:p>
    <w:tbl>
      <w:tblPr>
        <w:tblStyle w:val="24"/>
        <w:tblW w:w="9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59"/>
        <w:gridCol w:w="1843"/>
        <w:gridCol w:w="1701"/>
      </w:tblGrid>
      <w:tr w14:paraId="6EFE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shd w:val="clear" w:color="auto" w:fill="auto"/>
            <w:vAlign w:val="center"/>
          </w:tcPr>
          <w:p w14:paraId="5B9FFEB2">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序号</w:t>
            </w:r>
          </w:p>
        </w:tc>
        <w:tc>
          <w:tcPr>
            <w:tcW w:w="710" w:type="dxa"/>
            <w:tcBorders>
              <w:left w:val="single" w:color="auto" w:sz="4" w:space="0"/>
            </w:tcBorders>
            <w:shd w:val="clear" w:color="auto" w:fill="auto"/>
            <w:vAlign w:val="center"/>
          </w:tcPr>
          <w:p w14:paraId="0C55ECE0">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服务内容</w:t>
            </w:r>
          </w:p>
        </w:tc>
        <w:tc>
          <w:tcPr>
            <w:tcW w:w="1134" w:type="dxa"/>
            <w:tcBorders>
              <w:left w:val="single" w:color="auto" w:sz="4" w:space="0"/>
            </w:tcBorders>
            <w:shd w:val="clear" w:color="auto" w:fill="auto"/>
            <w:vAlign w:val="center"/>
          </w:tcPr>
          <w:p w14:paraId="6DBD5C41">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服务定义</w:t>
            </w:r>
          </w:p>
        </w:tc>
        <w:tc>
          <w:tcPr>
            <w:tcW w:w="1701" w:type="dxa"/>
            <w:tcBorders>
              <w:left w:val="single" w:color="auto" w:sz="4" w:space="0"/>
            </w:tcBorders>
            <w:shd w:val="clear" w:color="auto" w:fill="auto"/>
            <w:vAlign w:val="center"/>
          </w:tcPr>
          <w:p w14:paraId="37FEB9D9">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服务标准</w:t>
            </w:r>
          </w:p>
        </w:tc>
        <w:tc>
          <w:tcPr>
            <w:tcW w:w="1559" w:type="dxa"/>
            <w:tcBorders>
              <w:left w:val="single" w:color="auto" w:sz="4" w:space="0"/>
            </w:tcBorders>
            <w:shd w:val="clear" w:color="auto" w:fill="auto"/>
            <w:vAlign w:val="center"/>
          </w:tcPr>
          <w:p w14:paraId="735C63C9">
            <w:pPr>
              <w:widowControl/>
              <w:ind w:firstLine="0" w:firstLineChars="0"/>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指标计算</w:t>
            </w:r>
          </w:p>
        </w:tc>
        <w:tc>
          <w:tcPr>
            <w:tcW w:w="1843" w:type="dxa"/>
            <w:tcBorders>
              <w:left w:val="single" w:color="auto" w:sz="4" w:space="0"/>
            </w:tcBorders>
            <w:shd w:val="clear" w:color="auto" w:fill="auto"/>
            <w:vAlign w:val="center"/>
          </w:tcPr>
          <w:p w14:paraId="631189CC">
            <w:pPr>
              <w:widowControl/>
              <w:ind w:firstLine="0" w:firstLineChars="0"/>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服务水平要求</w:t>
            </w:r>
          </w:p>
        </w:tc>
        <w:tc>
          <w:tcPr>
            <w:tcW w:w="1701" w:type="dxa"/>
            <w:tcBorders>
              <w:left w:val="single" w:color="auto" w:sz="4" w:space="0"/>
            </w:tcBorders>
            <w:shd w:val="clear" w:color="auto" w:fill="auto"/>
            <w:vAlign w:val="center"/>
          </w:tcPr>
          <w:p w14:paraId="3C7AA8C2">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违约金标准</w:t>
            </w:r>
          </w:p>
        </w:tc>
      </w:tr>
      <w:tr w14:paraId="5E21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shd w:val="clear" w:color="auto" w:fill="auto"/>
            <w:vAlign w:val="center"/>
          </w:tcPr>
          <w:p w14:paraId="670BA1A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710" w:type="dxa"/>
            <w:tcBorders>
              <w:left w:val="single" w:color="auto" w:sz="4" w:space="0"/>
            </w:tcBorders>
            <w:shd w:val="clear" w:color="auto" w:fill="auto"/>
            <w:vAlign w:val="center"/>
          </w:tcPr>
          <w:p w14:paraId="12BCFA3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任务响应</w:t>
            </w:r>
          </w:p>
        </w:tc>
        <w:tc>
          <w:tcPr>
            <w:tcW w:w="1134" w:type="dxa"/>
            <w:tcBorders>
              <w:left w:val="single" w:color="auto" w:sz="4" w:space="0"/>
            </w:tcBorders>
            <w:shd w:val="clear" w:color="auto" w:fill="auto"/>
            <w:vAlign w:val="center"/>
          </w:tcPr>
          <w:p w14:paraId="2799691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衡量乙方在需求与问题响应方面的能力</w:t>
            </w:r>
          </w:p>
        </w:tc>
        <w:tc>
          <w:tcPr>
            <w:tcW w:w="1701" w:type="dxa"/>
            <w:tcBorders>
              <w:left w:val="single" w:color="auto" w:sz="4" w:space="0"/>
            </w:tcBorders>
            <w:shd w:val="clear" w:color="auto" w:fill="auto"/>
            <w:vAlign w:val="center"/>
          </w:tcPr>
          <w:p w14:paraId="3688296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乙方在收到甲方任务后2个工作日内，向甲方反馈确认任务的实施方案、计划和工作量等</w:t>
            </w:r>
          </w:p>
        </w:tc>
        <w:tc>
          <w:tcPr>
            <w:tcW w:w="1559" w:type="dxa"/>
            <w:tcBorders>
              <w:left w:val="single" w:color="auto" w:sz="4" w:space="0"/>
            </w:tcBorders>
            <w:shd w:val="clear" w:color="auto" w:fill="auto"/>
            <w:vAlign w:val="center"/>
          </w:tcPr>
          <w:p w14:paraId="6ADC6E3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甲方应当明确任务提出时间，乙方应当向甲方发出一个确认任务响应信息</w:t>
            </w:r>
          </w:p>
        </w:tc>
        <w:tc>
          <w:tcPr>
            <w:tcW w:w="1843" w:type="dxa"/>
            <w:tcBorders>
              <w:left w:val="single" w:color="auto" w:sz="4" w:space="0"/>
            </w:tcBorders>
            <w:shd w:val="clear" w:color="auto" w:fill="auto"/>
            <w:vAlign w:val="center"/>
          </w:tcPr>
          <w:p w14:paraId="03C5A0B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乙方不得违反承诺响应时间</w:t>
            </w:r>
          </w:p>
        </w:tc>
        <w:tc>
          <w:tcPr>
            <w:tcW w:w="1701" w:type="dxa"/>
            <w:tcBorders>
              <w:left w:val="single" w:color="auto" w:sz="4" w:space="0"/>
            </w:tcBorders>
            <w:shd w:val="clear" w:color="auto" w:fill="auto"/>
            <w:vAlign w:val="center"/>
          </w:tcPr>
          <w:p w14:paraId="3517439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如违反承诺的响应时间要求，每次扣除1000元违约金</w:t>
            </w:r>
          </w:p>
        </w:tc>
      </w:tr>
      <w:tr w14:paraId="5D42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67" w:type="dxa"/>
            <w:shd w:val="clear" w:color="auto" w:fill="auto"/>
            <w:vAlign w:val="center"/>
          </w:tcPr>
          <w:p w14:paraId="668A3D4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c>
          <w:tcPr>
            <w:tcW w:w="710" w:type="dxa"/>
            <w:tcBorders>
              <w:left w:val="single" w:color="auto" w:sz="4" w:space="0"/>
            </w:tcBorders>
            <w:shd w:val="clear" w:color="auto" w:fill="auto"/>
            <w:vAlign w:val="center"/>
          </w:tcPr>
          <w:p w14:paraId="33F888C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项目延期</w:t>
            </w:r>
          </w:p>
        </w:tc>
        <w:tc>
          <w:tcPr>
            <w:tcW w:w="1134" w:type="dxa"/>
            <w:tcBorders>
              <w:left w:val="single" w:color="auto" w:sz="4" w:space="0"/>
            </w:tcBorders>
            <w:shd w:val="clear" w:color="auto" w:fill="auto"/>
            <w:vAlign w:val="center"/>
          </w:tcPr>
          <w:p w14:paraId="54B67DC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衡量乙方对项目整体实施进度的控制能力</w:t>
            </w:r>
          </w:p>
        </w:tc>
        <w:tc>
          <w:tcPr>
            <w:tcW w:w="1701" w:type="dxa"/>
            <w:tcBorders>
              <w:left w:val="single" w:color="auto" w:sz="4" w:space="0"/>
            </w:tcBorders>
            <w:shd w:val="clear" w:color="auto" w:fill="auto"/>
            <w:vAlign w:val="center"/>
          </w:tcPr>
          <w:p w14:paraId="671CCB3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乙方原因导致的项目进度偏差</w:t>
            </w:r>
          </w:p>
        </w:tc>
        <w:tc>
          <w:tcPr>
            <w:tcW w:w="1559" w:type="dxa"/>
            <w:tcBorders>
              <w:left w:val="single" w:color="auto" w:sz="4" w:space="0"/>
            </w:tcBorders>
            <w:shd w:val="clear" w:color="auto" w:fill="auto"/>
            <w:vAlign w:val="center"/>
          </w:tcPr>
          <w:p w14:paraId="6EBDB90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按项目计划为基准计算进度偏差天数（进度偏差率≤20%）</w:t>
            </w:r>
          </w:p>
        </w:tc>
        <w:tc>
          <w:tcPr>
            <w:tcW w:w="1843" w:type="dxa"/>
            <w:tcBorders>
              <w:left w:val="single" w:color="auto" w:sz="4" w:space="0"/>
            </w:tcBorders>
            <w:shd w:val="clear" w:color="auto" w:fill="auto"/>
            <w:vAlign w:val="center"/>
          </w:tcPr>
          <w:p w14:paraId="1A4BD6B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进度偏差率=进度偏差天数/项目计划中进度天数（进度偏差率≤20%）</w:t>
            </w:r>
          </w:p>
        </w:tc>
        <w:tc>
          <w:tcPr>
            <w:tcW w:w="1701" w:type="dxa"/>
            <w:tcBorders>
              <w:left w:val="single" w:color="auto" w:sz="4" w:space="0"/>
            </w:tcBorders>
            <w:shd w:val="clear" w:color="auto" w:fill="auto"/>
            <w:vAlign w:val="center"/>
          </w:tcPr>
          <w:p w14:paraId="6898B1D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20%＜进度偏差率≤30%，每偏差一天按合同总金额的0.1%计违约金，进度偏差率＞30%并且延期3个月以上，违约金为合同总金额的10%</w:t>
            </w:r>
          </w:p>
        </w:tc>
      </w:tr>
      <w:tr w14:paraId="7C63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14:paraId="3162464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c>
          <w:tcPr>
            <w:tcW w:w="710" w:type="dxa"/>
            <w:tcBorders>
              <w:left w:val="single" w:color="auto" w:sz="4" w:space="0"/>
            </w:tcBorders>
            <w:shd w:val="clear" w:color="auto" w:fill="auto"/>
            <w:vAlign w:val="center"/>
          </w:tcPr>
          <w:p w14:paraId="1BD4274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任务完成情况</w:t>
            </w:r>
          </w:p>
        </w:tc>
        <w:tc>
          <w:tcPr>
            <w:tcW w:w="1134" w:type="dxa"/>
            <w:tcBorders>
              <w:left w:val="single" w:color="auto" w:sz="4" w:space="0"/>
            </w:tcBorders>
            <w:shd w:val="clear" w:color="auto" w:fill="auto"/>
            <w:vAlign w:val="center"/>
          </w:tcPr>
          <w:p w14:paraId="08BF0354">
            <w:pPr>
              <w:widowControl/>
              <w:snapToGrid w:val="0"/>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衡量乙方按计划完成任务的能力</w:t>
            </w:r>
          </w:p>
        </w:tc>
        <w:tc>
          <w:tcPr>
            <w:tcW w:w="1701" w:type="dxa"/>
            <w:tcBorders>
              <w:left w:val="single" w:color="auto" w:sz="4" w:space="0"/>
            </w:tcBorders>
            <w:shd w:val="clear" w:color="auto" w:fill="auto"/>
            <w:vAlign w:val="center"/>
          </w:tcPr>
          <w:p w14:paraId="25A6C60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乙方应当在双方确认的时间内完成任务</w:t>
            </w:r>
          </w:p>
        </w:tc>
        <w:tc>
          <w:tcPr>
            <w:tcW w:w="1559" w:type="dxa"/>
            <w:tcBorders>
              <w:left w:val="single" w:color="auto" w:sz="4" w:space="0"/>
            </w:tcBorders>
            <w:shd w:val="clear" w:color="auto" w:fill="auto"/>
            <w:vAlign w:val="center"/>
          </w:tcPr>
          <w:p w14:paraId="77F2C042">
            <w:pPr>
              <w:widowControl/>
              <w:spacing w:line="300" w:lineRule="exact"/>
              <w:ind w:firstLine="0" w:firstLineChars="0"/>
              <w:rPr>
                <w:rFonts w:ascii="Times New Roman" w:hAnsi="Times New Roman" w:cs="Times New Roman"/>
                <w:color w:val="auto"/>
                <w:sz w:val="21"/>
                <w:szCs w:val="21"/>
                <w:highlight w:val="none"/>
              </w:rPr>
            </w:pPr>
          </w:p>
          <w:p w14:paraId="3CF8B7F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甲方标识出每一项任务完成的具体时间，对比乙方给出的任务完成计划时间</w:t>
            </w:r>
          </w:p>
        </w:tc>
        <w:tc>
          <w:tcPr>
            <w:tcW w:w="1843" w:type="dxa"/>
            <w:tcBorders>
              <w:left w:val="single" w:color="auto" w:sz="4" w:space="0"/>
            </w:tcBorders>
            <w:shd w:val="clear" w:color="auto" w:fill="auto"/>
            <w:vAlign w:val="center"/>
          </w:tcPr>
          <w:p w14:paraId="77B7D98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1.需求分析说明、概要设计、详细设计100%完成；</w:t>
            </w:r>
          </w:p>
          <w:p w14:paraId="33664F5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2.软件编码100%完成；</w:t>
            </w:r>
          </w:p>
          <w:p w14:paraId="0C3DF15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3.测试案例需求覆盖率100%，且测试案例执行率100%</w:t>
            </w:r>
          </w:p>
        </w:tc>
        <w:tc>
          <w:tcPr>
            <w:tcW w:w="1701" w:type="dxa"/>
            <w:tcBorders>
              <w:left w:val="single" w:color="auto" w:sz="4" w:space="0"/>
            </w:tcBorders>
            <w:shd w:val="clear" w:color="auto" w:fill="auto"/>
            <w:vAlign w:val="center"/>
          </w:tcPr>
          <w:p w14:paraId="31E21FC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以上三个指标之一低于90%甲方有权终止合同，追回支付款项，要求赔偿损失</w:t>
            </w:r>
          </w:p>
        </w:tc>
      </w:tr>
      <w:tr w14:paraId="0893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shd w:val="clear" w:color="auto" w:fill="auto"/>
            <w:vAlign w:val="center"/>
          </w:tcPr>
          <w:p w14:paraId="074FD46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p>
        </w:tc>
        <w:tc>
          <w:tcPr>
            <w:tcW w:w="710" w:type="dxa"/>
            <w:tcBorders>
              <w:left w:val="single" w:color="auto" w:sz="4" w:space="0"/>
            </w:tcBorders>
            <w:shd w:val="clear" w:color="auto" w:fill="auto"/>
            <w:vAlign w:val="center"/>
          </w:tcPr>
          <w:p w14:paraId="2BB979E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上线后重大质量缺陷</w:t>
            </w:r>
          </w:p>
        </w:tc>
        <w:tc>
          <w:tcPr>
            <w:tcW w:w="1134" w:type="dxa"/>
            <w:tcBorders>
              <w:left w:val="single" w:color="auto" w:sz="4" w:space="0"/>
            </w:tcBorders>
            <w:shd w:val="clear" w:color="auto" w:fill="auto"/>
            <w:vAlign w:val="center"/>
          </w:tcPr>
          <w:p w14:paraId="05C7D7E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衡量乙方在系统上线运行后的稳定性</w:t>
            </w:r>
          </w:p>
        </w:tc>
        <w:tc>
          <w:tcPr>
            <w:tcW w:w="1701" w:type="dxa"/>
            <w:tcBorders>
              <w:left w:val="single" w:color="auto" w:sz="4" w:space="0"/>
            </w:tcBorders>
            <w:shd w:val="clear" w:color="auto" w:fill="auto"/>
            <w:vAlign w:val="center"/>
          </w:tcPr>
          <w:p w14:paraId="22EF507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系统上线后不能发生较大运营中断事件和重大质量缺陷</w:t>
            </w:r>
          </w:p>
        </w:tc>
        <w:tc>
          <w:tcPr>
            <w:tcW w:w="1559" w:type="dxa"/>
            <w:tcBorders>
              <w:left w:val="single" w:color="auto" w:sz="4" w:space="0"/>
            </w:tcBorders>
            <w:shd w:val="clear" w:color="auto" w:fill="auto"/>
            <w:vAlign w:val="center"/>
          </w:tcPr>
          <w:p w14:paraId="7E3CAF1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甲方根据系统生产缺陷程度和数量判定</w:t>
            </w:r>
          </w:p>
        </w:tc>
        <w:tc>
          <w:tcPr>
            <w:tcW w:w="1843" w:type="dxa"/>
            <w:tcBorders>
              <w:left w:val="single" w:color="auto" w:sz="4" w:space="0"/>
            </w:tcBorders>
            <w:shd w:val="clear" w:color="auto" w:fill="auto"/>
            <w:vAlign w:val="center"/>
          </w:tcPr>
          <w:p w14:paraId="04BCDFC4">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1、应用软件未出现III级(含)以上的运营中断事件；</w:t>
            </w:r>
          </w:p>
          <w:p w14:paraId="68D84710">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2、应用软件未出现严重缺陷和致命缺陷；</w:t>
            </w:r>
          </w:p>
          <w:p w14:paraId="2A9ABD8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3、一般和微小缺陷逃逸率≤4.5% </w:t>
            </w:r>
          </w:p>
        </w:tc>
        <w:tc>
          <w:tcPr>
            <w:tcW w:w="1701" w:type="dxa"/>
            <w:tcBorders>
              <w:left w:val="single" w:color="auto" w:sz="4" w:space="0"/>
            </w:tcBorders>
            <w:shd w:val="clear" w:color="auto" w:fill="auto"/>
            <w:vAlign w:val="center"/>
          </w:tcPr>
          <w:p w14:paraId="2BE39C3F">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不满足该项任一标准扣除2万元违约金并要求乙方赔偿损失</w:t>
            </w:r>
          </w:p>
        </w:tc>
      </w:tr>
      <w:tr w14:paraId="46D1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67" w:type="dxa"/>
            <w:shd w:val="clear" w:color="auto" w:fill="auto"/>
            <w:vAlign w:val="center"/>
          </w:tcPr>
          <w:p w14:paraId="157C3A8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p>
        </w:tc>
        <w:tc>
          <w:tcPr>
            <w:tcW w:w="710" w:type="dxa"/>
            <w:tcBorders>
              <w:left w:val="single" w:color="auto" w:sz="4" w:space="0"/>
            </w:tcBorders>
            <w:shd w:val="clear" w:color="auto" w:fill="auto"/>
            <w:vAlign w:val="center"/>
          </w:tcPr>
          <w:p w14:paraId="40B56C8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上线后重大问题处理</w:t>
            </w:r>
          </w:p>
        </w:tc>
        <w:tc>
          <w:tcPr>
            <w:tcW w:w="1134" w:type="dxa"/>
            <w:tcBorders>
              <w:left w:val="single" w:color="auto" w:sz="4" w:space="0"/>
            </w:tcBorders>
            <w:shd w:val="clear" w:color="auto" w:fill="auto"/>
            <w:vAlign w:val="center"/>
          </w:tcPr>
          <w:p w14:paraId="1122709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衡量乙方在系统上线运行后及时处理重大问题的能力</w:t>
            </w:r>
          </w:p>
        </w:tc>
        <w:tc>
          <w:tcPr>
            <w:tcW w:w="1701" w:type="dxa"/>
            <w:tcBorders>
              <w:left w:val="single" w:color="auto" w:sz="4" w:space="0"/>
            </w:tcBorders>
            <w:shd w:val="clear" w:color="auto" w:fill="auto"/>
            <w:vAlign w:val="center"/>
          </w:tcPr>
          <w:p w14:paraId="60FA2AC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上线后遗留问题或生产缺陷解决的及时性</w:t>
            </w:r>
          </w:p>
        </w:tc>
        <w:tc>
          <w:tcPr>
            <w:tcW w:w="1559" w:type="dxa"/>
            <w:tcBorders>
              <w:left w:val="single" w:color="auto" w:sz="4" w:space="0"/>
            </w:tcBorders>
            <w:shd w:val="clear" w:color="auto" w:fill="auto"/>
            <w:vAlign w:val="center"/>
          </w:tcPr>
          <w:p w14:paraId="214D0A7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甲方根据系统上线运行后的重大问题处理情况判定</w:t>
            </w:r>
          </w:p>
        </w:tc>
        <w:tc>
          <w:tcPr>
            <w:tcW w:w="1843" w:type="dxa"/>
            <w:tcBorders>
              <w:left w:val="single" w:color="auto" w:sz="4" w:space="0"/>
            </w:tcBorders>
            <w:shd w:val="clear" w:color="auto" w:fill="auto"/>
            <w:vAlign w:val="center"/>
          </w:tcPr>
          <w:p w14:paraId="4E7BDE0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生产缺陷解决及时率=100%</w:t>
            </w:r>
          </w:p>
        </w:tc>
        <w:tc>
          <w:tcPr>
            <w:tcW w:w="1701" w:type="dxa"/>
            <w:tcBorders>
              <w:left w:val="single" w:color="auto" w:sz="4" w:space="0"/>
            </w:tcBorders>
            <w:shd w:val="clear" w:color="auto" w:fill="auto"/>
            <w:vAlign w:val="center"/>
          </w:tcPr>
          <w:p w14:paraId="235862E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重大生产缺陷、问题不能得到及时解决，每次按合同总金额的5%计违约金</w:t>
            </w:r>
          </w:p>
        </w:tc>
      </w:tr>
      <w:tr w14:paraId="024E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567" w:type="dxa"/>
            <w:shd w:val="clear" w:color="auto" w:fill="auto"/>
            <w:vAlign w:val="center"/>
          </w:tcPr>
          <w:p w14:paraId="42A76169">
            <w:pPr>
              <w:widowControl/>
              <w:snapToGrid w:val="0"/>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6</w:t>
            </w:r>
          </w:p>
        </w:tc>
        <w:tc>
          <w:tcPr>
            <w:tcW w:w="710" w:type="dxa"/>
            <w:tcBorders>
              <w:left w:val="single" w:color="auto" w:sz="4" w:space="0"/>
            </w:tcBorders>
            <w:shd w:val="clear" w:color="auto" w:fill="auto"/>
            <w:vAlign w:val="center"/>
          </w:tcPr>
          <w:p w14:paraId="447D9EA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人力资源投入及人员稳定性</w:t>
            </w:r>
          </w:p>
        </w:tc>
        <w:tc>
          <w:tcPr>
            <w:tcW w:w="1134" w:type="dxa"/>
            <w:tcBorders>
              <w:left w:val="single" w:color="auto" w:sz="4" w:space="0"/>
            </w:tcBorders>
            <w:shd w:val="clear" w:color="auto" w:fill="auto"/>
            <w:vAlign w:val="center"/>
          </w:tcPr>
          <w:p w14:paraId="6A7AED8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衡量乙方人员服务的符合度及人员稳定性</w:t>
            </w:r>
          </w:p>
        </w:tc>
        <w:tc>
          <w:tcPr>
            <w:tcW w:w="1701" w:type="dxa"/>
            <w:tcBorders>
              <w:left w:val="single" w:color="auto" w:sz="4" w:space="0"/>
            </w:tcBorders>
            <w:shd w:val="clear" w:color="auto" w:fill="auto"/>
            <w:vAlign w:val="center"/>
          </w:tcPr>
          <w:p w14:paraId="69CCE17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投入人员情况符合投标文件或合同要求，乙方项目组人员变动比例不得高于30%</w:t>
            </w:r>
          </w:p>
        </w:tc>
        <w:tc>
          <w:tcPr>
            <w:tcW w:w="1559" w:type="dxa"/>
            <w:tcBorders>
              <w:left w:val="single" w:color="auto" w:sz="4" w:space="0"/>
            </w:tcBorders>
            <w:shd w:val="clear" w:color="auto" w:fill="auto"/>
            <w:vAlign w:val="center"/>
          </w:tcPr>
          <w:p w14:paraId="5E5D7D5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甲方按合同要求判定乙方人员投入及变动情况</w:t>
            </w:r>
          </w:p>
        </w:tc>
        <w:tc>
          <w:tcPr>
            <w:tcW w:w="1843" w:type="dxa"/>
            <w:tcBorders>
              <w:left w:val="single" w:color="auto" w:sz="4" w:space="0"/>
            </w:tcBorders>
            <w:shd w:val="clear" w:color="auto" w:fill="auto"/>
            <w:vAlign w:val="center"/>
          </w:tcPr>
          <w:p w14:paraId="0C910CC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人员数量差异=承诺人数-实际人数</w:t>
            </w:r>
          </w:p>
          <w:p w14:paraId="4F50F85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人员变动率=人员变动人数/原项目组人员总人数</w:t>
            </w:r>
          </w:p>
          <w:p w14:paraId="3421957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（人员数量差异≤2；技术骨干及项目经理不得变动；技术人员变动率≤30%）</w:t>
            </w:r>
          </w:p>
        </w:tc>
        <w:tc>
          <w:tcPr>
            <w:tcW w:w="1701" w:type="dxa"/>
            <w:tcBorders>
              <w:left w:val="single" w:color="auto" w:sz="4" w:space="0"/>
            </w:tcBorders>
            <w:shd w:val="clear" w:color="auto" w:fill="auto"/>
            <w:vAlign w:val="center"/>
          </w:tcPr>
          <w:p w14:paraId="64D567B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技术骨干及项目经理变动扣除技术骨干人月单价（至少不低于3万元），技术人员变动超过30%，扣除合同总金额10%</w:t>
            </w:r>
          </w:p>
        </w:tc>
      </w:tr>
      <w:tr w14:paraId="2636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67" w:type="dxa"/>
            <w:shd w:val="clear" w:color="auto" w:fill="auto"/>
            <w:vAlign w:val="center"/>
          </w:tcPr>
          <w:p w14:paraId="7C47FC4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7</w:t>
            </w:r>
          </w:p>
        </w:tc>
        <w:tc>
          <w:tcPr>
            <w:tcW w:w="710" w:type="dxa"/>
            <w:tcBorders>
              <w:left w:val="single" w:color="auto" w:sz="4" w:space="0"/>
            </w:tcBorders>
            <w:shd w:val="clear" w:color="auto" w:fill="auto"/>
            <w:vAlign w:val="center"/>
          </w:tcPr>
          <w:p w14:paraId="6E5757B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测试人员配置</w:t>
            </w:r>
          </w:p>
        </w:tc>
        <w:tc>
          <w:tcPr>
            <w:tcW w:w="1134" w:type="dxa"/>
            <w:tcBorders>
              <w:left w:val="single" w:color="auto" w:sz="4" w:space="0"/>
            </w:tcBorders>
            <w:shd w:val="clear" w:color="auto" w:fill="auto"/>
            <w:vAlign w:val="center"/>
          </w:tcPr>
          <w:p w14:paraId="710ADA9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衡量乙方投入系统测试人员的符合度</w:t>
            </w:r>
          </w:p>
        </w:tc>
        <w:tc>
          <w:tcPr>
            <w:tcW w:w="1701" w:type="dxa"/>
            <w:tcBorders>
              <w:left w:val="single" w:color="auto" w:sz="4" w:space="0"/>
            </w:tcBorders>
            <w:shd w:val="clear" w:color="auto" w:fill="auto"/>
            <w:vAlign w:val="center"/>
          </w:tcPr>
          <w:p w14:paraId="54A5CCA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投入系统测试人员情况符合投标文件或合同要求</w:t>
            </w:r>
          </w:p>
        </w:tc>
        <w:tc>
          <w:tcPr>
            <w:tcW w:w="1559" w:type="dxa"/>
            <w:tcBorders>
              <w:left w:val="single" w:color="auto" w:sz="4" w:space="0"/>
            </w:tcBorders>
            <w:shd w:val="clear" w:color="auto" w:fill="auto"/>
            <w:vAlign w:val="center"/>
          </w:tcPr>
          <w:p w14:paraId="378FC18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甲方按照合同或标书要求判定乙方测试人员投入情况</w:t>
            </w:r>
          </w:p>
        </w:tc>
        <w:tc>
          <w:tcPr>
            <w:tcW w:w="1843" w:type="dxa"/>
            <w:tcBorders>
              <w:left w:val="single" w:color="auto" w:sz="4" w:space="0"/>
            </w:tcBorders>
            <w:shd w:val="clear" w:color="auto" w:fill="auto"/>
            <w:vAlign w:val="center"/>
          </w:tcPr>
          <w:p w14:paraId="3E40E84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人员重合率=测试人员/开发人员（人员重合率=0）</w:t>
            </w:r>
          </w:p>
        </w:tc>
        <w:tc>
          <w:tcPr>
            <w:tcW w:w="1701" w:type="dxa"/>
            <w:tcBorders>
              <w:left w:val="single" w:color="auto" w:sz="4" w:space="0"/>
            </w:tcBorders>
            <w:shd w:val="clear" w:color="auto" w:fill="auto"/>
            <w:vAlign w:val="center"/>
          </w:tcPr>
          <w:p w14:paraId="45D71B78">
            <w:pPr>
              <w:widowControl/>
              <w:spacing w:line="300" w:lineRule="exact"/>
              <w:ind w:firstLine="0" w:firstLineChars="0"/>
              <w:rPr>
                <w:rFonts w:ascii="Times New Roman" w:hAnsi="Times New Roman" w:cs="Times New Roman"/>
                <w:color w:val="auto"/>
                <w:sz w:val="21"/>
                <w:szCs w:val="21"/>
                <w:highlight w:val="none"/>
              </w:rPr>
            </w:pPr>
          </w:p>
        </w:tc>
      </w:tr>
      <w:tr w14:paraId="26BF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67" w:type="dxa"/>
            <w:shd w:val="clear" w:color="auto" w:fill="auto"/>
            <w:vAlign w:val="center"/>
          </w:tcPr>
          <w:p w14:paraId="7E1B576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8</w:t>
            </w:r>
          </w:p>
        </w:tc>
        <w:tc>
          <w:tcPr>
            <w:tcW w:w="710" w:type="dxa"/>
            <w:tcBorders>
              <w:left w:val="single" w:color="auto" w:sz="4" w:space="0"/>
            </w:tcBorders>
            <w:shd w:val="clear" w:color="auto" w:fill="auto"/>
            <w:vAlign w:val="center"/>
          </w:tcPr>
          <w:p w14:paraId="7AC9A24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人员异常退出</w:t>
            </w:r>
          </w:p>
        </w:tc>
        <w:tc>
          <w:tcPr>
            <w:tcW w:w="1134" w:type="dxa"/>
            <w:tcBorders>
              <w:left w:val="single" w:color="auto" w:sz="4" w:space="0"/>
            </w:tcBorders>
            <w:shd w:val="clear" w:color="auto" w:fill="auto"/>
            <w:vAlign w:val="center"/>
          </w:tcPr>
          <w:p w14:paraId="500AAC6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衡量乙方人员是否提供持续服务</w:t>
            </w:r>
          </w:p>
        </w:tc>
        <w:tc>
          <w:tcPr>
            <w:tcW w:w="1701" w:type="dxa"/>
            <w:tcBorders>
              <w:left w:val="single" w:color="auto" w:sz="4" w:space="0"/>
            </w:tcBorders>
            <w:shd w:val="clear" w:color="auto" w:fill="auto"/>
            <w:vAlign w:val="center"/>
          </w:tcPr>
          <w:p w14:paraId="1A2A3C1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未经甲方同意，乙方人员辞职和离职或无计划的调离项目组</w:t>
            </w:r>
          </w:p>
        </w:tc>
        <w:tc>
          <w:tcPr>
            <w:tcW w:w="1559" w:type="dxa"/>
            <w:tcBorders>
              <w:left w:val="single" w:color="auto" w:sz="4" w:space="0"/>
            </w:tcBorders>
            <w:shd w:val="clear" w:color="auto" w:fill="auto"/>
            <w:vAlign w:val="center"/>
          </w:tcPr>
          <w:p w14:paraId="11DBA20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甲方根据乙方人员退出的具体时间和原因测算</w:t>
            </w:r>
          </w:p>
        </w:tc>
        <w:tc>
          <w:tcPr>
            <w:tcW w:w="1843" w:type="dxa"/>
            <w:tcBorders>
              <w:left w:val="single" w:color="auto" w:sz="4" w:space="0"/>
            </w:tcBorders>
            <w:shd w:val="clear" w:color="auto" w:fill="auto"/>
            <w:vAlign w:val="center"/>
          </w:tcPr>
          <w:p w14:paraId="272E025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人员异常退出次数=0</w:t>
            </w:r>
          </w:p>
        </w:tc>
        <w:tc>
          <w:tcPr>
            <w:tcW w:w="1701" w:type="dxa"/>
            <w:tcBorders>
              <w:left w:val="single" w:color="auto" w:sz="4" w:space="0"/>
            </w:tcBorders>
            <w:shd w:val="clear" w:color="auto" w:fill="auto"/>
            <w:vAlign w:val="center"/>
          </w:tcPr>
          <w:p w14:paraId="745B097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每次人员异常退出扣除乙方金额人民币1000元</w:t>
            </w:r>
          </w:p>
        </w:tc>
      </w:tr>
      <w:tr w14:paraId="0C7B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14:paraId="15E3EA2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9</w:t>
            </w:r>
          </w:p>
        </w:tc>
        <w:tc>
          <w:tcPr>
            <w:tcW w:w="710" w:type="dxa"/>
            <w:tcBorders>
              <w:left w:val="single" w:color="auto" w:sz="4" w:space="0"/>
            </w:tcBorders>
            <w:shd w:val="clear" w:color="auto" w:fill="auto"/>
            <w:vAlign w:val="center"/>
          </w:tcPr>
          <w:p w14:paraId="2C6A629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人员纪律性</w:t>
            </w:r>
          </w:p>
        </w:tc>
        <w:tc>
          <w:tcPr>
            <w:tcW w:w="1134" w:type="dxa"/>
            <w:tcBorders>
              <w:left w:val="single" w:color="auto" w:sz="4" w:space="0"/>
            </w:tcBorders>
            <w:shd w:val="clear" w:color="auto" w:fill="auto"/>
            <w:vAlign w:val="center"/>
          </w:tcPr>
          <w:p w14:paraId="2345A6A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衡量乙方人员是否遵守甲方的日常规章和操作规范</w:t>
            </w:r>
          </w:p>
        </w:tc>
        <w:tc>
          <w:tcPr>
            <w:tcW w:w="1701" w:type="dxa"/>
            <w:tcBorders>
              <w:left w:val="single" w:color="auto" w:sz="4" w:space="0"/>
            </w:tcBorders>
            <w:shd w:val="clear" w:color="auto" w:fill="auto"/>
            <w:vAlign w:val="center"/>
          </w:tcPr>
          <w:p w14:paraId="0498413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乙方人员不得违反甲方的各项规章制度和操作规范</w:t>
            </w:r>
          </w:p>
        </w:tc>
        <w:tc>
          <w:tcPr>
            <w:tcW w:w="1559" w:type="dxa"/>
            <w:tcBorders>
              <w:left w:val="single" w:color="auto" w:sz="4" w:space="0"/>
            </w:tcBorders>
            <w:shd w:val="clear" w:color="auto" w:fill="auto"/>
            <w:vAlign w:val="center"/>
          </w:tcPr>
          <w:p w14:paraId="7A880F7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甲方根据自身检查及其他管理部门的检查结果为依据统计乙方人员违规次数。</w:t>
            </w:r>
          </w:p>
        </w:tc>
        <w:tc>
          <w:tcPr>
            <w:tcW w:w="1843" w:type="dxa"/>
            <w:tcBorders>
              <w:left w:val="single" w:color="auto" w:sz="4" w:space="0"/>
            </w:tcBorders>
            <w:shd w:val="clear" w:color="auto" w:fill="auto"/>
            <w:vAlign w:val="center"/>
          </w:tcPr>
          <w:p w14:paraId="303F226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人员违规次数=0次</w:t>
            </w:r>
          </w:p>
        </w:tc>
        <w:tc>
          <w:tcPr>
            <w:tcW w:w="1701" w:type="dxa"/>
            <w:tcBorders>
              <w:left w:val="single" w:color="auto" w:sz="4" w:space="0"/>
            </w:tcBorders>
            <w:shd w:val="clear" w:color="auto" w:fill="auto"/>
            <w:vAlign w:val="center"/>
          </w:tcPr>
          <w:p w14:paraId="16E1FC0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乙方人员违反甲方规章制度或操作规范，每次扣除乙方金额人民币500元</w:t>
            </w:r>
          </w:p>
        </w:tc>
      </w:tr>
      <w:tr w14:paraId="1792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14:paraId="1B5AC76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10</w:t>
            </w:r>
          </w:p>
        </w:tc>
        <w:tc>
          <w:tcPr>
            <w:tcW w:w="710" w:type="dxa"/>
            <w:tcBorders>
              <w:left w:val="single" w:color="auto" w:sz="4" w:space="0"/>
            </w:tcBorders>
            <w:shd w:val="clear" w:color="auto" w:fill="auto"/>
            <w:vAlign w:val="center"/>
          </w:tcPr>
          <w:p w14:paraId="6166ABA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安全管理</w:t>
            </w:r>
          </w:p>
        </w:tc>
        <w:tc>
          <w:tcPr>
            <w:tcW w:w="1134" w:type="dxa"/>
            <w:tcBorders>
              <w:left w:val="single" w:color="auto" w:sz="4" w:space="0"/>
            </w:tcBorders>
            <w:shd w:val="clear" w:color="auto" w:fill="auto"/>
            <w:vAlign w:val="center"/>
          </w:tcPr>
          <w:p w14:paraId="548D673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衡量乙方网络和信息安全服务的管理能力</w:t>
            </w:r>
          </w:p>
        </w:tc>
        <w:tc>
          <w:tcPr>
            <w:tcW w:w="1701" w:type="dxa"/>
            <w:tcBorders>
              <w:left w:val="single" w:color="auto" w:sz="4" w:space="0"/>
            </w:tcBorders>
            <w:shd w:val="clear" w:color="auto" w:fill="auto"/>
            <w:vAlign w:val="center"/>
          </w:tcPr>
          <w:p w14:paraId="19CB24B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针对发现的安全漏洞及安全缺陷（包括源代码、第三方SDK或第三方小程序、第三方软件产品及开源组件等），须按甲方要求完成整改。</w:t>
            </w:r>
          </w:p>
        </w:tc>
        <w:tc>
          <w:tcPr>
            <w:tcW w:w="1559" w:type="dxa"/>
            <w:tcBorders>
              <w:left w:val="single" w:color="auto" w:sz="4" w:space="0"/>
            </w:tcBorders>
            <w:shd w:val="clear" w:color="auto" w:fill="auto"/>
            <w:vAlign w:val="center"/>
          </w:tcPr>
          <w:p w14:paraId="10EACCC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甲方根据整改情况统计整改及时性及整改通过率。</w:t>
            </w:r>
          </w:p>
        </w:tc>
        <w:tc>
          <w:tcPr>
            <w:tcW w:w="1843" w:type="dxa"/>
            <w:tcBorders>
              <w:left w:val="single" w:color="auto" w:sz="4" w:space="0"/>
            </w:tcBorders>
            <w:shd w:val="clear" w:color="auto" w:fill="auto"/>
            <w:vAlign w:val="center"/>
          </w:tcPr>
          <w:p w14:paraId="2A85726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互联网或电子银行类系统：</w:t>
            </w:r>
          </w:p>
          <w:p w14:paraId="6C08CA8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1.安全漏洞及安全缺陷整改及时率=100%</w:t>
            </w:r>
          </w:p>
          <w:p w14:paraId="26B363C2">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2.安全漏洞及安全缺陷整改通过率=100%</w:t>
            </w:r>
          </w:p>
          <w:p w14:paraId="546B2CC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非互联网或电子银行类系统：</w:t>
            </w:r>
          </w:p>
          <w:p w14:paraId="333CEC1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1.中高危安全漏洞及安全缺陷整改及时率=100%</w:t>
            </w:r>
          </w:p>
          <w:p w14:paraId="59A57DC8">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2.中高危安全漏洞及安全缺陷整改通过率=100%</w:t>
            </w:r>
          </w:p>
        </w:tc>
        <w:tc>
          <w:tcPr>
            <w:tcW w:w="1701" w:type="dxa"/>
            <w:tcBorders>
              <w:left w:val="single" w:color="auto" w:sz="4" w:space="0"/>
            </w:tcBorders>
            <w:shd w:val="clear" w:color="auto" w:fill="auto"/>
            <w:vAlign w:val="center"/>
          </w:tcPr>
          <w:p w14:paraId="53F1596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不满足该项任一标准扣除2万元违约金并要求乙方赔偿损失</w:t>
            </w:r>
          </w:p>
        </w:tc>
      </w:tr>
      <w:tr w14:paraId="2D06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14:paraId="0AD3281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11</w:t>
            </w:r>
          </w:p>
        </w:tc>
        <w:tc>
          <w:tcPr>
            <w:tcW w:w="710" w:type="dxa"/>
            <w:tcBorders>
              <w:left w:val="single" w:color="auto" w:sz="4" w:space="0"/>
            </w:tcBorders>
            <w:shd w:val="clear" w:color="auto" w:fill="auto"/>
            <w:vAlign w:val="center"/>
          </w:tcPr>
          <w:p w14:paraId="285E920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网络安全事件</w:t>
            </w:r>
          </w:p>
        </w:tc>
        <w:tc>
          <w:tcPr>
            <w:tcW w:w="1134" w:type="dxa"/>
            <w:tcBorders>
              <w:left w:val="single" w:color="auto" w:sz="4" w:space="0"/>
            </w:tcBorders>
            <w:shd w:val="clear" w:color="auto" w:fill="auto"/>
            <w:vAlign w:val="center"/>
          </w:tcPr>
          <w:p w14:paraId="5D223C1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控制网络安全风险</w:t>
            </w:r>
          </w:p>
        </w:tc>
        <w:tc>
          <w:tcPr>
            <w:tcW w:w="1701" w:type="dxa"/>
            <w:tcBorders>
              <w:left w:val="single" w:color="auto" w:sz="4" w:space="0"/>
            </w:tcBorders>
            <w:shd w:val="clear" w:color="auto" w:fill="auto"/>
            <w:vAlign w:val="center"/>
          </w:tcPr>
          <w:p w14:paraId="2899CE7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不得因乙方原因（含乙方合作的第三方）导致甲方发生网络安全事件</w:t>
            </w:r>
          </w:p>
        </w:tc>
        <w:tc>
          <w:tcPr>
            <w:tcW w:w="1559" w:type="dxa"/>
            <w:tcBorders>
              <w:left w:val="single" w:color="auto" w:sz="4" w:space="0"/>
            </w:tcBorders>
            <w:shd w:val="clear" w:color="auto" w:fill="auto"/>
            <w:vAlign w:val="center"/>
          </w:tcPr>
          <w:p w14:paraId="1D5B58C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甲方根据监管和要求及事件危害程度判定。</w:t>
            </w:r>
          </w:p>
        </w:tc>
        <w:tc>
          <w:tcPr>
            <w:tcW w:w="1843" w:type="dxa"/>
            <w:tcBorders>
              <w:left w:val="single" w:color="auto" w:sz="4" w:space="0"/>
            </w:tcBorders>
            <w:shd w:val="clear" w:color="auto" w:fill="auto"/>
            <w:vAlign w:val="center"/>
          </w:tcPr>
          <w:p w14:paraId="62812B7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网络安全事件=0</w:t>
            </w:r>
          </w:p>
        </w:tc>
        <w:tc>
          <w:tcPr>
            <w:tcW w:w="1701" w:type="dxa"/>
            <w:tcBorders>
              <w:left w:val="single" w:color="auto" w:sz="4" w:space="0"/>
            </w:tcBorders>
            <w:shd w:val="clear" w:color="auto" w:fill="auto"/>
            <w:vAlign w:val="center"/>
          </w:tcPr>
          <w:p w14:paraId="7594884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每发生一次网络安全事件扣除乙方合同金额不低于3%,并要求乙方赔偿实际损失。</w:t>
            </w:r>
          </w:p>
        </w:tc>
      </w:tr>
      <w:tr w14:paraId="7F83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567" w:type="dxa"/>
            <w:shd w:val="clear" w:color="auto" w:fill="auto"/>
            <w:vAlign w:val="center"/>
          </w:tcPr>
          <w:p w14:paraId="3D83DCD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12</w:t>
            </w:r>
          </w:p>
        </w:tc>
        <w:tc>
          <w:tcPr>
            <w:tcW w:w="710" w:type="dxa"/>
            <w:tcBorders>
              <w:left w:val="single" w:color="auto" w:sz="4" w:space="0"/>
            </w:tcBorders>
            <w:shd w:val="clear" w:color="auto" w:fill="auto"/>
            <w:vAlign w:val="center"/>
          </w:tcPr>
          <w:p w14:paraId="439374A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外包安全事件</w:t>
            </w:r>
          </w:p>
        </w:tc>
        <w:tc>
          <w:tcPr>
            <w:tcW w:w="1134" w:type="dxa"/>
            <w:tcBorders>
              <w:left w:val="single" w:color="auto" w:sz="4" w:space="0"/>
            </w:tcBorders>
            <w:shd w:val="clear" w:color="auto" w:fill="auto"/>
            <w:vAlign w:val="center"/>
          </w:tcPr>
          <w:p w14:paraId="05ABEB6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控制外包操作风险</w:t>
            </w:r>
          </w:p>
        </w:tc>
        <w:tc>
          <w:tcPr>
            <w:tcW w:w="1701" w:type="dxa"/>
            <w:tcBorders>
              <w:left w:val="single" w:color="auto" w:sz="4" w:space="0"/>
            </w:tcBorders>
            <w:shd w:val="clear" w:color="auto" w:fill="auto"/>
            <w:vAlign w:val="center"/>
          </w:tcPr>
          <w:p w14:paraId="19D5D83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乙方不得出现危害甲方生产运行安全、数据安全等并造成后果的外包安全事件。</w:t>
            </w:r>
          </w:p>
        </w:tc>
        <w:tc>
          <w:tcPr>
            <w:tcW w:w="1559" w:type="dxa"/>
            <w:tcBorders>
              <w:left w:val="single" w:color="auto" w:sz="4" w:space="0"/>
            </w:tcBorders>
            <w:shd w:val="clear" w:color="auto" w:fill="auto"/>
            <w:vAlign w:val="center"/>
          </w:tcPr>
          <w:p w14:paraId="6FFEF96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left w:val="single" w:color="auto" w:sz="4" w:space="0"/>
            </w:tcBorders>
            <w:shd w:val="clear" w:color="auto" w:fill="auto"/>
            <w:vAlign w:val="center"/>
          </w:tcPr>
          <w:p w14:paraId="306A278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外包安全事件=0</w:t>
            </w:r>
          </w:p>
        </w:tc>
        <w:tc>
          <w:tcPr>
            <w:tcW w:w="1701" w:type="dxa"/>
            <w:tcBorders>
              <w:left w:val="single" w:color="auto" w:sz="4" w:space="0"/>
            </w:tcBorders>
            <w:shd w:val="clear" w:color="auto" w:fill="auto"/>
            <w:vAlign w:val="center"/>
          </w:tcPr>
          <w:p w14:paraId="23F9F1D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每次事件扣罚乙方金额不低于人民币1000元，并要求乙方赔偿实际损失。</w:t>
            </w:r>
          </w:p>
        </w:tc>
      </w:tr>
      <w:tr w14:paraId="2529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67" w:type="dxa"/>
            <w:shd w:val="clear" w:color="auto" w:fill="auto"/>
            <w:vAlign w:val="center"/>
          </w:tcPr>
          <w:p w14:paraId="470482F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13</w:t>
            </w:r>
          </w:p>
        </w:tc>
        <w:tc>
          <w:tcPr>
            <w:tcW w:w="710" w:type="dxa"/>
            <w:tcBorders>
              <w:left w:val="single" w:color="auto" w:sz="4" w:space="0"/>
            </w:tcBorders>
            <w:shd w:val="clear" w:color="auto" w:fill="auto"/>
            <w:vAlign w:val="center"/>
          </w:tcPr>
          <w:p w14:paraId="6805FA8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交付文档数量及质量</w:t>
            </w:r>
          </w:p>
        </w:tc>
        <w:tc>
          <w:tcPr>
            <w:tcW w:w="1134" w:type="dxa"/>
            <w:tcBorders>
              <w:left w:val="single" w:color="auto" w:sz="4" w:space="0"/>
            </w:tcBorders>
            <w:shd w:val="clear" w:color="auto" w:fill="auto"/>
            <w:vAlign w:val="center"/>
          </w:tcPr>
          <w:p w14:paraId="4F81B0E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衡量甲方内部人员对乙方所提供文档的满意情况</w:t>
            </w:r>
          </w:p>
        </w:tc>
        <w:tc>
          <w:tcPr>
            <w:tcW w:w="1701" w:type="dxa"/>
            <w:tcBorders>
              <w:left w:val="single" w:color="auto" w:sz="4" w:space="0"/>
            </w:tcBorders>
            <w:shd w:val="clear" w:color="auto" w:fill="auto"/>
            <w:vAlign w:val="center"/>
          </w:tcPr>
          <w:p w14:paraId="40DDA5F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交付文档数量及质量满足甲方要求</w:t>
            </w:r>
          </w:p>
        </w:tc>
        <w:tc>
          <w:tcPr>
            <w:tcW w:w="1559" w:type="dxa"/>
            <w:tcBorders>
              <w:left w:val="single" w:color="auto" w:sz="4" w:space="0"/>
            </w:tcBorders>
            <w:shd w:val="clear" w:color="auto" w:fill="auto"/>
            <w:vAlign w:val="center"/>
          </w:tcPr>
          <w:p w14:paraId="7DA22D7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甲方根据乙方实际交付的文档数量及文档质量计算</w:t>
            </w:r>
          </w:p>
        </w:tc>
        <w:tc>
          <w:tcPr>
            <w:tcW w:w="1843" w:type="dxa"/>
            <w:tcBorders>
              <w:left w:val="single" w:color="auto" w:sz="4" w:space="0"/>
            </w:tcBorders>
            <w:shd w:val="clear" w:color="auto" w:fill="auto"/>
            <w:vAlign w:val="center"/>
          </w:tcPr>
          <w:p w14:paraId="42BA662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文档实际交付数量不少于甲方要求数量（文档实际交付数量是指文档交付甲方后甲方确认文档质量并实际接收的文档数量）</w:t>
            </w:r>
          </w:p>
        </w:tc>
        <w:tc>
          <w:tcPr>
            <w:tcW w:w="1701" w:type="dxa"/>
            <w:tcBorders>
              <w:left w:val="single" w:color="auto" w:sz="4" w:space="0"/>
            </w:tcBorders>
            <w:shd w:val="clear" w:color="auto" w:fill="auto"/>
            <w:vAlign w:val="center"/>
          </w:tcPr>
          <w:p w14:paraId="2CAC1C6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文档每缺少一个扣除合同金额2000元；每有一个文档质量不合格扣除合同金额2000元</w:t>
            </w:r>
          </w:p>
        </w:tc>
      </w:tr>
      <w:tr w14:paraId="0093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67" w:type="dxa"/>
            <w:shd w:val="clear" w:color="auto" w:fill="auto"/>
            <w:vAlign w:val="center"/>
          </w:tcPr>
          <w:p w14:paraId="3B21A8B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14</w:t>
            </w:r>
          </w:p>
        </w:tc>
        <w:tc>
          <w:tcPr>
            <w:tcW w:w="710" w:type="dxa"/>
            <w:tcBorders>
              <w:left w:val="single" w:color="auto" w:sz="4" w:space="0"/>
            </w:tcBorders>
            <w:shd w:val="clear" w:color="auto" w:fill="auto"/>
            <w:vAlign w:val="center"/>
          </w:tcPr>
          <w:p w14:paraId="3C9BC0F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服务满意度</w:t>
            </w:r>
          </w:p>
        </w:tc>
        <w:tc>
          <w:tcPr>
            <w:tcW w:w="1134" w:type="dxa"/>
            <w:tcBorders>
              <w:left w:val="single" w:color="auto" w:sz="4" w:space="0"/>
            </w:tcBorders>
            <w:shd w:val="clear" w:color="auto" w:fill="auto"/>
            <w:vAlign w:val="center"/>
          </w:tcPr>
          <w:p w14:paraId="2FD02B9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衡量甲方内部人员对乙方所提供服务的满意情况</w:t>
            </w:r>
          </w:p>
        </w:tc>
        <w:tc>
          <w:tcPr>
            <w:tcW w:w="1701" w:type="dxa"/>
            <w:tcBorders>
              <w:left w:val="single" w:color="auto" w:sz="4" w:space="0"/>
            </w:tcBorders>
            <w:shd w:val="clear" w:color="auto" w:fill="auto"/>
            <w:vAlign w:val="center"/>
          </w:tcPr>
          <w:p w14:paraId="7BAC681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服务满意度指标</w:t>
            </w:r>
          </w:p>
        </w:tc>
        <w:tc>
          <w:tcPr>
            <w:tcW w:w="1559" w:type="dxa"/>
            <w:tcBorders>
              <w:left w:val="single" w:color="auto" w:sz="4" w:space="0"/>
            </w:tcBorders>
            <w:shd w:val="clear" w:color="auto" w:fill="auto"/>
            <w:vAlign w:val="center"/>
          </w:tcPr>
          <w:p w14:paraId="704AE43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服务满意度评级判定</w:t>
            </w:r>
          </w:p>
        </w:tc>
        <w:tc>
          <w:tcPr>
            <w:tcW w:w="1843" w:type="dxa"/>
            <w:tcBorders>
              <w:left w:val="single" w:color="auto" w:sz="4" w:space="0"/>
            </w:tcBorders>
            <w:shd w:val="clear" w:color="auto" w:fill="auto"/>
            <w:vAlign w:val="center"/>
          </w:tcPr>
          <w:p w14:paraId="13109C5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客户满意度级别为：1级（非常不满意）；2级（不满意）；3级（一般满意）；4级（满意）；5级（非常满意）（服务满意不低于3级）</w:t>
            </w:r>
          </w:p>
        </w:tc>
        <w:tc>
          <w:tcPr>
            <w:tcW w:w="1701" w:type="dxa"/>
            <w:tcBorders>
              <w:left w:val="single" w:color="auto" w:sz="4" w:space="0"/>
            </w:tcBorders>
            <w:shd w:val="clear" w:color="auto" w:fill="auto"/>
            <w:vAlign w:val="center"/>
          </w:tcPr>
          <w:p w14:paraId="1B0DAEF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w:t>
            </w:r>
          </w:p>
        </w:tc>
      </w:tr>
      <w:tr w14:paraId="742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567" w:type="dxa"/>
            <w:shd w:val="clear" w:color="auto" w:fill="auto"/>
            <w:noWrap/>
            <w:vAlign w:val="center"/>
          </w:tcPr>
          <w:p w14:paraId="6193ADD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合计</w:t>
            </w:r>
          </w:p>
        </w:tc>
        <w:tc>
          <w:tcPr>
            <w:tcW w:w="710" w:type="dxa"/>
            <w:tcBorders>
              <w:left w:val="single" w:color="auto" w:sz="4" w:space="0"/>
            </w:tcBorders>
            <w:shd w:val="clear" w:color="auto" w:fill="auto"/>
            <w:noWrap/>
            <w:vAlign w:val="center"/>
          </w:tcPr>
          <w:p w14:paraId="6790412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SLA满足率</w:t>
            </w:r>
          </w:p>
        </w:tc>
        <w:tc>
          <w:tcPr>
            <w:tcW w:w="1134" w:type="dxa"/>
            <w:tcBorders>
              <w:left w:val="single" w:color="auto" w:sz="4" w:space="0"/>
            </w:tcBorders>
            <w:shd w:val="clear" w:color="auto" w:fill="auto"/>
            <w:noWrap/>
            <w:vAlign w:val="center"/>
          </w:tcPr>
          <w:p w14:paraId="4F95A98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此数据是衡量满足要求的SLA个数与整体SLA个数的百分之整体的比率</w:t>
            </w:r>
          </w:p>
        </w:tc>
        <w:tc>
          <w:tcPr>
            <w:tcW w:w="1701" w:type="dxa"/>
            <w:tcBorders>
              <w:left w:val="single" w:color="auto" w:sz="4" w:space="0"/>
            </w:tcBorders>
            <w:shd w:val="clear" w:color="auto" w:fill="auto"/>
            <w:noWrap/>
            <w:vAlign w:val="center"/>
          </w:tcPr>
          <w:p w14:paraId="7784738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衡量乙方达到要求的SLA占全部SLA的百分比。</w:t>
            </w:r>
          </w:p>
        </w:tc>
        <w:tc>
          <w:tcPr>
            <w:tcW w:w="1559" w:type="dxa"/>
            <w:tcBorders>
              <w:left w:val="single" w:color="auto" w:sz="4" w:space="0"/>
            </w:tcBorders>
            <w:shd w:val="clear" w:color="auto" w:fill="auto"/>
            <w:noWrap/>
            <w:vAlign w:val="center"/>
          </w:tcPr>
          <w:p w14:paraId="092D026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为了这个度量报告，需要持续汇报SOW中所有SLA情况。</w:t>
            </w:r>
          </w:p>
        </w:tc>
        <w:tc>
          <w:tcPr>
            <w:tcW w:w="1843" w:type="dxa"/>
            <w:tcBorders>
              <w:left w:val="single" w:color="auto" w:sz="4" w:space="0"/>
            </w:tcBorders>
            <w:shd w:val="clear" w:color="auto" w:fill="auto"/>
            <w:noWrap/>
            <w:vAlign w:val="center"/>
          </w:tcPr>
          <w:p w14:paraId="36F18D2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SLA满足率＝（满足SLA的个数/总体SLA的个数）×100%（SLA满足率≥70%）</w:t>
            </w:r>
          </w:p>
        </w:tc>
        <w:tc>
          <w:tcPr>
            <w:tcW w:w="1701" w:type="dxa"/>
            <w:tcBorders>
              <w:left w:val="single" w:color="auto" w:sz="4" w:space="0"/>
            </w:tcBorders>
            <w:shd w:val="clear" w:color="auto" w:fill="auto"/>
            <w:noWrap/>
            <w:vAlign w:val="center"/>
          </w:tcPr>
          <w:p w14:paraId="679AC26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SLA满足率每低于标准5%，扣除合同总金额的1%</w:t>
            </w:r>
          </w:p>
        </w:tc>
      </w:tr>
    </w:tbl>
    <w:p w14:paraId="40239E11">
      <w:pPr>
        <w:pStyle w:val="32"/>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13294F80">
      <w:pPr>
        <w:pStyle w:val="32"/>
        <w:rPr>
          <w:rFonts w:hint="eastAsia" w:ascii="Times New Roman" w:hAnsi="Times New Roman" w:eastAsia="宋体"/>
          <w:color w:val="auto"/>
          <w:highlight w:val="none"/>
          <w:lang w:eastAsia="zh-CN"/>
        </w:rPr>
      </w:pPr>
      <w:bookmarkStart w:id="656" w:name="_Toc10956"/>
      <w:bookmarkStart w:id="657" w:name="_Toc10557"/>
      <w:r>
        <w:rPr>
          <w:rFonts w:ascii="Times New Roman" w:hAnsi="Times New Roman"/>
          <w:color w:val="auto"/>
          <w:highlight w:val="none"/>
        </w:rPr>
        <w:t>七、其他</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如有</w:t>
      </w:r>
      <w:r>
        <w:rPr>
          <w:rFonts w:hint="eastAsia" w:ascii="Times New Roman" w:hAnsi="Times New Roman"/>
          <w:color w:val="auto"/>
          <w:highlight w:val="none"/>
          <w:lang w:eastAsia="zh-CN"/>
        </w:rPr>
        <w:t>）</w:t>
      </w:r>
      <w:bookmarkEnd w:id="656"/>
      <w:bookmarkEnd w:id="657"/>
    </w:p>
    <w:p w14:paraId="46C88AF8">
      <w:pPr>
        <w:snapToGrid/>
        <w:spacing w:line="240" w:lineRule="auto"/>
        <w:ind w:firstLine="0" w:firstLineChars="0"/>
        <w:rPr>
          <w:color w:val="auto"/>
          <w:highlight w:val="none"/>
        </w:rPr>
      </w:pPr>
    </w:p>
    <w:p w14:paraId="2BEE000B">
      <w:pPr>
        <w:rPr>
          <w:rFonts w:ascii="Times New Roman" w:hAnsi="Times New Roman"/>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6DE9">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4297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E4297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66DD">
    <w:pPr>
      <w:pStyle w:val="1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55244" cy="380998"/>
                      </a:xfrm>
                      <a:prstGeom prst="rect">
                        <a:avLst/>
                      </a:prstGeom>
                      <a:noFill/>
                      <a:ln w="6350" cap="flat" cmpd="sng">
                        <a:noFill/>
                        <a:prstDash val="solid"/>
                        <a:round/>
                      </a:ln>
                    </wps:spPr>
                    <wps:txbx>
                      <w:txbxContent>
                        <w:p w14:paraId="21FC047C">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B4l7JUFAgAA9AMAAA4AAAAAAAAAAQAgAAAAJgEA&#10;AGRycy9lMm9Eb2MueG1sUEsFBgAAAAAGAAYAWQEAAJ0FAAAAAA==&#10;">
              <v:fill on="f" focussize="0,0"/>
              <v:stroke on="f" weight="0.5pt" joinstyle="round"/>
              <v:imagedata o:title=""/>
              <o:lock v:ext="edit" aspectratio="f"/>
              <v:textbox inset="0mm,0mm,0mm,0mm" style="mso-fit-shape-to-text:t;">
                <w:txbxContent>
                  <w:p w14:paraId="21FC047C">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23A0">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6A7C2">
                          <w:pPr>
                            <w:pStyle w:val="1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86A7C2">
                    <w:pPr>
                      <w:pStyle w:val="1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0D91">
    <w:pPr>
      <w:pStyle w:val="17"/>
      <w:framePr w:wrap="around" w:vAnchor="text" w:hAnchor="margin" w:xAlign="center" w:y="1"/>
      <w:rPr>
        <w:rStyle w:val="28"/>
      </w:rPr>
    </w:pPr>
    <w:r>
      <w:rPr>
        <w:rStyle w:val="28"/>
      </w:rPr>
      <w:fldChar w:fldCharType="begin"/>
    </w:r>
    <w:r>
      <w:rPr>
        <w:rStyle w:val="28"/>
      </w:rPr>
      <w:instrText xml:space="preserve">PAGE  </w:instrText>
    </w:r>
    <w:r>
      <w:fldChar w:fldCharType="separate"/>
    </w:r>
    <w:r>
      <w:t xml:space="preserve"> </w:t>
    </w:r>
    <w:r>
      <w:fldChar w:fldCharType="end"/>
    </w:r>
  </w:p>
  <w:p w14:paraId="34EF53DC">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881A5">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C677">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0FC4">
    <w:pPr>
      <w:pStyle w:val="18"/>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3">
    <w:nsid w:val="1D5C0F16"/>
    <w:multiLevelType w:val="singleLevel"/>
    <w:tmpl w:val="1D5C0F16"/>
    <w:lvl w:ilvl="0" w:tentative="0">
      <w:start w:val="1"/>
      <w:numFmt w:val="decimal"/>
      <w:lvlText w:val="%1."/>
      <w:lvlJc w:val="left"/>
      <w:pPr>
        <w:ind w:left="1440" w:hanging="360"/>
      </w:pPr>
    </w:lvl>
  </w:abstractNum>
  <w:abstractNum w:abstractNumId="4">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5">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4A40A52"/>
    <w:rsid w:val="0ED334E1"/>
    <w:rsid w:val="101A5BB5"/>
    <w:rsid w:val="2BF854B1"/>
    <w:rsid w:val="35012737"/>
    <w:rsid w:val="36DD498F"/>
    <w:rsid w:val="38A73358"/>
    <w:rsid w:val="43842BC6"/>
    <w:rsid w:val="55203A36"/>
    <w:rsid w:val="57F75A8E"/>
    <w:rsid w:val="58371210"/>
    <w:rsid w:val="5D62171F"/>
    <w:rsid w:val="60C03693"/>
    <w:rsid w:val="643A5E7D"/>
    <w:rsid w:val="6B3C600C"/>
    <w:rsid w:val="6C8B53A2"/>
    <w:rsid w:val="70706CCF"/>
    <w:rsid w:val="71D66220"/>
    <w:rsid w:val="79B121CA"/>
    <w:rsid w:val="7B8D6802"/>
    <w:rsid w:val="7BBF6A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link w:val="43"/>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link w:val="44"/>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4">
    <w:name w:val="heading 3"/>
    <w:basedOn w:val="1"/>
    <w:next w:val="1"/>
    <w:link w:val="45"/>
    <w:autoRedefine/>
    <w:unhideWhenUsed/>
    <w:qFormat/>
    <w:uiPriority w:val="9"/>
    <w:pPr>
      <w:keepNext w:val="0"/>
      <w:keepLines w:val="0"/>
      <w:spacing w:before="0" w:after="0" w:line="600" w:lineRule="exact"/>
      <w:outlineLvl w:val="2"/>
    </w:pPr>
    <w:rPr>
      <w:rFonts w:eastAsia="宋体"/>
      <w:b/>
      <w:bCs/>
      <w:szCs w:val="32"/>
    </w:rPr>
  </w:style>
  <w:style w:type="paragraph" w:styleId="5">
    <w:name w:val="heading 4"/>
    <w:basedOn w:val="1"/>
    <w:next w:val="1"/>
    <w:link w:val="42"/>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paragraph" w:styleId="6">
    <w:name w:val="heading 5"/>
    <w:basedOn w:val="1"/>
    <w:next w:val="1"/>
    <w:link w:val="47"/>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6">
    <w:name w:val="Default Paragraph Font"/>
    <w:autoRedefine/>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Body Text Indent"/>
    <w:basedOn w:val="1"/>
    <w:qFormat/>
    <w:uiPriority w:val="0"/>
    <w:pPr>
      <w:spacing w:after="120" w:afterLines="0" w:afterAutospacing="0"/>
      <w:ind w:left="420" w:leftChars="200"/>
    </w:pPr>
  </w:style>
  <w:style w:type="paragraph" w:styleId="11">
    <w:name w:val="toc 5"/>
    <w:basedOn w:val="1"/>
    <w:next w:val="1"/>
    <w:qFormat/>
    <w:uiPriority w:val="0"/>
    <w:pPr>
      <w:ind w:left="1680" w:leftChars="8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afterLines="0" w:afterAutospacing="0" w:line="480" w:lineRule="auto"/>
      <w:ind w:left="420" w:leftChars="200"/>
    </w:pPr>
  </w:style>
  <w:style w:type="paragraph" w:styleId="16">
    <w:name w:val="Balloon Text"/>
    <w:basedOn w:val="1"/>
    <w:qFormat/>
    <w:uiPriority w:val="0"/>
    <w:rPr>
      <w:sz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index 7"/>
    <w:basedOn w:val="1"/>
    <w:next w:val="1"/>
    <w:qFormat/>
    <w:uiPriority w:val="0"/>
    <w:pPr>
      <w:ind w:left="1200" w:leftChars="1200"/>
    </w:pPr>
  </w:style>
  <w:style w:type="paragraph" w:styleId="22">
    <w:name w:val="toc 2"/>
    <w:basedOn w:val="1"/>
    <w:next w:val="1"/>
    <w:qFormat/>
    <w:uiPriority w:val="0"/>
    <w:pPr>
      <w:ind w:left="420" w:leftChars="200"/>
    </w:pPr>
  </w:style>
  <w:style w:type="paragraph" w:styleId="23">
    <w:name w:val="annotation subject"/>
    <w:basedOn w:val="8"/>
    <w:next w:val="8"/>
    <w:qFormat/>
    <w:uiPriority w:val="0"/>
    <w:rPr>
      <w:b/>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styleId="30">
    <w:name w:val="annotation reference"/>
    <w:basedOn w:val="26"/>
    <w:qFormat/>
    <w:uiPriority w:val="0"/>
    <w:rPr>
      <w:sz w:val="21"/>
    </w:rPr>
  </w:style>
  <w:style w:type="character" w:customStyle="1" w:styleId="31">
    <w:name w:val="heading 5 Char"/>
    <w:link w:val="6"/>
    <w:autoRedefine/>
    <w:qFormat/>
    <w:uiPriority w:val="0"/>
    <w:rPr>
      <w:rFonts w:eastAsia="宋体"/>
      <w:b/>
      <w:sz w:val="28"/>
    </w:rPr>
  </w:style>
  <w:style w:type="paragraph" w:customStyle="1" w:styleId="32">
    <w:name w:val="参选文件格式1"/>
    <w:basedOn w:val="1"/>
    <w:next w:val="1"/>
    <w:link w:val="48"/>
    <w:autoRedefine/>
    <w:qFormat/>
    <w:uiPriority w:val="0"/>
    <w:pPr>
      <w:spacing w:line="360" w:lineRule="auto"/>
      <w:ind w:firstLine="0" w:firstLineChars="0"/>
      <w:jc w:val="center"/>
      <w:outlineLvl w:val="1"/>
    </w:pPr>
    <w:rPr>
      <w:rFonts w:hint="eastAsia" w:eastAsia="宋体"/>
      <w:b/>
      <w:sz w:val="28"/>
    </w:rPr>
  </w:style>
  <w:style w:type="paragraph" w:customStyle="1" w:styleId="33">
    <w:name w:val="参选文件格式2"/>
    <w:basedOn w:val="1"/>
    <w:next w:val="1"/>
    <w:link w:val="49"/>
    <w:autoRedefine/>
    <w:qFormat/>
    <w:uiPriority w:val="0"/>
    <w:pPr>
      <w:ind w:firstLine="0" w:firstLineChars="0"/>
      <w:jc w:val="center"/>
      <w:outlineLvl w:val="2"/>
    </w:pPr>
    <w:rPr>
      <w:rFonts w:eastAsia="宋体"/>
      <w:bCs/>
      <w:szCs w:val="32"/>
    </w:rPr>
  </w:style>
  <w:style w:type="paragraph" w:customStyle="1" w:styleId="34">
    <w:name w:val="参选文件格式3"/>
    <w:basedOn w:val="1"/>
    <w:link w:val="35"/>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5">
    <w:name w:val="参选文件格式3 Char"/>
    <w:link w:val="34"/>
    <w:autoRedefine/>
    <w:qFormat/>
    <w:uiPriority w:val="0"/>
    <w:rPr>
      <w:rFonts w:hint="eastAsia" w:ascii="宋体" w:hAnsi="宋体" w:eastAsia="宋体"/>
      <w:b/>
      <w:snapToGrid w:val="0"/>
      <w:kern w:val="0"/>
      <w:u w:val="none"/>
    </w:rPr>
  </w:style>
  <w:style w:type="character" w:customStyle="1" w:styleId="36">
    <w:name w:val="font11"/>
    <w:basedOn w:val="26"/>
    <w:autoRedefine/>
    <w:qFormat/>
    <w:uiPriority w:val="0"/>
    <w:rPr>
      <w:rFonts w:hint="eastAsia" w:ascii="宋体" w:hAnsi="宋体" w:eastAsia="宋体" w:cs="宋体"/>
      <w:b/>
      <w:bCs/>
      <w:color w:val="000000"/>
      <w:sz w:val="21"/>
      <w:szCs w:val="21"/>
      <w:u w:val="none"/>
    </w:rPr>
  </w:style>
  <w:style w:type="character" w:customStyle="1" w:styleId="37">
    <w:name w:val="font21"/>
    <w:basedOn w:val="26"/>
    <w:autoRedefine/>
    <w:qFormat/>
    <w:uiPriority w:val="0"/>
    <w:rPr>
      <w:rFonts w:hint="eastAsia" w:ascii="宋体" w:hAnsi="宋体" w:eastAsia="宋体" w:cs="宋体"/>
      <w:color w:val="000000"/>
      <w:sz w:val="21"/>
      <w:szCs w:val="21"/>
      <w:u w:val="none"/>
    </w:rPr>
  </w:style>
  <w:style w:type="character" w:customStyle="1" w:styleId="38">
    <w:name w:val="font31"/>
    <w:basedOn w:val="26"/>
    <w:autoRedefine/>
    <w:qFormat/>
    <w:uiPriority w:val="0"/>
    <w:rPr>
      <w:rFonts w:hint="eastAsia" w:ascii="宋体" w:hAnsi="宋体" w:eastAsia="宋体" w:cs="宋体"/>
      <w:color w:val="FF0000"/>
      <w:sz w:val="21"/>
      <w:szCs w:val="21"/>
      <w:u w:val="none"/>
    </w:rPr>
  </w:style>
  <w:style w:type="paragraph" w:styleId="39">
    <w:name w:val="List Paragraph"/>
    <w:basedOn w:val="1"/>
    <w:next w:val="32"/>
    <w:qFormat/>
    <w:uiPriority w:val="0"/>
    <w:pPr>
      <w:jc w:val="both"/>
    </w:pPr>
    <w:rPr>
      <w:rFonts w:ascii="Times New Roman" w:hAnsi="Times New Roman" w:cs="Times New Roman"/>
      <w:sz w:val="28"/>
    </w:rPr>
  </w:style>
  <w:style w:type="character" w:customStyle="1" w:styleId="40">
    <w:name w:val="font_text_1"/>
    <w:qFormat/>
    <w:uiPriority w:val="0"/>
  </w:style>
  <w:style w:type="paragraph" w:customStyle="1" w:styleId="41">
    <w:name w:val="无间隔1"/>
    <w:basedOn w:val="1"/>
    <w:qFormat/>
    <w:uiPriority w:val="0"/>
    <w:pPr>
      <w:spacing w:line="400" w:lineRule="exact"/>
    </w:pPr>
  </w:style>
  <w:style w:type="character" w:customStyle="1" w:styleId="42">
    <w:name w:val="标题 4 Char"/>
    <w:link w:val="5"/>
    <w:autoRedefine/>
    <w:qFormat/>
    <w:uiPriority w:val="0"/>
    <w:rPr>
      <w:rFonts w:ascii="Calibri Light" w:hAnsi="Calibri Light" w:eastAsia="宋体" w:cs="Times New Roman"/>
      <w:bCs/>
      <w:szCs w:val="28"/>
    </w:rPr>
  </w:style>
  <w:style w:type="character" w:customStyle="1" w:styleId="43">
    <w:name w:val="标题 1 Char"/>
    <w:basedOn w:val="26"/>
    <w:link w:val="2"/>
    <w:autoRedefine/>
    <w:qFormat/>
    <w:uiPriority w:val="0"/>
    <w:rPr>
      <w:rFonts w:ascii="宋体" w:hAnsi="宋体" w:eastAsia="宋体" w:cs="等线 Light"/>
      <w:b/>
      <w:snapToGrid w:val="0"/>
      <w:kern w:val="0"/>
      <w:sz w:val="44"/>
      <w:szCs w:val="44"/>
    </w:rPr>
  </w:style>
  <w:style w:type="character" w:customStyle="1" w:styleId="44">
    <w:name w:val="标题 2 Char"/>
    <w:basedOn w:val="26"/>
    <w:link w:val="3"/>
    <w:autoRedefine/>
    <w:qFormat/>
    <w:uiPriority w:val="9"/>
    <w:rPr>
      <w:rFonts w:ascii="宋体" w:hAnsi="宋体" w:cstheme="majorBidi"/>
      <w:b/>
      <w:bCs/>
      <w:snapToGrid w:val="0"/>
      <w:szCs w:val="24"/>
    </w:rPr>
  </w:style>
  <w:style w:type="character" w:customStyle="1" w:styleId="45">
    <w:name w:val="标题 3 Char"/>
    <w:basedOn w:val="26"/>
    <w:link w:val="4"/>
    <w:autoRedefine/>
    <w:qFormat/>
    <w:uiPriority w:val="9"/>
    <w:rPr>
      <w:rFonts w:eastAsia="宋体"/>
      <w:b/>
      <w:bCs/>
      <w:szCs w:val="32"/>
    </w:rPr>
  </w:style>
  <w:style w:type="table" w:customStyle="1" w:styleId="46">
    <w:name w:val="网格型5"/>
    <w:basedOn w:val="24"/>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5 Char"/>
    <w:link w:val="6"/>
    <w:autoRedefine/>
    <w:qFormat/>
    <w:uiPriority w:val="0"/>
    <w:rPr>
      <w:rFonts w:eastAsia="宋体"/>
      <w:b/>
      <w:sz w:val="28"/>
    </w:rPr>
  </w:style>
  <w:style w:type="character" w:customStyle="1" w:styleId="48">
    <w:name w:val="参选文件格式1 Char"/>
    <w:link w:val="32"/>
    <w:autoRedefine/>
    <w:qFormat/>
    <w:uiPriority w:val="0"/>
    <w:rPr>
      <w:rFonts w:hint="eastAsia" w:eastAsia="宋体"/>
      <w:b/>
      <w:sz w:val="28"/>
    </w:rPr>
  </w:style>
  <w:style w:type="character" w:customStyle="1" w:styleId="49">
    <w:name w:val="参选文件格式2 Char"/>
    <w:link w:val="33"/>
    <w:autoRedefine/>
    <w:qFormat/>
    <w:uiPriority w:val="0"/>
    <w:rPr>
      <w:rFonts w:eastAsia="宋体"/>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122</Pages>
  <Words>53268</Words>
  <Characters>56039</Characters>
  <Lines>3972</Lines>
  <Paragraphs>1908</Paragraphs>
  <TotalTime>0</TotalTime>
  <ScaleCrop>false</ScaleCrop>
  <LinksUpToDate>false</LinksUpToDate>
  <CharactersWithSpaces>57387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2024-07-09T09:19:00Z</dcterms:created>
  <dc:creator>admin</dc:creator>
  <cp:lastModifiedBy>admin</cp:lastModifiedBy>
  <cp:lastPrinted>2024-01-19T09:29:00Z</cp:lastPrinted>
  <dcterms:modified xsi:type="dcterms:W3CDTF">2024-07-25T05:59:33Z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ABC56BC2417C40F3BD3F8C56B61DB75D_13</vt:lpwstr>
  </property>
</Properties>
</file>