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77B4B">
      <w:pPr>
        <w:spacing w:line="360" w:lineRule="auto"/>
        <w:ind w:firstLine="0" w:firstLineChars="0"/>
        <w:rPr>
          <w:rFonts w:ascii="Times New Roman" w:hAnsi="Times New Roman" w:cs="Cambria"/>
          <w:b/>
          <w:snapToGrid w:val="0"/>
          <w:kern w:val="0"/>
          <w:sz w:val="52"/>
          <w:szCs w:val="84"/>
          <w:highlight w:val="none"/>
        </w:rPr>
      </w:pPr>
    </w:p>
    <w:p w14:paraId="4D80E84D">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6E319246">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u w:val="none"/>
        </w:rPr>
        <w:t>2024年金融城域网网络安全竞赛及网络安全宣传周支撑服务</w:t>
      </w:r>
      <w:r>
        <w:rPr>
          <w:rFonts w:hint="eastAsia" w:ascii="Times New Roman" w:hAnsi="Times New Roman" w:cs="Times New Roman"/>
          <w:b/>
          <w:snapToGrid w:val="0"/>
          <w:kern w:val="0"/>
          <w:sz w:val="48"/>
          <w:szCs w:val="84"/>
          <w:highlight w:val="none"/>
        </w:rPr>
        <w:t>项目</w:t>
      </w:r>
    </w:p>
    <w:p w14:paraId="73BC064B">
      <w:pPr>
        <w:spacing w:line="360" w:lineRule="auto"/>
        <w:ind w:firstLine="0" w:firstLineChars="0"/>
        <w:jc w:val="left"/>
        <w:rPr>
          <w:rFonts w:ascii="Times New Roman" w:hAnsi="Times New Roman" w:cs="Times New Roman"/>
          <w:snapToGrid w:val="0"/>
          <w:kern w:val="0"/>
          <w:sz w:val="18"/>
          <w:highlight w:val="none"/>
        </w:rPr>
      </w:pPr>
    </w:p>
    <w:p w14:paraId="3A5F3CB6">
      <w:pPr>
        <w:spacing w:line="360" w:lineRule="auto"/>
        <w:ind w:firstLine="0" w:firstLineChars="0"/>
        <w:jc w:val="left"/>
        <w:rPr>
          <w:rFonts w:ascii="Times New Roman" w:hAnsi="Times New Roman" w:cs="Times New Roman"/>
          <w:snapToGrid w:val="0"/>
          <w:kern w:val="0"/>
          <w:sz w:val="20"/>
          <w:highlight w:val="none"/>
        </w:rPr>
      </w:pPr>
    </w:p>
    <w:p w14:paraId="2FC6DB97">
      <w:pPr>
        <w:spacing w:line="360" w:lineRule="auto"/>
        <w:ind w:firstLine="0" w:firstLineChars="0"/>
        <w:jc w:val="left"/>
        <w:rPr>
          <w:rFonts w:ascii="Times New Roman" w:hAnsi="Times New Roman" w:cs="Times New Roman"/>
          <w:snapToGrid w:val="0"/>
          <w:kern w:val="0"/>
          <w:sz w:val="20"/>
          <w:highlight w:val="none"/>
        </w:rPr>
      </w:pPr>
    </w:p>
    <w:p w14:paraId="7A4AD6F2">
      <w:pPr>
        <w:spacing w:line="360" w:lineRule="auto"/>
        <w:ind w:firstLine="0" w:firstLineChars="0"/>
        <w:jc w:val="left"/>
        <w:rPr>
          <w:rFonts w:ascii="Times New Roman" w:hAnsi="Times New Roman" w:cs="Times New Roman"/>
          <w:snapToGrid w:val="0"/>
          <w:kern w:val="0"/>
          <w:sz w:val="20"/>
          <w:highlight w:val="none"/>
        </w:rPr>
      </w:pPr>
    </w:p>
    <w:p w14:paraId="08A693EE">
      <w:pPr>
        <w:spacing w:line="360" w:lineRule="auto"/>
        <w:ind w:firstLine="0" w:firstLineChars="0"/>
        <w:jc w:val="left"/>
        <w:rPr>
          <w:rFonts w:ascii="Times New Roman" w:hAnsi="Times New Roman" w:cs="Times New Roman"/>
          <w:snapToGrid w:val="0"/>
          <w:kern w:val="0"/>
          <w:sz w:val="20"/>
          <w:highlight w:val="none"/>
        </w:rPr>
      </w:pPr>
    </w:p>
    <w:p w14:paraId="7A65700C">
      <w:pPr>
        <w:spacing w:line="360" w:lineRule="auto"/>
        <w:ind w:firstLine="0" w:firstLineChars="0"/>
        <w:jc w:val="left"/>
        <w:rPr>
          <w:rFonts w:ascii="Times New Roman" w:hAnsi="Times New Roman" w:cs="Times New Roman"/>
          <w:snapToGrid w:val="0"/>
          <w:kern w:val="0"/>
          <w:sz w:val="20"/>
          <w:highlight w:val="none"/>
        </w:rPr>
      </w:pPr>
    </w:p>
    <w:p w14:paraId="2BF185C6">
      <w:pPr>
        <w:spacing w:line="360" w:lineRule="auto"/>
        <w:ind w:firstLine="0" w:firstLineChars="0"/>
        <w:jc w:val="left"/>
        <w:rPr>
          <w:rFonts w:ascii="Times New Roman" w:hAnsi="Times New Roman" w:cs="Times New Roman"/>
          <w:snapToGrid w:val="0"/>
          <w:kern w:val="0"/>
          <w:sz w:val="20"/>
          <w:highlight w:val="none"/>
        </w:rPr>
      </w:pPr>
    </w:p>
    <w:p w14:paraId="087EFEAF">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24998058">
      <w:pPr>
        <w:spacing w:line="360" w:lineRule="auto"/>
        <w:ind w:firstLine="0" w:firstLineChars="0"/>
        <w:jc w:val="center"/>
        <w:rPr>
          <w:rFonts w:ascii="Times New Roman" w:hAnsi="Times New Roman" w:cs="Times New Roman"/>
          <w:b/>
          <w:snapToGrid w:val="0"/>
          <w:kern w:val="0"/>
          <w:szCs w:val="28"/>
          <w:highlight w:val="none"/>
        </w:rPr>
      </w:pPr>
    </w:p>
    <w:p w14:paraId="1A183077">
      <w:pPr>
        <w:spacing w:line="360" w:lineRule="auto"/>
        <w:ind w:firstLine="0" w:firstLineChars="0"/>
        <w:jc w:val="center"/>
        <w:rPr>
          <w:rFonts w:ascii="Times New Roman" w:hAnsi="Times New Roman" w:cs="Times New Roman"/>
          <w:b/>
          <w:snapToGrid w:val="0"/>
          <w:kern w:val="0"/>
          <w:szCs w:val="28"/>
          <w:highlight w:val="none"/>
        </w:rPr>
      </w:pPr>
    </w:p>
    <w:p w14:paraId="606E08A0">
      <w:pPr>
        <w:spacing w:line="360" w:lineRule="auto"/>
        <w:ind w:firstLine="0" w:firstLineChars="0"/>
        <w:jc w:val="center"/>
        <w:rPr>
          <w:rFonts w:ascii="Times New Roman" w:hAnsi="Times New Roman" w:cs="Times New Roman"/>
          <w:b/>
          <w:snapToGrid w:val="0"/>
          <w:kern w:val="0"/>
          <w:szCs w:val="28"/>
          <w:highlight w:val="none"/>
        </w:rPr>
      </w:pPr>
    </w:p>
    <w:p w14:paraId="112531B9">
      <w:pPr>
        <w:ind w:firstLine="0" w:firstLineChars="0"/>
        <w:rPr>
          <w:rFonts w:ascii="Times New Roman" w:hAnsi="Times New Roman"/>
          <w:highlight w:val="none"/>
        </w:rPr>
      </w:pPr>
    </w:p>
    <w:p w14:paraId="79AF7B3C">
      <w:pPr>
        <w:pStyle w:val="9"/>
        <w:rPr>
          <w:rFonts w:ascii="Times New Roman" w:hAnsi="Times New Roman"/>
          <w:highlight w:val="none"/>
        </w:rPr>
      </w:pPr>
    </w:p>
    <w:p w14:paraId="5617680B">
      <w:pPr>
        <w:ind w:firstLine="0" w:firstLineChars="0"/>
        <w:rPr>
          <w:rFonts w:ascii="Times New Roman" w:hAnsi="Times New Roman"/>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571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11E14A55">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op w:val="nil"/>
              <w:left w:val="nil"/>
              <w:bottom w:val="nil"/>
              <w:right w:val="nil"/>
              <w:tl2br w:val="nil"/>
              <w:tr2bl w:val="nil"/>
            </w:tcBorders>
            <w:noWrap/>
            <w:vAlign w:val="center"/>
          </w:tcPr>
          <w:p w14:paraId="0236CB14">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op w:val="nil"/>
              <w:left w:val="nil"/>
              <w:bottom w:val="nil"/>
              <w:right w:val="nil"/>
              <w:tl2br w:val="nil"/>
              <w:tr2bl w:val="nil"/>
            </w:tcBorders>
            <w:noWrap/>
            <w:vAlign w:val="center"/>
          </w:tcPr>
          <w:p w14:paraId="34873BE5">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eastAsia="zh-CN"/>
              </w:rPr>
              <w:t>公</w:t>
            </w:r>
            <w:r>
              <w:rPr>
                <w:rFonts w:hint="eastAsia" w:ascii="Times New Roman" w:hAnsi="Times New Roman" w:cs="Times New Roman"/>
                <w:bCs/>
                <w:snapToGrid w:val="0"/>
                <w:kern w:val="0"/>
                <w:szCs w:val="24"/>
                <w:highlight w:val="none"/>
              </w:rPr>
              <w:t>章）</w:t>
            </w:r>
          </w:p>
        </w:tc>
      </w:tr>
      <w:tr w14:paraId="393B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6912B786">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op w:val="nil"/>
              <w:left w:val="nil"/>
              <w:bottom w:val="nil"/>
              <w:right w:val="nil"/>
              <w:tl2br w:val="nil"/>
              <w:tr2bl w:val="nil"/>
            </w:tcBorders>
            <w:noWrap/>
            <w:vAlign w:val="center"/>
          </w:tcPr>
          <w:p w14:paraId="1F97E4F3">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 xml:space="preserve">2024 </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 xml:space="preserve"> 8 </w:t>
            </w:r>
            <w:r>
              <w:rPr>
                <w:rFonts w:ascii="Times New Roman" w:hAnsi="Times New Roman" w:cs="Times New Roman"/>
                <w:b/>
                <w:snapToGrid w:val="0"/>
                <w:kern w:val="0"/>
                <w:sz w:val="30"/>
                <w:szCs w:val="30"/>
                <w:highlight w:val="none"/>
              </w:rPr>
              <w:t>月</w:t>
            </w:r>
          </w:p>
        </w:tc>
        <w:tc>
          <w:tcPr>
            <w:tcW w:w="2020" w:type="dxa"/>
            <w:vMerge w:val="continue"/>
            <w:tcBorders>
              <w:top w:val="nil"/>
              <w:left w:val="nil"/>
              <w:bottom w:val="nil"/>
              <w:right w:val="nil"/>
              <w:tl2br w:val="nil"/>
              <w:tr2bl w:val="nil"/>
            </w:tcBorders>
            <w:noWrap/>
            <w:vAlign w:val="center"/>
          </w:tcPr>
          <w:p w14:paraId="62C2B113">
            <w:pPr>
              <w:rPr>
                <w:highlight w:val="none"/>
              </w:rPr>
            </w:pPr>
          </w:p>
        </w:tc>
      </w:tr>
    </w:tbl>
    <w:p w14:paraId="7955D233">
      <w:pPr>
        <w:rPr>
          <w:rFonts w:ascii="Times New Roman" w:hAnsi="Times New Roman"/>
          <w:highlight w:val="none"/>
        </w:rPr>
      </w:pPr>
    </w:p>
    <w:p w14:paraId="44497C5A">
      <w:pPr>
        <w:rPr>
          <w:rFonts w:ascii="Times New Roman" w:hAnsi="Times New Roman"/>
          <w:highlight w:val="none"/>
        </w:rPr>
        <w:sectPr>
          <w:pgSz w:w="11906" w:h="16838"/>
          <w:pgMar w:top="1440" w:right="1800" w:bottom="1440" w:left="1800" w:header="851" w:footer="992" w:gutter="0"/>
          <w:pgNumType w:start="1"/>
          <w:cols w:space="720" w:num="1"/>
          <w:docGrid w:type="lines" w:linePitch="312" w:charSpace="0"/>
        </w:sectPr>
      </w:pPr>
    </w:p>
    <w:p w14:paraId="2A77BBFC">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12C38696">
      <w:pPr>
        <w:pStyle w:val="15"/>
        <w:tabs>
          <w:tab w:val="right" w:leader="dot" w:pos="8306"/>
        </w:tabs>
        <w:rPr>
          <w:highlight w:val="none"/>
        </w:rPr>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_Toc233043875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rPr>
          <w:highlight w:val="none"/>
        </w:rPr>
        <w:tab/>
      </w:r>
      <w:r>
        <w:rPr>
          <w:highlight w:val="none"/>
        </w:rPr>
        <w:fldChar w:fldCharType="begin"/>
      </w:r>
      <w:r>
        <w:rPr>
          <w:highlight w:val="none"/>
        </w:rPr>
        <w:instrText xml:space="preserve"> PAGEREF _Toc233043875 \h </w:instrText>
      </w:r>
      <w:r>
        <w:rPr>
          <w:highlight w:val="none"/>
        </w:rPr>
        <w:fldChar w:fldCharType="separate"/>
      </w:r>
      <w:r>
        <w:rPr>
          <w:highlight w:val="none"/>
        </w:rPr>
        <w:t>1</w:t>
      </w:r>
      <w:r>
        <w:rPr>
          <w:highlight w:val="none"/>
        </w:rPr>
        <w:fldChar w:fldCharType="end"/>
      </w:r>
      <w:r>
        <w:rPr>
          <w:rFonts w:ascii="Times New Roman" w:hAnsi="Times New Roman"/>
          <w:snapToGrid w:val="0"/>
          <w:kern w:val="0"/>
          <w:szCs w:val="24"/>
          <w:highlight w:val="none"/>
        </w:rPr>
        <w:fldChar w:fldCharType="end"/>
      </w:r>
    </w:p>
    <w:p w14:paraId="27E251BE">
      <w:pPr>
        <w:pStyle w:val="15"/>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_Toc338268774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rPr>
          <w:highlight w:val="none"/>
        </w:rPr>
        <w:tab/>
      </w:r>
      <w:r>
        <w:rPr>
          <w:highlight w:val="none"/>
        </w:rPr>
        <w:fldChar w:fldCharType="begin"/>
      </w:r>
      <w:r>
        <w:rPr>
          <w:highlight w:val="none"/>
        </w:rPr>
        <w:instrText xml:space="preserve"> PAGEREF _Toc338268774 \h </w:instrText>
      </w:r>
      <w:r>
        <w:rPr>
          <w:highlight w:val="none"/>
        </w:rPr>
        <w:fldChar w:fldCharType="separate"/>
      </w:r>
      <w:r>
        <w:rPr>
          <w:highlight w:val="none"/>
        </w:rPr>
        <w:t>1</w:t>
      </w:r>
      <w:r>
        <w:rPr>
          <w:highlight w:val="none"/>
        </w:rPr>
        <w:fldChar w:fldCharType="end"/>
      </w:r>
      <w:r>
        <w:rPr>
          <w:rFonts w:ascii="Times New Roman" w:hAnsi="Times New Roman"/>
          <w:snapToGrid w:val="0"/>
          <w:kern w:val="0"/>
          <w:szCs w:val="24"/>
          <w:highlight w:val="none"/>
        </w:rPr>
        <w:fldChar w:fldCharType="end"/>
      </w:r>
    </w:p>
    <w:p w14:paraId="1835FA6C">
      <w:pPr>
        <w:pStyle w:val="15"/>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_Toc1932908189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rPr>
          <w:highlight w:val="none"/>
        </w:rPr>
        <w:tab/>
      </w:r>
      <w:r>
        <w:rPr>
          <w:highlight w:val="none"/>
        </w:rPr>
        <w:fldChar w:fldCharType="begin"/>
      </w:r>
      <w:r>
        <w:rPr>
          <w:highlight w:val="none"/>
        </w:rPr>
        <w:instrText xml:space="preserve"> PAGEREF _Toc1932908189 \h </w:instrText>
      </w:r>
      <w:r>
        <w:rPr>
          <w:highlight w:val="none"/>
        </w:rPr>
        <w:fldChar w:fldCharType="separate"/>
      </w:r>
      <w:r>
        <w:rPr>
          <w:highlight w:val="none"/>
        </w:rPr>
        <w:t>10</w:t>
      </w:r>
      <w:r>
        <w:rPr>
          <w:highlight w:val="none"/>
        </w:rPr>
        <w:fldChar w:fldCharType="end"/>
      </w:r>
      <w:r>
        <w:rPr>
          <w:rFonts w:ascii="Times New Roman" w:hAnsi="Times New Roman"/>
          <w:snapToGrid w:val="0"/>
          <w:kern w:val="0"/>
          <w:szCs w:val="24"/>
          <w:highlight w:val="none"/>
        </w:rPr>
        <w:fldChar w:fldCharType="end"/>
      </w:r>
    </w:p>
    <w:p w14:paraId="59B85A32">
      <w:pPr>
        <w:pStyle w:val="15"/>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_Toc1144362525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bookmarkStart w:id="298" w:name="_GoBack"/>
      <w:bookmarkEnd w:id="298"/>
      <w:r>
        <w:rPr>
          <w:highlight w:val="none"/>
        </w:rPr>
        <w:tab/>
      </w:r>
      <w:r>
        <w:rPr>
          <w:highlight w:val="none"/>
        </w:rPr>
        <w:fldChar w:fldCharType="begin"/>
      </w:r>
      <w:r>
        <w:rPr>
          <w:highlight w:val="none"/>
        </w:rPr>
        <w:instrText xml:space="preserve"> PAGEREF _Toc1144362525 \h </w:instrText>
      </w:r>
      <w:r>
        <w:rPr>
          <w:highlight w:val="none"/>
        </w:rPr>
        <w:fldChar w:fldCharType="separate"/>
      </w:r>
      <w:r>
        <w:rPr>
          <w:highlight w:val="none"/>
        </w:rPr>
        <w:t>13</w:t>
      </w:r>
      <w:r>
        <w:rPr>
          <w:highlight w:val="none"/>
        </w:rPr>
        <w:fldChar w:fldCharType="end"/>
      </w:r>
      <w:r>
        <w:rPr>
          <w:rFonts w:ascii="Times New Roman" w:hAnsi="Times New Roman"/>
          <w:snapToGrid w:val="0"/>
          <w:kern w:val="0"/>
          <w:szCs w:val="24"/>
          <w:highlight w:val="none"/>
        </w:rPr>
        <w:fldChar w:fldCharType="end"/>
      </w:r>
    </w:p>
    <w:p w14:paraId="20AB41AE">
      <w:pPr>
        <w:pStyle w:val="15"/>
        <w:tabs>
          <w:tab w:val="right" w:leader="dot" w:pos="8306"/>
        </w:tabs>
        <w:ind w:firstLine="480"/>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_Toc82451611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rPr>
          <w:highlight w:val="none"/>
        </w:rPr>
        <w:tab/>
      </w:r>
      <w:r>
        <w:rPr>
          <w:highlight w:val="none"/>
        </w:rPr>
        <w:fldChar w:fldCharType="begin"/>
      </w:r>
      <w:r>
        <w:rPr>
          <w:highlight w:val="none"/>
        </w:rPr>
        <w:instrText xml:space="preserve"> PAGEREF _Toc82451611 \h </w:instrText>
      </w:r>
      <w:r>
        <w:rPr>
          <w:highlight w:val="none"/>
        </w:rPr>
        <w:fldChar w:fldCharType="separate"/>
      </w:r>
      <w:r>
        <w:rPr>
          <w:highlight w:val="none"/>
        </w:rPr>
        <w:t>19</w:t>
      </w:r>
      <w:r>
        <w:rPr>
          <w:highlight w:val="none"/>
        </w:rPr>
        <w:fldChar w:fldCharType="end"/>
      </w:r>
      <w:r>
        <w:rPr>
          <w:rFonts w:ascii="Times New Roman" w:hAnsi="Times New Roman"/>
          <w:snapToGrid w:val="0"/>
          <w:kern w:val="0"/>
          <w:szCs w:val="24"/>
          <w:highlight w:val="none"/>
        </w:rPr>
        <w:fldChar w:fldCharType="end"/>
      </w:r>
    </w:p>
    <w:p w14:paraId="491AD441">
      <w:pPr>
        <w:pStyle w:val="15"/>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_Toc1892509566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rPr>
          <w:highlight w:val="none"/>
        </w:rPr>
        <w:tab/>
      </w:r>
      <w:r>
        <w:rPr>
          <w:highlight w:val="none"/>
        </w:rPr>
        <w:fldChar w:fldCharType="begin"/>
      </w:r>
      <w:r>
        <w:rPr>
          <w:highlight w:val="none"/>
        </w:rPr>
        <w:instrText xml:space="preserve"> PAGEREF _Toc1892509566 \h </w:instrText>
      </w:r>
      <w:r>
        <w:rPr>
          <w:highlight w:val="none"/>
        </w:rPr>
        <w:fldChar w:fldCharType="separate"/>
      </w:r>
      <w:r>
        <w:rPr>
          <w:highlight w:val="none"/>
        </w:rPr>
        <w:t>38</w:t>
      </w:r>
      <w:r>
        <w:rPr>
          <w:highlight w:val="none"/>
        </w:rPr>
        <w:fldChar w:fldCharType="end"/>
      </w:r>
      <w:r>
        <w:rPr>
          <w:rFonts w:ascii="Times New Roman" w:hAnsi="Times New Roman"/>
          <w:snapToGrid w:val="0"/>
          <w:kern w:val="0"/>
          <w:szCs w:val="24"/>
          <w:highlight w:val="none"/>
        </w:rPr>
        <w:fldChar w:fldCharType="end"/>
      </w:r>
    </w:p>
    <w:p w14:paraId="6989CF84">
      <w:pPr>
        <w:pStyle w:val="15"/>
        <w:tabs>
          <w:tab w:val="right" w:leader="dot" w:pos="8306"/>
        </w:tabs>
        <w:rPr>
          <w:highlight w:val="none"/>
        </w:rPr>
      </w:pPr>
    </w:p>
    <w:p w14:paraId="3B906E80">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051BF18A">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04CD9F5A">
      <w:pPr>
        <w:pStyle w:val="2"/>
        <w:rPr>
          <w:rFonts w:ascii="Times New Roman" w:hAnsi="Times New Roman"/>
          <w:highlight w:val="none"/>
        </w:rPr>
      </w:pPr>
      <w:bookmarkStart w:id="0" w:name="_Toc440628903"/>
      <w:bookmarkStart w:id="1" w:name="_Toc469574661"/>
      <w:bookmarkStart w:id="2" w:name="_Toc233043875"/>
      <w:bookmarkStart w:id="3" w:name="_Toc6745"/>
      <w:bookmarkStart w:id="4" w:name="_Toc678"/>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bookmarkEnd w:id="4"/>
    </w:p>
    <w:p w14:paraId="37D7215A">
      <w:pPr>
        <w:ind w:firstLine="0" w:firstLineChars="0"/>
        <w:jc w:val="center"/>
        <w:rPr>
          <w:rFonts w:ascii="Times New Roman" w:hAnsi="Times New Roman"/>
          <w:sz w:val="44"/>
          <w:szCs w:val="32"/>
          <w:highlight w:val="none"/>
        </w:rPr>
      </w:pPr>
      <w:r>
        <w:rPr>
          <w:rFonts w:hint="eastAsia" w:ascii="Times New Roman" w:hAnsi="Times New Roman"/>
          <w:sz w:val="44"/>
          <w:szCs w:val="32"/>
          <w:highlight w:val="none"/>
          <w:u w:val="none"/>
        </w:rPr>
        <w:t>2024年金融城域网网络安全竞赛及网络安全宣传周支撑服务</w:t>
      </w:r>
      <w:r>
        <w:rPr>
          <w:rFonts w:hint="eastAsia" w:ascii="Times New Roman" w:hAnsi="Times New Roman"/>
          <w:sz w:val="44"/>
          <w:szCs w:val="32"/>
          <w:highlight w:val="none"/>
          <w:u w:val="none"/>
          <w:lang w:val="en-US" w:eastAsia="zh-CN"/>
        </w:rPr>
        <w:t>项目</w:t>
      </w:r>
      <w:r>
        <w:rPr>
          <w:rFonts w:hint="eastAsia" w:ascii="Times New Roman" w:hAnsi="Times New Roman"/>
          <w:sz w:val="44"/>
          <w:szCs w:val="32"/>
          <w:highlight w:val="none"/>
        </w:rPr>
        <w:t>比选公告</w:t>
      </w:r>
    </w:p>
    <w:p w14:paraId="520000A2">
      <w:pPr>
        <w:rPr>
          <w:rFonts w:ascii="Times New Roman" w:hAnsi="Times New Roman"/>
          <w:color w:val="000000"/>
          <w:highlight w:val="none"/>
        </w:rPr>
      </w:pPr>
      <w:bookmarkStart w:id="5" w:name="_Toc55379218"/>
      <w:bookmarkStart w:id="6" w:name="_Toc89675127"/>
      <w:r>
        <w:rPr>
          <w:rFonts w:hint="eastAsia" w:ascii="宋体" w:eastAsia="宋体" w:cs="宋体"/>
          <w:color w:val="auto"/>
          <w:sz w:val="24"/>
          <w:szCs w:val="24"/>
          <w:highlight w:val="none"/>
          <w:lang w:val="en-US" w:eastAsia="zh-CN"/>
        </w:rPr>
        <w:t>根据中国人民银行重庆市分行2024年网络安全竞赛及网络安全宣传周工作安排，为做好本年度网络安全竞赛及网络安全宣传周活动工作具体组织和技术支撑工作，保障相关工作的顺利开展和实施，</w:t>
      </w:r>
      <w:r>
        <w:rPr>
          <w:rFonts w:hint="eastAsia" w:ascii="宋体" w:eastAsia="宋体" w:cs="宋体"/>
          <w:sz w:val="24"/>
          <w:szCs w:val="24"/>
          <w:highlight w:val="none"/>
          <w:lang w:val="en-US" w:eastAsia="zh-CN"/>
        </w:rPr>
        <w:t>需采购2024年金融城域网网络安全竞赛及网络安全宣传周支撑服务项目</w:t>
      </w:r>
      <w:r>
        <w:rPr>
          <w:rFonts w:hint="eastAsia" w:ascii="宋体" w:eastAsia="宋体" w:cs="宋体"/>
          <w:sz w:val="24"/>
          <w:szCs w:val="24"/>
          <w:highlight w:val="none"/>
        </w:rPr>
        <w:t>。</w:t>
      </w:r>
      <w:r>
        <w:rPr>
          <w:rFonts w:hint="eastAsia" w:ascii="Times New Roman" w:hAnsi="Times New Roman"/>
          <w:color w:val="000000"/>
          <w:highlight w:val="none"/>
        </w:rPr>
        <w:t>现对</w:t>
      </w:r>
      <w:r>
        <w:rPr>
          <w:rFonts w:hint="eastAsia" w:ascii="Times New Roman" w:hAnsi="Times New Roman" w:cs="Cambria"/>
          <w:snapToGrid w:val="0"/>
          <w:color w:val="000000"/>
          <w:kern w:val="0"/>
          <w:szCs w:val="24"/>
          <w:highlight w:val="none"/>
        </w:rPr>
        <w:t>重庆三峡银行</w:t>
      </w:r>
      <w:r>
        <w:rPr>
          <w:rFonts w:hint="eastAsia" w:ascii="Times New Roman" w:hAnsi="Times New Roman" w:cs="Cambria"/>
          <w:snapToGrid w:val="0"/>
          <w:color w:val="000000"/>
          <w:kern w:val="0"/>
          <w:szCs w:val="24"/>
          <w:highlight w:val="none"/>
          <w:lang w:val="en-US" w:eastAsia="zh-CN"/>
        </w:rPr>
        <w:t>2024年金融城域网网络安全竞赛及网络安全宣传周支撑服务</w:t>
      </w:r>
      <w:r>
        <w:rPr>
          <w:rFonts w:hint="eastAsia" w:ascii="Times New Roman" w:hAnsi="Times New Roman"/>
          <w:color w:val="000000"/>
          <w:highlight w:val="none"/>
        </w:rPr>
        <w:t>项目进行公开比选，</w:t>
      </w:r>
      <w:r>
        <w:rPr>
          <w:rFonts w:ascii="Times New Roman" w:hAnsi="Times New Roman"/>
          <w:color w:val="000000"/>
          <w:highlight w:val="none"/>
        </w:rPr>
        <w:t>特邀请有</w:t>
      </w:r>
      <w:bookmarkStart w:id="7" w:name="_Hlk59455120"/>
      <w:r>
        <w:rPr>
          <w:rFonts w:ascii="Times New Roman" w:hAnsi="Times New Roman"/>
          <w:color w:val="000000"/>
          <w:highlight w:val="none"/>
        </w:rPr>
        <w:t>意向</w:t>
      </w:r>
      <w:bookmarkEnd w:id="7"/>
      <w:r>
        <w:rPr>
          <w:rFonts w:ascii="Times New Roman" w:hAnsi="Times New Roman"/>
          <w:color w:val="000000"/>
          <w:highlight w:val="none"/>
        </w:rPr>
        <w:t>的潜在</w:t>
      </w:r>
      <w:r>
        <w:rPr>
          <w:rFonts w:hint="eastAsia" w:ascii="Times New Roman" w:hAnsi="Times New Roman"/>
          <w:color w:val="000000"/>
          <w:highlight w:val="none"/>
        </w:rPr>
        <w:t>参选</w:t>
      </w:r>
      <w:r>
        <w:rPr>
          <w:rFonts w:ascii="Times New Roman" w:hAnsi="Times New Roman"/>
          <w:color w:val="000000"/>
          <w:highlight w:val="none"/>
        </w:rPr>
        <w:t>人进行</w:t>
      </w:r>
      <w:r>
        <w:rPr>
          <w:rFonts w:hint="eastAsia" w:ascii="Times New Roman" w:hAnsi="Times New Roman"/>
          <w:color w:val="000000"/>
          <w:highlight w:val="none"/>
        </w:rPr>
        <w:t>参选</w:t>
      </w:r>
      <w:r>
        <w:rPr>
          <w:rFonts w:ascii="Times New Roman" w:hAnsi="Times New Roman"/>
          <w:color w:val="000000"/>
          <w:highlight w:val="none"/>
        </w:rPr>
        <w:t>。</w:t>
      </w:r>
    </w:p>
    <w:p w14:paraId="46441E60">
      <w:pPr>
        <w:pStyle w:val="3"/>
        <w:rPr>
          <w:rFonts w:ascii="Times New Roman" w:hAnsi="Times New Roman"/>
          <w:highlight w:val="none"/>
        </w:rPr>
      </w:pPr>
      <w:r>
        <w:rPr>
          <w:rFonts w:hint="eastAsia" w:ascii="Times New Roman" w:hAnsi="Times New Roman"/>
          <w:highlight w:val="none"/>
        </w:rPr>
        <w:t>1. 比选项目内容</w:t>
      </w:r>
      <w:bookmarkEnd w:id="5"/>
      <w:bookmarkEnd w:id="6"/>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852"/>
        <w:gridCol w:w="1462"/>
        <w:gridCol w:w="1500"/>
        <w:gridCol w:w="1360"/>
      </w:tblGrid>
      <w:tr w14:paraId="6DD7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1" w:type="dxa"/>
            <w:tcBorders>
              <w:top w:val="single" w:color="auto" w:sz="4" w:space="0"/>
              <w:left w:val="single" w:color="auto" w:sz="4" w:space="0"/>
              <w:bottom w:val="single" w:color="auto" w:sz="4" w:space="0"/>
              <w:right w:val="single" w:color="auto" w:sz="4" w:space="0"/>
            </w:tcBorders>
            <w:noWrap/>
            <w:vAlign w:val="center"/>
          </w:tcPr>
          <w:p w14:paraId="3C552374">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3852" w:type="dxa"/>
            <w:tcBorders>
              <w:top w:val="single" w:color="auto" w:sz="4" w:space="0"/>
              <w:left w:val="single" w:color="auto" w:sz="4" w:space="0"/>
              <w:bottom w:val="single" w:color="auto" w:sz="4" w:space="0"/>
              <w:right w:val="single" w:color="auto" w:sz="4" w:space="0"/>
            </w:tcBorders>
            <w:noWrap/>
            <w:vAlign w:val="center"/>
          </w:tcPr>
          <w:p w14:paraId="2FFC15C4">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462" w:type="dxa"/>
            <w:tcBorders>
              <w:top w:val="single" w:color="auto" w:sz="4" w:space="0"/>
              <w:left w:val="single" w:color="auto" w:sz="4" w:space="0"/>
              <w:bottom w:val="single" w:color="auto" w:sz="4" w:space="0"/>
              <w:right w:val="single" w:color="auto" w:sz="4" w:space="0"/>
            </w:tcBorders>
            <w:noWrap/>
            <w:vAlign w:val="center"/>
          </w:tcPr>
          <w:p w14:paraId="58714CC3">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500" w:type="dxa"/>
            <w:tcBorders>
              <w:top w:val="single" w:color="auto" w:sz="4" w:space="0"/>
              <w:left w:val="single" w:color="auto" w:sz="4" w:space="0"/>
              <w:bottom w:val="single" w:color="auto" w:sz="4" w:space="0"/>
              <w:right w:val="single" w:color="auto" w:sz="4" w:space="0"/>
            </w:tcBorders>
            <w:noWrap/>
            <w:vAlign w:val="center"/>
          </w:tcPr>
          <w:p w14:paraId="1A165CF2">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360" w:type="dxa"/>
            <w:tcBorders>
              <w:top w:val="single" w:color="auto" w:sz="4" w:space="0"/>
              <w:left w:val="single" w:color="auto" w:sz="4" w:space="0"/>
              <w:bottom w:val="single" w:color="auto" w:sz="4" w:space="0"/>
              <w:right w:val="single" w:color="auto" w:sz="4" w:space="0"/>
            </w:tcBorders>
            <w:noWrap/>
            <w:vAlign w:val="center"/>
          </w:tcPr>
          <w:p w14:paraId="210BE4BD">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3983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1" w:type="dxa"/>
            <w:tcBorders>
              <w:top w:val="single" w:color="auto" w:sz="4" w:space="0"/>
              <w:left w:val="single" w:color="auto" w:sz="4" w:space="0"/>
              <w:bottom w:val="single" w:color="auto" w:sz="4" w:space="0"/>
              <w:right w:val="single" w:color="auto" w:sz="4" w:space="0"/>
            </w:tcBorders>
            <w:noWrap/>
            <w:vAlign w:val="center"/>
          </w:tcPr>
          <w:p w14:paraId="6980AF6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3852" w:type="dxa"/>
            <w:tcBorders>
              <w:top w:val="single" w:color="auto" w:sz="4" w:space="0"/>
              <w:left w:val="single" w:color="auto" w:sz="4" w:space="0"/>
              <w:bottom w:val="single" w:color="auto" w:sz="4" w:space="0"/>
              <w:right w:val="single" w:color="auto" w:sz="4" w:space="0"/>
            </w:tcBorders>
            <w:noWrap/>
            <w:vAlign w:val="center"/>
          </w:tcPr>
          <w:p w14:paraId="77D5220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Cambria"/>
                <w:snapToGrid w:val="0"/>
                <w:color w:val="auto"/>
                <w:kern w:val="0"/>
                <w:sz w:val="21"/>
                <w:szCs w:val="21"/>
                <w:highlight w:val="none"/>
                <w:lang w:val="en-US"/>
              </w:rPr>
            </w:pPr>
            <w:r>
              <w:rPr>
                <w:rFonts w:hint="eastAsia" w:ascii="宋体" w:eastAsia="宋体" w:cs="宋体"/>
                <w:color w:val="auto"/>
                <w:sz w:val="21"/>
                <w:szCs w:val="24"/>
                <w:highlight w:val="none"/>
                <w:lang w:val="en-US" w:eastAsia="zh-CN"/>
              </w:rPr>
              <w:t>重庆三峡银行2024年金融城域网网络安全竞赛及网络安全宣传周支撑服务项目</w:t>
            </w:r>
          </w:p>
        </w:tc>
        <w:tc>
          <w:tcPr>
            <w:tcW w:w="1462" w:type="dxa"/>
            <w:tcBorders>
              <w:top w:val="single" w:color="auto" w:sz="4" w:space="0"/>
              <w:left w:val="single" w:color="auto" w:sz="4" w:space="0"/>
              <w:bottom w:val="single" w:color="auto" w:sz="4" w:space="0"/>
              <w:right w:val="single" w:color="auto" w:sz="4" w:space="0"/>
            </w:tcBorders>
            <w:noWrap/>
            <w:vAlign w:val="center"/>
          </w:tcPr>
          <w:p w14:paraId="0B26EFE4">
            <w:pPr>
              <w:spacing w:line="360" w:lineRule="auto"/>
              <w:ind w:firstLine="0" w:firstLineChars="0"/>
              <w:jc w:val="center"/>
              <w:rPr>
                <w:rFonts w:ascii="Times New Roman" w:hAnsi="Times New Roman" w:eastAsia="宋体" w:cs="Cambria"/>
                <w:snapToGrid w:val="0"/>
                <w:color w:val="auto"/>
                <w:kern w:val="0"/>
                <w:sz w:val="21"/>
                <w:szCs w:val="21"/>
                <w:highlight w:val="none"/>
                <w:lang w:val="en-US" w:eastAsia="zh-CN"/>
              </w:rPr>
            </w:pPr>
            <w:r>
              <w:rPr>
                <w:rFonts w:hint="eastAsia" w:ascii="Times New Roman" w:hAnsi="Times New Roman" w:cs="Cambria"/>
                <w:snapToGrid w:val="0"/>
                <w:color w:val="auto"/>
                <w:kern w:val="0"/>
                <w:sz w:val="21"/>
                <w:szCs w:val="21"/>
                <w:highlight w:val="none"/>
                <w:lang w:val="en-US" w:eastAsia="zh-CN"/>
              </w:rPr>
              <w:t>51.8万元</w:t>
            </w:r>
          </w:p>
        </w:tc>
        <w:tc>
          <w:tcPr>
            <w:tcW w:w="1500" w:type="dxa"/>
            <w:tcBorders>
              <w:top w:val="single" w:color="auto" w:sz="4" w:space="0"/>
              <w:left w:val="single" w:color="auto" w:sz="4" w:space="0"/>
              <w:bottom w:val="single" w:color="auto" w:sz="4" w:space="0"/>
              <w:right w:val="single" w:color="auto" w:sz="4" w:space="0"/>
            </w:tcBorders>
            <w:noWrap/>
            <w:vAlign w:val="center"/>
          </w:tcPr>
          <w:p w14:paraId="7FD90E0F">
            <w:pPr>
              <w:spacing w:line="360" w:lineRule="auto"/>
              <w:ind w:firstLine="0" w:firstLineChars="0"/>
              <w:jc w:val="center"/>
              <w:rPr>
                <w:rFonts w:hint="eastAsia" w:ascii="Times New Roman" w:hAnsi="Times New Roman" w:eastAsia="宋体" w:cs="Cambria"/>
                <w:snapToGrid w:val="0"/>
                <w:color w:val="auto"/>
                <w:kern w:val="0"/>
                <w:sz w:val="21"/>
                <w:szCs w:val="21"/>
                <w:highlight w:val="none"/>
                <w:lang w:val="en-US" w:eastAsia="zh-CN"/>
              </w:rPr>
            </w:pPr>
            <w:r>
              <w:rPr>
                <w:rFonts w:hint="eastAsia" w:ascii="Times New Roman" w:hAnsi="Times New Roman" w:cs="Cambria"/>
                <w:snapToGrid w:val="0"/>
                <w:color w:val="auto"/>
                <w:kern w:val="0"/>
                <w:sz w:val="21"/>
                <w:szCs w:val="21"/>
                <w:highlight w:val="none"/>
                <w:lang w:val="en-US" w:eastAsia="zh-CN"/>
              </w:rPr>
              <w:t>1</w:t>
            </w:r>
          </w:p>
        </w:tc>
        <w:tc>
          <w:tcPr>
            <w:tcW w:w="1360" w:type="dxa"/>
            <w:tcBorders>
              <w:top w:val="single" w:color="auto" w:sz="4" w:space="0"/>
              <w:left w:val="single" w:color="auto" w:sz="4" w:space="0"/>
              <w:bottom w:val="single" w:color="auto" w:sz="4" w:space="0"/>
              <w:right w:val="single" w:color="auto" w:sz="4" w:space="0"/>
            </w:tcBorders>
            <w:noWrap/>
            <w:vAlign w:val="center"/>
          </w:tcPr>
          <w:p w14:paraId="111BBA45">
            <w:pPr>
              <w:spacing w:line="360" w:lineRule="auto"/>
              <w:ind w:firstLine="0" w:firstLineChars="0"/>
              <w:jc w:val="center"/>
              <w:rPr>
                <w:rFonts w:hint="eastAsia" w:ascii="Times New Roman" w:hAnsi="Times New Roman" w:eastAsia="宋体" w:cs="Cambria"/>
                <w:snapToGrid w:val="0"/>
                <w:color w:val="auto"/>
                <w:kern w:val="0"/>
                <w:sz w:val="21"/>
                <w:szCs w:val="21"/>
                <w:highlight w:val="none"/>
                <w:lang w:val="en-US" w:eastAsia="zh-CN"/>
              </w:rPr>
            </w:pPr>
            <w:r>
              <w:rPr>
                <w:rFonts w:hint="eastAsia" w:ascii="Times New Roman" w:hAnsi="Times New Roman" w:cs="Cambria"/>
                <w:snapToGrid w:val="0"/>
                <w:color w:val="auto"/>
                <w:kern w:val="0"/>
                <w:sz w:val="21"/>
                <w:szCs w:val="21"/>
                <w:highlight w:val="none"/>
                <w:lang w:val="en-US" w:eastAsia="zh-CN"/>
              </w:rPr>
              <w:t>含税价</w:t>
            </w:r>
          </w:p>
        </w:tc>
      </w:tr>
    </w:tbl>
    <w:p w14:paraId="003E882B">
      <w:pPr>
        <w:pStyle w:val="3"/>
        <w:rPr>
          <w:rFonts w:ascii="Times New Roman" w:hAnsi="Times New Roman"/>
          <w:highlight w:val="none"/>
        </w:rPr>
      </w:pPr>
      <w:bookmarkStart w:id="8" w:name="_Toc288224935"/>
      <w:bookmarkStart w:id="9" w:name="_Toc469574664"/>
      <w:bookmarkStart w:id="10" w:name="_Toc55379219"/>
      <w:bookmarkStart w:id="11" w:name="_Toc297817088"/>
      <w:bookmarkStart w:id="12" w:name="_Toc89675128"/>
      <w:r>
        <w:rPr>
          <w:rFonts w:hint="eastAsia" w:ascii="Times New Roman" w:hAnsi="Times New Roman"/>
          <w:highlight w:val="none"/>
        </w:rPr>
        <w:t>2. 参选人资格要求</w:t>
      </w:r>
      <w:bookmarkEnd w:id="8"/>
      <w:bookmarkEnd w:id="9"/>
      <w:bookmarkEnd w:id="10"/>
      <w:bookmarkEnd w:id="11"/>
      <w:bookmarkEnd w:id="12"/>
    </w:p>
    <w:p w14:paraId="233BCD1B">
      <w:pPr>
        <w:rPr>
          <w:rFonts w:ascii="Times New Roman" w:hAnsi="Times New Roman"/>
          <w:color w:val="auto"/>
          <w:highlight w:val="none"/>
        </w:rPr>
      </w:pPr>
      <w:bookmarkStart w:id="13" w:name="_Hlk55488870"/>
      <w:r>
        <w:rPr>
          <w:rFonts w:hint="eastAsia" w:ascii="Times New Roman" w:hAnsi="Times New Roman"/>
          <w:color w:val="auto"/>
          <w:highlight w:val="none"/>
        </w:rPr>
        <w:t>2.1 具有独立承担民事责任的能力</w:t>
      </w:r>
    </w:p>
    <w:p w14:paraId="40C47E4F">
      <w:pPr>
        <w:rPr>
          <w:rFonts w:hint="eastAsia" w:ascii="Times New Roman" w:hAnsi="Times New Roman"/>
          <w:color w:val="auto"/>
          <w:highlight w:val="none"/>
        </w:rPr>
      </w:pPr>
      <w:r>
        <w:rPr>
          <w:rFonts w:hint="eastAsia" w:ascii="Times New Roman" w:hAnsi="Times New Roman"/>
          <w:color w:val="auto"/>
          <w:highlight w:val="none"/>
        </w:rPr>
        <w:t>【提供参选人有效营业执照（副本）或事业单位法人证书（副本）或个体工商户营业执照或有效的自然人身份证明；参选人法定代表人身份证明和法定代表人授权委托书。】</w:t>
      </w:r>
    </w:p>
    <w:p w14:paraId="45C0A2C7">
      <w:pPr>
        <w:ind w:firstLine="480"/>
        <w:rPr>
          <w:highlight w:val="none"/>
        </w:rPr>
      </w:pPr>
      <w:r>
        <w:rPr>
          <w:rFonts w:hint="eastAsia" w:ascii="Times New Roman" w:hAnsi="Times New Roman"/>
          <w:highlight w:val="none"/>
        </w:rPr>
        <w:t>注：若为法定代表人办理并签署参选文件的，不提供授权代表委托书。</w:t>
      </w:r>
    </w:p>
    <w:p w14:paraId="5C147629">
      <w:pPr>
        <w:rPr>
          <w:rFonts w:ascii="Times New Roman" w:hAnsi="Times New Roman"/>
          <w:highlight w:val="none"/>
        </w:rPr>
      </w:pPr>
      <w:r>
        <w:rPr>
          <w:rFonts w:hint="eastAsia" w:ascii="Times New Roman" w:hAnsi="Times New Roman"/>
          <w:highlight w:val="none"/>
        </w:rPr>
        <w:t>2.2 具有良好的商业信誉和健全的财务会计制度【提供书面声明】；</w:t>
      </w:r>
    </w:p>
    <w:p w14:paraId="3BA995A9">
      <w:pPr>
        <w:rPr>
          <w:rFonts w:ascii="Times New Roman" w:hAnsi="Times New Roman"/>
          <w:highlight w:val="none"/>
        </w:rPr>
      </w:pPr>
      <w:r>
        <w:rPr>
          <w:rFonts w:hint="eastAsia" w:ascii="Times New Roman" w:hAnsi="Times New Roman"/>
          <w:highlight w:val="none"/>
        </w:rPr>
        <w:t>2.3 具有履行合同所必需的设备和专业技术能力【提供书面声明】；</w:t>
      </w:r>
    </w:p>
    <w:p w14:paraId="4613ACBD">
      <w:pPr>
        <w:rPr>
          <w:rFonts w:ascii="Times New Roman" w:hAnsi="Times New Roman"/>
          <w:highlight w:val="none"/>
        </w:rPr>
      </w:pPr>
      <w:r>
        <w:rPr>
          <w:rFonts w:hint="eastAsia" w:ascii="Times New Roman" w:hAnsi="Times New Roman"/>
          <w:highlight w:val="none"/>
        </w:rPr>
        <w:t>2.4 有依法缴纳税收和社会保障金的良好记录【提供书面声明】；</w:t>
      </w:r>
    </w:p>
    <w:p w14:paraId="192069A3">
      <w:pPr>
        <w:rPr>
          <w:rFonts w:ascii="Times New Roman" w:hAnsi="Times New Roman"/>
          <w:highlight w:val="none"/>
        </w:rPr>
      </w:pPr>
      <w:r>
        <w:rPr>
          <w:rFonts w:hint="eastAsia" w:ascii="Times New Roman" w:hAnsi="Times New Roman"/>
          <w:highlight w:val="none"/>
        </w:rPr>
        <w:t>2.5 三年内在经营活动中没有重大违法记录【提供书面声明】；</w:t>
      </w:r>
    </w:p>
    <w:p w14:paraId="463DEDDF">
      <w:pPr>
        <w:rPr>
          <w:rFonts w:ascii="Times New Roman" w:hAnsi="Times New Roman"/>
          <w:highlight w:val="none"/>
        </w:rPr>
      </w:pPr>
      <w:r>
        <w:rPr>
          <w:rFonts w:hint="eastAsia" w:ascii="Times New Roman" w:hAnsi="Times New Roman"/>
          <w:highlight w:val="none"/>
        </w:rPr>
        <w:t>2.6 法人及法定代表人没有被人民法院列为失信被执行人名单【提供中国执行信息公开网截图并加盖单位鲜章】；</w:t>
      </w:r>
    </w:p>
    <w:p w14:paraId="755CAFC9">
      <w:pPr>
        <w:rPr>
          <w:rFonts w:ascii="Times New Roman" w:hAnsi="Times New Roman"/>
          <w:highlight w:val="none"/>
        </w:rPr>
      </w:pPr>
      <w:r>
        <w:rPr>
          <w:rFonts w:hint="eastAsia" w:ascii="Times New Roman" w:hAnsi="Times New Roman"/>
          <w:highlight w:val="none"/>
        </w:rPr>
        <w:t>2.7 本项目不允许任何形式的转包【提供书面声明】。</w:t>
      </w:r>
    </w:p>
    <w:p w14:paraId="36C91B3B">
      <w:pPr>
        <w:rPr>
          <w:rFonts w:ascii="Times New Roman" w:hAnsi="Times New Roman"/>
          <w:color w:val="auto"/>
          <w:highlight w:val="none"/>
        </w:rPr>
      </w:pPr>
      <w:r>
        <w:rPr>
          <w:rFonts w:hint="eastAsia" w:ascii="Times New Roman" w:hAnsi="Times New Roman"/>
          <w:color w:val="auto"/>
          <w:highlight w:val="none"/>
        </w:rPr>
        <w:t>2.8 本次</w:t>
      </w:r>
      <w:r>
        <w:rPr>
          <w:rFonts w:hint="eastAsia" w:ascii="Times New Roman" w:hAnsi="Times New Roman"/>
          <w:color w:val="auto"/>
          <w:highlight w:val="none"/>
          <w:lang w:eastAsia="zh-CN"/>
        </w:rPr>
        <w:t>比选</w:t>
      </w:r>
      <w:r>
        <w:rPr>
          <w:rFonts w:hint="eastAsia" w:ascii="Times New Roman" w:hAnsi="Times New Roman"/>
          <w:color w:val="auto"/>
          <w:highlight w:val="none"/>
        </w:rPr>
        <w:t>不接受联合体参选。</w:t>
      </w:r>
    </w:p>
    <w:p w14:paraId="15C962D2">
      <w:pPr>
        <w:rPr>
          <w:rFonts w:hint="eastAsia" w:ascii="Times New Roman" w:hAnsi="Times New Roman" w:cs="Times New Roman"/>
          <w:highlight w:val="none"/>
          <w:lang w:eastAsia="zh-CN"/>
        </w:rPr>
      </w:pPr>
      <w:r>
        <w:rPr>
          <w:rFonts w:hint="eastAsia" w:ascii="Times New Roman" w:hAnsi="Times New Roman"/>
          <w:color w:val="auto"/>
          <w:highlight w:val="none"/>
        </w:rPr>
        <w:t xml:space="preserve">2.9 </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20</w:t>
      </w:r>
      <w:r>
        <w:rPr>
          <w:rFonts w:hint="eastAsia" w:ascii="Times New Roman" w:hAnsi="Times New Roman"/>
          <w:color w:val="auto"/>
          <w:highlight w:val="none"/>
          <w:lang w:val="en-US" w:eastAsia="zh-CN"/>
        </w:rPr>
        <w:t>21</w:t>
      </w:r>
      <w:r>
        <w:rPr>
          <w:rFonts w:hint="eastAsia" w:ascii="Times New Roman" w:hAnsi="Times New Roman"/>
          <w:color w:val="auto"/>
          <w:highlight w:val="none"/>
        </w:rPr>
        <w:t>年</w:t>
      </w:r>
      <w:r>
        <w:rPr>
          <w:rFonts w:hint="eastAsia" w:ascii="Times New Roman" w:hAnsi="Times New Roman"/>
          <w:color w:val="auto"/>
          <w:highlight w:val="none"/>
          <w:lang w:val="en-US" w:eastAsia="zh-CN"/>
        </w:rPr>
        <w:t>1</w:t>
      </w:r>
      <w:r>
        <w:rPr>
          <w:rFonts w:hint="eastAsia" w:ascii="Times New Roman" w:hAnsi="Times New Roman"/>
          <w:color w:val="auto"/>
          <w:highlight w:val="none"/>
        </w:rPr>
        <w:t>月1日至今</w:t>
      </w:r>
      <w:r>
        <w:rPr>
          <w:rFonts w:hint="eastAsia"/>
          <w:color w:val="auto"/>
          <w:highlight w:val="none"/>
          <w:lang w:eastAsia="zh-CN"/>
        </w:rPr>
        <w:t>（</w:t>
      </w:r>
      <w:r>
        <w:rPr>
          <w:rFonts w:hint="eastAsia"/>
          <w:color w:val="auto"/>
          <w:highlight w:val="none"/>
          <w:lang w:val="en-US" w:eastAsia="zh-CN"/>
        </w:rPr>
        <w:t>以合同签订时间为准</w:t>
      </w:r>
      <w:r>
        <w:rPr>
          <w:rFonts w:hint="eastAsia"/>
          <w:color w:val="auto"/>
          <w:highlight w:val="none"/>
          <w:lang w:eastAsia="zh-CN"/>
        </w:rPr>
        <w:t>）</w:t>
      </w:r>
      <w:r>
        <w:rPr>
          <w:rFonts w:hint="eastAsia" w:ascii="Times New Roman" w:hAnsi="Times New Roman"/>
          <w:color w:val="auto"/>
          <w:highlight w:val="none"/>
        </w:rPr>
        <w:t>具有</w:t>
      </w:r>
      <w:r>
        <w:rPr>
          <w:rFonts w:hint="eastAsia" w:ascii="Times New Roman" w:hAnsi="Times New Roman"/>
          <w:color w:val="auto"/>
          <w:highlight w:val="none"/>
          <w:lang w:val="en-US" w:eastAsia="zh-CN"/>
        </w:rPr>
        <w:t>金融业网络安全攻防竞赛服务项目相关案例</w:t>
      </w:r>
      <w:r>
        <w:rPr>
          <w:rFonts w:hint="eastAsia" w:ascii="Times New Roman" w:hAnsi="Times New Roman"/>
          <w:color w:val="auto"/>
          <w:highlight w:val="none"/>
        </w:rPr>
        <w:t>不少于</w:t>
      </w:r>
      <w:r>
        <w:rPr>
          <w:rFonts w:hint="eastAsia" w:ascii="Times New Roman" w:hAnsi="Times New Roman"/>
          <w:color w:val="auto"/>
          <w:highlight w:val="none"/>
          <w:lang w:val="en-US" w:eastAsia="zh-CN"/>
        </w:rPr>
        <w:t>1个</w:t>
      </w:r>
      <w:r>
        <w:rPr>
          <w:rFonts w:hint="eastAsia" w:ascii="Times New Roman" w:hAnsi="Times New Roman"/>
          <w:color w:val="auto"/>
          <w:highlight w:val="none"/>
        </w:rPr>
        <w:t>，低于</w:t>
      </w:r>
      <w:r>
        <w:rPr>
          <w:rFonts w:hint="eastAsia" w:ascii="Times New Roman" w:hAnsi="Times New Roman"/>
          <w:color w:val="auto"/>
          <w:highlight w:val="none"/>
          <w:lang w:val="en-US" w:eastAsia="zh-CN"/>
        </w:rPr>
        <w:t>1</w:t>
      </w:r>
      <w:r>
        <w:rPr>
          <w:rFonts w:hint="eastAsia" w:ascii="Times New Roman" w:hAnsi="Times New Roman"/>
          <w:color w:val="auto"/>
          <w:highlight w:val="none"/>
        </w:rPr>
        <w:t>个案例（不含</w:t>
      </w:r>
      <w:r>
        <w:rPr>
          <w:rFonts w:hint="eastAsia" w:ascii="Times New Roman" w:hAnsi="Times New Roman"/>
          <w:color w:val="auto"/>
          <w:highlight w:val="none"/>
          <w:lang w:val="en-US" w:eastAsia="zh-CN"/>
        </w:rPr>
        <w:t>1</w:t>
      </w:r>
      <w:r>
        <w:rPr>
          <w:rFonts w:hint="eastAsia" w:ascii="Times New Roman" w:hAnsi="Times New Roman"/>
          <w:color w:val="auto"/>
          <w:highlight w:val="none"/>
        </w:rPr>
        <w:t>个）取消参选资质</w:t>
      </w:r>
      <w:r>
        <w:rPr>
          <w:rFonts w:hint="eastAsia" w:ascii="Times New Roman" w:hAnsi="Times New Roman"/>
          <w:color w:val="auto"/>
          <w:highlight w:val="none"/>
          <w:lang w:eastAsia="zh-CN"/>
        </w:rPr>
        <w:t>，</w:t>
      </w:r>
      <w:r>
        <w:rPr>
          <w:rFonts w:hint="eastAsia" w:ascii="Times New Roman" w:hAnsi="Times New Roman" w:cs="Times New Roman"/>
          <w:color w:val="auto"/>
          <w:highlight w:val="none"/>
          <w:lang w:val="en-US" w:eastAsia="zh-CN"/>
        </w:rPr>
        <w:t>不接受代理服务商参选</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提供项目实施案例合同关键页，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s="Times New Roman"/>
          <w:color w:val="auto"/>
          <w:kern w:val="2"/>
          <w:sz w:val="24"/>
          <w:szCs w:val="20"/>
          <w:highlight w:val="none"/>
        </w:rPr>
        <w:t>（合同关键字包括但不限于“网络安全攻防竞赛”、“网络安全竞赛”</w:t>
      </w:r>
      <w:r>
        <w:rPr>
          <w:rFonts w:hint="eastAsia" w:ascii="Times New Roman" w:hAnsi="Times New Roman" w:cs="Times New Roman"/>
          <w:highlight w:val="none"/>
          <w:lang w:eastAsia="zh-CN"/>
        </w:rPr>
        <w:t>】</w:t>
      </w:r>
    </w:p>
    <w:p w14:paraId="25C6562F">
      <w:pPr>
        <w:rPr>
          <w:rFonts w:hint="eastAsia" w:ascii="Times New Roman" w:hAnsi="Times New Roman" w:eastAsia="宋体" w:cs="Times New Roman"/>
          <w:color w:val="auto"/>
          <w:highlight w:val="none"/>
          <w:lang w:eastAsia="zh-CN"/>
        </w:rPr>
      </w:pPr>
      <w:r>
        <w:rPr>
          <w:rFonts w:hint="eastAsia" w:ascii="Times New Roman" w:hAnsi="Times New Roman"/>
          <w:color w:val="auto"/>
          <w:highlight w:val="none"/>
        </w:rPr>
        <w:t xml:space="preserve">2.10 </w:t>
      </w:r>
      <w:r>
        <w:rPr>
          <w:rFonts w:hint="eastAsia" w:ascii="宋体" w:cs="Cambria"/>
          <w:color w:val="auto"/>
          <w:szCs w:val="24"/>
          <w:highlight w:val="none"/>
        </w:rPr>
        <w:t>参选人</w:t>
      </w:r>
      <w:r>
        <w:rPr>
          <w:rFonts w:hint="eastAsia" w:ascii="宋体" w:cs="Cambria"/>
          <w:color w:val="auto"/>
          <w:szCs w:val="24"/>
          <w:highlight w:val="none"/>
          <w:lang w:val="en-US" w:eastAsia="zh-CN"/>
        </w:rPr>
        <w:t>应</w:t>
      </w:r>
      <w:r>
        <w:rPr>
          <w:rFonts w:hint="eastAsia" w:ascii="宋体" w:cs="Cambria"/>
          <w:color w:val="auto"/>
          <w:szCs w:val="24"/>
          <w:highlight w:val="none"/>
        </w:rPr>
        <w:t>具备</w:t>
      </w:r>
      <w:r>
        <w:rPr>
          <w:rFonts w:hint="eastAsia" w:ascii="宋体" w:eastAsia="宋体" w:cs="Cambria"/>
          <w:color w:val="auto"/>
          <w:szCs w:val="24"/>
          <w:highlight w:val="none"/>
          <w:lang w:val="en-US" w:eastAsia="zh-CN"/>
        </w:rPr>
        <w:t>中国信息安全测评中心信息安全服务资质证书（安全工程类三级）</w:t>
      </w:r>
      <w:r>
        <w:rPr>
          <w:rStyle w:val="24"/>
          <w:rFonts w:hint="eastAsia" w:ascii="Times New Roman" w:hAnsi="Times New Roman"/>
          <w:color w:val="auto"/>
          <w:highlight w:val="none"/>
          <w:lang w:eastAsia="zh-CN"/>
        </w:rPr>
        <w:t>，</w:t>
      </w:r>
      <w:r>
        <w:rPr>
          <w:rFonts w:hint="eastAsia" w:ascii="宋体" w:cs="宋体"/>
          <w:bCs/>
          <w:snapToGrid w:val="0"/>
          <w:color w:val="auto"/>
          <w:kern w:val="0"/>
          <w:sz w:val="24"/>
          <w:szCs w:val="24"/>
          <w:highlight w:val="none"/>
        </w:rPr>
        <w:t>等级由低至高分别为三级、二级、一级；</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提供证书复印件并加盖供应商公章</w:t>
      </w:r>
      <w:r>
        <w:rPr>
          <w:rFonts w:hint="eastAsia" w:ascii="Times New Roman" w:hAnsi="Times New Roman" w:cs="Times New Roman"/>
          <w:color w:val="auto"/>
          <w:highlight w:val="none"/>
          <w:lang w:eastAsia="zh-CN"/>
        </w:rPr>
        <w:t>】</w:t>
      </w:r>
    </w:p>
    <w:p w14:paraId="55DEADE4">
      <w:pPr>
        <w:pStyle w:val="12"/>
        <w:spacing w:line="360" w:lineRule="auto"/>
        <w:ind w:firstLine="480" w:firstLineChars="200"/>
        <w:rPr>
          <w:rFonts w:eastAsia="宋体"/>
          <w:color w:val="auto"/>
          <w:highlight w:val="none"/>
          <w:lang w:val="en-US" w:eastAsia="zh-CN"/>
        </w:rPr>
      </w:pPr>
      <w:r>
        <w:rPr>
          <w:rFonts w:ascii="Times New Roman" w:hAnsi="Times New Roman" w:cs="Times New Roman"/>
          <w:bCs/>
          <w:snapToGrid w:val="0"/>
          <w:color w:val="auto"/>
          <w:kern w:val="0"/>
          <w:sz w:val="24"/>
          <w:szCs w:val="24"/>
          <w:highlight w:val="none"/>
          <w:lang w:val="en-US" w:eastAsia="zh-CN"/>
        </w:rPr>
        <w:t>2.11</w:t>
      </w:r>
      <w:r>
        <w:rPr>
          <w:rFonts w:hint="eastAsia" w:ascii="宋体" w:cs="宋体"/>
          <w:bCs/>
          <w:snapToGrid w:val="0"/>
          <w:color w:val="auto"/>
          <w:kern w:val="0"/>
          <w:sz w:val="24"/>
          <w:szCs w:val="24"/>
          <w:highlight w:val="none"/>
          <w:lang w:val="en-US" w:eastAsia="zh-CN"/>
        </w:rPr>
        <w:t xml:space="preserve"> </w:t>
      </w:r>
      <w:r>
        <w:rPr>
          <w:rFonts w:ascii="宋体" w:cs="宋体"/>
          <w:bCs/>
          <w:snapToGrid w:val="0"/>
          <w:color w:val="auto"/>
          <w:kern w:val="0"/>
          <w:sz w:val="24"/>
          <w:szCs w:val="24"/>
          <w:highlight w:val="none"/>
          <w:lang w:val="en-US" w:eastAsia="zh-CN"/>
        </w:rPr>
        <w:t>参选</w:t>
      </w:r>
      <w:r>
        <w:rPr>
          <w:rFonts w:hint="eastAsia" w:ascii="宋体" w:eastAsia="宋体" w:cs="宋体"/>
          <w:snapToGrid w:val="0"/>
          <w:color w:val="auto"/>
          <w:kern w:val="0"/>
          <w:sz w:val="24"/>
          <w:szCs w:val="24"/>
          <w:highlight w:val="none"/>
          <w:lang w:val="en-US" w:eastAsia="zh-CN" w:bidi="ar-SA"/>
        </w:rPr>
        <w:t>人须为原服务提供商，不接受代理商</w:t>
      </w:r>
      <w:r>
        <w:rPr>
          <w:rFonts w:ascii="宋体" w:eastAsia="宋体" w:cs="宋体"/>
          <w:snapToGrid w:val="0"/>
          <w:color w:val="auto"/>
          <w:kern w:val="0"/>
          <w:sz w:val="24"/>
          <w:szCs w:val="24"/>
          <w:highlight w:val="none"/>
          <w:lang w:val="en-US" w:eastAsia="zh-CN" w:bidi="ar-SA"/>
        </w:rPr>
        <w:t>参选</w:t>
      </w:r>
      <w:r>
        <w:rPr>
          <w:rFonts w:hint="eastAsia" w:ascii="宋体" w:eastAsia="宋体" w:cs="宋体"/>
          <w:snapToGrid w:val="0"/>
          <w:color w:val="auto"/>
          <w:kern w:val="0"/>
          <w:sz w:val="24"/>
          <w:szCs w:val="24"/>
          <w:highlight w:val="none"/>
          <w:lang w:val="en-US" w:eastAsia="zh-CN" w:bidi="ar-SA"/>
        </w:rPr>
        <w:t>。</w:t>
      </w:r>
      <w:r>
        <w:rPr>
          <w:rFonts w:hint="eastAsia" w:ascii="宋体" w:cs="宋体"/>
          <w:snapToGrid w:val="0"/>
          <w:color w:val="auto"/>
          <w:kern w:val="0"/>
          <w:sz w:val="24"/>
          <w:szCs w:val="24"/>
          <w:highlight w:val="none"/>
          <w:lang w:val="en-US" w:eastAsia="zh-CN" w:bidi="ar-SA"/>
        </w:rPr>
        <w:t>【提供原服务提供商证明】</w:t>
      </w:r>
    </w:p>
    <w:p w14:paraId="014FE0B7">
      <w:pPr>
        <w:rPr>
          <w:rFonts w:ascii="Times New Roman" w:hAnsi="Times New Roman"/>
          <w:highlight w:val="none"/>
        </w:rPr>
      </w:pPr>
      <w:r>
        <w:rPr>
          <w:rFonts w:hint="eastAsia" w:ascii="Times New Roman" w:hAnsi="Times New Roman"/>
          <w:highlight w:val="none"/>
        </w:rPr>
        <w:t>注:以上证明文件若比选人存疑，参选人需提供原件备查，参选文件中须附相关证明文件复印件并逐页加盖公章。</w:t>
      </w:r>
    </w:p>
    <w:p w14:paraId="7180514E">
      <w:pPr>
        <w:rPr>
          <w:rFonts w:ascii="Times New Roman" w:hAnsi="Times New Roman"/>
          <w:color w:val="auto"/>
          <w:highlight w:val="none"/>
        </w:rPr>
      </w:pPr>
      <w:r>
        <w:rPr>
          <w:rFonts w:hint="eastAsia" w:ascii="Times New Roman" w:hAnsi="Times New Roman"/>
          <w:highlight w:val="none"/>
        </w:rPr>
        <w:t>本次</w:t>
      </w:r>
      <w:r>
        <w:rPr>
          <w:rFonts w:ascii="Times New Roman" w:hAnsi="Times New Roman"/>
          <w:highlight w:val="none"/>
        </w:rPr>
        <w:t>比选</w:t>
      </w:r>
      <w:r>
        <w:rPr>
          <w:rFonts w:hint="eastAsia" w:ascii="Times New Roman" w:hAnsi="Times New Roman"/>
          <w:highlight w:val="none"/>
        </w:rPr>
        <w:t>不接受曾因参选人的违约行为与比选人发生过纠纷的参选人；</w:t>
      </w:r>
      <w:r>
        <w:rPr>
          <w:rFonts w:ascii="Times New Roman" w:hAnsi="Times New Roman"/>
          <w:highlight w:val="none"/>
        </w:rPr>
        <w:t>不接受</w:t>
      </w:r>
      <w:r>
        <w:rPr>
          <w:rFonts w:hint="eastAsia" w:ascii="Times New Roman" w:hAnsi="Times New Roman"/>
          <w:highlight w:val="none"/>
        </w:rPr>
        <w:t>与比选人合作过程中不遵守比选文件及合同约定的</w:t>
      </w:r>
      <w:r>
        <w:rPr>
          <w:rFonts w:ascii="Times New Roman" w:hAnsi="Times New Roman"/>
          <w:highlight w:val="none"/>
        </w:rPr>
        <w:t>参选人</w:t>
      </w:r>
      <w:r>
        <w:rPr>
          <w:rFonts w:hint="eastAsia" w:ascii="Times New Roman" w:hAnsi="Times New Roman"/>
          <w:highlight w:val="none"/>
        </w:rPr>
        <w:t>；</w:t>
      </w:r>
      <w:r>
        <w:rPr>
          <w:rFonts w:ascii="Times New Roman" w:hAnsi="Times New Roman"/>
          <w:highlight w:val="none"/>
        </w:rPr>
        <w:t>不接受</w:t>
      </w:r>
      <w:r>
        <w:rPr>
          <w:rFonts w:hint="eastAsia" w:ascii="Times New Roman" w:hAnsi="Times New Roman"/>
          <w:highlight w:val="none"/>
        </w:rPr>
        <w:t>曾在</w:t>
      </w:r>
      <w:r>
        <w:rPr>
          <w:rFonts w:ascii="Times New Roman" w:hAnsi="Times New Roman"/>
          <w:highlight w:val="none"/>
        </w:rPr>
        <w:t>比选人</w:t>
      </w:r>
      <w:r>
        <w:rPr>
          <w:rFonts w:hint="eastAsia" w:ascii="Times New Roman" w:hAnsi="Times New Roman"/>
          <w:highlight w:val="none"/>
        </w:rPr>
        <w:t>项目</w:t>
      </w:r>
      <w:r>
        <w:rPr>
          <w:rFonts w:ascii="Times New Roman" w:hAnsi="Times New Roman"/>
          <w:highlight w:val="none"/>
        </w:rPr>
        <w:t>中存在</w:t>
      </w:r>
      <w:r>
        <w:rPr>
          <w:rFonts w:hint="eastAsia" w:ascii="Times New Roman" w:hAnsi="Times New Roman"/>
          <w:highlight w:val="none"/>
        </w:rPr>
        <w:t>弄虚作假行为的</w:t>
      </w:r>
      <w:r>
        <w:rPr>
          <w:rFonts w:ascii="Times New Roman" w:hAnsi="Times New Roman"/>
          <w:highlight w:val="none"/>
        </w:rPr>
        <w:t>参选人。若</w:t>
      </w:r>
      <w:r>
        <w:rPr>
          <w:rFonts w:hint="eastAsia" w:ascii="Times New Roman" w:hAnsi="Times New Roman"/>
          <w:highlight w:val="none"/>
        </w:rPr>
        <w:t>参选人</w:t>
      </w:r>
      <w:r>
        <w:rPr>
          <w:rFonts w:ascii="Times New Roman" w:hAnsi="Times New Roman"/>
          <w:highlight w:val="none"/>
        </w:rPr>
        <w:t>存在上述情况，比选人</w:t>
      </w:r>
      <w:r>
        <w:rPr>
          <w:rFonts w:hint="eastAsia" w:ascii="Times New Roman" w:hAnsi="Times New Roman"/>
          <w:highlight w:val="none"/>
        </w:rPr>
        <w:t>将</w:t>
      </w:r>
      <w:r>
        <w:rPr>
          <w:rFonts w:ascii="Times New Roman" w:hAnsi="Times New Roman"/>
          <w:highlight w:val="none"/>
        </w:rPr>
        <w:t>有权</w:t>
      </w:r>
      <w:r>
        <w:rPr>
          <w:rFonts w:hint="eastAsia" w:ascii="Times New Roman" w:hAnsi="Times New Roman"/>
          <w:highlight w:val="none"/>
        </w:rPr>
        <w:t>随时</w:t>
      </w:r>
      <w:r>
        <w:rPr>
          <w:rFonts w:ascii="Times New Roman" w:hAnsi="Times New Roman"/>
          <w:highlight w:val="none"/>
        </w:rPr>
        <w:t>取消其参选资格或</w:t>
      </w:r>
      <w:r>
        <w:rPr>
          <w:rFonts w:hint="eastAsia" w:ascii="Times New Roman" w:hAnsi="Times New Roman"/>
          <w:highlight w:val="none"/>
        </w:rPr>
        <w:t>中选</w:t>
      </w:r>
      <w:r>
        <w:rPr>
          <w:rFonts w:ascii="Times New Roman" w:hAnsi="Times New Roman"/>
          <w:highlight w:val="none"/>
        </w:rPr>
        <w:t>资格（</w:t>
      </w:r>
      <w:r>
        <w:rPr>
          <w:rFonts w:hint="eastAsia" w:ascii="Times New Roman" w:hAnsi="Times New Roman"/>
          <w:highlight w:val="none"/>
        </w:rPr>
        <w:t>若</w:t>
      </w:r>
      <w:r>
        <w:rPr>
          <w:rFonts w:ascii="Times New Roman" w:hAnsi="Times New Roman"/>
          <w:highlight w:val="none"/>
        </w:rPr>
        <w:t>签署合同后发现的则有权解除合同）</w:t>
      </w:r>
      <w:r>
        <w:rPr>
          <w:rFonts w:hint="eastAsia" w:ascii="Times New Roman" w:hAnsi="Times New Roman"/>
          <w:highlight w:val="none"/>
        </w:rPr>
        <w:t>，没收</w:t>
      </w:r>
      <w:r>
        <w:rPr>
          <w:rFonts w:ascii="Times New Roman" w:hAnsi="Times New Roman"/>
          <w:highlight w:val="none"/>
        </w:rPr>
        <w:t>其</w:t>
      </w:r>
      <w:r>
        <w:rPr>
          <w:rFonts w:hint="eastAsia" w:ascii="Times New Roman" w:hAnsi="Times New Roman"/>
          <w:highlight w:val="none"/>
        </w:rPr>
        <w:t>参选</w:t>
      </w:r>
      <w:r>
        <w:rPr>
          <w:rFonts w:ascii="Times New Roman" w:hAnsi="Times New Roman"/>
          <w:highlight w:val="none"/>
        </w:rPr>
        <w:t>保证金，并追究其相应的法律责任。</w:t>
      </w:r>
      <w:r>
        <w:rPr>
          <w:rFonts w:hint="eastAsia" w:ascii="Times New Roman" w:hAnsi="Times New Roman"/>
          <w:highlight w:val="none"/>
        </w:rPr>
        <w:t>截止</w:t>
      </w:r>
      <w:r>
        <w:rPr>
          <w:rFonts w:ascii="Times New Roman" w:hAnsi="Times New Roman"/>
          <w:highlight w:val="none"/>
        </w:rPr>
        <w:t>挂网日，</w:t>
      </w:r>
      <w:r>
        <w:rPr>
          <w:rFonts w:hint="eastAsia" w:ascii="Times New Roman" w:hAnsi="Times New Roman"/>
          <w:highlight w:val="none"/>
        </w:rPr>
        <w:t>存在</w:t>
      </w:r>
      <w:r>
        <w:rPr>
          <w:rFonts w:ascii="Times New Roman" w:hAnsi="Times New Roman"/>
          <w:highlight w:val="none"/>
        </w:rPr>
        <w:t>上述情况的公司</w:t>
      </w:r>
      <w:r>
        <w:rPr>
          <w:rFonts w:hint="eastAsia" w:ascii="Times New Roman" w:hAnsi="Times New Roman"/>
          <w:highlight w:val="none"/>
        </w:rPr>
        <w:t>已纳入</w:t>
      </w:r>
      <w:r>
        <w:rPr>
          <w:rFonts w:ascii="Times New Roman" w:hAnsi="Times New Roman"/>
          <w:highlight w:val="none"/>
        </w:rPr>
        <w:t>下列清单</w:t>
      </w:r>
      <w:r>
        <w:rPr>
          <w:rFonts w:hint="eastAsia" w:ascii="Times New Roman" w:hAnsi="Times New Roman"/>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4CE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14:paraId="4C9A6B3E">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Borders>
              <w:top w:val="single" w:color="auto" w:sz="4" w:space="0"/>
              <w:left w:val="single" w:color="auto" w:sz="4" w:space="0"/>
              <w:bottom w:val="single" w:color="auto" w:sz="4" w:space="0"/>
              <w:right w:val="single" w:color="auto" w:sz="4" w:space="0"/>
            </w:tcBorders>
            <w:noWrap/>
          </w:tcPr>
          <w:p w14:paraId="748C6C41">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73A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tcPr>
          <w:p w14:paraId="616CFC5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top w:val="single" w:color="auto" w:sz="4" w:space="0"/>
              <w:left w:val="single" w:color="auto" w:sz="4" w:space="0"/>
              <w:bottom w:val="single" w:color="auto" w:sz="4" w:space="0"/>
              <w:right w:val="single" w:color="auto" w:sz="4" w:space="0"/>
            </w:tcBorders>
            <w:noWrap/>
          </w:tcPr>
          <w:p w14:paraId="0339DF05">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0E96EE10">
      <w:pPr>
        <w:rPr>
          <w:rFonts w:ascii="Times New Roman" w:hAnsi="Times New Roman"/>
          <w:highlight w:val="none"/>
        </w:rPr>
      </w:pPr>
    </w:p>
    <w:bookmarkEnd w:id="13"/>
    <w:p w14:paraId="22E0C016">
      <w:pPr>
        <w:pStyle w:val="3"/>
        <w:rPr>
          <w:rFonts w:ascii="Times New Roman" w:hAnsi="Times New Roman"/>
          <w:highlight w:val="none"/>
        </w:rPr>
      </w:pPr>
      <w:bookmarkStart w:id="14" w:name="_Toc55379220"/>
      <w:bookmarkStart w:id="15" w:name="_Toc297817090"/>
      <w:bookmarkStart w:id="16" w:name="_Toc89675130"/>
      <w:bookmarkStart w:id="17" w:name="_Toc469574667"/>
      <w:r>
        <w:rPr>
          <w:rFonts w:hint="eastAsia" w:ascii="Times New Roman" w:hAnsi="Times New Roman"/>
          <w:highlight w:val="none"/>
        </w:rPr>
        <w:t>3. 比选文件的获取</w:t>
      </w:r>
      <w:bookmarkEnd w:id="14"/>
    </w:p>
    <w:p w14:paraId="5B34CE47">
      <w:pPr>
        <w:rPr>
          <w:rFonts w:ascii="Times New Roman" w:hAnsi="Times New Roman"/>
          <w:highlight w:val="none"/>
        </w:rPr>
      </w:pPr>
      <w:r>
        <w:rPr>
          <w:rFonts w:hint="eastAsia" w:ascii="Times New Roman" w:hAnsi="Times New Roman"/>
          <w:highlight w:val="none"/>
        </w:rPr>
        <w:t>3.1 获取时间和方式：从</w:t>
      </w:r>
      <w:r>
        <w:rPr>
          <w:rFonts w:hint="eastAsia" w:ascii="Times New Roman" w:hAnsi="Times New Roman"/>
          <w:highlight w:val="none"/>
          <w:u w:val="none"/>
          <w:lang w:val="en-US" w:eastAsia="zh-CN"/>
        </w:rPr>
        <w:t>2024</w:t>
      </w:r>
      <w:r>
        <w:rPr>
          <w:rFonts w:hint="eastAsia" w:ascii="Times New Roman" w:hAnsi="Times New Roman"/>
          <w:highlight w:val="none"/>
          <w:u w:val="none"/>
        </w:rPr>
        <w:t>年</w:t>
      </w:r>
      <w:r>
        <w:rPr>
          <w:rFonts w:hint="eastAsia" w:ascii="Times New Roman" w:hAnsi="Times New Roman"/>
          <w:highlight w:val="none"/>
          <w:u w:val="none"/>
          <w:lang w:val="en-US" w:eastAsia="zh-CN"/>
        </w:rPr>
        <w:t>8</w:t>
      </w:r>
      <w:r>
        <w:rPr>
          <w:rFonts w:hint="eastAsia" w:ascii="Times New Roman" w:hAnsi="Times New Roman"/>
          <w:highlight w:val="none"/>
          <w:u w:val="none"/>
        </w:rPr>
        <w:t>月</w:t>
      </w:r>
      <w:r>
        <w:rPr>
          <w:rFonts w:hint="eastAsia" w:ascii="Times New Roman" w:hAnsi="Times New Roman"/>
          <w:highlight w:val="none"/>
          <w:u w:val="none"/>
          <w:lang w:val="en-US" w:eastAsia="zh-CN"/>
        </w:rPr>
        <w:t>8</w:t>
      </w:r>
      <w:r>
        <w:rPr>
          <w:rFonts w:hint="eastAsia" w:ascii="Times New Roman" w:hAnsi="Times New Roman"/>
          <w:highlight w:val="none"/>
          <w:u w:val="none"/>
        </w:rPr>
        <w:t>日到</w:t>
      </w:r>
      <w:r>
        <w:rPr>
          <w:rFonts w:hint="eastAsia" w:ascii="Times New Roman" w:hAnsi="Times New Roman"/>
          <w:highlight w:val="none"/>
          <w:u w:val="none"/>
          <w:lang w:val="en-US" w:eastAsia="zh-CN"/>
        </w:rPr>
        <w:t>2024</w:t>
      </w:r>
      <w:r>
        <w:rPr>
          <w:rFonts w:hint="eastAsia" w:ascii="Times New Roman" w:hAnsi="Times New Roman"/>
          <w:highlight w:val="none"/>
          <w:u w:val="none"/>
        </w:rPr>
        <w:t>年</w:t>
      </w:r>
      <w:r>
        <w:rPr>
          <w:rFonts w:hint="eastAsia" w:ascii="Times New Roman" w:hAnsi="Times New Roman"/>
          <w:highlight w:val="none"/>
          <w:u w:val="none"/>
          <w:lang w:val="en-US" w:eastAsia="zh-CN"/>
        </w:rPr>
        <w:t>8</w:t>
      </w:r>
      <w:r>
        <w:rPr>
          <w:rFonts w:hint="eastAsia" w:ascii="Times New Roman" w:hAnsi="Times New Roman"/>
          <w:highlight w:val="none"/>
          <w:u w:val="none"/>
        </w:rPr>
        <w:t>月</w:t>
      </w:r>
      <w:r>
        <w:rPr>
          <w:rFonts w:hint="eastAsia" w:ascii="Times New Roman" w:hAnsi="Times New Roman"/>
          <w:highlight w:val="none"/>
          <w:u w:val="none"/>
          <w:lang w:val="en-US" w:eastAsia="zh-CN"/>
        </w:rPr>
        <w:t>23</w:t>
      </w:r>
      <w:r>
        <w:rPr>
          <w:rFonts w:hint="eastAsia" w:ascii="Times New Roman" w:hAnsi="Times New Roman"/>
          <w:highlight w:val="none"/>
          <w:u w:val="none"/>
        </w:rPr>
        <w:t>日</w:t>
      </w:r>
      <w:r>
        <w:rPr>
          <w:rFonts w:hint="eastAsia" w:ascii="Times New Roman" w:hAnsi="Times New Roman"/>
          <w:highlight w:val="none"/>
          <w:u w:val="none"/>
          <w:lang w:val="en-US" w:eastAsia="zh-CN"/>
        </w:rPr>
        <w:t>9</w:t>
      </w:r>
      <w:r>
        <w:rPr>
          <w:rFonts w:hint="eastAsia" w:ascii="Times New Roman" w:hAnsi="Times New Roman"/>
          <w:highlight w:val="none"/>
          <w:u w:val="none"/>
        </w:rPr>
        <w:t>时</w:t>
      </w:r>
      <w:r>
        <w:rPr>
          <w:rFonts w:hint="eastAsia" w:ascii="Times New Roman" w:hAnsi="Times New Roman"/>
          <w:highlight w:val="none"/>
          <w:u w:val="none"/>
          <w:lang w:val="en-US" w:eastAsia="zh-CN"/>
        </w:rPr>
        <w:t>30</w:t>
      </w:r>
      <w:r>
        <w:rPr>
          <w:rFonts w:hint="eastAsia" w:ascii="Times New Roman" w:hAnsi="Times New Roman"/>
          <w:highlight w:val="none"/>
          <w:u w:val="none"/>
        </w:rPr>
        <w:t>分（北京时间）</w:t>
      </w:r>
      <w:r>
        <w:rPr>
          <w:rFonts w:hint="eastAsia" w:ascii="Times New Roman" w:hAnsi="Times New Roman"/>
          <w:highlight w:val="none"/>
        </w:rPr>
        <w:t>，在重庆市公共资源交易网（www.cqggzy.com）下载比选文件。</w:t>
      </w:r>
    </w:p>
    <w:p w14:paraId="72F6F05F">
      <w:pPr>
        <w:rPr>
          <w:rFonts w:ascii="Times New Roman" w:hAnsi="Times New Roman"/>
          <w:highlight w:val="none"/>
        </w:rPr>
      </w:pPr>
      <w:r>
        <w:rPr>
          <w:rFonts w:hint="eastAsia" w:ascii="Times New Roman" w:hAnsi="Times New Roman"/>
          <w:highlight w:val="none"/>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highlight w:val="none"/>
          <w:u w:val="none"/>
          <w:lang w:val="en-US" w:eastAsia="zh-CN"/>
        </w:rPr>
        <w:t>2024</w:t>
      </w:r>
      <w:r>
        <w:rPr>
          <w:rFonts w:hint="eastAsia" w:ascii="Times New Roman" w:hAnsi="Times New Roman"/>
          <w:highlight w:val="none"/>
          <w:u w:val="none"/>
        </w:rPr>
        <w:t>年</w:t>
      </w:r>
      <w:r>
        <w:rPr>
          <w:rFonts w:hint="eastAsia" w:ascii="Times New Roman" w:hAnsi="Times New Roman"/>
          <w:highlight w:val="none"/>
          <w:u w:val="none"/>
          <w:lang w:val="en-US" w:eastAsia="zh-CN"/>
        </w:rPr>
        <w:t>8</w:t>
      </w:r>
      <w:r>
        <w:rPr>
          <w:rFonts w:hint="eastAsia" w:ascii="Times New Roman" w:hAnsi="Times New Roman"/>
          <w:highlight w:val="none"/>
          <w:u w:val="none"/>
        </w:rPr>
        <w:t>月</w:t>
      </w:r>
      <w:r>
        <w:rPr>
          <w:rFonts w:hint="eastAsia" w:ascii="Times New Roman" w:hAnsi="Times New Roman"/>
          <w:highlight w:val="none"/>
          <w:u w:val="none"/>
          <w:lang w:val="en-US" w:eastAsia="zh-CN"/>
        </w:rPr>
        <w:t>11</w:t>
      </w:r>
      <w:r>
        <w:rPr>
          <w:rFonts w:hint="eastAsia" w:ascii="Times New Roman" w:hAnsi="Times New Roman"/>
          <w:highlight w:val="none"/>
          <w:u w:val="none"/>
        </w:rPr>
        <w:t>日</w:t>
      </w:r>
      <w:r>
        <w:rPr>
          <w:rFonts w:hint="eastAsia" w:ascii="Times New Roman" w:hAnsi="Times New Roman"/>
          <w:highlight w:val="none"/>
          <w:u w:val="none"/>
          <w:lang w:val="en-US" w:eastAsia="zh-CN"/>
        </w:rPr>
        <w:t>17</w:t>
      </w:r>
      <w:r>
        <w:rPr>
          <w:rFonts w:hint="eastAsia" w:ascii="Times New Roman" w:hAnsi="Times New Roman"/>
          <w:highlight w:val="none"/>
          <w:u w:val="none"/>
        </w:rPr>
        <w:t>时</w:t>
      </w:r>
      <w:r>
        <w:rPr>
          <w:rFonts w:hint="eastAsia" w:ascii="Times New Roman" w:hAnsi="Times New Roman"/>
          <w:highlight w:val="none"/>
          <w:u w:val="none"/>
          <w:lang w:val="en-US" w:eastAsia="zh-CN"/>
        </w:rPr>
        <w:t>00</w:t>
      </w:r>
      <w:r>
        <w:rPr>
          <w:rFonts w:hint="eastAsia" w:ascii="Times New Roman" w:hAnsi="Times New Roman"/>
          <w:highlight w:val="none"/>
          <w:u w:val="none"/>
        </w:rPr>
        <w:t>分</w:t>
      </w:r>
      <w:r>
        <w:rPr>
          <w:rFonts w:hint="eastAsia" w:ascii="Times New Roman" w:hAnsi="Times New Roman"/>
          <w:highlight w:val="none"/>
        </w:rPr>
        <w:t>（北京时间）前自行在重庆市公共资源交易网（http://www.cqggzy.com/）比选公告的“我要提问”栏目匿名提出。参选人未提出，则视为参选人已全面确认比选文件内容。</w:t>
      </w:r>
    </w:p>
    <w:p w14:paraId="64EA6B8F">
      <w:pPr>
        <w:rPr>
          <w:rFonts w:ascii="Times New Roman" w:hAnsi="Times New Roman"/>
          <w:highlight w:val="none"/>
        </w:rPr>
      </w:pPr>
      <w:r>
        <w:rPr>
          <w:rFonts w:hint="eastAsia" w:ascii="Times New Roman" w:hAnsi="Times New Roman"/>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E4C133C">
      <w:pPr>
        <w:pStyle w:val="3"/>
        <w:rPr>
          <w:rFonts w:ascii="Times New Roman" w:hAnsi="Times New Roman"/>
          <w:highlight w:val="none"/>
        </w:rPr>
      </w:pPr>
      <w:bookmarkStart w:id="18" w:name="_Toc55379221"/>
      <w:r>
        <w:rPr>
          <w:rFonts w:hint="eastAsia" w:ascii="Times New Roman" w:hAnsi="Times New Roman"/>
          <w:highlight w:val="none"/>
        </w:rPr>
        <w:t>4. 参选保证金的递交</w:t>
      </w:r>
      <w:bookmarkEnd w:id="15"/>
      <w:bookmarkEnd w:id="16"/>
      <w:bookmarkEnd w:id="17"/>
      <w:bookmarkEnd w:id="18"/>
    </w:p>
    <w:p w14:paraId="3A05EB7F">
      <w:pPr>
        <w:rPr>
          <w:rFonts w:ascii="Times New Roman" w:hAnsi="Times New Roman"/>
          <w:highlight w:val="none"/>
        </w:rPr>
      </w:pPr>
      <w:bookmarkStart w:id="19" w:name="_Toc297817091"/>
      <w:bookmarkStart w:id="20" w:name="_Toc55379222"/>
      <w:bookmarkStart w:id="21" w:name="_Toc89675131"/>
      <w:bookmarkStart w:id="22" w:name="_Toc469574668"/>
      <w:r>
        <w:rPr>
          <w:rFonts w:hint="eastAsia" w:ascii="Times New Roman" w:hAnsi="Times New Roman"/>
          <w:highlight w:val="none"/>
        </w:rPr>
        <w:t>4.1 参选保证金的金额：</w:t>
      </w:r>
      <w:r>
        <w:rPr>
          <w:rFonts w:hint="eastAsia" w:ascii="Times New Roman" w:hAnsi="Times New Roman"/>
          <w:b/>
          <w:bCs/>
          <w:color w:val="auto"/>
          <w:highlight w:val="none"/>
          <w:u w:val="single"/>
          <w:lang w:val="en-US" w:eastAsia="zh-CN"/>
        </w:rPr>
        <w:t>10000</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lang w:val="en-US" w:eastAsia="zh-CN"/>
        </w:rPr>
        <w:t>壹万元整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56EB7D0E">
      <w:pPr>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166CE66F">
      <w:pPr>
        <w:rPr>
          <w:rFonts w:ascii="Times New Roman" w:hAnsi="Times New Roman"/>
          <w:highlight w:val="none"/>
        </w:rPr>
      </w:pPr>
      <w:r>
        <w:rPr>
          <w:rFonts w:hint="eastAsia" w:ascii="Times New Roman" w:hAnsi="Times New Roman"/>
          <w:b/>
          <w:bCs/>
          <w:highlight w:val="none"/>
        </w:rPr>
        <w:t>参选人必须在付款凭证备注栏中注明项目简称。可简写成：</w:t>
      </w:r>
      <w:r>
        <w:rPr>
          <w:rFonts w:hint="eastAsia" w:ascii="Times New Roman" w:hAnsi="Times New Roman"/>
          <w:b/>
          <w:bCs/>
          <w:color w:val="auto"/>
          <w:highlight w:val="none"/>
          <w:u w:val="single"/>
          <w:lang w:val="en-US" w:eastAsia="zh-CN"/>
        </w:rPr>
        <w:t>网络安全竞赛及宣传周支撑服务</w:t>
      </w:r>
      <w:r>
        <w:rPr>
          <w:rFonts w:hint="eastAsia" w:ascii="Times New Roman" w:hAnsi="Times New Roman"/>
          <w:b/>
          <w:bCs/>
          <w:highlight w:val="none"/>
        </w:rPr>
        <w:t>。</w:t>
      </w:r>
    </w:p>
    <w:p w14:paraId="6BDA6D6E">
      <w:pPr>
        <w:rPr>
          <w:rFonts w:ascii="Times New Roman" w:hAnsi="Times New Roman"/>
          <w:highlight w:val="none"/>
        </w:rPr>
      </w:pPr>
      <w:r>
        <w:rPr>
          <w:rFonts w:hint="eastAsia" w:ascii="Times New Roman" w:hAnsi="Times New Roman"/>
          <w:highlight w:val="none"/>
        </w:rPr>
        <w:t>4.3 参选保证金递交的截止时间为</w:t>
      </w:r>
      <w:r>
        <w:rPr>
          <w:rFonts w:hint="eastAsia" w:ascii="Times New Roman" w:hAnsi="Times New Roman"/>
          <w:highlight w:val="none"/>
          <w:u w:val="none"/>
          <w:lang w:val="en-US" w:eastAsia="zh-CN"/>
        </w:rPr>
        <w:t>2024</w:t>
      </w:r>
      <w:r>
        <w:rPr>
          <w:rFonts w:hint="eastAsia" w:ascii="Times New Roman" w:hAnsi="Times New Roman"/>
          <w:highlight w:val="none"/>
          <w:u w:val="none"/>
        </w:rPr>
        <w:t>年</w:t>
      </w:r>
      <w:r>
        <w:rPr>
          <w:rFonts w:hint="eastAsia" w:ascii="Times New Roman" w:hAnsi="Times New Roman"/>
          <w:highlight w:val="none"/>
          <w:u w:val="none"/>
          <w:lang w:val="en-US" w:eastAsia="zh-CN"/>
        </w:rPr>
        <w:t>8</w:t>
      </w:r>
      <w:r>
        <w:rPr>
          <w:rFonts w:hint="eastAsia" w:ascii="Times New Roman" w:hAnsi="Times New Roman"/>
          <w:highlight w:val="none"/>
          <w:u w:val="none"/>
        </w:rPr>
        <w:t>月</w:t>
      </w:r>
      <w:r>
        <w:rPr>
          <w:rFonts w:hint="eastAsia" w:ascii="Times New Roman" w:hAnsi="Times New Roman"/>
          <w:highlight w:val="none"/>
          <w:u w:val="none"/>
          <w:lang w:val="en-US" w:eastAsia="zh-CN"/>
        </w:rPr>
        <w:t>23</w:t>
      </w:r>
      <w:r>
        <w:rPr>
          <w:rFonts w:hint="eastAsia" w:ascii="Times New Roman" w:hAnsi="Times New Roman"/>
          <w:highlight w:val="none"/>
          <w:u w:val="none"/>
        </w:rPr>
        <w:t>日</w:t>
      </w:r>
      <w:r>
        <w:rPr>
          <w:rFonts w:hint="eastAsia" w:ascii="Times New Roman" w:hAnsi="Times New Roman"/>
          <w:highlight w:val="none"/>
          <w:u w:val="none"/>
          <w:lang w:val="en-US" w:eastAsia="zh-CN"/>
        </w:rPr>
        <w:t>9</w:t>
      </w:r>
      <w:r>
        <w:rPr>
          <w:rFonts w:hint="eastAsia" w:ascii="Times New Roman" w:hAnsi="Times New Roman"/>
          <w:highlight w:val="none"/>
          <w:u w:val="none"/>
        </w:rPr>
        <w:t>时</w:t>
      </w:r>
      <w:r>
        <w:rPr>
          <w:rFonts w:hint="eastAsia" w:ascii="Times New Roman" w:hAnsi="Times New Roman"/>
          <w:highlight w:val="none"/>
          <w:u w:val="none"/>
          <w:lang w:val="en-US" w:eastAsia="zh-CN"/>
        </w:rPr>
        <w:t>30</w:t>
      </w:r>
      <w:r>
        <w:rPr>
          <w:rFonts w:hint="eastAsia" w:ascii="Times New Roman" w:hAnsi="Times New Roman"/>
          <w:highlight w:val="none"/>
          <w:u w:val="none"/>
        </w:rPr>
        <w:t>分</w:t>
      </w:r>
      <w:r>
        <w:rPr>
          <w:rFonts w:hint="eastAsia" w:ascii="Times New Roman" w:hAnsi="Times New Roman"/>
          <w:highlight w:val="none"/>
        </w:rPr>
        <w:t>（北京时间）。</w:t>
      </w:r>
    </w:p>
    <w:p w14:paraId="0EC08516">
      <w:pPr>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153A21C6">
      <w:pPr>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9BF45CF">
      <w:pPr>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19"/>
    <w:bookmarkEnd w:id="20"/>
    <w:bookmarkEnd w:id="21"/>
    <w:bookmarkEnd w:id="22"/>
    <w:p w14:paraId="74B778FB">
      <w:pPr>
        <w:pStyle w:val="3"/>
        <w:rPr>
          <w:rFonts w:ascii="Times New Roman" w:hAnsi="Times New Roman"/>
          <w:highlight w:val="none"/>
        </w:rPr>
      </w:pPr>
      <w:r>
        <w:rPr>
          <w:rFonts w:hint="eastAsia" w:ascii="Times New Roman" w:hAnsi="Times New Roman"/>
          <w:highlight w:val="none"/>
        </w:rPr>
        <w:t>5. 参选文件的递交</w:t>
      </w:r>
    </w:p>
    <w:p w14:paraId="259CC2AE">
      <w:pPr>
        <w:rPr>
          <w:rFonts w:ascii="Times New Roman" w:hAnsi="Times New Roman"/>
          <w:highlight w:val="none"/>
        </w:rPr>
      </w:pPr>
      <w:bookmarkStart w:id="23" w:name="_Toc89675132"/>
      <w:bookmarkStart w:id="24" w:name="_Toc469574669"/>
      <w:bookmarkStart w:id="25" w:name="_Toc55379223"/>
      <w:r>
        <w:rPr>
          <w:rFonts w:hint="eastAsia" w:ascii="Times New Roman" w:hAnsi="Times New Roman"/>
          <w:highlight w:val="none"/>
        </w:rPr>
        <w:t>5.1 参选文件现场递交的开始时间为</w:t>
      </w:r>
      <w:r>
        <w:rPr>
          <w:rFonts w:hint="eastAsia" w:ascii="Times New Roman" w:hAnsi="Times New Roman"/>
          <w:highlight w:val="none"/>
          <w:u w:val="none"/>
          <w:lang w:val="en-US" w:eastAsia="zh-CN"/>
        </w:rPr>
        <w:t>2024</w:t>
      </w:r>
      <w:r>
        <w:rPr>
          <w:rFonts w:hint="eastAsia" w:ascii="Times New Roman" w:hAnsi="Times New Roman"/>
          <w:highlight w:val="none"/>
          <w:u w:val="none"/>
        </w:rPr>
        <w:t>年</w:t>
      </w:r>
      <w:r>
        <w:rPr>
          <w:rFonts w:hint="eastAsia" w:ascii="Times New Roman" w:hAnsi="Times New Roman"/>
          <w:highlight w:val="none"/>
          <w:u w:val="none"/>
          <w:lang w:val="en-US" w:eastAsia="zh-CN"/>
        </w:rPr>
        <w:t>8</w:t>
      </w:r>
      <w:r>
        <w:rPr>
          <w:rFonts w:hint="eastAsia" w:ascii="Times New Roman" w:hAnsi="Times New Roman"/>
          <w:highlight w:val="none"/>
          <w:u w:val="none"/>
        </w:rPr>
        <w:t>月</w:t>
      </w:r>
      <w:r>
        <w:rPr>
          <w:rFonts w:hint="eastAsia" w:ascii="Times New Roman" w:hAnsi="Times New Roman"/>
          <w:highlight w:val="none"/>
          <w:u w:val="none"/>
          <w:lang w:val="en-US" w:eastAsia="zh-CN"/>
        </w:rPr>
        <w:t>23</w:t>
      </w:r>
      <w:r>
        <w:rPr>
          <w:rFonts w:hint="eastAsia" w:ascii="Times New Roman" w:hAnsi="Times New Roman"/>
          <w:highlight w:val="none"/>
          <w:u w:val="none"/>
        </w:rPr>
        <w:t>日</w:t>
      </w:r>
      <w:r>
        <w:rPr>
          <w:rFonts w:hint="eastAsia" w:ascii="Times New Roman" w:hAnsi="Times New Roman"/>
          <w:highlight w:val="none"/>
          <w:u w:val="none"/>
          <w:lang w:val="en-US" w:eastAsia="zh-CN"/>
        </w:rPr>
        <w:t>9</w:t>
      </w:r>
      <w:r>
        <w:rPr>
          <w:rFonts w:hint="eastAsia" w:ascii="Times New Roman" w:hAnsi="Times New Roman"/>
          <w:highlight w:val="none"/>
          <w:u w:val="none"/>
        </w:rPr>
        <w:t>时</w:t>
      </w:r>
      <w:r>
        <w:rPr>
          <w:rFonts w:hint="eastAsia" w:ascii="Times New Roman" w:hAnsi="Times New Roman"/>
          <w:highlight w:val="none"/>
          <w:u w:val="none"/>
          <w:lang w:val="en-US" w:eastAsia="zh-CN"/>
        </w:rPr>
        <w:t>00</w:t>
      </w:r>
      <w:r>
        <w:rPr>
          <w:rFonts w:hint="eastAsia" w:ascii="Times New Roman" w:hAnsi="Times New Roman"/>
          <w:highlight w:val="none"/>
          <w:u w:val="none"/>
        </w:rPr>
        <w:t>分</w:t>
      </w:r>
      <w:r>
        <w:rPr>
          <w:rFonts w:hint="eastAsia" w:ascii="Times New Roman" w:hAnsi="Times New Roman"/>
          <w:highlight w:val="none"/>
        </w:rPr>
        <w:t>(北京时间)。递交截止时间为</w:t>
      </w:r>
      <w:r>
        <w:rPr>
          <w:rFonts w:hint="eastAsia" w:ascii="Times New Roman" w:hAnsi="Times New Roman"/>
          <w:highlight w:val="none"/>
          <w:u w:val="none"/>
          <w:lang w:val="en-US" w:eastAsia="zh-CN"/>
        </w:rPr>
        <w:t>2024</w:t>
      </w:r>
      <w:r>
        <w:rPr>
          <w:rFonts w:hint="eastAsia" w:ascii="Times New Roman" w:hAnsi="Times New Roman"/>
          <w:highlight w:val="none"/>
          <w:u w:val="none"/>
        </w:rPr>
        <w:t>年</w:t>
      </w:r>
      <w:r>
        <w:rPr>
          <w:rFonts w:hint="eastAsia" w:ascii="Times New Roman" w:hAnsi="Times New Roman"/>
          <w:highlight w:val="none"/>
          <w:u w:val="none"/>
          <w:lang w:val="en-US" w:eastAsia="zh-CN"/>
        </w:rPr>
        <w:t>8</w:t>
      </w:r>
      <w:r>
        <w:rPr>
          <w:rFonts w:hint="eastAsia" w:ascii="Times New Roman" w:hAnsi="Times New Roman"/>
          <w:highlight w:val="none"/>
          <w:u w:val="none"/>
        </w:rPr>
        <w:t>月</w:t>
      </w:r>
      <w:r>
        <w:rPr>
          <w:rFonts w:hint="eastAsia" w:ascii="Times New Roman" w:hAnsi="Times New Roman"/>
          <w:highlight w:val="none"/>
          <w:u w:val="none"/>
          <w:lang w:val="en-US" w:eastAsia="zh-CN"/>
        </w:rPr>
        <w:t>23</w:t>
      </w:r>
      <w:r>
        <w:rPr>
          <w:rFonts w:hint="eastAsia" w:ascii="Times New Roman" w:hAnsi="Times New Roman"/>
          <w:highlight w:val="none"/>
          <w:u w:val="none"/>
        </w:rPr>
        <w:t>日</w:t>
      </w:r>
      <w:r>
        <w:rPr>
          <w:rFonts w:hint="eastAsia" w:ascii="Times New Roman" w:hAnsi="Times New Roman"/>
          <w:highlight w:val="none"/>
          <w:u w:val="none"/>
          <w:lang w:val="en-US" w:eastAsia="zh-CN"/>
        </w:rPr>
        <w:t>9</w:t>
      </w:r>
      <w:r>
        <w:rPr>
          <w:rFonts w:hint="eastAsia" w:ascii="Times New Roman" w:hAnsi="Times New Roman"/>
          <w:highlight w:val="none"/>
          <w:u w:val="none"/>
        </w:rPr>
        <w:t>时</w:t>
      </w:r>
      <w:r>
        <w:rPr>
          <w:rFonts w:hint="eastAsia" w:ascii="Times New Roman" w:hAnsi="Times New Roman"/>
          <w:highlight w:val="none"/>
          <w:u w:val="none"/>
          <w:lang w:val="en-US" w:eastAsia="zh-CN"/>
        </w:rPr>
        <w:t>30</w:t>
      </w:r>
      <w:r>
        <w:rPr>
          <w:rFonts w:hint="eastAsia" w:ascii="Times New Roman" w:hAnsi="Times New Roman"/>
          <w:highlight w:val="none"/>
          <w:u w:val="none"/>
        </w:rPr>
        <w:t>分</w:t>
      </w:r>
      <w:r>
        <w:rPr>
          <w:rFonts w:hint="eastAsia" w:ascii="Times New Roman" w:hAnsi="Times New Roman"/>
          <w:highlight w:val="none"/>
        </w:rPr>
        <w:t>（北京时间）。</w:t>
      </w:r>
    </w:p>
    <w:p w14:paraId="68984600">
      <w:pPr>
        <w:rPr>
          <w:rFonts w:ascii="Times New Roman" w:hAnsi="Times New Roman"/>
          <w:highlight w:val="none"/>
        </w:rPr>
      </w:pPr>
      <w:r>
        <w:rPr>
          <w:rFonts w:hint="eastAsia" w:ascii="Times New Roman" w:hAnsi="Times New Roman"/>
          <w:highlight w:val="none"/>
        </w:rPr>
        <w:t>5.2 递交地点为重庆市渝北区青枫北路6号渝兴广场B10栋重庆市公共资源交易中心开标区（具体请登陆重庆市公共资源交易网（www.cqggzy.com）查询或递交文件当日见交易中心大厅电子显示屏）。</w:t>
      </w:r>
    </w:p>
    <w:p w14:paraId="61C69BED">
      <w:pPr>
        <w:rPr>
          <w:rFonts w:ascii="Times New Roman" w:hAnsi="Times New Roman"/>
          <w:highlight w:val="none"/>
        </w:rPr>
      </w:pPr>
      <w:r>
        <w:rPr>
          <w:rFonts w:hint="eastAsia" w:ascii="Times New Roman" w:hAnsi="Times New Roman"/>
          <w:highlight w:val="none"/>
        </w:rPr>
        <w:t>5.3 逾期送达的参选文件，不予接收。</w:t>
      </w:r>
    </w:p>
    <w:p w14:paraId="48ED3843">
      <w:pPr>
        <w:pStyle w:val="3"/>
        <w:rPr>
          <w:rFonts w:ascii="Times New Roman" w:hAnsi="Times New Roman"/>
          <w:highlight w:val="none"/>
        </w:rPr>
      </w:pPr>
      <w:r>
        <w:rPr>
          <w:rFonts w:hint="eastAsia" w:ascii="Times New Roman" w:hAnsi="Times New Roman"/>
          <w:highlight w:val="none"/>
        </w:rPr>
        <w:t>6. 发布公告的媒介</w:t>
      </w:r>
      <w:bookmarkEnd w:id="23"/>
      <w:bookmarkEnd w:id="24"/>
      <w:bookmarkEnd w:id="25"/>
    </w:p>
    <w:p w14:paraId="1EB3539D">
      <w:pPr>
        <w:rPr>
          <w:rFonts w:ascii="Times New Roman" w:hAnsi="Times New Roman"/>
          <w:highlight w:val="none"/>
        </w:rPr>
      </w:pPr>
      <w:bookmarkStart w:id="26" w:name="_Toc250565211"/>
      <w:bookmarkStart w:id="27" w:name="_Toc469574670"/>
      <w:bookmarkStart w:id="28" w:name="_Toc55379224"/>
      <w:bookmarkStart w:id="29" w:name="_Toc89675133"/>
      <w:r>
        <w:rPr>
          <w:rFonts w:hint="eastAsia" w:ascii="Times New Roman" w:hAnsi="Times New Roman"/>
          <w:highlight w:val="none"/>
        </w:rPr>
        <w:t>本次比选公告同时在《重庆市公共资源交易网（www.cqggzy.com）》《重庆三峡银行官网（https://www.ccqtgb.com）》和《中国比选参选公共服务平台（http://www.cebpubservice.com）》上发布。</w:t>
      </w:r>
    </w:p>
    <w:p w14:paraId="37C05587">
      <w:pPr>
        <w:pStyle w:val="3"/>
        <w:rPr>
          <w:rFonts w:ascii="Times New Roman" w:hAnsi="Times New Roman"/>
          <w:highlight w:val="none"/>
        </w:rPr>
      </w:pPr>
      <w:r>
        <w:rPr>
          <w:rFonts w:hint="eastAsia" w:ascii="Times New Roman" w:hAnsi="Times New Roman"/>
          <w:highlight w:val="none"/>
        </w:rPr>
        <w:t>7. 联系方式</w:t>
      </w:r>
      <w:bookmarkEnd w:id="26"/>
      <w:bookmarkEnd w:id="27"/>
      <w:bookmarkEnd w:id="28"/>
      <w:bookmarkEnd w:id="29"/>
    </w:p>
    <w:p w14:paraId="7035C6B3">
      <w:pPr>
        <w:ind w:firstLine="0" w:firstLineChars="0"/>
        <w:rPr>
          <w:rFonts w:ascii="Times New Roman" w:hAnsi="Times New Roman"/>
          <w:highlight w:val="none"/>
        </w:rPr>
      </w:pPr>
    </w:p>
    <w:tbl>
      <w:tblPr>
        <w:tblStyle w:val="20"/>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241CC367">
        <w:tc>
          <w:tcPr>
            <w:tcW w:w="8423" w:type="dxa"/>
            <w:gridSpan w:val="2"/>
            <w:tcBorders>
              <w:top w:val="single" w:color="auto" w:sz="4" w:space="0"/>
              <w:left w:val="single" w:color="auto" w:sz="4" w:space="0"/>
              <w:bottom w:val="nil"/>
              <w:right w:val="single" w:color="auto" w:sz="4" w:space="0"/>
            </w:tcBorders>
          </w:tcPr>
          <w:p w14:paraId="447AE20A">
            <w:pPr>
              <w:spacing w:line="360" w:lineRule="auto"/>
              <w:ind w:firstLine="0" w:firstLineChars="0"/>
              <w:jc w:val="left"/>
              <w:rPr>
                <w:highlight w:val="none"/>
              </w:rPr>
            </w:pPr>
            <w:r>
              <w:rPr>
                <w:rFonts w:hint="eastAsia"/>
                <w:highlight w:val="none"/>
                <w:lang w:val="en-US" w:eastAsia="zh-CN"/>
              </w:rPr>
              <w:t>7</w:t>
            </w:r>
            <w:r>
              <w:rPr>
                <w:rFonts w:hint="eastAsia"/>
                <w:highlight w:val="none"/>
              </w:rPr>
              <w:t>.1 项目需求咨询</w:t>
            </w:r>
          </w:p>
        </w:tc>
      </w:tr>
      <w:tr w14:paraId="252D89BB">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8D17DF7">
            <w:pPr>
              <w:spacing w:line="360" w:lineRule="auto"/>
              <w:ind w:firstLine="0" w:firstLineChars="0"/>
              <w:jc w:val="left"/>
              <w:rPr>
                <w:rFonts w:cs="宋体"/>
                <w:sz w:val="21"/>
                <w:szCs w:val="21"/>
                <w:highlight w:val="none"/>
              </w:rPr>
            </w:pPr>
            <w:r>
              <w:rPr>
                <w:rFonts w:hint="eastAsia"/>
                <w:highlight w:val="none"/>
              </w:rPr>
              <w:t>项目联系人：</w:t>
            </w:r>
            <w:r>
              <w:rPr>
                <w:rFonts w:hint="eastAsia" w:ascii="Times New Roman" w:hAnsi="Times New Roman" w:cs="宋体"/>
                <w:color w:val="auto"/>
                <w:sz w:val="21"/>
                <w:szCs w:val="21"/>
                <w:highlight w:val="none"/>
                <w:lang w:val="en-US" w:eastAsia="zh-CN"/>
              </w:rPr>
              <w:t>苏柯</w:t>
            </w:r>
          </w:p>
        </w:tc>
        <w:tc>
          <w:tcPr>
            <w:tcW w:w="5333" w:type="dxa"/>
            <w:tcBorders>
              <w:top w:val="nil"/>
              <w:left w:val="nil"/>
              <w:bottom w:val="nil"/>
              <w:right w:val="single" w:color="auto" w:sz="4" w:space="0"/>
            </w:tcBorders>
          </w:tcPr>
          <w:p w14:paraId="23DA992F">
            <w:pPr>
              <w:spacing w:line="360" w:lineRule="auto"/>
              <w:ind w:firstLine="0" w:firstLineChars="0"/>
              <w:jc w:val="left"/>
              <w:rPr>
                <w:rFonts w:cs="宋体"/>
                <w:sz w:val="21"/>
                <w:szCs w:val="21"/>
                <w:highlight w:val="none"/>
              </w:rPr>
            </w:pPr>
            <w:r>
              <w:rPr>
                <w:rFonts w:hint="eastAsia"/>
                <w:highlight w:val="none"/>
              </w:rPr>
              <w:t>联系方式：</w:t>
            </w:r>
            <w:r>
              <w:rPr>
                <w:rFonts w:hint="eastAsia" w:ascii="Times New Roman" w:hAnsi="Times New Roman" w:cs="宋体"/>
                <w:sz w:val="21"/>
                <w:szCs w:val="21"/>
                <w:highlight w:val="none"/>
                <w:lang w:val="en-US" w:eastAsia="zh-CN"/>
              </w:rPr>
              <w:t>023-88170725</w:t>
            </w:r>
          </w:p>
        </w:tc>
      </w:tr>
      <w:tr w14:paraId="1AFDDD1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E565D08">
            <w:pPr>
              <w:spacing w:line="360" w:lineRule="auto"/>
              <w:ind w:firstLine="0" w:firstLineChars="0"/>
              <w:jc w:val="left"/>
              <w:rPr>
                <w:highlight w:val="none"/>
              </w:rPr>
            </w:pPr>
          </w:p>
        </w:tc>
      </w:tr>
      <w:tr w14:paraId="2D61306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708BB52">
            <w:pPr>
              <w:spacing w:line="360" w:lineRule="auto"/>
              <w:ind w:firstLine="0" w:firstLineChars="0"/>
              <w:jc w:val="left"/>
              <w:rPr>
                <w:highlight w:val="none"/>
              </w:rPr>
            </w:pPr>
            <w:r>
              <w:rPr>
                <w:rFonts w:hint="eastAsia"/>
                <w:highlight w:val="none"/>
                <w:lang w:val="en-US" w:eastAsia="zh-CN"/>
              </w:rPr>
              <w:t>7</w:t>
            </w:r>
            <w:r>
              <w:rPr>
                <w:rFonts w:hint="eastAsia"/>
                <w:highlight w:val="none"/>
              </w:rPr>
              <w:t>.2 项目流程咨询</w:t>
            </w:r>
          </w:p>
        </w:tc>
      </w:tr>
      <w:tr w14:paraId="36C10D8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922BC9">
            <w:pPr>
              <w:spacing w:line="360" w:lineRule="auto"/>
              <w:ind w:firstLine="0" w:firstLineChars="0"/>
              <w:jc w:val="left"/>
              <w:rPr>
                <w:highlight w:val="none"/>
              </w:rPr>
            </w:pPr>
            <w:r>
              <w:rPr>
                <w:rFonts w:hint="eastAsia"/>
                <w:highlight w:val="none"/>
              </w:rPr>
              <w:t>平台服务机构：重庆联合产权交易所集团股份有限公司</w:t>
            </w:r>
          </w:p>
        </w:tc>
      </w:tr>
      <w:tr w14:paraId="5036CDCB">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06928CEF">
            <w:pPr>
              <w:spacing w:line="360" w:lineRule="auto"/>
              <w:ind w:firstLine="0" w:firstLineChars="0"/>
              <w:jc w:val="left"/>
              <w:rPr>
                <w:rFonts w:cs="宋体"/>
                <w:sz w:val="21"/>
                <w:szCs w:val="21"/>
                <w:highlight w:val="none"/>
              </w:rPr>
            </w:pPr>
            <w:r>
              <w:rPr>
                <w:rFonts w:hint="eastAsia"/>
                <w:highlight w:val="none"/>
              </w:rPr>
              <w:t>平台联系人：</w:t>
            </w:r>
            <w:r>
              <w:rPr>
                <w:rFonts w:hint="eastAsia"/>
                <w:highlight w:val="none"/>
                <w:lang w:eastAsia="zh-CN"/>
              </w:rPr>
              <w:t>张</w:t>
            </w:r>
            <w:r>
              <w:rPr>
                <w:rFonts w:hint="eastAsia"/>
                <w:highlight w:val="none"/>
              </w:rPr>
              <w:t>老师</w:t>
            </w:r>
          </w:p>
        </w:tc>
        <w:tc>
          <w:tcPr>
            <w:tcW w:w="5333" w:type="dxa"/>
            <w:tcBorders>
              <w:top w:val="nil"/>
              <w:left w:val="nil"/>
              <w:bottom w:val="nil"/>
              <w:right w:val="single" w:color="auto" w:sz="4" w:space="0"/>
            </w:tcBorders>
          </w:tcPr>
          <w:p w14:paraId="62B59797">
            <w:pPr>
              <w:spacing w:line="360" w:lineRule="auto"/>
              <w:ind w:firstLine="0" w:firstLineChars="0"/>
              <w:jc w:val="left"/>
              <w:rPr>
                <w:rFonts w:cs="宋体"/>
                <w:sz w:val="21"/>
                <w:szCs w:val="21"/>
                <w:highlight w:val="none"/>
              </w:rPr>
            </w:pPr>
            <w:r>
              <w:rPr>
                <w:rFonts w:hint="eastAsia"/>
                <w:highlight w:val="none"/>
              </w:rPr>
              <w:t>联系方式：023-63621694</w:t>
            </w:r>
          </w:p>
        </w:tc>
      </w:tr>
      <w:tr w14:paraId="6EF0C9F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EBCCA12">
            <w:pPr>
              <w:spacing w:line="360" w:lineRule="auto"/>
              <w:ind w:firstLine="0" w:firstLineChars="0"/>
              <w:jc w:val="left"/>
              <w:rPr>
                <w:highlight w:val="none"/>
              </w:rPr>
            </w:pPr>
          </w:p>
        </w:tc>
      </w:tr>
      <w:tr w14:paraId="410A5B4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357F9D">
            <w:pPr>
              <w:spacing w:line="360" w:lineRule="auto"/>
              <w:ind w:firstLine="0" w:firstLineChars="0"/>
              <w:jc w:val="left"/>
              <w:rPr>
                <w:highlight w:val="none"/>
              </w:rPr>
            </w:pPr>
            <w:r>
              <w:rPr>
                <w:rFonts w:hint="eastAsia"/>
                <w:highlight w:val="none"/>
                <w:lang w:val="en-US" w:eastAsia="zh-CN"/>
              </w:rPr>
              <w:t>7</w:t>
            </w:r>
            <w:r>
              <w:rPr>
                <w:rFonts w:hint="eastAsia"/>
                <w:highlight w:val="none"/>
              </w:rPr>
              <w:t>.3 比选人联系方式</w:t>
            </w:r>
          </w:p>
        </w:tc>
      </w:tr>
      <w:tr w14:paraId="0AF654F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D477D80">
            <w:pPr>
              <w:spacing w:line="360" w:lineRule="auto"/>
              <w:ind w:firstLine="0" w:firstLineChars="0"/>
              <w:jc w:val="left"/>
              <w:rPr>
                <w:rFonts w:cs="宋体"/>
                <w:sz w:val="21"/>
                <w:szCs w:val="21"/>
                <w:highlight w:val="none"/>
              </w:rPr>
            </w:pPr>
            <w:r>
              <w:rPr>
                <w:rFonts w:hint="eastAsia"/>
                <w:highlight w:val="none"/>
              </w:rPr>
              <w:t>联系人：敬希</w:t>
            </w:r>
          </w:p>
        </w:tc>
        <w:tc>
          <w:tcPr>
            <w:tcW w:w="5333" w:type="dxa"/>
            <w:tcBorders>
              <w:top w:val="nil"/>
              <w:left w:val="nil"/>
              <w:bottom w:val="nil"/>
              <w:right w:val="single" w:color="auto" w:sz="4" w:space="0"/>
            </w:tcBorders>
          </w:tcPr>
          <w:p w14:paraId="131F0BD5">
            <w:pPr>
              <w:spacing w:line="360" w:lineRule="auto"/>
              <w:ind w:firstLine="0" w:firstLineChars="0"/>
              <w:jc w:val="left"/>
              <w:rPr>
                <w:rFonts w:cs="宋体"/>
                <w:sz w:val="21"/>
                <w:szCs w:val="21"/>
                <w:highlight w:val="none"/>
              </w:rPr>
            </w:pPr>
            <w:r>
              <w:rPr>
                <w:rFonts w:hint="eastAsia"/>
                <w:highlight w:val="none"/>
              </w:rPr>
              <w:t>联系方式：023-88890395</w:t>
            </w:r>
          </w:p>
        </w:tc>
      </w:tr>
      <w:tr w14:paraId="3434C805">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A4771D8">
            <w:pPr>
              <w:spacing w:line="360" w:lineRule="auto"/>
              <w:ind w:firstLine="0" w:firstLineChars="0"/>
              <w:jc w:val="left"/>
              <w:rPr>
                <w:highlight w:val="none"/>
              </w:rPr>
            </w:pPr>
            <w:r>
              <w:rPr>
                <w:rFonts w:hint="eastAsia"/>
                <w:highlight w:val="none"/>
              </w:rPr>
              <w:t>比选人地址：重庆市渝北区嘉州路88号中渝国际都会4号写字楼21层</w:t>
            </w:r>
          </w:p>
        </w:tc>
      </w:tr>
    </w:tbl>
    <w:p w14:paraId="46477AB7">
      <w:pPr>
        <w:rPr>
          <w:rFonts w:ascii="Times New Roman" w:hAnsi="Times New Roman"/>
          <w:highlight w:val="none"/>
        </w:rPr>
      </w:pPr>
    </w:p>
    <w:p w14:paraId="3E22771C">
      <w:pPr>
        <w:spacing w:line="240" w:lineRule="auto"/>
        <w:ind w:firstLine="0" w:firstLineChars="0"/>
        <w:jc w:val="right"/>
        <w:rPr>
          <w:rFonts w:ascii="Times New Roman" w:hAnsi="Times New Roman"/>
          <w:highlight w:val="none"/>
        </w:rPr>
      </w:pPr>
      <w:r>
        <w:rPr>
          <w:rFonts w:hint="eastAsia" w:ascii="Times New Roman" w:hAnsi="Times New Roman"/>
          <w:highlight w:val="none"/>
        </w:rPr>
        <w:t>重庆三峡银行股份有限公司</w:t>
      </w:r>
    </w:p>
    <w:p w14:paraId="56C7EEE6">
      <w:pPr>
        <w:jc w:val="right"/>
        <w:rPr>
          <w:rFonts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4</w:t>
      </w:r>
      <w:r>
        <w:rPr>
          <w:rFonts w:hint="eastAsia" w:ascii="Times New Roman" w:hAnsi="Times New Roman"/>
          <w:highlight w:val="none"/>
        </w:rPr>
        <w:t>年</w:t>
      </w:r>
      <w:r>
        <w:rPr>
          <w:rFonts w:hint="eastAsia" w:ascii="Times New Roman" w:hAnsi="Times New Roman"/>
          <w:highlight w:val="none"/>
          <w:lang w:val="en-US" w:eastAsia="zh-CN"/>
        </w:rPr>
        <w:t>8</w:t>
      </w:r>
      <w:r>
        <w:rPr>
          <w:rFonts w:hint="eastAsia" w:ascii="Times New Roman" w:hAnsi="Times New Roman"/>
          <w:highlight w:val="none"/>
        </w:rPr>
        <w:t>月</w:t>
      </w:r>
      <w:r>
        <w:rPr>
          <w:rFonts w:hint="eastAsia" w:ascii="Times New Roman" w:hAnsi="Times New Roman"/>
          <w:highlight w:val="none"/>
          <w:lang w:val="en-US" w:eastAsia="zh-CN"/>
        </w:rPr>
        <w:t>8</w:t>
      </w:r>
      <w:r>
        <w:rPr>
          <w:rFonts w:hint="eastAsia" w:ascii="Times New Roman" w:hAnsi="Times New Roman"/>
          <w:highlight w:val="none"/>
        </w:rPr>
        <w:t>日</w:t>
      </w:r>
    </w:p>
    <w:p w14:paraId="041EE626">
      <w:pPr>
        <w:rPr>
          <w:rFonts w:ascii="Times New Roman" w:hAnsi="Times New Roman"/>
          <w:highlight w:val="none"/>
        </w:rPr>
      </w:pPr>
      <w:r>
        <w:rPr>
          <w:rFonts w:ascii="Times New Roman" w:hAnsi="Times New Roman"/>
          <w:highlight w:val="none"/>
        </w:rPr>
        <w:br w:type="page"/>
      </w:r>
      <w:bookmarkStart w:id="30" w:name="_Toc89675159"/>
      <w:bookmarkStart w:id="31" w:name="_Toc303066033"/>
      <w:bookmarkStart w:id="32" w:name="_Toc27630"/>
    </w:p>
    <w:p w14:paraId="4D9ED456">
      <w:pPr>
        <w:ind w:firstLine="0" w:firstLineChars="0"/>
        <w:rPr>
          <w:rFonts w:ascii="Times New Roman" w:hAnsi="Times New Roman"/>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59CF1D97">
      <w:pPr>
        <w:pStyle w:val="2"/>
        <w:rPr>
          <w:rFonts w:ascii="Times New Roman" w:hAnsi="Times New Roman"/>
          <w:highlight w:val="none"/>
        </w:rPr>
      </w:pPr>
      <w:bookmarkStart w:id="33" w:name="_Toc338268774"/>
      <w:r>
        <w:rPr>
          <w:rFonts w:hint="eastAsia" w:ascii="Times New Roman" w:hAnsi="Times New Roman"/>
          <w:highlight w:val="none"/>
        </w:rPr>
        <w:t>第二章 参选人须知</w:t>
      </w:r>
      <w:bookmarkEnd w:id="30"/>
      <w:bookmarkEnd w:id="31"/>
      <w:bookmarkEnd w:id="32"/>
      <w:bookmarkEnd w:id="33"/>
    </w:p>
    <w:p w14:paraId="3840E2CE">
      <w:pPr>
        <w:pStyle w:val="3"/>
        <w:rPr>
          <w:rFonts w:ascii="Times New Roman" w:hAnsi="Times New Roman"/>
          <w:highlight w:val="none"/>
        </w:rPr>
      </w:pPr>
      <w:bookmarkStart w:id="34" w:name="_Toc89675160"/>
      <w:r>
        <w:rPr>
          <w:rFonts w:hint="eastAsia" w:ascii="Times New Roman" w:hAnsi="Times New Roman"/>
          <w:highlight w:val="none"/>
        </w:rPr>
        <w:t>1. 项目信息</w:t>
      </w:r>
    </w:p>
    <w:p w14:paraId="1B5BA2A1">
      <w:pPr>
        <w:pStyle w:val="4"/>
        <w:rPr>
          <w:rFonts w:ascii="Times New Roman" w:hAnsi="Times New Roman"/>
          <w:highlight w:val="none"/>
        </w:rPr>
      </w:pPr>
      <w:r>
        <w:rPr>
          <w:rFonts w:hint="eastAsia" w:ascii="Times New Roman" w:hAnsi="Times New Roman"/>
          <w:highlight w:val="none"/>
        </w:rPr>
        <w:t>1.1 比选人</w:t>
      </w:r>
    </w:p>
    <w:p w14:paraId="0AFA219E">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711AD1F3">
      <w:pPr>
        <w:pStyle w:val="4"/>
        <w:rPr>
          <w:rFonts w:ascii="Times New Roman" w:hAnsi="Times New Roman"/>
          <w:highlight w:val="none"/>
        </w:rPr>
      </w:pPr>
      <w:r>
        <w:rPr>
          <w:rFonts w:hint="eastAsia" w:ascii="Times New Roman" w:hAnsi="Times New Roman"/>
          <w:highlight w:val="none"/>
        </w:rPr>
        <w:t>1.2 最高限价</w:t>
      </w:r>
    </w:p>
    <w:p w14:paraId="3A6EA703">
      <w:pPr>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518000元</w:t>
      </w:r>
      <w:r>
        <w:rPr>
          <w:rFonts w:hint="eastAsia" w:ascii="Times New Roman" w:hAnsi="Times New Roman"/>
          <w:color w:val="auto"/>
          <w:highlight w:val="none"/>
          <w:u w:val="single"/>
        </w:rPr>
        <w:t xml:space="preserve"> </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伍拾壹万捌仟元整</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14:paraId="2A45A3C8">
      <w:pPr>
        <w:pStyle w:val="4"/>
        <w:rPr>
          <w:rFonts w:ascii="Times New Roman" w:hAnsi="Times New Roman"/>
          <w:highlight w:val="none"/>
        </w:rPr>
      </w:pPr>
      <w:r>
        <w:rPr>
          <w:rFonts w:hint="eastAsia" w:ascii="Times New Roman" w:hAnsi="Times New Roman"/>
          <w:highlight w:val="none"/>
        </w:rPr>
        <w:t>1.3 项目概况</w:t>
      </w:r>
    </w:p>
    <w:bookmarkEnd w:id="34"/>
    <w:p w14:paraId="31B514AE">
      <w:pPr>
        <w:rPr>
          <w:rFonts w:hint="eastAsia" w:ascii="Times New Roman" w:hAnsi="Times New Roman"/>
          <w:color w:val="auto"/>
          <w:highlight w:val="none"/>
        </w:rPr>
      </w:pPr>
      <w:bookmarkStart w:id="35" w:name="_Toc89675161"/>
      <w:r>
        <w:rPr>
          <w:rFonts w:hint="eastAsia" w:ascii="宋体" w:eastAsia="宋体" w:cs="宋体"/>
          <w:color w:val="auto"/>
          <w:sz w:val="24"/>
          <w:szCs w:val="24"/>
          <w:highlight w:val="none"/>
          <w:lang w:val="en-US" w:eastAsia="zh-CN"/>
        </w:rPr>
        <w:t>根据中国人民银行重庆市分行2024年网络安全竞赛及网络安全宣传周工作安排，为做好本年度网络安全竞赛及网络安全宣传周活动工作具体组织和技术支撑工作，保障相关工作的顺利开展和实施，需采购</w:t>
      </w:r>
      <w:r>
        <w:rPr>
          <w:rFonts w:ascii="宋体" w:eastAsia="宋体" w:cs="宋体"/>
          <w:color w:val="auto"/>
          <w:sz w:val="24"/>
          <w:szCs w:val="24"/>
          <w:highlight w:val="none"/>
          <w:lang w:val="en-US" w:eastAsia="zh-CN"/>
        </w:rPr>
        <w:t>网络安全</w:t>
      </w:r>
      <w:r>
        <w:rPr>
          <w:rFonts w:hint="eastAsia" w:ascii="宋体" w:eastAsia="宋体" w:cs="宋体"/>
          <w:color w:val="auto"/>
          <w:sz w:val="24"/>
          <w:szCs w:val="24"/>
          <w:highlight w:val="none"/>
          <w:lang w:val="en-US" w:eastAsia="zh-CN"/>
        </w:rPr>
        <w:t>竞赛及网络安全宣传周支撑</w:t>
      </w:r>
      <w:r>
        <w:rPr>
          <w:rFonts w:ascii="宋体" w:eastAsia="宋体" w:cs="宋体"/>
          <w:color w:val="auto"/>
          <w:sz w:val="24"/>
          <w:szCs w:val="24"/>
          <w:highlight w:val="none"/>
          <w:lang w:val="en-US" w:eastAsia="zh-CN"/>
        </w:rPr>
        <w:t>服务</w:t>
      </w:r>
      <w:r>
        <w:rPr>
          <w:rFonts w:hint="eastAsia" w:ascii="宋体" w:eastAsia="宋体" w:cs="宋体"/>
          <w:color w:val="auto"/>
          <w:sz w:val="24"/>
          <w:szCs w:val="24"/>
          <w:highlight w:val="none"/>
          <w:lang w:val="en-US" w:eastAsia="zh-CN"/>
        </w:rPr>
        <w:t>。</w:t>
      </w:r>
    </w:p>
    <w:p w14:paraId="380C58A2">
      <w:pPr>
        <w:pStyle w:val="4"/>
        <w:rPr>
          <w:rFonts w:ascii="Times New Roman" w:hAnsi="Times New Roman"/>
          <w:highlight w:val="none"/>
        </w:rPr>
      </w:pPr>
      <w:r>
        <w:rPr>
          <w:rFonts w:hint="eastAsia" w:ascii="Times New Roman" w:hAnsi="Times New Roman"/>
          <w:highlight w:val="none"/>
        </w:rPr>
        <w:t>1.4 项目目标</w:t>
      </w:r>
    </w:p>
    <w:p w14:paraId="6FCA3B0D">
      <w:pP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圆满完成网络安全竞赛及网络安全宣传周活动的组织和实施工作。</w:t>
      </w:r>
    </w:p>
    <w:p w14:paraId="3689CE6F">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5"/>
    </w:p>
    <w:p w14:paraId="75FB1ABD">
      <w:pPr>
        <w:outlineLvl w:val="2"/>
        <w:rPr>
          <w:rFonts w:ascii="Times New Roman" w:hAnsi="Times New Roman"/>
          <w:highlight w:val="none"/>
        </w:rPr>
      </w:pPr>
      <w:r>
        <w:rPr>
          <w:rFonts w:hint="eastAsia" w:ascii="Times New Roman" w:hAnsi="Times New Roman"/>
          <w:highlight w:val="none"/>
        </w:rPr>
        <w:t>2.1 合格参选人条件</w:t>
      </w:r>
    </w:p>
    <w:p w14:paraId="45B692E8">
      <w:pPr>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419EE615">
      <w:pPr>
        <w:outlineLvl w:val="2"/>
        <w:rPr>
          <w:rFonts w:ascii="Times New Roman" w:hAnsi="Times New Roman"/>
          <w:highlight w:val="none"/>
        </w:rPr>
      </w:pPr>
      <w:r>
        <w:rPr>
          <w:rFonts w:hint="eastAsia" w:ascii="Times New Roman" w:hAnsi="Times New Roman"/>
          <w:highlight w:val="none"/>
        </w:rPr>
        <w:t>2.2 参选人的风险</w:t>
      </w:r>
    </w:p>
    <w:p w14:paraId="0969DF0C">
      <w:pPr>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18BEAB64">
      <w:pPr>
        <w:pStyle w:val="3"/>
        <w:rPr>
          <w:rFonts w:ascii="Times New Roman" w:hAnsi="Times New Roman"/>
          <w:highlight w:val="none"/>
        </w:rPr>
      </w:pPr>
      <w:bookmarkStart w:id="36" w:name="_Toc89675162"/>
      <w:r>
        <w:rPr>
          <w:rFonts w:hint="eastAsia" w:ascii="Times New Roman" w:hAnsi="Times New Roman"/>
          <w:highlight w:val="none"/>
        </w:rPr>
        <w:t>3. 比选文件</w:t>
      </w:r>
      <w:bookmarkEnd w:id="36"/>
    </w:p>
    <w:p w14:paraId="49EDC417">
      <w:pPr>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10528AA5">
      <w:pPr>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34840908">
      <w:pPr>
        <w:pStyle w:val="3"/>
        <w:rPr>
          <w:rFonts w:ascii="Times New Roman" w:hAnsi="Times New Roman"/>
          <w:highlight w:val="none"/>
        </w:rPr>
      </w:pPr>
      <w:bookmarkStart w:id="37" w:name="_Toc89675163"/>
      <w:r>
        <w:rPr>
          <w:rFonts w:hint="eastAsia" w:ascii="Times New Roman" w:hAnsi="Times New Roman"/>
          <w:highlight w:val="none"/>
        </w:rPr>
        <w:t xml:space="preserve">4. </w:t>
      </w:r>
      <w:r>
        <w:rPr>
          <w:rFonts w:ascii="Times New Roman" w:hAnsi="Times New Roman"/>
          <w:highlight w:val="none"/>
        </w:rPr>
        <w:t>参选</w:t>
      </w:r>
      <w:bookmarkEnd w:id="37"/>
    </w:p>
    <w:p w14:paraId="6FCD7A85">
      <w:pPr>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62B5418B">
      <w:pPr>
        <w:pStyle w:val="4"/>
        <w:rPr>
          <w:rFonts w:ascii="Times New Roman" w:hAnsi="Times New Roman"/>
          <w:highlight w:val="none"/>
        </w:rPr>
      </w:pPr>
      <w:r>
        <w:rPr>
          <w:rFonts w:hint="eastAsia" w:ascii="Times New Roman" w:hAnsi="Times New Roman"/>
          <w:highlight w:val="none"/>
        </w:rPr>
        <w:t>4.1 参选文件组成</w:t>
      </w:r>
    </w:p>
    <w:p w14:paraId="490C7111">
      <w:pPr>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570AF3DF">
      <w:pPr>
        <w:pStyle w:val="4"/>
        <w:rPr>
          <w:rFonts w:ascii="Times New Roman" w:hAnsi="Times New Roman"/>
          <w:highlight w:val="none"/>
        </w:rPr>
      </w:pPr>
      <w:r>
        <w:rPr>
          <w:rFonts w:hint="eastAsia" w:ascii="Times New Roman" w:hAnsi="Times New Roman"/>
          <w:highlight w:val="none"/>
        </w:rPr>
        <w:t>4.2 联合参选</w:t>
      </w:r>
    </w:p>
    <w:p w14:paraId="6F5889B0">
      <w:pPr>
        <w:rPr>
          <w:rFonts w:ascii="Times New Roman" w:hAnsi="Times New Roman"/>
          <w:highlight w:val="none"/>
        </w:rPr>
      </w:pPr>
      <w:r>
        <w:rPr>
          <w:rFonts w:hint="eastAsia" w:ascii="Times New Roman" w:hAnsi="Times New Roman"/>
          <w:highlight w:val="none"/>
        </w:rPr>
        <w:t>本比选项目不接受联合参选</w:t>
      </w:r>
    </w:p>
    <w:p w14:paraId="79957D83">
      <w:pPr>
        <w:pStyle w:val="4"/>
        <w:rPr>
          <w:rFonts w:ascii="Times New Roman" w:hAnsi="Times New Roman"/>
          <w:highlight w:val="none"/>
        </w:rPr>
      </w:pPr>
      <w:r>
        <w:rPr>
          <w:rFonts w:hint="eastAsia" w:ascii="Times New Roman" w:hAnsi="Times New Roman"/>
          <w:highlight w:val="none"/>
        </w:rPr>
        <w:t>4.3 参选有效期</w:t>
      </w:r>
    </w:p>
    <w:p w14:paraId="5D097A1D">
      <w:pPr>
        <w:rPr>
          <w:rFonts w:ascii="Times New Roman" w:hAnsi="Times New Roman"/>
          <w:highlight w:val="none"/>
        </w:rPr>
      </w:pPr>
      <w:r>
        <w:rPr>
          <w:rFonts w:hint="eastAsia" w:ascii="Times New Roman" w:hAnsi="Times New Roman"/>
          <w:highlight w:val="none"/>
        </w:rPr>
        <w:t>参选有效期为参选截止日期后90天内。</w:t>
      </w:r>
    </w:p>
    <w:p w14:paraId="5D2EC4C7">
      <w:pPr>
        <w:pStyle w:val="4"/>
        <w:rPr>
          <w:rFonts w:ascii="Times New Roman" w:hAnsi="Times New Roman"/>
          <w:highlight w:val="none"/>
        </w:rPr>
      </w:pPr>
      <w:r>
        <w:rPr>
          <w:rFonts w:hint="eastAsia" w:ascii="Times New Roman" w:hAnsi="Times New Roman"/>
          <w:highlight w:val="none"/>
        </w:rPr>
        <w:t>4.4 参选保证金</w:t>
      </w:r>
    </w:p>
    <w:p w14:paraId="46EA66DD">
      <w:pPr>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05258E4A">
      <w:pPr>
        <w:rPr>
          <w:rFonts w:ascii="Times New Roman" w:hAnsi="Times New Roman"/>
          <w:highlight w:val="none"/>
        </w:rPr>
      </w:pPr>
      <w:r>
        <w:rPr>
          <w:rFonts w:hint="eastAsia" w:ascii="Times New Roman" w:hAnsi="Times New Roman"/>
          <w:highlight w:val="none"/>
        </w:rPr>
        <w:t>4.4.2 参选保证金为参选的有效约束条件。</w:t>
      </w:r>
    </w:p>
    <w:p w14:paraId="44A39180">
      <w:pPr>
        <w:rPr>
          <w:rFonts w:ascii="Times New Roman" w:hAnsi="Times New Roman"/>
          <w:highlight w:val="none"/>
        </w:rPr>
      </w:pPr>
      <w:r>
        <w:rPr>
          <w:rFonts w:hint="eastAsia" w:ascii="Times New Roman" w:hAnsi="Times New Roman"/>
          <w:highlight w:val="none"/>
        </w:rPr>
        <w:t>4.4.3 参选保证金有效期与参选文件有效期一致。</w:t>
      </w:r>
    </w:p>
    <w:p w14:paraId="390A64EF">
      <w:pPr>
        <w:rPr>
          <w:rFonts w:ascii="Times New Roman" w:hAnsi="Times New Roman"/>
          <w:highlight w:val="none"/>
        </w:rPr>
      </w:pPr>
      <w:r>
        <w:rPr>
          <w:rFonts w:hint="eastAsia" w:ascii="Times New Roman" w:hAnsi="Times New Roman"/>
          <w:highlight w:val="none"/>
        </w:rPr>
        <w:t>4.4.4 参选保证金币种应与参选报价币种相同。</w:t>
      </w:r>
    </w:p>
    <w:p w14:paraId="4A55ADEF">
      <w:pPr>
        <w:rPr>
          <w:rFonts w:ascii="Times New Roman" w:hAnsi="Times New Roman"/>
          <w:highlight w:val="none"/>
        </w:rPr>
      </w:pPr>
      <w:r>
        <w:rPr>
          <w:rFonts w:hint="eastAsia" w:ascii="Times New Roman" w:hAnsi="Times New Roman"/>
          <w:highlight w:val="none"/>
        </w:rPr>
        <w:t>4.4.5 参选保证金的退还：</w:t>
      </w:r>
    </w:p>
    <w:p w14:paraId="750E3394">
      <w:pPr>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5A847B3">
      <w:pPr>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5189FD1E">
      <w:pPr>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16EC7574">
      <w:pPr>
        <w:rPr>
          <w:rFonts w:ascii="Times New Roman" w:hAnsi="Times New Roman"/>
          <w:highlight w:val="none"/>
        </w:rPr>
      </w:pPr>
      <w:r>
        <w:rPr>
          <w:rFonts w:hint="eastAsia" w:ascii="Times New Roman" w:hAnsi="Times New Roman"/>
          <w:highlight w:val="none"/>
        </w:rPr>
        <w:t>4.4.6 参选人有下列情形之一的，参选保证金将不予退还：</w:t>
      </w:r>
    </w:p>
    <w:p w14:paraId="5ABD3EF9">
      <w:pPr>
        <w:rPr>
          <w:rFonts w:ascii="Times New Roman" w:hAnsi="Times New Roman"/>
          <w:highlight w:val="none"/>
        </w:rPr>
      </w:pPr>
      <w:r>
        <w:rPr>
          <w:rFonts w:hint="eastAsia" w:ascii="Times New Roman" w:hAnsi="Times New Roman"/>
          <w:highlight w:val="none"/>
        </w:rPr>
        <w:t>4.4.6.1 参选人在参选有效期内撤销参选文件的；</w:t>
      </w:r>
    </w:p>
    <w:p w14:paraId="2BE1CBB1">
      <w:pPr>
        <w:rPr>
          <w:rFonts w:ascii="Times New Roman" w:hAnsi="Times New Roman"/>
          <w:highlight w:val="none"/>
        </w:rPr>
      </w:pPr>
      <w:r>
        <w:rPr>
          <w:rFonts w:hint="eastAsia" w:ascii="Times New Roman" w:hAnsi="Times New Roman"/>
          <w:highlight w:val="none"/>
        </w:rPr>
        <w:t>4.4.6.2 参选人在参选过程中弄虚作假，提供虚假材料的；</w:t>
      </w:r>
    </w:p>
    <w:p w14:paraId="5CC67590">
      <w:pPr>
        <w:rPr>
          <w:rFonts w:ascii="Times New Roman" w:hAnsi="Times New Roman"/>
          <w:highlight w:val="none"/>
        </w:rPr>
      </w:pPr>
      <w:r>
        <w:rPr>
          <w:rFonts w:hint="eastAsia" w:ascii="Times New Roman" w:hAnsi="Times New Roman"/>
          <w:highlight w:val="none"/>
        </w:rPr>
        <w:t>4.4.6.3 中选人无正当理由不与比选人签订合同的；</w:t>
      </w:r>
    </w:p>
    <w:p w14:paraId="37B7004E">
      <w:pPr>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20C09017">
      <w:pPr>
        <w:rPr>
          <w:rFonts w:ascii="Times New Roman" w:hAnsi="Times New Roman"/>
          <w:highlight w:val="none"/>
        </w:rPr>
      </w:pPr>
      <w:r>
        <w:rPr>
          <w:rFonts w:hint="eastAsia" w:ascii="Times New Roman" w:hAnsi="Times New Roman"/>
          <w:highlight w:val="none"/>
        </w:rPr>
        <w:t>4.4.6.5 中选人拒绝履行合同义务的；</w:t>
      </w:r>
    </w:p>
    <w:p w14:paraId="20976BD5">
      <w:pPr>
        <w:rPr>
          <w:rFonts w:ascii="Times New Roman" w:hAnsi="Times New Roman"/>
          <w:highlight w:val="none"/>
        </w:rPr>
      </w:pPr>
      <w:r>
        <w:rPr>
          <w:rFonts w:hint="eastAsia" w:ascii="Times New Roman" w:hAnsi="Times New Roman"/>
          <w:highlight w:val="none"/>
        </w:rPr>
        <w:t>4.4.6.6 其他严重扰乱比选程序的；</w:t>
      </w:r>
    </w:p>
    <w:p w14:paraId="28EC8A14">
      <w:pPr>
        <w:pStyle w:val="4"/>
        <w:rPr>
          <w:rFonts w:ascii="Times New Roman" w:hAnsi="Times New Roman"/>
          <w:highlight w:val="none"/>
        </w:rPr>
      </w:pPr>
      <w:r>
        <w:rPr>
          <w:rFonts w:hint="eastAsia" w:ascii="Times New Roman" w:hAnsi="Times New Roman"/>
          <w:highlight w:val="none"/>
        </w:rPr>
        <w:t>4.5 参选文件的份数和签署</w:t>
      </w:r>
    </w:p>
    <w:p w14:paraId="47777E72">
      <w:pPr>
        <w:bidi w:val="0"/>
        <w:jc w:val="left"/>
        <w:rPr>
          <w:rFonts w:hint="eastAsia"/>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eastAsia="宋体"/>
          <w:color w:val="auto"/>
          <w:highlight w:val="none"/>
        </w:rPr>
        <w:t>电子文件应为参选文件盖章后的PDF格式扫描件，文件名为“参选人单位名简称+项目名简称”。</w:t>
      </w:r>
    </w:p>
    <w:p w14:paraId="774ABE2F">
      <w:pPr>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2F43AC92">
      <w:pPr>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4796B859">
      <w:pPr>
        <w:rPr>
          <w:rFonts w:ascii="Times New Roman" w:hAnsi="Times New Roman"/>
          <w:highlight w:val="none"/>
        </w:rPr>
      </w:pPr>
      <w:r>
        <w:rPr>
          <w:rFonts w:hint="eastAsia" w:ascii="Times New Roman" w:hAnsi="Times New Roman"/>
          <w:highlight w:val="none"/>
        </w:rPr>
        <w:t>4.5.4 电报、电话、邮寄、传真形式的参选文件概不接受。</w:t>
      </w:r>
    </w:p>
    <w:p w14:paraId="6E15CEA1">
      <w:pPr>
        <w:pStyle w:val="4"/>
        <w:rPr>
          <w:rFonts w:ascii="Times New Roman" w:hAnsi="Times New Roman"/>
          <w:highlight w:val="none"/>
        </w:rPr>
      </w:pPr>
      <w:r>
        <w:rPr>
          <w:rFonts w:hint="eastAsia" w:ascii="Times New Roman" w:hAnsi="Times New Roman"/>
          <w:highlight w:val="none"/>
        </w:rPr>
        <w:t>4.6 参选文件的密封与标记</w:t>
      </w:r>
    </w:p>
    <w:p w14:paraId="01346649">
      <w:pPr>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7A537E44">
      <w:pPr>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6234C429">
      <w:pPr>
        <w:pStyle w:val="4"/>
        <w:rPr>
          <w:rFonts w:ascii="Times New Roman" w:hAnsi="Times New Roman"/>
          <w:highlight w:val="none"/>
        </w:rPr>
      </w:pPr>
      <w:r>
        <w:rPr>
          <w:rFonts w:hint="eastAsia" w:ascii="Times New Roman" w:hAnsi="Times New Roman"/>
          <w:highlight w:val="none"/>
        </w:rPr>
        <w:t>4.7 参选报价</w:t>
      </w:r>
    </w:p>
    <w:p w14:paraId="14B80E1D">
      <w:pPr>
        <w:rPr>
          <w:rFonts w:ascii="Times New Roman" w:hAnsi="Times New Roman"/>
          <w:highlight w:val="none"/>
        </w:rPr>
      </w:pPr>
      <w:r>
        <w:rPr>
          <w:rFonts w:hint="eastAsia" w:ascii="Times New Roman" w:hAnsi="Times New Roman"/>
          <w:highlight w:val="none"/>
        </w:rPr>
        <w:t>4.7.1 参选人应严格按照“参选文件格式”填写报价。</w:t>
      </w:r>
    </w:p>
    <w:p w14:paraId="16AAFEFB">
      <w:pPr>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56DCA908">
      <w:pPr>
        <w:rPr>
          <w:rFonts w:hint="eastAsia"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4ACFAC33">
      <w:pPr>
        <w:ind w:firstLine="480" w:firstLineChars="0"/>
        <w:jc w:val="left"/>
        <w:rPr>
          <w:highlight w:val="none"/>
        </w:rPr>
      </w:pPr>
      <w:r>
        <w:rPr>
          <w:rFonts w:hint="eastAsia" w:ascii="Times New Roman" w:hAnsi="Times New Roman" w:eastAsia="宋体"/>
          <w:highlight w:val="none"/>
        </w:rPr>
        <w:t>4.7.4 参选报价不得高于最高限价。</w:t>
      </w:r>
    </w:p>
    <w:p w14:paraId="6E01D2F9">
      <w:pPr>
        <w:pStyle w:val="4"/>
        <w:rPr>
          <w:rFonts w:ascii="Times New Roman" w:hAnsi="Times New Roman"/>
          <w:highlight w:val="none"/>
        </w:rPr>
      </w:pPr>
      <w:r>
        <w:rPr>
          <w:rFonts w:hint="eastAsia" w:ascii="Times New Roman" w:hAnsi="Times New Roman"/>
          <w:highlight w:val="none"/>
        </w:rPr>
        <w:t>4.8 修正错误</w:t>
      </w:r>
    </w:p>
    <w:p w14:paraId="02A9B8BC">
      <w:pPr>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6C3CCE14">
      <w:pPr>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29D3D2A8">
      <w:pPr>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1DFD99B6">
      <w:pPr>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2D744C66">
      <w:pPr>
        <w:rPr>
          <w:rFonts w:ascii="Times New Roman" w:hAnsi="Times New Roman"/>
          <w:highlight w:val="none"/>
        </w:rPr>
      </w:pPr>
      <w:r>
        <w:rPr>
          <w:rFonts w:hint="eastAsia" w:ascii="Times New Roman" w:hAnsi="Times New Roman"/>
          <w:highlight w:val="none"/>
        </w:rPr>
        <w:t>4.8.4 对不同文字文本参选文件的解释发生异议的，以中文文本为准。</w:t>
      </w:r>
    </w:p>
    <w:p w14:paraId="6D68A15E">
      <w:pPr>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85D3F86">
      <w:pPr>
        <w:pStyle w:val="3"/>
        <w:rPr>
          <w:rFonts w:ascii="Times New Roman" w:hAnsi="Times New Roman"/>
          <w:highlight w:val="none"/>
        </w:rPr>
      </w:pPr>
      <w:bookmarkStart w:id="38" w:name="_Toc89675166"/>
      <w:r>
        <w:rPr>
          <w:rFonts w:hint="eastAsia" w:ascii="Times New Roman" w:hAnsi="Times New Roman"/>
          <w:highlight w:val="none"/>
        </w:rPr>
        <w:t>5. 比选程序</w:t>
      </w:r>
    </w:p>
    <w:p w14:paraId="191A9DD4">
      <w:pPr>
        <w:rPr>
          <w:rFonts w:ascii="Times New Roman" w:hAnsi="Times New Roman"/>
          <w:highlight w:val="none"/>
        </w:rPr>
      </w:pPr>
      <w:r>
        <w:rPr>
          <w:rFonts w:hint="eastAsia" w:ascii="Times New Roman" w:hAnsi="Times New Roman"/>
          <w:highlight w:val="none"/>
        </w:rPr>
        <w:t>主持人按下列程序进行比选：</w:t>
      </w:r>
    </w:p>
    <w:p w14:paraId="2A2F7839">
      <w:pPr>
        <w:rPr>
          <w:rFonts w:ascii="Times New Roman" w:hAnsi="Times New Roman"/>
          <w:highlight w:val="none"/>
        </w:rPr>
      </w:pPr>
      <w:r>
        <w:rPr>
          <w:rFonts w:hint="eastAsia" w:ascii="Times New Roman" w:hAnsi="Times New Roman"/>
          <w:highlight w:val="none"/>
        </w:rPr>
        <w:t>5.1 宣布比选纪律；</w:t>
      </w:r>
    </w:p>
    <w:p w14:paraId="474730F4">
      <w:pPr>
        <w:rPr>
          <w:rFonts w:ascii="Times New Roman" w:hAnsi="Times New Roman"/>
          <w:highlight w:val="none"/>
        </w:rPr>
      </w:pPr>
      <w:r>
        <w:rPr>
          <w:rFonts w:hint="eastAsia" w:ascii="Times New Roman" w:hAnsi="Times New Roman"/>
          <w:highlight w:val="none"/>
        </w:rPr>
        <w:t>5.2 宣布比选人、唱标人、记录人、监督人等有关人员姓名；</w:t>
      </w:r>
    </w:p>
    <w:p w14:paraId="063E55A8">
      <w:pPr>
        <w:rPr>
          <w:rFonts w:ascii="Times New Roman" w:hAnsi="Times New Roman"/>
          <w:highlight w:val="none"/>
        </w:rPr>
      </w:pPr>
      <w:r>
        <w:rPr>
          <w:rFonts w:hint="eastAsia" w:ascii="Times New Roman" w:hAnsi="Times New Roman"/>
          <w:highlight w:val="none"/>
        </w:rPr>
        <w:t>5.3 公布在比选截止时间前递交参选文件的参选人名称，并点名确认参选人是否派人到场；</w:t>
      </w:r>
    </w:p>
    <w:p w14:paraId="6840700E">
      <w:pPr>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718641F8">
      <w:pPr>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5243EC7A">
      <w:pPr>
        <w:rPr>
          <w:rFonts w:ascii="Times New Roman" w:hAnsi="Times New Roman"/>
          <w:highlight w:val="none"/>
        </w:rPr>
      </w:pPr>
      <w:r>
        <w:rPr>
          <w:rFonts w:hint="eastAsia" w:ascii="Times New Roman" w:hAnsi="Times New Roman"/>
          <w:highlight w:val="none"/>
        </w:rPr>
        <w:t>5.6 设有最高限价的，公布最高限价；</w:t>
      </w:r>
    </w:p>
    <w:p w14:paraId="7BF1EC30">
      <w:pPr>
        <w:rPr>
          <w:rFonts w:ascii="Times New Roman" w:hAnsi="Times New Roman"/>
          <w:highlight w:val="none"/>
        </w:rPr>
      </w:pPr>
      <w:r>
        <w:rPr>
          <w:rFonts w:hint="eastAsia" w:ascii="Times New Roman" w:hAnsi="Times New Roman"/>
          <w:highlight w:val="none"/>
        </w:rPr>
        <w:t>5.7 开启参选文件；</w:t>
      </w:r>
    </w:p>
    <w:p w14:paraId="1171EE41">
      <w:pPr>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450F95DD">
      <w:pPr>
        <w:rPr>
          <w:rFonts w:ascii="Times New Roman" w:hAnsi="Times New Roman"/>
          <w:highlight w:val="none"/>
        </w:rPr>
      </w:pPr>
      <w:r>
        <w:rPr>
          <w:rFonts w:hint="eastAsia" w:ascii="Times New Roman" w:hAnsi="Times New Roman"/>
          <w:highlight w:val="none"/>
        </w:rPr>
        <w:t>5.9 比选结束。</w:t>
      </w:r>
    </w:p>
    <w:p w14:paraId="5F713ECA">
      <w:pPr>
        <w:pStyle w:val="3"/>
        <w:rPr>
          <w:rFonts w:ascii="Times New Roman" w:hAnsi="Times New Roman"/>
          <w:highlight w:val="none"/>
        </w:rPr>
      </w:pPr>
      <w:r>
        <w:rPr>
          <w:rFonts w:hint="eastAsia" w:ascii="Times New Roman" w:hAnsi="Times New Roman"/>
          <w:highlight w:val="none"/>
        </w:rPr>
        <w:t>6. 评审</w:t>
      </w:r>
    </w:p>
    <w:p w14:paraId="66520D65">
      <w:pPr>
        <w:rPr>
          <w:rFonts w:ascii="Times New Roman" w:hAnsi="Times New Roman"/>
          <w:highlight w:val="none"/>
        </w:rPr>
      </w:pPr>
      <w:r>
        <w:rPr>
          <w:rFonts w:hint="eastAsia" w:ascii="Times New Roman" w:hAnsi="Times New Roman"/>
          <w:highlight w:val="none"/>
        </w:rPr>
        <w:t>见第四章内容。</w:t>
      </w:r>
    </w:p>
    <w:p w14:paraId="7BC32D55">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38"/>
    </w:p>
    <w:p w14:paraId="05A7E012">
      <w:pPr>
        <w:rPr>
          <w:rFonts w:ascii="Times New Roman" w:hAnsi="Times New Roman"/>
          <w:highlight w:val="none"/>
        </w:rPr>
      </w:pPr>
      <w:r>
        <w:rPr>
          <w:rFonts w:hint="eastAsia" w:ascii="Times New Roman" w:hAnsi="Times New Roman"/>
          <w:highlight w:val="none"/>
        </w:rPr>
        <w:t>7.1 定选原则</w:t>
      </w:r>
    </w:p>
    <w:p w14:paraId="6BF1DA20">
      <w:pPr>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37E2AAFE">
      <w:pPr>
        <w:rPr>
          <w:rFonts w:ascii="Times New Roman" w:hAnsi="Times New Roman"/>
          <w:highlight w:val="none"/>
        </w:rPr>
      </w:pPr>
      <w:r>
        <w:rPr>
          <w:rFonts w:hint="eastAsia" w:ascii="Times New Roman" w:hAnsi="Times New Roman"/>
          <w:highlight w:val="none"/>
        </w:rPr>
        <w:t>7.2 不承诺最低价格中选。</w:t>
      </w:r>
    </w:p>
    <w:p w14:paraId="1977BED0">
      <w:pPr>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764FBFE">
      <w:pPr>
        <w:pStyle w:val="3"/>
        <w:rPr>
          <w:rFonts w:ascii="Times New Roman" w:hAnsi="Times New Roman"/>
          <w:highlight w:val="none"/>
        </w:rPr>
      </w:pPr>
      <w:bookmarkStart w:id="39" w:name="_Toc89675168"/>
      <w:bookmarkStart w:id="40" w:name="_Toc12245"/>
      <w:r>
        <w:rPr>
          <w:rFonts w:hint="eastAsia" w:ascii="Times New Roman" w:hAnsi="Times New Roman"/>
          <w:highlight w:val="none"/>
        </w:rPr>
        <w:t>8. 签订合同</w:t>
      </w:r>
      <w:bookmarkEnd w:id="39"/>
      <w:bookmarkEnd w:id="40"/>
    </w:p>
    <w:p w14:paraId="281DE1BA">
      <w:pPr>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67216915">
      <w:pPr>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371B9F6C">
      <w:pPr>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5DB8AFF5">
      <w:pPr>
        <w:rPr>
          <w:rFonts w:ascii="Times New Roman" w:hAnsi="Times New Roman"/>
          <w:highlight w:val="none"/>
        </w:rPr>
      </w:pPr>
      <w:r>
        <w:rPr>
          <w:rFonts w:hint="eastAsia" w:ascii="Times New Roman" w:hAnsi="Times New Roman"/>
          <w:highlight w:val="none"/>
        </w:rPr>
        <w:t>8.4 签订合同</w:t>
      </w:r>
      <w:r>
        <w:rPr>
          <w:rFonts w:ascii="Times New Roman" w:hAnsi="Times New Roman"/>
          <w:highlight w:val="none"/>
        </w:rPr>
        <w:t>前</w:t>
      </w:r>
      <w:r>
        <w:rPr>
          <w:rFonts w:hint="eastAsia" w:ascii="Times New Roman" w:hAnsi="Times New Roman"/>
          <w:highlight w:val="none"/>
        </w:rPr>
        <w:t>后，若中选人无法按要求履约</w:t>
      </w:r>
      <w:r>
        <w:rPr>
          <w:rFonts w:hint="eastAsia" w:ascii="Times New Roman" w:hAnsi="Times New Roman"/>
          <w:highlight w:val="none"/>
          <w:lang w:val="en-US" w:eastAsia="zh-CN"/>
        </w:rPr>
        <w:t>或中选单位提供的产品测试不合格或与参选文件中的产品不一致</w:t>
      </w:r>
      <w:r>
        <w:rPr>
          <w:rFonts w:hint="eastAsia" w:ascii="Times New Roman" w:hAnsi="Times New Roman"/>
          <w:highlight w:val="none"/>
        </w:rPr>
        <w:t>，比选人可以废除中选人资格，并可选择按照中选候选人顺位与下一候选人签订合同。</w:t>
      </w:r>
    </w:p>
    <w:p w14:paraId="177E0DC8">
      <w:pPr>
        <w:rPr>
          <w:rFonts w:ascii="Times New Roman" w:hAnsi="Times New Roman"/>
          <w:highlight w:val="none"/>
        </w:rPr>
      </w:pPr>
      <w:r>
        <w:rPr>
          <w:rFonts w:hint="eastAsia" w:ascii="Times New Roman" w:hAnsi="Times New Roman"/>
          <w:highlight w:val="none"/>
        </w:rPr>
        <w:t>8.5 该项目不允许任何形式的转包。</w:t>
      </w:r>
    </w:p>
    <w:p w14:paraId="7D44B729">
      <w:pPr>
        <w:pStyle w:val="3"/>
        <w:rPr>
          <w:rFonts w:ascii="Times New Roman" w:hAnsi="Times New Roman"/>
          <w:highlight w:val="none"/>
        </w:rPr>
      </w:pPr>
      <w:r>
        <w:rPr>
          <w:rFonts w:hint="eastAsia" w:ascii="Times New Roman" w:hAnsi="Times New Roman"/>
          <w:highlight w:val="none"/>
        </w:rPr>
        <w:t>9. 纪律与要求</w:t>
      </w:r>
    </w:p>
    <w:p w14:paraId="5421C1D8">
      <w:pPr>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623334D8">
      <w:pPr>
        <w:rPr>
          <w:rFonts w:ascii="Times New Roman" w:hAnsi="Times New Roman"/>
          <w:highlight w:val="none"/>
        </w:rPr>
      </w:pPr>
      <w:r>
        <w:rPr>
          <w:rFonts w:hint="eastAsia" w:ascii="Times New Roman" w:hAnsi="Times New Roman"/>
          <w:highlight w:val="none"/>
        </w:rPr>
        <w:t>9.1 有下列情形之一的，属于参选人相互串通参选：</w:t>
      </w:r>
    </w:p>
    <w:p w14:paraId="2F5A9405">
      <w:pPr>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733E92F2">
      <w:pPr>
        <w:rPr>
          <w:rFonts w:ascii="Times New Roman" w:hAnsi="Times New Roman"/>
          <w:highlight w:val="none"/>
        </w:rPr>
      </w:pPr>
      <w:r>
        <w:rPr>
          <w:rFonts w:hint="eastAsia" w:ascii="Times New Roman" w:hAnsi="Times New Roman"/>
          <w:highlight w:val="none"/>
        </w:rPr>
        <w:t>9.1.2 参选人之间约定中选人；</w:t>
      </w:r>
    </w:p>
    <w:p w14:paraId="692CFEAB">
      <w:pPr>
        <w:rPr>
          <w:rFonts w:ascii="Times New Roman" w:hAnsi="Times New Roman"/>
          <w:highlight w:val="none"/>
        </w:rPr>
      </w:pPr>
      <w:r>
        <w:rPr>
          <w:rFonts w:hint="eastAsia" w:ascii="Times New Roman" w:hAnsi="Times New Roman"/>
          <w:highlight w:val="none"/>
        </w:rPr>
        <w:t>9.1.3 参选人之间约定部分参选人放弃参选或者中选；</w:t>
      </w:r>
    </w:p>
    <w:p w14:paraId="00C72DA0">
      <w:pPr>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2D5E359A">
      <w:pPr>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41179FB3">
      <w:pPr>
        <w:rPr>
          <w:rFonts w:ascii="Times New Roman" w:hAnsi="Times New Roman"/>
          <w:highlight w:val="none"/>
        </w:rPr>
      </w:pPr>
      <w:r>
        <w:rPr>
          <w:rFonts w:hint="eastAsia" w:ascii="Times New Roman" w:hAnsi="Times New Roman"/>
          <w:highlight w:val="none"/>
        </w:rPr>
        <w:t>9.2 有下列情形之一的，视为参选人相互串通参选：</w:t>
      </w:r>
    </w:p>
    <w:p w14:paraId="3D6D7862">
      <w:pPr>
        <w:rPr>
          <w:rFonts w:ascii="Times New Roman" w:hAnsi="Times New Roman"/>
          <w:highlight w:val="none"/>
        </w:rPr>
      </w:pPr>
      <w:r>
        <w:rPr>
          <w:rFonts w:hint="eastAsia" w:ascii="Times New Roman" w:hAnsi="Times New Roman"/>
          <w:highlight w:val="none"/>
        </w:rPr>
        <w:t>9.2.1 不同参选人的参选文件由同一单位或者个人编制；</w:t>
      </w:r>
    </w:p>
    <w:p w14:paraId="566F7A0D">
      <w:pPr>
        <w:rPr>
          <w:rFonts w:ascii="Times New Roman" w:hAnsi="Times New Roman"/>
          <w:highlight w:val="none"/>
        </w:rPr>
      </w:pPr>
      <w:r>
        <w:rPr>
          <w:rFonts w:hint="eastAsia" w:ascii="Times New Roman" w:hAnsi="Times New Roman"/>
          <w:highlight w:val="none"/>
        </w:rPr>
        <w:t>9.2.2 不同参选人委托同一单位或者个人办理参选事宜；</w:t>
      </w:r>
    </w:p>
    <w:p w14:paraId="2DB44727">
      <w:pPr>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3B0C4B4B">
      <w:pPr>
        <w:rPr>
          <w:rFonts w:ascii="Times New Roman" w:hAnsi="Times New Roman"/>
          <w:highlight w:val="none"/>
        </w:rPr>
      </w:pPr>
      <w:r>
        <w:rPr>
          <w:rFonts w:hint="eastAsia" w:ascii="Times New Roman" w:hAnsi="Times New Roman"/>
          <w:highlight w:val="none"/>
        </w:rPr>
        <w:t>9.2.4 不同参选人的参选文件相互混装；</w:t>
      </w:r>
    </w:p>
    <w:p w14:paraId="342A7D26">
      <w:pPr>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05F8722F">
      <w:pPr>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3337F9A7">
      <w:pPr>
        <w:rPr>
          <w:rFonts w:ascii="Times New Roman" w:hAnsi="Times New Roman"/>
          <w:highlight w:val="none"/>
        </w:rPr>
      </w:pPr>
      <w:r>
        <w:rPr>
          <w:rFonts w:hint="eastAsia" w:ascii="Times New Roman" w:hAnsi="Times New Roman"/>
          <w:highlight w:val="none"/>
        </w:rPr>
        <w:t>9.4 参选人有下列情形之一的，属于弄虚作假的行为：</w:t>
      </w:r>
    </w:p>
    <w:p w14:paraId="22E63DFA">
      <w:pPr>
        <w:rPr>
          <w:rFonts w:ascii="Times New Roman" w:hAnsi="Times New Roman"/>
          <w:highlight w:val="none"/>
        </w:rPr>
      </w:pPr>
      <w:r>
        <w:rPr>
          <w:rFonts w:hint="eastAsia" w:ascii="Times New Roman" w:hAnsi="Times New Roman"/>
          <w:highlight w:val="none"/>
        </w:rPr>
        <w:t>9.4.1 使用伪造、变造的许可证件；</w:t>
      </w:r>
    </w:p>
    <w:p w14:paraId="2445EA8E">
      <w:pPr>
        <w:rPr>
          <w:rFonts w:ascii="Times New Roman" w:hAnsi="Times New Roman"/>
          <w:highlight w:val="none"/>
        </w:rPr>
      </w:pPr>
      <w:r>
        <w:rPr>
          <w:rFonts w:hint="eastAsia" w:ascii="Times New Roman" w:hAnsi="Times New Roman"/>
          <w:highlight w:val="none"/>
        </w:rPr>
        <w:t>9.4.2 提供虚假的财务状况或者虚假业绩；</w:t>
      </w:r>
    </w:p>
    <w:p w14:paraId="4FA790E9">
      <w:pPr>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6A833DDC">
      <w:pPr>
        <w:rPr>
          <w:rFonts w:ascii="Times New Roman" w:hAnsi="Times New Roman"/>
          <w:highlight w:val="none"/>
        </w:rPr>
      </w:pPr>
      <w:r>
        <w:rPr>
          <w:rFonts w:hint="eastAsia" w:ascii="Times New Roman" w:hAnsi="Times New Roman"/>
          <w:highlight w:val="none"/>
        </w:rPr>
        <w:t>9.4.4 提供虚假的信用状况；</w:t>
      </w:r>
    </w:p>
    <w:p w14:paraId="3435DB47">
      <w:pPr>
        <w:rPr>
          <w:rFonts w:ascii="Times New Roman" w:hAnsi="Times New Roman"/>
          <w:highlight w:val="none"/>
        </w:rPr>
      </w:pPr>
      <w:r>
        <w:rPr>
          <w:rFonts w:hint="eastAsia" w:ascii="Times New Roman" w:hAnsi="Times New Roman"/>
          <w:highlight w:val="none"/>
        </w:rPr>
        <w:t>9.4.5 其它弄虚作假的行为。</w:t>
      </w:r>
    </w:p>
    <w:p w14:paraId="69167200">
      <w:pPr>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2FCED3D2">
      <w:pPr>
        <w:pStyle w:val="3"/>
        <w:rPr>
          <w:rFonts w:ascii="Times New Roman" w:hAnsi="Times New Roman"/>
          <w:highlight w:val="none"/>
        </w:rPr>
      </w:pPr>
      <w:bookmarkStart w:id="41" w:name="_Toc89675169"/>
      <w:r>
        <w:rPr>
          <w:rFonts w:hint="eastAsia" w:ascii="Times New Roman" w:hAnsi="Times New Roman"/>
          <w:highlight w:val="none"/>
        </w:rPr>
        <w:t>10. 提问、质疑、投诉</w:t>
      </w:r>
    </w:p>
    <w:p w14:paraId="0535ABF1">
      <w:pPr>
        <w:rPr>
          <w:rFonts w:ascii="Times New Roman" w:hAnsi="Times New Roman"/>
          <w:highlight w:val="none"/>
        </w:rPr>
      </w:pPr>
      <w:r>
        <w:rPr>
          <w:rFonts w:hint="eastAsia" w:ascii="Times New Roman" w:hAnsi="Times New Roman"/>
          <w:highlight w:val="none"/>
        </w:rPr>
        <w:t>10.1 补遗内容可能影响参选文件编制的，须在比选截止时间3日前发布，发布时间至比选截止时间不足3日的，须相应延后比选截止时间。</w:t>
      </w:r>
    </w:p>
    <w:p w14:paraId="6BA73D5C">
      <w:pPr>
        <w:ind w:firstLine="480"/>
        <w:rPr>
          <w:rFonts w:ascii="Times New Roman" w:hAnsi="Times New Roman"/>
          <w:highlight w:val="none"/>
        </w:rPr>
      </w:pPr>
      <w:r>
        <w:rPr>
          <w:rFonts w:hint="eastAsia" w:ascii="Times New Roman" w:hAnsi="Times New Roman"/>
          <w:highlight w:val="none"/>
        </w:rPr>
        <w:t>10.2 参选人对比选文件和答疑补遗有质疑的，应当在比选截止时间3日前，以书面形式通知比选人。</w:t>
      </w:r>
      <w:r>
        <w:rPr>
          <w:rFonts w:hint="eastAsia" w:ascii="Times New Roman" w:hAnsi="Times New Roman"/>
          <w:color w:val="auto"/>
          <w:highlight w:val="none"/>
        </w:rPr>
        <w:t>比选人认为有必要对参选人所提问题进行答复或对比选文件进行补充时将答复内容以补遗的形式发布。</w:t>
      </w:r>
    </w:p>
    <w:p w14:paraId="61A3D294">
      <w:pPr>
        <w:ind w:firstLine="0"/>
        <w:rPr>
          <w:rFonts w:ascii="Times New Roman" w:hAnsi="Times New Roman"/>
          <w:highlight w:val="none"/>
        </w:rPr>
      </w:pPr>
      <w:r>
        <w:rPr>
          <w:rFonts w:hint="eastAsia" w:ascii="Times New Roman" w:hAnsi="Times New Roman"/>
          <w:highlight w:val="none"/>
        </w:rPr>
        <w:t>10.3 参选人对公示的中选结果有质疑，参选人需在公示期内以书面形式向比选人提出质疑。</w:t>
      </w:r>
      <w:r>
        <w:rPr>
          <w:rFonts w:hint="eastAsia"/>
          <w:color w:val="auto"/>
          <w:highlight w:val="none"/>
        </w:rPr>
        <w:t>比选人认为有必要对参选人所提质疑进行答复时，将以书面形式进行答复。</w:t>
      </w:r>
    </w:p>
    <w:p w14:paraId="3F6FA0A8">
      <w:pPr>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68E1EC1B">
      <w:pPr>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53D84AA5">
      <w:pPr>
        <w:rPr>
          <w:rFonts w:ascii="Times New Roman" w:hAnsi="Times New Roman"/>
          <w:highlight w:val="none"/>
        </w:rPr>
      </w:pPr>
      <w:r>
        <w:rPr>
          <w:rFonts w:hint="eastAsia" w:ascii="Times New Roman" w:hAnsi="Times New Roman"/>
          <w:highlight w:val="none"/>
        </w:rPr>
        <w:t>采购投诉邮箱：</w:t>
      </w:r>
      <w:bookmarkStart w:id="42"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2"/>
    </w:p>
    <w:p w14:paraId="3AAD9C6D">
      <w:pPr>
        <w:pStyle w:val="3"/>
        <w:rPr>
          <w:rFonts w:ascii="Times New Roman" w:hAnsi="Times New Roman"/>
          <w:highlight w:val="none"/>
        </w:rPr>
      </w:pPr>
      <w:bookmarkStart w:id="43" w:name="_Toc11439"/>
      <w:bookmarkStart w:id="44" w:name="_Toc15059431"/>
      <w:bookmarkStart w:id="45" w:name="_Toc89675157"/>
      <w:bookmarkStart w:id="46" w:name="_Toc440628924"/>
      <w:bookmarkStart w:id="47" w:name="_Toc275199618"/>
      <w:r>
        <w:rPr>
          <w:rFonts w:hint="eastAsia" w:ascii="Times New Roman" w:hAnsi="Times New Roman"/>
          <w:highlight w:val="none"/>
        </w:rPr>
        <w:t>11. 无效参选条款</w:t>
      </w:r>
      <w:bookmarkEnd w:id="43"/>
      <w:bookmarkEnd w:id="44"/>
      <w:bookmarkEnd w:id="45"/>
      <w:bookmarkEnd w:id="46"/>
      <w:bookmarkEnd w:id="47"/>
    </w:p>
    <w:p w14:paraId="531C3536">
      <w:pPr>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1ABFA930">
      <w:pPr>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52F8EC96">
      <w:pPr>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4319F8DF">
      <w:pPr>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40CA8279">
      <w:pPr>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56F265CE">
      <w:pPr>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21E86461">
      <w:pPr>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17B5BA8A">
      <w:pPr>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76690787">
      <w:pPr>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0933DA6E">
      <w:pPr>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67BCEB82">
      <w:pPr>
        <w:rPr>
          <w:rFonts w:ascii="Times New Roman" w:hAnsi="Times New Roman"/>
          <w:highlight w:val="none"/>
        </w:rPr>
      </w:pPr>
      <w:r>
        <w:rPr>
          <w:rFonts w:hint="eastAsia" w:ascii="Times New Roman" w:hAnsi="Times New Roman"/>
          <w:highlight w:val="none"/>
        </w:rPr>
        <w:t>11.10 出现影响比选公正的违法、违规行为的。</w:t>
      </w:r>
    </w:p>
    <w:p w14:paraId="38DA9C06">
      <w:pPr>
        <w:rPr>
          <w:rFonts w:ascii="Times New Roman" w:hAnsi="Times New Roman"/>
          <w:highlight w:val="none"/>
        </w:rPr>
      </w:pPr>
      <w:r>
        <w:rPr>
          <w:rFonts w:hint="eastAsia" w:ascii="Times New Roman" w:hAnsi="Times New Roman"/>
          <w:highlight w:val="none"/>
        </w:rPr>
        <w:t>11.11 与比选人、评审专家、其他参选人恶意串通。</w:t>
      </w:r>
    </w:p>
    <w:p w14:paraId="45C0D78D">
      <w:pPr>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438E65AC">
      <w:pPr>
        <w:rPr>
          <w:rFonts w:ascii="Times New Roman" w:hAnsi="Times New Roman"/>
          <w:highlight w:val="none"/>
        </w:rPr>
      </w:pPr>
      <w:r>
        <w:rPr>
          <w:rFonts w:hint="eastAsia" w:ascii="Times New Roman" w:hAnsi="Times New Roman"/>
          <w:highlight w:val="none"/>
        </w:rPr>
        <w:t>11.13 提供虚假材料谋取中选资格的。</w:t>
      </w:r>
    </w:p>
    <w:p w14:paraId="3A6BC29B">
      <w:pPr>
        <w:rPr>
          <w:rFonts w:ascii="Times New Roman" w:hAnsi="Times New Roman"/>
          <w:highlight w:val="none"/>
        </w:rPr>
      </w:pPr>
      <w:r>
        <w:rPr>
          <w:rFonts w:hint="eastAsia" w:ascii="Times New Roman" w:hAnsi="Times New Roman"/>
          <w:highlight w:val="none"/>
        </w:rPr>
        <w:t>11.14 参选文件含有比选人不能接受的附件条件的。</w:t>
      </w:r>
    </w:p>
    <w:p w14:paraId="2E45E663">
      <w:pPr>
        <w:pStyle w:val="3"/>
        <w:rPr>
          <w:rFonts w:ascii="Times New Roman" w:hAnsi="Times New Roman"/>
          <w:highlight w:val="none"/>
        </w:rPr>
      </w:pPr>
      <w:r>
        <w:rPr>
          <w:rFonts w:hint="eastAsia" w:ascii="Times New Roman" w:hAnsi="Times New Roman"/>
          <w:highlight w:val="none"/>
        </w:rPr>
        <w:t>12. 比选失败情形</w:t>
      </w:r>
    </w:p>
    <w:p w14:paraId="3C7B2E54">
      <w:pPr>
        <w:snapToGrid w:val="0"/>
        <w:rPr>
          <w:rFonts w:ascii="Times New Roman" w:hAnsi="Times New Roman"/>
          <w:highlight w:val="none"/>
        </w:rPr>
      </w:pPr>
      <w:r>
        <w:rPr>
          <w:rFonts w:hint="eastAsia" w:ascii="Times New Roman" w:hAnsi="Times New Roman"/>
          <w:highlight w:val="none"/>
        </w:rPr>
        <w:t>出现以下情形本次比选失败：</w:t>
      </w:r>
    </w:p>
    <w:p w14:paraId="4B7B9F1D">
      <w:pPr>
        <w:snapToGrid w:val="0"/>
        <w:rPr>
          <w:rFonts w:ascii="Times New Roman" w:hAnsi="Times New Roman"/>
          <w:highlight w:val="none"/>
        </w:rPr>
      </w:pPr>
      <w:r>
        <w:rPr>
          <w:rFonts w:hint="eastAsia" w:ascii="Times New Roman" w:hAnsi="Times New Roman"/>
          <w:highlight w:val="none"/>
        </w:rPr>
        <w:t>12.1 比选截止时间止，参选人少于2个的。</w:t>
      </w:r>
    </w:p>
    <w:p w14:paraId="60143BB2">
      <w:pPr>
        <w:rPr>
          <w:rFonts w:ascii="Times New Roman" w:hAnsi="Times New Roman"/>
          <w:highlight w:val="none"/>
        </w:rPr>
      </w:pPr>
      <w:r>
        <w:rPr>
          <w:rFonts w:hint="eastAsia" w:ascii="Times New Roman" w:hAnsi="Times New Roman"/>
          <w:highlight w:val="none"/>
        </w:rPr>
        <w:t>12.2 经评审委员会评审后否决所有参选的。</w:t>
      </w:r>
    </w:p>
    <w:p w14:paraId="65A41674">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41"/>
    </w:p>
    <w:p w14:paraId="6C004E28">
      <w:pPr>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4AEA5444">
      <w:pPr>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5AD33641">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73F0454A">
      <w:pPr>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61C38A92">
      <w:pPr>
        <w:rPr>
          <w:rFonts w:ascii="Times New Roman" w:hAnsi="Times New Roman"/>
          <w:highlight w:val="none"/>
        </w:rPr>
      </w:pPr>
      <w:r>
        <w:rPr>
          <w:rFonts w:hint="eastAsia" w:ascii="Times New Roman" w:hAnsi="Times New Roman"/>
          <w:highlight w:val="none"/>
          <w:lang w:eastAsia="zh-CN"/>
        </w:rPr>
        <w:t>若本项目中选金额大于等于</w:t>
      </w:r>
      <w:r>
        <w:rPr>
          <w:rFonts w:hint="eastAsia" w:ascii="Times New Roman" w:hAnsi="Times New Roman"/>
          <w:highlight w:val="none"/>
          <w:lang w:val="en-US" w:eastAsia="zh-CN"/>
        </w:rPr>
        <w:t>50万元，</w:t>
      </w:r>
      <w:r>
        <w:rPr>
          <w:rFonts w:hint="eastAsia" w:ascii="Times New Roman" w:hAnsi="Times New Roman"/>
          <w:highlight w:val="none"/>
        </w:rPr>
        <w:t>平台服务费</w:t>
      </w:r>
      <w:r>
        <w:rPr>
          <w:rFonts w:hint="eastAsia" w:ascii="Times New Roman" w:hAnsi="Times New Roman"/>
          <w:highlight w:val="none"/>
          <w:lang w:eastAsia="zh-CN"/>
        </w:rPr>
        <w:t>为</w:t>
      </w:r>
      <w:r>
        <w:rPr>
          <w:rFonts w:hint="eastAsia" w:ascii="Times New Roman" w:hAnsi="Times New Roman"/>
          <w:highlight w:val="none"/>
          <w:lang w:val="en-US" w:eastAsia="zh-CN"/>
        </w:rPr>
        <w:t>1.5万</w:t>
      </w:r>
      <w:r>
        <w:rPr>
          <w:rFonts w:hint="eastAsia" w:ascii="Times New Roman" w:hAnsi="Times New Roman"/>
          <w:highlight w:val="none"/>
        </w:rPr>
        <w:t>元，</w:t>
      </w:r>
      <w:r>
        <w:rPr>
          <w:rFonts w:hint="eastAsia" w:ascii="Times New Roman" w:hAnsi="Times New Roman"/>
          <w:highlight w:val="none"/>
          <w:lang w:eastAsia="zh-CN"/>
        </w:rPr>
        <w:t>若本项目中选金额小于</w:t>
      </w:r>
      <w:r>
        <w:rPr>
          <w:rFonts w:hint="eastAsia" w:ascii="Times New Roman" w:hAnsi="Times New Roman"/>
          <w:highlight w:val="none"/>
          <w:lang w:val="en-US" w:eastAsia="zh-CN"/>
        </w:rPr>
        <w:t>50万元，</w:t>
      </w:r>
      <w:r>
        <w:rPr>
          <w:rFonts w:hint="eastAsia" w:ascii="Times New Roman" w:hAnsi="Times New Roman"/>
          <w:highlight w:val="none"/>
        </w:rPr>
        <w:t>平台服务费</w:t>
      </w:r>
      <w:r>
        <w:rPr>
          <w:rFonts w:hint="eastAsia" w:ascii="Times New Roman" w:hAnsi="Times New Roman"/>
          <w:highlight w:val="none"/>
          <w:lang w:eastAsia="zh-CN"/>
        </w:rPr>
        <w:t>为</w:t>
      </w:r>
      <w:r>
        <w:rPr>
          <w:rFonts w:hint="eastAsia" w:ascii="Times New Roman" w:hAnsi="Times New Roman"/>
          <w:highlight w:val="none"/>
          <w:lang w:val="en-US" w:eastAsia="zh-CN"/>
        </w:rPr>
        <w:t>0.8万</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46FEA473">
      <w:pPr>
        <w:widowControl/>
        <w:jc w:val="left"/>
        <w:rPr>
          <w:rFonts w:ascii="Times New Roman" w:hAnsi="Times New Roman" w:cs="Cambria"/>
          <w:snapToGrid w:val="0"/>
          <w:kern w:val="0"/>
          <w:szCs w:val="28"/>
          <w:highlight w:val="none"/>
        </w:rPr>
      </w:pPr>
      <w:r>
        <w:rPr>
          <w:rFonts w:ascii="Times New Roman" w:hAnsi="Times New Roman" w:cs="Cambria"/>
          <w:snapToGrid w:val="0"/>
          <w:kern w:val="0"/>
          <w:szCs w:val="28"/>
          <w:highlight w:val="none"/>
        </w:rPr>
        <w:br w:type="page"/>
      </w:r>
    </w:p>
    <w:p w14:paraId="7ECCBC73">
      <w:pPr>
        <w:pStyle w:val="2"/>
        <w:rPr>
          <w:rFonts w:ascii="Times New Roman" w:hAnsi="Times New Roman"/>
          <w:highlight w:val="none"/>
        </w:rPr>
      </w:pPr>
      <w:bookmarkStart w:id="48" w:name="_Toc11825"/>
      <w:bookmarkStart w:id="49" w:name="_Toc1932908189"/>
      <w:r>
        <w:rPr>
          <w:rFonts w:hint="eastAsia" w:ascii="Times New Roman" w:hAnsi="Times New Roman"/>
          <w:highlight w:val="none"/>
        </w:rPr>
        <w:t>第三章 项目要求</w:t>
      </w:r>
      <w:bookmarkEnd w:id="48"/>
      <w:bookmarkEnd w:id="49"/>
    </w:p>
    <w:p w14:paraId="116FF172">
      <w:pPr>
        <w:pStyle w:val="3"/>
        <w:numPr>
          <w:ilvl w:val="0"/>
          <w:numId w:val="1"/>
        </w:numPr>
        <w:rPr>
          <w:rFonts w:ascii="Times New Roman" w:hAnsi="Times New Roman"/>
          <w:highlight w:val="none"/>
        </w:rPr>
      </w:pPr>
      <w:r>
        <w:rPr>
          <w:rFonts w:hint="eastAsia" w:ascii="Times New Roman" w:hAnsi="Times New Roman"/>
          <w:highlight w:val="none"/>
        </w:rPr>
        <w:t>总体要求</w:t>
      </w:r>
    </w:p>
    <w:p w14:paraId="07070BB5">
      <w:pPr>
        <w:rPr>
          <w:rFonts w:hint="eastAsia" w:ascii="Times New Roman" w:hAnsi="Times New Roman"/>
          <w:color w:val="auto"/>
          <w:highlight w:val="none"/>
        </w:rPr>
      </w:pPr>
      <w:r>
        <w:rPr>
          <w:rFonts w:hint="eastAsia" w:ascii="Times New Roman" w:hAnsi="Times New Roman"/>
          <w:color w:val="auto"/>
          <w:highlight w:val="none"/>
          <w:lang w:val="en-US" w:eastAsia="zh-CN"/>
        </w:rPr>
        <w:t>服务应满足比选人及主办方要求，涵盖网络安全竞赛、赛前培训及网络安全宣传周活动支</w:t>
      </w:r>
      <w:r>
        <w:rPr>
          <w:rFonts w:hint="eastAsia" w:ascii="Times New Roman" w:hAnsi="Times New Roman" w:cs="宋体"/>
          <w:snapToGrid w:val="0"/>
          <w:color w:val="auto"/>
          <w:kern w:val="0"/>
          <w:szCs w:val="24"/>
          <w:highlight w:val="none"/>
          <w:lang w:val="en-US" w:eastAsia="zh-CN"/>
        </w:rPr>
        <w:t>撑内容。</w:t>
      </w:r>
    </w:p>
    <w:p w14:paraId="2B30EDCF">
      <w:pPr>
        <w:pStyle w:val="3"/>
        <w:numPr>
          <w:ilvl w:val="0"/>
          <w:numId w:val="1"/>
        </w:numPr>
        <w:rPr>
          <w:rFonts w:ascii="Times New Roman" w:hAnsi="Times New Roman"/>
          <w:highlight w:val="none"/>
        </w:rPr>
      </w:pPr>
      <w:r>
        <w:rPr>
          <w:rFonts w:ascii="Times New Roman" w:hAnsi="Times New Roman" w:cs="Times New Roman"/>
          <w:kern w:val="0"/>
          <w:highlight w:val="none"/>
        </w:rPr>
        <w:t>服务内容</w:t>
      </w:r>
    </w:p>
    <w:p w14:paraId="4F128CBD">
      <w:pPr>
        <w:spacing w:line="360" w:lineRule="auto"/>
        <w:outlineLvl w:val="2"/>
        <w:rPr>
          <w:rFonts w:ascii="Times New Roman" w:hAnsi="Times New Roman"/>
          <w:color w:val="auto"/>
          <w:highlight w:val="none"/>
          <w:lang w:val="en-US" w:eastAsia="zh-CN"/>
        </w:rPr>
      </w:pPr>
      <w:r>
        <w:rPr>
          <w:rFonts w:hint="eastAsia" w:ascii="Times New Roman" w:hAnsi="Times New Roman"/>
          <w:color w:val="auto"/>
          <w:highlight w:val="none"/>
          <w:lang w:val="en-US" w:eastAsia="zh-CN"/>
        </w:rPr>
        <w:t>2.1 服务范围</w:t>
      </w:r>
    </w:p>
    <w:p w14:paraId="57868760">
      <w:pPr>
        <w:spacing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网络安全竞赛方案制定</w:t>
      </w:r>
      <w:r>
        <w:rPr>
          <w:rFonts w:ascii="Times New Roman" w:hAnsi="Times New Roman"/>
          <w:color w:val="auto"/>
          <w:highlight w:val="none"/>
          <w:lang w:val="en-US" w:eastAsia="zh-CN"/>
        </w:rPr>
        <w:t>、</w:t>
      </w:r>
      <w:r>
        <w:rPr>
          <w:rFonts w:hint="eastAsia" w:ascii="Times New Roman" w:hAnsi="Times New Roman"/>
          <w:color w:val="auto"/>
          <w:highlight w:val="none"/>
          <w:lang w:val="en-US" w:eastAsia="zh-CN"/>
        </w:rPr>
        <w:t>竞赛相关培训及组织保障和</w:t>
      </w:r>
      <w:r>
        <w:rPr>
          <w:rFonts w:ascii="Times New Roman" w:hAnsi="Times New Roman"/>
          <w:color w:val="auto"/>
          <w:highlight w:val="none"/>
          <w:lang w:val="en-US" w:eastAsia="zh-CN"/>
        </w:rPr>
        <w:t>网络安全</w:t>
      </w:r>
      <w:r>
        <w:rPr>
          <w:rFonts w:hint="eastAsia" w:ascii="Times New Roman" w:hAnsi="Times New Roman"/>
          <w:color w:val="auto"/>
          <w:highlight w:val="none"/>
          <w:lang w:val="en-US" w:eastAsia="zh-CN"/>
        </w:rPr>
        <w:t>宣传周活动支撑等工作。</w:t>
      </w:r>
    </w:p>
    <w:p w14:paraId="17DF4FFB">
      <w:pPr>
        <w:pStyle w:val="4"/>
        <w:spacing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2.2 服务时间</w:t>
      </w:r>
    </w:p>
    <w:p w14:paraId="426978C9">
      <w:pPr>
        <w:spacing w:line="360" w:lineRule="auto"/>
        <w:rPr>
          <w:color w:val="auto"/>
          <w:highlight w:val="none"/>
          <w:lang w:val="en-US" w:eastAsia="zh-CN"/>
        </w:rPr>
      </w:pPr>
      <w:r>
        <w:rPr>
          <w:rFonts w:hint="eastAsia" w:ascii="Times New Roman" w:hAnsi="Times New Roman"/>
          <w:color w:val="auto"/>
          <w:highlight w:val="none"/>
          <w:lang w:val="en-US" w:eastAsia="zh-CN"/>
        </w:rPr>
        <w:t>自合同签订之日起，服务期一年。</w:t>
      </w:r>
    </w:p>
    <w:p w14:paraId="30AF2D45">
      <w:pPr>
        <w:pStyle w:val="3"/>
        <w:numPr>
          <w:ilvl w:val="0"/>
          <w:numId w:val="1"/>
        </w:numPr>
        <w:rPr>
          <w:rFonts w:ascii="Times New Roman" w:hAnsi="Times New Roman"/>
          <w:highlight w:val="none"/>
        </w:rPr>
      </w:pPr>
      <w:r>
        <w:rPr>
          <w:rFonts w:ascii="Times New Roman" w:hAnsi="Times New Roman" w:cs="Times New Roman"/>
          <w:kern w:val="0"/>
          <w:highlight w:val="none"/>
        </w:rPr>
        <w:t>实施要求</w:t>
      </w:r>
    </w:p>
    <w:p w14:paraId="6300A8F1">
      <w:pPr>
        <w:spacing w:line="360" w:lineRule="auto"/>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1）参选人需按照服务内容，</w:t>
      </w:r>
      <w:r>
        <w:rPr>
          <w:rFonts w:hint="eastAsia" w:ascii="Times New Roman" w:hAnsi="Times New Roman" w:cs="Cambria Math"/>
          <w:color w:val="auto"/>
          <w:kern w:val="2"/>
          <w:sz w:val="24"/>
          <w:szCs w:val="20"/>
          <w:highlight w:val="none"/>
          <w:lang w:val="en-US" w:eastAsia="zh-CN"/>
        </w:rPr>
        <w:t>制定详细的</w:t>
      </w:r>
      <w:r>
        <w:rPr>
          <w:rFonts w:hint="eastAsia" w:ascii="Times New Roman" w:hAnsi="Times New Roman" w:cs="Cambria Math"/>
          <w:color w:val="auto"/>
          <w:kern w:val="2"/>
          <w:sz w:val="24"/>
          <w:szCs w:val="20"/>
          <w:highlight w:val="none"/>
        </w:rPr>
        <w:t>网络安全攻防竞赛及网络安全宣传周支撑服务方案，</w:t>
      </w:r>
      <w:r>
        <w:rPr>
          <w:rFonts w:hint="eastAsia" w:ascii="Times New Roman" w:hAnsi="Times New Roman" w:eastAsia="宋体"/>
          <w:color w:val="auto"/>
          <w:highlight w:val="none"/>
          <w:lang w:val="en-US" w:eastAsia="zh-CN"/>
        </w:rPr>
        <w:t>实施方案中</w:t>
      </w:r>
      <w:r>
        <w:rPr>
          <w:rFonts w:hint="eastAsia" w:ascii="Times New Roman" w:hAnsi="Times New Roman"/>
          <w:color w:val="auto"/>
          <w:highlight w:val="none"/>
          <w:lang w:val="en-US" w:eastAsia="zh-CN"/>
        </w:rPr>
        <w:t>应</w:t>
      </w:r>
      <w:r>
        <w:rPr>
          <w:rFonts w:hint="eastAsia" w:ascii="Times New Roman" w:hAnsi="Times New Roman" w:cs="Cambria Math"/>
          <w:color w:val="auto"/>
          <w:kern w:val="2"/>
          <w:sz w:val="24"/>
          <w:szCs w:val="20"/>
          <w:highlight w:val="none"/>
        </w:rPr>
        <w:t>涵盖网络安全攻防竞赛平台详细功能介绍、人员组织安排计划、历年来的竞赛支撑服务经验</w:t>
      </w:r>
      <w:r>
        <w:rPr>
          <w:rFonts w:hint="eastAsia" w:ascii="Times New Roman" w:hAnsi="Times New Roman" w:cs="Cambria Math"/>
          <w:color w:val="auto"/>
          <w:kern w:val="2"/>
          <w:sz w:val="24"/>
          <w:szCs w:val="20"/>
          <w:highlight w:val="none"/>
          <w:lang w:val="en-US" w:eastAsia="zh-CN"/>
        </w:rPr>
        <w:t>和</w:t>
      </w:r>
      <w:r>
        <w:rPr>
          <w:rFonts w:hint="eastAsia" w:ascii="Times New Roman" w:hAnsi="Times New Roman" w:cs="Cambria Math"/>
          <w:color w:val="auto"/>
          <w:kern w:val="2"/>
          <w:sz w:val="24"/>
          <w:szCs w:val="20"/>
          <w:highlight w:val="none"/>
        </w:rPr>
        <w:t>网络安全培训</w:t>
      </w:r>
      <w:r>
        <w:rPr>
          <w:rFonts w:hint="eastAsia" w:ascii="Times New Roman" w:hAnsi="Times New Roman" w:eastAsia="宋体"/>
          <w:color w:val="auto"/>
          <w:highlight w:val="none"/>
          <w:lang w:val="en-US" w:eastAsia="zh-CN"/>
        </w:rPr>
        <w:t>等。</w:t>
      </w:r>
    </w:p>
    <w:p w14:paraId="23BF087B">
      <w:pPr>
        <w:spacing w:line="360" w:lineRule="auto"/>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）在本项目实施周期内，如遇到任何可能影响</w:t>
      </w:r>
      <w:r>
        <w:rPr>
          <w:rFonts w:hint="eastAsia" w:ascii="Times New Roman" w:hAnsi="Times New Roman"/>
          <w:color w:val="auto"/>
          <w:highlight w:val="none"/>
          <w:lang w:val="en-US" w:eastAsia="zh-CN"/>
        </w:rPr>
        <w:t>项目进展</w:t>
      </w:r>
      <w:r>
        <w:rPr>
          <w:rFonts w:hint="eastAsia" w:ascii="Times New Roman" w:hAnsi="Times New Roman"/>
          <w:color w:val="auto"/>
          <w:highlight w:val="none"/>
        </w:rPr>
        <w:t>的事件，需要及时通告</w:t>
      </w:r>
      <w:r>
        <w:rPr>
          <w:rFonts w:hint="eastAsia" w:ascii="Times New Roman" w:hAnsi="Times New Roman"/>
          <w:color w:val="auto"/>
          <w:highlight w:val="none"/>
          <w:lang w:val="en-US" w:eastAsia="zh-CN"/>
        </w:rPr>
        <w:t>比选人</w:t>
      </w:r>
      <w:r>
        <w:rPr>
          <w:rFonts w:hint="eastAsia" w:ascii="Times New Roman" w:hAnsi="Times New Roman"/>
          <w:color w:val="auto"/>
          <w:highlight w:val="none"/>
        </w:rPr>
        <w:t>，提出相应处理方案，并在</w:t>
      </w:r>
      <w:r>
        <w:rPr>
          <w:rFonts w:hint="eastAsia" w:ascii="Times New Roman" w:hAnsi="Times New Roman"/>
          <w:color w:val="auto"/>
          <w:highlight w:val="none"/>
          <w:lang w:val="en-US" w:eastAsia="zh-CN"/>
        </w:rPr>
        <w:t>比选人</w:t>
      </w:r>
      <w:r>
        <w:rPr>
          <w:rFonts w:hint="eastAsia" w:ascii="Times New Roman" w:hAnsi="Times New Roman"/>
          <w:color w:val="auto"/>
          <w:highlight w:val="none"/>
        </w:rPr>
        <w:t>认可后方可执行处理方案。</w:t>
      </w:r>
    </w:p>
    <w:p w14:paraId="1CB3E1DE">
      <w:pPr>
        <w:pStyle w:val="3"/>
        <w:numPr>
          <w:ilvl w:val="0"/>
          <w:numId w:val="1"/>
        </w:numPr>
        <w:rPr>
          <w:rFonts w:ascii="Times New Roman" w:hAnsi="Times New Roman"/>
          <w:highlight w:val="none"/>
        </w:rPr>
      </w:pPr>
      <w:r>
        <w:rPr>
          <w:rFonts w:ascii="Times New Roman" w:hAnsi="Times New Roman" w:cs="Times New Roman"/>
          <w:kern w:val="0"/>
          <w:highlight w:val="none"/>
        </w:rPr>
        <w:t>人员要求</w:t>
      </w:r>
    </w:p>
    <w:p w14:paraId="5D9F25BD">
      <w:pPr>
        <w:rPr>
          <w:rFonts w:hint="eastAsia" w:ascii="Times New Roman" w:hAnsi="Times New Roman"/>
          <w:color w:val="auto"/>
          <w:highlight w:val="none"/>
          <w:lang w:eastAsia="zh-CN"/>
        </w:rPr>
      </w:pPr>
      <w:r>
        <w:rPr>
          <w:rFonts w:hint="eastAsia" w:ascii="Times New Roman" w:hAnsi="Times New Roman"/>
          <w:color w:val="auto"/>
          <w:highlight w:val="none"/>
        </w:rPr>
        <w:t>参选人项目</w:t>
      </w:r>
      <w:r>
        <w:rPr>
          <w:rFonts w:hint="eastAsia" w:ascii="Times New Roman" w:hAnsi="Times New Roman"/>
          <w:color w:val="auto"/>
          <w:highlight w:val="none"/>
          <w:lang w:val="en-US" w:eastAsia="zh-CN"/>
        </w:rPr>
        <w:t>经理</w:t>
      </w:r>
      <w:r>
        <w:rPr>
          <w:rFonts w:hint="eastAsia" w:ascii="Times New Roman" w:hAnsi="Times New Roman"/>
          <w:color w:val="auto"/>
          <w:highlight w:val="none"/>
        </w:rPr>
        <w:t>应具备如下资质，</w:t>
      </w:r>
      <w:r>
        <w:rPr>
          <w:rFonts w:hint="eastAsia" w:ascii="Times New Roman" w:hAnsi="Times New Roman"/>
          <w:color w:val="auto"/>
          <w:highlight w:val="none"/>
          <w:lang w:val="en-US" w:eastAsia="zh-CN"/>
        </w:rPr>
        <w:t>比选人</w:t>
      </w:r>
      <w:r>
        <w:rPr>
          <w:rFonts w:hint="eastAsia" w:ascii="Times New Roman" w:hAnsi="Times New Roman"/>
          <w:color w:val="auto"/>
          <w:highlight w:val="none"/>
        </w:rPr>
        <w:t>有权对项目</w:t>
      </w:r>
      <w:r>
        <w:rPr>
          <w:rFonts w:hint="eastAsia" w:ascii="Times New Roman" w:hAnsi="Times New Roman"/>
          <w:color w:val="auto"/>
          <w:highlight w:val="none"/>
          <w:lang w:val="en-US" w:eastAsia="zh-CN"/>
        </w:rPr>
        <w:t>经理</w:t>
      </w:r>
      <w:r>
        <w:rPr>
          <w:rFonts w:hint="eastAsia" w:ascii="Times New Roman" w:hAnsi="Times New Roman"/>
          <w:color w:val="auto"/>
          <w:highlight w:val="none"/>
        </w:rPr>
        <w:t>资质进行审核</w:t>
      </w:r>
      <w:r>
        <w:rPr>
          <w:rFonts w:hint="eastAsia" w:ascii="Times New Roman" w:hAnsi="Times New Roman"/>
          <w:color w:val="auto"/>
          <w:highlight w:val="none"/>
          <w:lang w:eastAsia="zh-CN"/>
        </w:rPr>
        <w:t>。</w:t>
      </w:r>
    </w:p>
    <w:p w14:paraId="05D356C7">
      <w:pPr>
        <w:rPr>
          <w:rFonts w:hint="eastAsia"/>
          <w:color w:val="auto"/>
          <w:highlight w:val="none"/>
          <w:lang w:eastAsia="zh-CN"/>
        </w:rPr>
      </w:pPr>
      <w:r>
        <w:rPr>
          <w:rFonts w:hint="eastAsia" w:ascii="Times New Roman" w:hAnsi="Times New Roman"/>
          <w:color w:val="auto"/>
          <w:highlight w:val="none"/>
          <w:lang w:val="en-US" w:eastAsia="zh-CN"/>
        </w:rPr>
        <w:t>4.1</w:t>
      </w:r>
      <w:r>
        <w:rPr>
          <w:rFonts w:hint="eastAsia" w:ascii="Times New Roman" w:hAnsi="Times New Roman"/>
          <w:color w:val="auto"/>
          <w:highlight w:val="none"/>
        </w:rPr>
        <w:t>项目经理须具有</w:t>
      </w:r>
      <w:r>
        <w:rPr>
          <w:rFonts w:hint="eastAsia" w:ascii="Times New Roman" w:hAnsi="Times New Roman"/>
          <w:color w:val="auto"/>
          <w:highlight w:val="none"/>
          <w:lang w:val="en-US" w:eastAsia="zh-CN"/>
        </w:rPr>
        <w:t>3</w:t>
      </w:r>
      <w:r>
        <w:rPr>
          <w:rFonts w:hint="eastAsia" w:ascii="Times New Roman" w:hAnsi="Times New Roman"/>
          <w:color w:val="auto"/>
          <w:highlight w:val="none"/>
        </w:rPr>
        <w:t>年及以上相关工作经历，且担任过至少1个</w:t>
      </w:r>
      <w:r>
        <w:rPr>
          <w:rFonts w:hint="eastAsia" w:ascii="Times New Roman" w:hAnsi="Times New Roman"/>
          <w:color w:val="auto"/>
          <w:highlight w:val="none"/>
          <w:lang w:val="en-US" w:eastAsia="zh-CN"/>
        </w:rPr>
        <w:t>相关</w:t>
      </w:r>
      <w:r>
        <w:rPr>
          <w:rFonts w:hint="eastAsia" w:ascii="Times New Roman" w:hAnsi="Times New Roman"/>
          <w:color w:val="auto"/>
          <w:highlight w:val="none"/>
        </w:rPr>
        <w:t>项目的</w:t>
      </w:r>
      <w:r>
        <w:rPr>
          <w:rFonts w:hint="eastAsia" w:ascii="Times New Roman" w:hAnsi="Times New Roman"/>
          <w:color w:val="auto"/>
          <w:highlight w:val="none"/>
          <w:lang w:val="en-US" w:eastAsia="zh-CN"/>
        </w:rPr>
        <w:t>实施经验。</w:t>
      </w:r>
      <w:r>
        <w:rPr>
          <w:rFonts w:hint="eastAsia"/>
          <w:color w:val="auto"/>
          <w:highlight w:val="none"/>
          <w:lang w:eastAsia="zh-CN"/>
        </w:rPr>
        <w:t>【</w:t>
      </w:r>
      <w:r>
        <w:rPr>
          <w:rFonts w:hint="eastAsia"/>
          <w:color w:val="auto"/>
          <w:highlight w:val="none"/>
          <w:lang w:val="en-US" w:eastAsia="zh-CN"/>
        </w:rPr>
        <w:t>提供个人简历并加盖公章</w:t>
      </w:r>
      <w:r>
        <w:rPr>
          <w:rFonts w:hint="eastAsia"/>
          <w:color w:val="auto"/>
          <w:highlight w:val="none"/>
          <w:lang w:eastAsia="zh-CN"/>
        </w:rPr>
        <w:t>】</w:t>
      </w:r>
    </w:p>
    <w:p w14:paraId="52B89882">
      <w:pPr>
        <w:ind w:firstLine="480" w:firstLineChars="200"/>
        <w:rPr>
          <w:rFonts w:ascii="Times New Roman" w:hAnsi="Times New Roman"/>
          <w:color w:val="auto"/>
          <w:highlight w:val="none"/>
        </w:rPr>
      </w:pPr>
      <w:r>
        <w:rPr>
          <w:rFonts w:hint="eastAsia" w:ascii="Times New Roman" w:hAnsi="Times New Roman" w:cs="Times New Roman"/>
          <w:snapToGrid w:val="0"/>
          <w:color w:val="auto"/>
          <w:kern w:val="0"/>
          <w:szCs w:val="24"/>
          <w:highlight w:val="none"/>
          <w:lang w:val="en-US" w:eastAsia="zh-CN"/>
        </w:rPr>
        <w:t>4.2</w:t>
      </w:r>
      <w:r>
        <w:rPr>
          <w:rFonts w:ascii="Times New Roman" w:hAnsi="Times New Roman" w:cs="Times New Roman"/>
          <w:snapToGrid w:val="0"/>
          <w:color w:val="auto"/>
          <w:kern w:val="0"/>
          <w:szCs w:val="24"/>
          <w:highlight w:val="none"/>
        </w:rPr>
        <w:t>未经比选人同意不得随意更换项目</w:t>
      </w:r>
      <w:r>
        <w:rPr>
          <w:rFonts w:hint="eastAsia" w:ascii="Times New Roman" w:hAnsi="Times New Roman" w:cs="Times New Roman"/>
          <w:snapToGrid w:val="0"/>
          <w:color w:val="auto"/>
          <w:kern w:val="0"/>
          <w:szCs w:val="24"/>
          <w:highlight w:val="none"/>
          <w:lang w:val="en-US" w:eastAsia="zh-CN"/>
        </w:rPr>
        <w:t>经理</w:t>
      </w:r>
      <w:r>
        <w:rPr>
          <w:rFonts w:hint="eastAsia" w:ascii="Times New Roman" w:hAnsi="Times New Roman" w:cs="Times New Roman"/>
          <w:snapToGrid w:val="0"/>
          <w:color w:val="auto"/>
          <w:kern w:val="0"/>
          <w:szCs w:val="24"/>
          <w:highlight w:val="none"/>
          <w:lang w:eastAsia="zh-CN"/>
        </w:rPr>
        <w:t>，</w:t>
      </w:r>
      <w:r>
        <w:rPr>
          <w:rFonts w:hint="eastAsia" w:ascii="Times New Roman" w:hAnsi="Times New Roman"/>
          <w:color w:val="auto"/>
          <w:highlight w:val="none"/>
        </w:rPr>
        <w:t>项目组成员若有违约违规行为将由参选人承担责任。</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在响应承诺函中对该条单独承诺</w:t>
      </w:r>
      <w:r>
        <w:rPr>
          <w:rFonts w:hint="eastAsia" w:ascii="Times New Roman" w:hAnsi="Times New Roman"/>
          <w:color w:val="auto"/>
          <w:highlight w:val="none"/>
          <w:lang w:eastAsia="zh-CN"/>
        </w:rPr>
        <w:t>】</w:t>
      </w:r>
    </w:p>
    <w:p w14:paraId="4EFC637B">
      <w:pPr>
        <w:pStyle w:val="3"/>
        <w:numPr>
          <w:ilvl w:val="0"/>
          <w:numId w:val="1"/>
        </w:numPr>
        <w:rPr>
          <w:rFonts w:ascii="Times New Roman" w:hAnsi="Times New Roman"/>
          <w:highlight w:val="none"/>
        </w:rPr>
      </w:pPr>
      <w:bookmarkStart w:id="50" w:name="_Toc89675144"/>
      <w:bookmarkStart w:id="51" w:name="_Toc15059418"/>
      <w:r>
        <w:rPr>
          <w:rFonts w:hint="eastAsia" w:ascii="Times New Roman" w:hAnsi="Times New Roman"/>
          <w:highlight w:val="none"/>
        </w:rPr>
        <w:t>交付周期、地点</w:t>
      </w:r>
      <w:bookmarkEnd w:id="50"/>
      <w:bookmarkEnd w:id="51"/>
    </w:p>
    <w:p w14:paraId="4519DAE8">
      <w:pPr>
        <w:pStyle w:val="4"/>
        <w:rPr>
          <w:rFonts w:ascii="Times New Roman" w:hAnsi="Times New Roman"/>
          <w:highlight w:val="none"/>
        </w:rPr>
      </w:pPr>
      <w:bookmarkStart w:id="52" w:name="_Toc15059420"/>
      <w:bookmarkStart w:id="53" w:name="_Toc89675146"/>
      <w:bookmarkStart w:id="54" w:name="_Toc1125"/>
      <w:bookmarkStart w:id="55" w:name="_Toc432254881"/>
      <w:bookmarkStart w:id="56" w:name="_Toc440628915"/>
      <w:bookmarkStart w:id="57" w:name="_Toc387826347"/>
      <w:r>
        <w:rPr>
          <w:rFonts w:ascii="Times New Roman" w:hAnsi="Times New Roman"/>
          <w:highlight w:val="none"/>
        </w:rPr>
        <w:t>5</w:t>
      </w:r>
      <w:r>
        <w:rPr>
          <w:rFonts w:hint="eastAsia" w:ascii="Times New Roman" w:hAnsi="Times New Roman"/>
          <w:highlight w:val="none"/>
        </w:rPr>
        <w:t>.1 交付时间</w:t>
      </w:r>
    </w:p>
    <w:p w14:paraId="2CDB4FF6">
      <w:pPr>
        <w:rPr>
          <w:rFonts w:ascii="Times New Roman" w:hAnsi="Times New Roman"/>
          <w:color w:val="auto"/>
          <w:highlight w:val="none"/>
        </w:rPr>
      </w:pPr>
      <w:r>
        <w:rPr>
          <w:rFonts w:hint="eastAsia" w:ascii="Times New Roman" w:hAnsi="Times New Roman"/>
          <w:color w:val="auto"/>
          <w:highlight w:val="none"/>
        </w:rPr>
        <w:t>以项目合同为准。</w:t>
      </w:r>
    </w:p>
    <w:p w14:paraId="3F00A8F6">
      <w:pPr>
        <w:pStyle w:val="4"/>
        <w:rPr>
          <w:rFonts w:ascii="Times New Roman" w:hAnsi="Times New Roman"/>
          <w:highlight w:val="none"/>
        </w:rPr>
      </w:pPr>
      <w:r>
        <w:rPr>
          <w:rFonts w:ascii="Times New Roman" w:hAnsi="Times New Roman"/>
          <w:highlight w:val="none"/>
        </w:rPr>
        <w:t>5</w:t>
      </w:r>
      <w:r>
        <w:rPr>
          <w:rFonts w:hint="eastAsia" w:ascii="Times New Roman" w:hAnsi="Times New Roman"/>
          <w:highlight w:val="none"/>
        </w:rPr>
        <w:t>.2 实施及交付地点</w:t>
      </w:r>
    </w:p>
    <w:p w14:paraId="0A713AB7">
      <w:pPr>
        <w:rPr>
          <w:rFonts w:ascii="Times New Roman" w:hAnsi="Times New Roman"/>
          <w:highlight w:val="none"/>
        </w:rPr>
      </w:pPr>
      <w:r>
        <w:rPr>
          <w:rFonts w:hint="eastAsia" w:ascii="Times New Roman" w:hAnsi="Times New Roman"/>
          <w:highlight w:val="none"/>
        </w:rPr>
        <w:t>重庆市。</w:t>
      </w:r>
    </w:p>
    <w:p w14:paraId="3D7B1397">
      <w:pPr>
        <w:pStyle w:val="3"/>
        <w:numPr>
          <w:ilvl w:val="0"/>
          <w:numId w:val="1"/>
        </w:numPr>
        <w:rPr>
          <w:rFonts w:ascii="Times New Roman" w:hAnsi="Times New Roman"/>
          <w:highlight w:val="none"/>
        </w:rPr>
      </w:pPr>
      <w:r>
        <w:rPr>
          <w:rFonts w:hint="eastAsia" w:ascii="Times New Roman" w:hAnsi="Times New Roman"/>
          <w:highlight w:val="none"/>
        </w:rPr>
        <w:t>验收</w:t>
      </w:r>
    </w:p>
    <w:p w14:paraId="1994AA7D">
      <w:pPr>
        <w:rPr>
          <w:rFonts w:ascii="Times New Roman" w:hAnsi="Times New Roman"/>
          <w:color w:val="auto"/>
          <w:highlight w:val="none"/>
        </w:rPr>
      </w:pPr>
      <w:r>
        <w:rPr>
          <w:rFonts w:hint="eastAsia" w:ascii="Times New Roman" w:hAnsi="Times New Roman"/>
          <w:color w:val="auto"/>
          <w:highlight w:val="none"/>
        </w:rPr>
        <w:t>中选人按合同约定完成各项服务工作，</w:t>
      </w:r>
      <w:r>
        <w:rPr>
          <w:rFonts w:hint="eastAsia" w:ascii="Times New Roman" w:hAnsi="Times New Roman"/>
          <w:color w:val="auto"/>
          <w:highlight w:val="none"/>
          <w:lang w:val="en-US" w:eastAsia="zh-CN"/>
        </w:rPr>
        <w:t>项目实施结束后</w:t>
      </w:r>
      <w:r>
        <w:rPr>
          <w:rFonts w:hint="eastAsia" w:ascii="Times New Roman" w:hAnsi="Times New Roman"/>
          <w:color w:val="auto"/>
          <w:highlight w:val="none"/>
        </w:rPr>
        <w:t>，中选人做好验收</w:t>
      </w:r>
      <w:r>
        <w:rPr>
          <w:rFonts w:hint="eastAsia" w:ascii="Times New Roman" w:hAnsi="Times New Roman"/>
          <w:color w:val="auto"/>
          <w:highlight w:val="none"/>
          <w:lang w:val="en-US" w:eastAsia="zh-CN"/>
        </w:rPr>
        <w:t>相关准备，</w:t>
      </w:r>
      <w:r>
        <w:rPr>
          <w:rFonts w:hint="eastAsia" w:ascii="Times New Roman" w:hAnsi="Times New Roman"/>
          <w:color w:val="auto"/>
          <w:highlight w:val="none"/>
        </w:rPr>
        <w:t>向比选人提交各项交付物并通过比选人审核</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比选人组织开展项目验收工作</w:t>
      </w:r>
      <w:r>
        <w:rPr>
          <w:rFonts w:hint="eastAsia" w:ascii="Times New Roman" w:hAnsi="Times New Roman"/>
          <w:color w:val="auto"/>
          <w:highlight w:val="none"/>
        </w:rPr>
        <w:t>。</w:t>
      </w:r>
    </w:p>
    <w:p w14:paraId="056DF1A7">
      <w:pPr>
        <w:pStyle w:val="3"/>
        <w:numPr>
          <w:ilvl w:val="0"/>
          <w:numId w:val="1"/>
        </w:numPr>
        <w:rPr>
          <w:rFonts w:ascii="Times New Roman" w:hAnsi="Times New Roman"/>
          <w:highlight w:val="none"/>
        </w:rPr>
      </w:pPr>
      <w:r>
        <w:rPr>
          <w:rFonts w:hint="eastAsia" w:ascii="Times New Roman" w:hAnsi="Times New Roman"/>
          <w:highlight w:val="none"/>
        </w:rPr>
        <w:t>服务连续性预案</w:t>
      </w:r>
    </w:p>
    <w:p w14:paraId="3747D82E">
      <w:pPr>
        <w:rPr>
          <w:rFonts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w:t>
      </w:r>
      <w:r>
        <w:rPr>
          <w:rFonts w:hint="eastAsia" w:ascii="Times New Roman" w:hAnsi="Times New Roman"/>
          <w:color w:val="auto"/>
          <w:highlight w:val="none"/>
        </w:rPr>
        <w:t>【提供服务连续性预案】</w:t>
      </w:r>
    </w:p>
    <w:p w14:paraId="67F3D583">
      <w:pPr>
        <w:pStyle w:val="3"/>
        <w:numPr>
          <w:ilvl w:val="0"/>
          <w:numId w:val="1"/>
        </w:numPr>
        <w:rPr>
          <w:rFonts w:ascii="Times New Roman" w:hAnsi="Times New Roman"/>
          <w:highlight w:val="none"/>
        </w:rPr>
      </w:pPr>
      <w:r>
        <w:rPr>
          <w:rFonts w:hint="eastAsia" w:ascii="Times New Roman" w:hAnsi="Times New Roman"/>
          <w:highlight w:val="none"/>
        </w:rPr>
        <w:t>项目实施方案</w:t>
      </w:r>
    </w:p>
    <w:p w14:paraId="670667F2">
      <w:pPr>
        <w:spacing w:line="360" w:lineRule="auto"/>
        <w:rPr>
          <w:rFonts w:ascii="Times New Roman" w:hAnsi="Times New Roman" w:cs="Times New Roman"/>
          <w:highlight w:val="none"/>
        </w:rPr>
      </w:pPr>
      <w:r>
        <w:rPr>
          <w:rFonts w:ascii="Times New Roman" w:hAnsi="Times New Roman" w:cs="Times New Roman"/>
          <w:highlight w:val="none"/>
        </w:rPr>
        <w:t>在本次比选中，参选人应在参选文件中提供项目实施方案供比选人查看，方案应</w:t>
      </w:r>
      <w:r>
        <w:rPr>
          <w:rFonts w:ascii="Times New Roman" w:hAnsi="Times New Roman" w:cs="Times New Roman"/>
          <w:kern w:val="2"/>
          <w:sz w:val="24"/>
          <w:szCs w:val="20"/>
          <w:highlight w:val="none"/>
        </w:rPr>
        <w:t>涵盖网络安全攻防竞赛平台详细功能介绍</w:t>
      </w:r>
      <w:r>
        <w:rPr>
          <w:rFonts w:ascii="Times New Roman" w:hAnsi="Times New Roman" w:cs="Times New Roman"/>
          <w:kern w:val="2"/>
          <w:sz w:val="24"/>
          <w:szCs w:val="20"/>
          <w:highlight w:val="none"/>
          <w:lang w:eastAsia="zh-CN"/>
        </w:rPr>
        <w:t>、</w:t>
      </w:r>
      <w:r>
        <w:rPr>
          <w:rFonts w:ascii="Times New Roman" w:hAnsi="Times New Roman" w:cs="Times New Roman"/>
          <w:kern w:val="2"/>
          <w:sz w:val="24"/>
          <w:szCs w:val="20"/>
          <w:highlight w:val="none"/>
        </w:rPr>
        <w:t>人员组织安排计划、历年来的竞赛支撑服务经验、网络安全培训</w:t>
      </w:r>
      <w:r>
        <w:rPr>
          <w:rFonts w:ascii="Times New Roman" w:hAnsi="Times New Roman" w:cs="Times New Roman"/>
          <w:highlight w:val="none"/>
        </w:rPr>
        <w:t>等内容。【提供项目实施方案】</w:t>
      </w:r>
    </w:p>
    <w:bookmarkEnd w:id="52"/>
    <w:bookmarkEnd w:id="53"/>
    <w:p w14:paraId="5D7AFAE0">
      <w:pPr>
        <w:pStyle w:val="3"/>
        <w:numPr>
          <w:ilvl w:val="0"/>
          <w:numId w:val="1"/>
        </w:numPr>
        <w:rPr>
          <w:rFonts w:ascii="Times New Roman" w:hAnsi="Times New Roman"/>
          <w:highlight w:val="none"/>
        </w:rPr>
      </w:pPr>
      <w:bookmarkStart w:id="58" w:name="_Toc15059422"/>
      <w:bookmarkStart w:id="59" w:name="_Toc89675148"/>
      <w:r>
        <w:rPr>
          <w:rFonts w:hint="eastAsia" w:ascii="Times New Roman" w:hAnsi="Times New Roman"/>
          <w:highlight w:val="none"/>
        </w:rPr>
        <w:t>付款方式</w:t>
      </w:r>
      <w:bookmarkEnd w:id="58"/>
      <w:bookmarkEnd w:id="59"/>
    </w:p>
    <w:p w14:paraId="0AB8514F">
      <w:pPr>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项目实施结束，且通过验收后，根据SLA服务水平考核结果参选人一次性向参选人支付本项目的全部服务费用。</w:t>
      </w:r>
    </w:p>
    <w:p w14:paraId="6305B7B6">
      <w:pPr>
        <w:pStyle w:val="3"/>
        <w:numPr>
          <w:ilvl w:val="0"/>
          <w:numId w:val="1"/>
        </w:numPr>
        <w:rPr>
          <w:rFonts w:ascii="Times New Roman" w:hAnsi="Times New Roman"/>
          <w:highlight w:val="none"/>
        </w:rPr>
      </w:pPr>
      <w:bookmarkStart w:id="60" w:name="_Toc89675150"/>
      <w:bookmarkStart w:id="61" w:name="_Toc15059424"/>
      <w:r>
        <w:rPr>
          <w:rFonts w:hint="eastAsia" w:ascii="Times New Roman" w:hAnsi="Times New Roman"/>
          <w:highlight w:val="none"/>
        </w:rPr>
        <w:t>保密条款</w:t>
      </w:r>
      <w:bookmarkEnd w:id="54"/>
      <w:bookmarkEnd w:id="55"/>
      <w:bookmarkEnd w:id="56"/>
      <w:bookmarkEnd w:id="57"/>
      <w:bookmarkEnd w:id="60"/>
      <w:bookmarkEnd w:id="61"/>
    </w:p>
    <w:p w14:paraId="63670858">
      <w:pPr>
        <w:pStyle w:val="4"/>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0</w:t>
      </w:r>
      <w:r>
        <w:rPr>
          <w:rFonts w:hint="eastAsia" w:ascii="Times New Roman" w:hAnsi="Times New Roman"/>
          <w:highlight w:val="none"/>
        </w:rPr>
        <w:t>.1 保密范围</w:t>
      </w:r>
    </w:p>
    <w:p w14:paraId="5B7FA62B">
      <w:pPr>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4CAB570E">
      <w:pPr>
        <w:pStyle w:val="4"/>
        <w:rPr>
          <w:rFonts w:ascii="Times New Roman" w:hAnsi="Times New Roman"/>
          <w:highlight w:val="none"/>
        </w:rPr>
      </w:pPr>
      <w:r>
        <w:rPr>
          <w:rFonts w:ascii="Times New Roman" w:hAnsi="Times New Roman"/>
          <w:highlight w:val="none"/>
        </w:rPr>
        <w:t>10</w:t>
      </w:r>
      <w:r>
        <w:rPr>
          <w:rFonts w:hint="eastAsia" w:ascii="Times New Roman" w:hAnsi="Times New Roman"/>
          <w:highlight w:val="none"/>
        </w:rPr>
        <w:t>.2 保密责任</w:t>
      </w:r>
    </w:p>
    <w:p w14:paraId="26C8F550">
      <w:pPr>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40328BFD">
      <w:pPr>
        <w:pStyle w:val="3"/>
        <w:numPr>
          <w:ilvl w:val="0"/>
          <w:numId w:val="1"/>
        </w:numPr>
        <w:rPr>
          <w:rFonts w:ascii="Times New Roman" w:hAnsi="Times New Roman"/>
          <w:highlight w:val="none"/>
        </w:rPr>
      </w:pPr>
      <w:r>
        <w:rPr>
          <w:rFonts w:hint="eastAsia" w:ascii="Times New Roman" w:hAnsi="Times New Roman"/>
          <w:highlight w:val="none"/>
        </w:rPr>
        <w:t>报价要求</w:t>
      </w:r>
    </w:p>
    <w:p w14:paraId="3A256A83">
      <w:pPr>
        <w:rPr>
          <w:rFonts w:ascii="Times New Roman" w:hAnsi="Times New Roman"/>
          <w:highlight w:val="none"/>
        </w:rPr>
      </w:pPr>
      <w:bookmarkStart w:id="62" w:name="_Toc89675152"/>
      <w:bookmarkStart w:id="63" w:name="_Toc15059426"/>
      <w:r>
        <w:rPr>
          <w:rFonts w:hint="eastAsia" w:ascii="Times New Roman" w:hAnsi="Times New Roman"/>
          <w:highlight w:val="none"/>
        </w:rPr>
        <w:t>参选人应严格按照《参选文件格式》的“报价一览表”和“分项报价明细表”的格式认真填写。</w:t>
      </w:r>
    </w:p>
    <w:p w14:paraId="05C6EF60">
      <w:pPr>
        <w:pStyle w:val="3"/>
        <w:numPr>
          <w:ilvl w:val="0"/>
          <w:numId w:val="1"/>
        </w:numPr>
        <w:rPr>
          <w:rFonts w:ascii="Times New Roman" w:hAnsi="Times New Roman"/>
          <w:highlight w:val="none"/>
        </w:rPr>
      </w:pPr>
      <w:r>
        <w:rPr>
          <w:rFonts w:hint="eastAsia" w:ascii="Times New Roman" w:hAnsi="Times New Roman"/>
          <w:highlight w:val="none"/>
        </w:rPr>
        <w:t>知识产权</w:t>
      </w:r>
      <w:bookmarkEnd w:id="62"/>
      <w:bookmarkEnd w:id="63"/>
    </w:p>
    <w:p w14:paraId="111AE2EF">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18A878EA">
      <w:pPr>
        <w:rPr>
          <w:rFonts w:ascii="Times New Roman" w:hAnsi="Times New Roman"/>
          <w:color w:val="auto"/>
          <w:highlight w:val="none"/>
        </w:rPr>
      </w:pPr>
      <w:r>
        <w:rPr>
          <w:rFonts w:hint="eastAsia" w:ascii="Times New Roman" w:hAnsi="Times New Roman"/>
          <w:color w:val="auto"/>
          <w:highlight w:val="none"/>
        </w:rPr>
        <w:t>一经发现中选人将</w:t>
      </w:r>
      <w:r>
        <w:rPr>
          <w:rFonts w:hint="eastAsia" w:ascii="Times New Roman" w:hAnsi="Times New Roman"/>
          <w:color w:val="auto"/>
          <w:highlight w:val="none"/>
          <w:lang w:val="en-US" w:eastAsia="zh-CN"/>
        </w:rPr>
        <w:t>比选人</w:t>
      </w:r>
      <w:r>
        <w:rPr>
          <w:rFonts w:hint="eastAsia" w:ascii="Times New Roman" w:hAnsi="Times New Roman"/>
          <w:color w:val="auto"/>
          <w:highlight w:val="none"/>
        </w:rPr>
        <w:t>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3705242A">
      <w:pPr>
        <w:pStyle w:val="3"/>
        <w:numPr>
          <w:ilvl w:val="0"/>
          <w:numId w:val="1"/>
        </w:numPr>
        <w:rPr>
          <w:rFonts w:ascii="Times New Roman" w:hAnsi="Times New Roman"/>
          <w:highlight w:val="none"/>
        </w:rPr>
      </w:pPr>
      <w:bookmarkStart w:id="64" w:name="_Toc15059427"/>
      <w:bookmarkStart w:id="65" w:name="_Toc89675153"/>
      <w:r>
        <w:rPr>
          <w:rFonts w:hint="eastAsia" w:ascii="Times New Roman" w:hAnsi="Times New Roman"/>
          <w:highlight w:val="none"/>
        </w:rPr>
        <w:t>其他</w:t>
      </w:r>
      <w:bookmarkEnd w:id="64"/>
      <w:bookmarkEnd w:id="65"/>
    </w:p>
    <w:p w14:paraId="4FDDDEBF">
      <w:pPr>
        <w:spacing w:line="600" w:lineRule="exact"/>
        <w:ind w:firstLine="480"/>
        <w:rPr>
          <w:rFonts w:hint="eastAsia" w:ascii="Times New Roman" w:hAnsi="Times New Roman"/>
          <w:highlight w:val="none"/>
        </w:rPr>
      </w:pPr>
      <w:r>
        <w:rPr>
          <w:rFonts w:hint="eastAsia" w:ascii="Times New Roman" w:hAnsi="Times New Roman"/>
          <w:highlight w:val="none"/>
          <w:lang w:val="en-US" w:eastAsia="zh-CN"/>
        </w:rPr>
        <w:t>13.</w:t>
      </w:r>
      <w:r>
        <w:rPr>
          <w:rFonts w:ascii="Times New Roman" w:hAnsi="Times New Roman"/>
          <w:highlight w:val="none"/>
        </w:rPr>
        <w:t>1</w:t>
      </w:r>
      <w:r>
        <w:rPr>
          <w:rFonts w:ascii="Times New Roman" w:hAnsi="Times New Roman" w:cs="Times New Roman"/>
          <w:color w:val="auto"/>
          <w:highlight w:val="none"/>
        </w:rPr>
        <w:t>参选人必须在响应承诺函中对本章内容做出整体承诺，承诺内容必须达到本</w:t>
      </w:r>
      <w:r>
        <w:rPr>
          <w:rFonts w:hint="eastAsia" w:ascii="Times New Roman" w:hAnsi="Times New Roman" w:cs="Times New Roman"/>
          <w:color w:val="auto"/>
          <w:highlight w:val="none"/>
        </w:rPr>
        <w:t>章</w:t>
      </w:r>
      <w:r>
        <w:rPr>
          <w:rFonts w:ascii="Times New Roman" w:hAnsi="Times New Roman" w:cs="Times New Roman"/>
          <w:color w:val="auto"/>
          <w:highlight w:val="none"/>
        </w:rPr>
        <w:t>及比选文件其他条款的要求。</w:t>
      </w:r>
    </w:p>
    <w:p w14:paraId="0B1528F3">
      <w:pPr>
        <w:spacing w:line="600" w:lineRule="exact"/>
        <w:ind w:firstLine="480" w:firstLineChars="200"/>
        <w:jc w:val="left"/>
        <w:rPr>
          <w:highlight w:val="none"/>
        </w:rPr>
      </w:pPr>
      <w:r>
        <w:rPr>
          <w:rFonts w:hint="eastAsia" w:ascii="Times New Roman" w:hAnsi="Times New Roman"/>
          <w:highlight w:val="none"/>
          <w:lang w:val="en-US" w:eastAsia="zh-CN"/>
        </w:rPr>
        <w:t>13</w:t>
      </w:r>
      <w:r>
        <w:rPr>
          <w:rFonts w:hint="eastAsia" w:eastAsia="宋体"/>
          <w:highlight w:val="none"/>
        </w:rPr>
        <w:t>.2 参选人应根据本章内容和要求，提供对应材料，内容齐全，无遗漏。</w:t>
      </w:r>
    </w:p>
    <w:p w14:paraId="44FB3939">
      <w:pPr>
        <w:rPr>
          <w:rFonts w:ascii="Times New Roman" w:hAnsi="Times New Roman"/>
          <w:highlight w:val="none"/>
        </w:rPr>
      </w:pPr>
      <w:r>
        <w:rPr>
          <w:rFonts w:hint="eastAsia" w:ascii="Times New Roman" w:hAnsi="Times New Roman"/>
          <w:highlight w:val="none"/>
          <w:lang w:val="en-US" w:eastAsia="zh-CN"/>
        </w:rPr>
        <w:t>13.3</w:t>
      </w:r>
      <w:r>
        <w:rPr>
          <w:rFonts w:hint="eastAsia" w:ascii="Times New Roman" w:hAnsi="Times New Roman"/>
          <w:highlight w:val="none"/>
        </w:rPr>
        <w:t>其他未尽事宜由供需双方在合同中详细约定。</w:t>
      </w:r>
    </w:p>
    <w:p w14:paraId="1F5EA3EE">
      <w:pPr>
        <w:rPr>
          <w:rFonts w:ascii="Times New Roman" w:hAnsi="Times New Roman" w:cs="宋体"/>
          <w:snapToGrid w:val="0"/>
          <w:color w:val="FF0000"/>
          <w:kern w:val="0"/>
          <w:szCs w:val="24"/>
          <w:highlight w:val="none"/>
        </w:rPr>
      </w:pPr>
      <w:r>
        <w:rPr>
          <w:rFonts w:ascii="Times New Roman" w:hAnsi="Times New Roman" w:cs="宋体"/>
          <w:snapToGrid w:val="0"/>
          <w:color w:val="FF0000"/>
          <w:kern w:val="0"/>
          <w:szCs w:val="24"/>
          <w:highlight w:val="none"/>
        </w:rPr>
        <w:br w:type="page"/>
      </w:r>
    </w:p>
    <w:p w14:paraId="687FACB1">
      <w:pPr>
        <w:pStyle w:val="2"/>
        <w:rPr>
          <w:rFonts w:ascii="Times New Roman" w:hAnsi="Times New Roman"/>
          <w:highlight w:val="none"/>
        </w:rPr>
      </w:pPr>
      <w:bookmarkStart w:id="66" w:name="_Toc29189"/>
      <w:bookmarkStart w:id="67" w:name="_Toc24542"/>
      <w:r>
        <w:rPr>
          <w:rFonts w:hint="eastAsia" w:ascii="Times New Roman" w:hAnsi="Times New Roman"/>
          <w:highlight w:val="none"/>
          <w:lang w:val="en-US" w:eastAsia="zh-CN"/>
        </w:rPr>
        <w:t xml:space="preserve"> </w:t>
      </w:r>
      <w:bookmarkStart w:id="68" w:name="_Toc1144362525"/>
      <w:r>
        <w:rPr>
          <w:rFonts w:hint="eastAsia" w:ascii="Times New Roman" w:hAnsi="Times New Roman"/>
          <w:highlight w:val="none"/>
        </w:rPr>
        <w:t>第四章 评审办法（综合评估法）</w:t>
      </w:r>
      <w:bookmarkEnd w:id="66"/>
      <w:bookmarkEnd w:id="67"/>
      <w:bookmarkEnd w:id="68"/>
    </w:p>
    <w:p w14:paraId="5D25F303">
      <w:pPr>
        <w:rPr>
          <w:rFonts w:ascii="Times New Roman" w:hAnsi="Times New Roman"/>
          <w:b/>
          <w:bCs/>
          <w:highlight w:val="none"/>
        </w:rPr>
      </w:pPr>
      <w:bookmarkStart w:id="69" w:name="_Toc2028"/>
      <w:bookmarkStart w:id="70" w:name="_Toc11471"/>
      <w:bookmarkStart w:id="71" w:name="_Toc14810"/>
      <w:bookmarkStart w:id="72" w:name="_Toc27076"/>
      <w:r>
        <w:rPr>
          <w:rFonts w:hint="eastAsia" w:ascii="Times New Roman" w:hAnsi="Times New Roman"/>
          <w:b/>
          <w:bCs/>
          <w:highlight w:val="none"/>
        </w:rPr>
        <w:t>评审办法前附表</w:t>
      </w:r>
      <w:bookmarkEnd w:id="69"/>
      <w:bookmarkEnd w:id="70"/>
      <w:bookmarkEnd w:id="71"/>
      <w:bookmarkEnd w:id="72"/>
    </w:p>
    <w:p w14:paraId="1BA87274">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2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66"/>
        <w:gridCol w:w="552"/>
        <w:gridCol w:w="483"/>
        <w:gridCol w:w="918"/>
        <w:gridCol w:w="87"/>
        <w:gridCol w:w="362"/>
        <w:gridCol w:w="538"/>
        <w:gridCol w:w="4938"/>
        <w:gridCol w:w="94"/>
      </w:tblGrid>
      <w:tr w14:paraId="1851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6F04683">
            <w:pPr>
              <w:spacing w:line="360" w:lineRule="auto"/>
              <w:ind w:firstLine="0" w:firstLineChars="0"/>
              <w:jc w:val="center"/>
              <w:rPr>
                <w:rFonts w:ascii="Times New Roman" w:hAnsi="Times New Roman" w:cs="宋体"/>
                <w:b/>
                <w:kern w:val="0"/>
                <w:sz w:val="21"/>
                <w:szCs w:val="21"/>
                <w:highlight w:val="none"/>
              </w:rPr>
            </w:pPr>
            <w:bookmarkStart w:id="73" w:name="CQZH1_07"/>
            <w:r>
              <w:rPr>
                <w:rFonts w:hint="eastAsia" w:ascii="Times New Roman" w:hAnsi="Times New Roman" w:cs="宋体"/>
                <w:b/>
                <w:kern w:val="0"/>
                <w:sz w:val="21"/>
                <w:szCs w:val="21"/>
                <w:highlight w:val="none"/>
              </w:rPr>
              <w:t>条款号</w:t>
            </w:r>
          </w:p>
        </w:tc>
        <w:tc>
          <w:tcPr>
            <w:tcW w:w="1318" w:type="dxa"/>
            <w:gridSpan w:val="2"/>
            <w:tcBorders>
              <w:top w:val="single" w:color="auto" w:sz="4" w:space="0"/>
              <w:left w:val="single" w:color="auto" w:sz="4" w:space="0"/>
              <w:bottom w:val="single" w:color="auto" w:sz="4" w:space="0"/>
              <w:right w:val="single" w:color="auto" w:sz="4" w:space="0"/>
            </w:tcBorders>
            <w:noWrap/>
            <w:vAlign w:val="center"/>
          </w:tcPr>
          <w:p w14:paraId="4F1B2662">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326" w:type="dxa"/>
            <w:gridSpan w:val="6"/>
            <w:tcBorders>
              <w:top w:val="single" w:color="auto" w:sz="4" w:space="0"/>
              <w:left w:val="single" w:color="auto" w:sz="4" w:space="0"/>
              <w:bottom w:val="single" w:color="auto" w:sz="4" w:space="0"/>
              <w:right w:val="single" w:color="auto" w:sz="4" w:space="0"/>
            </w:tcBorders>
            <w:noWrap/>
            <w:vAlign w:val="center"/>
          </w:tcPr>
          <w:p w14:paraId="04215427">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3DF5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9EDAFD1">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318" w:type="dxa"/>
            <w:gridSpan w:val="2"/>
            <w:tcBorders>
              <w:top w:val="single" w:color="auto" w:sz="4" w:space="0"/>
              <w:left w:val="single" w:color="auto" w:sz="4" w:space="0"/>
              <w:bottom w:val="single" w:color="auto" w:sz="4" w:space="0"/>
              <w:right w:val="single" w:color="auto" w:sz="4" w:space="0"/>
            </w:tcBorders>
            <w:noWrap/>
            <w:vAlign w:val="center"/>
          </w:tcPr>
          <w:p w14:paraId="0ECDE513">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Times New Roman"/>
                <w:sz w:val="21"/>
                <w:szCs w:val="21"/>
                <w:highlight w:val="none"/>
              </w:rPr>
              <w:t>评审办法</w:t>
            </w:r>
          </w:p>
        </w:tc>
        <w:tc>
          <w:tcPr>
            <w:tcW w:w="7326" w:type="dxa"/>
            <w:gridSpan w:val="6"/>
            <w:tcBorders>
              <w:top w:val="single" w:color="auto" w:sz="4" w:space="0"/>
              <w:left w:val="single" w:color="auto" w:sz="4" w:space="0"/>
              <w:bottom w:val="single" w:color="auto" w:sz="4" w:space="0"/>
              <w:right w:val="single" w:color="auto" w:sz="4" w:space="0"/>
            </w:tcBorders>
            <w:noWrap/>
            <w:vAlign w:val="center"/>
          </w:tcPr>
          <w:p w14:paraId="4592FD4B">
            <w:pPr>
              <w:spacing w:line="360" w:lineRule="auto"/>
              <w:ind w:firstLine="0" w:firstLineChars="0"/>
              <w:jc w:val="left"/>
              <w:rPr>
                <w:rFonts w:ascii="Times New Roman" w:hAnsi="Times New Roman" w:cs="宋体"/>
                <w:b/>
                <w:kern w:val="0"/>
                <w:sz w:val="21"/>
                <w:szCs w:val="21"/>
                <w:highlight w:val="none"/>
              </w:rPr>
            </w:pPr>
            <w:r>
              <w:rPr>
                <w:rFonts w:hint="eastAsia" w:ascii="Times New Roman" w:hAnsi="Times New Roman" w:cs="Times New Roman"/>
                <w:kern w:val="0"/>
                <w:sz w:val="21"/>
                <w:szCs w:val="24"/>
                <w:highlight w:val="none"/>
              </w:rPr>
              <w:t>本次评审采用综合评估法。评审委员会按照评审办法前附表第2.</w:t>
            </w:r>
            <w:r>
              <w:rPr>
                <w:rFonts w:hint="eastAsia" w:ascii="Times New Roman" w:hAnsi="Times New Roman" w:cs="Times New Roman"/>
                <w:kern w:val="0"/>
                <w:sz w:val="21"/>
                <w:szCs w:val="24"/>
                <w:highlight w:val="none"/>
                <w:lang w:val="en-US" w:eastAsia="zh-CN"/>
              </w:rPr>
              <w:t>1</w:t>
            </w:r>
            <w:r>
              <w:rPr>
                <w:rFonts w:hint="eastAsia" w:ascii="Times New Roman" w:hAnsi="Times New Roman" w:cs="Times New Roman"/>
                <w:kern w:val="0"/>
                <w:sz w:val="21"/>
                <w:szCs w:val="24"/>
                <w:highlight w:val="none"/>
              </w:rPr>
              <w:t xml:space="preserve"> 条规定的评分标准进行初步评审</w:t>
            </w:r>
            <w:r>
              <w:rPr>
                <w:rFonts w:hint="eastAsia" w:ascii="Times New Roman" w:hAnsi="Times New Roman" w:cs="Times New Roman"/>
                <w:kern w:val="0"/>
                <w:sz w:val="21"/>
                <w:szCs w:val="24"/>
                <w:highlight w:val="none"/>
                <w:lang w:eastAsia="zh-CN"/>
              </w:rPr>
              <w:t>，</w:t>
            </w:r>
            <w:r>
              <w:rPr>
                <w:rFonts w:hint="eastAsia" w:ascii="Times New Roman" w:hAnsi="Times New Roman" w:cs="Times New Roman"/>
                <w:kern w:val="0"/>
                <w:sz w:val="21"/>
                <w:szCs w:val="24"/>
                <w:highlight w:val="none"/>
                <w:lang w:val="en-US" w:eastAsia="zh-CN"/>
              </w:rPr>
              <w:t>对</w:t>
            </w:r>
            <w:r>
              <w:rPr>
                <w:rFonts w:hint="eastAsia" w:ascii="Times New Roman" w:hAnsi="Times New Roman" w:cs="Times New Roman"/>
                <w:spacing w:val="4"/>
                <w:kern w:val="0"/>
                <w:sz w:val="21"/>
                <w:szCs w:val="21"/>
                <w:highlight w:val="none"/>
                <w:lang w:eastAsia="zh-CN"/>
              </w:rPr>
              <w:t>初步</w:t>
            </w:r>
            <w:r>
              <w:rPr>
                <w:rFonts w:hint="eastAsia" w:ascii="Times New Roman" w:hAnsi="Times New Roman" w:cs="Times New Roman"/>
                <w:spacing w:val="4"/>
                <w:kern w:val="0"/>
                <w:sz w:val="21"/>
                <w:szCs w:val="21"/>
                <w:highlight w:val="none"/>
              </w:rPr>
              <w:t>审查</w:t>
            </w:r>
            <w:r>
              <w:rPr>
                <w:rFonts w:hint="eastAsia" w:ascii="Times New Roman" w:hAnsi="Times New Roman" w:cs="Times New Roman"/>
                <w:kern w:val="0"/>
                <w:sz w:val="21"/>
                <w:szCs w:val="24"/>
                <w:highlight w:val="none"/>
              </w:rPr>
              <w:t>合格的参选人按照评审办法前附表第2.2 条规定的评分标准进行打分，按得分由高到低顺序推荐</w:t>
            </w:r>
            <w:r>
              <w:rPr>
                <w:rFonts w:hint="eastAsia" w:ascii="Times New Roman" w:hAnsi="Times New Roman" w:cs="Times New Roman"/>
                <w:kern w:val="0"/>
                <w:sz w:val="21"/>
                <w:szCs w:val="24"/>
                <w:highlight w:val="none"/>
                <w:lang w:val="en-US" w:eastAsia="zh-CN"/>
              </w:rPr>
              <w:t>1-</w:t>
            </w:r>
            <w:r>
              <w:rPr>
                <w:rFonts w:hint="eastAsia" w:ascii="Times New Roman" w:hAnsi="Times New Roman" w:cs="Times New Roman"/>
                <w:kern w:val="0"/>
                <w:sz w:val="21"/>
                <w:szCs w:val="24"/>
                <w:highlight w:val="none"/>
              </w:rPr>
              <w:t>3名中选候选人，但参选报价低于其成本的除外。综合评分相等时，以参选报价低的优先；参选报价也相等的，由评审委员会按照</w:t>
            </w:r>
            <w:r>
              <w:rPr>
                <w:rFonts w:hint="eastAsia" w:ascii="Times New Roman" w:hAnsi="Times New Roman" w:cs="Times New Roman"/>
                <w:kern w:val="0"/>
                <w:sz w:val="21"/>
                <w:szCs w:val="24"/>
                <w:highlight w:val="none"/>
                <w:lang w:val="en-US" w:eastAsia="zh-CN"/>
              </w:rPr>
              <w:t>实施案例得分高的优先</w:t>
            </w:r>
            <w:r>
              <w:rPr>
                <w:rFonts w:hint="eastAsia" w:ascii="Times New Roman" w:hAnsi="Times New Roman" w:cs="Times New Roman"/>
                <w:kern w:val="0"/>
                <w:sz w:val="21"/>
                <w:szCs w:val="24"/>
                <w:highlight w:val="none"/>
              </w:rPr>
              <w:t>原则排序。</w:t>
            </w:r>
          </w:p>
        </w:tc>
      </w:tr>
      <w:tr w14:paraId="4208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6034B49">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2.1</w:t>
            </w:r>
          </w:p>
        </w:tc>
        <w:tc>
          <w:tcPr>
            <w:tcW w:w="1318" w:type="dxa"/>
            <w:gridSpan w:val="2"/>
            <w:tcBorders>
              <w:top w:val="single" w:color="auto" w:sz="4" w:space="0"/>
              <w:left w:val="single" w:color="auto" w:sz="4" w:space="0"/>
              <w:bottom w:val="single" w:color="auto" w:sz="4" w:space="0"/>
              <w:right w:val="single" w:color="auto" w:sz="4" w:space="0"/>
            </w:tcBorders>
            <w:noWrap/>
            <w:vAlign w:val="center"/>
          </w:tcPr>
          <w:p w14:paraId="5720835D">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初步评审标准</w:t>
            </w:r>
          </w:p>
        </w:tc>
        <w:tc>
          <w:tcPr>
            <w:tcW w:w="7326" w:type="dxa"/>
            <w:gridSpan w:val="6"/>
            <w:tcBorders>
              <w:top w:val="single" w:color="auto" w:sz="4" w:space="0"/>
              <w:left w:val="single" w:color="auto" w:sz="4" w:space="0"/>
              <w:bottom w:val="single" w:color="auto" w:sz="4" w:space="0"/>
              <w:right w:val="single" w:color="auto" w:sz="4" w:space="0"/>
            </w:tcBorders>
            <w:noWrap/>
            <w:vAlign w:val="center"/>
          </w:tcPr>
          <w:p w14:paraId="6CA60E3C">
            <w:pPr>
              <w:spacing w:line="36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所有参选单位</w:t>
            </w:r>
            <w:r>
              <w:rPr>
                <w:rFonts w:hint="eastAsia" w:ascii="Times New Roman" w:hAnsi="Times New Roman" w:cs="Times New Roman"/>
                <w:spacing w:val="4"/>
                <w:kern w:val="0"/>
                <w:sz w:val="21"/>
                <w:szCs w:val="21"/>
                <w:highlight w:val="none"/>
              </w:rPr>
              <w:t>进行</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内容：资格评审、形式评审、响应性评审。</w:t>
            </w:r>
          </w:p>
        </w:tc>
      </w:tr>
      <w:tr w14:paraId="6FF1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3BE6E1DB">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kern w:val="0"/>
                <w:sz w:val="21"/>
                <w:szCs w:val="21"/>
                <w:highlight w:val="none"/>
              </w:rPr>
              <w:t>2.1.1</w:t>
            </w:r>
          </w:p>
        </w:tc>
        <w:tc>
          <w:tcPr>
            <w:tcW w:w="1318" w:type="dxa"/>
            <w:gridSpan w:val="2"/>
            <w:tcBorders>
              <w:top w:val="single" w:color="auto" w:sz="4" w:space="0"/>
              <w:left w:val="single" w:color="auto" w:sz="4" w:space="0"/>
              <w:bottom w:val="single" w:color="auto" w:sz="4" w:space="0"/>
              <w:right w:val="single" w:color="auto" w:sz="4" w:space="0"/>
            </w:tcBorders>
            <w:noWrap/>
            <w:vAlign w:val="center"/>
          </w:tcPr>
          <w:p w14:paraId="11124E33">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资格评审标准</w:t>
            </w: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6A04662A">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资格条件要求</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0F749C5C">
            <w:pPr>
              <w:spacing w:line="360" w:lineRule="auto"/>
              <w:ind w:firstLine="0" w:firstLineChars="0"/>
              <w:jc w:val="left"/>
              <w:rPr>
                <w:rFonts w:ascii="Times New Roman" w:hAnsi="Times New Roman" w:cs="Times New Roman"/>
                <w:kern w:val="0"/>
                <w:sz w:val="21"/>
                <w:szCs w:val="24"/>
                <w:highlight w:val="none"/>
              </w:rPr>
            </w:pPr>
            <w:r>
              <w:rPr>
                <w:rFonts w:hint="eastAsia" w:ascii="Times New Roman" w:hAnsi="Times New Roman" w:cs="宋体"/>
                <w:kern w:val="0"/>
                <w:sz w:val="21"/>
                <w:szCs w:val="21"/>
                <w:highlight w:val="none"/>
              </w:rPr>
              <w:t>符合第一章“2. 参选人资格要求”规定</w:t>
            </w:r>
          </w:p>
        </w:tc>
      </w:tr>
      <w:tr w14:paraId="7CF7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3294801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2.1.2</w:t>
            </w:r>
          </w:p>
        </w:tc>
        <w:tc>
          <w:tcPr>
            <w:tcW w:w="131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A34AD1B">
            <w:pPr>
              <w:spacing w:line="360" w:lineRule="auto"/>
              <w:ind w:firstLine="0" w:firstLineChars="0"/>
              <w:jc w:val="center"/>
              <w:rPr>
                <w:rFonts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形式评审标准</w:t>
            </w: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4E338F0D">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4A71EEB0">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0322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3CA4BC7">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6802A386">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66BBCF8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37B86BF3">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F86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585C7752">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EAE5F7E">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610C234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65700298">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18C3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57AF44D7">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3FBA443">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43CBBA6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2E2DD9F3">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48CC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21419F15">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2837D96">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328CFC3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21DD112E">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66B7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A4D5EED">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F4B6F19">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4AB83A4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57B825BB">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360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33AC6D2C">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2.1.3</w:t>
            </w:r>
          </w:p>
        </w:tc>
        <w:tc>
          <w:tcPr>
            <w:tcW w:w="131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CDB6F5C">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7BB5928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5D60E66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35EBB946">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w:t>
            </w:r>
            <w:r>
              <w:rPr>
                <w:rFonts w:hint="eastAsia" w:ascii="Times New Roman" w:hAnsi="Times New Roman" w:cs="宋体"/>
                <w:color w:val="auto"/>
                <w:kern w:val="0"/>
                <w:sz w:val="21"/>
                <w:szCs w:val="21"/>
                <w:highlight w:val="none"/>
                <w:lang w:eastAsia="zh-CN"/>
              </w:rPr>
              <w:t>”</w:t>
            </w:r>
            <w:r>
              <w:rPr>
                <w:rFonts w:ascii="Times New Roman" w:hAnsi="Times New Roman" w:cs="宋体"/>
                <w:color w:val="auto"/>
                <w:kern w:val="0"/>
                <w:sz w:val="21"/>
                <w:szCs w:val="21"/>
                <w:highlight w:val="none"/>
              </w:rPr>
              <w:t>和第三章</w:t>
            </w:r>
            <w:r>
              <w:rPr>
                <w:rFonts w:hint="eastAsia" w:ascii="Times New Roman" w:hAnsi="Times New Roman" w:cs="宋体"/>
                <w:color w:val="auto"/>
                <w:kern w:val="0"/>
                <w:sz w:val="21"/>
                <w:szCs w:val="21"/>
                <w:highlight w:val="none"/>
                <w:lang w:eastAsia="zh-CN"/>
              </w:rPr>
              <w:t>“</w:t>
            </w:r>
            <w:r>
              <w:rPr>
                <w:rFonts w:ascii="Times New Roman" w:hAnsi="Times New Roman" w:cs="宋体"/>
                <w:color w:val="auto"/>
                <w:kern w:val="0"/>
                <w:sz w:val="21"/>
                <w:szCs w:val="21"/>
                <w:highlight w:val="none"/>
              </w:rPr>
              <w:t>项目要求</w:t>
            </w:r>
            <w:r>
              <w:rPr>
                <w:rFonts w:hint="eastAsia" w:ascii="Times New Roman" w:hAnsi="Times New Roman" w:cs="宋体"/>
                <w:color w:val="auto"/>
                <w:kern w:val="0"/>
                <w:sz w:val="21"/>
                <w:szCs w:val="21"/>
                <w:highlight w:val="none"/>
                <w:lang w:eastAsia="zh-CN"/>
              </w:rPr>
              <w:t>”</w:t>
            </w:r>
            <w:r>
              <w:rPr>
                <w:rFonts w:ascii="Times New Roman" w:hAnsi="Times New Roman" w:cs="宋体"/>
                <w:color w:val="auto"/>
                <w:kern w:val="0"/>
                <w:sz w:val="21"/>
                <w:szCs w:val="21"/>
                <w:highlight w:val="none"/>
              </w:rPr>
              <w:t>的要求规定，</w:t>
            </w:r>
            <w:r>
              <w:rPr>
                <w:rFonts w:hint="eastAsia" w:ascii="宋体" w:hAnsi="宋体" w:eastAsia="宋体" w:cs="宋体"/>
                <w:color w:val="auto"/>
                <w:kern w:val="0"/>
                <w:sz w:val="21"/>
                <w:szCs w:val="21"/>
                <w:highlight w:val="none"/>
                <w:lang w:val="en-US" w:eastAsia="zh-CN" w:bidi="ar-SA"/>
              </w:rPr>
              <w:t>提供对应材料，内容齐全、无遗漏</w:t>
            </w:r>
            <w:r>
              <w:rPr>
                <w:rFonts w:hint="eastAsia" w:ascii="宋体" w:hAnsi="宋体" w:eastAsia="宋体" w:cs="宋体"/>
                <w:color w:val="auto"/>
                <w:sz w:val="21"/>
                <w:szCs w:val="21"/>
                <w:highlight w:val="none"/>
              </w:rPr>
              <w:t>。</w:t>
            </w:r>
          </w:p>
        </w:tc>
      </w:tr>
      <w:tr w14:paraId="3EA3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264634C1">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cPr>
          <w:p w14:paraId="29C00799">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40CC456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03F7E39B">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FE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75F691E7">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cPr>
          <w:p w14:paraId="40046A7A">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6C8EBA2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5F9D348D">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3A14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3E03D751">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cPr>
          <w:p w14:paraId="77775073">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7AD172E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gridSpan w:val="2"/>
            <w:tcBorders>
              <w:top w:val="single" w:color="auto" w:sz="4" w:space="0"/>
              <w:left w:val="single" w:color="auto" w:sz="4" w:space="0"/>
              <w:bottom w:val="single" w:color="auto" w:sz="4" w:space="0"/>
              <w:right w:val="single" w:color="auto" w:sz="4" w:space="0"/>
            </w:tcBorders>
            <w:noWrap/>
            <w:vAlign w:val="center"/>
          </w:tcPr>
          <w:p w14:paraId="563169F4">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66EF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7269EE11">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cPr>
          <w:p w14:paraId="27236EAA">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22CD872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gridSpan w:val="2"/>
            <w:tcBorders>
              <w:top w:val="single" w:color="auto" w:sz="4" w:space="0"/>
              <w:left w:val="single" w:color="auto" w:sz="4" w:space="0"/>
              <w:bottom w:val="single" w:color="auto" w:sz="4" w:space="0"/>
              <w:right w:val="single" w:color="auto" w:sz="4" w:space="0"/>
            </w:tcBorders>
            <w:noWrap/>
          </w:tcPr>
          <w:p w14:paraId="752BD7DB">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30F0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55355745">
            <w:pPr>
              <w:rPr>
                <w:highlight w:val="none"/>
              </w:rPr>
            </w:pPr>
          </w:p>
        </w:tc>
        <w:tc>
          <w:tcPr>
            <w:tcW w:w="1318" w:type="dxa"/>
            <w:gridSpan w:val="2"/>
            <w:vMerge w:val="continue"/>
            <w:tcBorders>
              <w:top w:val="single" w:color="auto" w:sz="4" w:space="0"/>
              <w:left w:val="single" w:color="auto" w:sz="4" w:space="0"/>
              <w:bottom w:val="single" w:color="auto" w:sz="4" w:space="0"/>
              <w:right w:val="single" w:color="auto" w:sz="4" w:space="0"/>
            </w:tcBorders>
            <w:noWrap/>
          </w:tcPr>
          <w:p w14:paraId="0A5BFF38">
            <w:pPr>
              <w:rPr>
                <w:highlight w:val="none"/>
              </w:rPr>
            </w:pPr>
          </w:p>
        </w:tc>
        <w:tc>
          <w:tcPr>
            <w:tcW w:w="1850" w:type="dxa"/>
            <w:gridSpan w:val="4"/>
            <w:tcBorders>
              <w:top w:val="single" w:color="auto" w:sz="4" w:space="0"/>
              <w:left w:val="single" w:color="auto" w:sz="4" w:space="0"/>
              <w:bottom w:val="single" w:color="auto" w:sz="4" w:space="0"/>
              <w:right w:val="single" w:color="auto" w:sz="4" w:space="0"/>
            </w:tcBorders>
            <w:noWrap/>
            <w:vAlign w:val="center"/>
          </w:tcPr>
          <w:p w14:paraId="78346A0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gridSpan w:val="2"/>
            <w:tcBorders>
              <w:top w:val="single" w:color="auto" w:sz="4" w:space="0"/>
              <w:left w:val="single" w:color="auto" w:sz="4" w:space="0"/>
              <w:bottom w:val="single" w:color="auto" w:sz="4" w:space="0"/>
              <w:right w:val="single" w:color="auto" w:sz="4" w:space="0"/>
            </w:tcBorders>
            <w:noWrap/>
          </w:tcPr>
          <w:p w14:paraId="67FAD19D">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5BFE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4CD0D3EC">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w:t>
            </w:r>
          </w:p>
        </w:tc>
        <w:tc>
          <w:tcPr>
            <w:tcW w:w="766" w:type="dxa"/>
            <w:vMerge w:val="restart"/>
            <w:tcBorders>
              <w:top w:val="single" w:color="auto" w:sz="4" w:space="0"/>
              <w:left w:val="single" w:color="auto" w:sz="4" w:space="0"/>
              <w:bottom w:val="single" w:color="auto" w:sz="4" w:space="0"/>
              <w:right w:val="single" w:color="auto" w:sz="4" w:space="0"/>
            </w:tcBorders>
            <w:noWrap/>
            <w:vAlign w:val="center"/>
          </w:tcPr>
          <w:p w14:paraId="03D20DDB">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03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BDEF0C4">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699A5D17">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w:t>
            </w:r>
            <w:r>
              <w:rPr>
                <w:rFonts w:ascii="Times New Roman" w:hAnsi="Times New Roman" w:cs="Times New Roman"/>
                <w:color w:val="auto"/>
                <w:kern w:val="0"/>
                <w:sz w:val="21"/>
                <w:szCs w:val="21"/>
                <w:highlight w:val="none"/>
              </w:rPr>
              <w:t>1OO</w:t>
            </w:r>
            <w:r>
              <w:rPr>
                <w:rFonts w:hint="eastAsia" w:ascii="Times New Roman" w:hAnsi="Times New Roman" w:cs="宋体"/>
                <w:color w:val="auto"/>
                <w:kern w:val="0"/>
                <w:sz w:val="21"/>
                <w:szCs w:val="21"/>
                <w:highlight w:val="none"/>
              </w:rPr>
              <w:t>分)</w:t>
            </w:r>
          </w:p>
        </w:tc>
        <w:tc>
          <w:tcPr>
            <w:tcW w:w="100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F57FF30">
            <w:pPr>
              <w:tabs>
                <w:tab w:val="left" w:pos="1875"/>
              </w:tabs>
              <w:spacing w:line="360" w:lineRule="auto"/>
              <w:ind w:firstLine="0" w:firstLineChars="0"/>
              <w:jc w:val="center"/>
              <w:rPr>
                <w:rFonts w:ascii="Times New Roman" w:hAnsi="Times New Roman" w:eastAsia="宋体"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商务部分（75分）</w:t>
            </w:r>
          </w:p>
        </w:tc>
        <w:tc>
          <w:tcPr>
            <w:tcW w:w="900" w:type="dxa"/>
            <w:gridSpan w:val="2"/>
            <w:tcBorders>
              <w:top w:val="single" w:color="auto" w:sz="4" w:space="0"/>
              <w:left w:val="single" w:color="auto" w:sz="4" w:space="0"/>
              <w:bottom w:val="single" w:color="auto" w:sz="4" w:space="0"/>
              <w:right w:val="single" w:color="auto" w:sz="4" w:space="0"/>
            </w:tcBorders>
            <w:noWrap/>
            <w:vAlign w:val="center"/>
          </w:tcPr>
          <w:p w14:paraId="19B05802">
            <w:pPr>
              <w:keepNext w:val="0"/>
              <w:keepLines w:val="0"/>
              <w:pageBreakBefore w:val="0"/>
              <w:widowControl w:val="0"/>
              <w:tabs>
                <w:tab w:val="left" w:pos="1875"/>
              </w:tabs>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eastAsia="宋体"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参选报价（60分）</w:t>
            </w:r>
          </w:p>
        </w:tc>
        <w:tc>
          <w:tcPr>
            <w:tcW w:w="5032" w:type="dxa"/>
            <w:gridSpan w:val="2"/>
            <w:tcBorders>
              <w:top w:val="single" w:color="auto" w:sz="4" w:space="0"/>
              <w:left w:val="single" w:color="auto" w:sz="4" w:space="0"/>
              <w:bottom w:val="single" w:color="auto" w:sz="4" w:space="0"/>
              <w:right w:val="single" w:color="auto" w:sz="4" w:space="0"/>
            </w:tcBorders>
            <w:noWrap/>
            <w:vAlign w:val="center"/>
          </w:tcPr>
          <w:p w14:paraId="3B21CF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1.以各有效报价之和的平均价格的90%作为评标基准价，基准分为</w:t>
            </w:r>
            <w:r>
              <w:rPr>
                <w:rFonts w:hint="eastAsia" w:ascii="Times New Roman" w:hAnsi="Times New Roman" w:cs="宋体"/>
                <w:color w:val="auto"/>
                <w:kern w:val="0"/>
                <w:sz w:val="21"/>
                <w:szCs w:val="21"/>
                <w:highlight w:val="none"/>
                <w:lang w:val="en-US" w:eastAsia="zh-CN"/>
              </w:rPr>
              <w:t>6</w:t>
            </w:r>
            <w:r>
              <w:rPr>
                <w:rFonts w:hint="eastAsia" w:ascii="Times New Roman" w:hAnsi="Times New Roman" w:cs="宋体"/>
                <w:color w:val="auto"/>
                <w:kern w:val="0"/>
                <w:sz w:val="21"/>
                <w:szCs w:val="21"/>
                <w:highlight w:val="none"/>
              </w:rPr>
              <w:t>0分；</w:t>
            </w:r>
          </w:p>
          <w:p w14:paraId="5B76BEA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w:t>
            </w:r>
          </w:p>
          <w:p w14:paraId="1D4642F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偏离度=（有效报价/评标基准价-1）*100%；</w:t>
            </w:r>
          </w:p>
          <w:p w14:paraId="6905DE0E">
            <w:pPr>
              <w:spacing w:line="360" w:lineRule="exact"/>
              <w:ind w:firstLine="0" w:firstLineChars="0"/>
              <w:jc w:val="left"/>
              <w:rPr>
                <w:rFonts w:hint="eastAsia" w:ascii="宋体" w:eastAsia="宋体" w:cs="宋体"/>
                <w:color w:val="auto"/>
                <w:sz w:val="21"/>
                <w:szCs w:val="21"/>
                <w:highlight w:val="none"/>
                <w:shd w:val="clear" w:color="auto" w:fill="FFFFFF"/>
              </w:rPr>
            </w:pPr>
            <w:r>
              <w:rPr>
                <w:rFonts w:hint="eastAsia" w:ascii="宋体" w:eastAsia="宋体" w:cs="宋体"/>
                <w:color w:val="auto"/>
                <w:sz w:val="21"/>
                <w:szCs w:val="21"/>
                <w:highlight w:val="none"/>
                <w:shd w:val="clear" w:color="auto" w:fill="FFFFFF"/>
              </w:rPr>
              <w:t>3.偏离度不足1%的不扣分；</w:t>
            </w:r>
          </w:p>
          <w:p w14:paraId="4589CF5C">
            <w:pPr>
              <w:spacing w:line="360" w:lineRule="exact"/>
              <w:ind w:firstLine="0" w:firstLineChars="0"/>
              <w:jc w:val="left"/>
              <w:rPr>
                <w:rFonts w:hint="eastAsia" w:ascii="宋体" w:eastAsia="宋体" w:cs="宋体"/>
                <w:color w:val="auto"/>
                <w:sz w:val="21"/>
                <w:szCs w:val="21"/>
                <w:highlight w:val="none"/>
                <w:shd w:val="clear" w:color="auto" w:fill="FFFFFF"/>
              </w:rPr>
            </w:pPr>
            <w:r>
              <w:rPr>
                <w:rFonts w:hint="eastAsia" w:ascii="宋体" w:eastAsia="宋体" w:cs="宋体"/>
                <w:color w:val="auto"/>
                <w:sz w:val="21"/>
                <w:szCs w:val="21"/>
                <w:highlight w:val="none"/>
                <w:shd w:val="clear" w:color="auto" w:fill="FFFFFF"/>
              </w:rPr>
              <w:t>报价向上每正偏离1%的，扣1分；</w:t>
            </w:r>
          </w:p>
          <w:p w14:paraId="32A6AEA4">
            <w:pPr>
              <w:spacing w:line="360" w:lineRule="exact"/>
              <w:ind w:firstLine="0" w:firstLineChars="0"/>
              <w:jc w:val="left"/>
              <w:rPr>
                <w:rFonts w:hint="eastAsia" w:ascii="宋体" w:eastAsia="宋体" w:cs="宋体"/>
                <w:color w:val="auto"/>
                <w:sz w:val="21"/>
                <w:szCs w:val="21"/>
                <w:highlight w:val="none"/>
                <w:shd w:val="clear" w:color="auto" w:fill="FFFFFF"/>
              </w:rPr>
            </w:pPr>
            <w:r>
              <w:rPr>
                <w:rFonts w:hint="eastAsia" w:ascii="宋体" w:eastAsia="宋体" w:cs="宋体"/>
                <w:color w:val="auto"/>
                <w:sz w:val="21"/>
                <w:szCs w:val="21"/>
                <w:highlight w:val="none"/>
                <w:shd w:val="clear" w:color="auto" w:fill="FFFFFF"/>
              </w:rPr>
              <w:t>报价向下负偏离10%以内的，不扣分；</w:t>
            </w:r>
          </w:p>
          <w:p w14:paraId="019DF10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ascii="Times New Roman" w:hAnsi="Times New Roman" w:cs="宋体"/>
                <w:color w:val="auto"/>
                <w:kern w:val="0"/>
                <w:sz w:val="21"/>
                <w:szCs w:val="21"/>
                <w:highlight w:val="none"/>
              </w:rPr>
            </w:pPr>
            <w:r>
              <w:rPr>
                <w:rFonts w:hint="eastAsia" w:ascii="宋体" w:eastAsia="宋体" w:cs="宋体"/>
                <w:color w:val="auto"/>
                <w:sz w:val="21"/>
                <w:szCs w:val="21"/>
                <w:highlight w:val="none"/>
                <w:shd w:val="clear" w:color="auto" w:fill="FFFFFF"/>
              </w:rPr>
              <w:t>向下负偏离超过10%的，在向下负偏离10%的基础上，每多负偏离1%扣0.5分，扣完为止。</w:t>
            </w:r>
            <w:r>
              <w:rPr>
                <w:rFonts w:hint="eastAsia" w:ascii="宋体" w:eastAsia="宋体" w:cs="宋体"/>
                <w:color w:val="auto"/>
                <w:kern w:val="0"/>
                <w:sz w:val="21"/>
                <w:szCs w:val="21"/>
                <w:highlight w:val="none"/>
                <w:lang w:eastAsia="zh-CN"/>
              </w:rPr>
              <w:t>）</w:t>
            </w:r>
          </w:p>
        </w:tc>
      </w:tr>
      <w:tr w14:paraId="3FE7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289180A6">
            <w:pPr>
              <w:rPr>
                <w:highlight w:val="none"/>
              </w:rPr>
            </w:pPr>
          </w:p>
        </w:tc>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439DC2BE">
            <w:pPr>
              <w:rPr>
                <w:highlight w:val="none"/>
              </w:rPr>
            </w:pPr>
          </w:p>
        </w:tc>
        <w:tc>
          <w:tcPr>
            <w:tcW w:w="103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97CB852">
            <w:pPr>
              <w:rPr>
                <w:highlight w:val="none"/>
              </w:rPr>
            </w:pPr>
          </w:p>
        </w:tc>
        <w:tc>
          <w:tcPr>
            <w:tcW w:w="100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7DAF4B8">
            <w:pPr>
              <w:rPr>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ign w:val="center"/>
          </w:tcPr>
          <w:p w14:paraId="59B2AAEB">
            <w:pPr>
              <w:keepNext w:val="0"/>
              <w:keepLines w:val="0"/>
              <w:pageBreakBefore w:val="0"/>
              <w:widowControl w:val="0"/>
              <w:tabs>
                <w:tab w:val="left" w:pos="1875"/>
              </w:tabs>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实施案例（10分）</w:t>
            </w:r>
          </w:p>
        </w:tc>
        <w:tc>
          <w:tcPr>
            <w:tcW w:w="5032" w:type="dxa"/>
            <w:gridSpan w:val="2"/>
            <w:tcBorders>
              <w:top w:val="single" w:color="auto" w:sz="4" w:space="0"/>
              <w:left w:val="single" w:color="auto" w:sz="4" w:space="0"/>
              <w:bottom w:val="single" w:color="auto" w:sz="4" w:space="0"/>
              <w:right w:val="single" w:color="auto" w:sz="4" w:space="0"/>
            </w:tcBorders>
            <w:noWrap/>
            <w:vAlign w:val="center"/>
          </w:tcPr>
          <w:p w14:paraId="2CDD6B1A">
            <w:pPr>
              <w:widowControl/>
              <w:autoSpaceDE/>
              <w:autoSpaceDN/>
              <w:spacing w:line="360" w:lineRule="exact"/>
              <w:ind w:firstLine="0" w:firstLineChars="0"/>
              <w:jc w:val="left"/>
              <w:rPr>
                <w:rFonts w:ascii="宋体" w:cs="宋体"/>
                <w:color w:val="auto"/>
                <w:kern w:val="0"/>
                <w:sz w:val="21"/>
                <w:szCs w:val="21"/>
                <w:highlight w:val="none"/>
              </w:rPr>
            </w:pPr>
            <w:r>
              <w:rPr>
                <w:rFonts w:hint="eastAsia" w:ascii="宋体" w:cs="宋体"/>
                <w:color w:val="auto"/>
                <w:kern w:val="0"/>
                <w:sz w:val="21"/>
                <w:szCs w:val="21"/>
                <w:highlight w:val="none"/>
                <w:lang w:val="en-US" w:eastAsia="zh-CN"/>
              </w:rPr>
              <w:t>1.</w:t>
            </w:r>
            <w:r>
              <w:rPr>
                <w:rFonts w:hint="eastAsia" w:ascii="宋体" w:cs="宋体"/>
                <w:color w:val="auto"/>
                <w:kern w:val="0"/>
                <w:sz w:val="21"/>
                <w:szCs w:val="21"/>
                <w:highlight w:val="none"/>
              </w:rPr>
              <w:t>2021年1月1日至比选截止日（以合同签订时间为准），提供参选人全国金融单位网络安全攻防竞赛服务项目案例，每具备1个得1分，累计不超过4分，参选人资格要求案例不计入评分，同一单位案例不重复计分。</w:t>
            </w:r>
          </w:p>
          <w:p w14:paraId="64752803">
            <w:pPr>
              <w:widowControl/>
              <w:spacing w:line="360" w:lineRule="exact"/>
              <w:ind w:firstLine="0" w:firstLineChars="0"/>
              <w:jc w:val="left"/>
              <w:rPr>
                <w:rFonts w:ascii="宋体" w:cs="宋体"/>
                <w:color w:val="auto"/>
                <w:kern w:val="0"/>
                <w:sz w:val="21"/>
                <w:szCs w:val="21"/>
                <w:highlight w:val="none"/>
              </w:rPr>
            </w:pPr>
            <w:r>
              <w:rPr>
                <w:rFonts w:hint="eastAsia" w:ascii="宋体" w:cs="宋体"/>
                <w:color w:val="auto"/>
                <w:kern w:val="0"/>
                <w:sz w:val="21"/>
                <w:szCs w:val="21"/>
                <w:highlight w:val="none"/>
                <w:lang w:val="en-US" w:eastAsia="zh-CN"/>
              </w:rPr>
              <w:t>2.</w:t>
            </w:r>
            <w:r>
              <w:rPr>
                <w:rFonts w:hint="eastAsia" w:ascii="宋体" w:cs="宋体"/>
                <w:color w:val="auto"/>
                <w:kern w:val="0"/>
                <w:sz w:val="21"/>
                <w:szCs w:val="21"/>
                <w:highlight w:val="none"/>
              </w:rPr>
              <w:t>2021年1月1日比选截止日（以合同签订时间为准），</w:t>
            </w:r>
            <w:r>
              <w:rPr>
                <w:rFonts w:hint="eastAsia" w:ascii="宋体" w:cs="宋体"/>
                <w:snapToGrid w:val="0"/>
                <w:color w:val="auto"/>
                <w:kern w:val="0"/>
                <w:sz w:val="21"/>
                <w:szCs w:val="21"/>
                <w:highlight w:val="none"/>
              </w:rPr>
              <w:t>提供参选人</w:t>
            </w:r>
            <w:r>
              <w:rPr>
                <w:rFonts w:hint="eastAsia" w:ascii="宋体" w:cs="宋体"/>
                <w:color w:val="auto"/>
                <w:kern w:val="0"/>
                <w:sz w:val="21"/>
                <w:szCs w:val="21"/>
                <w:highlight w:val="none"/>
              </w:rPr>
              <w:t>重庆区域金融单位网络安全攻防竞赛服务项目案例，每具备1个得2分，累计不超过6分，参选人资格要求案例不计入评分，同一单位案例不重复计分。</w:t>
            </w:r>
          </w:p>
          <w:p w14:paraId="50A8308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宋体"/>
                <w:color w:val="auto"/>
                <w:kern w:val="0"/>
                <w:sz w:val="21"/>
                <w:szCs w:val="21"/>
                <w:highlight w:val="none"/>
              </w:rPr>
            </w:pPr>
            <w:r>
              <w:rPr>
                <w:rFonts w:hint="eastAsia" w:ascii="宋体" w:cs="宋体"/>
                <w:color w:val="auto"/>
                <w:kern w:val="0"/>
                <w:sz w:val="21"/>
                <w:szCs w:val="21"/>
                <w:highlight w:val="none"/>
              </w:rPr>
              <w:t>注: 案例要求提供项目合同关键页复印件，</w:t>
            </w:r>
            <w:r>
              <w:rPr>
                <w:rFonts w:hint="eastAsia" w:ascii="宋体" w:cs="宋体"/>
                <w:color w:val="auto"/>
                <w:kern w:val="0"/>
                <w:sz w:val="21"/>
                <w:szCs w:val="21"/>
                <w:highlight w:val="none"/>
                <w:lang w:val="en-US" w:eastAsia="zh-CN"/>
              </w:rPr>
              <w:t>关键页</w:t>
            </w:r>
            <w:r>
              <w:rPr>
                <w:rFonts w:hint="eastAsia" w:ascii="宋体" w:cs="宋体"/>
                <w:color w:val="auto"/>
                <w:kern w:val="0"/>
                <w:sz w:val="21"/>
                <w:szCs w:val="21"/>
                <w:highlight w:val="none"/>
              </w:rPr>
              <w:t>包含：甲乙双方名称、双方印章、项目的名称、合同签订时间、</w:t>
            </w:r>
            <w:r>
              <w:rPr>
                <w:rFonts w:hint="eastAsia" w:ascii="宋体" w:cs="宋体"/>
                <w:color w:val="auto"/>
                <w:kern w:val="0"/>
                <w:sz w:val="21"/>
                <w:szCs w:val="21"/>
                <w:highlight w:val="none"/>
                <w:lang w:val="en-US" w:eastAsia="zh-CN"/>
              </w:rPr>
              <w:t>服务范围</w:t>
            </w:r>
            <w:r>
              <w:rPr>
                <w:rFonts w:hint="eastAsia" w:ascii="宋体" w:cs="宋体"/>
                <w:color w:val="auto"/>
                <w:kern w:val="0"/>
                <w:sz w:val="21"/>
                <w:szCs w:val="21"/>
                <w:highlight w:val="none"/>
              </w:rPr>
              <w:t>（需包含所证明内容的关键字</w:t>
            </w:r>
            <w:r>
              <w:rPr>
                <w:rFonts w:hint="eastAsia" w:ascii="宋体" w:cs="宋体"/>
                <w:color w:val="auto"/>
                <w:kern w:val="0"/>
                <w:sz w:val="21"/>
                <w:szCs w:val="21"/>
                <w:highlight w:val="none"/>
                <w:lang w:eastAsia="zh-CN"/>
              </w:rPr>
              <w:t>，包括但不限于“网络安全攻防竞赛”、“网络安全竞赛”</w:t>
            </w:r>
            <w:r>
              <w:rPr>
                <w:rFonts w:hint="eastAsia" w:ascii="宋体" w:cs="宋体"/>
                <w:color w:val="auto"/>
                <w:kern w:val="0"/>
                <w:sz w:val="21"/>
                <w:szCs w:val="21"/>
                <w:highlight w:val="none"/>
              </w:rPr>
              <w:t>）。以上证明文件需提供原件备查，参选文件中须附相关证明文件复印件并逐页加盖公章。</w:t>
            </w:r>
          </w:p>
        </w:tc>
      </w:tr>
      <w:tr w14:paraId="2A19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7912DFAE">
            <w:pPr>
              <w:rPr>
                <w:highlight w:val="none"/>
              </w:rPr>
            </w:pPr>
          </w:p>
        </w:tc>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45ED713A">
            <w:pPr>
              <w:rPr>
                <w:highlight w:val="none"/>
              </w:rPr>
            </w:pPr>
          </w:p>
        </w:tc>
        <w:tc>
          <w:tcPr>
            <w:tcW w:w="103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1C14BAC">
            <w:pPr>
              <w:rPr>
                <w:highlight w:val="none"/>
              </w:rPr>
            </w:pPr>
          </w:p>
        </w:tc>
        <w:tc>
          <w:tcPr>
            <w:tcW w:w="100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0389CE0">
            <w:pPr>
              <w:rPr>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ign w:val="center"/>
          </w:tcPr>
          <w:p w14:paraId="6F37F82D">
            <w:pPr>
              <w:keepNext w:val="0"/>
              <w:keepLines w:val="0"/>
              <w:pageBreakBefore w:val="0"/>
              <w:widowControl w:val="0"/>
              <w:tabs>
                <w:tab w:val="left" w:pos="1875"/>
              </w:tabs>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eastAsia="宋体"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服务能力（5分）</w:t>
            </w:r>
          </w:p>
        </w:tc>
        <w:tc>
          <w:tcPr>
            <w:tcW w:w="5032" w:type="dxa"/>
            <w:gridSpan w:val="2"/>
            <w:tcBorders>
              <w:top w:val="single" w:color="auto" w:sz="4" w:space="0"/>
              <w:left w:val="single" w:color="auto" w:sz="4" w:space="0"/>
              <w:bottom w:val="single" w:color="auto" w:sz="4" w:space="0"/>
              <w:right w:val="single" w:color="auto" w:sz="4" w:space="0"/>
            </w:tcBorders>
            <w:noWrap/>
            <w:vAlign w:val="center"/>
          </w:tcPr>
          <w:p w14:paraId="5F314E9B">
            <w:pPr>
              <w:keepNext w:val="0"/>
              <w:keepLines w:val="0"/>
              <w:pageBreakBefore w:val="0"/>
              <w:widowControl w:val="0"/>
              <w:kinsoku/>
              <w:wordWrap w:val="0"/>
              <w:overflowPunct/>
              <w:topLinePunct w:val="0"/>
              <w:autoSpaceDE/>
              <w:autoSpaceDN/>
              <w:bidi w:val="0"/>
              <w:adjustRightInd/>
              <w:snapToGrid/>
              <w:spacing w:line="320" w:lineRule="exact"/>
              <w:ind w:firstLine="0" w:firstLineChars="0"/>
              <w:jc w:val="left"/>
              <w:textAlignment w:val="auto"/>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项目组成员（含项目经理）提供以下任意一个证书得1分，同一测评人员最多得1分，本项最高得5分。</w:t>
            </w:r>
          </w:p>
          <w:p w14:paraId="343C59C0">
            <w:pPr>
              <w:keepNext w:val="0"/>
              <w:keepLines w:val="0"/>
              <w:pageBreakBefore w:val="0"/>
              <w:widowControl w:val="0"/>
              <w:kinsoku/>
              <w:wordWrap w:val="0"/>
              <w:overflowPunct/>
              <w:topLinePunct w:val="0"/>
              <w:autoSpaceDE/>
              <w:autoSpaceDN/>
              <w:bidi w:val="0"/>
              <w:adjustRightInd/>
              <w:snapToGrid/>
              <w:spacing w:line="320" w:lineRule="exact"/>
              <w:ind w:firstLine="0" w:firstLineChars="0"/>
              <w:jc w:val="left"/>
              <w:textAlignment w:val="auto"/>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证书：注册信息安全工程师（CISP）证书、注册数据安全治理专业人员（CISP-DSG）、Certified Data Privacy Solutions Engineer（CDPSE）证书。</w:t>
            </w:r>
          </w:p>
        </w:tc>
      </w:tr>
      <w:tr w14:paraId="52E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37B4A614">
            <w:pPr>
              <w:rPr>
                <w:highlight w:val="none"/>
              </w:rPr>
            </w:pPr>
          </w:p>
        </w:tc>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7F6BC95D">
            <w:pPr>
              <w:rPr>
                <w:highlight w:val="none"/>
              </w:rPr>
            </w:pPr>
          </w:p>
        </w:tc>
        <w:tc>
          <w:tcPr>
            <w:tcW w:w="103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A193BAB">
            <w:pPr>
              <w:rPr>
                <w:highlight w:val="none"/>
              </w:rPr>
            </w:pPr>
          </w:p>
        </w:tc>
        <w:tc>
          <w:tcPr>
            <w:tcW w:w="100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3D0BA5C">
            <w:pPr>
              <w:keepNext w:val="0"/>
              <w:keepLines w:val="0"/>
              <w:pageBreakBefore w:val="0"/>
              <w:widowControl w:val="0"/>
              <w:tabs>
                <w:tab w:val="left" w:pos="1875"/>
              </w:tabs>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eastAsia="宋体"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技术部分（25分）</w:t>
            </w:r>
          </w:p>
        </w:tc>
        <w:tc>
          <w:tcPr>
            <w:tcW w:w="900" w:type="dxa"/>
            <w:gridSpan w:val="2"/>
            <w:tcBorders>
              <w:top w:val="single" w:color="auto" w:sz="4" w:space="0"/>
              <w:left w:val="single" w:color="auto" w:sz="4" w:space="0"/>
              <w:bottom w:val="single" w:color="auto" w:sz="4" w:space="0"/>
              <w:right w:val="single" w:color="auto" w:sz="4" w:space="0"/>
            </w:tcBorders>
            <w:noWrap/>
            <w:vAlign w:val="center"/>
          </w:tcPr>
          <w:p w14:paraId="5280CCE1">
            <w:pPr>
              <w:keepNext w:val="0"/>
              <w:keepLines w:val="0"/>
              <w:pageBreakBefore w:val="0"/>
              <w:widowControl w:val="0"/>
              <w:tabs>
                <w:tab w:val="left" w:pos="1875"/>
              </w:tabs>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宋体"/>
                <w:color w:val="auto"/>
                <w:kern w:val="0"/>
                <w:sz w:val="21"/>
                <w:szCs w:val="21"/>
                <w:highlight w:val="none"/>
                <w:lang w:val="en-US" w:eastAsia="zh-CN"/>
              </w:rPr>
            </w:pPr>
            <w:r>
              <w:rPr>
                <w:rFonts w:hint="eastAsia" w:ascii="宋体" w:cs="宋体"/>
                <w:color w:val="auto"/>
                <w:kern w:val="0"/>
                <w:sz w:val="20"/>
                <w:highlight w:val="none"/>
              </w:rPr>
              <w:t>竞赛平台功能</w:t>
            </w:r>
            <w:r>
              <w:rPr>
                <w:rFonts w:hint="eastAsia" w:ascii="宋体" w:cs="宋体"/>
                <w:color w:val="auto"/>
                <w:kern w:val="0"/>
                <w:sz w:val="20"/>
                <w:highlight w:val="none"/>
                <w:lang w:eastAsia="zh-CN"/>
              </w:rPr>
              <w:t>（</w:t>
            </w:r>
            <w:r>
              <w:rPr>
                <w:rFonts w:hint="eastAsia" w:ascii="宋体" w:cs="宋体"/>
                <w:color w:val="auto"/>
                <w:kern w:val="0"/>
                <w:sz w:val="20"/>
                <w:highlight w:val="none"/>
                <w:lang w:val="en-US" w:eastAsia="zh-CN"/>
              </w:rPr>
              <w:t>15分</w:t>
            </w:r>
            <w:r>
              <w:rPr>
                <w:rFonts w:hint="eastAsia" w:ascii="宋体" w:cs="宋体"/>
                <w:color w:val="auto"/>
                <w:kern w:val="0"/>
                <w:sz w:val="20"/>
                <w:highlight w:val="none"/>
                <w:lang w:eastAsia="zh-CN"/>
              </w:rPr>
              <w:t>）</w:t>
            </w:r>
          </w:p>
        </w:tc>
        <w:tc>
          <w:tcPr>
            <w:tcW w:w="5032" w:type="dxa"/>
            <w:gridSpan w:val="2"/>
            <w:tcBorders>
              <w:top w:val="single" w:color="auto" w:sz="4" w:space="0"/>
              <w:left w:val="single" w:color="auto" w:sz="4" w:space="0"/>
              <w:bottom w:val="single" w:color="auto" w:sz="4" w:space="0"/>
              <w:right w:val="single" w:color="auto" w:sz="4" w:space="0"/>
            </w:tcBorders>
            <w:noWrap/>
            <w:vAlign w:val="center"/>
          </w:tcPr>
          <w:p w14:paraId="48087381">
            <w:pPr>
              <w:widowControl/>
              <w:spacing w:line="360" w:lineRule="exact"/>
              <w:ind w:firstLine="0" w:firstLineChars="0"/>
              <w:jc w:val="left"/>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支撑此次网络安全攻防竞赛的平台应具备成熟的技术能力，以下功能每提供一条截图证明材料得3分，最高得15分，加盖参选人或授权服务原厂商公章。</w:t>
            </w:r>
          </w:p>
          <w:p w14:paraId="1A89221A">
            <w:pPr>
              <w:widowControl/>
              <w:spacing w:line="360" w:lineRule="exact"/>
              <w:ind w:firstLine="0" w:firstLineChars="0"/>
              <w:jc w:val="left"/>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（1）反作弊监控：对参赛选手行为持续跟进，防止参赛者对平台的攻击以及对赛题的恶意爆破尝试，可实时展示最新的作弊告警信息。</w:t>
            </w:r>
          </w:p>
          <w:p w14:paraId="785DCAE5">
            <w:pPr>
              <w:widowControl/>
              <w:spacing w:line="360" w:lineRule="exact"/>
              <w:ind w:firstLine="0" w:firstLineChars="0"/>
              <w:jc w:val="left"/>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（2）动态选题：可按照简单、中等和困难的比例随机生成赛题，可手动设置比赛时间、选题数量、比赛IP范围等。</w:t>
            </w:r>
          </w:p>
          <w:p w14:paraId="69423FFA">
            <w:pPr>
              <w:widowControl/>
              <w:spacing w:line="360" w:lineRule="exact"/>
              <w:ind w:firstLine="0" w:firstLineChars="0"/>
              <w:jc w:val="left"/>
              <w:rPr>
                <w:rFonts w:ascii="宋体" w:cs="宋体"/>
                <w:color w:val="auto"/>
                <w:kern w:val="0"/>
                <w:sz w:val="21"/>
                <w:szCs w:val="21"/>
                <w:highlight w:val="none"/>
              </w:rPr>
            </w:pPr>
            <w:r>
              <w:rPr>
                <w:rFonts w:hint="eastAsia" w:ascii="宋体" w:cs="宋体"/>
                <w:color w:val="auto"/>
                <w:kern w:val="0"/>
                <w:sz w:val="21"/>
                <w:szCs w:val="21"/>
                <w:highlight w:val="none"/>
              </w:rPr>
              <w:t>（3）答题统计：支持对赛题的答题情况进行统计分析，包括赛题的总答题次数、总解题成功的队伍数量等。</w:t>
            </w:r>
          </w:p>
          <w:p w14:paraId="05EA349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（4）答题监控：支持对竞赛中的团队和答题情况进行实时监控，包括时间、队员、队伍名称、当前得分、答题活动的展示。</w:t>
            </w:r>
          </w:p>
          <w:p w14:paraId="4A066B1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color w:val="auto"/>
                <w:sz w:val="20"/>
                <w:highlight w:val="none"/>
              </w:rPr>
            </w:pPr>
            <w:r>
              <w:rPr>
                <w:rFonts w:hint="eastAsia" w:ascii="宋体" w:cs="宋体"/>
                <w:color w:val="auto"/>
                <w:kern w:val="0"/>
                <w:sz w:val="21"/>
                <w:szCs w:val="21"/>
                <w:highlight w:val="none"/>
              </w:rPr>
              <w:t>（5）计分方式：支持正常计分、动态计分、额外加分等多种计分方式，其中正常计分为标准赛题得分，动态计分为第一个队伍得分为满分，后续答题队伍分数越来越低，额外计分可对完成前三名的队员进行不同比例的额外加分。</w:t>
            </w:r>
          </w:p>
        </w:tc>
      </w:tr>
      <w:tr w14:paraId="4C62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4BB94DE3">
            <w:pPr>
              <w:rPr>
                <w:highlight w:val="none"/>
              </w:rPr>
            </w:pPr>
          </w:p>
        </w:tc>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32C02C33">
            <w:pPr>
              <w:rPr>
                <w:highlight w:val="none"/>
              </w:rPr>
            </w:pPr>
          </w:p>
        </w:tc>
        <w:tc>
          <w:tcPr>
            <w:tcW w:w="103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9D99BC1">
            <w:pPr>
              <w:rPr>
                <w:highlight w:val="none"/>
              </w:rPr>
            </w:pPr>
          </w:p>
        </w:tc>
        <w:tc>
          <w:tcPr>
            <w:tcW w:w="100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D4F149B">
            <w:pPr>
              <w:rPr>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ign w:val="center"/>
          </w:tcPr>
          <w:p w14:paraId="376E3434">
            <w:pPr>
              <w:keepNext w:val="0"/>
              <w:keepLines w:val="0"/>
              <w:pageBreakBefore w:val="0"/>
              <w:widowControl w:val="0"/>
              <w:tabs>
                <w:tab w:val="left" w:pos="1875"/>
              </w:tabs>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实施方案（10分）</w:t>
            </w:r>
          </w:p>
        </w:tc>
        <w:tc>
          <w:tcPr>
            <w:tcW w:w="5032" w:type="dxa"/>
            <w:gridSpan w:val="2"/>
            <w:tcBorders>
              <w:top w:val="single" w:color="auto" w:sz="4" w:space="0"/>
              <w:left w:val="single" w:color="auto" w:sz="4" w:space="0"/>
              <w:bottom w:val="single" w:color="auto" w:sz="4" w:space="0"/>
              <w:right w:val="single" w:color="auto" w:sz="4" w:space="0"/>
            </w:tcBorders>
            <w:noWrap/>
            <w:vAlign w:val="center"/>
          </w:tcPr>
          <w:p w14:paraId="659370C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提供</w:t>
            </w:r>
            <w:r>
              <w:rPr>
                <w:rFonts w:hint="eastAsia" w:ascii="Times New Roman" w:hAnsi="Times New Roman" w:cs="宋体"/>
                <w:color w:val="auto"/>
                <w:kern w:val="0"/>
                <w:sz w:val="21"/>
                <w:szCs w:val="21"/>
                <w:highlight w:val="none"/>
                <w:lang w:eastAsia="zh-CN"/>
              </w:rPr>
              <w:t>项目实施方案</w:t>
            </w:r>
            <w:r>
              <w:rPr>
                <w:rFonts w:hint="eastAsia" w:ascii="Times New Roman" w:hAnsi="Times New Roman" w:cs="宋体"/>
                <w:color w:val="auto"/>
                <w:kern w:val="0"/>
                <w:sz w:val="21"/>
                <w:szCs w:val="21"/>
                <w:highlight w:val="none"/>
              </w:rPr>
              <w:t>，方案设计完整，其中涵盖网络安全攻防竞赛平台详细功能介绍、人员组织安排计划、历年来的竞赛支撑服务经验、网络安全培训，具有网络安全竞赛及网络安全宣传支撑丰富经验。</w:t>
            </w:r>
          </w:p>
          <w:p w14:paraId="31646EB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宋体"/>
                <w:color w:val="auto"/>
                <w:kern w:val="0"/>
                <w:sz w:val="21"/>
                <w:szCs w:val="21"/>
                <w:highlight w:val="none"/>
                <w:lang w:eastAsia="zh-CN"/>
              </w:rPr>
            </w:pPr>
            <w:r>
              <w:rPr>
                <w:rFonts w:hint="eastAsia" w:ascii="Times New Roman" w:hAnsi="Times New Roman" w:cs="宋体"/>
                <w:color w:val="auto"/>
                <w:kern w:val="0"/>
                <w:sz w:val="21"/>
                <w:szCs w:val="21"/>
                <w:highlight w:val="none"/>
                <w:lang w:eastAsia="zh-CN"/>
              </w:rPr>
              <w:t>评标委员会根据</w:t>
            </w:r>
            <w:r>
              <w:rPr>
                <w:rFonts w:hint="eastAsia" w:ascii="Times New Roman" w:hAnsi="Times New Roman" w:cs="宋体"/>
                <w:color w:val="auto"/>
                <w:kern w:val="0"/>
                <w:sz w:val="21"/>
                <w:szCs w:val="21"/>
                <w:highlight w:val="none"/>
              </w:rPr>
              <w:t>方案</w:t>
            </w:r>
            <w:r>
              <w:rPr>
                <w:rFonts w:hint="eastAsia" w:ascii="Times New Roman" w:hAnsi="Times New Roman" w:cs="宋体"/>
                <w:color w:val="auto"/>
                <w:kern w:val="0"/>
                <w:sz w:val="21"/>
                <w:szCs w:val="21"/>
                <w:highlight w:val="none"/>
                <w:lang w:eastAsia="zh-CN"/>
              </w:rPr>
              <w:t>的</w:t>
            </w:r>
            <w:r>
              <w:rPr>
                <w:rFonts w:hint="eastAsia" w:ascii="Times New Roman" w:hAnsi="Times New Roman" w:cs="宋体"/>
                <w:color w:val="auto"/>
                <w:kern w:val="0"/>
                <w:sz w:val="21"/>
                <w:szCs w:val="21"/>
                <w:highlight w:val="none"/>
              </w:rPr>
              <w:t>科学性、完整性、可操作性，综合比较打分</w:t>
            </w:r>
            <w:r>
              <w:rPr>
                <w:rFonts w:hint="eastAsia" w:ascii="Times New Roman" w:hAnsi="Times New Roman" w:cs="宋体"/>
                <w:color w:val="auto"/>
                <w:kern w:val="0"/>
                <w:sz w:val="21"/>
                <w:szCs w:val="21"/>
                <w:highlight w:val="none"/>
                <w:lang w:eastAsia="zh-CN"/>
              </w:rPr>
              <w:t>。</w:t>
            </w:r>
          </w:p>
          <w:p w14:paraId="4504244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优秀得7-10分</w:t>
            </w:r>
          </w:p>
          <w:p w14:paraId="1E6AA8D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一般得4-6分</w:t>
            </w:r>
          </w:p>
          <w:p w14:paraId="3E366E1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较差得0-3分</w:t>
            </w:r>
          </w:p>
        </w:tc>
      </w:tr>
      <w:tr w14:paraId="7C01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2135"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077567B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318" w:type="dxa"/>
            <w:gridSpan w:val="2"/>
            <w:tcBorders>
              <w:top w:val="single" w:color="auto" w:sz="4" w:space="0"/>
              <w:left w:val="single" w:color="auto" w:sz="4" w:space="0"/>
              <w:bottom w:val="single" w:color="auto" w:sz="4" w:space="0"/>
              <w:right w:val="single" w:color="auto" w:sz="4" w:space="0"/>
            </w:tcBorders>
            <w:noWrap/>
            <w:vAlign w:val="center"/>
          </w:tcPr>
          <w:p w14:paraId="2F1D693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326" w:type="dxa"/>
            <w:gridSpan w:val="6"/>
            <w:tcBorders>
              <w:top w:val="single" w:color="auto" w:sz="4" w:space="0"/>
              <w:left w:val="single" w:color="auto" w:sz="4" w:space="0"/>
              <w:bottom w:val="single" w:color="auto" w:sz="4" w:space="0"/>
              <w:right w:val="single" w:color="auto" w:sz="4" w:space="0"/>
            </w:tcBorders>
            <w:noWrap/>
          </w:tcPr>
          <w:p w14:paraId="199F4C3E">
            <w:pPr>
              <w:spacing w:line="240" w:lineRule="auto"/>
              <w:ind w:firstLine="0" w:firstLineChars="0"/>
              <w:jc w:val="left"/>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1.初步评审前，按本章第3.1.3项的规定对参选报价有算术性错误的进行算术性错误修正。</w:t>
            </w:r>
          </w:p>
          <w:p w14:paraId="2C6C4961">
            <w:pPr>
              <w:spacing w:line="240" w:lineRule="auto"/>
              <w:ind w:firstLine="0" w:firstLineChars="0"/>
              <w:jc w:val="left"/>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w:t>
            </w:r>
            <w:r>
              <w:rPr>
                <w:rFonts w:hint="eastAsia" w:ascii="Times New Roman" w:hAnsi="Times New Roman" w:eastAsia="宋体" w:cs="宋体"/>
                <w:bCs w:val="0"/>
                <w:color w:val="auto"/>
                <w:kern w:val="0"/>
                <w:sz w:val="21"/>
                <w:szCs w:val="21"/>
                <w:highlight w:val="none"/>
              </w:rPr>
              <w:t>评审委员会对参选文件进行初步评审。</w:t>
            </w:r>
          </w:p>
          <w:p w14:paraId="66E5F204">
            <w:pPr>
              <w:spacing w:line="240" w:lineRule="auto"/>
              <w:ind w:firstLine="0" w:firstLineChars="0"/>
              <w:jc w:val="left"/>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2.初步评审合格的参选文件进行参选报价、商务部分</w:t>
            </w:r>
            <w:r>
              <w:rPr>
                <w:rFonts w:hint="eastAsia" w:ascii="Times New Roman" w:hAnsi="Times New Roman" w:eastAsia="宋体" w:cs="宋体"/>
                <w:color w:val="auto"/>
                <w:kern w:val="0"/>
                <w:sz w:val="21"/>
                <w:szCs w:val="21"/>
                <w:highlight w:val="none"/>
                <w:lang w:eastAsia="zh-CN"/>
              </w:rPr>
              <w:t>、技术部分</w:t>
            </w:r>
            <w:r>
              <w:rPr>
                <w:rFonts w:hint="eastAsia" w:ascii="Times New Roman" w:hAnsi="Times New Roman" w:eastAsia="宋体" w:cs="宋体"/>
                <w:color w:val="auto"/>
                <w:kern w:val="0"/>
                <w:sz w:val="21"/>
                <w:szCs w:val="21"/>
                <w:highlight w:val="none"/>
              </w:rPr>
              <w:t>的评分。主观评审部分由各专家独立评审打分，最后取平均得分，保留2位小数。</w:t>
            </w:r>
          </w:p>
          <w:p w14:paraId="6D18B3A2">
            <w:pPr>
              <w:spacing w:line="240" w:lineRule="auto"/>
              <w:ind w:firstLine="0" w:firstLineChars="0"/>
              <w:jc w:val="left"/>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3.</w:t>
            </w:r>
            <w:r>
              <w:rPr>
                <w:rFonts w:hint="eastAsia" w:ascii="Times New Roman" w:hAnsi="Times New Roman" w:eastAsia="宋体" w:cs="宋体"/>
                <w:bCs w:val="0"/>
                <w:color w:val="auto"/>
                <w:kern w:val="0"/>
                <w:sz w:val="21"/>
                <w:szCs w:val="21"/>
                <w:highlight w:val="none"/>
              </w:rPr>
              <w:t>评审委员会对初步评审合格的参选文件进行详细评审</w:t>
            </w:r>
            <w:r>
              <w:rPr>
                <w:rFonts w:hint="eastAsia" w:ascii="Times New Roman" w:hAnsi="Times New Roman" w:eastAsia="宋体" w:cs="宋体"/>
                <w:color w:val="auto"/>
                <w:kern w:val="0"/>
                <w:sz w:val="21"/>
                <w:szCs w:val="21"/>
                <w:highlight w:val="none"/>
              </w:rPr>
              <w:t>.根据综合得分由高至低进行排序，推荐1-3家合格的中选候选人。并依次为第一、二、三中选候选人。</w:t>
            </w:r>
          </w:p>
        </w:tc>
      </w:tr>
      <w:tr w14:paraId="5B31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4" w:type="dxa"/>
          <w:cantSplit/>
          <w:trHeight w:val="562" w:hRule="atLeast"/>
          <w:jc w:val="center"/>
        </w:trPr>
        <w:tc>
          <w:tcPr>
            <w:tcW w:w="2138" w:type="dxa"/>
            <w:gridSpan w:val="3"/>
            <w:tcBorders>
              <w:top w:val="single" w:color="auto" w:sz="4" w:space="0"/>
              <w:left w:val="single" w:color="auto" w:sz="4" w:space="0"/>
              <w:bottom w:val="single" w:color="auto" w:sz="4" w:space="0"/>
              <w:right w:val="single" w:color="auto" w:sz="4" w:space="0"/>
            </w:tcBorders>
            <w:noWrap/>
            <w:vAlign w:val="center"/>
          </w:tcPr>
          <w:p w14:paraId="06CAA28C">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3.2.3</w:t>
            </w:r>
          </w:p>
        </w:tc>
        <w:tc>
          <w:tcPr>
            <w:tcW w:w="1401" w:type="dxa"/>
            <w:gridSpan w:val="2"/>
            <w:tcBorders>
              <w:top w:val="single" w:color="auto" w:sz="4" w:space="0"/>
              <w:left w:val="single" w:color="auto" w:sz="4" w:space="0"/>
              <w:bottom w:val="single" w:color="auto" w:sz="4" w:space="0"/>
              <w:right w:val="single" w:color="auto" w:sz="4" w:space="0"/>
            </w:tcBorders>
            <w:noWrap/>
            <w:vAlign w:val="center"/>
          </w:tcPr>
          <w:p w14:paraId="43AE812C">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参选人得分</w:t>
            </w:r>
          </w:p>
        </w:tc>
        <w:tc>
          <w:tcPr>
            <w:tcW w:w="5925" w:type="dxa"/>
            <w:gridSpan w:val="4"/>
            <w:tcBorders>
              <w:top w:val="single" w:color="auto" w:sz="4" w:space="0"/>
              <w:left w:val="single" w:color="auto" w:sz="4" w:space="0"/>
              <w:bottom w:val="single" w:color="auto" w:sz="4" w:space="0"/>
              <w:right w:val="single" w:color="auto" w:sz="4" w:space="0"/>
            </w:tcBorders>
            <w:noWrap/>
            <w:vAlign w:val="center"/>
          </w:tcPr>
          <w:p w14:paraId="7F03A5E2">
            <w:pPr>
              <w:spacing w:line="360" w:lineRule="auto"/>
              <w:ind w:firstLine="0" w:firstLineChars="0"/>
              <w:jc w:val="center"/>
              <w:rPr>
                <w:rFonts w:hint="default" w:ascii="Times New Roman" w:hAnsi="Times New Roman" w:eastAsia="宋体" w:cs="宋体"/>
                <w:sz w:val="21"/>
                <w:szCs w:val="21"/>
                <w:highlight w:val="none"/>
                <w:lang w:val="en-US" w:eastAsia="zh-CN"/>
              </w:rPr>
            </w:pPr>
            <w:r>
              <w:rPr>
                <w:rFonts w:hint="eastAsia" w:ascii="Times New Roman" w:hAnsi="Times New Roman" w:cs="宋体"/>
                <w:sz w:val="21"/>
                <w:szCs w:val="21"/>
                <w:highlight w:val="none"/>
              </w:rPr>
              <w:t>参选人得分=</w:t>
            </w:r>
            <w:r>
              <w:rPr>
                <w:rFonts w:hint="eastAsia" w:ascii="Times New Roman" w:hAnsi="Times New Roman" w:cs="宋体"/>
                <w:sz w:val="21"/>
                <w:szCs w:val="21"/>
                <w:highlight w:val="none"/>
                <w:lang w:val="en-US" w:eastAsia="zh-CN"/>
              </w:rPr>
              <w:t>商务部分得分+技术部分得分</w:t>
            </w:r>
          </w:p>
        </w:tc>
      </w:tr>
      <w:bookmarkEnd w:id="73"/>
    </w:tbl>
    <w:p w14:paraId="6F4EF3E4">
      <w:pPr>
        <w:rPr>
          <w:rFonts w:ascii="Times New Roman" w:hAnsi="Times New Roman" w:cs="宋体"/>
          <w:snapToGrid w:val="0"/>
          <w:sz w:val="21"/>
          <w:szCs w:val="21"/>
          <w:highlight w:val="none"/>
        </w:rPr>
      </w:pPr>
      <w:bookmarkStart w:id="74" w:name="_Toc636"/>
      <w:bookmarkStart w:id="75" w:name="_Toc21111"/>
      <w:r>
        <w:rPr>
          <w:rFonts w:hint="eastAsia" w:ascii="Times New Roman" w:hAnsi="Times New Roman" w:cs="宋体"/>
          <w:snapToGrid w:val="0"/>
          <w:sz w:val="21"/>
          <w:szCs w:val="21"/>
          <w:highlight w:val="none"/>
        </w:rPr>
        <w:br w:type="page"/>
      </w:r>
    </w:p>
    <w:p w14:paraId="54637DE0">
      <w:pPr>
        <w:pStyle w:val="3"/>
        <w:rPr>
          <w:rFonts w:ascii="Times New Roman" w:hAnsi="Times New Roman"/>
          <w:highlight w:val="none"/>
        </w:rPr>
      </w:pPr>
      <w:bookmarkStart w:id="76" w:name="_Toc27234"/>
      <w:bookmarkStart w:id="77" w:name="_Toc18283"/>
      <w:bookmarkStart w:id="78" w:name="_Toc28684"/>
      <w:r>
        <w:rPr>
          <w:rFonts w:hint="eastAsia" w:ascii="Times New Roman" w:hAnsi="Times New Roman"/>
          <w:highlight w:val="none"/>
        </w:rPr>
        <w:t>1. 评审方法</w:t>
      </w:r>
    </w:p>
    <w:p w14:paraId="362F7D5B">
      <w:pPr>
        <w:rPr>
          <w:rFonts w:ascii="Times New Roman" w:hAnsi="Times New Roman"/>
          <w:highlight w:val="none"/>
        </w:rPr>
      </w:pPr>
      <w:bookmarkStart w:id="79" w:name="_Toc377115419"/>
      <w:bookmarkStart w:id="80" w:name="_Toc200513199"/>
      <w:bookmarkStart w:id="81" w:name="_Toc407195379"/>
      <w:bookmarkStart w:id="82" w:name="_Toc440022827"/>
      <w:bookmarkStart w:id="83" w:name="_Toc287620752"/>
      <w:bookmarkStart w:id="84" w:name="_Toc277082619"/>
      <w:bookmarkStart w:id="85" w:name="_Toc224103385"/>
      <w:bookmarkStart w:id="86" w:name="_Toc377067339"/>
      <w:bookmarkStart w:id="87" w:name="_Toc287607813"/>
      <w:bookmarkStart w:id="88" w:name="_Toc330569206"/>
      <w:bookmarkStart w:id="89" w:name="_Toc376114120"/>
      <w:r>
        <w:rPr>
          <w:rFonts w:hint="eastAsia" w:ascii="Times New Roman" w:hAnsi="Times New Roman"/>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13FF277A">
      <w:pPr>
        <w:pStyle w:val="3"/>
        <w:rPr>
          <w:rFonts w:ascii="Times New Roman" w:hAnsi="Times New Roman"/>
          <w:highlight w:val="none"/>
        </w:rPr>
      </w:pPr>
      <w:bookmarkStart w:id="90" w:name="_Toc765"/>
      <w:bookmarkStart w:id="91" w:name="_Toc5950"/>
      <w:bookmarkStart w:id="92" w:name="_Toc27931"/>
      <w:bookmarkStart w:id="93" w:name="_Toc444155968"/>
      <w:bookmarkStart w:id="94" w:name="_Toc2274"/>
      <w:bookmarkStart w:id="95" w:name="_Toc31615"/>
      <w:bookmarkStart w:id="96" w:name="_Toc27406"/>
      <w:bookmarkStart w:id="97" w:name="_Toc16716"/>
      <w:bookmarkStart w:id="98" w:name="_Toc23969"/>
      <w:r>
        <w:rPr>
          <w:rFonts w:hint="eastAsia" w:ascii="Times New Roman" w:hAnsi="Times New Roman"/>
          <w:highlight w:val="none"/>
        </w:rPr>
        <w:t>2. 评审标准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E4FA4E5">
      <w:pPr>
        <w:pStyle w:val="4"/>
        <w:rPr>
          <w:rFonts w:ascii="Times New Roman" w:hAnsi="Times New Roman"/>
          <w:highlight w:val="none"/>
        </w:rPr>
      </w:pPr>
      <w:bookmarkStart w:id="99" w:name="_Toc21593"/>
      <w:bookmarkStart w:id="100" w:name="_Toc377067340"/>
      <w:bookmarkStart w:id="101" w:name="_Toc11839"/>
      <w:bookmarkStart w:id="102" w:name="_Toc330569207"/>
      <w:bookmarkStart w:id="103" w:name="_Toc444155969"/>
      <w:bookmarkStart w:id="104" w:name="_Toc376114121"/>
      <w:bookmarkStart w:id="105" w:name="_Toc224103386"/>
      <w:bookmarkStart w:id="106" w:name="_Toc287620753"/>
      <w:bookmarkStart w:id="107" w:name="_Toc1358"/>
      <w:bookmarkStart w:id="108" w:name="_Toc7584"/>
      <w:bookmarkStart w:id="109" w:name="_Toc10533"/>
      <w:bookmarkStart w:id="110" w:name="_Toc287607814"/>
      <w:bookmarkStart w:id="111" w:name="_Toc440022828"/>
      <w:bookmarkStart w:id="112" w:name="_Toc277082620"/>
      <w:bookmarkStart w:id="113" w:name="_Toc377115420"/>
      <w:bookmarkStart w:id="114" w:name="_Toc16537"/>
      <w:bookmarkStart w:id="115" w:name="_Toc407195380"/>
      <w:bookmarkStart w:id="116" w:name="_Toc23425"/>
      <w:bookmarkStart w:id="117" w:name="_Toc200513200"/>
      <w:r>
        <w:rPr>
          <w:rFonts w:hint="eastAsia" w:ascii="Times New Roman" w:hAnsi="Times New Roman"/>
          <w:highlight w:val="none"/>
        </w:rPr>
        <w:t>2.1 初步评审标准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E2663DC">
      <w:pPr>
        <w:rPr>
          <w:rFonts w:ascii="Times New Roman" w:hAnsi="Times New Roman"/>
          <w:highlight w:val="none"/>
        </w:rPr>
      </w:pPr>
      <w:r>
        <w:rPr>
          <w:rFonts w:hint="eastAsia" w:ascii="Times New Roman" w:hAnsi="Times New Roman"/>
          <w:highlight w:val="none"/>
        </w:rPr>
        <w:t>2.1.1 资格评审标准：见评审办法前附表。</w:t>
      </w:r>
    </w:p>
    <w:p w14:paraId="2963FD39">
      <w:pPr>
        <w:rPr>
          <w:rFonts w:ascii="Times New Roman" w:hAnsi="Times New Roman"/>
          <w:highlight w:val="none"/>
        </w:rPr>
      </w:pPr>
      <w:r>
        <w:rPr>
          <w:rFonts w:hint="eastAsia" w:ascii="Times New Roman" w:hAnsi="Times New Roman"/>
          <w:highlight w:val="none"/>
        </w:rPr>
        <w:t>2.1.2 形式评审标准：见评审办法前附表。</w:t>
      </w:r>
    </w:p>
    <w:p w14:paraId="011E7C59">
      <w:pPr>
        <w:rPr>
          <w:rFonts w:ascii="Times New Roman" w:hAnsi="Times New Roman"/>
          <w:highlight w:val="none"/>
        </w:rPr>
      </w:pPr>
      <w:r>
        <w:rPr>
          <w:rFonts w:hint="eastAsia" w:ascii="Times New Roman" w:hAnsi="Times New Roman"/>
          <w:highlight w:val="none"/>
        </w:rPr>
        <w:t>2.1.3 响应性评审标准：见评审办法前附表。</w:t>
      </w:r>
    </w:p>
    <w:p w14:paraId="55EAB16C">
      <w:pPr>
        <w:pStyle w:val="4"/>
        <w:rPr>
          <w:rFonts w:ascii="Times New Roman" w:hAnsi="Times New Roman"/>
          <w:highlight w:val="none"/>
        </w:rPr>
      </w:pPr>
      <w:bookmarkStart w:id="118" w:name="_Toc287607815"/>
      <w:bookmarkStart w:id="119" w:name="_Toc200513201"/>
      <w:bookmarkStart w:id="120" w:name="_Toc9090"/>
      <w:bookmarkStart w:id="121" w:name="_Toc2340"/>
      <w:bookmarkStart w:id="122" w:name="_Toc20840"/>
      <w:bookmarkStart w:id="123" w:name="_Toc224103387"/>
      <w:bookmarkStart w:id="124" w:name="_Toc277082621"/>
      <w:bookmarkStart w:id="125" w:name="_Toc444155970"/>
      <w:bookmarkStart w:id="126" w:name="_Toc6503"/>
      <w:bookmarkStart w:id="127" w:name="_Toc376114122"/>
      <w:bookmarkStart w:id="128" w:name="_Toc377067341"/>
      <w:bookmarkStart w:id="129" w:name="_Toc287620754"/>
      <w:bookmarkStart w:id="130" w:name="_Toc440022829"/>
      <w:bookmarkStart w:id="131" w:name="_Toc330569208"/>
      <w:bookmarkStart w:id="132" w:name="_Toc25129"/>
      <w:bookmarkStart w:id="133" w:name="_Toc377115421"/>
      <w:bookmarkStart w:id="134" w:name="_Toc1387"/>
      <w:bookmarkStart w:id="135" w:name="_Toc23296"/>
      <w:bookmarkStart w:id="136" w:name="_Toc407195381"/>
      <w:r>
        <w:rPr>
          <w:rFonts w:hint="eastAsia" w:ascii="Times New Roman" w:hAnsi="Times New Roman"/>
          <w:highlight w:val="none"/>
        </w:rPr>
        <w:t>2.2 分值构成与评分标准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82BFA39">
      <w:pPr>
        <w:rPr>
          <w:rFonts w:ascii="Times New Roman" w:hAnsi="Times New Roman"/>
          <w:highlight w:val="none"/>
        </w:rPr>
      </w:pPr>
      <w:r>
        <w:rPr>
          <w:rFonts w:hint="eastAsia" w:ascii="Times New Roman" w:hAnsi="Times New Roman"/>
          <w:highlight w:val="none"/>
        </w:rPr>
        <w:t xml:space="preserve">2.2.1 分值构成：见评审办法前附表。 </w:t>
      </w:r>
    </w:p>
    <w:p w14:paraId="5559845E">
      <w:pPr>
        <w:rPr>
          <w:rFonts w:ascii="Times New Roman" w:hAnsi="Times New Roman"/>
          <w:highlight w:val="none"/>
        </w:rPr>
      </w:pPr>
      <w:r>
        <w:rPr>
          <w:rFonts w:hint="eastAsia" w:ascii="Times New Roman" w:hAnsi="Times New Roman"/>
          <w:highlight w:val="none"/>
        </w:rPr>
        <w:t>2.2.2 评审基准价计算方法：见评审办法前附表。</w:t>
      </w:r>
    </w:p>
    <w:p w14:paraId="3A0F05E2">
      <w:pPr>
        <w:rPr>
          <w:rFonts w:ascii="Times New Roman" w:hAnsi="Times New Roman"/>
          <w:highlight w:val="none"/>
        </w:rPr>
      </w:pPr>
      <w:r>
        <w:rPr>
          <w:rFonts w:hint="eastAsia" w:ascii="Times New Roman" w:hAnsi="Times New Roman"/>
          <w:highlight w:val="none"/>
        </w:rPr>
        <w:t>2.2.3 评分标准：</w:t>
      </w:r>
    </w:p>
    <w:p w14:paraId="6CD8EC56">
      <w:pPr>
        <w:rPr>
          <w:rFonts w:ascii="Times New Roman" w:hAnsi="Times New Roman"/>
          <w:highlight w:val="none"/>
        </w:rPr>
      </w:pPr>
      <w:r>
        <w:rPr>
          <w:rFonts w:hint="eastAsia" w:ascii="Times New Roman" w:hAnsi="Times New Roman"/>
          <w:highlight w:val="none"/>
        </w:rPr>
        <w:t>（1）参选报价评分标准：见评审办法前附表；</w:t>
      </w:r>
    </w:p>
    <w:p w14:paraId="46664513">
      <w:pPr>
        <w:rPr>
          <w:rFonts w:ascii="Times New Roman" w:hAnsi="Times New Roman"/>
          <w:highlight w:val="none"/>
        </w:rPr>
      </w:pPr>
      <w:r>
        <w:rPr>
          <w:rFonts w:hint="eastAsia" w:ascii="Times New Roman" w:hAnsi="Times New Roman"/>
          <w:highlight w:val="none"/>
        </w:rPr>
        <w:t>（2）商务部分评分标准：见评审办法前附表；</w:t>
      </w:r>
    </w:p>
    <w:p w14:paraId="27BF1EF2">
      <w:pPr>
        <w:pStyle w:val="3"/>
        <w:rPr>
          <w:rFonts w:ascii="Times New Roman" w:hAnsi="Times New Roman"/>
          <w:highlight w:val="none"/>
        </w:rPr>
      </w:pPr>
      <w:bookmarkStart w:id="137" w:name="_Toc377067342"/>
      <w:bookmarkStart w:id="138" w:name="_Toc330569209"/>
      <w:bookmarkStart w:id="139" w:name="_Toc23633"/>
      <w:bookmarkStart w:id="140" w:name="_Toc440022830"/>
      <w:bookmarkStart w:id="141" w:name="_Toc200513202"/>
      <w:bookmarkStart w:id="142" w:name="_Toc444155971"/>
      <w:bookmarkStart w:id="143" w:name="_Toc12538"/>
      <w:bookmarkStart w:id="144" w:name="_Toc14353"/>
      <w:bookmarkStart w:id="145" w:name="_Toc2982"/>
      <w:bookmarkStart w:id="146" w:name="_Toc9488"/>
      <w:bookmarkStart w:id="147" w:name="_Toc5546"/>
      <w:bookmarkStart w:id="148" w:name="_Toc407195382"/>
      <w:bookmarkStart w:id="149" w:name="_Toc377115422"/>
      <w:bookmarkStart w:id="150" w:name="_Toc287620755"/>
      <w:bookmarkStart w:id="151" w:name="_Toc8004"/>
      <w:bookmarkStart w:id="152" w:name="_Toc287607816"/>
      <w:bookmarkStart w:id="153" w:name="_Toc277082622"/>
      <w:bookmarkStart w:id="154" w:name="_Toc376114123"/>
      <w:bookmarkStart w:id="155" w:name="_Toc15132"/>
      <w:bookmarkStart w:id="156" w:name="_Toc224103388"/>
      <w:r>
        <w:rPr>
          <w:rFonts w:hint="eastAsia" w:ascii="Times New Roman" w:hAnsi="Times New Roman"/>
          <w:highlight w:val="none"/>
        </w:rPr>
        <w:t>3. 评审程序</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BD9A2CA">
      <w:pPr>
        <w:pStyle w:val="4"/>
        <w:rPr>
          <w:rFonts w:ascii="Times New Roman" w:hAnsi="Times New Roman"/>
          <w:highlight w:val="none"/>
        </w:rPr>
      </w:pPr>
      <w:bookmarkStart w:id="157" w:name="_Toc376114124"/>
      <w:bookmarkStart w:id="158" w:name="_Toc9683"/>
      <w:bookmarkStart w:id="159" w:name="_Toc22279"/>
      <w:bookmarkStart w:id="160" w:name="_Toc200513203"/>
      <w:bookmarkStart w:id="161" w:name="_Toc287607817"/>
      <w:bookmarkStart w:id="162" w:name="_Toc287620756"/>
      <w:bookmarkStart w:id="163" w:name="_Toc13851"/>
      <w:bookmarkStart w:id="164" w:name="_Toc224103389"/>
      <w:bookmarkStart w:id="165" w:name="_Toc32002"/>
      <w:bookmarkStart w:id="166" w:name="_Toc277082623"/>
      <w:bookmarkStart w:id="167" w:name="_Toc407195383"/>
      <w:bookmarkStart w:id="168" w:name="_Toc377067343"/>
      <w:bookmarkStart w:id="169" w:name="_Toc19840"/>
      <w:bookmarkStart w:id="170" w:name="_Toc377115423"/>
      <w:bookmarkStart w:id="171" w:name="_Toc6448"/>
      <w:bookmarkStart w:id="172" w:name="_Toc330569210"/>
      <w:bookmarkStart w:id="173" w:name="_Toc444155972"/>
      <w:bookmarkStart w:id="174" w:name="_Toc440022831"/>
      <w:bookmarkStart w:id="175" w:name="_Toc5462"/>
      <w:r>
        <w:rPr>
          <w:rFonts w:hint="eastAsia" w:ascii="Times New Roman" w:hAnsi="Times New Roman"/>
          <w:highlight w:val="none"/>
        </w:rPr>
        <w:t>3.1 初步评审</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44AF188">
      <w:pPr>
        <w:rPr>
          <w:rFonts w:ascii="Times New Roman" w:hAnsi="Times New Roman"/>
          <w:highlight w:val="none"/>
        </w:rPr>
      </w:pPr>
      <w:bookmarkStart w:id="176" w:name="_Toc373264792"/>
      <w:bookmarkStart w:id="177" w:name="_Toc331232649"/>
      <w:bookmarkStart w:id="178" w:name="_Toc373172234"/>
      <w:bookmarkStart w:id="179" w:name="_Toc332015984"/>
      <w:bookmarkStart w:id="180" w:name="_Toc376114125"/>
      <w:bookmarkStart w:id="181" w:name="_Toc444155973"/>
      <w:bookmarkStart w:id="182" w:name="_Toc334002333"/>
      <w:bookmarkStart w:id="183" w:name="_Toc407195384"/>
      <w:bookmarkStart w:id="184" w:name="_Toc27164"/>
      <w:bookmarkStart w:id="185" w:name="_Toc332028970"/>
      <w:bookmarkStart w:id="186" w:name="_Toc354387014"/>
      <w:bookmarkStart w:id="187" w:name="_Toc440022832"/>
      <w:bookmarkStart w:id="188" w:name="_Toc356484119"/>
      <w:bookmarkStart w:id="189" w:name="_Toc356243677"/>
      <w:bookmarkStart w:id="190" w:name="_Toc331232467"/>
      <w:bookmarkStart w:id="191" w:name="_Toc377067344"/>
      <w:bookmarkStart w:id="192" w:name="_Toc332380970"/>
      <w:bookmarkStart w:id="193" w:name="_Toc330569211"/>
      <w:bookmarkStart w:id="194" w:name="_Toc377115424"/>
      <w:r>
        <w:rPr>
          <w:rFonts w:hint="eastAsia" w:ascii="Times New Roman" w:hAnsi="Times New Roman"/>
          <w:highlight w:val="none"/>
        </w:rPr>
        <w:t>3.1.1 评审委员会依据本章第2.1 条规定的标准对参选文件进行初步评审。有一项不符合评审标准的，作否决参选处理。</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E491E34">
      <w:pPr>
        <w:rPr>
          <w:rFonts w:ascii="Times New Roman" w:hAnsi="Times New Roman"/>
          <w:highlight w:val="none"/>
        </w:rPr>
      </w:pPr>
      <w:r>
        <w:rPr>
          <w:rFonts w:hint="eastAsia" w:ascii="Times New Roman" w:hAnsi="Times New Roman"/>
          <w:highlight w:val="none"/>
        </w:rPr>
        <w:t>3.1.2 参选人有以下情形之一的，其参选作否决参选处理：</w:t>
      </w:r>
    </w:p>
    <w:p w14:paraId="7E9E4BC0">
      <w:pPr>
        <w:rPr>
          <w:rFonts w:ascii="Times New Roman" w:hAnsi="Times New Roman"/>
          <w:highlight w:val="none"/>
        </w:rPr>
      </w:pPr>
      <w:r>
        <w:rPr>
          <w:rFonts w:hint="eastAsia" w:ascii="Times New Roman" w:hAnsi="Times New Roman"/>
          <w:highlight w:val="none"/>
        </w:rPr>
        <w:t>3.1.2.1 有第二章“参选人须知”第9.条以及第11. 条规定的任何一种情形的；</w:t>
      </w:r>
    </w:p>
    <w:p w14:paraId="764C7434">
      <w:pPr>
        <w:rPr>
          <w:rFonts w:ascii="Times New Roman" w:hAnsi="Times New Roman"/>
          <w:highlight w:val="none"/>
        </w:rPr>
      </w:pPr>
      <w:r>
        <w:rPr>
          <w:rFonts w:hint="eastAsia" w:ascii="Times New Roman" w:hAnsi="Times New Roman"/>
          <w:highlight w:val="none"/>
        </w:rPr>
        <w:t>3.1.2.2 有串通参选、弄虚作假等其他违反相关法律、法规行为的；</w:t>
      </w:r>
    </w:p>
    <w:p w14:paraId="34C7DD3C">
      <w:pPr>
        <w:rPr>
          <w:rFonts w:ascii="Times New Roman" w:hAnsi="Times New Roman"/>
          <w:highlight w:val="none"/>
        </w:rPr>
      </w:pPr>
      <w:r>
        <w:rPr>
          <w:rFonts w:hint="eastAsia" w:ascii="Times New Roman" w:hAnsi="Times New Roman"/>
          <w:highlight w:val="none"/>
        </w:rPr>
        <w:t>3.1.2.3 不按评审委员会要求澄清、说明或补正的。</w:t>
      </w:r>
    </w:p>
    <w:p w14:paraId="53843EEC">
      <w:pPr>
        <w:rPr>
          <w:rFonts w:ascii="Times New Roman" w:hAnsi="Times New Roman"/>
          <w:highlight w:val="none"/>
        </w:rPr>
      </w:pPr>
      <w:r>
        <w:rPr>
          <w:rFonts w:hint="eastAsia" w:ascii="Times New Roman" w:hAnsi="Times New Roman"/>
          <w:highlight w:val="none"/>
        </w:rPr>
        <w:t>3.1.2.4 本参选文件约定的其它情形。</w:t>
      </w:r>
    </w:p>
    <w:p w14:paraId="512A7D6A">
      <w:pPr>
        <w:rPr>
          <w:rFonts w:ascii="Times New Roman" w:hAnsi="Times New Roman"/>
          <w:highlight w:val="none"/>
        </w:rPr>
      </w:pPr>
      <w:r>
        <w:rPr>
          <w:rFonts w:hint="eastAsia" w:ascii="Times New Roman" w:hAnsi="Times New Roman"/>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highlight w:val="none"/>
        </w:rPr>
        <w:t>第二章“</w:t>
      </w:r>
      <w:r>
        <w:rPr>
          <w:rFonts w:hint="eastAsia" w:ascii="Times New Roman" w:hAnsi="Times New Roman"/>
          <w:highlight w:val="none"/>
        </w:rPr>
        <w:t>参选人</w:t>
      </w:r>
      <w:r>
        <w:rPr>
          <w:rFonts w:ascii="Times New Roman" w:hAnsi="Times New Roman"/>
          <w:highlight w:val="none"/>
        </w:rPr>
        <w:t>须知”第</w:t>
      </w:r>
      <w:r>
        <w:rPr>
          <w:rFonts w:hint="eastAsia" w:ascii="Times New Roman" w:hAnsi="Times New Roman"/>
          <w:highlight w:val="none"/>
        </w:rPr>
        <w:t>4.8 条。</w:t>
      </w:r>
    </w:p>
    <w:p w14:paraId="21610693">
      <w:pPr>
        <w:pStyle w:val="4"/>
        <w:rPr>
          <w:rFonts w:ascii="Times New Roman" w:hAnsi="Times New Roman"/>
          <w:highlight w:val="none"/>
        </w:rPr>
      </w:pPr>
      <w:bookmarkStart w:id="195" w:name="_Toc224103390"/>
      <w:bookmarkStart w:id="196" w:name="_Toc7832"/>
      <w:bookmarkStart w:id="197" w:name="_Toc287620757"/>
      <w:bookmarkStart w:id="198" w:name="_Toc440022833"/>
      <w:bookmarkStart w:id="199" w:name="_Toc287607818"/>
      <w:bookmarkStart w:id="200" w:name="_Toc11246"/>
      <w:bookmarkStart w:id="201" w:name="_Toc10847"/>
      <w:bookmarkStart w:id="202" w:name="_Toc377115425"/>
      <w:bookmarkStart w:id="203" w:name="_Toc377067345"/>
      <w:bookmarkStart w:id="204" w:name="_Toc407195385"/>
      <w:bookmarkStart w:id="205" w:name="_Toc22848"/>
      <w:bookmarkStart w:id="206" w:name="_Toc444155974"/>
      <w:bookmarkStart w:id="207" w:name="_Toc22246"/>
      <w:bookmarkStart w:id="208" w:name="_Toc330569212"/>
      <w:bookmarkStart w:id="209" w:name="_Toc29925"/>
      <w:bookmarkStart w:id="210" w:name="_Toc277082624"/>
      <w:bookmarkStart w:id="211" w:name="_Toc200513204"/>
      <w:bookmarkStart w:id="212" w:name="_Toc19604"/>
      <w:bookmarkStart w:id="213" w:name="_Toc376114126"/>
      <w:r>
        <w:rPr>
          <w:rFonts w:hint="eastAsia" w:ascii="Times New Roman" w:hAnsi="Times New Roman"/>
          <w:highlight w:val="none"/>
        </w:rPr>
        <w:t>3.2 详细评审</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731DA37F">
      <w:pPr>
        <w:rPr>
          <w:rFonts w:ascii="Times New Roman" w:hAnsi="Times New Roman"/>
          <w:highlight w:val="none"/>
        </w:rPr>
      </w:pPr>
      <w:r>
        <w:rPr>
          <w:rFonts w:hint="eastAsia" w:ascii="Times New Roman" w:hAnsi="Times New Roman"/>
          <w:highlight w:val="none"/>
        </w:rPr>
        <w:t>3.2.1 评审委员会按本章第2.2 条规定的量化因素和分值进行打分，并计算出综合评估得分。</w:t>
      </w:r>
    </w:p>
    <w:p w14:paraId="3EA9107B">
      <w:pPr>
        <w:rPr>
          <w:rFonts w:ascii="Times New Roman" w:hAnsi="Times New Roman"/>
          <w:highlight w:val="none"/>
        </w:rPr>
      </w:pPr>
      <w:r>
        <w:rPr>
          <w:rFonts w:hint="eastAsia" w:ascii="Times New Roman" w:hAnsi="Times New Roman"/>
          <w:highlight w:val="none"/>
        </w:rPr>
        <w:t>3.2.1.1 按本章第2.2 条规定的评审因素和分值对参选报价计算出得分；</w:t>
      </w:r>
    </w:p>
    <w:p w14:paraId="14420E19">
      <w:pPr>
        <w:rPr>
          <w:rFonts w:ascii="Times New Roman" w:hAnsi="Times New Roman"/>
          <w:highlight w:val="none"/>
        </w:rPr>
      </w:pPr>
      <w:r>
        <w:rPr>
          <w:rFonts w:hint="eastAsia" w:ascii="Times New Roman" w:hAnsi="Times New Roman"/>
          <w:highlight w:val="none"/>
        </w:rPr>
        <w:t>3.2.1.2 按本章第2.2 条规定的评审因素和分值对商务部分计算出得分（评审委员会统一打分）；</w:t>
      </w:r>
    </w:p>
    <w:p w14:paraId="3BB2D36A">
      <w:pPr>
        <w:rPr>
          <w:rFonts w:ascii="Times New Roman" w:hAnsi="Times New Roman"/>
          <w:highlight w:val="none"/>
        </w:rPr>
      </w:pPr>
      <w:r>
        <w:rPr>
          <w:rFonts w:hint="eastAsia" w:ascii="Times New Roman" w:hAnsi="Times New Roman"/>
          <w:highlight w:val="none"/>
        </w:rPr>
        <w:t>3.2.2 评分分值计算保留小数点后两位，小数点后第三位“四舍五入”。</w:t>
      </w:r>
    </w:p>
    <w:p w14:paraId="39DCD709">
      <w:pPr>
        <w:rPr>
          <w:rFonts w:ascii="Times New Roman" w:hAnsi="Times New Roman"/>
          <w:highlight w:val="none"/>
        </w:rPr>
      </w:pPr>
      <w:r>
        <w:rPr>
          <w:rFonts w:hint="eastAsia" w:ascii="Times New Roman" w:hAnsi="Times New Roman"/>
          <w:highlight w:val="none"/>
        </w:rPr>
        <w:t>3.2.3 参选人得分=参选报价得分+商务部分得分。</w:t>
      </w:r>
    </w:p>
    <w:p w14:paraId="3822D4FE">
      <w:pPr>
        <w:pStyle w:val="4"/>
        <w:rPr>
          <w:rFonts w:ascii="Times New Roman" w:hAnsi="Times New Roman"/>
          <w:highlight w:val="none"/>
        </w:rPr>
      </w:pPr>
      <w:bookmarkStart w:id="214" w:name="_Toc200513205"/>
      <w:bookmarkStart w:id="215" w:name="_Toc407195386"/>
      <w:bookmarkStart w:id="216" w:name="_Toc444155975"/>
      <w:bookmarkStart w:id="217" w:name="_Toc7176"/>
      <w:bookmarkStart w:id="218" w:name="_Toc440022834"/>
      <w:bookmarkStart w:id="219" w:name="_Toc20948"/>
      <w:bookmarkStart w:id="220" w:name="_Toc377067346"/>
      <w:bookmarkStart w:id="221" w:name="_Toc287607819"/>
      <w:bookmarkStart w:id="222" w:name="_Toc330569213"/>
      <w:bookmarkStart w:id="223" w:name="_Toc376114127"/>
      <w:bookmarkStart w:id="224" w:name="_Toc29261"/>
      <w:bookmarkStart w:id="225" w:name="_Toc224103391"/>
      <w:bookmarkStart w:id="226" w:name="_Toc377115426"/>
      <w:bookmarkStart w:id="227" w:name="_Toc287620758"/>
      <w:bookmarkStart w:id="228" w:name="_Toc32039"/>
      <w:bookmarkStart w:id="229" w:name="_Toc2542"/>
      <w:bookmarkStart w:id="230" w:name="_Toc1080"/>
      <w:bookmarkStart w:id="231" w:name="_Toc277082625"/>
      <w:bookmarkStart w:id="232" w:name="_Toc18708"/>
      <w:r>
        <w:rPr>
          <w:rFonts w:hint="eastAsia" w:ascii="Times New Roman" w:hAnsi="Times New Roman"/>
          <w:highlight w:val="none"/>
        </w:rPr>
        <w:t>3.3 参选文件的澄清和补正</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E30FE11">
      <w:pPr>
        <w:rPr>
          <w:rFonts w:ascii="Times New Roman" w:hAnsi="Times New Roman"/>
          <w:highlight w:val="none"/>
        </w:rPr>
      </w:pPr>
      <w:r>
        <w:rPr>
          <w:rFonts w:hint="eastAsia" w:ascii="Times New Roman" w:hAnsi="Times New Roman"/>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7F6FE0B3">
      <w:pPr>
        <w:rPr>
          <w:rFonts w:ascii="Times New Roman" w:hAnsi="Times New Roman"/>
          <w:highlight w:val="none"/>
        </w:rPr>
      </w:pPr>
      <w:r>
        <w:rPr>
          <w:rFonts w:hint="eastAsia" w:ascii="Times New Roman" w:hAnsi="Times New Roman"/>
          <w:highlight w:val="none"/>
        </w:rPr>
        <w:t>3.3.2 澄清、说明和补正不得改变参选文件的实质性内容（算术性错误修正的除外）。参选人的书面澄清、说明和补正属于参选文件的组成部分。</w:t>
      </w:r>
    </w:p>
    <w:p w14:paraId="509B8103">
      <w:pPr>
        <w:rPr>
          <w:rFonts w:ascii="Times New Roman" w:hAnsi="Times New Roman"/>
          <w:highlight w:val="none"/>
        </w:rPr>
      </w:pPr>
      <w:r>
        <w:rPr>
          <w:rFonts w:hint="eastAsia" w:ascii="Times New Roman" w:hAnsi="Times New Roman"/>
          <w:highlight w:val="none"/>
        </w:rPr>
        <w:t>3.3.3 评审委员会对参选人提交的澄清、说明或补正有疑问的，可以要求参选人进一步澄清、说明或补正，直至满足评审委员会的要求。</w:t>
      </w:r>
    </w:p>
    <w:p w14:paraId="5F71CC68">
      <w:pPr>
        <w:pStyle w:val="4"/>
        <w:rPr>
          <w:rFonts w:ascii="Times New Roman" w:hAnsi="Times New Roman"/>
          <w:highlight w:val="none"/>
        </w:rPr>
      </w:pPr>
      <w:bookmarkStart w:id="233" w:name="_Toc30672"/>
      <w:bookmarkStart w:id="234" w:name="_Toc14840"/>
      <w:bookmarkStart w:id="235" w:name="_Toc6310"/>
      <w:bookmarkStart w:id="236" w:name="_Toc21450"/>
      <w:bookmarkStart w:id="237" w:name="_Toc19054"/>
      <w:bookmarkStart w:id="238" w:name="_Toc287620759"/>
      <w:bookmarkStart w:id="239" w:name="_Toc407195387"/>
      <w:bookmarkStart w:id="240" w:name="_Toc440022835"/>
      <w:bookmarkStart w:id="241" w:name="_Toc330569214"/>
      <w:bookmarkStart w:id="242" w:name="_Toc200513206"/>
      <w:bookmarkStart w:id="243" w:name="_Toc224103392"/>
      <w:bookmarkStart w:id="244" w:name="_Toc377115427"/>
      <w:bookmarkStart w:id="245" w:name="_Toc277082626"/>
      <w:bookmarkStart w:id="246" w:name="_Toc287607820"/>
      <w:bookmarkStart w:id="247" w:name="_Toc377067347"/>
      <w:bookmarkStart w:id="248" w:name="_Toc444155976"/>
      <w:bookmarkStart w:id="249" w:name="_Toc376114128"/>
      <w:bookmarkStart w:id="250" w:name="_Toc4814"/>
      <w:bookmarkStart w:id="251" w:name="_Toc31270"/>
      <w:r>
        <w:rPr>
          <w:rFonts w:hint="eastAsia" w:ascii="Times New Roman" w:hAnsi="Times New Roman"/>
          <w:highlight w:val="none"/>
        </w:rPr>
        <w:t>3.4 评审结果</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0A14AAE">
      <w:pPr>
        <w:rPr>
          <w:rFonts w:ascii="Times New Roman" w:hAnsi="Times New Roman"/>
          <w:highlight w:val="none"/>
        </w:rPr>
      </w:pPr>
      <w:r>
        <w:rPr>
          <w:rFonts w:hint="eastAsia" w:ascii="Times New Roman" w:hAnsi="Times New Roman"/>
          <w:highlight w:val="none"/>
        </w:rPr>
        <w:t>3.4.1 评审委员会按照得分由高到低的顺序推荐中选候选人。</w:t>
      </w:r>
    </w:p>
    <w:p w14:paraId="75BCD735">
      <w:pPr>
        <w:rPr>
          <w:rFonts w:ascii="Times New Roman" w:hAnsi="Times New Roman"/>
          <w:highlight w:val="none"/>
        </w:rPr>
      </w:pPr>
      <w:r>
        <w:rPr>
          <w:rFonts w:hint="eastAsia" w:ascii="Times New Roman" w:hAnsi="Times New Roman"/>
          <w:highlight w:val="none"/>
        </w:rPr>
        <w:t>3.4.2 评审委员会完成评审后，应当向比选人提交书面评审报告。</w:t>
      </w:r>
    </w:p>
    <w:p w14:paraId="2DD69AF8">
      <w:pPr>
        <w:rPr>
          <w:rFonts w:ascii="Times New Roman" w:hAnsi="Times New Roman"/>
          <w:highlight w:val="none"/>
        </w:rPr>
      </w:pPr>
      <w:r>
        <w:rPr>
          <w:rFonts w:hint="eastAsia" w:ascii="Times New Roman" w:hAnsi="Times New Roman"/>
          <w:highlight w:val="none"/>
        </w:rPr>
        <w:t>3.4.3 有效参选不足两个的，经评审委员会判定，参选人具有相对行业竞争力的，可继续进行评审。</w:t>
      </w:r>
    </w:p>
    <w:p w14:paraId="469AD8E3">
      <w:pPr>
        <w:pStyle w:val="4"/>
        <w:rPr>
          <w:rFonts w:ascii="Times New Roman" w:hAnsi="Times New Roman"/>
          <w:highlight w:val="none"/>
        </w:rPr>
      </w:pPr>
      <w:r>
        <w:rPr>
          <w:rFonts w:hint="eastAsia" w:ascii="Times New Roman" w:hAnsi="Times New Roman"/>
          <w:highlight w:val="none"/>
        </w:rPr>
        <w:t>3.5 对评审委员会成员的纪律要求</w:t>
      </w:r>
    </w:p>
    <w:p w14:paraId="248899C8">
      <w:pPr>
        <w:rPr>
          <w:rFonts w:ascii="Times New Roman" w:hAnsi="Times New Roman"/>
          <w:highlight w:val="none"/>
        </w:rPr>
      </w:pPr>
      <w:r>
        <w:rPr>
          <w:rFonts w:hint="eastAsia" w:ascii="Times New Roman" w:hAnsi="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8F1738D">
      <w:pPr>
        <w:pStyle w:val="4"/>
        <w:rPr>
          <w:rFonts w:ascii="Times New Roman" w:hAnsi="Times New Roman"/>
          <w:highlight w:val="none"/>
        </w:rPr>
      </w:pPr>
      <w:r>
        <w:rPr>
          <w:rFonts w:hint="eastAsia" w:ascii="Times New Roman" w:hAnsi="Times New Roman"/>
          <w:highlight w:val="none"/>
        </w:rPr>
        <w:t>3.6 对与评审活动有关的工作人员的纪律要求</w:t>
      </w:r>
    </w:p>
    <w:p w14:paraId="7D6AB596">
      <w:pPr>
        <w:rPr>
          <w:rFonts w:ascii="Times New Roman" w:hAnsi="Times New Roman"/>
          <w:highlight w:val="none"/>
        </w:rPr>
      </w:pPr>
      <w:r>
        <w:rPr>
          <w:rFonts w:hint="eastAsia" w:ascii="Times New Roman" w:hAnsi="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bookmarkEnd w:id="74"/>
    <w:bookmarkEnd w:id="75"/>
    <w:bookmarkEnd w:id="76"/>
    <w:bookmarkEnd w:id="77"/>
    <w:bookmarkEnd w:id="78"/>
    <w:p w14:paraId="676F4127">
      <w:pPr>
        <w:rPr>
          <w:rFonts w:ascii="Times New Roman" w:hAnsi="Times New Roman"/>
          <w:highlight w:val="none"/>
        </w:rPr>
      </w:pPr>
    </w:p>
    <w:p w14:paraId="1602E71E">
      <w:pPr>
        <w:rPr>
          <w:rFonts w:ascii="Times New Roman" w:hAnsi="Times New Roman"/>
          <w:highlight w:val="none"/>
        </w:rPr>
      </w:pPr>
      <w:bookmarkStart w:id="252" w:name="_Toc150953074"/>
      <w:bookmarkStart w:id="253" w:name="_Toc89675170"/>
      <w:bookmarkStart w:id="254" w:name="_Toc303066034"/>
      <w:r>
        <w:rPr>
          <w:rFonts w:hint="eastAsia" w:ascii="Times New Roman" w:hAnsi="Times New Roman"/>
          <w:highlight w:val="none"/>
        </w:rPr>
        <w:br w:type="page"/>
      </w:r>
    </w:p>
    <w:p w14:paraId="3BAE08E3">
      <w:pPr>
        <w:pStyle w:val="2"/>
        <w:rPr>
          <w:rFonts w:ascii="Times New Roman" w:hAnsi="Times New Roman"/>
          <w:highlight w:val="none"/>
        </w:rPr>
      </w:pPr>
      <w:bookmarkStart w:id="255" w:name="_Toc82451611"/>
      <w:bookmarkStart w:id="256" w:name="_Toc6341"/>
      <w:r>
        <w:rPr>
          <w:rFonts w:hint="eastAsia" w:ascii="Times New Roman" w:hAnsi="Times New Roman"/>
          <w:highlight w:val="none"/>
        </w:rPr>
        <w:t>第五章 合同</w:t>
      </w:r>
      <w:r>
        <w:rPr>
          <w:rFonts w:ascii="Times New Roman" w:hAnsi="Times New Roman"/>
          <w:highlight w:val="none"/>
        </w:rPr>
        <w:t>模板</w:t>
      </w:r>
      <w:bookmarkEnd w:id="252"/>
      <w:bookmarkEnd w:id="255"/>
      <w:bookmarkEnd w:id="256"/>
    </w:p>
    <w:p w14:paraId="495FC2BA">
      <w:pPr>
        <w:ind w:firstLine="0" w:firstLineChars="0"/>
        <w:jc w:val="center"/>
        <w:rPr>
          <w:rFonts w:hint="eastAsia" w:ascii="Times New Roman" w:hAnsi="Times New Roman"/>
          <w:highlight w:val="none"/>
        </w:rPr>
      </w:pPr>
      <w:r>
        <w:rPr>
          <w:rFonts w:hint="eastAsia" w:ascii="Times New Roman" w:hAnsi="Times New Roman"/>
          <w:highlight w:val="none"/>
        </w:rPr>
        <w:t>（本章节的合同条款及格式仅供参考，具体以合同签订时为准）</w:t>
      </w:r>
    </w:p>
    <w:p w14:paraId="735964D4">
      <w:pPr>
        <w:pStyle w:val="35"/>
        <w:snapToGrid w:val="0"/>
        <w:spacing w:before="0" w:beforeLines="0" w:beforeAutospacing="0" w:after="0" w:afterAutospacing="0" w:line="520" w:lineRule="exact"/>
        <w:ind w:firstLine="0" w:firstLineChars="0"/>
        <w:jc w:val="right"/>
        <w:rPr>
          <w:rFonts w:hint="eastAsia"/>
          <w:sz w:val="44"/>
          <w:highlight w:val="none"/>
        </w:rPr>
      </w:pPr>
      <w:r>
        <w:rPr>
          <w:rFonts w:hint="eastAsia"/>
          <w:sz w:val="28"/>
          <w:highlight w:val="none"/>
        </w:rPr>
        <w:t>编号：SXYH</w:t>
      </w:r>
      <w:r>
        <w:rPr>
          <w:rFonts w:hint="eastAsia"/>
          <w:color w:val="FF0000"/>
          <w:sz w:val="28"/>
          <w:highlight w:val="none"/>
        </w:rPr>
        <w:t>2022</w:t>
      </w:r>
      <w:r>
        <w:rPr>
          <w:sz w:val="28"/>
          <w:highlight w:val="none"/>
        </w:rPr>
        <w:t>0101018</w:t>
      </w:r>
      <w:r>
        <w:rPr>
          <w:rFonts w:hint="eastAsia"/>
          <w:sz w:val="28"/>
          <w:highlight w:val="none"/>
        </w:rPr>
        <w:t>___</w:t>
      </w:r>
    </w:p>
    <w:p w14:paraId="509EC7D3">
      <w:pPr>
        <w:pStyle w:val="35"/>
        <w:snapToGrid w:val="0"/>
        <w:spacing w:before="0" w:beforeLines="0" w:beforeAutospacing="0" w:after="0" w:afterAutospacing="0" w:line="520" w:lineRule="exact"/>
        <w:ind w:firstLine="0" w:firstLineChars="0"/>
        <w:jc w:val="center"/>
        <w:rPr>
          <w:rFonts w:hint="eastAsia"/>
          <w:b/>
          <w:sz w:val="44"/>
          <w:highlight w:val="none"/>
        </w:rPr>
      </w:pPr>
    </w:p>
    <w:p w14:paraId="58BFBA54">
      <w:pPr>
        <w:pStyle w:val="35"/>
        <w:snapToGrid w:val="0"/>
        <w:spacing w:before="0" w:beforeLines="0" w:beforeAutospacing="0" w:after="0" w:afterAutospacing="0" w:line="520" w:lineRule="exact"/>
        <w:ind w:firstLine="0" w:firstLineChars="0"/>
        <w:jc w:val="center"/>
        <w:rPr>
          <w:rFonts w:hint="eastAsia"/>
          <w:b/>
          <w:sz w:val="44"/>
          <w:highlight w:val="none"/>
        </w:rPr>
      </w:pPr>
    </w:p>
    <w:p w14:paraId="2A187D47">
      <w:pPr>
        <w:pStyle w:val="35"/>
        <w:snapToGrid w:val="0"/>
        <w:spacing w:before="0" w:beforeLines="0" w:beforeAutospacing="0" w:after="0" w:afterAutospacing="0" w:line="520" w:lineRule="exact"/>
        <w:ind w:firstLine="0" w:firstLineChars="0"/>
        <w:jc w:val="center"/>
        <w:rPr>
          <w:rFonts w:hint="eastAsia"/>
          <w:b/>
          <w:sz w:val="44"/>
          <w:highlight w:val="none"/>
        </w:rPr>
      </w:pPr>
    </w:p>
    <w:p w14:paraId="0EA410ED">
      <w:pPr>
        <w:pStyle w:val="35"/>
        <w:snapToGrid w:val="0"/>
        <w:spacing w:before="0" w:beforeLines="0" w:beforeAutospacing="0" w:after="0" w:afterAutospacing="0" w:line="520" w:lineRule="exact"/>
        <w:ind w:firstLine="0" w:firstLineChars="0"/>
        <w:jc w:val="center"/>
        <w:rPr>
          <w:b/>
          <w:sz w:val="44"/>
          <w:highlight w:val="none"/>
        </w:rPr>
      </w:pPr>
      <w:r>
        <w:rPr>
          <w:rFonts w:hint="eastAsia"/>
          <w:b/>
          <w:sz w:val="44"/>
          <w:highlight w:val="none"/>
        </w:rPr>
        <w:t>重庆三峡银行</w:t>
      </w:r>
    </w:p>
    <w:p w14:paraId="4361B6D5">
      <w:pPr>
        <w:pStyle w:val="35"/>
        <w:snapToGrid w:val="0"/>
        <w:spacing w:before="0" w:beforeLines="0" w:beforeAutospacing="0" w:after="0" w:afterAutospacing="0" w:line="520" w:lineRule="exact"/>
        <w:ind w:firstLine="0" w:firstLineChars="0"/>
        <w:jc w:val="center"/>
        <w:rPr>
          <w:b/>
          <w:sz w:val="44"/>
          <w:highlight w:val="none"/>
        </w:rPr>
      </w:pPr>
      <w:bookmarkStart w:id="257" w:name="_Hlk363564034"/>
      <w:r>
        <w:rPr>
          <w:rFonts w:hint="eastAsia"/>
          <w:b/>
          <w:sz w:val="44"/>
          <w:highlight w:val="none"/>
          <w:lang w:val="en-US" w:eastAsia="zh-CN"/>
        </w:rPr>
        <w:t>2024年金融城域网网络安全竞赛及网络安全宣传周支撑服务</w:t>
      </w:r>
      <w:bookmarkEnd w:id="257"/>
      <w:r>
        <w:rPr>
          <w:rFonts w:hint="eastAsia"/>
          <w:b/>
          <w:sz w:val="44"/>
          <w:highlight w:val="none"/>
        </w:rPr>
        <w:t>合同</w:t>
      </w:r>
    </w:p>
    <w:p w14:paraId="0446B37A">
      <w:pPr>
        <w:snapToGrid w:val="0"/>
        <w:spacing w:line="520" w:lineRule="exact"/>
        <w:jc w:val="center"/>
        <w:rPr>
          <w:rFonts w:hint="eastAsia" w:ascii="宋体"/>
          <w:b/>
          <w:sz w:val="44"/>
          <w:highlight w:val="none"/>
        </w:rPr>
      </w:pPr>
    </w:p>
    <w:p w14:paraId="72B2C520">
      <w:pPr>
        <w:snapToGrid w:val="0"/>
        <w:spacing w:line="520" w:lineRule="exact"/>
        <w:rPr>
          <w:rFonts w:hint="eastAsia" w:ascii="宋体"/>
          <w:b/>
          <w:sz w:val="44"/>
          <w:highlight w:val="none"/>
        </w:rPr>
      </w:pPr>
    </w:p>
    <w:p w14:paraId="01B7CBC8">
      <w:pPr>
        <w:pStyle w:val="35"/>
        <w:snapToGrid w:val="0"/>
        <w:spacing w:before="0" w:beforeLines="0" w:beforeAutospacing="0" w:after="0" w:afterAutospacing="0" w:line="520" w:lineRule="exact"/>
        <w:ind w:firstLine="0" w:firstLineChars="0"/>
        <w:jc w:val="center"/>
        <w:rPr>
          <w:b/>
          <w:sz w:val="32"/>
          <w:szCs w:val="32"/>
          <w:highlight w:val="none"/>
        </w:rPr>
      </w:pPr>
    </w:p>
    <w:p w14:paraId="518E1119">
      <w:pPr>
        <w:pStyle w:val="35"/>
        <w:snapToGrid w:val="0"/>
        <w:spacing w:before="0" w:beforeLines="0" w:beforeAutospacing="0" w:after="0" w:afterAutospacing="0" w:line="520" w:lineRule="exact"/>
        <w:ind w:firstLine="0" w:firstLineChars="0"/>
        <w:jc w:val="center"/>
        <w:rPr>
          <w:b/>
          <w:sz w:val="32"/>
          <w:szCs w:val="32"/>
          <w:highlight w:val="none"/>
        </w:rPr>
      </w:pPr>
    </w:p>
    <w:p w14:paraId="07592E8C">
      <w:pPr>
        <w:pStyle w:val="35"/>
        <w:snapToGrid w:val="0"/>
        <w:spacing w:before="0" w:beforeLines="0" w:beforeAutospacing="0" w:after="0" w:afterAutospacing="0" w:line="520" w:lineRule="exact"/>
        <w:ind w:firstLine="0" w:firstLineChars="0"/>
        <w:jc w:val="center"/>
        <w:rPr>
          <w:b/>
          <w:sz w:val="32"/>
          <w:szCs w:val="32"/>
          <w:highlight w:val="none"/>
        </w:rPr>
      </w:pPr>
    </w:p>
    <w:p w14:paraId="236B3837">
      <w:pPr>
        <w:pStyle w:val="35"/>
        <w:snapToGrid w:val="0"/>
        <w:spacing w:before="0" w:beforeLines="0" w:beforeAutospacing="0" w:after="0" w:afterAutospacing="0" w:line="520" w:lineRule="exact"/>
        <w:ind w:firstLine="0" w:firstLineChars="0"/>
        <w:jc w:val="center"/>
        <w:rPr>
          <w:rFonts w:hint="eastAsia"/>
          <w:b/>
          <w:sz w:val="32"/>
          <w:szCs w:val="32"/>
          <w:highlight w:val="none"/>
        </w:rPr>
      </w:pPr>
    </w:p>
    <w:p w14:paraId="4CD9EF77">
      <w:pPr>
        <w:pStyle w:val="35"/>
        <w:snapToGrid w:val="0"/>
        <w:spacing w:before="0" w:beforeLines="0" w:beforeAutospacing="0" w:after="0" w:afterAutospacing="0" w:line="520" w:lineRule="exact"/>
        <w:ind w:firstLine="0" w:firstLineChars="0"/>
        <w:jc w:val="center"/>
        <w:rPr>
          <w:rFonts w:hint="eastAsia"/>
          <w:b/>
          <w:sz w:val="32"/>
          <w:szCs w:val="32"/>
          <w:highlight w:val="none"/>
        </w:rPr>
      </w:pPr>
    </w:p>
    <w:p w14:paraId="29A4C32C">
      <w:pPr>
        <w:pStyle w:val="35"/>
        <w:snapToGrid w:val="0"/>
        <w:spacing w:before="0" w:beforeLines="0" w:beforeAutospacing="0" w:after="0" w:afterAutospacing="0" w:line="520" w:lineRule="exact"/>
        <w:ind w:left="1620" w:leftChars="675" w:firstLine="0" w:firstLineChars="0"/>
        <w:rPr>
          <w:rFonts w:hint="eastAsia"/>
          <w:b/>
          <w:szCs w:val="24"/>
          <w:highlight w:val="none"/>
        </w:rPr>
      </w:pPr>
      <w:r>
        <w:rPr>
          <w:rFonts w:hint="eastAsia"/>
          <w:b/>
          <w:szCs w:val="24"/>
          <w:highlight w:val="none"/>
        </w:rPr>
        <w:t>委托方：重庆三峡银行股份有限公司</w:t>
      </w:r>
    </w:p>
    <w:p w14:paraId="37F388C9">
      <w:pPr>
        <w:pStyle w:val="35"/>
        <w:snapToGrid w:val="0"/>
        <w:spacing w:before="0" w:beforeLines="0" w:beforeAutospacing="0" w:after="0" w:afterAutospacing="0" w:line="520" w:lineRule="exact"/>
        <w:ind w:left="1620" w:leftChars="675" w:firstLine="0" w:firstLineChars="0"/>
        <w:rPr>
          <w:rFonts w:hint="eastAsia"/>
          <w:b/>
          <w:szCs w:val="24"/>
          <w:highlight w:val="none"/>
        </w:rPr>
      </w:pPr>
      <w:r>
        <w:rPr>
          <w:rFonts w:hint="eastAsia"/>
          <w:b/>
          <w:szCs w:val="24"/>
          <w:highlight w:val="none"/>
        </w:rPr>
        <w:t>受托方：X</w:t>
      </w:r>
      <w:r>
        <w:rPr>
          <w:b/>
          <w:szCs w:val="24"/>
          <w:highlight w:val="none"/>
        </w:rPr>
        <w:t>XXXXXXXXXXXXXXXXXXXXXXX</w:t>
      </w:r>
    </w:p>
    <w:p w14:paraId="3DBC092E">
      <w:pPr>
        <w:pStyle w:val="35"/>
        <w:snapToGrid w:val="0"/>
        <w:spacing w:before="0" w:beforeLines="0" w:beforeAutospacing="0" w:after="0" w:afterAutospacing="0" w:line="520" w:lineRule="exact"/>
        <w:ind w:left="1620" w:leftChars="675" w:firstLine="0" w:firstLineChars="0"/>
        <w:rPr>
          <w:rFonts w:hint="eastAsia" w:eastAsia="宋体"/>
          <w:szCs w:val="24"/>
          <w:highlight w:val="none"/>
          <w:lang w:val="en-US" w:eastAsia="zh-CN"/>
        </w:rPr>
      </w:pPr>
      <w:r>
        <w:rPr>
          <w:rFonts w:hint="eastAsia"/>
          <w:b/>
          <w:szCs w:val="24"/>
          <w:highlight w:val="none"/>
        </w:rPr>
        <w:t>签订地点：</w:t>
      </w:r>
      <w:r>
        <w:rPr>
          <w:rFonts w:hint="eastAsia"/>
          <w:b/>
          <w:szCs w:val="24"/>
          <w:highlight w:val="none"/>
          <w:lang w:val="en-US" w:eastAsia="zh-CN"/>
        </w:rPr>
        <w:t>重庆市</w:t>
      </w:r>
    </w:p>
    <w:p w14:paraId="7066C11D">
      <w:pPr>
        <w:pStyle w:val="10"/>
        <w:tabs>
          <w:tab w:val="right" w:pos="0"/>
          <w:tab w:val="clear" w:pos="630"/>
          <w:tab w:val="clear" w:pos="8730"/>
        </w:tabs>
        <w:adjustRightInd w:val="0"/>
        <w:snapToGrid w:val="0"/>
        <w:spacing w:line="520" w:lineRule="exact"/>
        <w:ind w:right="16"/>
        <w:rPr>
          <w:rFonts w:hint="eastAsia" w:ascii="宋体" w:eastAsia="宋体"/>
          <w:sz w:val="28"/>
          <w:highlight w:val="none"/>
          <w:lang w:eastAsia="zh-CN"/>
        </w:rPr>
      </w:pPr>
    </w:p>
    <w:p w14:paraId="1138568C">
      <w:pPr>
        <w:snapToGrid w:val="0"/>
        <w:spacing w:line="520" w:lineRule="exact"/>
        <w:rPr>
          <w:rFonts w:hint="eastAsia" w:ascii="宋体"/>
          <w:b/>
          <w:sz w:val="24"/>
          <w:highlight w:val="none"/>
          <w:u w:val="single"/>
        </w:rPr>
      </w:pPr>
      <w:r>
        <w:rPr>
          <w:rFonts w:hint="eastAsia" w:ascii="宋体"/>
          <w:b/>
          <w:sz w:val="24"/>
          <w:highlight w:val="none"/>
        </w:rPr>
        <w:br w:type="page"/>
      </w:r>
      <w:r>
        <w:rPr>
          <w:rFonts w:hint="eastAsia" w:ascii="宋体"/>
          <w:b/>
          <w:sz w:val="24"/>
          <w:highlight w:val="none"/>
        </w:rPr>
        <w:t>甲方: 重庆三峡银行股份有限公司（以下简称“甲方”）</w:t>
      </w:r>
    </w:p>
    <w:p w14:paraId="665FE4E3">
      <w:pPr>
        <w:snapToGrid w:val="0"/>
        <w:spacing w:line="520" w:lineRule="exact"/>
        <w:rPr>
          <w:rFonts w:hint="eastAsia" w:ascii="宋体"/>
          <w:sz w:val="24"/>
          <w:highlight w:val="none"/>
        </w:rPr>
      </w:pPr>
      <w:r>
        <w:rPr>
          <w:rFonts w:hint="eastAsia" w:ascii="宋体"/>
          <w:sz w:val="24"/>
          <w:highlight w:val="none"/>
        </w:rPr>
        <w:t>地址：</w:t>
      </w:r>
      <w:r>
        <w:rPr>
          <w:rFonts w:ascii="宋体"/>
          <w:sz w:val="24"/>
          <w:szCs w:val="20"/>
          <w:highlight w:val="none"/>
        </w:rPr>
        <w:t>重庆市渝北区嘉州路88号中渝国际都会4号写字楼</w:t>
      </w:r>
    </w:p>
    <w:p w14:paraId="0A01BAA3">
      <w:pPr>
        <w:snapToGrid w:val="0"/>
        <w:spacing w:line="520" w:lineRule="exact"/>
        <w:rPr>
          <w:rFonts w:hint="eastAsia" w:ascii="宋体"/>
          <w:sz w:val="24"/>
          <w:highlight w:val="none"/>
        </w:rPr>
      </w:pPr>
      <w:r>
        <w:rPr>
          <w:rFonts w:hint="eastAsia" w:ascii="宋体"/>
          <w:sz w:val="24"/>
          <w:highlight w:val="none"/>
        </w:rPr>
        <w:t>法定代表人：刘江桥</w:t>
      </w:r>
    </w:p>
    <w:p w14:paraId="2B60FBC3">
      <w:pPr>
        <w:snapToGrid w:val="0"/>
        <w:spacing w:line="520" w:lineRule="exact"/>
        <w:rPr>
          <w:rFonts w:hint="eastAsia" w:ascii="宋体"/>
          <w:sz w:val="24"/>
          <w:highlight w:val="none"/>
        </w:rPr>
      </w:pPr>
      <w:r>
        <w:rPr>
          <w:rFonts w:hint="eastAsia" w:ascii="宋体"/>
          <w:sz w:val="24"/>
          <w:highlight w:val="none"/>
        </w:rPr>
        <w:t>邮政编码：</w:t>
      </w:r>
    </w:p>
    <w:p w14:paraId="684568AB">
      <w:pPr>
        <w:snapToGrid w:val="0"/>
        <w:spacing w:line="520" w:lineRule="exact"/>
        <w:rPr>
          <w:rFonts w:hint="eastAsia" w:ascii="宋体"/>
          <w:sz w:val="24"/>
          <w:highlight w:val="none"/>
        </w:rPr>
      </w:pPr>
      <w:r>
        <w:rPr>
          <w:rFonts w:hint="eastAsia" w:ascii="宋体"/>
          <w:sz w:val="24"/>
          <w:highlight w:val="none"/>
        </w:rPr>
        <w:t xml:space="preserve">联系人： </w:t>
      </w:r>
    </w:p>
    <w:p w14:paraId="1143EEA4">
      <w:pPr>
        <w:snapToGrid w:val="0"/>
        <w:spacing w:line="520" w:lineRule="exact"/>
        <w:rPr>
          <w:rFonts w:hint="eastAsia" w:ascii="宋体"/>
          <w:sz w:val="24"/>
          <w:highlight w:val="none"/>
        </w:rPr>
      </w:pPr>
      <w:r>
        <w:rPr>
          <w:rFonts w:hint="eastAsia" w:ascii="宋体"/>
          <w:sz w:val="24"/>
          <w:highlight w:val="none"/>
        </w:rPr>
        <w:t>电话：</w:t>
      </w:r>
    </w:p>
    <w:p w14:paraId="3AB4CC5B">
      <w:pPr>
        <w:snapToGrid w:val="0"/>
        <w:spacing w:line="520" w:lineRule="exact"/>
        <w:rPr>
          <w:rFonts w:hint="eastAsia" w:ascii="宋体"/>
          <w:sz w:val="24"/>
          <w:highlight w:val="none"/>
        </w:rPr>
      </w:pPr>
      <w:r>
        <w:rPr>
          <w:rFonts w:hint="eastAsia" w:ascii="宋体"/>
          <w:sz w:val="24"/>
          <w:highlight w:val="none"/>
        </w:rPr>
        <w:t>传真：</w:t>
      </w:r>
    </w:p>
    <w:p w14:paraId="15285AA0">
      <w:pPr>
        <w:snapToGrid w:val="0"/>
        <w:spacing w:line="520" w:lineRule="exact"/>
        <w:rPr>
          <w:rFonts w:hint="eastAsia" w:ascii="宋体"/>
          <w:sz w:val="24"/>
          <w:highlight w:val="none"/>
        </w:rPr>
      </w:pPr>
      <w:r>
        <w:rPr>
          <w:rFonts w:hint="eastAsia" w:ascii="宋体"/>
          <w:sz w:val="24"/>
          <w:highlight w:val="none"/>
        </w:rPr>
        <w:t>电子邮箱：</w:t>
      </w:r>
    </w:p>
    <w:p w14:paraId="192E060D">
      <w:pPr>
        <w:snapToGrid w:val="0"/>
        <w:spacing w:line="520" w:lineRule="exact"/>
        <w:rPr>
          <w:rFonts w:hint="eastAsia" w:ascii="宋体"/>
          <w:sz w:val="24"/>
          <w:highlight w:val="none"/>
        </w:rPr>
      </w:pPr>
    </w:p>
    <w:p w14:paraId="07E42DA9">
      <w:pPr>
        <w:snapToGrid w:val="0"/>
        <w:spacing w:line="520" w:lineRule="exact"/>
        <w:rPr>
          <w:rFonts w:hint="eastAsia" w:ascii="宋体"/>
          <w:sz w:val="24"/>
          <w:highlight w:val="none"/>
        </w:rPr>
      </w:pPr>
    </w:p>
    <w:p w14:paraId="45B51B01">
      <w:pPr>
        <w:snapToGrid w:val="0"/>
        <w:spacing w:line="520" w:lineRule="exact"/>
        <w:rPr>
          <w:rFonts w:hint="eastAsia" w:ascii="宋体"/>
          <w:sz w:val="24"/>
          <w:highlight w:val="none"/>
        </w:rPr>
      </w:pPr>
    </w:p>
    <w:p w14:paraId="3E702920">
      <w:pPr>
        <w:snapToGrid w:val="0"/>
        <w:spacing w:line="520" w:lineRule="exact"/>
        <w:rPr>
          <w:rFonts w:hint="eastAsia" w:ascii="宋体"/>
          <w:sz w:val="24"/>
          <w:highlight w:val="none"/>
        </w:rPr>
      </w:pPr>
    </w:p>
    <w:p w14:paraId="16C5B7F1">
      <w:pPr>
        <w:snapToGrid w:val="0"/>
        <w:spacing w:line="520" w:lineRule="exact"/>
        <w:rPr>
          <w:rFonts w:hint="eastAsia" w:ascii="宋体"/>
          <w:sz w:val="24"/>
          <w:highlight w:val="none"/>
        </w:rPr>
      </w:pPr>
    </w:p>
    <w:p w14:paraId="307E17F2">
      <w:pPr>
        <w:snapToGrid w:val="0"/>
        <w:spacing w:line="520" w:lineRule="exact"/>
        <w:rPr>
          <w:rFonts w:hint="eastAsia" w:ascii="宋体"/>
          <w:b/>
          <w:sz w:val="24"/>
          <w:highlight w:val="none"/>
        </w:rPr>
      </w:pPr>
      <w:r>
        <w:rPr>
          <w:rFonts w:hint="eastAsia" w:ascii="宋体"/>
          <w:b/>
          <w:sz w:val="24"/>
          <w:highlight w:val="none"/>
        </w:rPr>
        <w:t>乙方: XXXXXXXXXXXXXXXXXXXXX（以下简称“乙方”）</w:t>
      </w:r>
    </w:p>
    <w:p w14:paraId="0E9B8BB1">
      <w:pPr>
        <w:snapToGrid w:val="0"/>
        <w:spacing w:line="520" w:lineRule="exact"/>
        <w:rPr>
          <w:rFonts w:hint="eastAsia" w:ascii="宋体"/>
          <w:sz w:val="24"/>
          <w:highlight w:val="none"/>
        </w:rPr>
      </w:pPr>
      <w:r>
        <w:rPr>
          <w:rFonts w:hint="eastAsia" w:ascii="宋体"/>
          <w:sz w:val="24"/>
          <w:highlight w:val="none"/>
        </w:rPr>
        <w:t xml:space="preserve">法定代表人： </w:t>
      </w:r>
    </w:p>
    <w:p w14:paraId="091AD93F">
      <w:pPr>
        <w:snapToGrid w:val="0"/>
        <w:spacing w:line="520" w:lineRule="exact"/>
        <w:rPr>
          <w:rFonts w:hint="eastAsia" w:ascii="宋体"/>
          <w:sz w:val="24"/>
          <w:highlight w:val="none"/>
        </w:rPr>
      </w:pPr>
      <w:r>
        <w:rPr>
          <w:rFonts w:hint="eastAsia" w:ascii="宋体"/>
          <w:sz w:val="24"/>
          <w:highlight w:val="none"/>
        </w:rPr>
        <w:t>地址：</w:t>
      </w:r>
    </w:p>
    <w:p w14:paraId="38B21D46">
      <w:pPr>
        <w:snapToGrid w:val="0"/>
        <w:spacing w:line="520" w:lineRule="exact"/>
        <w:rPr>
          <w:rFonts w:hint="eastAsia" w:ascii="宋体"/>
          <w:sz w:val="24"/>
          <w:highlight w:val="none"/>
        </w:rPr>
      </w:pPr>
      <w:r>
        <w:rPr>
          <w:rFonts w:hint="eastAsia" w:ascii="宋体"/>
          <w:sz w:val="24"/>
          <w:highlight w:val="none"/>
        </w:rPr>
        <w:t>邮政编码：</w:t>
      </w:r>
    </w:p>
    <w:p w14:paraId="694F3344">
      <w:pPr>
        <w:snapToGrid w:val="0"/>
        <w:spacing w:line="520" w:lineRule="exact"/>
        <w:rPr>
          <w:rFonts w:hint="eastAsia" w:ascii="宋体"/>
          <w:sz w:val="24"/>
          <w:highlight w:val="none"/>
        </w:rPr>
      </w:pPr>
      <w:r>
        <w:rPr>
          <w:rFonts w:hint="eastAsia" w:ascii="宋体"/>
          <w:sz w:val="24"/>
          <w:highlight w:val="none"/>
        </w:rPr>
        <w:t xml:space="preserve">开户银行： </w:t>
      </w:r>
    </w:p>
    <w:p w14:paraId="780D975A">
      <w:pPr>
        <w:snapToGrid w:val="0"/>
        <w:spacing w:line="520" w:lineRule="exact"/>
        <w:rPr>
          <w:rFonts w:hint="eastAsia" w:ascii="宋体"/>
          <w:sz w:val="24"/>
          <w:highlight w:val="none"/>
        </w:rPr>
      </w:pPr>
      <w:r>
        <w:rPr>
          <w:rFonts w:hint="eastAsia" w:ascii="宋体"/>
          <w:sz w:val="24"/>
          <w:highlight w:val="none"/>
        </w:rPr>
        <w:t xml:space="preserve">账号：  </w:t>
      </w:r>
    </w:p>
    <w:p w14:paraId="49195BBE">
      <w:pPr>
        <w:snapToGrid w:val="0"/>
        <w:spacing w:line="520" w:lineRule="exact"/>
        <w:rPr>
          <w:rFonts w:hint="eastAsia" w:ascii="宋体"/>
          <w:sz w:val="24"/>
          <w:highlight w:val="none"/>
        </w:rPr>
      </w:pPr>
      <w:r>
        <w:rPr>
          <w:rFonts w:hint="eastAsia" w:ascii="宋体"/>
          <w:sz w:val="24"/>
          <w:highlight w:val="none"/>
        </w:rPr>
        <w:t>税号：</w:t>
      </w:r>
    </w:p>
    <w:p w14:paraId="099E2C26">
      <w:pPr>
        <w:snapToGrid w:val="0"/>
        <w:spacing w:line="520" w:lineRule="exact"/>
        <w:rPr>
          <w:rFonts w:hint="eastAsia" w:ascii="宋体"/>
          <w:sz w:val="24"/>
          <w:highlight w:val="none"/>
        </w:rPr>
      </w:pPr>
      <w:r>
        <w:rPr>
          <w:rFonts w:hint="eastAsia" w:ascii="宋体"/>
          <w:sz w:val="24"/>
          <w:highlight w:val="none"/>
        </w:rPr>
        <w:t xml:space="preserve">联系人： </w:t>
      </w:r>
    </w:p>
    <w:p w14:paraId="1613ACF1">
      <w:pPr>
        <w:snapToGrid w:val="0"/>
        <w:spacing w:line="520" w:lineRule="exact"/>
        <w:rPr>
          <w:rFonts w:hint="eastAsia" w:ascii="宋体"/>
          <w:sz w:val="24"/>
          <w:highlight w:val="none"/>
        </w:rPr>
      </w:pPr>
      <w:r>
        <w:rPr>
          <w:rFonts w:hint="eastAsia" w:ascii="宋体"/>
          <w:sz w:val="24"/>
          <w:highlight w:val="none"/>
        </w:rPr>
        <w:t>电话：</w:t>
      </w:r>
    </w:p>
    <w:p w14:paraId="2A38706E">
      <w:pPr>
        <w:snapToGrid w:val="0"/>
        <w:spacing w:line="520" w:lineRule="exact"/>
        <w:rPr>
          <w:rFonts w:hint="eastAsia" w:ascii="宋体"/>
          <w:sz w:val="24"/>
          <w:highlight w:val="none"/>
        </w:rPr>
      </w:pPr>
      <w:r>
        <w:rPr>
          <w:rFonts w:hint="eastAsia" w:ascii="宋体"/>
          <w:sz w:val="24"/>
          <w:highlight w:val="none"/>
        </w:rPr>
        <w:t>手机：</w:t>
      </w:r>
    </w:p>
    <w:p w14:paraId="056A85BD">
      <w:pPr>
        <w:snapToGrid w:val="0"/>
        <w:spacing w:line="520" w:lineRule="exact"/>
        <w:rPr>
          <w:rFonts w:hint="eastAsia" w:ascii="宋体"/>
          <w:sz w:val="24"/>
          <w:highlight w:val="none"/>
        </w:rPr>
      </w:pPr>
      <w:r>
        <w:rPr>
          <w:rFonts w:hint="eastAsia" w:ascii="宋体"/>
          <w:sz w:val="24"/>
          <w:highlight w:val="none"/>
        </w:rPr>
        <w:t>传真：</w:t>
      </w:r>
    </w:p>
    <w:p w14:paraId="40EDFDAA">
      <w:pPr>
        <w:snapToGrid w:val="0"/>
        <w:spacing w:line="520" w:lineRule="exact"/>
        <w:rPr>
          <w:rFonts w:hint="eastAsia" w:ascii="宋体"/>
          <w:sz w:val="24"/>
          <w:highlight w:val="none"/>
          <w:lang w:val="en-GB"/>
        </w:rPr>
      </w:pPr>
      <w:r>
        <w:rPr>
          <w:rFonts w:hint="eastAsia" w:ascii="宋体"/>
          <w:sz w:val="24"/>
          <w:highlight w:val="none"/>
        </w:rPr>
        <w:t>电子邮箱：</w:t>
      </w:r>
    </w:p>
    <w:p w14:paraId="7ED23C15">
      <w:pPr>
        <w:pStyle w:val="10"/>
        <w:tabs>
          <w:tab w:val="right" w:pos="0"/>
          <w:tab w:val="clear" w:pos="630"/>
          <w:tab w:val="clear" w:pos="8730"/>
        </w:tabs>
        <w:adjustRightInd w:val="0"/>
        <w:snapToGrid w:val="0"/>
        <w:spacing w:line="520" w:lineRule="exact"/>
        <w:ind w:right="17"/>
        <w:rPr>
          <w:rFonts w:hint="eastAsia" w:ascii="宋体" w:eastAsia="宋体"/>
          <w:sz w:val="24"/>
          <w:highlight w:val="none"/>
          <w:lang w:eastAsia="zh-CN"/>
        </w:rPr>
      </w:pPr>
      <w:r>
        <w:rPr>
          <w:rFonts w:hint="eastAsia" w:ascii="宋体" w:eastAsia="宋体"/>
          <w:sz w:val="32"/>
          <w:highlight w:val="none"/>
          <w:lang w:eastAsia="zh-CN"/>
        </w:rPr>
        <w:t xml:space="preserve">               </w:t>
      </w:r>
      <w:r>
        <w:rPr>
          <w:rFonts w:hint="eastAsia" w:ascii="宋体" w:eastAsia="宋体"/>
          <w:sz w:val="24"/>
          <w:highlight w:val="none"/>
          <w:lang w:eastAsia="zh-CN"/>
        </w:rPr>
        <w:t xml:space="preserve">      </w:t>
      </w:r>
    </w:p>
    <w:p w14:paraId="3ECD809E">
      <w:pPr>
        <w:pStyle w:val="11"/>
        <w:snapToGrid w:val="0"/>
        <w:spacing w:line="520" w:lineRule="exact"/>
        <w:ind w:firstLine="480" w:firstLineChars="200"/>
        <w:rPr>
          <w:rFonts w:hint="eastAsia" w:ascii="宋体" w:eastAsia="宋体"/>
          <w:highlight w:val="none"/>
        </w:rPr>
      </w:pPr>
      <w:r>
        <w:rPr>
          <w:rFonts w:hint="eastAsia" w:ascii="宋体" w:eastAsia="宋体"/>
          <w:highlight w:val="none"/>
        </w:rPr>
        <w:br w:type="page"/>
      </w:r>
      <w:r>
        <w:rPr>
          <w:rFonts w:hint="eastAsia" w:ascii="宋体" w:eastAsia="宋体"/>
          <w:highlight w:val="none"/>
        </w:rPr>
        <w:t>甲方与乙方本着自愿、平等、互利、诚实信用的原则，通过友好协商，</w:t>
      </w:r>
      <w:r>
        <w:rPr>
          <w:rStyle w:val="36"/>
          <w:rFonts w:hint="eastAsia" w:ascii="宋体" w:eastAsia="宋体"/>
          <w:kern w:val="0"/>
          <w:highlight w:val="none"/>
        </w:rPr>
        <w:t>依据相关法律、法规的规定</w:t>
      </w:r>
      <w:r>
        <w:rPr>
          <w:rFonts w:hint="eastAsia" w:ascii="宋体" w:eastAsia="宋体"/>
          <w:highlight w:val="none"/>
        </w:rPr>
        <w:t>，就“重庆三峡银行</w:t>
      </w:r>
      <w:r>
        <w:rPr>
          <w:rFonts w:hint="eastAsia" w:ascii="宋体" w:eastAsia="宋体"/>
          <w:highlight w:val="none"/>
          <w:lang w:val="en-US" w:eastAsia="zh-CN"/>
        </w:rPr>
        <w:t>2024年金融城域网网络安全竞赛及网络安全宣传周支撑服务</w:t>
      </w:r>
      <w:r>
        <w:rPr>
          <w:rFonts w:hint="eastAsia" w:ascii="宋体" w:eastAsia="宋体"/>
          <w:highlight w:val="none"/>
        </w:rPr>
        <w:t>项目”（下称“本项目”）服务内容达成一致，签订本协议：</w:t>
      </w:r>
    </w:p>
    <w:p w14:paraId="6CD98E0F">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highlight w:val="none"/>
          <w:lang w:eastAsia="zh-CN"/>
        </w:rPr>
      </w:pPr>
      <w:r>
        <w:rPr>
          <w:rFonts w:hint="eastAsia" w:ascii="宋体" w:eastAsia="宋体"/>
          <w:b/>
          <w:sz w:val="24"/>
          <w:highlight w:val="none"/>
          <w:lang w:eastAsia="zh-CN"/>
        </w:rPr>
        <w:t>第一条  服务范围</w:t>
      </w:r>
    </w:p>
    <w:p w14:paraId="47E39354">
      <w:pPr>
        <w:pStyle w:val="11"/>
        <w:snapToGrid w:val="0"/>
        <w:spacing w:line="520" w:lineRule="exact"/>
        <w:rPr>
          <w:rFonts w:hint="eastAsia" w:ascii="宋体" w:eastAsia="宋体"/>
          <w:highlight w:val="none"/>
        </w:rPr>
      </w:pPr>
      <w:r>
        <w:rPr>
          <w:rFonts w:hint="eastAsia" w:ascii="宋体" w:eastAsia="宋体"/>
          <w:highlight w:val="none"/>
        </w:rPr>
        <w:t>1.1 服务事项：</w:t>
      </w:r>
    </w:p>
    <w:p w14:paraId="15D7F532">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乙方向甲方提供</w:t>
      </w:r>
      <w:r>
        <w:rPr>
          <w:rFonts w:hint="eastAsia" w:ascii="宋体" w:eastAsia="宋体"/>
          <w:color w:val="auto"/>
          <w:sz w:val="24"/>
          <w:highlight w:val="none"/>
          <w:lang w:val="en-US" w:eastAsia="zh-CN"/>
        </w:rPr>
        <w:t>网络安全竞赛方案制定</w:t>
      </w:r>
      <w:r>
        <w:rPr>
          <w:rFonts w:ascii="宋体" w:eastAsia="宋体"/>
          <w:color w:val="auto"/>
          <w:sz w:val="24"/>
          <w:highlight w:val="none"/>
          <w:lang w:val="en-US" w:eastAsia="zh-CN"/>
        </w:rPr>
        <w:t>、</w:t>
      </w:r>
      <w:r>
        <w:rPr>
          <w:rFonts w:hint="eastAsia" w:ascii="宋体" w:eastAsia="宋体"/>
          <w:color w:val="auto"/>
          <w:sz w:val="24"/>
          <w:highlight w:val="none"/>
          <w:lang w:val="en-US" w:eastAsia="zh-CN"/>
        </w:rPr>
        <w:t>竞赛相关培训及组织保障和</w:t>
      </w:r>
      <w:r>
        <w:rPr>
          <w:rFonts w:ascii="宋体" w:eastAsia="宋体"/>
          <w:color w:val="auto"/>
          <w:sz w:val="24"/>
          <w:highlight w:val="none"/>
          <w:lang w:val="en-US" w:eastAsia="zh-CN"/>
        </w:rPr>
        <w:t>网络安全</w:t>
      </w:r>
      <w:r>
        <w:rPr>
          <w:rFonts w:hint="eastAsia" w:ascii="宋体" w:eastAsia="宋体"/>
          <w:color w:val="auto"/>
          <w:sz w:val="24"/>
          <w:highlight w:val="none"/>
          <w:lang w:val="en-US" w:eastAsia="zh-CN"/>
        </w:rPr>
        <w:t>宣传周活动支撑等</w:t>
      </w:r>
      <w:r>
        <w:rPr>
          <w:rFonts w:hint="eastAsia" w:ascii="宋体"/>
          <w:color w:val="auto"/>
          <w:sz w:val="24"/>
          <w:highlight w:val="none"/>
        </w:rPr>
        <w:t>服务，服务的具体内容详见本合同附件1。</w:t>
      </w:r>
    </w:p>
    <w:p w14:paraId="4163F490">
      <w:pPr>
        <w:pStyle w:val="11"/>
        <w:snapToGrid w:val="0"/>
        <w:spacing w:line="520" w:lineRule="exact"/>
        <w:rPr>
          <w:rFonts w:hint="eastAsia" w:ascii="宋体" w:eastAsia="宋体"/>
          <w:highlight w:val="none"/>
        </w:rPr>
      </w:pPr>
      <w:r>
        <w:rPr>
          <w:rFonts w:hint="eastAsia" w:ascii="宋体" w:eastAsia="宋体"/>
          <w:highlight w:val="none"/>
        </w:rPr>
        <w:t>1.2 服务履行方式：</w:t>
      </w:r>
    </w:p>
    <w:p w14:paraId="5E474F28">
      <w:pPr>
        <w:pStyle w:val="11"/>
        <w:snapToGrid w:val="0"/>
        <w:spacing w:line="520" w:lineRule="exact"/>
        <w:rPr>
          <w:rFonts w:hint="eastAsia" w:ascii="宋体" w:eastAsia="宋体"/>
          <w:highlight w:val="none"/>
        </w:rPr>
      </w:pPr>
      <w:r>
        <w:rPr>
          <w:rFonts w:hint="eastAsia" w:ascii="宋体" w:eastAsia="宋体"/>
          <w:highlight w:val="none"/>
        </w:rPr>
        <w:t xml:space="preserve">服务的履行方式详见本合同附件1。   </w:t>
      </w:r>
    </w:p>
    <w:p w14:paraId="33F3696A">
      <w:pPr>
        <w:pStyle w:val="11"/>
        <w:snapToGrid w:val="0"/>
        <w:spacing w:line="520" w:lineRule="exact"/>
        <w:rPr>
          <w:rFonts w:hint="eastAsia" w:ascii="宋体" w:eastAsia="宋体"/>
          <w:highlight w:val="none"/>
        </w:rPr>
      </w:pPr>
      <w:r>
        <w:rPr>
          <w:rFonts w:hint="eastAsia" w:ascii="宋体" w:eastAsia="宋体"/>
          <w:highlight w:val="none"/>
        </w:rPr>
        <w:t>1.3服务期限：</w:t>
      </w:r>
    </w:p>
    <w:p w14:paraId="68625CDE">
      <w:pPr>
        <w:pStyle w:val="11"/>
        <w:snapToGrid w:val="0"/>
        <w:spacing w:line="520" w:lineRule="exact"/>
        <w:rPr>
          <w:rFonts w:ascii="宋体" w:eastAsia="宋体"/>
          <w:color w:val="auto"/>
          <w:highlight w:val="none"/>
          <w:lang w:val="en-US" w:eastAsia="zh-CN"/>
        </w:rPr>
      </w:pPr>
      <w:r>
        <w:rPr>
          <w:rFonts w:hint="eastAsia" w:ascii="宋体" w:eastAsia="宋体"/>
          <w:color w:val="auto"/>
          <w:highlight w:val="none"/>
          <w:lang w:val="en-US" w:eastAsia="zh-CN"/>
        </w:rPr>
        <w:t>1年</w:t>
      </w:r>
    </w:p>
    <w:p w14:paraId="6E69641F">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第二条  项目实施人员</w:t>
      </w:r>
    </w:p>
    <w:p w14:paraId="5E7477B6">
      <w:pPr>
        <w:pStyle w:val="9"/>
        <w:snapToGrid w:val="0"/>
        <w:spacing w:line="520" w:lineRule="exact"/>
        <w:ind w:left="0"/>
        <w:rPr>
          <w:rFonts w:hint="eastAsia" w:ascii="宋体"/>
          <w:highlight w:val="none"/>
          <w:lang w:eastAsia="zh-CN"/>
        </w:rPr>
      </w:pPr>
      <w:r>
        <w:rPr>
          <w:rFonts w:hint="eastAsia" w:ascii="宋体"/>
          <w:kern w:val="2"/>
          <w:szCs w:val="24"/>
          <w:highlight w:val="none"/>
          <w:lang w:val="en-US" w:eastAsia="zh-CN"/>
        </w:rPr>
        <w:t xml:space="preserve">2.1 </w:t>
      </w:r>
      <w:r>
        <w:rPr>
          <w:rFonts w:hint="eastAsia" w:ascii="宋体"/>
          <w:highlight w:val="none"/>
          <w:lang w:eastAsia="zh-CN"/>
        </w:rPr>
        <w:t>为了按时和按专业水准完成本项目工作，乙方应配备足够数量和级别的专业人员，并提供实施方案所示项目团队成员名单（见附件1），各成员按照实施方案规定的工作安排参与项目实施。</w:t>
      </w:r>
    </w:p>
    <w:p w14:paraId="28FFAC07">
      <w:pPr>
        <w:pStyle w:val="9"/>
        <w:snapToGrid w:val="0"/>
        <w:spacing w:line="520" w:lineRule="exact"/>
        <w:ind w:left="0"/>
        <w:rPr>
          <w:rFonts w:hint="eastAsia" w:ascii="宋体"/>
          <w:highlight w:val="none"/>
          <w:lang w:eastAsia="zh-CN"/>
        </w:rPr>
      </w:pPr>
      <w:r>
        <w:rPr>
          <w:rFonts w:hint="eastAsia" w:ascii="宋体"/>
          <w:highlight w:val="none"/>
          <w:lang w:eastAsia="zh-CN"/>
        </w:rPr>
        <w:t>2.2 在项目实施过程中，乙方原则上不得更换项目</w:t>
      </w:r>
      <w:r>
        <w:rPr>
          <w:rFonts w:hint="eastAsia" w:ascii="宋体"/>
          <w:highlight w:val="none"/>
          <w:lang w:val="en-US" w:eastAsia="zh-CN"/>
        </w:rPr>
        <w:t>经理</w:t>
      </w:r>
      <w:r>
        <w:rPr>
          <w:rFonts w:hint="eastAsia" w:ascii="宋体"/>
          <w:highlight w:val="none"/>
          <w:lang w:eastAsia="zh-CN"/>
        </w:rPr>
        <w:t>，确需更换的，乙方应提前通知甲方并经甲方同意，并配备同等级别的人员替补，且乙方保证有关人员更换不影响项目的质量和实施进程。替换人员需通过甲方考察，否则甲方有权要求更换。</w:t>
      </w:r>
    </w:p>
    <w:p w14:paraId="72641A1B">
      <w:pPr>
        <w:pStyle w:val="9"/>
        <w:snapToGrid w:val="0"/>
        <w:spacing w:line="520" w:lineRule="exact"/>
        <w:rPr>
          <w:rFonts w:ascii="Times New Roman" w:hAnsi="Times New Roman" w:cs="Times New Roman"/>
          <w:highlight w:val="none"/>
        </w:rPr>
      </w:pPr>
      <w:r>
        <w:rPr>
          <w:rFonts w:ascii="Times New Roman" w:hAnsi="Times New Roman" w:cs="Times New Roman"/>
          <w:highlight w:val="none"/>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52223002">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第三条  甲方的权利和义务</w:t>
      </w:r>
    </w:p>
    <w:p w14:paraId="2A089073">
      <w:pPr>
        <w:adjustRightInd w:val="0"/>
        <w:snapToGrid w:val="0"/>
        <w:spacing w:line="520" w:lineRule="exact"/>
        <w:ind w:firstLine="480" w:firstLineChars="200"/>
        <w:rPr>
          <w:rFonts w:hint="eastAsia" w:ascii="宋体"/>
          <w:sz w:val="24"/>
          <w:highlight w:val="none"/>
        </w:rPr>
      </w:pPr>
      <w:r>
        <w:rPr>
          <w:rFonts w:hint="eastAsia" w:ascii="宋体"/>
          <w:sz w:val="24"/>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5581F643">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sz w:val="24"/>
          <w:highlight w:val="none"/>
          <w:lang w:eastAsia="zh-CN"/>
        </w:rPr>
        <w:t>3.2</w:t>
      </w:r>
      <w:r>
        <w:rPr>
          <w:rFonts w:hint="eastAsia" w:ascii="宋体" w:eastAsia="宋体"/>
          <w:kern w:val="2"/>
          <w:sz w:val="24"/>
          <w:highlight w:val="none"/>
          <w:lang w:val="en-US" w:eastAsia="zh-CN"/>
        </w:rPr>
        <w:t xml:space="preserve"> 应在法律规定的范围内且根据本合同条款的规定正确使用乙方出具的交付物。</w:t>
      </w:r>
    </w:p>
    <w:p w14:paraId="44169AE0">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3.3应当充分配合乙方的服务工作，包括：</w:t>
      </w:r>
    </w:p>
    <w:p w14:paraId="6B8E669D">
      <w:pPr>
        <w:adjustRightInd w:val="0"/>
        <w:snapToGrid w:val="0"/>
        <w:spacing w:line="520" w:lineRule="exact"/>
        <w:ind w:firstLine="480" w:firstLineChars="200"/>
        <w:rPr>
          <w:rFonts w:hint="eastAsia" w:ascii="宋体"/>
          <w:sz w:val="24"/>
          <w:highlight w:val="none"/>
        </w:rPr>
      </w:pPr>
      <w:r>
        <w:rPr>
          <w:rFonts w:hint="eastAsia" w:ascii="宋体"/>
          <w:sz w:val="24"/>
          <w:highlight w:val="none"/>
        </w:rPr>
        <w:t>（1）自本合同签订后，甲方应及时或按乙方的要求向乙方提交乙方服务所需的甲方相关基础资料；</w:t>
      </w:r>
    </w:p>
    <w:p w14:paraId="3270A263">
      <w:pPr>
        <w:adjustRightInd w:val="0"/>
        <w:snapToGrid w:val="0"/>
        <w:spacing w:line="520" w:lineRule="exact"/>
        <w:ind w:firstLine="480" w:firstLineChars="200"/>
        <w:rPr>
          <w:rFonts w:hint="eastAsia" w:ascii="宋体"/>
          <w:sz w:val="24"/>
          <w:highlight w:val="none"/>
        </w:rPr>
      </w:pPr>
      <w:r>
        <w:rPr>
          <w:rFonts w:hint="eastAsia" w:ascii="宋体"/>
          <w:sz w:val="24"/>
          <w:highlight w:val="none"/>
        </w:rPr>
        <w:t>（2）在提供服务过程中，就乙方提出的合理的工作计划和人员要求及时做出相关安排，及时向乙方提供所需资料与信息并安排业务访谈，并迅速做出决策；</w:t>
      </w:r>
    </w:p>
    <w:p w14:paraId="52917A6F">
      <w:pPr>
        <w:adjustRightInd w:val="0"/>
        <w:snapToGrid w:val="0"/>
        <w:spacing w:line="520" w:lineRule="exact"/>
        <w:ind w:firstLine="480" w:firstLineChars="200"/>
        <w:rPr>
          <w:rFonts w:hint="eastAsia" w:ascii="宋体"/>
          <w:sz w:val="24"/>
          <w:highlight w:val="none"/>
        </w:rPr>
      </w:pPr>
      <w:r>
        <w:rPr>
          <w:rFonts w:hint="eastAsia" w:ascii="宋体"/>
          <w:sz w:val="24"/>
          <w:highlight w:val="none"/>
        </w:rPr>
        <w:t>（3）甲方所提供的资料如有变更，应及时提供变更后的资料；</w:t>
      </w:r>
    </w:p>
    <w:p w14:paraId="11F9A9CA">
      <w:pPr>
        <w:adjustRightInd w:val="0"/>
        <w:snapToGrid w:val="0"/>
        <w:spacing w:line="520" w:lineRule="exact"/>
        <w:ind w:firstLine="480" w:firstLineChars="200"/>
        <w:rPr>
          <w:rFonts w:hint="eastAsia" w:ascii="宋体"/>
          <w:sz w:val="24"/>
          <w:highlight w:val="none"/>
        </w:rPr>
      </w:pPr>
      <w:r>
        <w:rPr>
          <w:rFonts w:hint="eastAsia" w:ascii="宋体"/>
          <w:sz w:val="24"/>
          <w:highlight w:val="none"/>
        </w:rPr>
        <w:t>（4）向乙方项目实施人员提供必要的办公场所等工作支持。</w:t>
      </w:r>
    </w:p>
    <w:p w14:paraId="449C4AF1">
      <w:pPr>
        <w:pStyle w:val="10"/>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3.4 按照本合同约定向乙方支付服务费用。</w:t>
      </w:r>
    </w:p>
    <w:p w14:paraId="0E5CD1A4">
      <w:pPr>
        <w:pStyle w:val="10"/>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3.5 如甲方提供信息及其他资料存在问题，导致乙方需要对服务作较大调整，双方应进行协商，就服务范围以及服务费用调整提出解决方案。</w:t>
      </w:r>
    </w:p>
    <w:p w14:paraId="05123B9F">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第四条  乙方的权利和义务</w:t>
      </w:r>
    </w:p>
    <w:p w14:paraId="6F0FCA75">
      <w:pPr>
        <w:pStyle w:val="10"/>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4.1 遵守法律法规及银行业金融机构内部管理制度及规定，贯彻执行相关监管政策。</w:t>
      </w:r>
    </w:p>
    <w:p w14:paraId="5935AA79">
      <w:pPr>
        <w:pStyle w:val="10"/>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4.2乙方需为甲方提供持续的项目风险识别和控制措施，并按甲方要求提供公司财务分析报告、项目进度报告以及重大事项报告等。</w:t>
      </w:r>
    </w:p>
    <w:p w14:paraId="4C32B951">
      <w:pPr>
        <w:pStyle w:val="10"/>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4.3乙方应该适时开展风险管理评估和第三方审计工作，应该接受甲方的审核、评估以及外包检查，并配合接受来自监管机构的各项检查，配合对监管意见做出相应的管理、服务等的整改。</w:t>
      </w:r>
    </w:p>
    <w:p w14:paraId="3FA8A3AE">
      <w:pPr>
        <w:pStyle w:val="10"/>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kern w:val="2"/>
          <w:sz w:val="24"/>
          <w:highlight w:val="none"/>
          <w:lang w:eastAsia="zh-CN"/>
        </w:rPr>
        <w:t>4.</w:t>
      </w:r>
      <w:r>
        <w:rPr>
          <w:rFonts w:ascii="宋体" w:eastAsia="宋体"/>
          <w:kern w:val="2"/>
          <w:sz w:val="24"/>
          <w:highlight w:val="none"/>
          <w:lang w:eastAsia="zh-CN"/>
        </w:rPr>
        <w:t>4</w:t>
      </w:r>
      <w:r>
        <w:rPr>
          <w:rFonts w:ascii="宋体" w:eastAsia="宋体"/>
          <w:kern w:val="2"/>
          <w:sz w:val="24"/>
          <w:highlight w:val="none"/>
          <w:lang w:val="en-US" w:eastAsia="zh-CN"/>
        </w:rPr>
        <w:t>乙方应针对服务内容为甲方制定业务连续性计划和应急计划并维护好相关资源</w:t>
      </w:r>
      <w:r>
        <w:rPr>
          <w:rFonts w:hint="eastAsia" w:ascii="宋体" w:eastAsia="宋体"/>
          <w:kern w:val="2"/>
          <w:sz w:val="24"/>
          <w:highlight w:val="none"/>
          <w:lang w:val="en-US" w:eastAsia="zh-CN"/>
        </w:rPr>
        <w:t>，</w:t>
      </w:r>
      <w:r>
        <w:rPr>
          <w:rFonts w:ascii="宋体" w:eastAsia="宋体"/>
          <w:kern w:val="2"/>
          <w:sz w:val="24"/>
          <w:highlight w:val="none"/>
          <w:lang w:val="en-US" w:eastAsia="zh-CN"/>
        </w:rPr>
        <w:t>在服务质量不能满足合同要求时</w:t>
      </w:r>
      <w:r>
        <w:rPr>
          <w:rFonts w:hint="eastAsia" w:ascii="宋体" w:eastAsia="宋体"/>
          <w:kern w:val="2"/>
          <w:sz w:val="24"/>
          <w:highlight w:val="none"/>
          <w:lang w:val="en-US" w:eastAsia="zh-CN"/>
        </w:rPr>
        <w:t>，甲方具有</w:t>
      </w:r>
      <w:r>
        <w:rPr>
          <w:rFonts w:ascii="宋体" w:eastAsia="宋体"/>
          <w:kern w:val="2"/>
          <w:sz w:val="24"/>
          <w:highlight w:val="none"/>
          <w:lang w:val="en-US" w:eastAsia="zh-CN"/>
        </w:rPr>
        <w:t>优先获取服务资源的权利</w:t>
      </w:r>
      <w:r>
        <w:rPr>
          <w:rFonts w:hint="eastAsia" w:ascii="宋体" w:eastAsia="宋体"/>
          <w:kern w:val="2"/>
          <w:sz w:val="24"/>
          <w:highlight w:val="none"/>
          <w:lang w:val="en-US" w:eastAsia="zh-CN"/>
        </w:rPr>
        <w:t>。</w:t>
      </w:r>
    </w:p>
    <w:p w14:paraId="00821BF0">
      <w:pPr>
        <w:pStyle w:val="10"/>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4.</w:t>
      </w:r>
      <w:r>
        <w:rPr>
          <w:rFonts w:ascii="宋体" w:eastAsia="宋体"/>
          <w:sz w:val="24"/>
          <w:highlight w:val="none"/>
          <w:lang w:eastAsia="zh-CN"/>
        </w:rPr>
        <w:t>5</w:t>
      </w:r>
      <w:r>
        <w:rPr>
          <w:rFonts w:hint="eastAsia" w:ascii="宋体" w:eastAsia="宋体"/>
          <w:sz w:val="24"/>
          <w:highlight w:val="none"/>
          <w:lang w:eastAsia="zh-CN"/>
        </w:rPr>
        <w:t xml:space="preserve"> 应当按项目计划完成工作内容说明书规定的服务，并提交项目成果。</w:t>
      </w:r>
    </w:p>
    <w:p w14:paraId="4107E84F">
      <w:pPr>
        <w:pStyle w:val="10"/>
        <w:tabs>
          <w:tab w:val="right" w:pos="0"/>
          <w:tab w:val="clear" w:pos="630"/>
          <w:tab w:val="clear" w:pos="8730"/>
        </w:tabs>
        <w:adjustRightInd w:val="0"/>
        <w:snapToGrid w:val="0"/>
        <w:spacing w:line="520" w:lineRule="exact"/>
        <w:ind w:right="16" w:firstLine="480" w:firstLineChars="200"/>
        <w:rPr>
          <w:rFonts w:hint="eastAsia" w:ascii="宋体" w:eastAsia="宋体"/>
          <w:sz w:val="24"/>
          <w:highlight w:val="none"/>
          <w:lang w:eastAsia="zh-CN"/>
        </w:rPr>
      </w:pPr>
      <w:r>
        <w:rPr>
          <w:rFonts w:hint="eastAsia" w:ascii="宋体" w:eastAsia="宋体"/>
          <w:sz w:val="24"/>
          <w:highlight w:val="none"/>
          <w:lang w:eastAsia="zh-CN"/>
        </w:rPr>
        <w:t>4.</w:t>
      </w:r>
      <w:r>
        <w:rPr>
          <w:rFonts w:ascii="宋体" w:eastAsia="宋体"/>
          <w:sz w:val="24"/>
          <w:highlight w:val="none"/>
          <w:lang w:eastAsia="zh-CN"/>
        </w:rPr>
        <w:t>6</w:t>
      </w:r>
      <w:r>
        <w:rPr>
          <w:rFonts w:hint="eastAsia" w:ascii="宋体" w:eastAsia="宋体"/>
          <w:sz w:val="24"/>
          <w:highlight w:val="none"/>
          <w:lang w:eastAsia="zh-CN"/>
        </w:rPr>
        <w:t>有义务对甲方提出的口头或书面咨询进行及时解答或提交书面咨询意见。</w:t>
      </w:r>
    </w:p>
    <w:p w14:paraId="24660570">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7</w:t>
      </w:r>
      <w:r>
        <w:rPr>
          <w:rFonts w:hint="eastAsia" w:ascii="宋体" w:eastAsia="宋体"/>
          <w:color w:val="auto"/>
          <w:sz w:val="24"/>
          <w:highlight w:val="none"/>
          <w:lang w:eastAsia="zh-CN"/>
        </w:rPr>
        <w:t>按照本合同的规定准备</w:t>
      </w:r>
      <w:r>
        <w:rPr>
          <w:rFonts w:hint="eastAsia" w:ascii="宋体" w:eastAsia="宋体"/>
          <w:color w:val="auto"/>
          <w:sz w:val="24"/>
          <w:highlight w:val="none"/>
          <w:lang w:val="en-US" w:eastAsia="zh-CN"/>
        </w:rPr>
        <w:t>竞赛相关</w:t>
      </w:r>
      <w:r>
        <w:rPr>
          <w:rFonts w:hint="eastAsia" w:ascii="宋体" w:eastAsia="宋体"/>
          <w:color w:val="auto"/>
          <w:sz w:val="24"/>
          <w:highlight w:val="none"/>
          <w:lang w:eastAsia="zh-CN"/>
        </w:rPr>
        <w:t>培训资料，组织和完成相关培训。</w:t>
      </w:r>
    </w:p>
    <w:p w14:paraId="0291B8A9">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sz w:val="24"/>
          <w:highlight w:val="none"/>
          <w:lang w:eastAsia="zh-CN"/>
        </w:rPr>
        <w:t>4.</w:t>
      </w:r>
      <w:r>
        <w:rPr>
          <w:rFonts w:ascii="宋体" w:eastAsia="宋体"/>
          <w:sz w:val="24"/>
          <w:highlight w:val="none"/>
          <w:lang w:eastAsia="zh-CN"/>
        </w:rPr>
        <w:t>8</w:t>
      </w:r>
      <w:r>
        <w:rPr>
          <w:rFonts w:hint="eastAsia" w:ascii="宋体" w:eastAsia="宋体"/>
          <w:sz w:val="24"/>
          <w:highlight w:val="none"/>
          <w:lang w:eastAsia="zh-CN"/>
        </w:rPr>
        <w:t>应当按照甲方的合理要求，及时报告有</w:t>
      </w:r>
      <w:r>
        <w:rPr>
          <w:rFonts w:hint="eastAsia" w:ascii="宋体" w:eastAsia="宋体"/>
          <w:kern w:val="2"/>
          <w:sz w:val="24"/>
          <w:highlight w:val="none"/>
          <w:lang w:val="en-US" w:eastAsia="zh-CN"/>
        </w:rPr>
        <w:t>关服务事宜的进展情况。</w:t>
      </w:r>
    </w:p>
    <w:p w14:paraId="4421ACB9">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4.</w:t>
      </w:r>
      <w:r>
        <w:rPr>
          <w:rFonts w:ascii="宋体" w:eastAsia="宋体"/>
          <w:kern w:val="2"/>
          <w:sz w:val="24"/>
          <w:highlight w:val="none"/>
          <w:lang w:val="en-US" w:eastAsia="zh-CN"/>
        </w:rPr>
        <w:t>9</w:t>
      </w:r>
      <w:r>
        <w:rPr>
          <w:rFonts w:hint="eastAsia" w:ascii="宋体" w:eastAsia="宋体"/>
          <w:kern w:val="2"/>
          <w:sz w:val="24"/>
          <w:highlight w:val="none"/>
          <w:lang w:val="en-US" w:eastAsia="zh-CN"/>
        </w:rPr>
        <w:t xml:space="preserve">保证其项目实施人员具有充分的完成其相应工作任务的专业知识和经验。 </w:t>
      </w:r>
    </w:p>
    <w:p w14:paraId="73E9B797">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4.10乙方保证遵守甲方《重庆三峡银行回避管理办法》中招录回避、任职回避、公务回避的相关要求。若发现乙方人员与甲方内部人员存在亲属关系，乙方应主动报告，并采取相应回避措施。</w:t>
      </w:r>
    </w:p>
    <w:p w14:paraId="6B5EAEB8">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4.11乙方保证其人员无不良记录，乙方与其建立合法的雇佣关系，依法履行用工管理职责。</w:t>
      </w:r>
    </w:p>
    <w:p w14:paraId="4D2B04A2">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4.12 乙方定期通报外包事项，及时通报外包突发性事件及解决情况。</w:t>
      </w:r>
    </w:p>
    <w:p w14:paraId="1683CD2A">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第五条  项目成果的验收</w:t>
      </w:r>
    </w:p>
    <w:p w14:paraId="12B7CDD5">
      <w:pPr>
        <w:pStyle w:val="10"/>
        <w:tabs>
          <w:tab w:val="right" w:pos="0"/>
          <w:tab w:val="clear" w:pos="630"/>
          <w:tab w:val="clear" w:pos="8730"/>
        </w:tabs>
        <w:adjustRightInd w:val="0"/>
        <w:snapToGrid w:val="0"/>
        <w:spacing w:line="520" w:lineRule="exact"/>
        <w:ind w:right="17"/>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5.1乙方保证以良好的态度和专业能力提供服务，并按照附件的规定</w:t>
      </w:r>
      <w:r>
        <w:rPr>
          <w:rFonts w:hint="eastAsia" w:ascii="宋体" w:eastAsia="宋体"/>
          <w:sz w:val="24"/>
          <w:highlight w:val="none"/>
          <w:lang w:eastAsia="zh-CN"/>
        </w:rPr>
        <w:t>向甲方交付工作成果，并向甲方就交付成果进行讲解、交流、汇报</w:t>
      </w:r>
      <w:r>
        <w:rPr>
          <w:rFonts w:hint="eastAsia" w:ascii="宋体" w:eastAsia="宋体"/>
          <w:sz w:val="24"/>
          <w:highlight w:val="none"/>
          <w:lang w:eastAsia="zh-CN"/>
        </w:rPr>
        <w:fldChar w:fldCharType="begin"/>
      </w:r>
      <w:r>
        <w:rPr>
          <w:highlight w:val="none"/>
        </w:rPr>
        <w:instrText xml:space="preserve">HYPERLINK "http://www.51paper.net" \o "论文资料网"</w:instrText>
      </w:r>
      <w:r>
        <w:rPr>
          <w:rFonts w:hint="eastAsia" w:ascii="宋体" w:eastAsia="宋体"/>
          <w:sz w:val="24"/>
          <w:highlight w:val="none"/>
          <w:lang w:eastAsia="zh-CN"/>
        </w:rPr>
        <w:fldChar w:fldCharType="separate"/>
      </w:r>
      <w:r>
        <w:rPr>
          <w:rFonts w:hint="eastAsia" w:ascii="宋体" w:eastAsia="宋体"/>
          <w:sz w:val="24"/>
          <w:highlight w:val="none"/>
          <w:lang w:eastAsia="zh-CN"/>
        </w:rPr>
        <w:t>。</w:t>
      </w:r>
      <w:r>
        <w:rPr>
          <w:rFonts w:hint="eastAsia" w:ascii="宋体" w:eastAsia="宋体"/>
          <w:sz w:val="24"/>
          <w:highlight w:val="none"/>
          <w:lang w:eastAsia="zh-CN"/>
        </w:rPr>
        <w:fldChar w:fldCharType="end"/>
      </w:r>
      <w:r>
        <w:rPr>
          <w:rFonts w:hint="eastAsia" w:ascii="宋体" w:eastAsia="宋体"/>
          <w:sz w:val="24"/>
          <w:highlight w:val="none"/>
          <w:lang w:eastAsia="zh-CN"/>
        </w:rPr>
        <w:t>乙方在项目过程中提交的交付物应与工作内容说明书的要求相符合。甲方收到交付物并充分交流后，应在30</w:t>
      </w:r>
      <w:r>
        <w:rPr>
          <w:rFonts w:hint="eastAsia" w:ascii="宋体" w:eastAsia="宋体"/>
          <w:kern w:val="2"/>
          <w:sz w:val="24"/>
          <w:szCs w:val="24"/>
          <w:highlight w:val="none"/>
          <w:lang w:val="en-US" w:eastAsia="zh-CN"/>
        </w:rPr>
        <w:t>个工作日内组织验收，并通知乙方验收结果。如甲方因故不能验收的，应通知乙方。双方另行约定时间进行验收。</w:t>
      </w:r>
    </w:p>
    <w:p w14:paraId="46E47C52">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5.2乙方按照本合同约定完成各项服务并提交全部交付物，全部验收合格视为本项目整体验收合格。</w:t>
      </w:r>
    </w:p>
    <w:p w14:paraId="291F94CF">
      <w:pPr>
        <w:pStyle w:val="10"/>
        <w:snapToGrid w:val="0"/>
        <w:spacing w:line="520" w:lineRule="exact"/>
        <w:ind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23B760C5">
      <w:pPr>
        <w:pStyle w:val="10"/>
        <w:snapToGrid w:val="0"/>
        <w:spacing w:line="520" w:lineRule="exact"/>
        <w:ind w:firstLine="480" w:firstLineChars="200"/>
        <w:rPr>
          <w:rFonts w:hint="eastAsia"/>
          <w:kern w:val="2"/>
          <w:sz w:val="24"/>
          <w:szCs w:val="24"/>
          <w:highlight w:val="none"/>
          <w:lang w:val="en-US" w:eastAsia="zh-CN"/>
        </w:rPr>
      </w:pPr>
    </w:p>
    <w:p w14:paraId="54CB5EB4">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第六条  知识产权</w:t>
      </w:r>
    </w:p>
    <w:p w14:paraId="39C9AF6A">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6.1本合同签署前，双方各自所有的知识产权归各自所有，不因本合同的履行而被对方取得。</w:t>
      </w:r>
    </w:p>
    <w:p w14:paraId="3E07FDC6">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6.2 本合同签署后，乙方按照本合同规定向甲方提交的交付物的知识产权属于甲方。</w:t>
      </w:r>
    </w:p>
    <w:p w14:paraId="3AC7387E">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6.3 在遵守保密约定的前提下，乙方有权使用其在履行本合同过程中使用或开发的咨询业务常识、技能、经验、构思、概念和方法，有权为自身或他人制作与本合同项下类似的材料。</w:t>
      </w:r>
    </w:p>
    <w:p w14:paraId="28A443E0">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eastAsia="zh-CN"/>
        </w:rPr>
      </w:pPr>
      <w:r>
        <w:rPr>
          <w:rFonts w:hint="eastAsia" w:ascii="宋体" w:eastAsia="宋体"/>
          <w:kern w:val="2"/>
          <w:sz w:val="24"/>
          <w:szCs w:val="24"/>
          <w:highlight w:val="none"/>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6CD08026">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6.5</w:t>
      </w:r>
      <w:r>
        <w:rPr>
          <w:rFonts w:ascii="宋体" w:eastAsia="宋体"/>
          <w:kern w:val="2"/>
          <w:sz w:val="24"/>
          <w:szCs w:val="24"/>
          <w:highlight w:val="none"/>
          <w:lang w:val="en-US" w:eastAsia="zh-CN"/>
        </w:rPr>
        <w:t>一经发现</w:t>
      </w:r>
      <w:r>
        <w:rPr>
          <w:rFonts w:hint="eastAsia" w:ascii="宋体" w:eastAsia="宋体"/>
          <w:kern w:val="2"/>
          <w:sz w:val="24"/>
          <w:szCs w:val="24"/>
          <w:highlight w:val="none"/>
          <w:lang w:val="en-US" w:eastAsia="zh-CN"/>
        </w:rPr>
        <w:t>乙方</w:t>
      </w:r>
      <w:r>
        <w:rPr>
          <w:rFonts w:ascii="宋体" w:eastAsia="宋体"/>
          <w:kern w:val="2"/>
          <w:sz w:val="24"/>
          <w:szCs w:val="24"/>
          <w:highlight w:val="none"/>
          <w:lang w:val="en-US" w:eastAsia="zh-CN"/>
        </w:rPr>
        <w:t>将</w:t>
      </w:r>
      <w:r>
        <w:rPr>
          <w:rFonts w:hint="eastAsia" w:ascii="宋体" w:eastAsia="宋体"/>
          <w:kern w:val="2"/>
          <w:sz w:val="24"/>
          <w:szCs w:val="24"/>
          <w:highlight w:val="none"/>
          <w:lang w:val="en-US" w:eastAsia="zh-CN"/>
        </w:rPr>
        <w:t>甲方</w:t>
      </w:r>
      <w:r>
        <w:rPr>
          <w:rFonts w:ascii="宋体" w:eastAsia="宋体"/>
          <w:kern w:val="2"/>
          <w:sz w:val="24"/>
          <w:szCs w:val="24"/>
          <w:highlight w:val="none"/>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eastAsia="宋体"/>
          <w:kern w:val="2"/>
          <w:sz w:val="24"/>
          <w:szCs w:val="24"/>
          <w:highlight w:val="none"/>
          <w:lang w:val="en-US" w:eastAsia="zh-CN"/>
        </w:rPr>
        <w:t>乙</w:t>
      </w:r>
      <w:r>
        <w:rPr>
          <w:rFonts w:ascii="宋体" w:eastAsia="宋体"/>
          <w:kern w:val="2"/>
          <w:sz w:val="24"/>
          <w:szCs w:val="24"/>
          <w:highlight w:val="none"/>
          <w:lang w:val="en-US" w:eastAsia="zh-CN"/>
        </w:rPr>
        <w:t>方相应处罚（处罚金额不低于合同金额的10%）</w:t>
      </w:r>
    </w:p>
    <w:p w14:paraId="40EF49DB">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6.6 本合同终止后，本知识产权条款持续有效。</w:t>
      </w:r>
    </w:p>
    <w:p w14:paraId="027F1850">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第七条  服务费用及其支付</w:t>
      </w:r>
    </w:p>
    <w:p w14:paraId="6F4807F7">
      <w:pPr>
        <w:snapToGrid w:val="0"/>
        <w:spacing w:line="520" w:lineRule="exact"/>
        <w:ind w:firstLine="480" w:firstLineChars="200"/>
        <w:rPr>
          <w:rFonts w:hint="eastAsia" w:ascii="宋体"/>
          <w:sz w:val="24"/>
          <w:highlight w:val="none"/>
        </w:rPr>
      </w:pPr>
      <w:r>
        <w:rPr>
          <w:rFonts w:hint="eastAsia" w:ascii="宋体"/>
          <w:sz w:val="24"/>
          <w:highlight w:val="none"/>
        </w:rPr>
        <w:t>7.1 服务费用：</w:t>
      </w:r>
    </w:p>
    <w:p w14:paraId="415A8167">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sz w:val="24"/>
          <w:highlight w:val="none"/>
          <w:lang w:val="en-US" w:eastAsia="zh-CN"/>
        </w:rPr>
        <w:t>对</w:t>
      </w:r>
      <w:r>
        <w:rPr>
          <w:rFonts w:hint="eastAsia" w:ascii="宋体" w:eastAsia="宋体"/>
          <w:sz w:val="24"/>
          <w:highlight w:val="none"/>
          <w:lang w:eastAsia="zh-CN"/>
        </w:rPr>
        <w:t>于工作内容说明书约定的各项服务，甲方同意向乙方支付服务费用（下称“服务费用” ）。服务费用总额为：</w:t>
      </w:r>
      <w:r>
        <w:rPr>
          <w:rFonts w:hint="eastAsia" w:ascii="宋体" w:eastAsia="宋体"/>
          <w:sz w:val="24"/>
          <w:highlight w:val="none"/>
          <w:u w:val="single"/>
          <w:lang w:eastAsia="zh-CN"/>
        </w:rPr>
        <w:t xml:space="preserve">_       </w:t>
      </w:r>
      <w:r>
        <w:rPr>
          <w:rFonts w:ascii="宋体" w:eastAsia="宋体"/>
          <w:sz w:val="24"/>
          <w:highlight w:val="none"/>
          <w:u w:val="single"/>
          <w:lang w:eastAsia="zh-CN"/>
        </w:rPr>
        <w:t>元</w:t>
      </w:r>
      <w:r>
        <w:rPr>
          <w:rFonts w:hint="eastAsia" w:ascii="宋体" w:eastAsia="宋体"/>
          <w:sz w:val="24"/>
          <w:highlight w:val="none"/>
          <w:lang w:eastAsia="zh-CN"/>
        </w:rPr>
        <w:t>（大写：___________元整）,</w:t>
      </w:r>
      <w:r>
        <w:rPr>
          <w:rFonts w:hint="eastAsia" w:ascii="宋体" w:eastAsia="宋体"/>
          <w:sz w:val="24"/>
          <w:highlight w:val="none"/>
          <w:u w:val="single"/>
          <w:lang w:eastAsia="zh-CN"/>
        </w:rPr>
        <w:t xml:space="preserve">其中不含税价为：_       </w:t>
      </w:r>
      <w:r>
        <w:rPr>
          <w:rFonts w:ascii="宋体" w:eastAsia="宋体"/>
          <w:sz w:val="24"/>
          <w:highlight w:val="none"/>
          <w:u w:val="single"/>
          <w:lang w:eastAsia="zh-CN"/>
        </w:rPr>
        <w:t>元</w:t>
      </w:r>
      <w:r>
        <w:rPr>
          <w:rFonts w:hint="eastAsia" w:ascii="宋体" w:eastAsia="宋体"/>
          <w:sz w:val="24"/>
          <w:highlight w:val="none"/>
          <w:lang w:eastAsia="zh-CN"/>
        </w:rPr>
        <w:t>（</w:t>
      </w:r>
      <w:r>
        <w:rPr>
          <w:rFonts w:hint="eastAsia" w:ascii="宋体" w:eastAsia="宋体"/>
          <w:sz w:val="24"/>
          <w:highlight w:val="none"/>
          <w:u w:val="single"/>
          <w:lang w:eastAsia="zh-CN"/>
        </w:rPr>
        <w:t>大写：         整）</w:t>
      </w:r>
      <w:r>
        <w:rPr>
          <w:rFonts w:hint="eastAsia" w:ascii="宋体" w:eastAsia="宋体"/>
          <w:sz w:val="24"/>
          <w:highlight w:val="none"/>
          <w:lang w:eastAsia="zh-CN"/>
        </w:rPr>
        <w:t>，税额为</w:t>
      </w:r>
      <w:r>
        <w:rPr>
          <w:rFonts w:hint="eastAsia" w:ascii="宋体" w:eastAsia="宋体"/>
          <w:sz w:val="24"/>
          <w:highlight w:val="none"/>
          <w:u w:val="single"/>
          <w:lang w:eastAsia="zh-CN"/>
        </w:rPr>
        <w:t xml:space="preserve">：_       </w:t>
      </w:r>
      <w:r>
        <w:rPr>
          <w:rFonts w:ascii="宋体" w:eastAsia="宋体"/>
          <w:sz w:val="24"/>
          <w:highlight w:val="none"/>
          <w:u w:val="single"/>
          <w:lang w:eastAsia="zh-CN"/>
        </w:rPr>
        <w:t>元</w:t>
      </w:r>
      <w:r>
        <w:rPr>
          <w:rFonts w:hint="eastAsia" w:ascii="宋体" w:eastAsia="宋体"/>
          <w:sz w:val="24"/>
          <w:highlight w:val="none"/>
          <w:lang w:eastAsia="zh-CN"/>
        </w:rPr>
        <w:t>（</w:t>
      </w:r>
      <w:r>
        <w:rPr>
          <w:rFonts w:hint="eastAsia" w:ascii="宋体" w:eastAsia="宋体"/>
          <w:sz w:val="24"/>
          <w:highlight w:val="none"/>
          <w:u w:val="single"/>
          <w:lang w:eastAsia="zh-CN"/>
        </w:rPr>
        <w:t>大写：         整）</w:t>
      </w:r>
      <w:r>
        <w:rPr>
          <w:rFonts w:hint="eastAsia" w:ascii="宋体" w:eastAsia="宋体"/>
          <w:sz w:val="24"/>
          <w:highlight w:val="none"/>
          <w:lang w:eastAsia="zh-CN"/>
        </w:rPr>
        <w:t>；不含税价格不因国家税率变化而变化，若在合同履行期间，如遇国家的税率调整，则价税</w:t>
      </w:r>
      <w:r>
        <w:rPr>
          <w:rFonts w:hint="eastAsia" w:ascii="宋体" w:eastAsia="宋体"/>
          <w:sz w:val="24"/>
          <w:szCs w:val="24"/>
          <w:highlight w:val="none"/>
          <w:lang w:eastAsia="zh-CN"/>
        </w:rPr>
        <w:t>合计应相应调整，以开具发票的时间为准。乙方须严格按照合同内容开具税率为</w:t>
      </w:r>
      <w:r>
        <w:rPr>
          <w:rFonts w:hint="eastAsia" w:ascii="宋体" w:eastAsia="宋体"/>
          <w:b/>
          <w:sz w:val="24"/>
          <w:szCs w:val="24"/>
          <w:highlight w:val="none"/>
          <w:lang w:eastAsia="zh-CN"/>
        </w:rPr>
        <w:t>6%</w:t>
      </w:r>
      <w:r>
        <w:rPr>
          <w:rFonts w:hint="eastAsia" w:ascii="宋体" w:eastAsia="宋体"/>
          <w:sz w:val="24"/>
          <w:szCs w:val="24"/>
          <w:highlight w:val="none"/>
          <w:lang w:eastAsia="zh-CN"/>
        </w:rPr>
        <w:t>的增值税专用发票</w:t>
      </w:r>
      <w:r>
        <w:rPr>
          <w:rFonts w:hint="eastAsia" w:ascii="宋体" w:eastAsia="宋体"/>
          <w:kern w:val="2"/>
          <w:sz w:val="24"/>
          <w:szCs w:val="24"/>
          <w:highlight w:val="none"/>
          <w:lang w:val="en-US" w:eastAsia="zh-CN"/>
        </w:rPr>
        <w:t>。</w:t>
      </w:r>
    </w:p>
    <w:p w14:paraId="1F8038BA">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7.2 支付方式：</w:t>
      </w:r>
    </w:p>
    <w:p w14:paraId="6ADBAEB8">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甲方应按下列规定时间向乙方支付服务费用。</w:t>
      </w:r>
    </w:p>
    <w:p w14:paraId="156C9566">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项目实施结束后，乙方提交项目主要交付物，项目全面验收通过后，甲方依据附件3《服务水平协议》对乙方服务质量作出评价，评价合格后30个工作日内，乙方向甲方提供合法足额的增值税专用发票，甲方支付合同总价的100％，即</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（大写：</w:t>
      </w:r>
      <w:r>
        <w:rPr>
          <w:rFonts w:hint="eastAsia" w:ascii="宋体" w:eastAsia="宋体"/>
          <w:color w:val="auto"/>
          <w:kern w:val="2"/>
          <w:sz w:val="24"/>
          <w:highlight w:val="none"/>
          <w:u w:val="single"/>
          <w:lang w:val="en-US" w:eastAsia="zh-CN"/>
        </w:rPr>
        <w:t xml:space="preserve">          </w:t>
      </w:r>
      <w:r>
        <w:rPr>
          <w:rFonts w:hint="eastAsia" w:ascii="宋体" w:eastAsia="宋体"/>
          <w:color w:val="auto"/>
          <w:kern w:val="2"/>
          <w:sz w:val="24"/>
          <w:highlight w:val="none"/>
          <w:lang w:val="en-US" w:eastAsia="zh-CN"/>
        </w:rPr>
        <w:t>元整 ），否则按《服务水平协议》进行相应金额扣除。</w:t>
      </w:r>
    </w:p>
    <w:p w14:paraId="5B085193">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ascii="宋体" w:eastAsia="宋体"/>
          <w:b/>
          <w:sz w:val="24"/>
          <w:highlight w:val="none"/>
          <w:lang w:val="en-US" w:eastAsia="zh-CN"/>
        </w:rPr>
      </w:pPr>
      <w:r>
        <w:rPr>
          <w:rFonts w:hint="eastAsia" w:ascii="宋体" w:eastAsia="宋体"/>
          <w:b/>
          <w:sz w:val="24"/>
          <w:highlight w:val="none"/>
          <w:lang w:eastAsia="zh-CN"/>
        </w:rPr>
        <w:t>第八条  保密条款</w:t>
      </w:r>
    </w:p>
    <w:p w14:paraId="799ECA49">
      <w:pPr>
        <w:pStyle w:val="9"/>
        <w:bidi w:val="0"/>
        <w:rPr>
          <w:rFonts w:hint="eastAsia"/>
          <w:highlight w:val="none"/>
          <w:lang w:val="en-US" w:eastAsia="zh-CN"/>
        </w:rPr>
      </w:pPr>
      <w:r>
        <w:rPr>
          <w:rFonts w:hint="eastAsia"/>
          <w:highlight w:val="none"/>
          <w:lang w:val="en-US" w:eastAsia="zh-CN"/>
        </w:rPr>
        <w:t>8.1 本合同项下的所有条款。乙方外包人员须与甲方签订相应诚信安全承诺书。</w:t>
      </w:r>
    </w:p>
    <w:p w14:paraId="2D80B391">
      <w:pPr>
        <w:pStyle w:val="9"/>
        <w:bidi w:val="0"/>
        <w:rPr>
          <w:highlight w:val="none"/>
          <w:lang w:val="en-US" w:eastAsia="zh-CN"/>
        </w:rPr>
      </w:pPr>
      <w:r>
        <w:rPr>
          <w:rFonts w:hint="eastAsia"/>
          <w:highlight w:val="none"/>
          <w:lang w:val="en-US" w:eastAsia="zh-CN"/>
        </w:rPr>
        <w:t>8.</w:t>
      </w:r>
      <w:r>
        <w:rPr>
          <w:highlight w:val="none"/>
          <w:lang w:val="en-US" w:eastAsia="zh-CN"/>
        </w:rPr>
        <w:t>2</w:t>
      </w:r>
      <w:r>
        <w:rPr>
          <w:rFonts w:hint="eastAsia"/>
          <w:highlight w:val="none"/>
          <w:lang w:val="en-US" w:eastAsia="zh-CN"/>
        </w:rPr>
        <w:t>乙方应对本合同所述的客户信息、技术资料、业务流程、数据等</w:t>
      </w:r>
      <w:r>
        <w:rPr>
          <w:highlight w:val="none"/>
          <w:lang w:val="en-US" w:eastAsia="zh-CN"/>
        </w:rPr>
        <w:t>重要</w:t>
      </w:r>
      <w:r>
        <w:rPr>
          <w:rFonts w:hint="eastAsia"/>
          <w:highlight w:val="none"/>
          <w:lang w:val="en-US" w:eastAsia="zh-CN"/>
        </w:rPr>
        <w:t>信息采取保密措施，未经甲方的书面同意，乙方不得在合同允许范围外使用、披露、向无关人员或第三方透露，也不能就有关合同内容的任何部分进行新闻的发布、公开的宣称、否认或承认。</w:t>
      </w:r>
    </w:p>
    <w:p w14:paraId="1589C067">
      <w:pPr>
        <w:pStyle w:val="9"/>
        <w:bidi w:val="0"/>
        <w:rPr>
          <w:highlight w:val="none"/>
          <w:lang w:val="en-US" w:eastAsia="zh-CN"/>
        </w:rPr>
      </w:pPr>
      <w:r>
        <w:rPr>
          <w:rFonts w:hint="eastAsia"/>
          <w:highlight w:val="none"/>
          <w:lang w:val="en-US" w:eastAsia="zh-CN"/>
        </w:rPr>
        <w:t>8.</w:t>
      </w:r>
      <w:r>
        <w:rPr>
          <w:highlight w:val="none"/>
          <w:lang w:val="en-US" w:eastAsia="zh-CN"/>
        </w:rPr>
        <w:t>3</w:t>
      </w:r>
      <w:r>
        <w:rPr>
          <w:rFonts w:hint="eastAsia"/>
          <w:highlight w:val="none"/>
          <w:lang w:val="en-US" w:eastAsia="zh-CN"/>
        </w:rPr>
        <w:t xml:space="preserve"> 乙方不得以甲方名义开展活动，不得将甲方数据、信息以任何形式转移、挪用或谋取合同约定以外的利益。</w:t>
      </w:r>
    </w:p>
    <w:p w14:paraId="163A637A">
      <w:pPr>
        <w:pStyle w:val="9"/>
        <w:bidi w:val="0"/>
        <w:rPr>
          <w:rFonts w:hint="eastAsia"/>
          <w:highlight w:val="none"/>
          <w:lang w:val="en-US" w:eastAsia="zh-CN"/>
        </w:rPr>
      </w:pPr>
      <w:r>
        <w:rPr>
          <w:rFonts w:hint="eastAsia"/>
          <w:highlight w:val="none"/>
          <w:lang w:val="en-US" w:eastAsia="zh-CN"/>
        </w:rPr>
        <w:t>8.4乙方知道违反本条规定将给甲方客户权利以及甲方造成难以弥补的损失，为此同意承担由此产生的经济上和法律上的责任。</w:t>
      </w:r>
    </w:p>
    <w:p w14:paraId="6CFBE122">
      <w:pPr>
        <w:pStyle w:val="9"/>
        <w:bidi w:val="0"/>
        <w:rPr>
          <w:rFonts w:hint="eastAsia"/>
          <w:highlight w:val="none"/>
          <w:lang w:val="en-US" w:eastAsia="zh-CN"/>
        </w:rPr>
      </w:pPr>
      <w:r>
        <w:rPr>
          <w:rFonts w:hint="eastAsia"/>
          <w:highlight w:val="none"/>
          <w:lang w:val="en-US" w:eastAsia="zh-CN"/>
        </w:rPr>
        <w:t>8.5 乙方承认本合同中的技术资料和技术秘密为甲方所专有，将其对乙方进行披露并不意味着任何所有权、专利权的转让。</w:t>
      </w:r>
    </w:p>
    <w:p w14:paraId="3F835608">
      <w:pPr>
        <w:pStyle w:val="9"/>
        <w:bidi w:val="0"/>
        <w:rPr>
          <w:rFonts w:hint="eastAsia"/>
          <w:highlight w:val="none"/>
          <w:lang w:val="en-US" w:eastAsia="zh-CN"/>
        </w:rPr>
      </w:pPr>
      <w:r>
        <w:rPr>
          <w:rFonts w:hint="eastAsia"/>
          <w:highlight w:val="none"/>
          <w:lang w:val="en-US" w:eastAsia="zh-CN"/>
        </w:rPr>
        <w:t>8.6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4F2A7874">
      <w:pPr>
        <w:pStyle w:val="9"/>
        <w:bidi w:val="0"/>
        <w:rPr>
          <w:rFonts w:hint="eastAsia"/>
          <w:highlight w:val="none"/>
          <w:lang w:val="en-US" w:eastAsia="zh-CN"/>
        </w:rPr>
      </w:pPr>
      <w:r>
        <w:rPr>
          <w:rFonts w:hint="eastAsia"/>
          <w:highlight w:val="none"/>
          <w:lang w:val="en-US" w:eastAsia="zh-CN"/>
        </w:rPr>
        <w:t>8.7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29BEDAB3">
      <w:pPr>
        <w:pStyle w:val="9"/>
        <w:bidi w:val="0"/>
        <w:rPr>
          <w:rFonts w:hint="eastAsia"/>
          <w:highlight w:val="none"/>
          <w:lang w:val="en-US" w:eastAsia="zh-CN"/>
        </w:rPr>
      </w:pPr>
      <w:r>
        <w:rPr>
          <w:rFonts w:hint="eastAsia"/>
          <w:highlight w:val="none"/>
          <w:lang w:val="en-US" w:eastAsia="zh-CN"/>
        </w:rPr>
        <w:t>8.8 除非甲方特别声明，乙方对于保密信息的保密义务为无限期保密，直至甲方宣布解密或者保密信息实际上已经公开。</w:t>
      </w:r>
    </w:p>
    <w:p w14:paraId="201EB95F">
      <w:pPr>
        <w:pStyle w:val="9"/>
        <w:bidi w:val="0"/>
        <w:rPr>
          <w:rFonts w:hint="eastAsia"/>
          <w:highlight w:val="none"/>
          <w:lang w:val="en-US" w:eastAsia="zh-CN"/>
        </w:rPr>
      </w:pPr>
      <w:r>
        <w:rPr>
          <w:rFonts w:hint="eastAsia"/>
          <w:highlight w:val="none"/>
          <w:lang w:val="en-US" w:eastAsia="zh-CN"/>
        </w:rPr>
        <w:t>8.9 任何一方违反本章约定均被视为违约，违约方应承担违约责任。</w:t>
      </w:r>
    </w:p>
    <w:p w14:paraId="1AACCD0F">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第九条  合同的解除和终止</w:t>
      </w:r>
    </w:p>
    <w:p w14:paraId="571C5568">
      <w:pPr>
        <w:pStyle w:val="9"/>
        <w:bidi w:val="0"/>
        <w:rPr>
          <w:rFonts w:hint="eastAsia"/>
          <w:highlight w:val="none"/>
          <w:lang w:val="en-US" w:eastAsia="zh-CN"/>
        </w:rPr>
      </w:pPr>
      <w:r>
        <w:rPr>
          <w:rFonts w:hint="eastAsia"/>
          <w:highlight w:val="none"/>
          <w:lang w:val="en-US" w:eastAsia="zh-CN"/>
        </w:rPr>
        <w:t>9.1 如果满足以下条件，任一方在通知对方后，都可以解除本合同：</w:t>
      </w:r>
    </w:p>
    <w:p w14:paraId="74124CBA">
      <w:pPr>
        <w:pStyle w:val="9"/>
        <w:bidi w:val="0"/>
        <w:rPr>
          <w:rFonts w:hint="eastAsia"/>
          <w:highlight w:val="none"/>
          <w:lang w:val="en-US" w:eastAsia="zh-CN"/>
        </w:rPr>
      </w:pPr>
      <w:r>
        <w:rPr>
          <w:rFonts w:hint="eastAsia"/>
          <w:highlight w:val="none"/>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3C5E3310">
      <w:pPr>
        <w:pStyle w:val="9"/>
        <w:bidi w:val="0"/>
        <w:rPr>
          <w:rFonts w:hint="eastAsia"/>
          <w:highlight w:val="none"/>
          <w:lang w:val="en-US" w:eastAsia="zh-CN"/>
        </w:rPr>
      </w:pPr>
      <w:r>
        <w:rPr>
          <w:rFonts w:hint="eastAsia"/>
          <w:highlight w:val="none"/>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1646664B">
      <w:pPr>
        <w:pStyle w:val="9"/>
        <w:bidi w:val="0"/>
        <w:rPr>
          <w:highlight w:val="none"/>
          <w:lang w:val="en-US" w:eastAsia="zh-CN"/>
        </w:rPr>
      </w:pPr>
      <w:r>
        <w:rPr>
          <w:rFonts w:hint="eastAsia"/>
          <w:highlight w:val="none"/>
          <w:lang w:val="en-US" w:eastAsia="zh-CN"/>
        </w:rPr>
        <w:t>9.2 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归还对方。</w:t>
      </w:r>
    </w:p>
    <w:p w14:paraId="59F52E5F">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第十条 违约责任</w:t>
      </w:r>
    </w:p>
    <w:p w14:paraId="678E134B">
      <w:pPr>
        <w:autoSpaceDE w:val="0"/>
        <w:autoSpaceDN w:val="0"/>
        <w:adjustRightInd w:val="0"/>
        <w:snapToGrid w:val="0"/>
        <w:spacing w:line="520" w:lineRule="exact"/>
        <w:ind w:firstLine="480" w:firstLineChars="200"/>
        <w:jc w:val="left"/>
        <w:rPr>
          <w:rFonts w:hint="eastAsia" w:ascii="宋体"/>
          <w:kern w:val="0"/>
          <w:sz w:val="24"/>
          <w:highlight w:val="none"/>
        </w:rPr>
      </w:pPr>
      <w:r>
        <w:rPr>
          <w:rFonts w:hint="eastAsia" w:ascii="宋体"/>
          <w:kern w:val="0"/>
          <w:sz w:val="24"/>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1ABCDF49">
      <w:pPr>
        <w:autoSpaceDE w:val="0"/>
        <w:autoSpaceDN w:val="0"/>
        <w:adjustRightInd w:val="0"/>
        <w:snapToGrid w:val="0"/>
        <w:spacing w:line="520" w:lineRule="exact"/>
        <w:ind w:firstLine="480" w:firstLineChars="200"/>
        <w:jc w:val="left"/>
        <w:rPr>
          <w:rFonts w:hint="eastAsia" w:ascii="宋体"/>
          <w:b/>
          <w:kern w:val="0"/>
          <w:sz w:val="24"/>
          <w:highlight w:val="none"/>
        </w:rPr>
      </w:pPr>
      <w:r>
        <w:rPr>
          <w:rFonts w:hint="eastAsia" w:ascii="宋体"/>
          <w:kern w:val="0"/>
          <w:sz w:val="24"/>
          <w:highlight w:val="none"/>
        </w:rPr>
        <w:t>10.2 违约金的计算方法如下：</w:t>
      </w:r>
    </w:p>
    <w:p w14:paraId="244B3EA1">
      <w:pPr>
        <w:autoSpaceDE w:val="0"/>
        <w:autoSpaceDN w:val="0"/>
        <w:adjustRightInd w:val="0"/>
        <w:snapToGrid w:val="0"/>
        <w:spacing w:line="520" w:lineRule="exact"/>
        <w:ind w:firstLine="480" w:firstLineChars="200"/>
        <w:jc w:val="left"/>
        <w:rPr>
          <w:rFonts w:hint="eastAsia" w:ascii="宋体"/>
          <w:kern w:val="0"/>
          <w:sz w:val="24"/>
          <w:highlight w:val="none"/>
        </w:rPr>
      </w:pPr>
      <w:r>
        <w:rPr>
          <w:rFonts w:hint="eastAsia" w:ascii="宋体"/>
          <w:kern w:val="0"/>
          <w:sz w:val="24"/>
          <w:highlight w:val="none"/>
        </w:rPr>
        <w:t>（1）因甲方原因未按本合同的规定向乙方付款的，逾期超过一个月后，每逾期一日，应向乙方偿付欠款金额万分之五的违约金；</w:t>
      </w:r>
    </w:p>
    <w:p w14:paraId="13A870F5">
      <w:pPr>
        <w:autoSpaceDE w:val="0"/>
        <w:autoSpaceDN w:val="0"/>
        <w:adjustRightInd w:val="0"/>
        <w:snapToGrid w:val="0"/>
        <w:spacing w:line="520" w:lineRule="exact"/>
        <w:ind w:firstLine="480" w:firstLineChars="200"/>
        <w:jc w:val="left"/>
        <w:rPr>
          <w:rFonts w:hint="eastAsia" w:ascii="宋体"/>
          <w:kern w:val="0"/>
          <w:sz w:val="24"/>
          <w:highlight w:val="none"/>
        </w:rPr>
      </w:pPr>
      <w:r>
        <w:rPr>
          <w:rFonts w:hint="eastAsia" w:ascii="宋体"/>
          <w:kern w:val="0"/>
          <w:sz w:val="24"/>
          <w:highlight w:val="none"/>
        </w:rPr>
        <w:t>（2）如果因为乙方原因没有在按期完成项目服务工作，每逾期一天，乙方应按照相应服务费的万分之五向甲方支付违约金。</w:t>
      </w:r>
    </w:p>
    <w:p w14:paraId="0849E3D4">
      <w:pPr>
        <w:autoSpaceDE w:val="0"/>
        <w:autoSpaceDN w:val="0"/>
        <w:adjustRightInd w:val="0"/>
        <w:snapToGrid w:val="0"/>
        <w:spacing w:line="520" w:lineRule="exact"/>
        <w:ind w:firstLine="480" w:firstLineChars="200"/>
        <w:jc w:val="left"/>
        <w:rPr>
          <w:rFonts w:hint="eastAsia" w:ascii="宋体"/>
          <w:kern w:val="0"/>
          <w:sz w:val="24"/>
          <w:highlight w:val="none"/>
        </w:rPr>
      </w:pPr>
      <w:r>
        <w:rPr>
          <w:rFonts w:hint="eastAsia" w:ascii="宋体"/>
          <w:kern w:val="0"/>
          <w:sz w:val="24"/>
          <w:highlight w:val="none"/>
        </w:rPr>
        <w:t>10.3 如果甲方未履行本合同规定的付款以外的义务，致使乙方无法履行相应的义务的，除项目服务期限相应顺延外，由此产生的后果由甲方承担，乙方对此免责。</w:t>
      </w:r>
    </w:p>
    <w:p w14:paraId="269D3AE1">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10.4若乙方未能完成甲方委托的咨询任务，则承担本合同总额20%的违约金，并返还甲方已支付的费用。</w:t>
      </w:r>
    </w:p>
    <w:p w14:paraId="7929086B">
      <w:pPr>
        <w:snapToGrid w:val="0"/>
        <w:spacing w:line="520" w:lineRule="exact"/>
        <w:ind w:firstLine="480" w:firstLineChars="200"/>
        <w:rPr>
          <w:rFonts w:ascii="宋体"/>
          <w:kern w:val="0"/>
          <w:sz w:val="24"/>
          <w:highlight w:val="none"/>
        </w:rPr>
      </w:pPr>
      <w:r>
        <w:rPr>
          <w:rFonts w:hint="eastAsia" w:ascii="宋体"/>
          <w:kern w:val="0"/>
          <w:sz w:val="24"/>
          <w:highlight w:val="none"/>
        </w:rPr>
        <w:t>10.5乙方将甲方支付的咨询费用用于履行合同以外的目的，甲方有权制止并要求其纠正。如因此造成本合同项目停滞、延误或失败的，乙方应当承担给甲方造成的损失赔偿责任。</w:t>
      </w:r>
    </w:p>
    <w:p w14:paraId="5E6C5608">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w:t>
      </w:r>
      <w:r>
        <w:rPr>
          <w:rFonts w:ascii="宋体"/>
          <w:kern w:val="0"/>
          <w:sz w:val="24"/>
          <w:highlight w:val="none"/>
        </w:rPr>
        <w:t>0</w:t>
      </w:r>
      <w:r>
        <w:rPr>
          <w:rFonts w:hint="eastAsia" w:ascii="宋体"/>
          <w:kern w:val="0"/>
          <w:sz w:val="24"/>
          <w:highlight w:val="none"/>
        </w:rPr>
        <w:t>.</w:t>
      </w:r>
      <w:r>
        <w:rPr>
          <w:rFonts w:ascii="宋体"/>
          <w:kern w:val="0"/>
          <w:sz w:val="24"/>
          <w:highlight w:val="none"/>
        </w:rPr>
        <w:t>6</w:t>
      </w:r>
      <w:r>
        <w:rPr>
          <w:rFonts w:hint="eastAsia" w:ascii="宋体"/>
          <w:kern w:val="0"/>
          <w:sz w:val="24"/>
          <w:highlight w:val="none"/>
        </w:rPr>
        <w:t>除本条及附件3《服务水平协议（SLA）》另有约定外，乙方违反本合同任一条款的，应向甲方支付合同总额5%的违约金并赔偿甲方产生的损失。</w:t>
      </w:r>
    </w:p>
    <w:p w14:paraId="0B034B25">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w:t>
      </w:r>
      <w:r>
        <w:rPr>
          <w:rFonts w:ascii="宋体"/>
          <w:kern w:val="0"/>
          <w:sz w:val="24"/>
          <w:highlight w:val="none"/>
        </w:rPr>
        <w:t>0</w:t>
      </w:r>
      <w:r>
        <w:rPr>
          <w:rFonts w:hint="eastAsia" w:ascii="宋体"/>
          <w:kern w:val="0"/>
          <w:sz w:val="24"/>
          <w:highlight w:val="none"/>
        </w:rPr>
        <w:t>.</w:t>
      </w:r>
      <w:r>
        <w:rPr>
          <w:rFonts w:ascii="宋体"/>
          <w:kern w:val="0"/>
          <w:sz w:val="24"/>
          <w:highlight w:val="none"/>
        </w:rPr>
        <w:t>7</w:t>
      </w:r>
      <w:r>
        <w:rPr>
          <w:rFonts w:hint="eastAsia" w:ascii="宋体"/>
          <w:kern w:val="0"/>
          <w:sz w:val="24"/>
          <w:highlight w:val="none"/>
        </w:rPr>
        <w:t>本合同项下乙方应支付的违约金、赔偿金等，甲方均有权从应支付给乙方的款项中优先扣除，若有不足，乙方应另行筹措资金补足。</w:t>
      </w:r>
    </w:p>
    <w:p w14:paraId="5CC19068">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第十一条  不可抗力</w:t>
      </w:r>
    </w:p>
    <w:p w14:paraId="3FD81218">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11.1 不可抗力是指本合同生效后，发生不能预见并且对其发生和后果不能防止或避免的事件，如地震、台风、水灾、火灾、战争、传染病等，致使直接影响本合同的履行或不能按约定的条件履行。</w:t>
      </w:r>
    </w:p>
    <w:p w14:paraId="74AD947F">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11.2 发生不可抗力的一方应立即通知对方，并在十五天内提供不可抗力的详情及将有关证明文件送交对方。</w:t>
      </w:r>
    </w:p>
    <w:p w14:paraId="3A160FE4">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11.3 发生不可抗力事件时，甲乙双方应协商以寻找一个合理的解决方法，并尽一切努力减轻不可抗力产生的后果。</w:t>
      </w:r>
    </w:p>
    <w:p w14:paraId="4957655A">
      <w:pPr>
        <w:snapToGrid w:val="0"/>
        <w:spacing w:line="520" w:lineRule="exact"/>
        <w:ind w:firstLine="480" w:firstLineChars="200"/>
        <w:rPr>
          <w:rFonts w:hint="eastAsia" w:ascii="宋体"/>
          <w:kern w:val="0"/>
          <w:sz w:val="24"/>
          <w:highlight w:val="none"/>
        </w:rPr>
      </w:pPr>
      <w:r>
        <w:rPr>
          <w:rFonts w:hint="eastAsia" w:ascii="宋体"/>
          <w:kern w:val="0"/>
          <w:sz w:val="24"/>
          <w:highlight w:val="none"/>
        </w:rPr>
        <w:t>11.4 如不可抗力事件持续三十天时，甲乙双方应友好协商解决本合同是否继续履行或终止的问题。</w:t>
      </w:r>
    </w:p>
    <w:p w14:paraId="26C11237">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第十二条  争议解决</w:t>
      </w:r>
    </w:p>
    <w:p w14:paraId="66E681AD">
      <w:pPr>
        <w:pStyle w:val="10"/>
        <w:tabs>
          <w:tab w:val="right" w:pos="0"/>
          <w:tab w:val="clear" w:pos="630"/>
          <w:tab w:val="clear" w:pos="8730"/>
        </w:tabs>
        <w:adjustRightInd w:val="0"/>
        <w:snapToGrid w:val="0"/>
        <w:spacing w:line="520" w:lineRule="exact"/>
        <w:ind w:right="16"/>
        <w:rPr>
          <w:rFonts w:hint="eastAsia" w:ascii="宋体" w:eastAsia="宋体"/>
          <w:kern w:val="2"/>
          <w:sz w:val="24"/>
          <w:highlight w:val="none"/>
          <w:lang w:val="en-US" w:eastAsia="zh-CN"/>
        </w:rPr>
      </w:pPr>
      <w:r>
        <w:rPr>
          <w:rFonts w:hint="eastAsia" w:ascii="宋体" w:eastAsia="宋体"/>
          <w:kern w:val="2"/>
          <w:sz w:val="24"/>
          <w:highlight w:val="none"/>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kern w:val="2"/>
          <w:sz w:val="24"/>
          <w:highlight w:val="none"/>
          <w:lang w:eastAsia="zh-CN"/>
        </w:rPr>
        <w:t>本合同首部载明的甲方地址所在地有管辖权的人民法院起诉</w:t>
      </w:r>
      <w:r>
        <w:rPr>
          <w:rFonts w:hint="eastAsia" w:ascii="宋体" w:eastAsia="宋体"/>
          <w:kern w:val="2"/>
          <w:sz w:val="24"/>
          <w:highlight w:val="none"/>
          <w:lang w:val="en-US" w:eastAsia="zh-CN"/>
        </w:rPr>
        <w:t>。</w:t>
      </w:r>
    </w:p>
    <w:p w14:paraId="0D0DD6D8">
      <w:pPr>
        <w:pStyle w:val="10"/>
        <w:tabs>
          <w:tab w:val="right" w:pos="0"/>
          <w:tab w:val="clear" w:pos="630"/>
          <w:tab w:val="clear" w:pos="8730"/>
        </w:tabs>
        <w:adjustRightInd w:val="0"/>
        <w:snapToGrid w:val="0"/>
        <w:spacing w:line="520" w:lineRule="exact"/>
        <w:ind w:right="16"/>
        <w:rPr>
          <w:rFonts w:hint="eastAsia" w:ascii="宋体" w:eastAsia="宋体"/>
          <w:kern w:val="2"/>
          <w:sz w:val="24"/>
          <w:highlight w:val="none"/>
          <w:lang w:val="en-US" w:eastAsia="zh-CN"/>
        </w:rPr>
      </w:pPr>
    </w:p>
    <w:p w14:paraId="080BAB52">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第十三条 通知与送达</w:t>
      </w:r>
    </w:p>
    <w:p w14:paraId="02BE2FD0">
      <w:pPr>
        <w:pStyle w:val="10"/>
        <w:tabs>
          <w:tab w:val="right" w:pos="0"/>
        </w:tabs>
        <w:snapToGrid w:val="0"/>
        <w:spacing w:line="520" w:lineRule="exact"/>
        <w:ind w:right="16"/>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4F2E3967">
      <w:pPr>
        <w:pStyle w:val="10"/>
        <w:tabs>
          <w:tab w:val="right" w:pos="0"/>
        </w:tabs>
        <w:snapToGrid w:val="0"/>
        <w:spacing w:line="520" w:lineRule="exact"/>
        <w:ind w:right="16"/>
        <w:rPr>
          <w:rFonts w:hint="eastAsia" w:ascii="宋体" w:eastAsia="宋体"/>
          <w:kern w:val="2"/>
          <w:sz w:val="24"/>
          <w:szCs w:val="24"/>
          <w:highlight w:val="none"/>
          <w:lang w:val="en-US" w:eastAsia="zh-CN"/>
        </w:rPr>
      </w:pPr>
      <w:r>
        <w:rPr>
          <w:rFonts w:hint="eastAsia" w:ascii="宋体" w:eastAsia="宋体"/>
          <w:kern w:val="2"/>
          <w:sz w:val="24"/>
          <w:szCs w:val="24"/>
          <w:highlight w:val="none"/>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A4C4F58">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第十四条  合同的补充和变更</w:t>
      </w:r>
    </w:p>
    <w:p w14:paraId="6C521744">
      <w:pPr>
        <w:adjustRightInd w:val="0"/>
        <w:snapToGrid w:val="0"/>
        <w:spacing w:line="520" w:lineRule="exact"/>
        <w:rPr>
          <w:rFonts w:hint="eastAsia" w:ascii="宋体"/>
          <w:sz w:val="24"/>
          <w:highlight w:val="none"/>
        </w:rPr>
      </w:pPr>
      <w:r>
        <w:rPr>
          <w:rFonts w:hint="eastAsia" w:ascii="宋体"/>
          <w:sz w:val="24"/>
          <w:highlight w:val="none"/>
        </w:rPr>
        <w:t>14.1 本合同的未尽事宜，由甲乙双方友好协商，以签署补充协议约定。</w:t>
      </w:r>
    </w:p>
    <w:p w14:paraId="0D5C4DDB">
      <w:pPr>
        <w:adjustRightInd w:val="0"/>
        <w:snapToGrid w:val="0"/>
        <w:spacing w:line="520" w:lineRule="exact"/>
        <w:rPr>
          <w:rFonts w:hint="eastAsia" w:ascii="宋体"/>
          <w:sz w:val="24"/>
          <w:highlight w:val="none"/>
        </w:rPr>
      </w:pPr>
      <w:r>
        <w:rPr>
          <w:rFonts w:hint="eastAsia" w:ascii="宋体"/>
          <w:sz w:val="24"/>
          <w:highlight w:val="none"/>
        </w:rPr>
        <w:t>14.2 双方协商一致可以对本合同进行变更。双方就变更以书面形式确认后，变更即可生效。变更后的条款替代本合同原有条款，构成本合同不可分割的一部分。</w:t>
      </w:r>
    </w:p>
    <w:p w14:paraId="5A243BBC">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第十五条  合同的生效</w:t>
      </w:r>
    </w:p>
    <w:p w14:paraId="168E2C1B">
      <w:pPr>
        <w:pStyle w:val="10"/>
        <w:tabs>
          <w:tab w:val="right" w:pos="0"/>
          <w:tab w:val="clear" w:pos="630"/>
          <w:tab w:val="clear" w:pos="8730"/>
        </w:tabs>
        <w:adjustRightInd w:val="0"/>
        <w:snapToGrid w:val="0"/>
        <w:spacing w:line="520" w:lineRule="exact"/>
        <w:ind w:right="17"/>
        <w:rPr>
          <w:rFonts w:hint="eastAsia" w:ascii="宋体" w:eastAsia="宋体"/>
          <w:kern w:val="2"/>
          <w:sz w:val="24"/>
          <w:highlight w:val="none"/>
          <w:lang w:val="en-US" w:eastAsia="zh-CN"/>
        </w:rPr>
      </w:pPr>
      <w:r>
        <w:rPr>
          <w:rFonts w:hint="eastAsia" w:ascii="宋体" w:eastAsia="宋体"/>
          <w:kern w:val="2"/>
          <w:sz w:val="24"/>
          <w:highlight w:val="none"/>
          <w:lang w:val="en-US" w:eastAsia="zh-CN"/>
        </w:rPr>
        <w:t>甲乙双方对本合同及其全部附件内容达成一致并加盖公章后生效。</w:t>
      </w:r>
    </w:p>
    <w:p w14:paraId="4C74AFDB">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第十六条  合同附件</w:t>
      </w:r>
    </w:p>
    <w:p w14:paraId="5848DB0C">
      <w:pPr>
        <w:snapToGrid w:val="0"/>
        <w:spacing w:line="520" w:lineRule="exact"/>
        <w:ind w:firstLine="559" w:firstLineChars="233"/>
        <w:rPr>
          <w:rFonts w:hint="eastAsia" w:ascii="宋体"/>
          <w:sz w:val="24"/>
          <w:szCs w:val="20"/>
          <w:highlight w:val="none"/>
        </w:rPr>
      </w:pPr>
      <w:r>
        <w:rPr>
          <w:rFonts w:hint="eastAsia" w:ascii="宋体"/>
          <w:sz w:val="24"/>
          <w:szCs w:val="20"/>
          <w:highlight w:val="none"/>
        </w:rPr>
        <w:t>本合同的附件与合同正本具有同等法律效力，主合同与附件如有冲突，以主合同为准。本合同附件如下：</w:t>
      </w:r>
    </w:p>
    <w:p w14:paraId="2DC2D440">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附件1：工作说明书</w:t>
      </w:r>
    </w:p>
    <w:p w14:paraId="2E16F620">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附件2：项目最终验收表</w:t>
      </w:r>
    </w:p>
    <w:p w14:paraId="2F687F6C">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附件3：服务水平协议</w:t>
      </w:r>
    </w:p>
    <w:p w14:paraId="67DC0F9B">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附件4：</w:t>
      </w:r>
      <w:r>
        <w:rPr>
          <w:rFonts w:hint="eastAsia"/>
          <w:color w:val="auto"/>
          <w:sz w:val="24"/>
          <w:highlight w:val="none"/>
        </w:rPr>
        <w:t>服务连续性预案</w:t>
      </w:r>
    </w:p>
    <w:p w14:paraId="2DD1E964">
      <w:pPr>
        <w:snapToGrid w:val="0"/>
        <w:spacing w:line="520" w:lineRule="exact"/>
        <w:ind w:firstLine="480" w:firstLineChars="200"/>
        <w:rPr>
          <w:rFonts w:hint="eastAsia" w:ascii="宋体"/>
          <w:sz w:val="24"/>
          <w:highlight w:val="none"/>
        </w:rPr>
      </w:pPr>
    </w:p>
    <w:p w14:paraId="28145802">
      <w:pPr>
        <w:pStyle w:val="10"/>
        <w:keepNext w:val="0"/>
        <w:keepLines w:val="0"/>
        <w:pageBreakBefore w:val="0"/>
        <w:widowControl/>
        <w:tabs>
          <w:tab w:val="right" w:pos="0"/>
          <w:tab w:val="clear" w:pos="630"/>
          <w:tab w:val="clear" w:pos="8730"/>
        </w:tabs>
        <w:kinsoku/>
        <w:wordWrap/>
        <w:overflowPunct/>
        <w:topLinePunct w:val="0"/>
        <w:autoSpaceDE w:val="0"/>
        <w:autoSpaceDN w:val="0"/>
        <w:bidi w:val="0"/>
        <w:adjustRightInd w:val="0"/>
        <w:snapToGrid w:val="0"/>
        <w:spacing w:line="520" w:lineRule="exact"/>
        <w:ind w:right="17" w:firstLine="482" w:firstLineChars="200"/>
        <w:textAlignment w:val="auto"/>
        <w:outlineLvl w:val="1"/>
        <w:rPr>
          <w:rFonts w:hint="eastAsia" w:ascii="宋体" w:eastAsia="宋体"/>
          <w:b/>
          <w:sz w:val="24"/>
          <w:highlight w:val="none"/>
          <w:lang w:eastAsia="zh-CN"/>
        </w:rPr>
      </w:pPr>
      <w:r>
        <w:rPr>
          <w:rFonts w:hint="eastAsia" w:ascii="宋体" w:eastAsia="宋体"/>
          <w:b/>
          <w:sz w:val="24"/>
          <w:highlight w:val="none"/>
          <w:lang w:eastAsia="zh-CN"/>
        </w:rPr>
        <w:t>第十七条  其它</w:t>
      </w:r>
    </w:p>
    <w:p w14:paraId="1C783C49">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17.1 未经另一方的事先书面同意，任何一方不得将在本合同项下的部分或全部义务进行转让、分许可、分包。</w:t>
      </w:r>
    </w:p>
    <w:p w14:paraId="164ACE86">
      <w:pPr>
        <w:pStyle w:val="10"/>
        <w:tabs>
          <w:tab w:val="right" w:pos="0"/>
          <w:tab w:val="clear" w:pos="630"/>
          <w:tab w:val="clear" w:pos="8730"/>
        </w:tabs>
        <w:adjustRightInd w:val="0"/>
        <w:snapToGrid w:val="0"/>
        <w:spacing w:line="520" w:lineRule="exact"/>
        <w:ind w:right="17"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6E0A32DA">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17.3 本合同一式肆份，双方各持贰份，具有同等法律效力。</w:t>
      </w:r>
    </w:p>
    <w:p w14:paraId="63D5A630">
      <w:pPr>
        <w:pStyle w:val="10"/>
        <w:tabs>
          <w:tab w:val="right" w:pos="0"/>
          <w:tab w:val="clear" w:pos="630"/>
          <w:tab w:val="clear" w:pos="8730"/>
        </w:tabs>
        <w:adjustRightInd w:val="0"/>
        <w:snapToGrid w:val="0"/>
        <w:spacing w:line="520" w:lineRule="exact"/>
        <w:ind w:right="16" w:firstLine="480" w:firstLineChars="200"/>
        <w:rPr>
          <w:rFonts w:hint="eastAsia" w:ascii="宋体" w:eastAsia="宋体"/>
          <w:kern w:val="2"/>
          <w:sz w:val="24"/>
          <w:highlight w:val="none"/>
          <w:lang w:val="en-US" w:eastAsia="zh-CN"/>
        </w:rPr>
      </w:pPr>
      <w:r>
        <w:rPr>
          <w:rFonts w:hint="eastAsia" w:ascii="宋体" w:eastAsia="宋体"/>
          <w:kern w:val="2"/>
          <w:sz w:val="24"/>
          <w:highlight w:val="none"/>
          <w:lang w:val="en-US" w:eastAsia="zh-CN"/>
        </w:rPr>
        <w:t>（以下无正文）</w:t>
      </w:r>
    </w:p>
    <w:p w14:paraId="12F0652E">
      <w:pPr>
        <w:snapToGrid w:val="0"/>
        <w:spacing w:line="520" w:lineRule="exact"/>
        <w:ind w:right="-288"/>
        <w:rPr>
          <w:rFonts w:hint="eastAsia" w:ascii="宋体"/>
          <w:b/>
          <w:snapToGrid w:val="0"/>
          <w:sz w:val="24"/>
          <w:highlight w:val="none"/>
        </w:rPr>
      </w:pPr>
      <w:r>
        <w:rPr>
          <w:rFonts w:hint="eastAsia" w:ascii="宋体"/>
          <w:b/>
          <w:highlight w:val="none"/>
        </w:rPr>
        <w:br w:type="page"/>
      </w:r>
      <w:r>
        <w:rPr>
          <w:rFonts w:hint="eastAsia" w:ascii="宋体"/>
          <w:b/>
          <w:sz w:val="24"/>
          <w:highlight w:val="none"/>
        </w:rPr>
        <w:t>（本页无正文，为编号XXXXXXXX《XXX合同》的签署页）</w:t>
      </w:r>
    </w:p>
    <w:p w14:paraId="1E37730B">
      <w:pPr>
        <w:snapToGrid w:val="0"/>
        <w:spacing w:line="520" w:lineRule="exact"/>
        <w:ind w:right="-288"/>
        <w:rPr>
          <w:rFonts w:hint="eastAsia" w:ascii="宋体"/>
          <w:b/>
          <w:snapToGrid w:val="0"/>
          <w:sz w:val="24"/>
          <w:highlight w:val="none"/>
        </w:rPr>
      </w:pPr>
      <w:r>
        <w:rPr>
          <w:rFonts w:hint="eastAsia" w:ascii="宋体"/>
          <w:b/>
          <w:snapToGrid w:val="0"/>
          <w:sz w:val="24"/>
          <w:highlight w:val="none"/>
        </w:rPr>
        <w:t>甲方：重庆三峡银行股份有限公司         乙方：XXXXXXXXX</w:t>
      </w:r>
    </w:p>
    <w:p w14:paraId="6ECAAAEF">
      <w:pPr>
        <w:snapToGrid w:val="0"/>
        <w:spacing w:line="520" w:lineRule="exact"/>
        <w:ind w:right="-288"/>
        <w:rPr>
          <w:rFonts w:hint="eastAsia" w:ascii="宋体"/>
          <w:b/>
          <w:snapToGrid w:val="0"/>
          <w:sz w:val="24"/>
          <w:highlight w:val="none"/>
        </w:rPr>
      </w:pPr>
    </w:p>
    <w:p w14:paraId="0864A167">
      <w:pPr>
        <w:snapToGrid w:val="0"/>
        <w:spacing w:line="520" w:lineRule="exact"/>
        <w:ind w:right="-429"/>
        <w:rPr>
          <w:rFonts w:hint="eastAsia" w:ascii="宋体"/>
          <w:snapToGrid w:val="0"/>
          <w:sz w:val="24"/>
          <w:highlight w:val="none"/>
          <w:u w:val="single"/>
        </w:rPr>
      </w:pPr>
      <w:r>
        <w:rPr>
          <w:rFonts w:hint="eastAsia" w:ascii="宋体"/>
          <w:snapToGrid w:val="0"/>
          <w:sz w:val="24"/>
          <w:highlight w:val="none"/>
        </w:rPr>
        <w:t xml:space="preserve"> (盖章)：_____________                （盖章）：</w:t>
      </w:r>
      <w:r>
        <w:rPr>
          <w:rFonts w:hint="eastAsia" w:ascii="宋体"/>
          <w:snapToGrid w:val="0"/>
          <w:sz w:val="24"/>
          <w:highlight w:val="none"/>
          <w:u w:val="single"/>
        </w:rPr>
        <w:t xml:space="preserve">            </w:t>
      </w:r>
    </w:p>
    <w:p w14:paraId="4290248B">
      <w:pPr>
        <w:snapToGrid w:val="0"/>
        <w:spacing w:line="520" w:lineRule="exact"/>
        <w:ind w:right="-429"/>
        <w:rPr>
          <w:rFonts w:hint="eastAsia" w:ascii="宋体"/>
          <w:snapToGrid w:val="0"/>
          <w:sz w:val="24"/>
          <w:highlight w:val="none"/>
          <w:u w:val="single"/>
        </w:rPr>
      </w:pPr>
    </w:p>
    <w:p w14:paraId="143F2ACF">
      <w:pPr>
        <w:snapToGrid w:val="0"/>
        <w:spacing w:line="520" w:lineRule="exact"/>
        <w:ind w:left="0" w:right="-429" w:firstLine="720" w:firstLineChars="300"/>
        <w:rPr>
          <w:rFonts w:hint="eastAsia" w:ascii="宋体"/>
          <w:snapToGrid w:val="0"/>
          <w:sz w:val="24"/>
          <w:highlight w:val="none"/>
        </w:rPr>
      </w:pPr>
      <w:r>
        <w:rPr>
          <w:rFonts w:hint="eastAsia" w:ascii="宋体"/>
          <w:snapToGrid w:val="0"/>
          <w:sz w:val="24"/>
          <w:highlight w:val="none"/>
        </w:rPr>
        <w:t>日期：</w:t>
      </w:r>
    </w:p>
    <w:p w14:paraId="47307364">
      <w:pPr>
        <w:pStyle w:val="17"/>
        <w:keepNext w:val="0"/>
        <w:keepLines w:val="0"/>
        <w:pageBreakBefore w:val="0"/>
        <w:widowControl w:val="0"/>
        <w:kinsoku/>
        <w:wordWrap/>
        <w:overflowPunct/>
        <w:topLinePunct w:val="0"/>
        <w:autoSpaceDE w:val="0"/>
        <w:autoSpaceDN w:val="0"/>
        <w:bidi w:val="0"/>
        <w:adjustRightInd/>
        <w:snapToGrid w:val="0"/>
        <w:spacing w:before="0" w:after="0" w:line="520" w:lineRule="exact"/>
        <w:jc w:val="left"/>
        <w:textAlignment w:val="auto"/>
        <w:outlineLvl w:val="1"/>
        <w:rPr>
          <w:rFonts w:hint="eastAsia"/>
          <w:snapToGrid w:val="0"/>
          <w:highlight w:val="none"/>
        </w:rPr>
      </w:pPr>
      <w:r>
        <w:rPr>
          <w:snapToGrid w:val="0"/>
          <w:highlight w:val="none"/>
        </w:rPr>
        <w:br w:type="page"/>
      </w:r>
      <w:bookmarkStart w:id="258" w:name="_Toc1192273282"/>
      <w:r>
        <w:rPr>
          <w:rFonts w:hint="eastAsia" w:ascii="宋体"/>
          <w:snapToGrid w:val="0"/>
          <w:sz w:val="24"/>
          <w:highlight w:val="none"/>
        </w:rPr>
        <w:t>附件1</w:t>
      </w:r>
      <w:bookmarkEnd w:id="258"/>
    </w:p>
    <w:p w14:paraId="5B3662D5">
      <w:pPr>
        <w:pStyle w:val="17"/>
        <w:keepNext w:val="0"/>
        <w:keepLines w:val="0"/>
        <w:pageBreakBefore w:val="0"/>
        <w:widowControl w:val="0"/>
        <w:kinsoku/>
        <w:wordWrap/>
        <w:overflowPunct/>
        <w:topLinePunct w:val="0"/>
        <w:autoSpaceDE w:val="0"/>
        <w:autoSpaceDN w:val="0"/>
        <w:bidi w:val="0"/>
        <w:adjustRightInd/>
        <w:snapToGrid w:val="0"/>
        <w:spacing w:before="0" w:after="0" w:line="520" w:lineRule="exact"/>
        <w:textAlignment w:val="auto"/>
        <w:outlineLvl w:val="1"/>
        <w:rPr>
          <w:rFonts w:hint="eastAsia" w:ascii="方正小标宋_GBK" w:eastAsia="方正小标宋_GBK"/>
          <w:b w:val="0"/>
          <w:snapToGrid w:val="0"/>
          <w:sz w:val="40"/>
          <w:highlight w:val="none"/>
        </w:rPr>
      </w:pPr>
      <w:bookmarkStart w:id="259" w:name="_Toc1435848346"/>
      <w:r>
        <w:rPr>
          <w:rFonts w:hint="eastAsia" w:ascii="方正小标宋_GBK" w:eastAsia="方正小标宋_GBK"/>
          <w:b w:val="0"/>
          <w:snapToGrid w:val="0"/>
          <w:sz w:val="40"/>
          <w:highlight w:val="none"/>
        </w:rPr>
        <w:t>工作说明书</w:t>
      </w:r>
      <w:bookmarkEnd w:id="259"/>
    </w:p>
    <w:p w14:paraId="6BEB90C6">
      <w:pPr>
        <w:keepNext/>
        <w:keepLines/>
        <w:pageBreakBefore w:val="0"/>
        <w:widowControl w:val="0"/>
        <w:kinsoku/>
        <w:wordWrap/>
        <w:overflowPunct/>
        <w:topLinePunct w:val="0"/>
        <w:autoSpaceDE w:val="0"/>
        <w:autoSpaceDN w:val="0"/>
        <w:bidi w:val="0"/>
        <w:adjustRightInd/>
        <w:snapToGrid/>
        <w:spacing w:before="140" w:after="140" w:line="415" w:lineRule="auto"/>
        <w:jc w:val="left"/>
        <w:textAlignment w:val="auto"/>
        <w:outlineLvl w:val="2"/>
        <w:rPr>
          <w:rFonts w:hint="eastAsia" w:ascii="方正黑体_GBK" w:eastAsia="方正黑体_GBK"/>
          <w:bCs/>
          <w:sz w:val="32"/>
          <w:szCs w:val="32"/>
          <w:highlight w:val="none"/>
          <w:lang w:val="en-US" w:eastAsia="zh-CN"/>
        </w:rPr>
      </w:pPr>
      <w:bookmarkStart w:id="260" w:name="_Toc422127535"/>
      <w:r>
        <w:rPr>
          <w:rFonts w:hint="eastAsia" w:ascii="方正黑体_GBK" w:eastAsia="方正黑体_GBK"/>
          <w:bCs/>
          <w:sz w:val="32"/>
          <w:szCs w:val="32"/>
          <w:highlight w:val="none"/>
          <w:lang w:val="en-US" w:eastAsia="zh-CN"/>
        </w:rPr>
        <w:t>第一条  项目目标</w:t>
      </w:r>
    </w:p>
    <w:p w14:paraId="11011AAC">
      <w:pPr>
        <w:tabs>
          <w:tab w:val="left" w:pos="360"/>
          <w:tab w:val="left" w:pos="862"/>
        </w:tabs>
        <w:adjustRightInd w:val="0"/>
        <w:snapToGrid w:val="0"/>
        <w:spacing w:line="360" w:lineRule="auto"/>
        <w:rPr>
          <w:rFonts w:hint="eastAsia" w:ascii="宋体" w:eastAsia="宋体" w:cs="宋体"/>
          <w:sz w:val="24"/>
          <w:highlight w:val="none"/>
          <w:lang w:val="en-US" w:eastAsia="zh-CN"/>
        </w:rPr>
      </w:pPr>
      <w:r>
        <w:rPr>
          <w:rFonts w:hint="eastAsia" w:ascii="宋体" w:eastAsia="宋体" w:cs="宋体"/>
          <w:sz w:val="24"/>
          <w:highlight w:val="none"/>
          <w:lang w:val="en-US" w:eastAsia="zh-CN"/>
        </w:rPr>
        <w:t>圆满完成网络安全竞赛及网络安全宣传周活动的组织和实施工作。</w:t>
      </w:r>
    </w:p>
    <w:p w14:paraId="31300EC9">
      <w:pPr>
        <w:keepNext/>
        <w:keepLines/>
        <w:pageBreakBefore w:val="0"/>
        <w:widowControl w:val="0"/>
        <w:kinsoku/>
        <w:wordWrap/>
        <w:overflowPunct/>
        <w:topLinePunct w:val="0"/>
        <w:autoSpaceDE w:val="0"/>
        <w:autoSpaceDN w:val="0"/>
        <w:bidi w:val="0"/>
        <w:adjustRightInd/>
        <w:snapToGrid/>
        <w:spacing w:before="20" w:after="20" w:line="415" w:lineRule="auto"/>
        <w:jc w:val="left"/>
        <w:textAlignment w:val="auto"/>
        <w:outlineLvl w:val="2"/>
        <w:rPr>
          <w:rFonts w:hint="eastAsia" w:ascii="方正黑体_GBK" w:eastAsia="方正黑体_GBK"/>
          <w:bCs/>
          <w:sz w:val="32"/>
          <w:szCs w:val="32"/>
          <w:highlight w:val="none"/>
          <w:lang w:val="en-US" w:eastAsia="zh-CN"/>
        </w:rPr>
      </w:pPr>
      <w:r>
        <w:rPr>
          <w:rFonts w:hint="eastAsia" w:ascii="方正黑体_GBK" w:eastAsia="方正黑体_GBK"/>
          <w:bCs/>
          <w:sz w:val="32"/>
          <w:szCs w:val="32"/>
          <w:highlight w:val="none"/>
          <w:lang w:val="en-US" w:eastAsia="zh-CN"/>
        </w:rPr>
        <w:t>第二条 项目范围</w:t>
      </w:r>
    </w:p>
    <w:p w14:paraId="444BE9C3">
      <w:pPr>
        <w:keepNext/>
        <w:keepLines/>
        <w:pageBreakBefore w:val="0"/>
        <w:widowControl w:val="0"/>
        <w:kinsoku/>
        <w:wordWrap/>
        <w:overflowPunct/>
        <w:topLinePunct w:val="0"/>
        <w:autoSpaceDE w:val="0"/>
        <w:autoSpaceDN w:val="0"/>
        <w:bidi w:val="0"/>
        <w:adjustRightInd/>
        <w:snapToGrid/>
        <w:spacing w:before="20" w:after="20" w:line="415" w:lineRule="auto"/>
        <w:jc w:val="left"/>
        <w:textAlignment w:val="auto"/>
        <w:outlineLvl w:val="2"/>
        <w:rPr>
          <w:rFonts w:hint="eastAsia" w:ascii="方正黑体_GBK" w:eastAsia="方正黑体_GBK"/>
          <w:bCs/>
          <w:sz w:val="32"/>
          <w:szCs w:val="32"/>
          <w:highlight w:val="none"/>
          <w:lang w:val="en-US" w:eastAsia="zh-CN"/>
        </w:rPr>
      </w:pPr>
      <w:r>
        <w:rPr>
          <w:rFonts w:hint="eastAsia" w:ascii="方正黑体_GBK" w:eastAsia="方正黑体_GBK"/>
          <w:bCs/>
          <w:sz w:val="32"/>
          <w:szCs w:val="32"/>
          <w:highlight w:val="none"/>
          <w:lang w:val="en-US" w:eastAsia="zh-CN"/>
        </w:rPr>
        <w:t>2.1 本项目中乙方主要工作范围包括：</w:t>
      </w:r>
    </w:p>
    <w:p w14:paraId="1EE1EAC1">
      <w:pPr>
        <w:bidi w:val="0"/>
        <w:rPr>
          <w:rFonts w:hint="eastAsia"/>
          <w:highlight w:val="none"/>
          <w:lang w:val="en-US" w:eastAsia="zh-CN"/>
        </w:rPr>
      </w:pPr>
      <w:r>
        <w:rPr>
          <w:rFonts w:hint="eastAsia"/>
          <w:highlight w:val="none"/>
          <w:lang w:val="en-US" w:eastAsia="zh-CN"/>
        </w:rPr>
        <w:t>负责网络安全竞赛及网络安全宣传周工作组织与开展，包括网络安全竞赛方案制定</w:t>
      </w:r>
      <w:r>
        <w:rPr>
          <w:highlight w:val="none"/>
          <w:lang w:val="en-US" w:eastAsia="zh-CN"/>
        </w:rPr>
        <w:t>、</w:t>
      </w:r>
      <w:r>
        <w:rPr>
          <w:rFonts w:hint="eastAsia"/>
          <w:highlight w:val="none"/>
          <w:lang w:val="en-US" w:eastAsia="zh-CN"/>
        </w:rPr>
        <w:t>竞赛相关培训及竞赛活动组织及保障、</w:t>
      </w:r>
      <w:r>
        <w:rPr>
          <w:highlight w:val="none"/>
          <w:lang w:val="en-US" w:eastAsia="zh-CN"/>
        </w:rPr>
        <w:t>网络安全</w:t>
      </w:r>
      <w:r>
        <w:rPr>
          <w:rFonts w:hint="eastAsia"/>
          <w:highlight w:val="none"/>
          <w:lang w:val="en-US" w:eastAsia="zh-CN"/>
        </w:rPr>
        <w:t>宣传周活动支撑等工作。</w:t>
      </w:r>
    </w:p>
    <w:p w14:paraId="41A88592">
      <w:pPr>
        <w:keepNext/>
        <w:keepLines/>
        <w:pageBreakBefore w:val="0"/>
        <w:widowControl w:val="0"/>
        <w:kinsoku/>
        <w:wordWrap/>
        <w:overflowPunct/>
        <w:topLinePunct w:val="0"/>
        <w:autoSpaceDE w:val="0"/>
        <w:autoSpaceDN w:val="0"/>
        <w:bidi w:val="0"/>
        <w:adjustRightInd/>
        <w:snapToGrid/>
        <w:spacing w:before="20" w:after="20" w:line="415" w:lineRule="auto"/>
        <w:jc w:val="left"/>
        <w:textAlignment w:val="auto"/>
        <w:outlineLvl w:val="2"/>
        <w:rPr>
          <w:rFonts w:hint="eastAsia" w:ascii="方正黑体_GBK" w:eastAsia="方正黑体_GBK"/>
          <w:bCs/>
          <w:sz w:val="32"/>
          <w:szCs w:val="32"/>
          <w:highlight w:val="none"/>
          <w:lang w:val="en-US" w:eastAsia="zh-CN"/>
        </w:rPr>
      </w:pPr>
      <w:r>
        <w:rPr>
          <w:rFonts w:hint="eastAsia" w:ascii="方正黑体_GBK" w:eastAsia="方正黑体_GBK"/>
          <w:bCs/>
          <w:sz w:val="32"/>
          <w:szCs w:val="32"/>
          <w:highlight w:val="none"/>
          <w:lang w:val="en-US" w:eastAsia="zh-CN"/>
        </w:rPr>
        <w:t>2.2 项目实施地点</w:t>
      </w:r>
    </w:p>
    <w:p w14:paraId="659CDAB0">
      <w:pPr>
        <w:tabs>
          <w:tab w:val="left" w:pos="360"/>
          <w:tab w:val="left" w:pos="862"/>
        </w:tabs>
        <w:adjustRightInd w:val="0"/>
        <w:snapToGrid w:val="0"/>
        <w:spacing w:line="360" w:lineRule="auto"/>
        <w:ind w:firstLine="720" w:firstLineChars="300"/>
        <w:rPr>
          <w:rFonts w:hint="eastAsia" w:ascii="宋体" w:eastAsia="宋体" w:cs="宋体"/>
          <w:sz w:val="24"/>
          <w:highlight w:val="none"/>
          <w:lang w:val="en-US" w:eastAsia="zh-CN"/>
        </w:rPr>
      </w:pPr>
      <w:r>
        <w:rPr>
          <w:rFonts w:hint="eastAsia" w:ascii="宋体" w:eastAsia="宋体" w:cs="宋体"/>
          <w:sz w:val="24"/>
          <w:highlight w:val="none"/>
          <w:lang w:val="en-US" w:eastAsia="zh-CN"/>
        </w:rPr>
        <w:t>重庆市</w:t>
      </w:r>
    </w:p>
    <w:bookmarkEnd w:id="260"/>
    <w:p w14:paraId="3C437437">
      <w:pPr>
        <w:keepNext/>
        <w:keepLines/>
        <w:pageBreakBefore w:val="0"/>
        <w:widowControl w:val="0"/>
        <w:kinsoku/>
        <w:wordWrap/>
        <w:overflowPunct/>
        <w:topLinePunct w:val="0"/>
        <w:autoSpaceDE w:val="0"/>
        <w:autoSpaceDN w:val="0"/>
        <w:bidi w:val="0"/>
        <w:adjustRightInd/>
        <w:snapToGrid/>
        <w:spacing w:before="20" w:after="20" w:line="415" w:lineRule="auto"/>
        <w:jc w:val="left"/>
        <w:textAlignment w:val="auto"/>
        <w:outlineLvl w:val="2"/>
        <w:rPr>
          <w:rFonts w:hint="eastAsia" w:ascii="方正黑体_GBK" w:eastAsia="方正黑体_GBK"/>
          <w:bCs/>
          <w:sz w:val="32"/>
          <w:szCs w:val="32"/>
          <w:highlight w:val="none"/>
          <w:lang w:eastAsia="zh-CN"/>
        </w:rPr>
      </w:pPr>
      <w:bookmarkStart w:id="261" w:name="_Toc422127542"/>
      <w:r>
        <w:rPr>
          <w:rFonts w:hint="eastAsia" w:ascii="方正黑体_GBK" w:eastAsia="方正黑体_GBK"/>
          <w:bCs/>
          <w:sz w:val="32"/>
          <w:szCs w:val="32"/>
          <w:highlight w:val="none"/>
        </w:rPr>
        <w:t>第</w:t>
      </w:r>
      <w:r>
        <w:rPr>
          <w:rFonts w:hint="eastAsia" w:ascii="方正黑体_GBK" w:eastAsia="方正黑体_GBK"/>
          <w:bCs/>
          <w:sz w:val="32"/>
          <w:szCs w:val="32"/>
          <w:highlight w:val="none"/>
          <w:lang w:val="en-US" w:eastAsia="zh-CN"/>
        </w:rPr>
        <w:t>二</w:t>
      </w:r>
      <w:r>
        <w:rPr>
          <w:rFonts w:hint="eastAsia" w:ascii="方正黑体_GBK" w:eastAsia="方正黑体_GBK"/>
          <w:bCs/>
          <w:sz w:val="32"/>
          <w:szCs w:val="32"/>
          <w:highlight w:val="none"/>
        </w:rPr>
        <w:t xml:space="preserve">条  </w:t>
      </w:r>
      <w:r>
        <w:rPr>
          <w:rFonts w:hint="eastAsia" w:ascii="方正黑体_GBK" w:eastAsia="方正黑体_GBK"/>
          <w:bCs/>
          <w:sz w:val="32"/>
          <w:szCs w:val="32"/>
          <w:highlight w:val="none"/>
          <w:lang w:val="en-US" w:eastAsia="zh-CN"/>
        </w:rPr>
        <w:t>项目</w:t>
      </w:r>
      <w:r>
        <w:rPr>
          <w:rFonts w:hint="eastAsia" w:ascii="方正黑体_GBK" w:eastAsia="方正黑体_GBK"/>
          <w:bCs/>
          <w:sz w:val="32"/>
          <w:szCs w:val="32"/>
          <w:highlight w:val="none"/>
        </w:rPr>
        <w:t>主要</w:t>
      </w:r>
      <w:bookmarkEnd w:id="261"/>
      <w:r>
        <w:rPr>
          <w:rFonts w:hint="eastAsia" w:ascii="方正黑体_GBK" w:eastAsia="方正黑体_GBK"/>
          <w:bCs/>
          <w:sz w:val="32"/>
          <w:szCs w:val="32"/>
          <w:highlight w:val="none"/>
          <w:lang w:val="en-US" w:eastAsia="zh-CN"/>
        </w:rPr>
        <w:t>内容</w:t>
      </w:r>
    </w:p>
    <w:tbl>
      <w:tblPr>
        <w:tblStyle w:val="20"/>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85"/>
        <w:gridCol w:w="3886"/>
        <w:gridCol w:w="2476"/>
      </w:tblGrid>
      <w:tr w14:paraId="5A48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ign w:val="center"/>
          </w:tcPr>
          <w:p w14:paraId="4685C8A8">
            <w:pPr>
              <w:spacing w:line="360" w:lineRule="auto"/>
              <w:ind w:left="0" w:firstLine="0" w:firstLineChars="0"/>
              <w:jc w:val="center"/>
              <w:rPr>
                <w:rFonts w:hint="eastAsia" w:ascii="宋体"/>
                <w:b/>
                <w:szCs w:val="21"/>
                <w:highlight w:val="none"/>
              </w:rPr>
            </w:pPr>
            <w:r>
              <w:rPr>
                <w:rFonts w:hint="eastAsia" w:ascii="宋体"/>
                <w:b/>
                <w:szCs w:val="21"/>
                <w:highlight w:val="none"/>
              </w:rPr>
              <w:t>序号</w:t>
            </w:r>
          </w:p>
        </w:tc>
        <w:tc>
          <w:tcPr>
            <w:tcW w:w="1485" w:type="dxa"/>
            <w:tcBorders>
              <w:top w:val="single" w:color="auto" w:sz="4" w:space="0"/>
              <w:left w:val="single" w:color="auto" w:sz="4" w:space="0"/>
              <w:bottom w:val="single" w:color="auto" w:sz="4" w:space="0"/>
              <w:right w:val="single" w:color="auto" w:sz="4" w:space="0"/>
            </w:tcBorders>
            <w:noWrap/>
            <w:vAlign w:val="center"/>
          </w:tcPr>
          <w:p w14:paraId="2C6173BC">
            <w:pPr>
              <w:spacing w:line="360" w:lineRule="auto"/>
              <w:jc w:val="both"/>
              <w:rPr>
                <w:rFonts w:hint="eastAsia" w:ascii="宋体" w:eastAsia="宋体" w:cs="宋体"/>
                <w:b/>
                <w:szCs w:val="21"/>
                <w:highlight w:val="none"/>
                <w:lang w:eastAsia="zh-CN"/>
              </w:rPr>
            </w:pPr>
            <w:r>
              <w:rPr>
                <w:rFonts w:hint="eastAsia" w:ascii="宋体" w:cs="宋体"/>
                <w:b/>
                <w:szCs w:val="21"/>
                <w:highlight w:val="none"/>
                <w:lang w:val="en-US" w:eastAsia="zh-CN"/>
              </w:rPr>
              <w:t>服务项</w:t>
            </w:r>
          </w:p>
        </w:tc>
        <w:tc>
          <w:tcPr>
            <w:tcW w:w="3886" w:type="dxa"/>
            <w:tcBorders>
              <w:top w:val="single" w:color="auto" w:sz="4" w:space="0"/>
              <w:left w:val="single" w:color="auto" w:sz="4" w:space="0"/>
              <w:bottom w:val="single" w:color="auto" w:sz="4" w:space="0"/>
              <w:right w:val="single" w:color="auto" w:sz="4" w:space="0"/>
            </w:tcBorders>
            <w:noWrap/>
            <w:vAlign w:val="center"/>
          </w:tcPr>
          <w:p w14:paraId="33B45BB1">
            <w:pPr>
              <w:spacing w:line="360" w:lineRule="auto"/>
              <w:ind w:left="0" w:firstLine="0" w:firstLineChars="0"/>
              <w:jc w:val="center"/>
              <w:rPr>
                <w:rFonts w:ascii="宋体" w:eastAsia="宋体"/>
                <w:b/>
                <w:szCs w:val="21"/>
                <w:highlight w:val="none"/>
                <w:lang w:val="en-US" w:eastAsia="zh-CN"/>
              </w:rPr>
            </w:pPr>
            <w:r>
              <w:rPr>
                <w:rFonts w:hint="eastAsia" w:ascii="宋体" w:cs="宋体"/>
                <w:b/>
                <w:szCs w:val="21"/>
                <w:highlight w:val="none"/>
                <w:lang w:val="en-US" w:eastAsia="zh-CN"/>
              </w:rPr>
              <w:t>服务描述</w:t>
            </w:r>
          </w:p>
        </w:tc>
        <w:tc>
          <w:tcPr>
            <w:tcW w:w="2476" w:type="dxa"/>
            <w:tcBorders>
              <w:top w:val="single" w:color="auto" w:sz="4" w:space="0"/>
              <w:left w:val="single" w:color="auto" w:sz="4" w:space="0"/>
              <w:bottom w:val="single" w:color="auto" w:sz="4" w:space="0"/>
              <w:right w:val="single" w:color="auto" w:sz="4" w:space="0"/>
            </w:tcBorders>
            <w:noWrap/>
            <w:vAlign w:val="center"/>
          </w:tcPr>
          <w:p w14:paraId="28D82B63">
            <w:pPr>
              <w:spacing w:line="360" w:lineRule="auto"/>
              <w:ind w:left="0" w:firstLine="0" w:firstLineChars="0"/>
              <w:jc w:val="center"/>
              <w:rPr>
                <w:rFonts w:hint="eastAsia" w:ascii="宋体" w:eastAsia="宋体" w:cs="宋体"/>
                <w:b/>
                <w:szCs w:val="21"/>
                <w:highlight w:val="none"/>
                <w:lang w:eastAsia="zh-CN"/>
              </w:rPr>
            </w:pPr>
            <w:r>
              <w:rPr>
                <w:rFonts w:hint="eastAsia" w:ascii="宋体"/>
                <w:b/>
                <w:szCs w:val="21"/>
                <w:highlight w:val="none"/>
                <w:lang w:val="en-US" w:eastAsia="zh-CN"/>
              </w:rPr>
              <w:t>交付物</w:t>
            </w:r>
          </w:p>
        </w:tc>
      </w:tr>
      <w:tr w14:paraId="4C28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414F8C6B">
            <w:pPr>
              <w:spacing w:line="360" w:lineRule="exact"/>
              <w:jc w:val="center"/>
              <w:rPr>
                <w:rFonts w:hint="eastAsia" w:ascii="宋体"/>
                <w:szCs w:val="21"/>
                <w:highlight w:val="none"/>
              </w:rPr>
            </w:pPr>
            <w:r>
              <w:rPr>
                <w:rFonts w:hint="eastAsia"/>
                <w:highlight w:val="none"/>
                <w:lang w:val="en-US" w:eastAsia="zh-CN"/>
              </w:rPr>
              <w:t>1</w:t>
            </w:r>
          </w:p>
        </w:tc>
        <w:tc>
          <w:tcPr>
            <w:tcW w:w="1485" w:type="dxa"/>
            <w:vMerge w:val="restart"/>
            <w:tcBorders>
              <w:top w:val="single" w:color="auto" w:sz="4" w:space="0"/>
              <w:left w:val="single" w:color="auto" w:sz="4" w:space="0"/>
              <w:bottom w:val="single" w:color="auto" w:sz="4" w:space="0"/>
              <w:right w:val="single" w:color="auto" w:sz="4" w:space="0"/>
            </w:tcBorders>
            <w:noWrap/>
            <w:vAlign w:val="center"/>
          </w:tcPr>
          <w:p w14:paraId="0861C2EC">
            <w:pPr>
              <w:spacing w:line="360" w:lineRule="exact"/>
              <w:ind w:left="0" w:firstLine="0" w:firstLineChars="0"/>
              <w:jc w:val="center"/>
              <w:rPr>
                <w:rFonts w:hint="eastAsia" w:ascii="宋体" w:cs="宋体"/>
                <w:szCs w:val="21"/>
                <w:highlight w:val="none"/>
              </w:rPr>
            </w:pPr>
            <w:r>
              <w:rPr>
                <w:rFonts w:hint="eastAsia" w:ascii="宋体"/>
                <w:szCs w:val="21"/>
                <w:highlight w:val="none"/>
                <w:lang w:val="en-US" w:eastAsia="zh-CN"/>
              </w:rPr>
              <w:t>网络安全竞赛及网络安全宣传周支撑服务</w:t>
            </w:r>
          </w:p>
        </w:tc>
        <w:tc>
          <w:tcPr>
            <w:tcW w:w="3886" w:type="dxa"/>
            <w:tcBorders>
              <w:top w:val="single" w:color="auto" w:sz="4" w:space="0"/>
              <w:left w:val="single" w:color="auto" w:sz="4" w:space="0"/>
              <w:bottom w:val="single" w:color="auto" w:sz="4" w:space="0"/>
              <w:right w:val="single" w:color="auto" w:sz="4" w:space="0"/>
            </w:tcBorders>
            <w:noWrap/>
            <w:vAlign w:val="center"/>
          </w:tcPr>
          <w:p w14:paraId="4A86C831">
            <w:pPr>
              <w:keepNext w:val="0"/>
              <w:keepLines w:val="0"/>
              <w:widowControl/>
              <w:suppressLineNumbers w:val="0"/>
              <w:spacing w:line="360" w:lineRule="exact"/>
              <w:ind w:firstLine="0" w:firstLineChars="0"/>
              <w:jc w:val="both"/>
              <w:rPr>
                <w:rFonts w:hint="eastAsia" w:ascii="宋体"/>
                <w:szCs w:val="21"/>
                <w:highlight w:val="none"/>
              </w:rPr>
            </w:pPr>
            <w:r>
              <w:rPr>
                <w:rFonts w:hint="eastAsia" w:ascii="宋体" w:eastAsia="宋体" w:cs="宋体"/>
                <w:color w:val="0B0B0B"/>
                <w:kern w:val="0"/>
                <w:sz w:val="20"/>
                <w:szCs w:val="20"/>
                <w:highlight w:val="none"/>
                <w:lang w:val="en-US" w:eastAsia="zh-CN"/>
              </w:rPr>
              <w:t>网络安全竞赛支撑服务</w:t>
            </w:r>
          </w:p>
        </w:tc>
        <w:tc>
          <w:tcPr>
            <w:tcW w:w="2476" w:type="dxa"/>
            <w:vMerge w:val="restart"/>
            <w:tcBorders>
              <w:top w:val="single" w:color="auto" w:sz="4" w:space="0"/>
              <w:left w:val="single" w:color="auto" w:sz="4" w:space="0"/>
              <w:bottom w:val="single" w:color="auto" w:sz="4" w:space="0"/>
              <w:right w:val="single" w:color="auto" w:sz="4" w:space="0"/>
            </w:tcBorders>
            <w:noWrap/>
            <w:vAlign w:val="center"/>
          </w:tcPr>
          <w:p w14:paraId="2CF07BE2">
            <w:pPr>
              <w:spacing w:line="360" w:lineRule="exact"/>
              <w:ind w:left="0" w:firstLine="0" w:firstLineChars="0"/>
              <w:jc w:val="center"/>
              <w:rPr>
                <w:rFonts w:ascii="宋体" w:eastAsia="宋体"/>
                <w:szCs w:val="21"/>
                <w:highlight w:val="none"/>
                <w:lang w:val="en-US" w:eastAsia="zh-CN"/>
              </w:rPr>
            </w:pPr>
            <w:r>
              <w:rPr>
                <w:rFonts w:hint="eastAsia" w:ascii="宋体"/>
                <w:szCs w:val="21"/>
                <w:highlight w:val="none"/>
                <w:lang w:val="en-US" w:eastAsia="zh-CN"/>
              </w:rPr>
              <w:t>《XXX竞赛方案》《培训资料》《XXX网络安全宣传周活动方案》《XXX总结报告》</w:t>
            </w:r>
          </w:p>
        </w:tc>
      </w:tr>
      <w:tr w14:paraId="632F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52455984">
            <w:pPr>
              <w:spacing w:line="360" w:lineRule="auto"/>
              <w:jc w:val="center"/>
              <w:rPr>
                <w:rFonts w:hint="eastAsia" w:eastAsia="宋体"/>
                <w:highlight w:val="none"/>
                <w:lang w:val="en-US" w:eastAsia="zh-CN"/>
              </w:rPr>
            </w:pPr>
            <w:r>
              <w:rPr>
                <w:rFonts w:hint="eastAsia" w:eastAsia="宋体"/>
                <w:highlight w:val="none"/>
                <w:lang w:val="en-US" w:eastAsia="zh-CN"/>
              </w:rPr>
              <w:t>2</w:t>
            </w:r>
          </w:p>
        </w:tc>
        <w:tc>
          <w:tcPr>
            <w:tcW w:w="1485" w:type="dxa"/>
            <w:vMerge w:val="continue"/>
            <w:tcBorders>
              <w:top w:val="single" w:color="auto" w:sz="4" w:space="0"/>
              <w:left w:val="single" w:color="auto" w:sz="4" w:space="0"/>
              <w:bottom w:val="single" w:color="auto" w:sz="4" w:space="0"/>
              <w:right w:val="single" w:color="auto" w:sz="4" w:space="0"/>
            </w:tcBorders>
            <w:noWrap/>
            <w:vAlign w:val="center"/>
          </w:tcPr>
          <w:p w14:paraId="6810048C">
            <w:pPr>
              <w:rPr>
                <w:highlight w:val="none"/>
              </w:rPr>
            </w:pPr>
          </w:p>
        </w:tc>
        <w:tc>
          <w:tcPr>
            <w:tcW w:w="3886" w:type="dxa"/>
            <w:tcBorders>
              <w:top w:val="single" w:color="auto" w:sz="4" w:space="0"/>
              <w:left w:val="single" w:color="auto" w:sz="4" w:space="0"/>
              <w:bottom w:val="single" w:color="auto" w:sz="4" w:space="0"/>
              <w:right w:val="single" w:color="auto" w:sz="4" w:space="0"/>
            </w:tcBorders>
            <w:noWrap/>
            <w:vAlign w:val="center"/>
          </w:tcPr>
          <w:p w14:paraId="18F8C234">
            <w:pPr>
              <w:keepNext w:val="0"/>
              <w:keepLines w:val="0"/>
              <w:widowControl/>
              <w:suppressLineNumbers w:val="0"/>
              <w:ind w:firstLine="0" w:firstLineChars="0"/>
              <w:jc w:val="both"/>
              <w:rPr>
                <w:rFonts w:hint="eastAsia" w:ascii="宋体"/>
                <w:szCs w:val="21"/>
                <w:highlight w:val="none"/>
              </w:rPr>
            </w:pPr>
            <w:r>
              <w:rPr>
                <w:rFonts w:hint="eastAsia" w:ascii="宋体" w:eastAsia="宋体" w:cs="宋体"/>
                <w:color w:val="0B0B0B"/>
                <w:kern w:val="0"/>
                <w:sz w:val="20"/>
                <w:highlight w:val="none"/>
                <w:lang w:val="en-US" w:eastAsia="zh-CN"/>
              </w:rPr>
              <w:t>市委网信办网络安全宣传周活动支撑服务</w:t>
            </w:r>
          </w:p>
        </w:tc>
        <w:tc>
          <w:tcPr>
            <w:tcW w:w="2476" w:type="dxa"/>
            <w:vMerge w:val="continue"/>
            <w:tcBorders>
              <w:top w:val="single" w:color="auto" w:sz="4" w:space="0"/>
              <w:left w:val="single" w:color="auto" w:sz="4" w:space="0"/>
              <w:bottom w:val="single" w:color="auto" w:sz="4" w:space="0"/>
              <w:right w:val="single" w:color="auto" w:sz="4" w:space="0"/>
            </w:tcBorders>
            <w:noWrap/>
            <w:vAlign w:val="center"/>
          </w:tcPr>
          <w:p w14:paraId="1DC3BFB3">
            <w:pPr>
              <w:rPr>
                <w:highlight w:val="none"/>
              </w:rPr>
            </w:pPr>
          </w:p>
        </w:tc>
      </w:tr>
      <w:tr w14:paraId="2325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ign w:val="center"/>
          </w:tcPr>
          <w:p w14:paraId="1AA06E42">
            <w:pPr>
              <w:spacing w:line="360" w:lineRule="auto"/>
              <w:jc w:val="center"/>
              <w:rPr>
                <w:rFonts w:eastAsia="宋体"/>
                <w:highlight w:val="none"/>
                <w:lang w:val="en-US" w:eastAsia="zh-CN"/>
              </w:rPr>
            </w:pPr>
            <w:r>
              <w:rPr>
                <w:rFonts w:hint="eastAsia" w:eastAsia="宋体"/>
                <w:highlight w:val="none"/>
                <w:lang w:val="en-US" w:eastAsia="zh-CN"/>
              </w:rPr>
              <w:t>3</w:t>
            </w:r>
          </w:p>
        </w:tc>
        <w:tc>
          <w:tcPr>
            <w:tcW w:w="1485" w:type="dxa"/>
            <w:vMerge w:val="continue"/>
            <w:tcBorders>
              <w:top w:val="single" w:color="auto" w:sz="4" w:space="0"/>
              <w:left w:val="single" w:color="auto" w:sz="4" w:space="0"/>
              <w:bottom w:val="single" w:color="auto" w:sz="4" w:space="0"/>
              <w:right w:val="single" w:color="auto" w:sz="4" w:space="0"/>
            </w:tcBorders>
            <w:noWrap/>
            <w:vAlign w:val="center"/>
          </w:tcPr>
          <w:p w14:paraId="54E922EC">
            <w:pPr>
              <w:rPr>
                <w:highlight w:val="none"/>
              </w:rPr>
            </w:pPr>
          </w:p>
        </w:tc>
        <w:tc>
          <w:tcPr>
            <w:tcW w:w="3886" w:type="dxa"/>
            <w:tcBorders>
              <w:top w:val="single" w:color="auto" w:sz="4" w:space="0"/>
              <w:left w:val="single" w:color="auto" w:sz="4" w:space="0"/>
              <w:bottom w:val="single" w:color="auto" w:sz="4" w:space="0"/>
              <w:right w:val="single" w:color="auto" w:sz="4" w:space="0"/>
            </w:tcBorders>
            <w:noWrap/>
            <w:vAlign w:val="center"/>
          </w:tcPr>
          <w:p w14:paraId="21B586BA">
            <w:pPr>
              <w:keepNext w:val="0"/>
              <w:keepLines w:val="0"/>
              <w:widowControl/>
              <w:suppressLineNumbers w:val="0"/>
              <w:ind w:firstLine="0" w:firstLineChars="0"/>
              <w:jc w:val="both"/>
              <w:rPr>
                <w:rFonts w:hint="eastAsia" w:ascii="宋体"/>
                <w:szCs w:val="21"/>
                <w:highlight w:val="none"/>
              </w:rPr>
            </w:pPr>
            <w:r>
              <w:rPr>
                <w:rFonts w:hint="eastAsia" w:ascii="宋体" w:eastAsia="宋体" w:cs="宋体"/>
                <w:color w:val="0B0B0B"/>
                <w:kern w:val="0"/>
                <w:sz w:val="20"/>
                <w:highlight w:val="none"/>
                <w:lang w:val="en-US" w:eastAsia="zh-CN"/>
              </w:rPr>
              <w:t>网络安全宣传周金融日活动支撑服务</w:t>
            </w:r>
          </w:p>
        </w:tc>
        <w:tc>
          <w:tcPr>
            <w:tcW w:w="2476" w:type="dxa"/>
            <w:vMerge w:val="continue"/>
            <w:tcBorders>
              <w:top w:val="single" w:color="auto" w:sz="4" w:space="0"/>
              <w:left w:val="single" w:color="auto" w:sz="4" w:space="0"/>
              <w:bottom w:val="single" w:color="auto" w:sz="4" w:space="0"/>
              <w:right w:val="single" w:color="auto" w:sz="4" w:space="0"/>
            </w:tcBorders>
            <w:noWrap/>
            <w:vAlign w:val="center"/>
          </w:tcPr>
          <w:p w14:paraId="2E91D1A8">
            <w:pPr>
              <w:rPr>
                <w:highlight w:val="none"/>
              </w:rPr>
            </w:pPr>
          </w:p>
        </w:tc>
      </w:tr>
    </w:tbl>
    <w:p w14:paraId="62C1C739">
      <w:pPr>
        <w:keepNext/>
        <w:keepLines/>
        <w:widowControl w:val="0"/>
        <w:spacing w:before="260" w:after="260" w:line="415" w:lineRule="auto"/>
        <w:jc w:val="left"/>
        <w:outlineLvl w:val="2"/>
        <w:rPr>
          <w:rFonts w:hint="eastAsia" w:ascii="方正黑体_GBK" w:eastAsia="方正黑体_GBK"/>
          <w:bCs/>
          <w:sz w:val="32"/>
          <w:szCs w:val="32"/>
          <w:highlight w:val="none"/>
        </w:rPr>
      </w:pPr>
      <w:bookmarkStart w:id="262" w:name="_Toc422127550"/>
      <w:r>
        <w:rPr>
          <w:rFonts w:hint="eastAsia" w:ascii="方正黑体_GBK" w:eastAsia="方正黑体_GBK"/>
          <w:bCs/>
          <w:sz w:val="32"/>
          <w:szCs w:val="32"/>
          <w:highlight w:val="none"/>
        </w:rPr>
        <w:t>第五条  项目组织结构</w:t>
      </w:r>
      <w:bookmarkEnd w:id="262"/>
    </w:p>
    <w:tbl>
      <w:tblPr>
        <w:tblStyle w:val="20"/>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14:paraId="70D8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30C4ABD7">
            <w:pPr>
              <w:spacing w:line="360" w:lineRule="auto"/>
              <w:ind w:left="0" w:firstLine="0" w:firstLineChars="0"/>
              <w:jc w:val="center"/>
              <w:rPr>
                <w:rFonts w:hint="eastAsia" w:ascii="宋体"/>
                <w:b/>
                <w:szCs w:val="21"/>
                <w:highlight w:val="none"/>
              </w:rPr>
            </w:pPr>
            <w:r>
              <w:rPr>
                <w:rFonts w:hint="eastAsia" w:ascii="宋体"/>
                <w:b/>
                <w:szCs w:val="21"/>
                <w:highlight w:val="none"/>
              </w:rPr>
              <w:t>序号</w:t>
            </w:r>
          </w:p>
        </w:tc>
        <w:tc>
          <w:tcPr>
            <w:tcW w:w="1951" w:type="dxa"/>
            <w:tcBorders>
              <w:top w:val="single" w:color="auto" w:sz="4" w:space="0"/>
              <w:left w:val="single" w:color="auto" w:sz="4" w:space="0"/>
              <w:bottom w:val="single" w:color="auto" w:sz="4" w:space="0"/>
              <w:right w:val="single" w:color="auto" w:sz="4" w:space="0"/>
            </w:tcBorders>
            <w:noWrap/>
            <w:vAlign w:val="center"/>
          </w:tcPr>
          <w:p w14:paraId="0BEC5D59">
            <w:pPr>
              <w:spacing w:line="360" w:lineRule="auto"/>
              <w:ind w:left="0" w:firstLine="0" w:firstLineChars="0"/>
              <w:jc w:val="center"/>
              <w:rPr>
                <w:rFonts w:hint="eastAsia" w:ascii="宋体" w:cs="宋体"/>
                <w:b/>
                <w:szCs w:val="21"/>
                <w:highlight w:val="none"/>
              </w:rPr>
            </w:pPr>
            <w:r>
              <w:rPr>
                <w:rFonts w:hint="eastAsia" w:ascii="宋体" w:cs="宋体"/>
                <w:b/>
                <w:szCs w:val="21"/>
                <w:highlight w:val="none"/>
              </w:rPr>
              <w:t>项目角色</w:t>
            </w:r>
          </w:p>
        </w:tc>
        <w:tc>
          <w:tcPr>
            <w:tcW w:w="4521" w:type="dxa"/>
            <w:tcBorders>
              <w:top w:val="single" w:color="auto" w:sz="4" w:space="0"/>
              <w:left w:val="single" w:color="auto" w:sz="4" w:space="0"/>
              <w:bottom w:val="single" w:color="auto" w:sz="4" w:space="0"/>
              <w:right w:val="single" w:color="auto" w:sz="4" w:space="0"/>
            </w:tcBorders>
            <w:noWrap/>
            <w:vAlign w:val="center"/>
          </w:tcPr>
          <w:p w14:paraId="0733AD9A">
            <w:pPr>
              <w:spacing w:line="360" w:lineRule="auto"/>
              <w:ind w:left="0" w:firstLine="0" w:firstLineChars="0"/>
              <w:jc w:val="center"/>
              <w:rPr>
                <w:rFonts w:hint="eastAsia" w:ascii="宋体"/>
                <w:b/>
                <w:szCs w:val="21"/>
                <w:highlight w:val="none"/>
              </w:rPr>
            </w:pPr>
            <w:r>
              <w:rPr>
                <w:rFonts w:hint="eastAsia" w:ascii="宋体" w:cs="宋体"/>
                <w:b/>
                <w:szCs w:val="21"/>
                <w:highlight w:val="none"/>
              </w:rPr>
              <w:t>职务说明</w:t>
            </w:r>
          </w:p>
        </w:tc>
        <w:tc>
          <w:tcPr>
            <w:tcW w:w="1428" w:type="dxa"/>
            <w:tcBorders>
              <w:top w:val="single" w:color="auto" w:sz="4" w:space="0"/>
              <w:left w:val="single" w:color="auto" w:sz="4" w:space="0"/>
              <w:bottom w:val="single" w:color="auto" w:sz="4" w:space="0"/>
              <w:right w:val="single" w:color="auto" w:sz="4" w:space="0"/>
            </w:tcBorders>
            <w:noWrap/>
            <w:vAlign w:val="center"/>
          </w:tcPr>
          <w:p w14:paraId="49059023">
            <w:pPr>
              <w:spacing w:line="360" w:lineRule="auto"/>
              <w:ind w:left="0" w:firstLine="0" w:firstLineChars="0"/>
              <w:jc w:val="center"/>
              <w:rPr>
                <w:rFonts w:hint="eastAsia" w:ascii="宋体" w:cs="宋体"/>
                <w:b/>
                <w:szCs w:val="21"/>
                <w:highlight w:val="none"/>
              </w:rPr>
            </w:pPr>
            <w:r>
              <w:rPr>
                <w:rFonts w:hint="eastAsia" w:ascii="宋体"/>
                <w:b/>
                <w:szCs w:val="21"/>
                <w:highlight w:val="none"/>
              </w:rPr>
              <w:t>姓名</w:t>
            </w:r>
          </w:p>
        </w:tc>
      </w:tr>
      <w:tr w14:paraId="242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3C65DC4D">
            <w:pPr>
              <w:numPr>
                <w:ilvl w:val="0"/>
                <w:numId w:val="2"/>
              </w:numPr>
              <w:spacing w:line="360" w:lineRule="auto"/>
              <w:ind w:firstLineChars="0"/>
              <w:jc w:val="center"/>
              <w:rPr>
                <w:rFonts w:hint="eastAsia" w:ascii="宋体"/>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0478BA05">
            <w:pPr>
              <w:spacing w:line="360" w:lineRule="auto"/>
              <w:jc w:val="both"/>
              <w:rPr>
                <w:rFonts w:hint="eastAsia" w:ascii="宋体"/>
                <w:szCs w:val="21"/>
                <w:highlight w:val="none"/>
              </w:rPr>
            </w:pPr>
            <w:r>
              <w:rPr>
                <w:rFonts w:hint="eastAsia" w:ascii="宋体"/>
                <w:szCs w:val="21"/>
                <w:highlight w:val="none"/>
              </w:rPr>
              <w:t>项目经理</w:t>
            </w:r>
          </w:p>
        </w:tc>
        <w:tc>
          <w:tcPr>
            <w:tcW w:w="4521" w:type="dxa"/>
            <w:tcBorders>
              <w:top w:val="single" w:color="auto" w:sz="4" w:space="0"/>
              <w:left w:val="single" w:color="auto" w:sz="4" w:space="0"/>
              <w:bottom w:val="single" w:color="auto" w:sz="4" w:space="0"/>
              <w:right w:val="single" w:color="auto" w:sz="4" w:space="0"/>
            </w:tcBorders>
            <w:noWrap/>
            <w:vAlign w:val="center"/>
          </w:tcPr>
          <w:p w14:paraId="2CDF3FC4">
            <w:pPr>
              <w:spacing w:line="360" w:lineRule="auto"/>
              <w:ind w:firstLine="0" w:firstLineChars="0"/>
              <w:rPr>
                <w:rFonts w:hint="eastAsia" w:ascii="宋体"/>
                <w:szCs w:val="21"/>
                <w:highlight w:val="none"/>
              </w:rPr>
            </w:pPr>
            <w:r>
              <w:rPr>
                <w:rFonts w:hint="eastAsia" w:ascii="宋体"/>
                <w:szCs w:val="21"/>
                <w:highlight w:val="none"/>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cBorders>
            <w:noWrap/>
            <w:vAlign w:val="center"/>
          </w:tcPr>
          <w:p w14:paraId="07145B1A">
            <w:pPr>
              <w:spacing w:line="360" w:lineRule="auto"/>
              <w:jc w:val="center"/>
              <w:rPr>
                <w:rFonts w:hint="eastAsia" w:ascii="宋体"/>
                <w:szCs w:val="21"/>
                <w:highlight w:val="none"/>
              </w:rPr>
            </w:pPr>
          </w:p>
        </w:tc>
      </w:tr>
      <w:tr w14:paraId="23D3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E729892">
            <w:pPr>
              <w:numPr>
                <w:ilvl w:val="0"/>
                <w:numId w:val="2"/>
              </w:numPr>
              <w:spacing w:line="360" w:lineRule="auto"/>
              <w:ind w:firstLineChars="0"/>
              <w:jc w:val="center"/>
              <w:rPr>
                <w:rFonts w:hint="eastAsia" w:ascii="宋体"/>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147BB8C7">
            <w:pPr>
              <w:spacing w:line="360" w:lineRule="auto"/>
              <w:ind w:firstLine="0" w:firstLineChars="0"/>
              <w:jc w:val="center"/>
              <w:rPr>
                <w:rFonts w:hint="eastAsia" w:ascii="宋体" w:cs="宋体"/>
                <w:szCs w:val="21"/>
                <w:highlight w:val="none"/>
              </w:rPr>
            </w:pPr>
            <w:r>
              <w:rPr>
                <w:rFonts w:hint="eastAsia" w:ascii="宋体"/>
                <w:szCs w:val="21"/>
                <w:highlight w:val="none"/>
              </w:rPr>
              <w:t>技术负责人</w:t>
            </w:r>
          </w:p>
        </w:tc>
        <w:tc>
          <w:tcPr>
            <w:tcW w:w="4521" w:type="dxa"/>
            <w:tcBorders>
              <w:top w:val="single" w:color="auto" w:sz="4" w:space="0"/>
              <w:left w:val="single" w:color="auto" w:sz="4" w:space="0"/>
              <w:bottom w:val="single" w:color="auto" w:sz="4" w:space="0"/>
              <w:right w:val="single" w:color="auto" w:sz="4" w:space="0"/>
            </w:tcBorders>
            <w:noWrap/>
            <w:vAlign w:val="center"/>
          </w:tcPr>
          <w:p w14:paraId="3E0DAE7D">
            <w:pPr>
              <w:spacing w:line="360" w:lineRule="auto"/>
              <w:ind w:left="0" w:firstLine="0" w:firstLineChars="0"/>
              <w:rPr>
                <w:rFonts w:hint="eastAsia" w:ascii="宋体"/>
                <w:szCs w:val="21"/>
                <w:highlight w:val="none"/>
              </w:rPr>
            </w:pPr>
            <w:r>
              <w:rPr>
                <w:rFonts w:hint="eastAsia" w:ascii="宋体" w:cs="宋体"/>
                <w:szCs w:val="21"/>
                <w:highlight w:val="none"/>
              </w:rPr>
              <w:t>技术总体把控指导</w:t>
            </w:r>
          </w:p>
        </w:tc>
        <w:tc>
          <w:tcPr>
            <w:tcW w:w="1428" w:type="dxa"/>
            <w:tcBorders>
              <w:top w:val="single" w:color="auto" w:sz="4" w:space="0"/>
              <w:left w:val="single" w:color="auto" w:sz="4" w:space="0"/>
              <w:bottom w:val="single" w:color="auto" w:sz="4" w:space="0"/>
              <w:right w:val="single" w:color="auto" w:sz="4" w:space="0"/>
            </w:tcBorders>
            <w:noWrap/>
            <w:vAlign w:val="center"/>
          </w:tcPr>
          <w:p w14:paraId="1B6AAA67">
            <w:pPr>
              <w:spacing w:line="360" w:lineRule="auto"/>
              <w:jc w:val="center"/>
              <w:rPr>
                <w:rFonts w:hint="eastAsia" w:ascii="宋体"/>
                <w:szCs w:val="21"/>
                <w:highlight w:val="none"/>
              </w:rPr>
            </w:pPr>
          </w:p>
        </w:tc>
      </w:tr>
      <w:tr w14:paraId="4892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D53CC8A">
            <w:pPr>
              <w:numPr>
                <w:ilvl w:val="0"/>
                <w:numId w:val="2"/>
              </w:numPr>
              <w:spacing w:line="360" w:lineRule="auto"/>
              <w:ind w:firstLineChars="0"/>
              <w:jc w:val="center"/>
              <w:rPr>
                <w:rFonts w:hint="eastAsia" w:ascii="宋体"/>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3BDEB3B9">
            <w:pPr>
              <w:spacing w:line="360" w:lineRule="auto"/>
              <w:jc w:val="center"/>
              <w:rPr>
                <w:rFonts w:hint="eastAsia" w:ascii="宋体" w:eastAsia="宋体" w:cs="宋体"/>
                <w:szCs w:val="21"/>
                <w:highlight w:val="none"/>
                <w:lang w:eastAsia="zh-CN"/>
              </w:rPr>
            </w:pPr>
            <w:r>
              <w:rPr>
                <w:rFonts w:hint="eastAsia" w:ascii="宋体" w:cs="宋体"/>
                <w:szCs w:val="21"/>
                <w:highlight w:val="none"/>
                <w:lang w:eastAsia="zh-CN"/>
              </w:rPr>
              <w:t>。。。</w:t>
            </w:r>
          </w:p>
        </w:tc>
        <w:tc>
          <w:tcPr>
            <w:tcW w:w="4521" w:type="dxa"/>
            <w:tcBorders>
              <w:top w:val="single" w:color="auto" w:sz="4" w:space="0"/>
              <w:left w:val="single" w:color="auto" w:sz="4" w:space="0"/>
              <w:bottom w:val="single" w:color="auto" w:sz="4" w:space="0"/>
              <w:right w:val="single" w:color="auto" w:sz="4" w:space="0"/>
            </w:tcBorders>
            <w:noWrap/>
            <w:vAlign w:val="center"/>
          </w:tcPr>
          <w:p w14:paraId="0E50F04B">
            <w:pPr>
              <w:spacing w:line="360" w:lineRule="auto"/>
              <w:ind w:left="0" w:firstLine="0" w:firstLineChars="0"/>
              <w:rPr>
                <w:rFonts w:hint="eastAsia" w:ascii="宋体"/>
                <w:szCs w:val="21"/>
                <w:highlight w:val="none"/>
              </w:rPr>
            </w:pPr>
            <w:r>
              <w:rPr>
                <w:rFonts w:hint="eastAsia" w:ascii="宋体"/>
                <w:szCs w:val="21"/>
                <w:highlight w:val="none"/>
              </w:rPr>
              <w:t>。。。</w:t>
            </w:r>
          </w:p>
        </w:tc>
        <w:tc>
          <w:tcPr>
            <w:tcW w:w="1428" w:type="dxa"/>
            <w:tcBorders>
              <w:top w:val="single" w:color="auto" w:sz="4" w:space="0"/>
              <w:left w:val="single" w:color="auto" w:sz="4" w:space="0"/>
              <w:bottom w:val="single" w:color="auto" w:sz="4" w:space="0"/>
              <w:right w:val="single" w:color="auto" w:sz="4" w:space="0"/>
            </w:tcBorders>
            <w:noWrap/>
            <w:vAlign w:val="center"/>
          </w:tcPr>
          <w:p w14:paraId="29BD98CF">
            <w:pPr>
              <w:spacing w:line="360" w:lineRule="auto"/>
              <w:jc w:val="center"/>
              <w:rPr>
                <w:rFonts w:hint="eastAsia" w:ascii="宋体" w:cs="宋体"/>
                <w:szCs w:val="21"/>
                <w:highlight w:val="none"/>
              </w:rPr>
            </w:pPr>
          </w:p>
        </w:tc>
      </w:tr>
      <w:tr w14:paraId="764C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25902A91">
            <w:pPr>
              <w:numPr>
                <w:ilvl w:val="0"/>
                <w:numId w:val="2"/>
              </w:numPr>
              <w:spacing w:line="360" w:lineRule="auto"/>
              <w:ind w:firstLineChars="0"/>
              <w:jc w:val="center"/>
              <w:rPr>
                <w:rFonts w:hint="eastAsia" w:ascii="宋体"/>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135A0454">
            <w:pPr>
              <w:spacing w:line="360" w:lineRule="auto"/>
              <w:jc w:val="center"/>
              <w:rPr>
                <w:rFonts w:hint="eastAsia" w:ascii="宋体" w:cs="宋体"/>
                <w:szCs w:val="21"/>
                <w:highlight w:val="none"/>
              </w:rPr>
            </w:pPr>
          </w:p>
        </w:tc>
        <w:tc>
          <w:tcPr>
            <w:tcW w:w="4521" w:type="dxa"/>
            <w:tcBorders>
              <w:top w:val="single" w:color="auto" w:sz="4" w:space="0"/>
              <w:left w:val="single" w:color="auto" w:sz="4" w:space="0"/>
              <w:bottom w:val="single" w:color="auto" w:sz="4" w:space="0"/>
              <w:right w:val="single" w:color="auto" w:sz="4" w:space="0"/>
            </w:tcBorders>
            <w:noWrap/>
            <w:vAlign w:val="center"/>
          </w:tcPr>
          <w:p w14:paraId="0687444E">
            <w:pPr>
              <w:spacing w:line="360" w:lineRule="auto"/>
              <w:rPr>
                <w:rFonts w:hint="eastAsia" w:ascii="宋体"/>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449C2F17">
            <w:pPr>
              <w:spacing w:line="360" w:lineRule="auto"/>
              <w:jc w:val="center"/>
              <w:rPr>
                <w:rFonts w:hint="eastAsia" w:ascii="宋体"/>
                <w:szCs w:val="21"/>
                <w:highlight w:val="none"/>
              </w:rPr>
            </w:pPr>
          </w:p>
        </w:tc>
      </w:tr>
    </w:tbl>
    <w:p w14:paraId="7297F813">
      <w:pPr>
        <w:pStyle w:val="17"/>
        <w:snapToGrid w:val="0"/>
        <w:spacing w:before="0" w:after="0" w:line="520" w:lineRule="exact"/>
        <w:jc w:val="left"/>
        <w:outlineLvl w:val="3"/>
        <w:rPr>
          <w:highlight w:val="none"/>
        </w:rPr>
      </w:pPr>
      <w:r>
        <w:rPr>
          <w:snapToGrid w:val="0"/>
          <w:sz w:val="24"/>
          <w:highlight w:val="none"/>
        </w:rPr>
        <w:br w:type="page"/>
      </w:r>
      <w:bookmarkStart w:id="263" w:name="_Toc2067988449"/>
      <w:r>
        <w:rPr>
          <w:rFonts w:hint="eastAsia"/>
          <w:snapToGrid w:val="0"/>
          <w:sz w:val="24"/>
          <w:highlight w:val="none"/>
        </w:rPr>
        <w:t>附件</w:t>
      </w:r>
      <w:r>
        <w:rPr>
          <w:snapToGrid w:val="0"/>
          <w:sz w:val="24"/>
          <w:highlight w:val="none"/>
        </w:rPr>
        <w:t>2</w:t>
      </w:r>
      <w:bookmarkEnd w:id="263"/>
    </w:p>
    <w:tbl>
      <w:tblPr>
        <w:tblStyle w:val="20"/>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1669"/>
        <w:gridCol w:w="2257"/>
        <w:gridCol w:w="262"/>
        <w:gridCol w:w="1906"/>
        <w:gridCol w:w="2267"/>
        <w:gridCol w:w="570"/>
      </w:tblGrid>
      <w:tr w14:paraId="2A80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noWrap/>
            <w:vAlign w:val="center"/>
          </w:tcPr>
          <w:p w14:paraId="1ABF3F74">
            <w:pPr>
              <w:widowControl/>
              <w:jc w:val="center"/>
              <w:rPr>
                <w:rFonts w:hint="eastAsia" w:ascii="方正小标宋_GBK" w:eastAsia="方正小标宋_GBK" w:cs="宋体"/>
                <w:color w:val="000000"/>
                <w:kern w:val="0"/>
                <w:sz w:val="44"/>
                <w:szCs w:val="44"/>
                <w:highlight w:val="none"/>
              </w:rPr>
            </w:pPr>
            <w:r>
              <w:rPr>
                <w:rFonts w:hint="eastAsia" w:ascii="Calibri Light" w:hAnsi="Calibri Light"/>
                <w:b/>
                <w:bCs/>
                <w:snapToGrid w:val="0"/>
                <w:sz w:val="32"/>
                <w:szCs w:val="32"/>
                <w:highlight w:val="none"/>
              </w:rPr>
              <w:t>项目最终验收表</w:t>
            </w:r>
          </w:p>
        </w:tc>
      </w:tr>
      <w:tr w14:paraId="6EF2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2AC9B3B5">
            <w:pPr>
              <w:spacing w:line="360" w:lineRule="auto"/>
              <w:ind w:left="0" w:firstLine="0" w:firstLineChars="0"/>
              <w:jc w:val="center"/>
              <w:rPr>
                <w:rFonts w:hint="eastAsia" w:ascii="宋体"/>
                <w:sz w:val="24"/>
                <w:highlight w:val="none"/>
              </w:rPr>
            </w:pPr>
            <w:r>
              <w:rPr>
                <w:rFonts w:hint="eastAsia" w:ascii="宋体"/>
                <w:sz w:val="24"/>
                <w:highlight w:val="none"/>
              </w:rPr>
              <w:t>项目名称</w:t>
            </w:r>
          </w:p>
        </w:tc>
        <w:tc>
          <w:tcPr>
            <w:tcW w:w="7262" w:type="dxa"/>
            <w:gridSpan w:val="5"/>
            <w:tcBorders>
              <w:top w:val="single" w:color="auto" w:sz="4" w:space="0"/>
              <w:left w:val="single" w:color="auto" w:sz="4" w:space="0"/>
              <w:bottom w:val="single" w:color="auto" w:sz="4" w:space="0"/>
              <w:right w:val="single" w:color="auto" w:sz="4" w:space="0"/>
            </w:tcBorders>
            <w:noWrap/>
            <w:vAlign w:val="bottom"/>
          </w:tcPr>
          <w:p w14:paraId="691813BF">
            <w:pPr>
              <w:spacing w:line="360" w:lineRule="auto"/>
              <w:rPr>
                <w:rFonts w:hint="eastAsia" w:ascii="宋体"/>
                <w:sz w:val="24"/>
                <w:highlight w:val="none"/>
              </w:rPr>
            </w:pPr>
          </w:p>
        </w:tc>
      </w:tr>
      <w:tr w14:paraId="1649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6EF332C6">
            <w:pPr>
              <w:spacing w:line="360" w:lineRule="auto"/>
              <w:ind w:left="0" w:firstLine="0" w:firstLineChars="0"/>
              <w:jc w:val="center"/>
              <w:rPr>
                <w:rFonts w:hint="eastAsia" w:ascii="宋体"/>
                <w:sz w:val="24"/>
                <w:highlight w:val="none"/>
              </w:rPr>
            </w:pPr>
            <w:r>
              <w:rPr>
                <w:rFonts w:hint="eastAsia" w:ascii="宋体"/>
                <w:sz w:val="24"/>
                <w:highlight w:val="none"/>
              </w:rPr>
              <w:t>服务提供商</w:t>
            </w:r>
          </w:p>
        </w:tc>
        <w:tc>
          <w:tcPr>
            <w:tcW w:w="7262" w:type="dxa"/>
            <w:gridSpan w:val="5"/>
            <w:tcBorders>
              <w:top w:val="single" w:color="auto" w:sz="4" w:space="0"/>
              <w:left w:val="single" w:color="auto" w:sz="4" w:space="0"/>
              <w:bottom w:val="single" w:color="auto" w:sz="4" w:space="0"/>
              <w:right w:val="single" w:color="auto" w:sz="4" w:space="0"/>
            </w:tcBorders>
            <w:noWrap/>
            <w:vAlign w:val="bottom"/>
          </w:tcPr>
          <w:p w14:paraId="1315CB0E">
            <w:pPr>
              <w:spacing w:line="360" w:lineRule="auto"/>
              <w:rPr>
                <w:rFonts w:hint="eastAsia" w:ascii="宋体"/>
                <w:sz w:val="24"/>
                <w:highlight w:val="none"/>
              </w:rPr>
            </w:pPr>
          </w:p>
        </w:tc>
      </w:tr>
      <w:tr w14:paraId="6133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7E0CEFBA">
            <w:pPr>
              <w:spacing w:line="360" w:lineRule="auto"/>
              <w:ind w:left="0" w:firstLine="0" w:firstLineChars="0"/>
              <w:jc w:val="center"/>
              <w:rPr>
                <w:rFonts w:hint="eastAsia" w:ascii="宋体"/>
                <w:sz w:val="24"/>
                <w:highlight w:val="none"/>
              </w:rPr>
            </w:pPr>
            <w:r>
              <w:rPr>
                <w:rFonts w:hint="eastAsia" w:ascii="宋体"/>
                <w:sz w:val="24"/>
                <w:highlight w:val="none"/>
              </w:rPr>
              <w:t>验收时间</w:t>
            </w:r>
          </w:p>
        </w:tc>
        <w:tc>
          <w:tcPr>
            <w:tcW w:w="7262" w:type="dxa"/>
            <w:gridSpan w:val="5"/>
            <w:tcBorders>
              <w:top w:val="single" w:color="auto" w:sz="4" w:space="0"/>
              <w:left w:val="single" w:color="auto" w:sz="4" w:space="0"/>
              <w:bottom w:val="single" w:color="auto" w:sz="4" w:space="0"/>
              <w:right w:val="single" w:color="auto" w:sz="4" w:space="0"/>
            </w:tcBorders>
            <w:noWrap/>
            <w:vAlign w:val="center"/>
          </w:tcPr>
          <w:p w14:paraId="74DB362E">
            <w:pPr>
              <w:spacing w:line="360" w:lineRule="auto"/>
              <w:rPr>
                <w:rFonts w:hint="eastAsia" w:ascii="宋体"/>
                <w:sz w:val="24"/>
                <w:highlight w:val="none"/>
              </w:rPr>
            </w:pPr>
          </w:p>
        </w:tc>
      </w:tr>
      <w:tr w14:paraId="31E9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4AAC0C17">
            <w:pPr>
              <w:spacing w:line="360" w:lineRule="auto"/>
              <w:ind w:left="0" w:firstLine="0" w:firstLineChars="0"/>
              <w:jc w:val="center"/>
              <w:rPr>
                <w:rFonts w:hint="eastAsia" w:ascii="宋体"/>
                <w:sz w:val="24"/>
                <w:highlight w:val="none"/>
              </w:rPr>
            </w:pPr>
            <w:r>
              <w:rPr>
                <w:rFonts w:hint="eastAsia" w:ascii="宋体"/>
                <w:sz w:val="24"/>
                <w:highlight w:val="none"/>
              </w:rPr>
              <w:t>验收地点</w:t>
            </w:r>
          </w:p>
        </w:tc>
        <w:tc>
          <w:tcPr>
            <w:tcW w:w="2257" w:type="dxa"/>
            <w:tcBorders>
              <w:top w:val="single" w:color="auto" w:sz="4" w:space="0"/>
              <w:left w:val="single" w:color="auto" w:sz="4" w:space="0"/>
              <w:bottom w:val="single" w:color="auto" w:sz="4" w:space="0"/>
              <w:right w:val="single" w:color="auto" w:sz="4" w:space="0"/>
            </w:tcBorders>
            <w:noWrap/>
            <w:vAlign w:val="center"/>
          </w:tcPr>
          <w:p w14:paraId="08D2BF29">
            <w:pPr>
              <w:spacing w:line="360" w:lineRule="auto"/>
              <w:rPr>
                <w:rFonts w:hint="eastAsia" w:ascii="宋体"/>
                <w:sz w:val="24"/>
                <w:highlight w:val="none"/>
              </w:rPr>
            </w:pPr>
          </w:p>
        </w:tc>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36E7128B">
            <w:pPr>
              <w:spacing w:line="360" w:lineRule="auto"/>
              <w:ind w:left="0" w:firstLine="0" w:firstLineChars="0"/>
              <w:jc w:val="center"/>
              <w:rPr>
                <w:rFonts w:hint="eastAsia" w:ascii="宋体"/>
                <w:sz w:val="24"/>
                <w:highlight w:val="none"/>
              </w:rPr>
            </w:pPr>
            <w:r>
              <w:rPr>
                <w:rFonts w:hint="eastAsia" w:ascii="宋体"/>
                <w:sz w:val="24"/>
                <w:highlight w:val="none"/>
              </w:rPr>
              <w:t>项目经理</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0C27F1B5">
            <w:pPr>
              <w:spacing w:line="360" w:lineRule="auto"/>
              <w:rPr>
                <w:rFonts w:hint="eastAsia" w:ascii="宋体"/>
                <w:sz w:val="24"/>
                <w:highlight w:val="none"/>
              </w:rPr>
            </w:pPr>
          </w:p>
        </w:tc>
      </w:tr>
      <w:tr w14:paraId="729F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6AD45102">
            <w:pPr>
              <w:spacing w:line="360" w:lineRule="auto"/>
              <w:ind w:left="0" w:firstLine="0" w:firstLineChars="0"/>
              <w:jc w:val="center"/>
              <w:rPr>
                <w:rFonts w:hint="eastAsia" w:ascii="宋体"/>
                <w:sz w:val="24"/>
                <w:highlight w:val="none"/>
              </w:rPr>
            </w:pPr>
            <w:r>
              <w:rPr>
                <w:rFonts w:hint="eastAsia" w:ascii="宋体"/>
                <w:sz w:val="24"/>
                <w:highlight w:val="none"/>
              </w:rPr>
              <w:t>是否实现项目目标</w:t>
            </w:r>
          </w:p>
        </w:tc>
        <w:tc>
          <w:tcPr>
            <w:tcW w:w="2257" w:type="dxa"/>
            <w:tcBorders>
              <w:top w:val="single" w:color="auto" w:sz="4" w:space="0"/>
              <w:left w:val="single" w:color="auto" w:sz="4" w:space="0"/>
              <w:bottom w:val="single" w:color="auto" w:sz="4" w:space="0"/>
              <w:right w:val="single" w:color="auto" w:sz="4" w:space="0"/>
            </w:tcBorders>
            <w:noWrap/>
            <w:vAlign w:val="center"/>
          </w:tcPr>
          <w:p w14:paraId="037FA5B8">
            <w:pPr>
              <w:spacing w:line="360" w:lineRule="auto"/>
              <w:ind w:left="0" w:firstLine="0" w:firstLineChars="0"/>
              <w:rPr>
                <w:rFonts w:hint="eastAsia" w:ascii="宋体"/>
                <w:sz w:val="24"/>
                <w:highlight w:val="none"/>
              </w:rPr>
            </w:pPr>
            <w:r>
              <w:rPr>
                <w:rFonts w:hint="eastAsia" w:ascii="宋体"/>
                <w:sz w:val="24"/>
                <w:highlight w:val="none"/>
              </w:rPr>
              <w:t>□是     □否</w:t>
            </w:r>
          </w:p>
        </w:tc>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0DC85BD3">
            <w:pPr>
              <w:spacing w:line="360" w:lineRule="auto"/>
              <w:ind w:left="0" w:firstLine="0" w:firstLineChars="0"/>
              <w:jc w:val="center"/>
              <w:rPr>
                <w:rFonts w:hint="eastAsia" w:ascii="宋体"/>
                <w:sz w:val="24"/>
                <w:highlight w:val="none"/>
              </w:rPr>
            </w:pPr>
            <w:r>
              <w:rPr>
                <w:rFonts w:hint="eastAsia" w:ascii="宋体"/>
                <w:sz w:val="24"/>
                <w:highlight w:val="none"/>
              </w:rPr>
              <w:t>交付物是否齐全</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68C32C30">
            <w:pPr>
              <w:spacing w:line="360" w:lineRule="auto"/>
              <w:rPr>
                <w:rFonts w:hint="eastAsia" w:ascii="宋体"/>
                <w:sz w:val="24"/>
                <w:highlight w:val="none"/>
              </w:rPr>
            </w:pPr>
            <w:r>
              <w:rPr>
                <w:rFonts w:hint="eastAsia" w:ascii="宋体"/>
                <w:sz w:val="24"/>
                <w:highlight w:val="none"/>
              </w:rPr>
              <w:t>□是     □否</w:t>
            </w:r>
          </w:p>
        </w:tc>
      </w:tr>
      <w:tr w14:paraId="0095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78BFECD9">
            <w:pPr>
              <w:spacing w:line="360" w:lineRule="auto"/>
              <w:ind w:left="0" w:firstLine="0" w:firstLineChars="0"/>
              <w:jc w:val="center"/>
              <w:rPr>
                <w:rFonts w:hint="eastAsia" w:ascii="宋体"/>
                <w:sz w:val="24"/>
                <w:highlight w:val="none"/>
              </w:rPr>
            </w:pPr>
            <w:r>
              <w:rPr>
                <w:rFonts w:hint="eastAsia" w:ascii="宋体"/>
                <w:sz w:val="24"/>
                <w:highlight w:val="none"/>
              </w:rPr>
              <w:t>有无遗留问题</w:t>
            </w:r>
          </w:p>
        </w:tc>
        <w:tc>
          <w:tcPr>
            <w:tcW w:w="7262" w:type="dxa"/>
            <w:gridSpan w:val="5"/>
            <w:tcBorders>
              <w:top w:val="single" w:color="auto" w:sz="4" w:space="0"/>
              <w:left w:val="single" w:color="auto" w:sz="4" w:space="0"/>
              <w:bottom w:val="single" w:color="auto" w:sz="4" w:space="0"/>
              <w:right w:val="single" w:color="auto" w:sz="4" w:space="0"/>
            </w:tcBorders>
            <w:noWrap/>
            <w:vAlign w:val="center"/>
          </w:tcPr>
          <w:p w14:paraId="46BFC72A">
            <w:pPr>
              <w:spacing w:line="360" w:lineRule="auto"/>
              <w:rPr>
                <w:rFonts w:hint="eastAsia" w:ascii="宋体"/>
                <w:sz w:val="24"/>
                <w:highlight w:val="none"/>
              </w:rPr>
            </w:pPr>
          </w:p>
        </w:tc>
      </w:tr>
      <w:tr w14:paraId="7F3E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371694B9">
            <w:pPr>
              <w:spacing w:line="360" w:lineRule="auto"/>
              <w:ind w:left="0" w:firstLine="0" w:firstLineChars="0"/>
              <w:jc w:val="center"/>
              <w:rPr>
                <w:rFonts w:hint="eastAsia" w:ascii="宋体"/>
                <w:sz w:val="24"/>
                <w:highlight w:val="none"/>
              </w:rPr>
            </w:pPr>
            <w:r>
              <w:rPr>
                <w:rFonts w:hint="eastAsia" w:ascii="宋体"/>
                <w:sz w:val="24"/>
                <w:highlight w:val="none"/>
              </w:rPr>
              <w:t>最终验收评审结论</w:t>
            </w:r>
          </w:p>
        </w:tc>
        <w:tc>
          <w:tcPr>
            <w:tcW w:w="7262" w:type="dxa"/>
            <w:gridSpan w:val="5"/>
            <w:tcBorders>
              <w:top w:val="single" w:color="auto" w:sz="4" w:space="0"/>
              <w:left w:val="single" w:color="auto" w:sz="4" w:space="0"/>
              <w:bottom w:val="single" w:color="auto" w:sz="4" w:space="0"/>
              <w:right w:val="single" w:color="auto" w:sz="4" w:space="0"/>
            </w:tcBorders>
            <w:noWrap/>
            <w:vAlign w:val="center"/>
          </w:tcPr>
          <w:p w14:paraId="22C5AFF5">
            <w:pPr>
              <w:spacing w:line="360" w:lineRule="auto"/>
              <w:rPr>
                <w:rFonts w:hint="eastAsia" w:ascii="宋体"/>
                <w:sz w:val="24"/>
                <w:highlight w:val="none"/>
              </w:rPr>
            </w:pPr>
          </w:p>
        </w:tc>
      </w:tr>
      <w:tr w14:paraId="589C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8" w:hRule="atLeast"/>
        </w:trPr>
        <w:tc>
          <w:tcPr>
            <w:tcW w:w="4755" w:type="dxa"/>
            <w:gridSpan w:val="4"/>
            <w:tcBorders>
              <w:top w:val="single" w:color="auto" w:sz="4" w:space="0"/>
              <w:left w:val="single" w:color="auto" w:sz="4" w:space="0"/>
              <w:bottom w:val="single" w:color="auto" w:sz="4" w:space="0"/>
              <w:right w:val="single" w:color="auto" w:sz="4" w:space="0"/>
            </w:tcBorders>
            <w:noWrap/>
          </w:tcPr>
          <w:p w14:paraId="2D6DC40D">
            <w:pPr>
              <w:spacing w:line="200" w:lineRule="exact"/>
              <w:rPr>
                <w:rFonts w:hint="eastAsia" w:ascii="宋体"/>
                <w:sz w:val="24"/>
                <w:highlight w:val="none"/>
              </w:rPr>
            </w:pPr>
          </w:p>
          <w:p w14:paraId="6B092231">
            <w:pPr>
              <w:spacing w:line="400" w:lineRule="exact"/>
              <w:ind w:left="0" w:firstLine="0" w:firstLineChars="0"/>
              <w:rPr>
                <w:rFonts w:hint="eastAsia" w:ascii="宋体"/>
                <w:sz w:val="24"/>
                <w:highlight w:val="none"/>
              </w:rPr>
            </w:pPr>
            <w:r>
              <w:rPr>
                <w:rFonts w:hint="eastAsia" w:ascii="宋体"/>
                <w:sz w:val="24"/>
                <w:highlight w:val="none"/>
              </w:rPr>
              <w:t>参验人员：</w:t>
            </w:r>
          </w:p>
          <w:p w14:paraId="2735C107">
            <w:pPr>
              <w:spacing w:line="400" w:lineRule="exact"/>
              <w:rPr>
                <w:rFonts w:hint="eastAsia" w:ascii="宋体"/>
                <w:sz w:val="24"/>
                <w:highlight w:val="none"/>
              </w:rPr>
            </w:pPr>
          </w:p>
          <w:p w14:paraId="02F8F8FF">
            <w:pPr>
              <w:spacing w:line="400" w:lineRule="exact"/>
              <w:rPr>
                <w:rFonts w:hint="eastAsia" w:ascii="宋体"/>
                <w:sz w:val="24"/>
                <w:highlight w:val="none"/>
              </w:rPr>
            </w:pPr>
          </w:p>
          <w:p w14:paraId="232BB122">
            <w:pPr>
              <w:spacing w:line="400" w:lineRule="exact"/>
              <w:ind w:right="600"/>
              <w:rPr>
                <w:rFonts w:hint="eastAsia" w:ascii="宋体"/>
                <w:sz w:val="24"/>
                <w:highlight w:val="none"/>
              </w:rPr>
            </w:pPr>
            <w:r>
              <w:rPr>
                <w:rFonts w:hint="eastAsia" w:ascii="宋体"/>
                <w:sz w:val="24"/>
                <w:highlight w:val="none"/>
              </w:rPr>
              <w:t xml:space="preserve">               年</w:t>
            </w:r>
            <w:r>
              <w:rPr>
                <w:rFonts w:hint="eastAsia" w:ascii="宋体"/>
                <w:sz w:val="24"/>
                <w:highlight w:val="none"/>
                <w:lang w:val="en-US" w:eastAsia="zh-CN"/>
              </w:rPr>
              <w:t xml:space="preserve"> </w:t>
            </w:r>
            <w:r>
              <w:rPr>
                <w:rFonts w:hint="eastAsia" w:ascii="宋体"/>
                <w:sz w:val="24"/>
                <w:highlight w:val="none"/>
              </w:rPr>
              <w:t xml:space="preserve">  月  </w:t>
            </w:r>
            <w:r>
              <w:rPr>
                <w:rFonts w:hint="eastAsia" w:ascii="宋体"/>
                <w:sz w:val="24"/>
                <w:highlight w:val="none"/>
                <w:lang w:val="en-US" w:eastAsia="zh-CN"/>
              </w:rPr>
              <w:t xml:space="preserve">  </w:t>
            </w:r>
            <w:r>
              <w:rPr>
                <w:rFonts w:hint="eastAsia" w:ascii="宋体"/>
                <w:sz w:val="24"/>
                <w:highlight w:val="none"/>
              </w:rPr>
              <w:t>日</w:t>
            </w:r>
          </w:p>
        </w:tc>
        <w:tc>
          <w:tcPr>
            <w:tcW w:w="4743" w:type="dxa"/>
            <w:gridSpan w:val="3"/>
            <w:tcBorders>
              <w:top w:val="single" w:color="auto" w:sz="4" w:space="0"/>
              <w:left w:val="single" w:color="auto" w:sz="4" w:space="0"/>
              <w:bottom w:val="single" w:color="auto" w:sz="4" w:space="0"/>
              <w:right w:val="single" w:color="auto" w:sz="4" w:space="0"/>
            </w:tcBorders>
            <w:noWrap/>
          </w:tcPr>
          <w:p w14:paraId="7ACBB476">
            <w:pPr>
              <w:widowControl/>
              <w:ind w:left="0" w:firstLine="0" w:firstLineChars="0"/>
              <w:jc w:val="left"/>
              <w:rPr>
                <w:rFonts w:hint="eastAsia" w:ascii="宋体"/>
                <w:sz w:val="24"/>
                <w:highlight w:val="none"/>
              </w:rPr>
            </w:pPr>
            <w:r>
              <w:rPr>
                <w:rFonts w:hint="eastAsia" w:ascii="宋体"/>
                <w:sz w:val="24"/>
                <w:highlight w:val="none"/>
              </w:rPr>
              <w:t>部门负责人：</w:t>
            </w:r>
          </w:p>
          <w:p w14:paraId="0D289C58">
            <w:pPr>
              <w:widowControl/>
              <w:jc w:val="left"/>
              <w:rPr>
                <w:rFonts w:hint="eastAsia" w:ascii="宋体"/>
                <w:sz w:val="24"/>
                <w:highlight w:val="none"/>
              </w:rPr>
            </w:pPr>
          </w:p>
          <w:p w14:paraId="4952B5BA">
            <w:pPr>
              <w:widowControl/>
              <w:jc w:val="left"/>
              <w:rPr>
                <w:rFonts w:hint="eastAsia" w:ascii="宋体"/>
                <w:sz w:val="24"/>
                <w:highlight w:val="none"/>
              </w:rPr>
            </w:pPr>
          </w:p>
          <w:p w14:paraId="7BAB5654">
            <w:pPr>
              <w:widowControl/>
              <w:jc w:val="left"/>
              <w:rPr>
                <w:rFonts w:hint="eastAsia" w:ascii="宋体"/>
                <w:sz w:val="24"/>
                <w:highlight w:val="none"/>
              </w:rPr>
            </w:pPr>
          </w:p>
          <w:p w14:paraId="7971C67F">
            <w:pPr>
              <w:spacing w:line="400" w:lineRule="exact"/>
              <w:ind w:left="1965" w:right="600" w:firstLine="600" w:firstLineChars="250"/>
              <w:rPr>
                <w:rFonts w:hint="eastAsia" w:ascii="宋体"/>
                <w:sz w:val="24"/>
                <w:highlight w:val="none"/>
              </w:rPr>
            </w:pPr>
            <w:r>
              <w:rPr>
                <w:rFonts w:hint="eastAsia" w:ascii="宋体"/>
                <w:sz w:val="24"/>
                <w:highlight w:val="none"/>
              </w:rPr>
              <w:t>年  月  日</w:t>
            </w:r>
          </w:p>
        </w:tc>
      </w:tr>
    </w:tbl>
    <w:p w14:paraId="3EACFC57">
      <w:pPr>
        <w:rPr>
          <w:rFonts w:hint="eastAsia" w:ascii="宋体"/>
          <w:b/>
          <w:color w:val="000000"/>
          <w:sz w:val="24"/>
          <w:highlight w:val="none"/>
        </w:rPr>
      </w:pPr>
      <w:r>
        <w:rPr>
          <w:rFonts w:hint="eastAsia" w:ascii="宋体"/>
          <w:b/>
          <w:color w:val="000000"/>
          <w:sz w:val="24"/>
          <w:highlight w:val="none"/>
        </w:rPr>
        <w:t xml:space="preserve"> </w:t>
      </w:r>
    </w:p>
    <w:p w14:paraId="1B8E5435">
      <w:pPr>
        <w:pStyle w:val="17"/>
        <w:snapToGrid w:val="0"/>
        <w:spacing w:before="0" w:after="0" w:line="520" w:lineRule="exact"/>
        <w:jc w:val="left"/>
        <w:outlineLvl w:val="3"/>
        <w:rPr>
          <w:snapToGrid w:val="0"/>
          <w:highlight w:val="none"/>
        </w:rPr>
      </w:pPr>
      <w:r>
        <w:rPr>
          <w:snapToGrid w:val="0"/>
          <w:highlight w:val="none"/>
        </w:rPr>
        <w:br w:type="page"/>
      </w:r>
      <w:bookmarkStart w:id="264" w:name="_Toc1613163619"/>
      <w:r>
        <w:rPr>
          <w:rFonts w:hint="eastAsia"/>
          <w:snapToGrid w:val="0"/>
          <w:sz w:val="24"/>
          <w:highlight w:val="none"/>
        </w:rPr>
        <w:t>附件</w:t>
      </w:r>
      <w:r>
        <w:rPr>
          <w:rFonts w:hint="eastAsia" w:ascii="宋体"/>
          <w:snapToGrid w:val="0"/>
          <w:sz w:val="24"/>
          <w:highlight w:val="none"/>
        </w:rPr>
        <w:t>3</w:t>
      </w:r>
      <w:bookmarkEnd w:id="264"/>
    </w:p>
    <w:p w14:paraId="5FB24909">
      <w:pPr>
        <w:pStyle w:val="17"/>
        <w:snapToGrid w:val="0"/>
        <w:spacing w:before="0" w:after="0" w:line="520" w:lineRule="exact"/>
        <w:outlineLvl w:val="3"/>
        <w:rPr>
          <w:snapToGrid w:val="0"/>
          <w:highlight w:val="none"/>
        </w:rPr>
      </w:pPr>
      <w:bookmarkStart w:id="265" w:name="_Toc1610127915"/>
      <w:r>
        <w:rPr>
          <w:rFonts w:hint="eastAsia"/>
          <w:snapToGrid w:val="0"/>
          <w:highlight w:val="none"/>
        </w:rPr>
        <w:t>服务水平协议</w:t>
      </w:r>
      <w:bookmarkEnd w:id="265"/>
    </w:p>
    <w:p w14:paraId="06987182">
      <w:pPr>
        <w:snapToGrid w:val="0"/>
        <w:spacing w:line="520" w:lineRule="exact"/>
        <w:rPr>
          <w:rFonts w:hint="eastAsia" w:ascii="宋体"/>
          <w:b/>
          <w:bCs/>
          <w:kern w:val="32"/>
          <w:sz w:val="24"/>
          <w:highlight w:val="none"/>
        </w:rPr>
      </w:pPr>
      <w:r>
        <w:rPr>
          <w:rFonts w:hint="eastAsia" w:ascii="宋体"/>
          <w:b/>
          <w:bCs/>
          <w:kern w:val="32"/>
          <w:sz w:val="24"/>
          <w:highlight w:val="none"/>
        </w:rPr>
        <w:t>1.目标</w:t>
      </w:r>
    </w:p>
    <w:p w14:paraId="479EC1B8">
      <w:pPr>
        <w:snapToGrid w:val="0"/>
        <w:spacing w:line="520" w:lineRule="exact"/>
        <w:ind w:firstLine="480" w:firstLineChars="200"/>
        <w:rPr>
          <w:rFonts w:hint="eastAsia" w:ascii="宋体"/>
          <w:highlight w:val="none"/>
        </w:rPr>
      </w:pPr>
      <w:r>
        <w:rPr>
          <w:rFonts w:hint="eastAsia" w:ascii="宋体"/>
          <w:highlight w:val="none"/>
        </w:rPr>
        <w:t>本服务水平协议（SLA）的目标是为了清晰地定义由xxxxxx公司（乙方）在本项目中为重庆三峡银行（甲方）提供的服务水平，本SLA主要：</w:t>
      </w:r>
    </w:p>
    <w:p w14:paraId="101792E9">
      <w:pPr>
        <w:widowControl/>
        <w:numPr>
          <w:ilvl w:val="0"/>
          <w:numId w:val="3"/>
        </w:numPr>
        <w:snapToGrid w:val="0"/>
        <w:spacing w:line="520" w:lineRule="exact"/>
        <w:ind w:firstLineChars="0"/>
        <w:jc w:val="left"/>
        <w:rPr>
          <w:rFonts w:hint="eastAsia" w:ascii="宋体"/>
          <w:highlight w:val="none"/>
        </w:rPr>
      </w:pPr>
      <w:r>
        <w:rPr>
          <w:rFonts w:hint="eastAsia" w:ascii="宋体"/>
          <w:highlight w:val="none"/>
        </w:rPr>
        <w:t>明确甲方对外包乙方所提供服务水平的期望</w:t>
      </w:r>
    </w:p>
    <w:p w14:paraId="47AD22FF">
      <w:pPr>
        <w:widowControl/>
        <w:numPr>
          <w:ilvl w:val="0"/>
          <w:numId w:val="3"/>
        </w:numPr>
        <w:snapToGrid w:val="0"/>
        <w:spacing w:line="520" w:lineRule="exact"/>
        <w:ind w:firstLineChars="0"/>
        <w:jc w:val="left"/>
        <w:rPr>
          <w:rFonts w:hint="eastAsia" w:ascii="宋体"/>
          <w:highlight w:val="none"/>
        </w:rPr>
      </w:pPr>
      <w:r>
        <w:rPr>
          <w:rFonts w:hint="eastAsia" w:ascii="宋体"/>
          <w:highlight w:val="none"/>
        </w:rPr>
        <w:t>规范和加强甲方对乙方所提供服务水平的控制</w:t>
      </w:r>
    </w:p>
    <w:p w14:paraId="77549DD4">
      <w:pPr>
        <w:snapToGrid w:val="0"/>
        <w:spacing w:line="520" w:lineRule="exact"/>
        <w:ind w:firstLine="480" w:firstLineChars="200"/>
        <w:rPr>
          <w:rFonts w:hint="eastAsia" w:ascii="宋体"/>
          <w:highlight w:val="none"/>
        </w:rPr>
      </w:pPr>
      <w:r>
        <w:rPr>
          <w:rFonts w:hint="eastAsia" w:ascii="宋体"/>
          <w:highlight w:val="none"/>
        </w:rPr>
        <w:t>双方将针对本项目制定明确的职责分工表用来确定计划和管理服务水平协议的角色和职责。</w:t>
      </w:r>
    </w:p>
    <w:p w14:paraId="2BF627F9">
      <w:pPr>
        <w:snapToGrid w:val="0"/>
        <w:spacing w:line="520" w:lineRule="exact"/>
        <w:rPr>
          <w:rFonts w:hint="eastAsia" w:ascii="宋体"/>
          <w:b/>
          <w:bCs/>
          <w:kern w:val="32"/>
          <w:highlight w:val="none"/>
        </w:rPr>
      </w:pPr>
      <w:bookmarkStart w:id="266" w:name="_Toc254884641"/>
      <w:r>
        <w:rPr>
          <w:rFonts w:hint="eastAsia" w:ascii="宋体"/>
          <w:b/>
          <w:bCs/>
          <w:kern w:val="32"/>
          <w:highlight w:val="none"/>
        </w:rPr>
        <w:t>2. 双方职责</w:t>
      </w:r>
      <w:bookmarkEnd w:id="266"/>
    </w:p>
    <w:p w14:paraId="4EBF33C3">
      <w:pPr>
        <w:snapToGrid w:val="0"/>
        <w:spacing w:line="520" w:lineRule="exact"/>
        <w:rPr>
          <w:rFonts w:hint="eastAsia" w:ascii="宋体"/>
          <w:b/>
          <w:bCs/>
          <w:kern w:val="32"/>
          <w:highlight w:val="none"/>
        </w:rPr>
      </w:pPr>
      <w:bookmarkStart w:id="267" w:name="_Toc254884642"/>
      <w:r>
        <w:rPr>
          <w:rFonts w:hint="eastAsia" w:ascii="宋体"/>
          <w:b/>
          <w:bCs/>
          <w:kern w:val="32"/>
          <w:highlight w:val="none"/>
        </w:rPr>
        <w:t>2.1乙方</w:t>
      </w:r>
      <w:bookmarkEnd w:id="267"/>
    </w:p>
    <w:p w14:paraId="37715EB3">
      <w:pPr>
        <w:snapToGrid w:val="0"/>
        <w:spacing w:line="520" w:lineRule="exact"/>
        <w:ind w:firstLine="480" w:firstLineChars="200"/>
        <w:rPr>
          <w:rFonts w:hint="eastAsia" w:ascii="宋体"/>
          <w:highlight w:val="none"/>
        </w:rPr>
      </w:pPr>
      <w:r>
        <w:rPr>
          <w:rFonts w:hint="eastAsia" w:ascii="宋体"/>
          <w:highlight w:val="none"/>
        </w:rPr>
        <w:t>除本协议第4章节描述的服务水平衡量和目标外，乙方还应：</w:t>
      </w:r>
    </w:p>
    <w:p w14:paraId="630E3BC5">
      <w:pPr>
        <w:widowControl/>
        <w:numPr>
          <w:ilvl w:val="0"/>
          <w:numId w:val="3"/>
        </w:numPr>
        <w:spacing w:line="360" w:lineRule="auto"/>
        <w:ind w:firstLineChars="0"/>
        <w:jc w:val="left"/>
        <w:rPr>
          <w:rFonts w:hint="eastAsia" w:ascii="宋体"/>
          <w:highlight w:val="none"/>
        </w:rPr>
      </w:pPr>
      <w:r>
        <w:rPr>
          <w:rFonts w:hint="eastAsia" w:ascii="宋体"/>
          <w:highlight w:val="none"/>
        </w:rPr>
        <w:t>尽快向甲方管理层汇报发现的问题；</w:t>
      </w:r>
    </w:p>
    <w:p w14:paraId="184B02EE">
      <w:pPr>
        <w:widowControl/>
        <w:numPr>
          <w:ilvl w:val="0"/>
          <w:numId w:val="3"/>
        </w:numPr>
        <w:spacing w:line="360" w:lineRule="auto"/>
        <w:ind w:firstLineChars="0"/>
        <w:jc w:val="left"/>
        <w:rPr>
          <w:rFonts w:hint="eastAsia" w:ascii="宋体"/>
          <w:highlight w:val="none"/>
        </w:rPr>
      </w:pPr>
      <w:r>
        <w:rPr>
          <w:rFonts w:hint="eastAsia" w:ascii="宋体"/>
          <w:highlight w:val="none"/>
        </w:rPr>
        <w:t>任何可能影响SLA中规定服务的服务能力的事件，乙方应尽早向甲方提供预警信息，以及可能的影响和处置措施。事件包括：</w:t>
      </w:r>
    </w:p>
    <w:p w14:paraId="0414835A">
      <w:pPr>
        <w:widowControl/>
        <w:numPr>
          <w:ilvl w:val="0"/>
          <w:numId w:val="4"/>
        </w:numPr>
        <w:spacing w:line="360" w:lineRule="auto"/>
        <w:ind w:firstLineChars="0"/>
        <w:jc w:val="left"/>
        <w:rPr>
          <w:rFonts w:hint="eastAsia" w:ascii="宋体"/>
          <w:highlight w:val="none"/>
        </w:rPr>
      </w:pPr>
      <w:r>
        <w:rPr>
          <w:rFonts w:hint="eastAsia" w:ascii="宋体"/>
          <w:highlight w:val="none"/>
        </w:rPr>
        <w:t>组织架构变更</w:t>
      </w:r>
    </w:p>
    <w:p w14:paraId="64298FF6">
      <w:pPr>
        <w:widowControl/>
        <w:numPr>
          <w:ilvl w:val="0"/>
          <w:numId w:val="4"/>
        </w:numPr>
        <w:spacing w:line="360" w:lineRule="auto"/>
        <w:ind w:firstLineChars="0"/>
        <w:jc w:val="left"/>
        <w:rPr>
          <w:rFonts w:hint="eastAsia" w:ascii="宋体"/>
          <w:highlight w:val="none"/>
        </w:rPr>
      </w:pPr>
      <w:r>
        <w:rPr>
          <w:rFonts w:hint="eastAsia" w:ascii="宋体"/>
          <w:highlight w:val="none"/>
        </w:rPr>
        <w:t>技术变更</w:t>
      </w:r>
    </w:p>
    <w:p w14:paraId="796F63EF">
      <w:pPr>
        <w:widowControl/>
        <w:numPr>
          <w:ilvl w:val="0"/>
          <w:numId w:val="4"/>
        </w:numPr>
        <w:spacing w:line="360" w:lineRule="auto"/>
        <w:ind w:firstLineChars="0"/>
        <w:jc w:val="left"/>
        <w:rPr>
          <w:rFonts w:ascii="宋体"/>
          <w:highlight w:val="none"/>
        </w:rPr>
      </w:pPr>
      <w:r>
        <w:rPr>
          <w:rFonts w:hint="eastAsia" w:ascii="宋体"/>
          <w:highlight w:val="none"/>
        </w:rPr>
        <w:t>职能变更</w:t>
      </w:r>
    </w:p>
    <w:p w14:paraId="35983491">
      <w:pPr>
        <w:widowControl/>
        <w:numPr>
          <w:ilvl w:val="0"/>
          <w:numId w:val="4"/>
        </w:numPr>
        <w:spacing w:line="360" w:lineRule="auto"/>
        <w:ind w:firstLineChars="0"/>
        <w:jc w:val="left"/>
        <w:rPr>
          <w:rFonts w:hint="eastAsia" w:ascii="宋体"/>
          <w:highlight w:val="none"/>
        </w:rPr>
      </w:pPr>
      <w:r>
        <w:rPr>
          <w:rFonts w:ascii="宋体"/>
          <w:highlight w:val="none"/>
        </w:rPr>
        <w:t>其他可能影响对甲方服务的突发事件</w:t>
      </w:r>
    </w:p>
    <w:p w14:paraId="75BC514D">
      <w:pPr>
        <w:widowControl/>
        <w:numPr>
          <w:ilvl w:val="0"/>
          <w:numId w:val="3"/>
        </w:numPr>
        <w:spacing w:line="360" w:lineRule="auto"/>
        <w:ind w:left="709" w:hanging="229" w:firstLineChars="0"/>
        <w:jc w:val="left"/>
        <w:rPr>
          <w:rFonts w:hint="eastAsia" w:ascii="宋体"/>
          <w:highlight w:val="none"/>
        </w:rPr>
      </w:pPr>
      <w:r>
        <w:rPr>
          <w:rFonts w:hint="eastAsia" w:ascii="宋体"/>
          <w:highlight w:val="none"/>
        </w:rPr>
        <w:t xml:space="preserve"> 协助甲方及时解决生产事件。当问题产生时，应尽快采取适当的措施识别并修复问题。</w:t>
      </w:r>
    </w:p>
    <w:p w14:paraId="4ACB1CD2">
      <w:pPr>
        <w:snapToGrid w:val="0"/>
        <w:spacing w:line="520" w:lineRule="exact"/>
        <w:rPr>
          <w:rFonts w:hint="eastAsia" w:ascii="宋体"/>
          <w:b/>
          <w:bCs/>
          <w:kern w:val="32"/>
          <w:highlight w:val="none"/>
        </w:rPr>
      </w:pPr>
      <w:r>
        <w:rPr>
          <w:rFonts w:hint="eastAsia" w:ascii="宋体"/>
          <w:b/>
          <w:bCs/>
          <w:kern w:val="32"/>
          <w:highlight w:val="none"/>
        </w:rPr>
        <w:t>2.2甲方</w:t>
      </w:r>
    </w:p>
    <w:p w14:paraId="3F0AD25E">
      <w:pPr>
        <w:widowControl/>
        <w:numPr>
          <w:ilvl w:val="0"/>
          <w:numId w:val="3"/>
        </w:numPr>
        <w:snapToGrid w:val="0"/>
        <w:spacing w:line="520" w:lineRule="exact"/>
        <w:ind w:left="709" w:hanging="229" w:firstLineChars="0"/>
        <w:jc w:val="left"/>
        <w:rPr>
          <w:rFonts w:hint="eastAsia" w:ascii="宋体"/>
          <w:highlight w:val="none"/>
        </w:rPr>
      </w:pPr>
      <w:r>
        <w:rPr>
          <w:rFonts w:hint="eastAsia" w:ascii="宋体"/>
          <w:highlight w:val="none"/>
        </w:rPr>
        <w:t>甲方将尽快将问题汇报给乙方管理层；</w:t>
      </w:r>
    </w:p>
    <w:p w14:paraId="28CB8471">
      <w:pPr>
        <w:widowControl/>
        <w:numPr>
          <w:ilvl w:val="0"/>
          <w:numId w:val="3"/>
        </w:numPr>
        <w:snapToGrid w:val="0"/>
        <w:spacing w:line="520" w:lineRule="exact"/>
        <w:ind w:left="709" w:hanging="229" w:firstLineChars="0"/>
        <w:jc w:val="left"/>
        <w:rPr>
          <w:rFonts w:hint="eastAsia" w:ascii="宋体"/>
          <w:highlight w:val="none"/>
        </w:rPr>
      </w:pPr>
      <w:r>
        <w:rPr>
          <w:rFonts w:hint="eastAsia" w:ascii="宋体"/>
          <w:highlight w:val="none"/>
        </w:rPr>
        <w:t>提供任何可能影响乙方向甲方提供SLA中规定服务的服务能力的事件信息，包括：</w:t>
      </w:r>
    </w:p>
    <w:p w14:paraId="2AC6ADB2">
      <w:pPr>
        <w:widowControl/>
        <w:numPr>
          <w:ilvl w:val="0"/>
          <w:numId w:val="4"/>
        </w:numPr>
        <w:snapToGrid w:val="0"/>
        <w:spacing w:line="520" w:lineRule="exact"/>
        <w:ind w:firstLineChars="0"/>
        <w:jc w:val="left"/>
        <w:rPr>
          <w:rFonts w:hint="eastAsia" w:ascii="宋体"/>
          <w:highlight w:val="none"/>
        </w:rPr>
      </w:pPr>
      <w:r>
        <w:rPr>
          <w:rFonts w:hint="eastAsia" w:ascii="宋体"/>
          <w:highlight w:val="none"/>
        </w:rPr>
        <w:t>组织架构变更</w:t>
      </w:r>
    </w:p>
    <w:p w14:paraId="2C093C91">
      <w:pPr>
        <w:widowControl/>
        <w:numPr>
          <w:ilvl w:val="0"/>
          <w:numId w:val="4"/>
        </w:numPr>
        <w:snapToGrid w:val="0"/>
        <w:spacing w:line="520" w:lineRule="exact"/>
        <w:ind w:firstLineChars="0"/>
        <w:jc w:val="left"/>
        <w:rPr>
          <w:rFonts w:hint="eastAsia" w:ascii="宋体"/>
          <w:highlight w:val="none"/>
        </w:rPr>
      </w:pPr>
      <w:r>
        <w:rPr>
          <w:rFonts w:hint="eastAsia" w:ascii="宋体"/>
          <w:highlight w:val="none"/>
        </w:rPr>
        <w:t>技术变更</w:t>
      </w:r>
    </w:p>
    <w:p w14:paraId="481DDAF3">
      <w:pPr>
        <w:widowControl/>
        <w:numPr>
          <w:ilvl w:val="0"/>
          <w:numId w:val="4"/>
        </w:numPr>
        <w:snapToGrid w:val="0"/>
        <w:spacing w:line="520" w:lineRule="exact"/>
        <w:ind w:firstLineChars="0"/>
        <w:jc w:val="left"/>
        <w:rPr>
          <w:rFonts w:hint="eastAsia" w:ascii="宋体"/>
          <w:highlight w:val="none"/>
        </w:rPr>
      </w:pPr>
      <w:r>
        <w:rPr>
          <w:rFonts w:hint="eastAsia" w:ascii="宋体"/>
          <w:highlight w:val="none"/>
        </w:rPr>
        <w:t>职能变更</w:t>
      </w:r>
    </w:p>
    <w:p w14:paraId="388AD36A">
      <w:pPr>
        <w:snapToGrid w:val="0"/>
        <w:spacing w:line="520" w:lineRule="exact"/>
        <w:rPr>
          <w:rFonts w:hint="eastAsia" w:ascii="宋体"/>
          <w:b/>
          <w:bCs/>
          <w:kern w:val="32"/>
          <w:highlight w:val="none"/>
        </w:rPr>
      </w:pPr>
      <w:bookmarkStart w:id="268" w:name="_Toc254884648"/>
      <w:r>
        <w:rPr>
          <w:rFonts w:hint="eastAsia" w:ascii="宋体"/>
          <w:b/>
          <w:bCs/>
          <w:kern w:val="32"/>
          <w:highlight w:val="none"/>
        </w:rPr>
        <w:t>3.联络表</w:t>
      </w:r>
      <w:bookmarkEnd w:id="268"/>
    </w:p>
    <w:tbl>
      <w:tblPr>
        <w:tblStyle w:val="20"/>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6F6B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6C1591AE">
            <w:pPr>
              <w:snapToGrid w:val="0"/>
              <w:spacing w:line="520" w:lineRule="exact"/>
              <w:jc w:val="center"/>
              <w:rPr>
                <w:rFonts w:hint="eastAsia" w:ascii="宋体"/>
                <w:highlight w:val="none"/>
              </w:rPr>
            </w:pPr>
            <w:r>
              <w:rPr>
                <w:rFonts w:hint="eastAsia" w:ascii="宋体"/>
                <w:b/>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14:paraId="5C748C9F">
            <w:pPr>
              <w:snapToGrid w:val="0"/>
              <w:spacing w:line="520" w:lineRule="exact"/>
              <w:jc w:val="center"/>
              <w:rPr>
                <w:rFonts w:hint="eastAsia" w:ascii="宋体"/>
                <w:b/>
                <w:highlight w:val="none"/>
              </w:rPr>
            </w:pPr>
            <w:r>
              <w:rPr>
                <w:rFonts w:hint="eastAsia" w:ascii="宋体"/>
                <w:b/>
                <w:highlight w:val="none"/>
              </w:rPr>
              <w:t>职务</w:t>
            </w:r>
          </w:p>
        </w:tc>
        <w:tc>
          <w:tcPr>
            <w:tcW w:w="3195" w:type="dxa"/>
            <w:tcBorders>
              <w:top w:val="single" w:color="auto" w:sz="4" w:space="0"/>
              <w:left w:val="single" w:color="auto" w:sz="4" w:space="0"/>
              <w:bottom w:val="single" w:color="auto" w:sz="4" w:space="0"/>
              <w:right w:val="single" w:color="auto" w:sz="4" w:space="0"/>
            </w:tcBorders>
            <w:noWrap/>
          </w:tcPr>
          <w:p w14:paraId="635C4315">
            <w:pPr>
              <w:snapToGrid w:val="0"/>
              <w:spacing w:line="520" w:lineRule="exact"/>
              <w:jc w:val="center"/>
              <w:rPr>
                <w:rFonts w:hint="eastAsia" w:ascii="宋体"/>
                <w:b/>
                <w:highlight w:val="none"/>
              </w:rPr>
            </w:pPr>
            <w:r>
              <w:rPr>
                <w:rFonts w:hint="eastAsia" w:ascii="宋体"/>
                <w:b/>
                <w:highlight w:val="none"/>
              </w:rPr>
              <w:t>电话</w:t>
            </w:r>
          </w:p>
        </w:tc>
      </w:tr>
      <w:tr w14:paraId="580B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39394D45">
            <w:pPr>
              <w:snapToGrid w:val="0"/>
              <w:spacing w:line="520" w:lineRule="exact"/>
              <w:jc w:val="center"/>
              <w:rPr>
                <w:rFonts w:ascii="宋体" w:eastAsia="宋体"/>
                <w:highlight w:val="none"/>
                <w:lang w:val="en-US" w:eastAsia="zh-CN"/>
              </w:rPr>
            </w:pPr>
            <w:r>
              <w:rPr>
                <w:rFonts w:hint="eastAsia" w:ascii="宋体"/>
                <w:highlight w:val="none"/>
                <w:lang w:val="en-US" w:eastAsia="zh-CN"/>
              </w:rPr>
              <w:t>XXX</w:t>
            </w:r>
          </w:p>
        </w:tc>
        <w:tc>
          <w:tcPr>
            <w:tcW w:w="2451" w:type="dxa"/>
            <w:tcBorders>
              <w:top w:val="single" w:color="auto" w:sz="4" w:space="0"/>
              <w:left w:val="single" w:color="auto" w:sz="4" w:space="0"/>
              <w:bottom w:val="single" w:color="auto" w:sz="4" w:space="0"/>
              <w:right w:val="single" w:color="auto" w:sz="4" w:space="0"/>
            </w:tcBorders>
            <w:noWrap/>
          </w:tcPr>
          <w:p w14:paraId="1375C7DB">
            <w:pPr>
              <w:snapToGrid w:val="0"/>
              <w:spacing w:line="520" w:lineRule="exact"/>
              <w:jc w:val="center"/>
              <w:rPr>
                <w:rFonts w:hint="eastAsia" w:ascii="宋体"/>
                <w:highlight w:val="none"/>
              </w:rPr>
            </w:pPr>
            <w:r>
              <w:rPr>
                <w:rFonts w:hint="eastAsia" w:ascii="宋体"/>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tcPr>
          <w:p w14:paraId="54710049">
            <w:pPr>
              <w:snapToGrid w:val="0"/>
              <w:spacing w:line="520" w:lineRule="exact"/>
              <w:jc w:val="center"/>
              <w:rPr>
                <w:rFonts w:hint="eastAsia" w:ascii="宋体"/>
                <w:highlight w:val="none"/>
              </w:rPr>
            </w:pPr>
          </w:p>
        </w:tc>
      </w:tr>
      <w:tr w14:paraId="3DA3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1420B58A">
            <w:pPr>
              <w:snapToGrid w:val="0"/>
              <w:spacing w:line="520" w:lineRule="exact"/>
              <w:jc w:val="center"/>
              <w:rPr>
                <w:rFonts w:ascii="宋体" w:eastAsia="宋体"/>
                <w:highlight w:val="none"/>
                <w:lang w:val="en-US" w:eastAsia="zh-CN"/>
              </w:rPr>
            </w:pPr>
            <w:r>
              <w:rPr>
                <w:rFonts w:hint="eastAsia" w:ascii="宋体"/>
                <w:highlight w:val="none"/>
                <w:lang w:val="en-US" w:eastAsia="zh-CN"/>
              </w:rPr>
              <w:t>XXX</w:t>
            </w:r>
          </w:p>
        </w:tc>
        <w:tc>
          <w:tcPr>
            <w:tcW w:w="2451" w:type="dxa"/>
            <w:tcBorders>
              <w:top w:val="single" w:color="auto" w:sz="4" w:space="0"/>
              <w:left w:val="single" w:color="auto" w:sz="4" w:space="0"/>
              <w:bottom w:val="single" w:color="auto" w:sz="4" w:space="0"/>
              <w:right w:val="single" w:color="auto" w:sz="4" w:space="0"/>
            </w:tcBorders>
            <w:noWrap/>
          </w:tcPr>
          <w:p w14:paraId="254C7022">
            <w:pPr>
              <w:snapToGrid w:val="0"/>
              <w:spacing w:line="520" w:lineRule="exact"/>
              <w:jc w:val="center"/>
              <w:rPr>
                <w:rFonts w:hint="eastAsia" w:ascii="宋体"/>
                <w:highlight w:val="none"/>
              </w:rPr>
            </w:pPr>
            <w:r>
              <w:rPr>
                <w:rFonts w:hint="eastAsia" w:ascii="宋体"/>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tcPr>
          <w:p w14:paraId="0A7E345B">
            <w:pPr>
              <w:snapToGrid w:val="0"/>
              <w:spacing w:line="520" w:lineRule="exact"/>
              <w:jc w:val="center"/>
              <w:rPr>
                <w:rFonts w:hint="eastAsia" w:ascii="宋体"/>
                <w:highlight w:val="none"/>
              </w:rPr>
            </w:pPr>
          </w:p>
        </w:tc>
      </w:tr>
      <w:tr w14:paraId="53E6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0936E595">
            <w:pPr>
              <w:snapToGrid w:val="0"/>
              <w:spacing w:line="520" w:lineRule="exact"/>
              <w:jc w:val="center"/>
              <w:rPr>
                <w:rFonts w:ascii="宋体" w:eastAsia="宋体"/>
                <w:highlight w:val="none"/>
                <w:lang w:val="en-US" w:eastAsia="zh-CN"/>
              </w:rPr>
            </w:pPr>
            <w:r>
              <w:rPr>
                <w:rFonts w:hint="eastAsia" w:ascii="宋体"/>
                <w:highlight w:val="none"/>
                <w:lang w:val="en-US" w:eastAsia="zh-CN"/>
              </w:rPr>
              <w:t>XXX</w:t>
            </w:r>
          </w:p>
        </w:tc>
        <w:tc>
          <w:tcPr>
            <w:tcW w:w="2451" w:type="dxa"/>
            <w:tcBorders>
              <w:top w:val="single" w:color="auto" w:sz="4" w:space="0"/>
              <w:left w:val="single" w:color="auto" w:sz="4" w:space="0"/>
              <w:bottom w:val="single" w:color="auto" w:sz="4" w:space="0"/>
              <w:right w:val="single" w:color="auto" w:sz="4" w:space="0"/>
            </w:tcBorders>
            <w:noWrap/>
          </w:tcPr>
          <w:p w14:paraId="00107044">
            <w:pPr>
              <w:snapToGrid w:val="0"/>
              <w:spacing w:line="520" w:lineRule="exact"/>
              <w:jc w:val="center"/>
              <w:rPr>
                <w:rFonts w:hint="eastAsia" w:ascii="宋体"/>
                <w:highlight w:val="none"/>
              </w:rPr>
            </w:pPr>
            <w:r>
              <w:rPr>
                <w:rFonts w:hint="eastAsia" w:ascii="宋体"/>
                <w:highlight w:val="none"/>
              </w:rPr>
              <w:t>项目总监</w:t>
            </w:r>
          </w:p>
        </w:tc>
        <w:tc>
          <w:tcPr>
            <w:tcW w:w="3195" w:type="dxa"/>
            <w:tcBorders>
              <w:top w:val="single" w:color="auto" w:sz="4" w:space="0"/>
              <w:left w:val="single" w:color="auto" w:sz="4" w:space="0"/>
              <w:bottom w:val="single" w:color="auto" w:sz="4" w:space="0"/>
              <w:right w:val="single" w:color="auto" w:sz="4" w:space="0"/>
            </w:tcBorders>
            <w:noWrap/>
          </w:tcPr>
          <w:p w14:paraId="1939807C">
            <w:pPr>
              <w:snapToGrid w:val="0"/>
              <w:spacing w:line="520" w:lineRule="exact"/>
              <w:jc w:val="center"/>
              <w:rPr>
                <w:rFonts w:hint="eastAsia" w:ascii="宋体"/>
                <w:highlight w:val="none"/>
              </w:rPr>
            </w:pPr>
          </w:p>
        </w:tc>
      </w:tr>
    </w:tbl>
    <w:p w14:paraId="695EC4C2">
      <w:pPr>
        <w:snapToGrid w:val="0"/>
        <w:spacing w:line="520" w:lineRule="exact"/>
        <w:rPr>
          <w:rFonts w:hint="eastAsia"/>
          <w:highlight w:val="none"/>
        </w:rPr>
      </w:pPr>
    </w:p>
    <w:p w14:paraId="629332C4">
      <w:pPr>
        <w:snapToGrid w:val="0"/>
        <w:spacing w:line="520" w:lineRule="exact"/>
        <w:rPr>
          <w:rFonts w:hint="eastAsia" w:ascii="宋体"/>
          <w:b/>
          <w:bCs/>
          <w:kern w:val="32"/>
          <w:highlight w:val="none"/>
        </w:rPr>
      </w:pPr>
      <w:r>
        <w:rPr>
          <w:rFonts w:hint="eastAsia" w:ascii="宋体"/>
          <w:b/>
          <w:bCs/>
          <w:kern w:val="32"/>
          <w:highlight w:val="none"/>
        </w:rPr>
        <w:t>4.服务水平和指标</w:t>
      </w:r>
    </w:p>
    <w:p w14:paraId="606B9F38">
      <w:pPr>
        <w:widowControl/>
        <w:numPr>
          <w:ilvl w:val="0"/>
          <w:numId w:val="5"/>
        </w:numPr>
        <w:snapToGrid w:val="0"/>
        <w:spacing w:line="520" w:lineRule="exact"/>
        <w:ind w:firstLineChars="0"/>
        <w:rPr>
          <w:rFonts w:hint="eastAsia" w:ascii="宋体"/>
          <w:highlight w:val="none"/>
        </w:rPr>
      </w:pPr>
      <w:r>
        <w:rPr>
          <w:rFonts w:hint="eastAsia" w:ascii="宋体"/>
          <w:highlight w:val="none"/>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780"/>
        <w:gridCol w:w="1185"/>
        <w:gridCol w:w="1417"/>
        <w:gridCol w:w="1390"/>
        <w:gridCol w:w="1800"/>
        <w:gridCol w:w="1190"/>
        <w:gridCol w:w="367"/>
      </w:tblGrid>
      <w:tr w14:paraId="6948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E2C2D">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both"/>
              <w:textAlignment w:val="auto"/>
              <w:rPr>
                <w:rFonts w:hint="eastAsia" w:ascii="宋体"/>
                <w:b/>
                <w:highlight w:val="none"/>
              </w:rPr>
            </w:pPr>
            <w:r>
              <w:rPr>
                <w:rFonts w:hint="eastAsia" w:ascii="宋体"/>
                <w:b/>
                <w:highlight w:val="none"/>
              </w:rPr>
              <w:t>序号</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CA88E">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both"/>
              <w:textAlignment w:val="auto"/>
              <w:rPr>
                <w:rFonts w:hint="eastAsia" w:ascii="宋体"/>
                <w:b/>
                <w:highlight w:val="none"/>
              </w:rPr>
            </w:pPr>
            <w:r>
              <w:rPr>
                <w:rFonts w:hint="eastAsia" w:ascii="宋体"/>
                <w:b/>
                <w:highlight w:val="none"/>
              </w:rPr>
              <w:t>服务内容</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2A0CA">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both"/>
              <w:textAlignment w:val="auto"/>
              <w:rPr>
                <w:rFonts w:hint="eastAsia" w:ascii="宋体"/>
                <w:b/>
                <w:highlight w:val="none"/>
              </w:rPr>
            </w:pPr>
            <w:r>
              <w:rPr>
                <w:rFonts w:hint="eastAsia" w:ascii="宋体"/>
                <w:b/>
                <w:highlight w:val="none"/>
              </w:rPr>
              <w:t>服务定义</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E8FE0">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both"/>
              <w:textAlignment w:val="auto"/>
              <w:rPr>
                <w:rFonts w:hint="eastAsia" w:ascii="宋体"/>
                <w:b/>
                <w:highlight w:val="none"/>
              </w:rPr>
            </w:pPr>
            <w:r>
              <w:rPr>
                <w:rFonts w:hint="eastAsia" w:ascii="宋体"/>
                <w:b/>
                <w:highlight w:val="none"/>
              </w:rPr>
              <w:t>服务标准</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F5105">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both"/>
              <w:textAlignment w:val="auto"/>
              <w:rPr>
                <w:rFonts w:hint="eastAsia" w:ascii="宋体"/>
                <w:b/>
                <w:highlight w:val="none"/>
              </w:rPr>
            </w:pPr>
            <w:r>
              <w:rPr>
                <w:rFonts w:hint="eastAsia" w:ascii="宋体"/>
                <w:b/>
                <w:highlight w:val="none"/>
              </w:rPr>
              <w:t>指标计算</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3C9EC">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both"/>
              <w:textAlignment w:val="auto"/>
              <w:rPr>
                <w:rFonts w:hint="eastAsia" w:ascii="宋体"/>
                <w:b/>
                <w:highlight w:val="none"/>
              </w:rPr>
            </w:pPr>
            <w:r>
              <w:rPr>
                <w:rFonts w:hint="eastAsia" w:ascii="宋体"/>
                <w:b/>
                <w:highlight w:val="none"/>
              </w:rPr>
              <w:t>服务水平要求</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2FAE8">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both"/>
              <w:textAlignment w:val="auto"/>
              <w:rPr>
                <w:rFonts w:hint="eastAsia" w:ascii="宋体"/>
                <w:b/>
                <w:highlight w:val="none"/>
              </w:rPr>
            </w:pPr>
            <w:r>
              <w:rPr>
                <w:rFonts w:hint="eastAsia" w:ascii="宋体"/>
                <w:b/>
                <w:highlight w:val="none"/>
              </w:rPr>
              <w:t>违约金标准</w:t>
            </w:r>
          </w:p>
        </w:tc>
        <w:tc>
          <w:tcPr>
            <w:tcW w:w="211" w:type="pct"/>
            <w:tcBorders>
              <w:top w:val="single" w:color="auto" w:sz="4" w:space="0"/>
              <w:left w:val="single" w:color="auto" w:sz="4" w:space="0"/>
              <w:bottom w:val="single" w:color="auto" w:sz="4" w:space="0"/>
              <w:right w:val="single" w:color="auto" w:sz="4" w:space="0"/>
            </w:tcBorders>
            <w:noWrap/>
          </w:tcPr>
          <w:p w14:paraId="498DCC76">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both"/>
              <w:textAlignment w:val="auto"/>
              <w:rPr>
                <w:rFonts w:hint="eastAsia" w:ascii="宋体"/>
                <w:b/>
                <w:highlight w:val="none"/>
              </w:rPr>
            </w:pPr>
            <w:r>
              <w:rPr>
                <w:rFonts w:hint="eastAsia" w:ascii="宋体"/>
                <w:b/>
                <w:highlight w:val="none"/>
              </w:rPr>
              <w:t>是否满意</w:t>
            </w:r>
          </w:p>
        </w:tc>
      </w:tr>
      <w:tr w14:paraId="11CF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01668">
            <w:pPr>
              <w:widowControl/>
              <w:snapToGrid w:val="0"/>
              <w:spacing w:line="320" w:lineRule="exact"/>
              <w:jc w:val="center"/>
              <w:rPr>
                <w:rFonts w:hint="eastAsia" w:ascii="宋体"/>
                <w:highlight w:val="none"/>
              </w:rPr>
            </w:pPr>
            <w:r>
              <w:rPr>
                <w:rFonts w:hint="eastAsia" w:ascii="宋体"/>
                <w:highlight w:val="none"/>
                <w:lang w:val="en-US" w:eastAsia="zh-CN"/>
              </w:rPr>
              <w:t>1</w:t>
            </w:r>
            <w:r>
              <w:rPr>
                <w:rFonts w:hint="eastAsia" w:ascii="宋体"/>
                <w:highlight w:val="none"/>
              </w:rPr>
              <w:t>1</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05548">
            <w:pPr>
              <w:widowControl/>
              <w:snapToGrid w:val="0"/>
              <w:spacing w:line="320" w:lineRule="exact"/>
              <w:ind w:left="0" w:firstLine="0" w:firstLineChars="0"/>
              <w:jc w:val="left"/>
              <w:rPr>
                <w:rFonts w:hint="eastAsia" w:ascii="宋体"/>
                <w:highlight w:val="none"/>
              </w:rPr>
            </w:pPr>
            <w:r>
              <w:rPr>
                <w:rFonts w:hint="eastAsia" w:ascii="宋体"/>
                <w:highlight w:val="none"/>
              </w:rPr>
              <w:t>任务响应</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221CA">
            <w:pPr>
              <w:widowControl/>
              <w:snapToGrid w:val="0"/>
              <w:spacing w:line="320" w:lineRule="exact"/>
              <w:ind w:left="0" w:firstLine="0" w:firstLineChars="0"/>
              <w:jc w:val="left"/>
              <w:rPr>
                <w:rFonts w:hint="eastAsia" w:ascii="宋体"/>
                <w:highlight w:val="none"/>
              </w:rPr>
            </w:pPr>
            <w:r>
              <w:rPr>
                <w:rFonts w:hint="eastAsia" w:ascii="宋体"/>
                <w:highlight w:val="none"/>
              </w:rPr>
              <w:t>衡量乙方在需求与问题响应方面的能力</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225AD">
            <w:pPr>
              <w:widowControl/>
              <w:snapToGrid w:val="0"/>
              <w:spacing w:line="320" w:lineRule="exact"/>
              <w:ind w:left="0" w:firstLine="0" w:firstLineChars="0"/>
              <w:jc w:val="left"/>
              <w:rPr>
                <w:rFonts w:hint="eastAsia" w:ascii="宋体"/>
                <w:highlight w:val="none"/>
              </w:rPr>
            </w:pPr>
            <w:r>
              <w:rPr>
                <w:rFonts w:hint="eastAsia" w:ascii="宋体"/>
                <w:highlight w:val="none"/>
              </w:rPr>
              <w:t>乙方在收到甲方任务后2个工作日内，向甲方反馈确认任务的实施方案、计划和工作量等</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56025">
            <w:pPr>
              <w:widowControl/>
              <w:snapToGrid w:val="0"/>
              <w:spacing w:line="320" w:lineRule="exact"/>
              <w:ind w:left="0" w:firstLine="0" w:firstLineChars="0"/>
              <w:jc w:val="left"/>
              <w:rPr>
                <w:rFonts w:hint="eastAsia" w:ascii="宋体"/>
                <w:highlight w:val="none"/>
              </w:rPr>
            </w:pPr>
            <w:r>
              <w:rPr>
                <w:rFonts w:hint="eastAsia" w:ascii="宋体"/>
                <w:highlight w:val="none"/>
              </w:rPr>
              <w:t>甲方应当明确任务提出时间，乙方应当向甲方发出一个确认任务响应信息</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967A7">
            <w:pPr>
              <w:widowControl/>
              <w:snapToGrid w:val="0"/>
              <w:spacing w:line="320" w:lineRule="exact"/>
              <w:ind w:left="0" w:firstLine="0" w:firstLineChars="0"/>
              <w:jc w:val="left"/>
              <w:rPr>
                <w:rFonts w:hint="eastAsia" w:ascii="宋体"/>
                <w:highlight w:val="none"/>
              </w:rPr>
            </w:pPr>
            <w:r>
              <w:rPr>
                <w:rFonts w:hint="eastAsia" w:ascii="宋体"/>
                <w:highlight w:val="none"/>
              </w:rPr>
              <w:t>乙方不得违反承诺响应时间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49829">
            <w:pPr>
              <w:widowControl/>
              <w:snapToGrid w:val="0"/>
              <w:spacing w:line="320" w:lineRule="exact"/>
              <w:ind w:left="0" w:firstLine="0" w:firstLineChars="0"/>
              <w:jc w:val="left"/>
              <w:rPr>
                <w:rFonts w:hint="eastAsia" w:ascii="宋体"/>
                <w:highlight w:val="none"/>
              </w:rPr>
            </w:pPr>
            <w:r>
              <w:rPr>
                <w:rFonts w:hint="eastAsia" w:ascii="宋体"/>
                <w:highlight w:val="none"/>
              </w:rPr>
              <w:t>如违反承诺的响应时间要求，每次扣除1000元违约金</w:t>
            </w:r>
          </w:p>
        </w:tc>
        <w:tc>
          <w:tcPr>
            <w:tcW w:w="211" w:type="pct"/>
            <w:tcBorders>
              <w:top w:val="single" w:color="auto" w:sz="4" w:space="0"/>
              <w:left w:val="single" w:color="auto" w:sz="4" w:space="0"/>
              <w:bottom w:val="single" w:color="auto" w:sz="4" w:space="0"/>
              <w:right w:val="single" w:color="auto" w:sz="4" w:space="0"/>
            </w:tcBorders>
            <w:noWrap/>
          </w:tcPr>
          <w:p w14:paraId="1C111834">
            <w:pPr>
              <w:widowControl/>
              <w:snapToGrid w:val="0"/>
              <w:spacing w:line="320" w:lineRule="exact"/>
              <w:jc w:val="left"/>
              <w:rPr>
                <w:rFonts w:hint="eastAsia" w:ascii="宋体"/>
                <w:highlight w:val="none"/>
              </w:rPr>
            </w:pPr>
          </w:p>
        </w:tc>
      </w:tr>
      <w:tr w14:paraId="2875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EEA73">
            <w:pPr>
              <w:widowControl/>
              <w:snapToGrid w:val="0"/>
              <w:spacing w:line="320" w:lineRule="exact"/>
              <w:jc w:val="center"/>
              <w:rPr>
                <w:rFonts w:hint="eastAsia" w:ascii="宋体"/>
                <w:highlight w:val="none"/>
              </w:rPr>
            </w:pPr>
            <w:r>
              <w:rPr>
                <w:rFonts w:hint="eastAsia" w:ascii="宋体"/>
                <w:highlight w:val="none"/>
                <w:lang w:val="en-US" w:eastAsia="zh-CN"/>
              </w:rPr>
              <w:t>2</w:t>
            </w:r>
            <w:r>
              <w:rPr>
                <w:rFonts w:hint="eastAsia" w:ascii="宋体"/>
                <w:highlight w:val="none"/>
              </w:rPr>
              <w:t>2</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996E0">
            <w:pPr>
              <w:widowControl/>
              <w:snapToGrid w:val="0"/>
              <w:spacing w:line="320" w:lineRule="exact"/>
              <w:ind w:left="0" w:firstLine="0" w:firstLineChars="0"/>
              <w:jc w:val="left"/>
              <w:rPr>
                <w:rFonts w:hint="eastAsia" w:ascii="宋体"/>
                <w:highlight w:val="none"/>
              </w:rPr>
            </w:pPr>
            <w:r>
              <w:rPr>
                <w:rFonts w:hint="eastAsia" w:ascii="宋体"/>
                <w:highlight w:val="none"/>
              </w:rPr>
              <w:t>任务完成情况</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82574">
            <w:pPr>
              <w:widowControl/>
              <w:snapToGrid w:val="0"/>
              <w:spacing w:line="320" w:lineRule="exact"/>
              <w:ind w:left="0" w:firstLine="0" w:firstLineChars="0"/>
              <w:jc w:val="left"/>
              <w:rPr>
                <w:rFonts w:hint="eastAsia" w:ascii="宋体"/>
                <w:highlight w:val="none"/>
              </w:rPr>
            </w:pPr>
            <w:r>
              <w:rPr>
                <w:rFonts w:hint="eastAsia" w:ascii="宋体"/>
                <w:highlight w:val="none"/>
              </w:rPr>
              <w:t>衡量乙方按计划完成任务的能力</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C4341">
            <w:pPr>
              <w:widowControl/>
              <w:snapToGrid w:val="0"/>
              <w:spacing w:line="320" w:lineRule="exact"/>
              <w:ind w:left="0" w:firstLine="0" w:firstLineChars="0"/>
              <w:jc w:val="left"/>
              <w:rPr>
                <w:rFonts w:hint="eastAsia" w:ascii="宋体"/>
                <w:highlight w:val="none"/>
              </w:rPr>
            </w:pPr>
            <w:r>
              <w:rPr>
                <w:rFonts w:hint="eastAsia" w:ascii="宋体"/>
                <w:highlight w:val="none"/>
              </w:rPr>
              <w:t>乙方应当在双方确认的时间内完成任务</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F3553">
            <w:pPr>
              <w:widowControl/>
              <w:snapToGrid w:val="0"/>
              <w:spacing w:line="320" w:lineRule="exact"/>
              <w:ind w:left="0" w:firstLine="0" w:firstLineChars="0"/>
              <w:jc w:val="left"/>
              <w:rPr>
                <w:rFonts w:hint="eastAsia" w:ascii="宋体"/>
                <w:highlight w:val="none"/>
                <w:shd w:val="solid" w:color="FFFF00" w:fill="FFFFFF"/>
              </w:rPr>
            </w:pPr>
            <w:r>
              <w:rPr>
                <w:rFonts w:hint="eastAsia" w:ascii="宋体"/>
                <w:highlight w:val="none"/>
              </w:rPr>
              <w:t>任务完成及时率＝（规定时间内完成任务的次数/总任务数）×100%</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B2B1B">
            <w:pPr>
              <w:widowControl/>
              <w:snapToGrid w:val="0"/>
              <w:spacing w:line="320" w:lineRule="exact"/>
              <w:ind w:left="0" w:firstLine="0" w:firstLineChars="0"/>
              <w:jc w:val="left"/>
              <w:rPr>
                <w:rFonts w:hint="eastAsia" w:ascii="宋体"/>
                <w:highlight w:val="none"/>
              </w:rPr>
            </w:pPr>
            <w:r>
              <w:rPr>
                <w:rFonts w:hint="eastAsia" w:ascii="宋体"/>
                <w:highlight w:val="none"/>
              </w:rPr>
              <w:t>任务完成及时率≥90%</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B094E">
            <w:pPr>
              <w:widowControl/>
              <w:snapToGrid w:val="0"/>
              <w:spacing w:line="320" w:lineRule="exact"/>
              <w:jc w:val="left"/>
              <w:rPr>
                <w:rFonts w:hint="eastAsia" w:ascii="宋体"/>
                <w:highlight w:val="none"/>
              </w:rPr>
            </w:pPr>
          </w:p>
        </w:tc>
        <w:tc>
          <w:tcPr>
            <w:tcW w:w="211" w:type="pct"/>
            <w:tcBorders>
              <w:top w:val="single" w:color="auto" w:sz="4" w:space="0"/>
              <w:left w:val="single" w:color="auto" w:sz="4" w:space="0"/>
              <w:bottom w:val="single" w:color="auto" w:sz="4" w:space="0"/>
              <w:right w:val="single" w:color="auto" w:sz="4" w:space="0"/>
            </w:tcBorders>
            <w:noWrap/>
          </w:tcPr>
          <w:p w14:paraId="03FC6C4A">
            <w:pPr>
              <w:widowControl/>
              <w:snapToGrid w:val="0"/>
              <w:spacing w:line="320" w:lineRule="exact"/>
              <w:jc w:val="left"/>
              <w:rPr>
                <w:rFonts w:hint="eastAsia" w:ascii="宋体"/>
                <w:highlight w:val="none"/>
              </w:rPr>
            </w:pPr>
          </w:p>
        </w:tc>
      </w:tr>
      <w:tr w14:paraId="0B93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DC56D">
            <w:pPr>
              <w:widowControl/>
              <w:snapToGrid w:val="0"/>
              <w:spacing w:line="320" w:lineRule="exact"/>
              <w:jc w:val="center"/>
              <w:rPr>
                <w:rFonts w:hint="eastAsia" w:ascii="宋体"/>
                <w:highlight w:val="none"/>
              </w:rPr>
            </w:pPr>
            <w:r>
              <w:rPr>
                <w:rFonts w:hint="eastAsia" w:ascii="宋体"/>
                <w:highlight w:val="none"/>
                <w:lang w:val="en-US" w:eastAsia="zh-CN"/>
              </w:rPr>
              <w:t>3</w:t>
            </w:r>
            <w:r>
              <w:rPr>
                <w:rFonts w:hint="eastAsia" w:ascii="宋体"/>
                <w:highlight w:val="none"/>
              </w:rPr>
              <w:t>3</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F3EE3">
            <w:pPr>
              <w:widowControl/>
              <w:snapToGrid w:val="0"/>
              <w:spacing w:line="320" w:lineRule="exact"/>
              <w:ind w:left="0" w:firstLine="0" w:firstLineChars="0"/>
              <w:jc w:val="left"/>
              <w:rPr>
                <w:rFonts w:hint="eastAsia" w:ascii="宋体"/>
                <w:highlight w:val="none"/>
              </w:rPr>
            </w:pPr>
            <w:r>
              <w:rPr>
                <w:rFonts w:hint="eastAsia" w:ascii="宋体"/>
                <w:highlight w:val="none"/>
              </w:rPr>
              <w:t>项目延期</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519F2">
            <w:pPr>
              <w:widowControl/>
              <w:snapToGrid w:val="0"/>
              <w:spacing w:line="320" w:lineRule="exact"/>
              <w:ind w:left="0" w:firstLine="0" w:firstLineChars="0"/>
              <w:jc w:val="left"/>
              <w:rPr>
                <w:rFonts w:hint="eastAsia" w:ascii="宋体"/>
                <w:highlight w:val="none"/>
              </w:rPr>
            </w:pPr>
            <w:r>
              <w:rPr>
                <w:rFonts w:hint="eastAsia" w:ascii="宋体"/>
                <w:highlight w:val="none"/>
              </w:rPr>
              <w:t>衡量乙方对项目整体实施进度的控制能力</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C4552">
            <w:pPr>
              <w:widowControl/>
              <w:snapToGrid w:val="0"/>
              <w:spacing w:line="320" w:lineRule="exact"/>
              <w:ind w:left="0" w:firstLine="0" w:firstLineChars="0"/>
              <w:jc w:val="left"/>
              <w:rPr>
                <w:rFonts w:hint="eastAsia" w:ascii="宋体"/>
                <w:highlight w:val="none"/>
              </w:rPr>
            </w:pPr>
            <w:r>
              <w:rPr>
                <w:rFonts w:hint="eastAsia" w:ascii="宋体"/>
                <w:highlight w:val="none"/>
              </w:rPr>
              <w:t>乙方原因导致的项目进度偏差</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A2C1C">
            <w:pPr>
              <w:widowControl/>
              <w:snapToGrid w:val="0"/>
              <w:spacing w:line="320" w:lineRule="exact"/>
              <w:ind w:left="0" w:firstLine="0" w:firstLineChars="0"/>
              <w:jc w:val="left"/>
              <w:rPr>
                <w:rFonts w:hint="eastAsia" w:ascii="宋体"/>
                <w:highlight w:val="none"/>
              </w:rPr>
            </w:pPr>
            <w:r>
              <w:rPr>
                <w:rFonts w:hint="eastAsia" w:ascii="宋体"/>
                <w:highlight w:val="none"/>
              </w:rPr>
              <w:t>按项目计划为基准计算进度偏差天数</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E6B73">
            <w:pPr>
              <w:widowControl/>
              <w:snapToGrid w:val="0"/>
              <w:spacing w:line="320" w:lineRule="exact"/>
              <w:ind w:left="0" w:firstLine="0" w:firstLineChars="0"/>
              <w:jc w:val="left"/>
              <w:rPr>
                <w:rFonts w:hint="eastAsia" w:ascii="宋体"/>
                <w:highlight w:val="none"/>
              </w:rPr>
            </w:pPr>
            <w:r>
              <w:rPr>
                <w:rFonts w:hint="eastAsia" w:ascii="宋体"/>
                <w:highlight w:val="none"/>
              </w:rPr>
              <w:t>进度偏差率=进度偏差天数/项目计划中进度天数（进度偏差率≤20%）</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B7A0F">
            <w:pPr>
              <w:widowControl/>
              <w:snapToGrid w:val="0"/>
              <w:spacing w:line="320" w:lineRule="exact"/>
              <w:ind w:left="0" w:firstLine="0" w:firstLineChars="0"/>
              <w:jc w:val="left"/>
              <w:rPr>
                <w:rFonts w:hint="eastAsia" w:ascii="宋体"/>
                <w:highlight w:val="none"/>
              </w:rPr>
            </w:pPr>
            <w:r>
              <w:rPr>
                <w:rFonts w:hint="eastAsia" w:ascii="宋体"/>
                <w:highlight w:val="none"/>
              </w:rPr>
              <w:t>20%＜进度偏差率≤30%，每偏差一天按合同金额的0.1%罚款，进度偏差率＞30%并且延期3个月以上，罚款合同金额的10%</w:t>
            </w:r>
          </w:p>
        </w:tc>
        <w:tc>
          <w:tcPr>
            <w:tcW w:w="211" w:type="pct"/>
            <w:tcBorders>
              <w:top w:val="single" w:color="auto" w:sz="4" w:space="0"/>
              <w:left w:val="single" w:color="auto" w:sz="4" w:space="0"/>
              <w:bottom w:val="single" w:color="auto" w:sz="4" w:space="0"/>
              <w:right w:val="single" w:color="auto" w:sz="4" w:space="0"/>
            </w:tcBorders>
            <w:noWrap/>
          </w:tcPr>
          <w:p w14:paraId="6630839C">
            <w:pPr>
              <w:widowControl/>
              <w:snapToGrid w:val="0"/>
              <w:spacing w:line="320" w:lineRule="exact"/>
              <w:jc w:val="left"/>
              <w:rPr>
                <w:rFonts w:hint="eastAsia" w:ascii="宋体"/>
                <w:highlight w:val="none"/>
              </w:rPr>
            </w:pPr>
          </w:p>
        </w:tc>
      </w:tr>
      <w:tr w14:paraId="0349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F1F76">
            <w:pPr>
              <w:widowControl/>
              <w:snapToGrid w:val="0"/>
              <w:spacing w:line="320" w:lineRule="exact"/>
              <w:jc w:val="center"/>
              <w:rPr>
                <w:rFonts w:hint="eastAsia" w:ascii="宋体" w:eastAsia="宋体"/>
                <w:highlight w:val="none"/>
                <w:lang w:eastAsia="zh-CN"/>
              </w:rPr>
            </w:pPr>
            <w:r>
              <w:rPr>
                <w:rFonts w:hint="eastAsia" w:ascii="宋体"/>
                <w:highlight w:val="none"/>
                <w:lang w:val="en-US" w:eastAsia="zh-CN"/>
              </w:rPr>
              <w:t>44</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50688">
            <w:pPr>
              <w:widowControl/>
              <w:snapToGrid w:val="0"/>
              <w:spacing w:line="320" w:lineRule="exact"/>
              <w:ind w:left="0" w:firstLine="0" w:firstLineChars="0"/>
              <w:jc w:val="left"/>
              <w:rPr>
                <w:rFonts w:hint="eastAsia" w:ascii="宋体"/>
                <w:highlight w:val="none"/>
              </w:rPr>
            </w:pPr>
            <w:r>
              <w:rPr>
                <w:rFonts w:hint="eastAsia" w:ascii="宋体"/>
                <w:highlight w:val="none"/>
              </w:rPr>
              <w:t>交付文档数量及质量</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273A0">
            <w:pPr>
              <w:widowControl/>
              <w:snapToGrid w:val="0"/>
              <w:spacing w:line="320" w:lineRule="exact"/>
              <w:ind w:left="0" w:firstLine="0" w:firstLineChars="0"/>
              <w:jc w:val="left"/>
              <w:rPr>
                <w:rFonts w:hint="eastAsia" w:ascii="宋体"/>
                <w:highlight w:val="none"/>
              </w:rPr>
            </w:pPr>
            <w:r>
              <w:rPr>
                <w:rFonts w:hint="eastAsia" w:ascii="宋体"/>
                <w:highlight w:val="none"/>
              </w:rPr>
              <w:t>衡量甲方内部人员对乙方所提供文档的满意情况</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6C0AB">
            <w:pPr>
              <w:widowControl/>
              <w:snapToGrid w:val="0"/>
              <w:spacing w:line="320" w:lineRule="exact"/>
              <w:ind w:left="0" w:firstLine="0" w:firstLineChars="0"/>
              <w:jc w:val="left"/>
              <w:rPr>
                <w:rFonts w:hint="eastAsia" w:ascii="宋体"/>
                <w:highlight w:val="none"/>
              </w:rPr>
            </w:pPr>
            <w:r>
              <w:rPr>
                <w:rFonts w:hint="eastAsia" w:ascii="宋体"/>
                <w:highlight w:val="none"/>
              </w:rPr>
              <w:t>交付文档数量及质量满足甲方要求</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B9531">
            <w:pPr>
              <w:widowControl/>
              <w:snapToGrid w:val="0"/>
              <w:spacing w:line="320" w:lineRule="exact"/>
              <w:ind w:left="0" w:firstLine="0" w:firstLineChars="0"/>
              <w:jc w:val="left"/>
              <w:rPr>
                <w:rFonts w:hint="eastAsia" w:ascii="宋体"/>
                <w:highlight w:val="none"/>
              </w:rPr>
            </w:pPr>
            <w:r>
              <w:rPr>
                <w:rFonts w:hint="eastAsia" w:ascii="宋体"/>
                <w:highlight w:val="none"/>
              </w:rPr>
              <w:t>甲方根据乙方实际交付的文档数量及文档质量计算</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0C808">
            <w:pPr>
              <w:widowControl/>
              <w:snapToGrid w:val="0"/>
              <w:spacing w:line="320" w:lineRule="exact"/>
              <w:ind w:left="0" w:firstLine="0" w:firstLineChars="0"/>
              <w:jc w:val="left"/>
              <w:rPr>
                <w:rFonts w:hint="eastAsia" w:ascii="宋体"/>
                <w:highlight w:val="none"/>
              </w:rPr>
            </w:pPr>
            <w:r>
              <w:rPr>
                <w:rFonts w:hint="eastAsia" w:ascii="宋体"/>
                <w:highlight w:val="none"/>
              </w:rPr>
              <w:t>文档实际交付数量不少于甲方要求数量（文档实际交付数量是指文档交付甲方后甲方确认文档质量并实际接收的文档数量）</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46FF4">
            <w:pPr>
              <w:widowControl/>
              <w:snapToGrid w:val="0"/>
              <w:spacing w:line="320" w:lineRule="exact"/>
              <w:ind w:left="0" w:firstLine="0" w:firstLineChars="0"/>
              <w:jc w:val="left"/>
              <w:rPr>
                <w:rFonts w:hint="eastAsia" w:ascii="宋体"/>
                <w:highlight w:val="none"/>
              </w:rPr>
            </w:pPr>
            <w:r>
              <w:rPr>
                <w:rFonts w:hint="eastAsia" w:ascii="宋体"/>
                <w:highlight w:val="none"/>
              </w:rPr>
              <w:t>文档每缺少一个扣除合同金额2000元；每有一个文档质量不合格扣除合同金额2000元</w:t>
            </w:r>
          </w:p>
        </w:tc>
        <w:tc>
          <w:tcPr>
            <w:tcW w:w="211" w:type="pct"/>
            <w:tcBorders>
              <w:top w:val="single" w:color="auto" w:sz="4" w:space="0"/>
              <w:left w:val="single" w:color="auto" w:sz="4" w:space="0"/>
              <w:bottom w:val="single" w:color="auto" w:sz="4" w:space="0"/>
              <w:right w:val="single" w:color="auto" w:sz="4" w:space="0"/>
            </w:tcBorders>
            <w:noWrap/>
          </w:tcPr>
          <w:p w14:paraId="09096683">
            <w:pPr>
              <w:widowControl/>
              <w:snapToGrid w:val="0"/>
              <w:spacing w:line="320" w:lineRule="exact"/>
              <w:jc w:val="left"/>
              <w:rPr>
                <w:rFonts w:hint="eastAsia" w:ascii="宋体"/>
                <w:highlight w:val="none"/>
              </w:rPr>
            </w:pPr>
          </w:p>
        </w:tc>
      </w:tr>
      <w:tr w14:paraId="2E0A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161DC">
            <w:pPr>
              <w:widowControl/>
              <w:snapToGrid w:val="0"/>
              <w:spacing w:line="320" w:lineRule="exact"/>
              <w:jc w:val="center"/>
              <w:rPr>
                <w:rFonts w:hint="eastAsia" w:ascii="宋体" w:eastAsia="宋体"/>
                <w:color w:val="auto"/>
                <w:highlight w:val="none"/>
                <w:lang w:eastAsia="zh-CN"/>
              </w:rPr>
            </w:pPr>
            <w:r>
              <w:rPr>
                <w:rFonts w:hint="eastAsia" w:ascii="宋体"/>
                <w:color w:val="auto"/>
                <w:highlight w:val="none"/>
                <w:lang w:val="en-US" w:eastAsia="zh-CN"/>
              </w:rPr>
              <w:t>55</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0E57A">
            <w:pPr>
              <w:widowControl/>
              <w:snapToGrid w:val="0"/>
              <w:spacing w:line="320" w:lineRule="exact"/>
              <w:ind w:left="0" w:firstLine="0" w:firstLineChars="0"/>
              <w:jc w:val="left"/>
              <w:rPr>
                <w:rFonts w:hint="eastAsia" w:ascii="宋体"/>
                <w:color w:val="auto"/>
                <w:highlight w:val="none"/>
              </w:rPr>
            </w:pPr>
            <w:r>
              <w:rPr>
                <w:rFonts w:hint="eastAsia" w:ascii="宋体"/>
                <w:color w:val="auto"/>
                <w:highlight w:val="none"/>
              </w:rPr>
              <w:t>人力资源投入及人员稳定性</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6344D4">
            <w:pPr>
              <w:widowControl/>
              <w:snapToGrid w:val="0"/>
              <w:spacing w:line="320" w:lineRule="exact"/>
              <w:ind w:left="0" w:firstLine="0" w:firstLineChars="0"/>
              <w:jc w:val="left"/>
              <w:rPr>
                <w:rFonts w:hint="eastAsia" w:ascii="宋体"/>
                <w:color w:val="auto"/>
                <w:highlight w:val="none"/>
              </w:rPr>
            </w:pPr>
            <w:r>
              <w:rPr>
                <w:rFonts w:hint="eastAsia" w:ascii="宋体"/>
                <w:color w:val="auto"/>
                <w:highlight w:val="none"/>
              </w:rPr>
              <w:t>衡量乙方人员服务的符合度及人员稳定性</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CEBB4">
            <w:pPr>
              <w:widowControl/>
              <w:snapToGrid w:val="0"/>
              <w:spacing w:line="320" w:lineRule="exact"/>
              <w:ind w:left="0" w:firstLine="0" w:firstLineChars="0"/>
              <w:jc w:val="left"/>
              <w:rPr>
                <w:rFonts w:hint="eastAsia" w:ascii="宋体"/>
                <w:color w:val="auto"/>
                <w:highlight w:val="none"/>
              </w:rPr>
            </w:pPr>
            <w:r>
              <w:rPr>
                <w:rFonts w:hint="eastAsia" w:ascii="宋体"/>
                <w:color w:val="auto"/>
                <w:highlight w:val="none"/>
              </w:rPr>
              <w:t>投入人员情况符合</w:t>
            </w:r>
            <w:r>
              <w:rPr>
                <w:rFonts w:ascii="宋体"/>
                <w:color w:val="auto"/>
                <w:highlight w:val="none"/>
              </w:rPr>
              <w:t>参选</w:t>
            </w:r>
            <w:r>
              <w:rPr>
                <w:rFonts w:hint="eastAsia" w:ascii="宋体"/>
                <w:color w:val="auto"/>
                <w:highlight w:val="none"/>
              </w:rPr>
              <w:t>文件或合同要求</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90731">
            <w:pPr>
              <w:widowControl/>
              <w:snapToGrid w:val="0"/>
              <w:spacing w:line="320" w:lineRule="exact"/>
              <w:ind w:left="0" w:firstLine="0" w:firstLineChars="0"/>
              <w:jc w:val="left"/>
              <w:rPr>
                <w:rFonts w:hint="eastAsia" w:ascii="宋体"/>
                <w:color w:val="auto"/>
                <w:highlight w:val="none"/>
              </w:rPr>
            </w:pPr>
            <w:r>
              <w:rPr>
                <w:rFonts w:hint="eastAsia" w:ascii="宋体"/>
                <w:color w:val="auto"/>
                <w:highlight w:val="none"/>
              </w:rPr>
              <w:t>甲方按合同要求判定乙方人员投入及变动情况</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28A76">
            <w:pPr>
              <w:widowControl/>
              <w:snapToGrid w:val="0"/>
              <w:spacing w:line="320" w:lineRule="exact"/>
              <w:ind w:left="105" w:hanging="120" w:hangingChars="50"/>
              <w:jc w:val="left"/>
              <w:rPr>
                <w:rFonts w:hint="eastAsia" w:ascii="宋体"/>
                <w:color w:val="auto"/>
                <w:highlight w:val="none"/>
              </w:rPr>
            </w:pPr>
            <w:r>
              <w:rPr>
                <w:rFonts w:hint="eastAsia" w:ascii="宋体"/>
                <w:color w:val="auto"/>
                <w:highlight w:val="none"/>
                <w:lang w:val="en-US" w:eastAsia="zh-CN"/>
              </w:rPr>
              <w:t>项目经理</w:t>
            </w:r>
            <w:r>
              <w:rPr>
                <w:rFonts w:hint="eastAsia" w:ascii="宋体"/>
                <w:color w:val="auto"/>
                <w:highlight w:val="none"/>
              </w:rPr>
              <w:t>不得变动</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12C8B">
            <w:pPr>
              <w:widowControl/>
              <w:snapToGrid w:val="0"/>
              <w:spacing w:line="320" w:lineRule="exact"/>
              <w:ind w:left="0" w:firstLine="0" w:firstLineChars="0"/>
              <w:jc w:val="left"/>
              <w:rPr>
                <w:rFonts w:hint="eastAsia" w:ascii="宋体"/>
                <w:color w:val="auto"/>
                <w:highlight w:val="none"/>
              </w:rPr>
            </w:pPr>
            <w:r>
              <w:rPr>
                <w:rFonts w:hint="eastAsia" w:ascii="宋体"/>
                <w:color w:val="auto"/>
                <w:highlight w:val="none"/>
                <w:lang w:val="en-US" w:eastAsia="zh-CN"/>
              </w:rPr>
              <w:t>项目经理变动扣除</w:t>
            </w:r>
            <w:r>
              <w:rPr>
                <w:rFonts w:hint="eastAsia" w:ascii="宋体"/>
                <w:color w:val="auto"/>
                <w:highlight w:val="none"/>
              </w:rPr>
              <w:t>5万元</w:t>
            </w:r>
          </w:p>
        </w:tc>
        <w:tc>
          <w:tcPr>
            <w:tcW w:w="211" w:type="pct"/>
            <w:tcBorders>
              <w:top w:val="single" w:color="auto" w:sz="4" w:space="0"/>
              <w:left w:val="single" w:color="auto" w:sz="4" w:space="0"/>
              <w:bottom w:val="single" w:color="auto" w:sz="4" w:space="0"/>
              <w:right w:val="single" w:color="auto" w:sz="4" w:space="0"/>
            </w:tcBorders>
            <w:noWrap/>
          </w:tcPr>
          <w:p w14:paraId="393CF69F">
            <w:pPr>
              <w:widowControl/>
              <w:snapToGrid w:val="0"/>
              <w:spacing w:line="320" w:lineRule="exact"/>
              <w:jc w:val="left"/>
              <w:rPr>
                <w:rFonts w:hint="eastAsia" w:ascii="宋体"/>
                <w:highlight w:val="none"/>
              </w:rPr>
            </w:pPr>
          </w:p>
        </w:tc>
      </w:tr>
      <w:tr w14:paraId="2000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F6514">
            <w:pPr>
              <w:widowControl/>
              <w:snapToGrid w:val="0"/>
              <w:spacing w:line="320" w:lineRule="exact"/>
              <w:jc w:val="center"/>
              <w:rPr>
                <w:rFonts w:hint="eastAsia" w:ascii="宋体" w:eastAsia="宋体"/>
                <w:highlight w:val="none"/>
                <w:lang w:eastAsia="zh-CN"/>
              </w:rPr>
            </w:pPr>
            <w:r>
              <w:rPr>
                <w:rFonts w:hint="eastAsia" w:ascii="宋体"/>
                <w:highlight w:val="none"/>
                <w:lang w:val="en-US" w:eastAsia="zh-CN"/>
              </w:rPr>
              <w:t>66</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F9873">
            <w:pPr>
              <w:widowControl/>
              <w:snapToGrid w:val="0"/>
              <w:spacing w:line="320" w:lineRule="exact"/>
              <w:ind w:left="0" w:firstLine="0" w:firstLineChars="0"/>
              <w:jc w:val="left"/>
              <w:rPr>
                <w:rFonts w:hint="eastAsia" w:ascii="宋体"/>
                <w:highlight w:val="none"/>
              </w:rPr>
            </w:pPr>
            <w:r>
              <w:rPr>
                <w:rFonts w:hint="eastAsia" w:ascii="宋体"/>
                <w:highlight w:val="none"/>
              </w:rPr>
              <w:t>人员异常退出</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02C4D">
            <w:pPr>
              <w:widowControl/>
              <w:snapToGrid w:val="0"/>
              <w:spacing w:line="320" w:lineRule="exact"/>
              <w:ind w:left="0" w:firstLine="0" w:firstLineChars="0"/>
              <w:jc w:val="left"/>
              <w:rPr>
                <w:rFonts w:hint="eastAsia" w:ascii="宋体"/>
                <w:highlight w:val="none"/>
              </w:rPr>
            </w:pPr>
            <w:r>
              <w:rPr>
                <w:rFonts w:hint="eastAsia" w:ascii="宋体"/>
                <w:highlight w:val="none"/>
              </w:rPr>
              <w:t>衡量乙方人员是否提供持续服务</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8D163">
            <w:pPr>
              <w:widowControl/>
              <w:snapToGrid w:val="0"/>
              <w:spacing w:line="320" w:lineRule="exact"/>
              <w:ind w:left="0" w:firstLine="0" w:firstLineChars="0"/>
              <w:jc w:val="left"/>
              <w:rPr>
                <w:rFonts w:hint="eastAsia" w:ascii="宋体"/>
                <w:highlight w:val="none"/>
              </w:rPr>
            </w:pPr>
            <w:r>
              <w:rPr>
                <w:rFonts w:hint="eastAsia" w:ascii="宋体"/>
                <w:highlight w:val="none"/>
              </w:rPr>
              <w:t>未经甲方同意，乙方人员辞职和离职或无计划的调离项目组</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9E84D">
            <w:pPr>
              <w:widowControl/>
              <w:snapToGrid w:val="0"/>
              <w:spacing w:line="320" w:lineRule="exact"/>
              <w:ind w:left="0" w:firstLine="0" w:firstLineChars="0"/>
              <w:jc w:val="left"/>
              <w:rPr>
                <w:rFonts w:hint="eastAsia" w:ascii="宋体"/>
                <w:highlight w:val="none"/>
              </w:rPr>
            </w:pPr>
            <w:r>
              <w:rPr>
                <w:rFonts w:hint="eastAsia" w:ascii="宋体"/>
                <w:highlight w:val="none"/>
              </w:rPr>
              <w:t>甲方根据乙方人员退出的具体时间和原因测算</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30860">
            <w:pPr>
              <w:widowControl/>
              <w:snapToGrid w:val="0"/>
              <w:spacing w:line="320" w:lineRule="exact"/>
              <w:ind w:left="0" w:firstLine="0" w:firstLineChars="0"/>
              <w:jc w:val="left"/>
              <w:rPr>
                <w:rFonts w:hint="eastAsia" w:ascii="宋体"/>
                <w:highlight w:val="none"/>
              </w:rPr>
            </w:pPr>
            <w:r>
              <w:rPr>
                <w:rFonts w:hint="eastAsia" w:ascii="宋体"/>
                <w:highlight w:val="none"/>
              </w:rPr>
              <w:t>人员异常退出次数=0</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F07C7">
            <w:pPr>
              <w:widowControl/>
              <w:snapToGrid w:val="0"/>
              <w:spacing w:line="320" w:lineRule="exact"/>
              <w:ind w:left="0" w:firstLine="0" w:firstLineChars="0"/>
              <w:jc w:val="left"/>
              <w:rPr>
                <w:rFonts w:hint="eastAsia" w:ascii="宋体"/>
                <w:highlight w:val="none"/>
              </w:rPr>
            </w:pPr>
            <w:r>
              <w:rPr>
                <w:rFonts w:hint="eastAsia" w:ascii="宋体"/>
                <w:highlight w:val="none"/>
              </w:rPr>
              <w:t>每次人员异常退出扣除乙方金额人民币1000元</w:t>
            </w:r>
          </w:p>
        </w:tc>
        <w:tc>
          <w:tcPr>
            <w:tcW w:w="211" w:type="pct"/>
            <w:tcBorders>
              <w:top w:val="single" w:color="auto" w:sz="4" w:space="0"/>
              <w:left w:val="single" w:color="auto" w:sz="4" w:space="0"/>
              <w:bottom w:val="single" w:color="auto" w:sz="4" w:space="0"/>
              <w:right w:val="single" w:color="auto" w:sz="4" w:space="0"/>
            </w:tcBorders>
            <w:noWrap/>
          </w:tcPr>
          <w:p w14:paraId="1355C97B">
            <w:pPr>
              <w:widowControl/>
              <w:snapToGrid w:val="0"/>
              <w:spacing w:line="320" w:lineRule="exact"/>
              <w:jc w:val="left"/>
              <w:rPr>
                <w:rFonts w:hint="eastAsia" w:ascii="宋体"/>
                <w:highlight w:val="none"/>
              </w:rPr>
            </w:pPr>
          </w:p>
        </w:tc>
      </w:tr>
      <w:tr w14:paraId="4869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87E37">
            <w:pPr>
              <w:keepNext w:val="0"/>
              <w:keepLines w:val="0"/>
              <w:pageBreakBefore w:val="0"/>
              <w:widowControl/>
              <w:kinsoku/>
              <w:wordWrap/>
              <w:overflowPunct/>
              <w:topLinePunct w:val="0"/>
              <w:autoSpaceDE w:val="0"/>
              <w:autoSpaceDN w:val="0"/>
              <w:bidi w:val="0"/>
              <w:adjustRightInd/>
              <w:snapToGrid w:val="0"/>
              <w:spacing w:line="320" w:lineRule="atLeast"/>
              <w:jc w:val="center"/>
              <w:textAlignment w:val="auto"/>
              <w:rPr>
                <w:rFonts w:hint="eastAsia" w:ascii="宋体" w:eastAsia="宋体"/>
                <w:highlight w:val="none"/>
                <w:lang w:eastAsia="zh-CN"/>
              </w:rPr>
            </w:pPr>
            <w:r>
              <w:rPr>
                <w:rFonts w:hint="eastAsia" w:ascii="宋体"/>
                <w:highlight w:val="none"/>
                <w:lang w:val="en-US" w:eastAsia="zh-CN"/>
              </w:rPr>
              <w:t>77</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B6CDD">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ascii="宋体"/>
                <w:highlight w:val="none"/>
              </w:rPr>
            </w:pPr>
            <w:r>
              <w:rPr>
                <w:rFonts w:hint="eastAsia" w:ascii="宋体"/>
                <w:highlight w:val="none"/>
              </w:rPr>
              <w:t>网络安全事件</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9710E4">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hint="eastAsia" w:ascii="宋体"/>
                <w:highlight w:val="none"/>
              </w:rPr>
            </w:pPr>
            <w:r>
              <w:rPr>
                <w:rFonts w:hint="eastAsia" w:ascii="宋体"/>
                <w:highlight w:val="none"/>
              </w:rPr>
              <w:t>控制网络安全风险</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A37B8">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hint="eastAsia" w:ascii="宋体"/>
                <w:highlight w:val="none"/>
              </w:rPr>
            </w:pPr>
            <w:r>
              <w:rPr>
                <w:rFonts w:hint="eastAsia" w:ascii="宋体" w:eastAsia="宋体"/>
                <w:highlight w:val="none"/>
              </w:rPr>
              <w:t>不得因乙方原因（含乙方合作的第三方）导致</w:t>
            </w:r>
            <w:r>
              <w:rPr>
                <w:rFonts w:hint="eastAsia" w:ascii="宋体" w:eastAsia="宋体"/>
                <w:highlight w:val="none"/>
                <w:lang w:val="en-US" w:eastAsia="zh-CN"/>
              </w:rPr>
              <w:t>在活动中</w:t>
            </w:r>
            <w:r>
              <w:rPr>
                <w:rFonts w:hint="eastAsia" w:ascii="宋体" w:eastAsia="宋体"/>
                <w:highlight w:val="none"/>
              </w:rPr>
              <w:t>发生网络安全事件</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89915">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hint="eastAsia" w:ascii="宋体"/>
                <w:highlight w:val="none"/>
              </w:rPr>
            </w:pPr>
            <w:r>
              <w:rPr>
                <w:rFonts w:hint="eastAsia" w:ascii="宋体"/>
                <w:highlight w:val="none"/>
              </w:rPr>
              <w:t>甲方根据监管及本行要求及事件危害程度判定。</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54109">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ascii="宋体" w:eastAsia="宋体"/>
                <w:highlight w:val="none"/>
                <w:lang w:val="en-US" w:eastAsia="zh-CN"/>
              </w:rPr>
            </w:pPr>
            <w:r>
              <w:rPr>
                <w:rFonts w:hint="eastAsia" w:ascii="宋体"/>
                <w:highlight w:val="none"/>
              </w:rPr>
              <w:t>网络安全事件=0</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AD829">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hint="eastAsia" w:ascii="宋体"/>
                <w:highlight w:val="none"/>
              </w:rPr>
            </w:pPr>
            <w:r>
              <w:rPr>
                <w:rFonts w:hint="eastAsia" w:ascii="宋体"/>
                <w:highlight w:val="none"/>
              </w:rPr>
              <w:t>每发生一次网络安全事件扣除乙方合同金额不低于3%,并要求乙方赔偿实际损失。</w:t>
            </w:r>
          </w:p>
        </w:tc>
        <w:tc>
          <w:tcPr>
            <w:tcW w:w="211" w:type="pct"/>
            <w:tcBorders>
              <w:top w:val="single" w:color="auto" w:sz="4" w:space="0"/>
              <w:left w:val="single" w:color="auto" w:sz="4" w:space="0"/>
              <w:bottom w:val="single" w:color="auto" w:sz="4" w:space="0"/>
              <w:right w:val="single" w:color="auto" w:sz="4" w:space="0"/>
            </w:tcBorders>
            <w:noWrap/>
            <w:vAlign w:val="center"/>
          </w:tcPr>
          <w:p w14:paraId="5D108B98">
            <w:pPr>
              <w:keepNext w:val="0"/>
              <w:keepLines w:val="0"/>
              <w:pageBreakBefore w:val="0"/>
              <w:widowControl/>
              <w:kinsoku/>
              <w:wordWrap/>
              <w:overflowPunct/>
              <w:topLinePunct w:val="0"/>
              <w:autoSpaceDE w:val="0"/>
              <w:autoSpaceDN w:val="0"/>
              <w:bidi w:val="0"/>
              <w:adjustRightInd/>
              <w:spacing w:line="320" w:lineRule="atLeast"/>
              <w:jc w:val="left"/>
              <w:textAlignment w:val="auto"/>
              <w:rPr>
                <w:rFonts w:ascii="宋体"/>
                <w:highlight w:val="none"/>
              </w:rPr>
            </w:pPr>
          </w:p>
        </w:tc>
      </w:tr>
      <w:tr w14:paraId="42FF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C6985">
            <w:pPr>
              <w:keepNext w:val="0"/>
              <w:keepLines w:val="0"/>
              <w:pageBreakBefore w:val="0"/>
              <w:widowControl/>
              <w:kinsoku/>
              <w:wordWrap/>
              <w:overflowPunct/>
              <w:topLinePunct w:val="0"/>
              <w:autoSpaceDE w:val="0"/>
              <w:autoSpaceDN w:val="0"/>
              <w:bidi w:val="0"/>
              <w:adjustRightInd/>
              <w:snapToGrid w:val="0"/>
              <w:spacing w:line="320" w:lineRule="atLeast"/>
              <w:jc w:val="center"/>
              <w:textAlignment w:val="auto"/>
              <w:rPr>
                <w:rFonts w:hint="eastAsia" w:ascii="宋体" w:eastAsia="宋体"/>
                <w:color w:val="auto"/>
                <w:highlight w:val="none"/>
                <w:lang w:val="en-US" w:eastAsia="zh-CN"/>
              </w:rPr>
            </w:pPr>
            <w:r>
              <w:rPr>
                <w:rFonts w:hint="eastAsia" w:ascii="宋体"/>
                <w:color w:val="auto"/>
                <w:highlight w:val="none"/>
                <w:lang w:val="en-US" w:eastAsia="zh-CN"/>
              </w:rPr>
              <w:t>88</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0AE45">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ascii="宋体" w:eastAsia="宋体"/>
                <w:color w:val="auto"/>
                <w:highlight w:val="none"/>
                <w:lang w:val="en-US" w:eastAsia="zh-CN"/>
              </w:rPr>
            </w:pPr>
            <w:r>
              <w:rPr>
                <w:rFonts w:hint="eastAsia" w:ascii="宋体"/>
                <w:color w:val="auto"/>
                <w:highlight w:val="none"/>
                <w:lang w:val="en-US" w:eastAsia="zh-CN"/>
              </w:rPr>
              <w:t>整体服务质量</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2D7C9">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ascii="宋体" w:eastAsia="宋体"/>
                <w:color w:val="auto"/>
                <w:highlight w:val="none"/>
                <w:lang w:val="en-US" w:eastAsia="zh-CN"/>
              </w:rPr>
            </w:pPr>
            <w:r>
              <w:rPr>
                <w:rFonts w:hint="eastAsia" w:ascii="宋体"/>
                <w:color w:val="auto"/>
                <w:highlight w:val="none"/>
              </w:rPr>
              <w:t>衡量乙方</w:t>
            </w:r>
            <w:r>
              <w:rPr>
                <w:rFonts w:hint="eastAsia" w:ascii="宋体"/>
                <w:color w:val="auto"/>
                <w:highlight w:val="none"/>
                <w:lang w:val="en-US" w:eastAsia="zh-CN"/>
              </w:rPr>
              <w:t>整体服务能力和服务质量</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06755">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ascii="宋体" w:eastAsia="宋体"/>
                <w:color w:val="auto"/>
                <w:highlight w:val="none"/>
                <w:lang w:val="en-US" w:eastAsia="zh-CN"/>
              </w:rPr>
            </w:pPr>
            <w:r>
              <w:rPr>
                <w:rFonts w:hint="eastAsia" w:ascii="Times New Roman" w:hAnsi="Times New Roman" w:cs="Times New Roman"/>
                <w:color w:val="auto"/>
                <w:sz w:val="21"/>
                <w:szCs w:val="16"/>
                <w:highlight w:val="none"/>
              </w:rPr>
              <w:t>乙方不得出现因其</w:t>
            </w:r>
            <w:r>
              <w:rPr>
                <w:rFonts w:hint="eastAsia" w:ascii="Times New Roman" w:hAnsi="Times New Roman" w:cs="Times New Roman"/>
                <w:color w:val="auto"/>
                <w:sz w:val="21"/>
                <w:szCs w:val="16"/>
                <w:highlight w:val="none"/>
                <w:lang w:val="en-US" w:eastAsia="zh-CN"/>
              </w:rPr>
              <w:t>组织不力、技术</w:t>
            </w:r>
            <w:r>
              <w:rPr>
                <w:rFonts w:hint="eastAsia" w:ascii="Times New Roman" w:hAnsi="Times New Roman" w:cs="Times New Roman"/>
                <w:color w:val="auto"/>
                <w:sz w:val="21"/>
                <w:szCs w:val="16"/>
                <w:highlight w:val="none"/>
              </w:rPr>
              <w:t>方法不当</w:t>
            </w:r>
            <w:r>
              <w:rPr>
                <w:rFonts w:hint="eastAsia" w:ascii="Times New Roman" w:hAnsi="Times New Roman" w:cs="Times New Roman"/>
                <w:color w:val="auto"/>
                <w:sz w:val="21"/>
                <w:szCs w:val="16"/>
                <w:highlight w:val="none"/>
                <w:lang w:val="en-US" w:eastAsia="zh-CN"/>
              </w:rPr>
              <w:t>或</w:t>
            </w:r>
            <w:r>
              <w:rPr>
                <w:rFonts w:hint="eastAsia" w:ascii="Times New Roman" w:hAnsi="Times New Roman" w:cs="Times New Roman"/>
                <w:color w:val="auto"/>
                <w:sz w:val="21"/>
                <w:szCs w:val="16"/>
                <w:highlight w:val="none"/>
              </w:rPr>
              <w:t>竞赛敏感信息</w:t>
            </w:r>
            <w:r>
              <w:rPr>
                <w:rFonts w:hint="eastAsia" w:ascii="Times New Roman" w:hAnsi="Times New Roman" w:cs="Times New Roman"/>
                <w:color w:val="auto"/>
                <w:sz w:val="21"/>
                <w:szCs w:val="16"/>
                <w:highlight w:val="none"/>
                <w:lang w:val="en-US" w:eastAsia="zh-CN"/>
              </w:rPr>
              <w:t>泄露影响正常竞赛秩序等问题</w:t>
            </w:r>
            <w:r>
              <w:rPr>
                <w:rFonts w:hint="eastAsia" w:ascii="Times New Roman" w:hAnsi="Times New Roman" w:cs="Times New Roman"/>
                <w:color w:val="auto"/>
                <w:sz w:val="21"/>
                <w:szCs w:val="16"/>
                <w:highlight w:val="none"/>
              </w:rPr>
              <w:t>导致甲方被监管机构通报、批评或提醒谈话</w:t>
            </w:r>
            <w:r>
              <w:rPr>
                <w:rFonts w:hint="eastAsia" w:ascii="Times New Roman" w:hAnsi="Times New Roman" w:cs="Times New Roman"/>
                <w:color w:val="auto"/>
                <w:sz w:val="21"/>
                <w:szCs w:val="16"/>
                <w:highlight w:val="none"/>
                <w:lang w:val="en-US" w:eastAsia="zh-CN"/>
              </w:rPr>
              <w:t>的次数</w:t>
            </w:r>
            <w:r>
              <w:rPr>
                <w:rFonts w:hint="eastAsia" w:ascii="Times New Roman" w:hAnsi="Times New Roman" w:cs="Times New Roman"/>
                <w:color w:val="auto"/>
                <w:sz w:val="21"/>
                <w:szCs w:val="16"/>
                <w:highlight w:val="none"/>
              </w:rPr>
              <w:t>。</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3CECD">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ascii="宋体" w:eastAsia="宋体"/>
                <w:color w:val="auto"/>
                <w:highlight w:val="none"/>
                <w:lang w:val="en-US" w:eastAsia="zh-CN"/>
              </w:rPr>
            </w:pPr>
            <w:r>
              <w:rPr>
                <w:rFonts w:hint="eastAsia" w:ascii="宋体"/>
                <w:color w:val="auto"/>
                <w:highlight w:val="none"/>
                <w:lang w:val="en-US" w:eastAsia="zh-CN"/>
              </w:rPr>
              <w:t>甲方根据整理服务质量进行判定</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36E02">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ascii="宋体" w:eastAsia="宋体"/>
                <w:color w:val="auto"/>
                <w:highlight w:val="none"/>
                <w:lang w:val="en-US" w:eastAsia="zh-CN"/>
              </w:rPr>
            </w:pPr>
            <w:r>
              <w:rPr>
                <w:rFonts w:hint="eastAsia" w:ascii="Times New Roman" w:hAnsi="Times New Roman" w:cs="Times New Roman"/>
                <w:color w:val="auto"/>
                <w:sz w:val="21"/>
                <w:szCs w:val="16"/>
                <w:highlight w:val="none"/>
              </w:rPr>
              <w:t>通报、批评或提醒谈话次数=0</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F1E2B">
            <w:pPr>
              <w:keepNext w:val="0"/>
              <w:keepLines w:val="0"/>
              <w:pageBreakBefore w:val="0"/>
              <w:widowControl/>
              <w:kinsoku/>
              <w:wordWrap/>
              <w:overflowPunct/>
              <w:topLinePunct w:val="0"/>
              <w:autoSpaceDE w:val="0"/>
              <w:autoSpaceDN w:val="0"/>
              <w:bidi w:val="0"/>
              <w:adjustRightInd/>
              <w:spacing w:line="320" w:lineRule="atLeast"/>
              <w:ind w:left="0" w:firstLine="0" w:firstLineChars="0"/>
              <w:jc w:val="left"/>
              <w:textAlignment w:val="auto"/>
              <w:rPr>
                <w:rFonts w:ascii="宋体" w:eastAsia="宋体"/>
                <w:color w:val="auto"/>
                <w:highlight w:val="none"/>
                <w:lang w:val="en-US" w:eastAsia="zh-CN"/>
              </w:rPr>
            </w:pPr>
            <w:r>
              <w:rPr>
                <w:rFonts w:hint="eastAsia" w:ascii="Times New Roman" w:hAnsi="Times New Roman" w:cs="Times New Roman"/>
                <w:color w:val="auto"/>
                <w:sz w:val="21"/>
                <w:szCs w:val="16"/>
                <w:highlight w:val="none"/>
                <w:lang w:val="en-US" w:eastAsia="zh-CN"/>
              </w:rPr>
              <w:t>发生一起，</w:t>
            </w:r>
            <w:r>
              <w:rPr>
                <w:rFonts w:hint="eastAsia" w:ascii="Times New Roman" w:hAnsi="Times New Roman" w:cs="Times New Roman"/>
                <w:color w:val="auto"/>
                <w:sz w:val="21"/>
                <w:szCs w:val="16"/>
                <w:highlight w:val="none"/>
              </w:rPr>
              <w:t>甲方有权终止合同，扣除合同金额100%，</w:t>
            </w:r>
            <w:r>
              <w:rPr>
                <w:rFonts w:hint="eastAsia" w:ascii="Times New Roman" w:hAnsi="Times New Roman" w:cs="Times New Roman"/>
                <w:color w:val="auto"/>
                <w:sz w:val="21"/>
                <w:szCs w:val="21"/>
                <w:highlight w:val="none"/>
              </w:rPr>
              <w:t>并</w:t>
            </w:r>
            <w:r>
              <w:rPr>
                <w:rFonts w:ascii="Times New Roman" w:hAnsi="Times New Roman" w:cs="Times New Roman"/>
                <w:color w:val="auto"/>
                <w:sz w:val="21"/>
                <w:szCs w:val="21"/>
                <w:highlight w:val="none"/>
              </w:rPr>
              <w:t>要求乙方赔偿相关损失。</w:t>
            </w:r>
          </w:p>
        </w:tc>
        <w:tc>
          <w:tcPr>
            <w:tcW w:w="211" w:type="pct"/>
            <w:tcBorders>
              <w:top w:val="single" w:color="auto" w:sz="4" w:space="0"/>
              <w:left w:val="single" w:color="auto" w:sz="4" w:space="0"/>
              <w:bottom w:val="single" w:color="auto" w:sz="4" w:space="0"/>
              <w:right w:val="single" w:color="auto" w:sz="4" w:space="0"/>
            </w:tcBorders>
            <w:noWrap/>
            <w:vAlign w:val="center"/>
          </w:tcPr>
          <w:p w14:paraId="704C249F">
            <w:pPr>
              <w:keepNext w:val="0"/>
              <w:keepLines w:val="0"/>
              <w:pageBreakBefore w:val="0"/>
              <w:widowControl/>
              <w:kinsoku/>
              <w:wordWrap/>
              <w:overflowPunct/>
              <w:topLinePunct w:val="0"/>
              <w:autoSpaceDE w:val="0"/>
              <w:autoSpaceDN w:val="0"/>
              <w:bidi w:val="0"/>
              <w:adjustRightInd/>
              <w:spacing w:line="320" w:lineRule="atLeast"/>
              <w:jc w:val="left"/>
              <w:textAlignment w:val="auto"/>
              <w:rPr>
                <w:rFonts w:ascii="宋体"/>
                <w:highlight w:val="none"/>
              </w:rPr>
            </w:pPr>
          </w:p>
        </w:tc>
      </w:tr>
      <w:tr w14:paraId="0BDB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981DA">
            <w:pPr>
              <w:widowControl/>
              <w:snapToGrid w:val="0"/>
              <w:spacing w:line="320" w:lineRule="exact"/>
              <w:jc w:val="center"/>
              <w:rPr>
                <w:rFonts w:hint="eastAsia" w:ascii="宋体"/>
                <w:highlight w:val="none"/>
              </w:rPr>
            </w:pPr>
            <w:r>
              <w:rPr>
                <w:rFonts w:hint="eastAsia" w:ascii="宋体"/>
                <w:highlight w:val="none"/>
              </w:rPr>
              <w:t>合计</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70E9D">
            <w:pPr>
              <w:widowControl/>
              <w:snapToGrid w:val="0"/>
              <w:spacing w:line="320" w:lineRule="exact"/>
              <w:ind w:left="0" w:firstLine="0" w:firstLineChars="0"/>
              <w:jc w:val="left"/>
              <w:rPr>
                <w:rFonts w:hint="eastAsia" w:ascii="宋体"/>
                <w:highlight w:val="none"/>
              </w:rPr>
            </w:pPr>
            <w:r>
              <w:rPr>
                <w:rFonts w:hint="eastAsia" w:ascii="宋体"/>
                <w:highlight w:val="none"/>
              </w:rPr>
              <w:t>SLA满足率</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10ABA">
            <w:pPr>
              <w:widowControl/>
              <w:snapToGrid w:val="0"/>
              <w:spacing w:line="320" w:lineRule="exact"/>
              <w:ind w:left="0" w:firstLine="0" w:firstLineChars="0"/>
              <w:jc w:val="left"/>
              <w:rPr>
                <w:rFonts w:hint="eastAsia" w:ascii="宋体"/>
                <w:highlight w:val="none"/>
              </w:rPr>
            </w:pPr>
            <w:r>
              <w:rPr>
                <w:rFonts w:hint="eastAsia" w:ascii="宋体"/>
                <w:highlight w:val="none"/>
              </w:rPr>
              <w:t>此数据是衡量满足要求的SLA个数与整体SLA个数的百分之整体的比率</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23546">
            <w:pPr>
              <w:widowControl/>
              <w:snapToGrid w:val="0"/>
              <w:spacing w:line="320" w:lineRule="exact"/>
              <w:ind w:left="0" w:firstLine="0" w:firstLineChars="0"/>
              <w:jc w:val="left"/>
              <w:rPr>
                <w:rFonts w:hint="eastAsia" w:ascii="宋体"/>
                <w:highlight w:val="none"/>
              </w:rPr>
            </w:pPr>
            <w:r>
              <w:rPr>
                <w:rFonts w:hint="eastAsia" w:ascii="宋体"/>
                <w:highlight w:val="none"/>
              </w:rPr>
              <w:t>衡量乙方达到要求的SLA占全部SLA的百分比。</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48036">
            <w:pPr>
              <w:widowControl/>
              <w:snapToGrid w:val="0"/>
              <w:spacing w:line="320" w:lineRule="exact"/>
              <w:ind w:left="0" w:firstLine="0" w:firstLineChars="0"/>
              <w:jc w:val="left"/>
              <w:rPr>
                <w:rFonts w:hint="eastAsia" w:ascii="宋体"/>
                <w:highlight w:val="none"/>
              </w:rPr>
            </w:pPr>
            <w:r>
              <w:rPr>
                <w:rFonts w:hint="eastAsia" w:ascii="宋体"/>
                <w:highlight w:val="none"/>
              </w:rPr>
              <w:t>为了这个度量报告，需要持续汇报SOW中所有SLA情况。</w:t>
            </w:r>
          </w:p>
        </w:tc>
        <w:tc>
          <w:tcPr>
            <w:tcW w:w="10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2984F">
            <w:pPr>
              <w:widowControl/>
              <w:snapToGrid w:val="0"/>
              <w:spacing w:line="320" w:lineRule="exact"/>
              <w:ind w:left="0" w:firstLine="0" w:firstLineChars="0"/>
              <w:jc w:val="left"/>
              <w:rPr>
                <w:rFonts w:hint="eastAsia" w:ascii="宋体"/>
                <w:highlight w:val="none"/>
              </w:rPr>
            </w:pPr>
            <w:r>
              <w:rPr>
                <w:rFonts w:hint="eastAsia" w:ascii="宋体"/>
                <w:highlight w:val="none"/>
              </w:rPr>
              <w:t>SLA满足率＝（满足SLA的个数/总体SLA的个数）×100%（SLA满足率≥70%）</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ED793">
            <w:pPr>
              <w:widowControl/>
              <w:snapToGrid w:val="0"/>
              <w:spacing w:line="320" w:lineRule="exact"/>
              <w:ind w:left="0" w:firstLine="0" w:firstLineChars="0"/>
              <w:jc w:val="left"/>
              <w:rPr>
                <w:rFonts w:hint="eastAsia" w:ascii="宋体"/>
                <w:highlight w:val="none"/>
              </w:rPr>
            </w:pPr>
            <w:r>
              <w:rPr>
                <w:rFonts w:hint="eastAsia" w:ascii="宋体"/>
                <w:highlight w:val="none"/>
              </w:rPr>
              <w:t>SLA满足率每低于标准5%，扣除合同金额的1%</w:t>
            </w:r>
          </w:p>
        </w:tc>
        <w:tc>
          <w:tcPr>
            <w:tcW w:w="211" w:type="pct"/>
            <w:tcBorders>
              <w:top w:val="single" w:color="auto" w:sz="4" w:space="0"/>
              <w:left w:val="single" w:color="auto" w:sz="4" w:space="0"/>
              <w:bottom w:val="single" w:color="auto" w:sz="4" w:space="0"/>
              <w:right w:val="single" w:color="auto" w:sz="4" w:space="0"/>
            </w:tcBorders>
            <w:noWrap/>
          </w:tcPr>
          <w:p w14:paraId="7FD6EEFB">
            <w:pPr>
              <w:widowControl/>
              <w:snapToGrid w:val="0"/>
              <w:spacing w:line="320" w:lineRule="exact"/>
              <w:jc w:val="left"/>
              <w:rPr>
                <w:rFonts w:hint="eastAsia" w:ascii="宋体"/>
                <w:highlight w:val="none"/>
              </w:rPr>
            </w:pPr>
          </w:p>
        </w:tc>
      </w:tr>
      <w:tr w14:paraId="59F9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3A442E28">
            <w:pPr>
              <w:widowControl/>
              <w:snapToGrid w:val="0"/>
              <w:spacing w:line="520" w:lineRule="exact"/>
              <w:ind w:left="0" w:firstLine="0" w:firstLineChars="0"/>
              <w:rPr>
                <w:rFonts w:hint="eastAsia" w:ascii="宋体"/>
                <w:highlight w:val="none"/>
              </w:rPr>
            </w:pPr>
            <w:r>
              <w:rPr>
                <w:rFonts w:hint="eastAsia" w:ascii="宋体"/>
                <w:highlight w:val="none"/>
              </w:rPr>
              <w:t>综合评价：</w:t>
            </w:r>
          </w:p>
          <w:p w14:paraId="07D24FB8">
            <w:pPr>
              <w:widowControl/>
              <w:snapToGrid w:val="0"/>
              <w:spacing w:line="520" w:lineRule="exact"/>
              <w:rPr>
                <w:rFonts w:hint="eastAsia" w:ascii="宋体"/>
                <w:highlight w:val="none"/>
              </w:rPr>
            </w:pPr>
          </w:p>
          <w:p w14:paraId="2EF4667A">
            <w:pPr>
              <w:widowControl/>
              <w:snapToGrid w:val="0"/>
              <w:spacing w:line="520" w:lineRule="exact"/>
              <w:rPr>
                <w:rFonts w:ascii="宋体"/>
                <w:highlight w:val="none"/>
              </w:rPr>
            </w:pPr>
          </w:p>
          <w:p w14:paraId="5CBFD857">
            <w:pPr>
              <w:widowControl/>
              <w:snapToGrid w:val="0"/>
              <w:spacing w:line="520" w:lineRule="exact"/>
              <w:ind w:left="0" w:firstLine="0" w:firstLineChars="0"/>
              <w:rPr>
                <w:rFonts w:hint="eastAsia" w:ascii="宋体"/>
                <w:highlight w:val="none"/>
              </w:rPr>
            </w:pPr>
            <w:r>
              <w:rPr>
                <w:rFonts w:hint="eastAsia" w:ascii="宋体"/>
                <w:highlight w:val="none"/>
              </w:rPr>
              <w:t>评价人：</w:t>
            </w:r>
            <w:r>
              <w:rPr>
                <w:rFonts w:ascii="宋体"/>
                <w:highlight w:val="none"/>
              </w:rPr>
              <w:t xml:space="preserve"> </w:t>
            </w:r>
          </w:p>
        </w:tc>
      </w:tr>
    </w:tbl>
    <w:p w14:paraId="6F83FD0D">
      <w:pPr>
        <w:pStyle w:val="9"/>
        <w:bidi w:val="0"/>
        <w:rPr>
          <w:rFonts w:hint="eastAsia"/>
          <w:highlight w:val="none"/>
        </w:rPr>
      </w:pPr>
    </w:p>
    <w:p w14:paraId="0FAF5C47">
      <w:pPr>
        <w:rPr>
          <w:rFonts w:hint="eastAsia"/>
          <w:highlight w:val="none"/>
        </w:rPr>
      </w:pPr>
      <w:r>
        <w:rPr>
          <w:rFonts w:hint="eastAsia"/>
          <w:highlight w:val="none"/>
        </w:rPr>
        <w:br w:type="page"/>
      </w:r>
    </w:p>
    <w:p w14:paraId="5D8ECA5A">
      <w:pPr>
        <w:pStyle w:val="17"/>
        <w:snapToGrid w:val="0"/>
        <w:spacing w:before="0" w:after="0" w:line="520" w:lineRule="exact"/>
        <w:jc w:val="left"/>
        <w:outlineLvl w:val="3"/>
        <w:rPr>
          <w:snapToGrid w:val="0"/>
          <w:highlight w:val="none"/>
        </w:rPr>
      </w:pPr>
      <w:bookmarkStart w:id="269" w:name="_Toc765532815"/>
      <w:r>
        <w:rPr>
          <w:rFonts w:hint="eastAsia"/>
          <w:snapToGrid w:val="0"/>
          <w:sz w:val="24"/>
          <w:highlight w:val="none"/>
        </w:rPr>
        <w:t>附件</w:t>
      </w:r>
      <w:r>
        <w:rPr>
          <w:rFonts w:hint="eastAsia" w:ascii="宋体"/>
          <w:snapToGrid w:val="0"/>
          <w:sz w:val="24"/>
          <w:highlight w:val="none"/>
        </w:rPr>
        <w:t>4</w:t>
      </w:r>
      <w:bookmarkEnd w:id="269"/>
    </w:p>
    <w:p w14:paraId="43F9156F">
      <w:pPr>
        <w:pStyle w:val="17"/>
        <w:snapToGrid w:val="0"/>
        <w:spacing w:before="0" w:after="0" w:line="520" w:lineRule="exact"/>
        <w:outlineLvl w:val="3"/>
        <w:rPr>
          <w:snapToGrid w:val="0"/>
          <w:highlight w:val="none"/>
        </w:rPr>
      </w:pPr>
      <w:bookmarkStart w:id="270" w:name="_Toc943841340"/>
      <w:r>
        <w:rPr>
          <w:rStyle w:val="36"/>
          <w:rFonts w:hint="eastAsia" w:ascii="宋体"/>
          <w:kern w:val="0"/>
          <w:sz w:val="30"/>
          <w:highlight w:val="none"/>
        </w:rPr>
        <w:t>服务连续性预案</w:t>
      </w:r>
      <w:bookmarkEnd w:id="270"/>
    </w:p>
    <w:p w14:paraId="0FD2620E">
      <w:pPr>
        <w:jc w:val="center"/>
        <w:rPr>
          <w:rFonts w:hint="eastAsia" w:ascii="方正小标宋_GBK" w:eastAsia="方正小标宋_GBK"/>
          <w:color w:val="auto"/>
          <w:sz w:val="24"/>
          <w:highlight w:val="none"/>
        </w:rPr>
      </w:pPr>
      <w:r>
        <w:rPr>
          <w:rFonts w:hint="eastAsia" w:ascii="方正小标宋_GBK" w:eastAsia="方正小标宋_GBK"/>
          <w:color w:val="auto"/>
          <w:sz w:val="24"/>
          <w:highlight w:val="none"/>
        </w:rPr>
        <w:t>（应考虑供应链风险产生的影响）</w:t>
      </w:r>
    </w:p>
    <w:p w14:paraId="724A85BB">
      <w:pPr>
        <w:rPr>
          <w:rFonts w:hint="eastAsia"/>
          <w:highlight w:val="none"/>
        </w:rPr>
      </w:pPr>
    </w:p>
    <w:p w14:paraId="77702005">
      <w:pPr>
        <w:ind w:firstLine="0" w:firstLineChars="0"/>
        <w:jc w:val="both"/>
        <w:rPr>
          <w:rFonts w:hint="eastAsia" w:ascii="Times New Roman" w:hAnsi="Times New Roman"/>
          <w:highlight w:val="none"/>
        </w:rPr>
      </w:pPr>
    </w:p>
    <w:p w14:paraId="2C973587">
      <w:pPr>
        <w:rPr>
          <w:rFonts w:ascii="Times New Roman" w:hAnsi="Times New Roman"/>
          <w:highlight w:val="none"/>
        </w:rPr>
      </w:pPr>
      <w:r>
        <w:rPr>
          <w:rFonts w:hint="eastAsia" w:ascii="Times New Roman" w:hAnsi="Times New Roman"/>
          <w:highlight w:val="none"/>
        </w:rPr>
        <w:br w:type="page"/>
      </w:r>
    </w:p>
    <w:p w14:paraId="464C560E">
      <w:pPr>
        <w:pStyle w:val="2"/>
        <w:rPr>
          <w:rFonts w:ascii="Times New Roman" w:hAnsi="Times New Roman"/>
          <w:highlight w:val="none"/>
        </w:rPr>
      </w:pPr>
      <w:bookmarkStart w:id="271" w:name="_Toc7021"/>
      <w:bookmarkStart w:id="272" w:name="_Toc1892509566"/>
      <w:r>
        <w:rPr>
          <w:rFonts w:hint="eastAsia" w:ascii="Times New Roman" w:hAnsi="Times New Roman"/>
          <w:highlight w:val="none"/>
        </w:rPr>
        <w:t>第六章 参选文件</w:t>
      </w:r>
      <w:bookmarkEnd w:id="253"/>
      <w:bookmarkEnd w:id="254"/>
      <w:bookmarkStart w:id="273" w:name="_Toc303066035"/>
      <w:r>
        <w:rPr>
          <w:rFonts w:hint="eastAsia" w:ascii="Times New Roman" w:hAnsi="Times New Roman"/>
          <w:highlight w:val="none"/>
        </w:rPr>
        <w:t>格式</w:t>
      </w:r>
      <w:bookmarkEnd w:id="271"/>
      <w:bookmarkEnd w:id="272"/>
    </w:p>
    <w:bookmarkEnd w:id="273"/>
    <w:p w14:paraId="5BD93EB1">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16DE214D">
      <w:pPr>
        <w:spacing w:line="360" w:lineRule="auto"/>
        <w:ind w:firstLine="0" w:firstLineChars="0"/>
        <w:jc w:val="center"/>
        <w:outlineLvl w:val="0"/>
        <w:rPr>
          <w:rFonts w:ascii="Times New Roman" w:hAnsi="Times New Roman" w:cs="Times New Roman"/>
          <w:b/>
          <w:snapToGrid w:val="0"/>
          <w:kern w:val="0"/>
          <w:sz w:val="48"/>
          <w:szCs w:val="84"/>
          <w:highlight w:val="none"/>
        </w:rPr>
      </w:pPr>
      <w:bookmarkStart w:id="274" w:name="_Toc1971156086"/>
      <w:r>
        <w:rPr>
          <w:rFonts w:hint="eastAsia" w:ascii="Times New Roman" w:hAnsi="Times New Roman" w:cs="Times New Roman"/>
          <w:b/>
          <w:snapToGrid w:val="0"/>
          <w:kern w:val="0"/>
          <w:sz w:val="48"/>
          <w:szCs w:val="84"/>
          <w:highlight w:val="none"/>
        </w:rPr>
        <w:t>重庆三峡银行</w:t>
      </w:r>
      <w:bookmarkEnd w:id="274"/>
    </w:p>
    <w:p w14:paraId="29A337A4">
      <w:pPr>
        <w:adjustRightInd/>
        <w:snapToGrid/>
        <w:spacing w:line="360" w:lineRule="auto"/>
        <w:ind w:firstLine="0" w:firstLineChars="0"/>
        <w:jc w:val="center"/>
        <w:outlineLvl w:val="0"/>
        <w:rPr>
          <w:rFonts w:hint="eastAsia" w:ascii="Times New Roman" w:hAnsi="Times New Roman" w:cs="Times New Roman"/>
          <w:b/>
          <w:snapToGrid w:val="0"/>
          <w:kern w:val="0"/>
          <w:sz w:val="48"/>
          <w:szCs w:val="84"/>
          <w:highlight w:val="none"/>
          <w:u w:val="none"/>
        </w:rPr>
      </w:pPr>
      <w:bookmarkStart w:id="275" w:name="_Toc1072342728"/>
      <w:r>
        <w:rPr>
          <w:rFonts w:hint="eastAsia" w:ascii="Times New Roman" w:hAnsi="Times New Roman" w:eastAsia="宋体" w:cs="Times New Roman"/>
          <w:b/>
          <w:snapToGrid w:val="0"/>
          <w:kern w:val="0"/>
          <w:sz w:val="48"/>
          <w:szCs w:val="84"/>
          <w:highlight w:val="none"/>
          <w:u w:val="none"/>
          <w:lang w:val="en-US" w:eastAsia="zh-CN"/>
        </w:rPr>
        <w:t>2024年金融城域网网络安全竞赛及网络安全宣传周支撑服务</w:t>
      </w:r>
      <w:r>
        <w:rPr>
          <w:rFonts w:hint="eastAsia" w:ascii="Times New Roman" w:hAnsi="Times New Roman" w:cs="Times New Roman"/>
          <w:b/>
          <w:snapToGrid w:val="0"/>
          <w:kern w:val="0"/>
          <w:sz w:val="48"/>
          <w:szCs w:val="84"/>
          <w:highlight w:val="none"/>
          <w:u w:val="none"/>
        </w:rPr>
        <w:t>项目</w:t>
      </w:r>
      <w:bookmarkEnd w:id="275"/>
    </w:p>
    <w:p w14:paraId="4A8FE7D8">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0BEE4771">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28D0DBAF">
      <w:pPr>
        <w:tabs>
          <w:tab w:val="left" w:pos="3600"/>
          <w:tab w:val="left" w:pos="4480"/>
          <w:tab w:val="left" w:pos="5360"/>
        </w:tabs>
        <w:adjustRightInd w:val="0"/>
        <w:snapToGrid w:val="0"/>
        <w:spacing w:line="360" w:lineRule="auto"/>
        <w:ind w:firstLine="0" w:firstLineChars="0"/>
        <w:jc w:val="center"/>
        <w:outlineLvl w:val="0"/>
        <w:rPr>
          <w:rFonts w:ascii="Times New Roman" w:hAnsi="Times New Roman"/>
          <w:b/>
          <w:kern w:val="0"/>
          <w:sz w:val="84"/>
          <w:highlight w:val="none"/>
        </w:rPr>
      </w:pPr>
      <w:bookmarkStart w:id="276" w:name="_Toc1335579904"/>
      <w:r>
        <w:rPr>
          <w:rFonts w:hint="eastAsia" w:ascii="Times New Roman" w:hAnsi="Times New Roman"/>
          <w:b/>
          <w:kern w:val="0"/>
          <w:sz w:val="84"/>
          <w:highlight w:val="none"/>
        </w:rPr>
        <w:t>参  选  文  件</w:t>
      </w:r>
      <w:bookmarkEnd w:id="276"/>
    </w:p>
    <w:p w14:paraId="417D5FE4">
      <w:pPr>
        <w:adjustRightInd w:val="0"/>
        <w:snapToGrid w:val="0"/>
        <w:spacing w:line="360" w:lineRule="auto"/>
        <w:ind w:firstLine="0" w:firstLineChars="0"/>
        <w:jc w:val="center"/>
        <w:rPr>
          <w:rFonts w:ascii="Times New Roman" w:hAnsi="Times New Roman"/>
          <w:kern w:val="0"/>
          <w:sz w:val="16"/>
          <w:highlight w:val="none"/>
        </w:rPr>
      </w:pPr>
    </w:p>
    <w:p w14:paraId="1B836534">
      <w:pPr>
        <w:adjustRightInd w:val="0"/>
        <w:snapToGrid w:val="0"/>
        <w:spacing w:line="360" w:lineRule="auto"/>
        <w:ind w:firstLine="0" w:firstLineChars="0"/>
        <w:jc w:val="center"/>
        <w:rPr>
          <w:rFonts w:ascii="Times New Roman" w:hAnsi="Times New Roman"/>
          <w:b/>
          <w:kern w:val="0"/>
          <w:sz w:val="20"/>
          <w:highlight w:val="none"/>
        </w:rPr>
      </w:pPr>
    </w:p>
    <w:p w14:paraId="600A3DBA">
      <w:pPr>
        <w:adjustRightInd w:val="0"/>
        <w:snapToGrid w:val="0"/>
        <w:spacing w:line="360" w:lineRule="auto"/>
        <w:ind w:firstLine="0" w:firstLineChars="0"/>
        <w:jc w:val="center"/>
        <w:rPr>
          <w:rFonts w:ascii="Times New Roman" w:hAnsi="Times New Roman"/>
          <w:b/>
          <w:kern w:val="0"/>
          <w:sz w:val="20"/>
          <w:highlight w:val="none"/>
        </w:rPr>
      </w:pPr>
    </w:p>
    <w:p w14:paraId="48AFE63E">
      <w:pPr>
        <w:adjustRightInd w:val="0"/>
        <w:snapToGrid w:val="0"/>
        <w:spacing w:line="360" w:lineRule="auto"/>
        <w:ind w:firstLine="0" w:firstLineChars="0"/>
        <w:jc w:val="center"/>
        <w:rPr>
          <w:rFonts w:ascii="Times New Roman" w:hAnsi="Times New Roman"/>
          <w:b/>
          <w:kern w:val="0"/>
          <w:sz w:val="20"/>
          <w:highlight w:val="none"/>
        </w:rPr>
      </w:pPr>
    </w:p>
    <w:p w14:paraId="022B6C6F">
      <w:pPr>
        <w:adjustRightInd w:val="0"/>
        <w:snapToGrid w:val="0"/>
        <w:spacing w:line="360" w:lineRule="auto"/>
        <w:ind w:firstLine="0" w:firstLineChars="0"/>
        <w:jc w:val="center"/>
        <w:rPr>
          <w:rFonts w:ascii="Times New Roman" w:hAnsi="Times New Roman"/>
          <w:b/>
          <w:kern w:val="0"/>
          <w:sz w:val="20"/>
          <w:highlight w:val="none"/>
        </w:rPr>
      </w:pPr>
    </w:p>
    <w:p w14:paraId="58874D70">
      <w:pPr>
        <w:adjustRightInd w:val="0"/>
        <w:snapToGrid w:val="0"/>
        <w:spacing w:line="360" w:lineRule="auto"/>
        <w:ind w:firstLine="0" w:firstLineChars="0"/>
        <w:jc w:val="center"/>
        <w:rPr>
          <w:rFonts w:ascii="Times New Roman" w:hAnsi="Times New Roman"/>
          <w:b/>
          <w:kern w:val="0"/>
          <w:sz w:val="20"/>
          <w:highlight w:val="none"/>
        </w:rPr>
      </w:pPr>
    </w:p>
    <w:p w14:paraId="509C927B">
      <w:pPr>
        <w:adjustRightInd w:val="0"/>
        <w:snapToGrid w:val="0"/>
        <w:spacing w:line="360" w:lineRule="auto"/>
        <w:ind w:firstLine="0" w:firstLineChars="0"/>
        <w:jc w:val="center"/>
        <w:rPr>
          <w:rFonts w:ascii="Times New Roman" w:hAnsi="Times New Roman"/>
          <w:b/>
          <w:kern w:val="0"/>
          <w:sz w:val="20"/>
          <w:highlight w:val="none"/>
        </w:rPr>
      </w:pPr>
    </w:p>
    <w:p w14:paraId="6BF3AFB7">
      <w:pPr>
        <w:adjustRightInd w:val="0"/>
        <w:snapToGrid w:val="0"/>
        <w:spacing w:line="360" w:lineRule="auto"/>
        <w:ind w:firstLine="0" w:firstLineChars="0"/>
        <w:jc w:val="center"/>
        <w:rPr>
          <w:rFonts w:ascii="Times New Roman" w:hAnsi="Times New Roman"/>
          <w:b/>
          <w:kern w:val="0"/>
          <w:sz w:val="20"/>
          <w:highlight w:val="none"/>
        </w:rPr>
      </w:pPr>
    </w:p>
    <w:p w14:paraId="65E15175">
      <w:pPr>
        <w:adjustRightInd w:val="0"/>
        <w:snapToGrid w:val="0"/>
        <w:spacing w:line="360" w:lineRule="auto"/>
        <w:ind w:firstLine="0" w:firstLineChars="0"/>
        <w:jc w:val="center"/>
        <w:rPr>
          <w:rFonts w:ascii="Times New Roman" w:hAnsi="Times New Roman"/>
          <w:b/>
          <w:kern w:val="0"/>
          <w:sz w:val="20"/>
          <w:highlight w:val="none"/>
        </w:rPr>
      </w:pPr>
    </w:p>
    <w:p w14:paraId="2D02F01D">
      <w:pPr>
        <w:adjustRightInd w:val="0"/>
        <w:snapToGrid w:val="0"/>
        <w:spacing w:line="360" w:lineRule="auto"/>
        <w:ind w:firstLine="0" w:firstLineChars="0"/>
        <w:jc w:val="center"/>
        <w:rPr>
          <w:rFonts w:ascii="Times New Roman" w:hAnsi="Times New Roman"/>
          <w:b/>
          <w:kern w:val="0"/>
          <w:sz w:val="20"/>
          <w:highlight w:val="none"/>
        </w:rPr>
      </w:pPr>
    </w:p>
    <w:p w14:paraId="20FA4232">
      <w:pPr>
        <w:adjustRightInd w:val="0"/>
        <w:snapToGrid w:val="0"/>
        <w:spacing w:line="360" w:lineRule="auto"/>
        <w:ind w:firstLine="0" w:firstLineChars="0"/>
        <w:jc w:val="center"/>
        <w:rPr>
          <w:rFonts w:ascii="Times New Roman" w:hAnsi="Times New Roman"/>
          <w:b/>
          <w:kern w:val="0"/>
          <w:sz w:val="20"/>
          <w:highlight w:val="none"/>
        </w:rPr>
      </w:pPr>
    </w:p>
    <w:p w14:paraId="07F6D4F1">
      <w:pPr>
        <w:adjustRightInd w:val="0"/>
        <w:snapToGrid w:val="0"/>
        <w:spacing w:line="360" w:lineRule="auto"/>
        <w:ind w:firstLine="0" w:firstLineChars="0"/>
        <w:jc w:val="center"/>
        <w:rPr>
          <w:rFonts w:ascii="Times New Roman" w:hAnsi="Times New Roman"/>
          <w:b/>
          <w:kern w:val="0"/>
          <w:sz w:val="20"/>
          <w:highlight w:val="none"/>
        </w:rPr>
      </w:pPr>
    </w:p>
    <w:p w14:paraId="6EC109F2">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5D9DB681">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/其委托代理人：</w:t>
      </w:r>
      <w:r>
        <w:rPr>
          <w:rFonts w:hint="eastAsia" w:ascii="Times New Roman" w:hAnsi="Times New Roman"/>
          <w:highlight w:val="none"/>
          <w:u w:val="single"/>
        </w:rPr>
        <w:t xml:space="preserve">              </w:t>
      </w:r>
      <w:r>
        <w:rPr>
          <w:rFonts w:hint="eastAsia" w:ascii="Times New Roman" w:hAnsi="Times New Roman"/>
          <w:highlight w:val="none"/>
        </w:rPr>
        <w:t>（签字</w:t>
      </w:r>
      <w:r>
        <w:rPr>
          <w:rFonts w:hint="eastAsia" w:ascii="Times New Roman" w:hAnsi="Times New Roman"/>
          <w:highlight w:val="none"/>
          <w:lang w:eastAsia="zh-CN"/>
        </w:rPr>
        <w:t>或盖章</w:t>
      </w:r>
      <w:r>
        <w:rPr>
          <w:rFonts w:hint="eastAsia" w:ascii="Times New Roman" w:hAnsi="Times New Roman"/>
          <w:highlight w:val="none"/>
        </w:rPr>
        <w:t>）</w:t>
      </w:r>
    </w:p>
    <w:p w14:paraId="2E8C6107">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6991AD8F">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08500536">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2CE777BB">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6B5D7557">
      <w:pPr>
        <w:tabs>
          <w:tab w:val="left" w:pos="6300"/>
        </w:tabs>
        <w:snapToGrid w:val="0"/>
        <w:spacing w:line="360" w:lineRule="auto"/>
        <w:ind w:firstLine="0" w:firstLineChars="0"/>
        <w:jc w:val="center"/>
        <w:rPr>
          <w:rFonts w:ascii="Times New Roman" w:hAnsi="Times New Roman"/>
          <w:snapToGrid w:val="0"/>
          <w:kern w:val="0"/>
          <w:szCs w:val="28"/>
          <w:highlight w:val="none"/>
        </w:rPr>
        <w:sectPr>
          <w:pgSz w:w="11906" w:h="16838"/>
          <w:pgMar w:top="1440" w:right="1800" w:bottom="1440" w:left="1800" w:header="851" w:footer="992" w:gutter="0"/>
          <w:pgNumType w:start="1"/>
          <w:cols w:space="720" w:num="1"/>
          <w:docGrid w:type="lines" w:linePitch="312" w:charSpace="0"/>
        </w:sectPr>
      </w:pPr>
    </w:p>
    <w:p w14:paraId="26EC3D0F">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2C96DA8E">
      <w:pPr>
        <w:outlineLvl w:val="0"/>
        <w:rPr>
          <w:rFonts w:hint="eastAsia" w:ascii="Times New Roman" w:hAnsi="Times New Roman"/>
          <w:highlight w:val="none"/>
        </w:rPr>
      </w:pPr>
      <w:bookmarkStart w:id="277" w:name="_Toc1600822822"/>
      <w:r>
        <w:rPr>
          <w:rFonts w:hint="eastAsia" w:ascii="Times New Roman" w:hAnsi="Times New Roman"/>
          <w:highlight w:val="none"/>
        </w:rPr>
        <w:t>一、参选函</w:t>
      </w:r>
      <w:bookmarkEnd w:id="277"/>
    </w:p>
    <w:p w14:paraId="43EC624E">
      <w:pPr>
        <w:outlineLvl w:val="0"/>
        <w:rPr>
          <w:rFonts w:eastAsia="宋体"/>
          <w:highlight w:val="none"/>
          <w:lang w:val="en-US" w:eastAsia="zh-CN"/>
        </w:rPr>
      </w:pPr>
      <w:bookmarkStart w:id="278" w:name="_Toc877919957"/>
      <w:r>
        <w:rPr>
          <w:rFonts w:hint="eastAsia"/>
          <w:highlight w:val="none"/>
          <w:lang w:val="en-US" w:eastAsia="zh-CN"/>
        </w:rPr>
        <w:t>二、报价一览表</w:t>
      </w:r>
      <w:bookmarkEnd w:id="278"/>
    </w:p>
    <w:p w14:paraId="68890273">
      <w:pPr>
        <w:outlineLvl w:val="0"/>
        <w:rPr>
          <w:rFonts w:ascii="Times New Roman" w:hAnsi="Times New Roman"/>
          <w:highlight w:val="none"/>
        </w:rPr>
      </w:pPr>
      <w:bookmarkStart w:id="279" w:name="_Toc1246667331"/>
      <w:r>
        <w:rPr>
          <w:rFonts w:hint="eastAsia" w:ascii="Times New Roman" w:hAnsi="Times New Roman"/>
          <w:highlight w:val="none"/>
          <w:lang w:val="en-US" w:eastAsia="zh-CN"/>
        </w:rPr>
        <w:t>三</w:t>
      </w:r>
      <w:r>
        <w:rPr>
          <w:rFonts w:hint="eastAsia" w:ascii="Times New Roman" w:hAnsi="Times New Roman"/>
          <w:highlight w:val="none"/>
        </w:rPr>
        <w:t>、分项报价明细表</w:t>
      </w:r>
      <w:bookmarkEnd w:id="279"/>
    </w:p>
    <w:p w14:paraId="7289F069">
      <w:pPr>
        <w:outlineLvl w:val="0"/>
        <w:rPr>
          <w:rFonts w:ascii="Times New Roman" w:hAnsi="Times New Roman"/>
          <w:highlight w:val="none"/>
        </w:rPr>
      </w:pPr>
      <w:bookmarkStart w:id="280" w:name="_Toc1121830542"/>
      <w:r>
        <w:rPr>
          <w:rFonts w:hint="eastAsia" w:ascii="Times New Roman" w:hAnsi="Times New Roman"/>
          <w:highlight w:val="none"/>
          <w:lang w:val="en-US" w:eastAsia="zh-CN"/>
        </w:rPr>
        <w:t>四</w:t>
      </w:r>
      <w:r>
        <w:rPr>
          <w:rFonts w:hint="eastAsia" w:ascii="Times New Roman" w:hAnsi="Times New Roman"/>
          <w:highlight w:val="none"/>
        </w:rPr>
        <w:t>、资格性文件</w:t>
      </w:r>
      <w:bookmarkEnd w:id="280"/>
    </w:p>
    <w:p w14:paraId="6E3042E8">
      <w:pPr>
        <w:rPr>
          <w:rFonts w:ascii="Times New Roman" w:hAnsi="Times New Roman"/>
          <w:highlight w:val="none"/>
        </w:rPr>
      </w:pPr>
      <w:r>
        <w:rPr>
          <w:rFonts w:ascii="Times New Roman" w:hAnsi="Times New Roman"/>
          <w:highlight w:val="none"/>
        </w:rPr>
        <w:t>（一）参选人基本情况介绍，资质证明等</w:t>
      </w:r>
    </w:p>
    <w:p w14:paraId="3A7D18E0">
      <w:pPr>
        <w:rPr>
          <w:rFonts w:ascii="Times New Roman" w:hAnsi="Times New Roman"/>
          <w:highlight w:val="none"/>
        </w:rPr>
      </w:pPr>
      <w:r>
        <w:rPr>
          <w:rFonts w:ascii="Times New Roman" w:hAnsi="Times New Roman"/>
          <w:highlight w:val="none"/>
        </w:rPr>
        <w:t>（二）法定代表人身份证明及授权委托书</w:t>
      </w:r>
    </w:p>
    <w:p w14:paraId="2C05209B">
      <w:pPr>
        <w:rPr>
          <w:rFonts w:ascii="Times New Roman" w:hAnsi="Times New Roman"/>
          <w:highlight w:val="none"/>
        </w:rPr>
      </w:pPr>
      <w:r>
        <w:rPr>
          <w:rFonts w:hint="eastAsia" w:ascii="Times New Roman" w:hAnsi="Times New Roman"/>
          <w:highlight w:val="none"/>
        </w:rPr>
        <w:t>（三）书面声明</w:t>
      </w:r>
    </w:p>
    <w:p w14:paraId="36E21E69">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187B4468">
      <w:pPr>
        <w:rPr>
          <w:rFonts w:hint="eastAsia"/>
          <w:highlight w:val="none"/>
          <w:lang w:val="en-US" w:eastAsia="zh-CN"/>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w:t>
      </w:r>
      <w:r>
        <w:rPr>
          <w:rFonts w:hint="eastAsia" w:ascii="Times New Roman" w:hAnsi="Times New Roman"/>
          <w:highlight w:val="none"/>
          <w:lang w:val="en-US" w:eastAsia="zh-CN"/>
        </w:rPr>
        <w:t>网络安全竞赛服务</w:t>
      </w:r>
      <w:r>
        <w:rPr>
          <w:rFonts w:hint="eastAsia"/>
          <w:highlight w:val="none"/>
          <w:lang w:val="en-US" w:eastAsia="zh-CN"/>
        </w:rPr>
        <w:t>相关项目实施</w:t>
      </w:r>
      <w:r>
        <w:rPr>
          <w:rFonts w:hint="eastAsia"/>
          <w:highlight w:val="none"/>
          <w:lang w:val="zh-CN"/>
        </w:rPr>
        <w:t>案例</w:t>
      </w:r>
    </w:p>
    <w:p w14:paraId="04E9985C">
      <w:pPr>
        <w:outlineLvl w:val="9"/>
        <w:rPr>
          <w:rFonts w:hint="eastAsia"/>
          <w:b w:val="0"/>
          <w:bCs w:val="0"/>
          <w:highlight w:val="none"/>
          <w:lang w:val="en-US" w:eastAsia="zh-CN"/>
        </w:rPr>
      </w:pPr>
      <w:r>
        <w:rPr>
          <w:rFonts w:hint="eastAsia"/>
          <w:b w:val="0"/>
          <w:bCs w:val="0"/>
          <w:highlight w:val="none"/>
          <w:lang w:val="en-US" w:eastAsia="zh-CN"/>
        </w:rPr>
        <w:t>（六）安全服务资质证明文件复印件</w:t>
      </w:r>
    </w:p>
    <w:p w14:paraId="58F50F3C">
      <w:pPr>
        <w:outlineLvl w:val="9"/>
        <w:rPr>
          <w:rFonts w:hint="eastAsia"/>
          <w:b w:val="0"/>
          <w:bCs w:val="0"/>
          <w:highlight w:val="none"/>
          <w:lang w:val="en-US" w:eastAsia="zh-CN"/>
        </w:rPr>
      </w:pPr>
      <w:r>
        <w:rPr>
          <w:rFonts w:hint="eastAsia"/>
          <w:b w:val="0"/>
          <w:bCs w:val="0"/>
          <w:highlight w:val="none"/>
          <w:lang w:val="en-US" w:eastAsia="zh-CN"/>
        </w:rPr>
        <w:t>（七）</w:t>
      </w:r>
      <w:r>
        <w:rPr>
          <w:rFonts w:hint="eastAsia" w:ascii="宋体" w:cs="宋体"/>
          <w:snapToGrid w:val="0"/>
          <w:color w:val="auto"/>
          <w:kern w:val="0"/>
          <w:sz w:val="24"/>
          <w:szCs w:val="24"/>
          <w:highlight w:val="none"/>
          <w:lang w:val="en-US" w:eastAsia="zh-CN" w:bidi="ar-SA"/>
        </w:rPr>
        <w:t>原服务提供商证明</w:t>
      </w:r>
    </w:p>
    <w:p w14:paraId="684DA00C">
      <w:pPr>
        <w:outlineLvl w:val="0"/>
        <w:rPr>
          <w:rFonts w:hint="eastAsia" w:ascii="Times New Roman" w:hAnsi="Times New Roman" w:eastAsia="宋体"/>
          <w:highlight w:val="none"/>
          <w:lang w:eastAsia="zh-CN"/>
        </w:rPr>
      </w:pPr>
      <w:bookmarkStart w:id="281" w:name="_Toc1605934724"/>
      <w:r>
        <w:rPr>
          <w:rFonts w:hint="eastAsia" w:ascii="Times New Roman" w:hAnsi="Times New Roman"/>
          <w:highlight w:val="none"/>
          <w:lang w:val="en-US" w:eastAsia="zh-CN"/>
        </w:rPr>
        <w:t>五</w:t>
      </w:r>
      <w:r>
        <w:rPr>
          <w:rFonts w:hint="eastAsia" w:ascii="Times New Roman" w:hAnsi="Times New Roman"/>
          <w:highlight w:val="none"/>
        </w:rPr>
        <w:t>、响应</w:t>
      </w:r>
      <w:r>
        <w:rPr>
          <w:rFonts w:hint="eastAsia" w:ascii="Times New Roman" w:hAnsi="Times New Roman"/>
          <w:highlight w:val="none"/>
          <w:lang w:eastAsia="zh-CN"/>
        </w:rPr>
        <w:t>性文件</w:t>
      </w:r>
      <w:bookmarkEnd w:id="281"/>
    </w:p>
    <w:p w14:paraId="3AFA4177">
      <w:pPr>
        <w:rPr>
          <w:rFonts w:hint="eastAsia" w:ascii="Times New Roman" w:hAnsi="Times New Roman"/>
          <w:highlight w:val="none"/>
        </w:rPr>
      </w:pPr>
      <w:r>
        <w:rPr>
          <w:rFonts w:hint="eastAsia" w:ascii="Times New Roman" w:hAnsi="Times New Roman"/>
          <w:highlight w:val="none"/>
        </w:rPr>
        <w:t>（一）响应承诺函</w:t>
      </w:r>
    </w:p>
    <w:p w14:paraId="16C2A659">
      <w:pPr>
        <w:outlineLvl w:val="9"/>
        <w:rPr>
          <w:rFonts w:hint="eastAsia"/>
          <w:b w:val="0"/>
          <w:bCs w:val="0"/>
          <w:highlight w:val="none"/>
          <w:lang w:val="en-US" w:eastAsia="zh-CN"/>
        </w:rPr>
      </w:pPr>
      <w:r>
        <w:rPr>
          <w:rFonts w:hint="eastAsia"/>
          <w:b w:val="0"/>
          <w:bCs w:val="0"/>
          <w:highlight w:val="none"/>
          <w:lang w:eastAsia="zh-CN"/>
        </w:rPr>
        <w:t>（</w:t>
      </w:r>
      <w:r>
        <w:rPr>
          <w:rFonts w:hint="eastAsia"/>
          <w:b w:val="0"/>
          <w:bCs w:val="0"/>
          <w:highlight w:val="none"/>
          <w:lang w:val="en-US" w:eastAsia="zh-CN"/>
        </w:rPr>
        <w:t>二</w:t>
      </w:r>
      <w:r>
        <w:rPr>
          <w:rFonts w:hint="eastAsia"/>
          <w:b w:val="0"/>
          <w:bCs w:val="0"/>
          <w:highlight w:val="none"/>
          <w:lang w:eastAsia="zh-CN"/>
        </w:rPr>
        <w:t>）</w:t>
      </w:r>
      <w:r>
        <w:rPr>
          <w:rFonts w:hint="eastAsia"/>
          <w:b w:val="0"/>
          <w:bCs w:val="0"/>
          <w:highlight w:val="none"/>
          <w:lang w:val="en-US" w:eastAsia="zh-CN"/>
        </w:rPr>
        <w:t>项目经理个人简历</w:t>
      </w:r>
    </w:p>
    <w:p w14:paraId="75187DC3">
      <w:pPr>
        <w:outlineLvl w:val="9"/>
        <w:rPr>
          <w:rFonts w:ascii="Times New Roman" w:hAnsi="Times New Roman"/>
          <w:highlight w:val="none"/>
        </w:rPr>
      </w:pPr>
      <w:bookmarkStart w:id="282" w:name="_Toc2057842954"/>
      <w:r>
        <w:rPr>
          <w:rFonts w:hint="eastAsia" w:ascii="Times New Roman" w:hAnsi="Times New Roman"/>
          <w:highlight w:val="none"/>
          <w:lang w:eastAsia="zh-CN"/>
        </w:rPr>
        <w:t>（</w:t>
      </w:r>
      <w:r>
        <w:rPr>
          <w:rFonts w:hint="eastAsia" w:ascii="Times New Roman" w:hAnsi="Times New Roman"/>
          <w:highlight w:val="none"/>
          <w:lang w:val="en-US" w:eastAsia="zh-CN"/>
        </w:rPr>
        <w:t>三</w:t>
      </w:r>
      <w:r>
        <w:rPr>
          <w:rFonts w:hint="eastAsia" w:ascii="Times New Roman" w:hAnsi="Times New Roman"/>
          <w:highlight w:val="none"/>
          <w:lang w:eastAsia="zh-CN"/>
        </w:rPr>
        <w:t>）</w:t>
      </w:r>
      <w:r>
        <w:rPr>
          <w:rFonts w:hint="eastAsia" w:ascii="Times New Roman" w:hAnsi="Times New Roman"/>
          <w:highlight w:val="none"/>
        </w:rPr>
        <w:t>服务连续性预案</w:t>
      </w:r>
      <w:bookmarkEnd w:id="282"/>
    </w:p>
    <w:p w14:paraId="1F74517C">
      <w:pPr>
        <w:rPr>
          <w:rFonts w:hint="eastAsia" w:ascii="Times New Roman" w:hAnsi="Times New Roman" w:eastAsia="宋体"/>
          <w:highlight w:val="none"/>
          <w:lang w:val="en-US" w:eastAsia="zh-CN"/>
        </w:rPr>
      </w:pPr>
      <w:r>
        <w:rPr>
          <w:rFonts w:hint="eastAsia" w:ascii="Times New Roman" w:hAnsi="Times New Roman" w:eastAsia="宋体"/>
          <w:highlight w:val="none"/>
          <w:lang w:eastAsia="zh-CN"/>
        </w:rPr>
        <w:t>（</w:t>
      </w:r>
      <w:r>
        <w:rPr>
          <w:rFonts w:hint="eastAsia" w:ascii="Times New Roman" w:hAnsi="Times New Roman"/>
          <w:highlight w:val="none"/>
          <w:lang w:val="en-US" w:eastAsia="zh-CN"/>
        </w:rPr>
        <w:t>四</w:t>
      </w:r>
      <w:r>
        <w:rPr>
          <w:rFonts w:hint="eastAsia" w:ascii="Times New Roman" w:hAnsi="Times New Roman" w:eastAsia="宋体"/>
          <w:highlight w:val="none"/>
          <w:lang w:eastAsia="zh-CN"/>
        </w:rPr>
        <w:t>）</w:t>
      </w:r>
      <w:r>
        <w:rPr>
          <w:rFonts w:hint="eastAsia" w:ascii="Times New Roman" w:hAnsi="Times New Roman" w:eastAsia="宋体"/>
          <w:highlight w:val="none"/>
        </w:rPr>
        <w:t>项目实施方案</w:t>
      </w:r>
    </w:p>
    <w:p w14:paraId="25695014">
      <w:pPr>
        <w:outlineLvl w:val="9"/>
        <w:rPr>
          <w:rFonts w:hint="eastAsia" w:ascii="Times New Roman" w:hAnsi="Times New Roman"/>
          <w:highlight w:val="none"/>
        </w:rPr>
      </w:pPr>
      <w:r>
        <w:rPr>
          <w:rFonts w:hint="eastAsia" w:ascii="Times New Roman" w:hAnsi="Times New Roman" w:eastAsia="宋体"/>
          <w:highlight w:val="none"/>
          <w:lang w:val="en-US" w:eastAsia="zh-CN"/>
        </w:rPr>
        <w:t>（</w:t>
      </w:r>
      <w:r>
        <w:rPr>
          <w:rFonts w:hint="eastAsia" w:ascii="Times New Roman" w:hAnsi="Times New Roman"/>
          <w:highlight w:val="none"/>
          <w:lang w:val="en-US" w:eastAsia="zh-CN"/>
        </w:rPr>
        <w:t>五</w:t>
      </w:r>
      <w:r>
        <w:rPr>
          <w:rFonts w:hint="eastAsia" w:ascii="Times New Roman" w:hAnsi="Times New Roman" w:eastAsia="宋体"/>
          <w:highlight w:val="none"/>
          <w:lang w:val="en-US" w:eastAsia="zh-CN"/>
        </w:rPr>
        <w:t>）</w:t>
      </w:r>
      <w:r>
        <w:rPr>
          <w:rFonts w:hint="eastAsia" w:ascii="Times New Roman" w:hAnsi="Times New Roman"/>
          <w:highlight w:val="none"/>
        </w:rPr>
        <w:t>参选保证金</w:t>
      </w:r>
    </w:p>
    <w:p w14:paraId="23EC3401">
      <w:pPr>
        <w:outlineLvl w:val="0"/>
        <w:rPr>
          <w:rFonts w:hint="eastAsia" w:ascii="Times New Roman" w:hAnsi="Times New Roman" w:eastAsia="宋体" w:cs="Cambria Math"/>
          <w:color w:val="auto"/>
          <w:kern w:val="2"/>
          <w:sz w:val="24"/>
          <w:highlight w:val="none"/>
          <w:lang w:val="en-US" w:eastAsia="zh-CN"/>
        </w:rPr>
      </w:pPr>
      <w:r>
        <w:rPr>
          <w:rFonts w:hint="eastAsia" w:ascii="Times New Roman" w:hAnsi="Times New Roman" w:eastAsia="宋体" w:cs="Cambria Math"/>
          <w:kern w:val="2"/>
          <w:sz w:val="24"/>
          <w:highlight w:val="none"/>
          <w:lang w:eastAsia="zh-CN"/>
        </w:rPr>
        <w:t>六</w:t>
      </w:r>
      <w:r>
        <w:rPr>
          <w:rFonts w:hint="eastAsia" w:ascii="Times New Roman" w:hAnsi="Times New Roman" w:eastAsia="宋体" w:cs="Cambria Math"/>
          <w:color w:val="auto"/>
          <w:kern w:val="2"/>
          <w:sz w:val="24"/>
          <w:highlight w:val="none"/>
          <w:lang w:eastAsia="zh-CN"/>
        </w:rPr>
        <w:t>、</w:t>
      </w:r>
      <w:r>
        <w:rPr>
          <w:rFonts w:hint="eastAsia" w:ascii="Times New Roman" w:hAnsi="Times New Roman" w:eastAsia="宋体" w:cs="Cambria Math"/>
          <w:color w:val="auto"/>
          <w:kern w:val="2"/>
          <w:sz w:val="24"/>
          <w:highlight w:val="none"/>
        </w:rPr>
        <w:t>全国金融单位网络安全攻防竞赛服务项目案例</w:t>
      </w:r>
      <w:r>
        <w:rPr>
          <w:rFonts w:hint="eastAsia" w:ascii="Times New Roman" w:hAnsi="Times New Roman" w:eastAsia="宋体"/>
          <w:highlight w:val="none"/>
        </w:rPr>
        <w:t>（如有）</w:t>
      </w:r>
    </w:p>
    <w:p w14:paraId="30378A1F">
      <w:pPr>
        <w:outlineLvl w:val="0"/>
        <w:rPr>
          <w:rFonts w:hint="eastAsia" w:ascii="Times New Roman" w:hAnsi="Times New Roman" w:eastAsia="宋体"/>
          <w:highlight w:val="none"/>
          <w:lang w:val="en-US" w:eastAsia="zh-CN"/>
        </w:rPr>
      </w:pPr>
      <w:r>
        <w:rPr>
          <w:rFonts w:hint="eastAsia" w:ascii="Times New Roman" w:hAnsi="Times New Roman" w:eastAsia="宋体" w:cs="Cambria Math"/>
          <w:kern w:val="2"/>
          <w:sz w:val="24"/>
          <w:highlight w:val="none"/>
          <w:lang w:val="en-US" w:eastAsia="zh-CN"/>
        </w:rPr>
        <w:t>七</w:t>
      </w:r>
      <w:r>
        <w:rPr>
          <w:rFonts w:hint="eastAsia" w:ascii="Times New Roman" w:hAnsi="Times New Roman" w:eastAsia="宋体" w:cs="Cambria Math"/>
          <w:color w:val="auto"/>
          <w:kern w:val="2"/>
          <w:sz w:val="24"/>
          <w:highlight w:val="none"/>
          <w:lang w:val="en-US" w:eastAsia="zh-CN"/>
        </w:rPr>
        <w:t>、</w:t>
      </w:r>
      <w:r>
        <w:rPr>
          <w:rFonts w:hint="eastAsia" w:ascii="Times New Roman" w:hAnsi="Times New Roman" w:eastAsia="宋体" w:cs="Cambria Math"/>
          <w:color w:val="auto"/>
          <w:kern w:val="2"/>
          <w:sz w:val="24"/>
          <w:highlight w:val="none"/>
        </w:rPr>
        <w:t>重庆区域金融单位网络安全攻防竞赛服务项目案例</w:t>
      </w:r>
      <w:r>
        <w:rPr>
          <w:rFonts w:hint="eastAsia" w:ascii="Times New Roman" w:hAnsi="Times New Roman" w:eastAsia="宋体"/>
          <w:highlight w:val="none"/>
        </w:rPr>
        <w:t>（如有）</w:t>
      </w:r>
    </w:p>
    <w:p w14:paraId="122D1F5A">
      <w:pPr>
        <w:outlineLvl w:val="0"/>
        <w:rPr>
          <w:rFonts w:hint="eastAsia" w:ascii="Times New Roman" w:hAnsi="Times New Roman"/>
          <w:highlight w:val="none"/>
          <w:lang w:val="en-US" w:eastAsia="zh-CN"/>
        </w:rPr>
      </w:pPr>
      <w:r>
        <w:rPr>
          <w:rFonts w:hint="eastAsia" w:ascii="Times New Roman" w:hAnsi="Times New Roman" w:eastAsia="宋体"/>
          <w:highlight w:val="none"/>
          <w:lang w:val="en-US" w:eastAsia="zh-CN"/>
        </w:rPr>
        <w:t>八</w:t>
      </w:r>
      <w:r>
        <w:rPr>
          <w:rFonts w:hint="eastAsia" w:ascii="Times New Roman" w:hAnsi="Times New Roman"/>
          <w:highlight w:val="none"/>
          <w:lang w:val="en-US" w:eastAsia="zh-CN"/>
        </w:rPr>
        <w:t>、服务能力相关证书</w:t>
      </w:r>
      <w:r>
        <w:rPr>
          <w:rFonts w:hint="eastAsia" w:ascii="Times New Roman" w:hAnsi="Times New Roman" w:eastAsia="宋体"/>
          <w:highlight w:val="none"/>
        </w:rPr>
        <w:t>（如有）</w:t>
      </w:r>
    </w:p>
    <w:p w14:paraId="4B185147">
      <w:pPr>
        <w:outlineLvl w:val="0"/>
        <w:rPr>
          <w:rFonts w:hint="eastAsia" w:ascii="Times New Roman" w:hAnsi="Times New Roman"/>
          <w:highlight w:val="none"/>
          <w:lang w:val="en-US" w:eastAsia="zh-CN"/>
        </w:rPr>
      </w:pPr>
      <w:r>
        <w:rPr>
          <w:rFonts w:hint="eastAsia" w:ascii="Times New Roman" w:hAnsi="Times New Roman" w:eastAsia="宋体"/>
          <w:highlight w:val="none"/>
          <w:lang w:val="en-US" w:eastAsia="zh-CN"/>
        </w:rPr>
        <w:t>九</w:t>
      </w:r>
      <w:r>
        <w:rPr>
          <w:rFonts w:hint="eastAsia" w:ascii="Times New Roman" w:hAnsi="Times New Roman"/>
          <w:highlight w:val="none"/>
          <w:lang w:val="en-US" w:eastAsia="zh-CN"/>
        </w:rPr>
        <w:t>、竞赛平台功能截图</w:t>
      </w:r>
      <w:r>
        <w:rPr>
          <w:rFonts w:hint="eastAsia" w:ascii="Times New Roman" w:hAnsi="Times New Roman" w:eastAsia="宋体"/>
          <w:highlight w:val="none"/>
        </w:rPr>
        <w:t>（如有）</w:t>
      </w:r>
    </w:p>
    <w:p w14:paraId="7BB91D73">
      <w:pPr>
        <w:outlineLvl w:val="0"/>
        <w:rPr>
          <w:rFonts w:hint="eastAsia" w:ascii="Times New Roman" w:hAnsi="Times New Roman"/>
          <w:highlight w:val="none"/>
        </w:rPr>
      </w:pPr>
      <w:r>
        <w:rPr>
          <w:rFonts w:hint="eastAsia" w:ascii="Times New Roman" w:hAnsi="Times New Roman"/>
          <w:highlight w:val="none"/>
          <w:lang w:val="en-US" w:eastAsia="zh-CN"/>
        </w:rPr>
        <w:t>十</w:t>
      </w:r>
      <w:r>
        <w:rPr>
          <w:rFonts w:hint="eastAsia" w:ascii="Times New Roman" w:hAnsi="Times New Roman"/>
          <w:highlight w:val="none"/>
        </w:rPr>
        <w:t>、服务水平协议（SLA）</w:t>
      </w:r>
    </w:p>
    <w:p w14:paraId="73947549">
      <w:pPr>
        <w:outlineLvl w:val="0"/>
        <w:rPr>
          <w:rFonts w:hint="eastAsia" w:ascii="Times New Roman" w:hAnsi="Times New Roman"/>
          <w:highlight w:val="none"/>
        </w:rPr>
      </w:pPr>
      <w:r>
        <w:rPr>
          <w:rFonts w:hint="eastAsia" w:ascii="Times New Roman" w:hAnsi="Times New Roman"/>
          <w:highlight w:val="none"/>
        </w:rPr>
        <w:t>十</w:t>
      </w:r>
      <w:r>
        <w:rPr>
          <w:rFonts w:hint="eastAsia" w:ascii="Times New Roman" w:hAnsi="Times New Roman" w:eastAsia="宋体"/>
          <w:highlight w:val="none"/>
          <w:lang w:eastAsia="zh-CN"/>
        </w:rPr>
        <w:t>一</w:t>
      </w:r>
      <w:r>
        <w:rPr>
          <w:rFonts w:hint="eastAsia" w:ascii="Times New Roman" w:hAnsi="Times New Roman"/>
          <w:highlight w:val="none"/>
        </w:rPr>
        <w:t>、其他（如有）</w:t>
      </w:r>
    </w:p>
    <w:p w14:paraId="3182D2B4">
      <w:pPr>
        <w:spacing w:line="240" w:lineRule="auto"/>
        <w:rPr>
          <w:rFonts w:hint="eastAsia" w:ascii="Times New Roman" w:hAnsi="Times New Roman" w:cs="Cambria Math"/>
          <w:highlight w:val="none"/>
        </w:rPr>
      </w:pPr>
    </w:p>
    <w:p w14:paraId="03516D54">
      <w:pPr>
        <w:spacing w:line="360" w:lineRule="auto"/>
        <w:rPr>
          <w:rFonts w:ascii="Times New Roman" w:hAnsi="Times New Roman" w:cs="宋体"/>
          <w:highlight w:val="none"/>
        </w:rPr>
      </w:pPr>
    </w:p>
    <w:p w14:paraId="78C55477">
      <w:pPr>
        <w:spacing w:line="360" w:lineRule="auto"/>
        <w:ind w:firstLine="0" w:firstLineChars="0"/>
        <w:jc w:val="center"/>
        <w:outlineLvl w:val="0"/>
        <w:rPr>
          <w:rStyle w:val="26"/>
          <w:rFonts w:ascii="Times New Roman" w:hAnsi="Times New Roman"/>
          <w:highlight w:val="none"/>
        </w:rPr>
      </w:pPr>
      <w:r>
        <w:rPr>
          <w:rFonts w:hint="eastAsia" w:ascii="Times New Roman" w:hAnsi="Times New Roman" w:cs="宋体"/>
          <w:highlight w:val="none"/>
        </w:rPr>
        <w:br w:type="page"/>
      </w:r>
      <w:bookmarkStart w:id="283" w:name="_Toc804862242"/>
      <w:r>
        <w:rPr>
          <w:rStyle w:val="26"/>
          <w:rFonts w:hint="eastAsia" w:ascii="Times New Roman" w:hAnsi="Times New Roman"/>
          <w:highlight w:val="none"/>
        </w:rPr>
        <w:t>一、参选函</w:t>
      </w:r>
      <w:bookmarkEnd w:id="283"/>
    </w:p>
    <w:p w14:paraId="676E163A">
      <w:pPr>
        <w:tabs>
          <w:tab w:val="left" w:pos="6300"/>
        </w:tabs>
        <w:snapToGrid w:val="0"/>
        <w:spacing w:line="360" w:lineRule="auto"/>
        <w:ind w:right="-34" w:rightChars="-14"/>
        <w:rPr>
          <w:rFonts w:ascii="Times New Roman" w:hAnsi="Times New Roman"/>
          <w:snapToGrid w:val="0"/>
          <w:kern w:val="0"/>
          <w:szCs w:val="24"/>
          <w:highlight w:val="none"/>
          <w:u w:val="single"/>
        </w:rPr>
      </w:pPr>
    </w:p>
    <w:p w14:paraId="0775B1D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14706BCF">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4A182A85">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w:t>
      </w:r>
      <w:r>
        <w:rPr>
          <w:rFonts w:hint="eastAsia" w:ascii="Times New Roman" w:hAnsi="Times New Roman"/>
          <w:snapToGrid w:val="0"/>
          <w:kern w:val="0"/>
          <w:szCs w:val="24"/>
          <w:highlight w:val="none"/>
          <w:u w:val="single"/>
        </w:rPr>
        <w:t>。</w:t>
      </w:r>
    </w:p>
    <w:p w14:paraId="0A70860E">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2B2CDF6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2B17DB75">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563D6301">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081F1E29">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35FA7D8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7、若我方中选，我方开具税率为______%的增值税专用发票。</w:t>
      </w:r>
    </w:p>
    <w:p w14:paraId="6448693F">
      <w:pPr>
        <w:tabs>
          <w:tab w:val="left" w:pos="6300"/>
        </w:tabs>
        <w:snapToGrid w:val="0"/>
        <w:spacing w:line="360" w:lineRule="auto"/>
        <w:ind w:right="-34" w:rightChars="-14"/>
        <w:rPr>
          <w:rFonts w:ascii="Times New Roman" w:hAnsi="Times New Roman"/>
          <w:snapToGrid w:val="0"/>
          <w:kern w:val="0"/>
          <w:szCs w:val="24"/>
          <w:highlight w:val="none"/>
        </w:rPr>
      </w:pPr>
    </w:p>
    <w:p w14:paraId="650F58E1">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2C70742A">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0D15F9D6">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50B342BE">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5731CFE5">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2C971895">
      <w:pPr>
        <w:tabs>
          <w:tab w:val="left" w:pos="6300"/>
        </w:tabs>
        <w:snapToGrid w:val="0"/>
        <w:spacing w:line="360" w:lineRule="auto"/>
        <w:ind w:right="-34" w:rightChars="-14" w:firstLine="5400" w:firstLineChars="2250"/>
        <w:rPr>
          <w:rFonts w:hint="eastAsia"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16B5DAE0">
      <w:pPr>
        <w:rPr>
          <w:highlight w:val="none"/>
        </w:rPr>
      </w:pPr>
      <w:r>
        <w:rPr>
          <w:highlight w:val="none"/>
        </w:rPr>
        <w:br w:type="page"/>
      </w:r>
    </w:p>
    <w:p w14:paraId="05631E12">
      <w:pPr>
        <w:pStyle w:val="27"/>
        <w:snapToGrid w:val="0"/>
        <w:spacing w:line="360" w:lineRule="auto"/>
        <w:jc w:val="center"/>
        <w:outlineLvl w:val="0"/>
        <w:rPr>
          <w:highlight w:val="none"/>
        </w:rPr>
      </w:pPr>
      <w:bookmarkStart w:id="284" w:name="_Toc3375"/>
      <w:bookmarkStart w:id="285" w:name="_Toc21782960"/>
      <w:bookmarkStart w:id="286" w:name="_Toc21257"/>
      <w:bookmarkStart w:id="287" w:name="_Toc23458"/>
      <w:r>
        <w:rPr>
          <w:rFonts w:hint="eastAsia"/>
          <w:highlight w:val="none"/>
        </w:rPr>
        <w:t>二、报价一览表</w:t>
      </w:r>
      <w:bookmarkEnd w:id="284"/>
      <w:bookmarkEnd w:id="285"/>
      <w:bookmarkEnd w:id="286"/>
      <w:bookmarkEnd w:id="287"/>
    </w:p>
    <w:p w14:paraId="5F2FE30B">
      <w:pPr>
        <w:spacing w:line="360" w:lineRule="auto"/>
        <w:ind w:right="-34" w:rightChars="-14"/>
        <w:rPr>
          <w:rFonts w:ascii="Times New Roman" w:hAnsi="Times New Roman"/>
          <w:color w:val="auto"/>
          <w:szCs w:val="28"/>
          <w:highlight w:val="none"/>
        </w:rPr>
      </w:pPr>
      <w:bookmarkStart w:id="288" w:name="_Hlk59456849"/>
    </w:p>
    <w:tbl>
      <w:tblPr>
        <w:tblStyle w:val="20"/>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14:paraId="70B0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71EA03F8">
            <w:pPr>
              <w:autoSpaceDE/>
              <w:autoSpaceDN/>
              <w:spacing w:line="360" w:lineRule="auto"/>
              <w:ind w:firstLine="0" w:firstLineChars="0"/>
              <w:jc w:val="center"/>
              <w:rPr>
                <w:rFonts w:ascii="宋体"/>
                <w:snapToGrid w:val="0"/>
                <w:color w:val="auto"/>
                <w:kern w:val="0"/>
                <w:szCs w:val="24"/>
                <w:highlight w:val="none"/>
              </w:rPr>
            </w:pP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0AF49DA2">
            <w:pPr>
              <w:autoSpaceDE/>
              <w:autoSpaceDN/>
              <w:spacing w:line="360" w:lineRule="auto"/>
              <w:ind w:firstLine="0" w:firstLineChars="0"/>
              <w:jc w:val="center"/>
              <w:rPr>
                <w:rFonts w:ascii="宋体"/>
                <w:color w:val="auto"/>
                <w:szCs w:val="24"/>
                <w:highlight w:val="none"/>
              </w:rPr>
            </w:pPr>
          </w:p>
        </w:tc>
      </w:tr>
      <w:tr w14:paraId="15AD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73282533">
            <w:pPr>
              <w:autoSpaceDE/>
              <w:autoSpaceDN/>
              <w:spacing w:line="360" w:lineRule="auto"/>
              <w:ind w:firstLine="0" w:firstLineChars="0"/>
              <w:jc w:val="center"/>
              <w:rPr>
                <w:rFonts w:ascii="宋体"/>
                <w:snapToGrid w:val="0"/>
                <w:color w:val="auto"/>
                <w:kern w:val="0"/>
                <w:szCs w:val="24"/>
                <w:highlight w:val="none"/>
              </w:rPr>
            </w:pPr>
            <w:r>
              <w:rPr>
                <w:rFonts w:hint="eastAsia" w:ascii="宋体"/>
                <w:snapToGrid w:val="0"/>
                <w:color w:val="auto"/>
                <w:kern w:val="0"/>
                <w:szCs w:val="24"/>
                <w:highlight w:val="none"/>
              </w:rP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26C64B90">
            <w:pPr>
              <w:autoSpaceDE/>
              <w:autoSpaceDN/>
              <w:spacing w:line="360" w:lineRule="auto"/>
              <w:ind w:firstLine="0" w:firstLineChars="0"/>
              <w:jc w:val="center"/>
              <w:rPr>
                <w:rFonts w:ascii="宋体" w:cs="Cambria"/>
                <w:color w:val="auto"/>
                <w:sz w:val="21"/>
                <w:szCs w:val="21"/>
                <w:highlight w:val="none"/>
              </w:rPr>
            </w:pPr>
          </w:p>
        </w:tc>
      </w:tr>
      <w:tr w14:paraId="439C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09052F09">
            <w:pPr>
              <w:autoSpaceDE/>
              <w:autoSpaceDN/>
              <w:spacing w:line="360" w:lineRule="auto"/>
              <w:ind w:firstLine="0" w:firstLineChars="0"/>
              <w:jc w:val="center"/>
              <w:rPr>
                <w:rFonts w:ascii="宋体"/>
                <w:snapToGrid w:val="0"/>
                <w:color w:val="auto"/>
                <w:kern w:val="0"/>
                <w:szCs w:val="24"/>
                <w:highlight w:val="none"/>
              </w:rPr>
            </w:pPr>
            <w:r>
              <w:rPr>
                <w:rFonts w:hint="eastAsia" w:ascii="宋体"/>
                <w:snapToGrid w:val="0"/>
                <w:color w:val="auto"/>
                <w:szCs w:val="24"/>
                <w:highlight w:val="none"/>
              </w:rPr>
              <w:t>参选</w:t>
            </w:r>
            <w:r>
              <w:rPr>
                <w:rFonts w:hint="eastAsia" w:ascii="宋体"/>
                <w:color w:val="auto"/>
                <w:szCs w:val="24"/>
                <w:highlight w:val="none"/>
                <w:lang w:val="en-US" w:eastAsia="zh-CN"/>
              </w:rPr>
              <w:t>报价</w:t>
            </w:r>
            <w:r>
              <w:rPr>
                <w:rFonts w:hint="eastAsia" w:ascii="宋体"/>
                <w:color w:val="auto"/>
                <w:szCs w:val="24"/>
                <w:highlight w:val="none"/>
              </w:rPr>
              <w:t>（含税）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0BF5DD33">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元</w:t>
            </w:r>
            <w:r>
              <w:rPr>
                <w:rFonts w:hint="eastAsia" w:ascii="Times New Roman" w:hAnsi="Times New Roman"/>
                <w:snapToGrid w:val="0"/>
                <w:color w:val="auto"/>
                <w:kern w:val="0"/>
                <w:szCs w:val="24"/>
                <w:highlight w:val="none"/>
                <w:lang w:val="en-US" w:eastAsia="zh-CN"/>
              </w:rPr>
              <w:t xml:space="preserve"> </w:t>
            </w:r>
            <w:r>
              <w:rPr>
                <w:rFonts w:ascii="Times New Roman" w:hAnsi="Times New Roman"/>
                <w:snapToGrid w:val="0"/>
                <w:color w:val="auto"/>
                <w:kern w:val="0"/>
                <w:szCs w:val="24"/>
                <w:highlight w:val="none"/>
              </w:rPr>
              <w:t>人民币</w:t>
            </w:r>
          </w:p>
          <w:p w14:paraId="1548D459">
            <w:pPr>
              <w:autoSpaceDE/>
              <w:autoSpaceDN/>
              <w:spacing w:line="360" w:lineRule="auto"/>
              <w:rPr>
                <w:rFonts w:ascii="宋体"/>
                <w:color w:val="auto"/>
                <w:szCs w:val="24"/>
                <w:highlight w:val="none"/>
              </w:rPr>
            </w:pPr>
            <w:r>
              <w:rPr>
                <w:rFonts w:hint="eastAsia" w:ascii="Times New Roman" w:hAnsi="Times New Roman"/>
                <w:snapToGrid w:val="0"/>
                <w:color w:val="auto"/>
                <w:kern w:val="0"/>
                <w:szCs w:val="24"/>
                <w:highlight w:val="none"/>
              </w:rPr>
              <w:t>大写：            元</w:t>
            </w:r>
            <w:r>
              <w:rPr>
                <w:rFonts w:hint="eastAsia" w:ascii="Times New Roman" w:hAnsi="Times New Roman"/>
                <w:snapToGrid w:val="0"/>
                <w:color w:val="auto"/>
                <w:kern w:val="0"/>
                <w:szCs w:val="24"/>
                <w:highlight w:val="none"/>
                <w:lang w:val="en-US" w:eastAsia="zh-CN"/>
              </w:rPr>
              <w:t xml:space="preserve"> </w:t>
            </w:r>
            <w:r>
              <w:rPr>
                <w:rFonts w:hint="eastAsia" w:ascii="Times New Roman" w:hAnsi="Times New Roman"/>
                <w:snapToGrid w:val="0"/>
                <w:color w:val="auto"/>
                <w:kern w:val="0"/>
                <w:szCs w:val="24"/>
                <w:highlight w:val="none"/>
              </w:rPr>
              <w:t>人民币</w:t>
            </w:r>
          </w:p>
        </w:tc>
      </w:tr>
      <w:tr w14:paraId="36EF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111727CB">
            <w:pPr>
              <w:autoSpaceDE/>
              <w:autoSpaceDN/>
              <w:spacing w:line="360" w:lineRule="auto"/>
              <w:ind w:firstLine="0" w:firstLineChars="0"/>
              <w:jc w:val="center"/>
              <w:rPr>
                <w:rFonts w:ascii="宋体"/>
                <w:snapToGrid w:val="0"/>
                <w:color w:val="auto"/>
                <w:kern w:val="0"/>
                <w:szCs w:val="24"/>
                <w:highlight w:val="none"/>
              </w:rPr>
            </w:pPr>
            <w:r>
              <w:rPr>
                <w:rFonts w:hint="eastAsia" w:ascii="宋体"/>
                <w:snapToGrid w:val="0"/>
                <w:color w:val="auto"/>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3B951A10">
            <w:pPr>
              <w:autoSpaceDE/>
              <w:autoSpaceDN/>
              <w:spacing w:line="360" w:lineRule="auto"/>
              <w:ind w:firstLine="0" w:firstLineChars="0"/>
              <w:jc w:val="center"/>
              <w:rPr>
                <w:rFonts w:ascii="宋体"/>
                <w:color w:val="auto"/>
                <w:szCs w:val="24"/>
                <w:highlight w:val="none"/>
              </w:rPr>
            </w:pPr>
            <w:r>
              <w:rPr>
                <w:rFonts w:hint="eastAsia" w:ascii="宋体"/>
                <w:color w:val="auto"/>
                <w:szCs w:val="24"/>
                <w:highlight w:val="none"/>
              </w:rPr>
              <w:t>税率为</w:t>
            </w:r>
            <w:r>
              <w:rPr>
                <w:rFonts w:hint="eastAsia" w:ascii="宋体"/>
                <w:color w:val="auto"/>
                <w:szCs w:val="24"/>
                <w:highlight w:val="none"/>
                <w:u w:val="single"/>
                <w:lang w:val="en-US" w:eastAsia="zh-CN"/>
              </w:rPr>
              <w:t xml:space="preserve"> 6 </w:t>
            </w:r>
            <w:r>
              <w:rPr>
                <w:rFonts w:hint="eastAsia" w:ascii="宋体"/>
                <w:color w:val="auto"/>
                <w:szCs w:val="24"/>
                <w:highlight w:val="none"/>
              </w:rPr>
              <w:t>%的增值税专用发票</w:t>
            </w:r>
          </w:p>
        </w:tc>
      </w:tr>
      <w:tr w14:paraId="4C7E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noWrap/>
          </w:tcPr>
          <w:p w14:paraId="5E8A11A0">
            <w:pPr>
              <w:autoSpaceDE/>
              <w:autoSpaceDN/>
              <w:spacing w:line="360" w:lineRule="auto"/>
              <w:ind w:firstLine="0" w:firstLineChars="0"/>
              <w:rPr>
                <w:rFonts w:ascii="宋体" w:cs="Times New Roman"/>
                <w:snapToGrid w:val="0"/>
                <w:color w:val="auto"/>
                <w:kern w:val="0"/>
                <w:szCs w:val="24"/>
                <w:highlight w:val="none"/>
              </w:rPr>
            </w:pPr>
          </w:p>
          <w:p w14:paraId="048D371E">
            <w:pPr>
              <w:autoSpaceDE/>
              <w:autoSpaceDN/>
              <w:spacing w:line="360" w:lineRule="auto"/>
              <w:ind w:firstLine="0" w:firstLineChars="0"/>
              <w:rPr>
                <w:rFonts w:ascii="宋体" w:cs="Times New Roman"/>
                <w:snapToGrid w:val="0"/>
                <w:color w:val="auto"/>
                <w:kern w:val="0"/>
                <w:szCs w:val="24"/>
                <w:highlight w:val="none"/>
              </w:rPr>
            </w:pPr>
            <w:r>
              <w:rPr>
                <w:rFonts w:hint="eastAsia" w:ascii="宋体" w:cs="Times New Roman"/>
                <w:snapToGrid w:val="0"/>
                <w:color w:val="auto"/>
                <w:kern w:val="0"/>
                <w:szCs w:val="24"/>
                <w:highlight w:val="none"/>
              </w:rPr>
              <w:t>备注：</w:t>
            </w:r>
          </w:p>
        </w:tc>
      </w:tr>
    </w:tbl>
    <w:p w14:paraId="67BA8997">
      <w:pPr>
        <w:spacing w:line="360" w:lineRule="auto"/>
        <w:ind w:right="-34" w:rightChars="-14"/>
        <w:rPr>
          <w:rFonts w:ascii="Times New Roman" w:hAnsi="Times New Roman"/>
          <w:color w:val="auto"/>
          <w:szCs w:val="28"/>
          <w:highlight w:val="none"/>
        </w:rPr>
      </w:pPr>
    </w:p>
    <w:p w14:paraId="52DC6AB6">
      <w:pPr>
        <w:spacing w:line="360" w:lineRule="auto"/>
        <w:ind w:right="-34" w:rightChars="-14"/>
        <w:rPr>
          <w:rFonts w:ascii="Times New Roman" w:hAnsi="Times New Roman"/>
          <w:color w:val="auto"/>
          <w:szCs w:val="28"/>
          <w:highlight w:val="none"/>
        </w:rPr>
      </w:pPr>
    </w:p>
    <w:p w14:paraId="41EEE74D">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288"/>
    <w:p w14:paraId="267BCC32">
      <w:pPr>
        <w:spacing w:line="360" w:lineRule="auto"/>
        <w:ind w:right="-34" w:rightChars="-14"/>
        <w:rPr>
          <w:rFonts w:ascii="Times New Roman" w:hAnsi="Times New Roman"/>
          <w:color w:val="auto"/>
          <w:szCs w:val="28"/>
          <w:highlight w:val="none"/>
        </w:rPr>
      </w:pPr>
    </w:p>
    <w:p w14:paraId="5F864D61">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3DC78951">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w:t>
      </w:r>
      <w:r>
        <w:rPr>
          <w:rFonts w:hint="eastAsia" w:ascii="Times New Roman" w:hAnsi="Times New Roman"/>
          <w:snapToGrid w:val="0"/>
          <w:color w:val="auto"/>
          <w:kern w:val="0"/>
          <w:szCs w:val="24"/>
          <w:highlight w:val="none"/>
          <w:lang w:val="en-US" w:eastAsia="zh-CN"/>
        </w:rPr>
        <w:t>签字或盖章</w:t>
      </w:r>
      <w:r>
        <w:rPr>
          <w:rFonts w:hint="eastAsia" w:ascii="Times New Roman" w:hAnsi="Times New Roman"/>
          <w:snapToGrid w:val="0"/>
          <w:color w:val="auto"/>
          <w:kern w:val="0"/>
          <w:szCs w:val="24"/>
          <w:highlight w:val="none"/>
        </w:rPr>
        <w:t>）</w:t>
      </w:r>
    </w:p>
    <w:p w14:paraId="01B52195">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52BAD7B7">
      <w:pPr>
        <w:snapToGrid w:val="0"/>
        <w:spacing w:line="360" w:lineRule="auto"/>
        <w:rPr>
          <w:rFonts w:ascii="Times New Roman" w:hAnsi="Times New Roman"/>
          <w:snapToGrid w:val="0"/>
          <w:color w:val="auto"/>
          <w:kern w:val="0"/>
          <w:szCs w:val="24"/>
          <w:highlight w:val="none"/>
        </w:rPr>
      </w:pPr>
    </w:p>
    <w:p w14:paraId="45EBF1D9">
      <w:pPr>
        <w:snapToGrid w:val="0"/>
        <w:spacing w:line="360" w:lineRule="auto"/>
        <w:rPr>
          <w:rFonts w:ascii="Times New Roman" w:hAnsi="Times New Roman"/>
          <w:snapToGrid w:val="0"/>
          <w:color w:val="auto"/>
          <w:kern w:val="0"/>
          <w:szCs w:val="24"/>
          <w:highlight w:val="none"/>
        </w:rPr>
      </w:pPr>
    </w:p>
    <w:p w14:paraId="77DB221D">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0B7329D0">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5BE53970">
      <w:pPr>
        <w:tabs>
          <w:tab w:val="left" w:pos="6300"/>
        </w:tabs>
        <w:snapToGrid w:val="0"/>
        <w:spacing w:line="360" w:lineRule="auto"/>
        <w:ind w:right="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14:paraId="0FF6D05C">
      <w:pPr>
        <w:rPr>
          <w:highlight w:val="none"/>
        </w:rPr>
      </w:pPr>
    </w:p>
    <w:p w14:paraId="38CB615D">
      <w:pPr>
        <w:widowControl/>
        <w:spacing w:line="360" w:lineRule="auto"/>
        <w:jc w:val="left"/>
        <w:rPr>
          <w:rFonts w:ascii="Times New Roman" w:hAnsi="Times New Roman"/>
          <w:snapToGrid w:val="0"/>
          <w:kern w:val="0"/>
          <w:szCs w:val="24"/>
          <w:highlight w:val="none"/>
        </w:rPr>
      </w:pPr>
    </w:p>
    <w:p w14:paraId="6031E496">
      <w:pPr>
        <w:tabs>
          <w:tab w:val="left" w:pos="6300"/>
        </w:tabs>
        <w:snapToGrid w:val="0"/>
        <w:spacing w:line="360" w:lineRule="auto"/>
        <w:rPr>
          <w:rFonts w:ascii="Times New Roman" w:hAnsi="Times New Roman"/>
          <w:snapToGrid w:val="0"/>
          <w:kern w:val="0"/>
          <w:szCs w:val="24"/>
          <w:highlight w:val="none"/>
        </w:rPr>
      </w:pPr>
    </w:p>
    <w:p w14:paraId="01AB6FD5">
      <w:pPr>
        <w:pStyle w:val="27"/>
        <w:outlineLvl w:val="0"/>
        <w:rPr>
          <w:rFonts w:ascii="Times New Roman" w:hAnsi="Times New Roman"/>
          <w:highlight w:val="none"/>
        </w:rPr>
      </w:pPr>
      <w:bookmarkStart w:id="289" w:name="_Toc1150013123"/>
      <w:r>
        <w:rPr>
          <w:rFonts w:hint="eastAsia" w:ascii="Times New Roman" w:hAnsi="Times New Roman"/>
          <w:highlight w:val="none"/>
          <w:lang w:val="en-US" w:eastAsia="zh-CN"/>
        </w:rPr>
        <w:t>三</w:t>
      </w:r>
      <w:r>
        <w:rPr>
          <w:rFonts w:ascii="Times New Roman" w:hAnsi="Times New Roman"/>
          <w:highlight w:val="none"/>
        </w:rPr>
        <w:t>、分项报价明细表</w:t>
      </w:r>
      <w:bookmarkEnd w:id="289"/>
    </w:p>
    <w:tbl>
      <w:tblPr>
        <w:tblStyle w:val="20"/>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42"/>
        <w:gridCol w:w="4014"/>
        <w:gridCol w:w="2091"/>
      </w:tblGrid>
      <w:tr w14:paraId="6C1B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1C7D9773">
            <w:pPr>
              <w:spacing w:line="360" w:lineRule="exact"/>
              <w:ind w:left="0" w:firstLine="0" w:firstLineChars="0"/>
              <w:jc w:val="center"/>
              <w:rPr>
                <w:rFonts w:hint="eastAsia" w:ascii="宋体"/>
                <w:b/>
                <w:szCs w:val="21"/>
                <w:highlight w:val="none"/>
              </w:rPr>
            </w:pPr>
            <w:r>
              <w:rPr>
                <w:rFonts w:hint="eastAsia" w:ascii="宋体"/>
                <w:b/>
                <w:szCs w:val="21"/>
                <w:highlight w:val="none"/>
              </w:rPr>
              <w:t>序号</w:t>
            </w:r>
          </w:p>
        </w:tc>
        <w:tc>
          <w:tcPr>
            <w:tcW w:w="1742" w:type="dxa"/>
            <w:tcBorders>
              <w:top w:val="single" w:color="auto" w:sz="4" w:space="0"/>
              <w:left w:val="single" w:color="auto" w:sz="4" w:space="0"/>
              <w:bottom w:val="single" w:color="auto" w:sz="4" w:space="0"/>
              <w:right w:val="single" w:color="auto" w:sz="4" w:space="0"/>
            </w:tcBorders>
            <w:noWrap/>
            <w:vAlign w:val="center"/>
          </w:tcPr>
          <w:p w14:paraId="074D6FC2">
            <w:pPr>
              <w:spacing w:line="360" w:lineRule="exact"/>
              <w:ind w:firstLine="0" w:firstLineChars="0"/>
              <w:jc w:val="center"/>
              <w:rPr>
                <w:rFonts w:ascii="宋体" w:eastAsia="宋体" w:cs="宋体"/>
                <w:b/>
                <w:szCs w:val="21"/>
                <w:highlight w:val="none"/>
                <w:lang w:val="en-US" w:eastAsia="zh-CN"/>
              </w:rPr>
            </w:pPr>
            <w:r>
              <w:rPr>
                <w:rFonts w:hint="eastAsia" w:ascii="宋体" w:cs="宋体"/>
                <w:b/>
                <w:szCs w:val="21"/>
                <w:highlight w:val="none"/>
                <w:lang w:val="en-US" w:eastAsia="zh-CN"/>
              </w:rPr>
              <w:t>比选项目名称</w:t>
            </w:r>
          </w:p>
        </w:tc>
        <w:tc>
          <w:tcPr>
            <w:tcW w:w="4014" w:type="dxa"/>
            <w:tcBorders>
              <w:top w:val="single" w:color="auto" w:sz="4" w:space="0"/>
              <w:left w:val="single" w:color="auto" w:sz="4" w:space="0"/>
              <w:bottom w:val="single" w:color="auto" w:sz="4" w:space="0"/>
              <w:right w:val="single" w:color="auto" w:sz="4" w:space="0"/>
            </w:tcBorders>
            <w:noWrap/>
            <w:vAlign w:val="center"/>
          </w:tcPr>
          <w:p w14:paraId="4C49D743">
            <w:pPr>
              <w:spacing w:line="360" w:lineRule="exact"/>
              <w:ind w:left="0" w:firstLine="0" w:firstLineChars="0"/>
              <w:jc w:val="center"/>
              <w:rPr>
                <w:rFonts w:ascii="宋体" w:eastAsia="宋体"/>
                <w:b/>
                <w:szCs w:val="21"/>
                <w:highlight w:val="none"/>
                <w:lang w:val="en-US" w:eastAsia="zh-CN"/>
              </w:rPr>
            </w:pPr>
            <w:r>
              <w:rPr>
                <w:rFonts w:hint="eastAsia" w:ascii="宋体" w:cs="宋体"/>
                <w:b/>
                <w:szCs w:val="21"/>
                <w:highlight w:val="none"/>
                <w:lang w:val="en-US" w:eastAsia="zh-CN"/>
              </w:rPr>
              <w:t>服务内容</w:t>
            </w:r>
          </w:p>
        </w:tc>
        <w:tc>
          <w:tcPr>
            <w:tcW w:w="2091" w:type="dxa"/>
            <w:tcBorders>
              <w:top w:val="single" w:color="auto" w:sz="4" w:space="0"/>
              <w:left w:val="single" w:color="auto" w:sz="4" w:space="0"/>
              <w:bottom w:val="single" w:color="auto" w:sz="4" w:space="0"/>
              <w:right w:val="single" w:color="auto" w:sz="4" w:space="0"/>
            </w:tcBorders>
            <w:noWrap/>
            <w:vAlign w:val="center"/>
          </w:tcPr>
          <w:p w14:paraId="267F2CB8">
            <w:pPr>
              <w:spacing w:line="360" w:lineRule="exact"/>
              <w:ind w:left="0" w:firstLine="0" w:firstLineChars="0"/>
              <w:jc w:val="center"/>
              <w:rPr>
                <w:rFonts w:hint="eastAsia" w:ascii="宋体"/>
                <w:b/>
                <w:szCs w:val="21"/>
                <w:highlight w:val="none"/>
                <w:lang w:val="en-US" w:eastAsia="zh-CN"/>
              </w:rPr>
            </w:pPr>
            <w:r>
              <w:rPr>
                <w:rFonts w:hint="eastAsia" w:ascii="宋体"/>
                <w:b/>
                <w:szCs w:val="21"/>
                <w:highlight w:val="none"/>
                <w:lang w:val="en-US" w:eastAsia="zh-CN"/>
              </w:rPr>
              <w:t>参选报价（含税）</w:t>
            </w:r>
          </w:p>
          <w:p w14:paraId="732DE3DB">
            <w:pPr>
              <w:spacing w:line="360" w:lineRule="exact"/>
              <w:ind w:left="0" w:firstLine="0" w:firstLineChars="0"/>
              <w:jc w:val="center"/>
              <w:rPr>
                <w:rFonts w:ascii="宋体"/>
                <w:b/>
                <w:szCs w:val="21"/>
                <w:highlight w:val="none"/>
                <w:lang w:val="en-US" w:eastAsia="zh-CN"/>
              </w:rPr>
            </w:pPr>
            <w:r>
              <w:rPr>
                <w:rFonts w:hint="eastAsia" w:ascii="宋体"/>
                <w:b/>
                <w:szCs w:val="21"/>
                <w:highlight w:val="none"/>
                <w:lang w:val="en-US" w:eastAsia="zh-CN"/>
              </w:rPr>
              <w:t>单位（万元）</w:t>
            </w:r>
          </w:p>
        </w:tc>
      </w:tr>
      <w:tr w14:paraId="03CD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687AF6D2">
            <w:pPr>
              <w:spacing w:line="360" w:lineRule="exact"/>
              <w:jc w:val="center"/>
              <w:rPr>
                <w:rFonts w:hint="eastAsia" w:ascii="宋体"/>
                <w:sz w:val="21"/>
                <w:szCs w:val="21"/>
                <w:highlight w:val="none"/>
              </w:rPr>
            </w:pPr>
            <w:r>
              <w:rPr>
                <w:rFonts w:hint="eastAsia"/>
                <w:sz w:val="21"/>
                <w:szCs w:val="21"/>
                <w:highlight w:val="none"/>
                <w:lang w:val="en-US" w:eastAsia="zh-CN"/>
              </w:rPr>
              <w:t>1</w:t>
            </w:r>
          </w:p>
        </w:tc>
        <w:tc>
          <w:tcPr>
            <w:tcW w:w="1742" w:type="dxa"/>
            <w:vMerge w:val="restart"/>
            <w:tcBorders>
              <w:top w:val="single" w:color="auto" w:sz="4" w:space="0"/>
              <w:left w:val="single" w:color="auto" w:sz="4" w:space="0"/>
              <w:bottom w:val="single" w:color="auto" w:sz="4" w:space="0"/>
              <w:right w:val="single" w:color="auto" w:sz="4" w:space="0"/>
            </w:tcBorders>
            <w:noWrap/>
            <w:vAlign w:val="center"/>
          </w:tcPr>
          <w:p w14:paraId="5600B6A6">
            <w:pPr>
              <w:spacing w:line="360" w:lineRule="exact"/>
              <w:ind w:left="0" w:firstLine="0" w:firstLineChars="0"/>
              <w:jc w:val="center"/>
              <w:rPr>
                <w:rFonts w:hint="eastAsia" w:ascii="宋体" w:cs="宋体"/>
                <w:sz w:val="21"/>
                <w:szCs w:val="21"/>
                <w:highlight w:val="none"/>
              </w:rPr>
            </w:pPr>
            <w:r>
              <w:rPr>
                <w:rFonts w:hint="eastAsia" w:ascii="宋体" w:eastAsia="宋体" w:cs="宋体"/>
                <w:color w:val="auto"/>
                <w:sz w:val="21"/>
                <w:szCs w:val="24"/>
                <w:highlight w:val="none"/>
                <w:lang w:val="en-US" w:eastAsia="zh-CN"/>
              </w:rPr>
              <w:t>重庆三峡银行2024年金融城域网网络安全竞赛及网络安全宣传周支撑服务项目</w:t>
            </w:r>
          </w:p>
        </w:tc>
        <w:tc>
          <w:tcPr>
            <w:tcW w:w="4014" w:type="dxa"/>
            <w:tcBorders>
              <w:top w:val="single" w:color="auto" w:sz="4" w:space="0"/>
              <w:left w:val="single" w:color="auto" w:sz="4" w:space="0"/>
              <w:bottom w:val="single" w:color="auto" w:sz="4" w:space="0"/>
              <w:right w:val="single" w:color="auto" w:sz="4" w:space="0"/>
            </w:tcBorders>
            <w:noWrap/>
            <w:vAlign w:val="center"/>
          </w:tcPr>
          <w:p w14:paraId="3882FDB8">
            <w:pPr>
              <w:keepNext w:val="0"/>
              <w:keepLines w:val="0"/>
              <w:widowControl/>
              <w:suppressLineNumbers w:val="0"/>
              <w:spacing w:line="360" w:lineRule="exact"/>
              <w:ind w:firstLine="0" w:firstLineChars="0"/>
              <w:jc w:val="both"/>
              <w:rPr>
                <w:rFonts w:hint="eastAsia" w:ascii="宋体"/>
                <w:sz w:val="21"/>
                <w:szCs w:val="21"/>
                <w:highlight w:val="none"/>
              </w:rPr>
            </w:pPr>
            <w:r>
              <w:rPr>
                <w:rFonts w:hint="eastAsia" w:ascii="宋体" w:eastAsia="宋体" w:cs="宋体"/>
                <w:color w:val="0B0B0B"/>
                <w:kern w:val="0"/>
                <w:sz w:val="21"/>
                <w:szCs w:val="21"/>
                <w:highlight w:val="none"/>
                <w:lang w:val="en-US" w:eastAsia="zh-CN"/>
              </w:rPr>
              <w:t>网络安全竞赛支撑服务（含培训）</w:t>
            </w:r>
          </w:p>
        </w:tc>
        <w:tc>
          <w:tcPr>
            <w:tcW w:w="2091" w:type="dxa"/>
            <w:tcBorders>
              <w:top w:val="single" w:color="auto" w:sz="4" w:space="0"/>
              <w:left w:val="single" w:color="auto" w:sz="4" w:space="0"/>
              <w:bottom w:val="single" w:color="auto" w:sz="4" w:space="0"/>
              <w:right w:val="single" w:color="auto" w:sz="4" w:space="0"/>
            </w:tcBorders>
            <w:noWrap/>
            <w:vAlign w:val="center"/>
          </w:tcPr>
          <w:p w14:paraId="0BA8E486">
            <w:pPr>
              <w:spacing w:line="360" w:lineRule="exact"/>
              <w:ind w:left="0" w:firstLine="0" w:firstLineChars="0"/>
              <w:jc w:val="center"/>
              <w:rPr>
                <w:rFonts w:ascii="宋体" w:eastAsia="宋体"/>
                <w:sz w:val="21"/>
                <w:szCs w:val="21"/>
                <w:highlight w:val="none"/>
                <w:lang w:val="en-US" w:eastAsia="zh-CN"/>
              </w:rPr>
            </w:pPr>
          </w:p>
        </w:tc>
      </w:tr>
      <w:tr w14:paraId="2F65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330BFCC8">
            <w:pPr>
              <w:spacing w:line="360" w:lineRule="auto"/>
              <w:jc w:val="center"/>
              <w:rPr>
                <w:rFonts w:hint="eastAsia" w:eastAsia="宋体"/>
                <w:sz w:val="21"/>
                <w:szCs w:val="21"/>
                <w:highlight w:val="none"/>
                <w:lang w:val="en-US" w:eastAsia="zh-CN"/>
              </w:rPr>
            </w:pPr>
            <w:r>
              <w:rPr>
                <w:rFonts w:hint="eastAsia" w:eastAsia="宋体"/>
                <w:sz w:val="21"/>
                <w:szCs w:val="21"/>
                <w:highlight w:val="none"/>
                <w:lang w:val="en-US" w:eastAsia="zh-CN"/>
              </w:rPr>
              <w:t>2</w:t>
            </w:r>
          </w:p>
        </w:tc>
        <w:tc>
          <w:tcPr>
            <w:tcW w:w="1742" w:type="dxa"/>
            <w:vMerge w:val="continue"/>
            <w:tcBorders>
              <w:top w:val="single" w:color="auto" w:sz="4" w:space="0"/>
              <w:left w:val="single" w:color="auto" w:sz="4" w:space="0"/>
              <w:bottom w:val="single" w:color="auto" w:sz="4" w:space="0"/>
              <w:right w:val="single" w:color="auto" w:sz="4" w:space="0"/>
            </w:tcBorders>
            <w:noWrap/>
            <w:vAlign w:val="center"/>
          </w:tcPr>
          <w:p w14:paraId="4BA3438D">
            <w:pPr>
              <w:rPr>
                <w:highlight w:val="none"/>
              </w:rPr>
            </w:pPr>
          </w:p>
        </w:tc>
        <w:tc>
          <w:tcPr>
            <w:tcW w:w="4014" w:type="dxa"/>
            <w:tcBorders>
              <w:top w:val="single" w:color="auto" w:sz="4" w:space="0"/>
              <w:left w:val="single" w:color="auto" w:sz="4" w:space="0"/>
              <w:bottom w:val="single" w:color="auto" w:sz="4" w:space="0"/>
              <w:right w:val="single" w:color="auto" w:sz="4" w:space="0"/>
            </w:tcBorders>
            <w:noWrap/>
            <w:vAlign w:val="center"/>
          </w:tcPr>
          <w:p w14:paraId="1DB25701">
            <w:pPr>
              <w:keepNext w:val="0"/>
              <w:keepLines w:val="0"/>
              <w:widowControl/>
              <w:suppressLineNumbers w:val="0"/>
              <w:ind w:firstLine="0" w:firstLineChars="0"/>
              <w:jc w:val="both"/>
              <w:rPr>
                <w:rFonts w:hint="eastAsia" w:ascii="宋体"/>
                <w:sz w:val="21"/>
                <w:szCs w:val="21"/>
                <w:highlight w:val="none"/>
              </w:rPr>
            </w:pPr>
            <w:r>
              <w:rPr>
                <w:rFonts w:hint="eastAsia" w:ascii="宋体" w:eastAsia="宋体" w:cs="宋体"/>
                <w:color w:val="0B0B0B"/>
                <w:kern w:val="0"/>
                <w:sz w:val="21"/>
                <w:szCs w:val="21"/>
                <w:highlight w:val="none"/>
                <w:lang w:val="en-US" w:eastAsia="zh-CN"/>
              </w:rPr>
              <w:t>市委网信办网络安全宣传周活动支撑服务</w:t>
            </w:r>
          </w:p>
        </w:tc>
        <w:tc>
          <w:tcPr>
            <w:tcW w:w="2091" w:type="dxa"/>
            <w:tcBorders>
              <w:top w:val="single" w:color="auto" w:sz="4" w:space="0"/>
              <w:left w:val="single" w:color="auto" w:sz="4" w:space="0"/>
              <w:bottom w:val="single" w:color="auto" w:sz="4" w:space="0"/>
              <w:right w:val="single" w:color="auto" w:sz="4" w:space="0"/>
            </w:tcBorders>
            <w:noWrap/>
            <w:vAlign w:val="center"/>
          </w:tcPr>
          <w:p w14:paraId="24D09A5D">
            <w:pPr>
              <w:spacing w:line="360" w:lineRule="auto"/>
              <w:jc w:val="center"/>
              <w:rPr>
                <w:rFonts w:hint="eastAsia" w:ascii="宋体"/>
                <w:sz w:val="21"/>
                <w:szCs w:val="21"/>
                <w:highlight w:val="none"/>
              </w:rPr>
            </w:pPr>
          </w:p>
        </w:tc>
      </w:tr>
      <w:tr w14:paraId="246C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1608E307">
            <w:pPr>
              <w:spacing w:line="360" w:lineRule="auto"/>
              <w:jc w:val="center"/>
              <w:rPr>
                <w:rFonts w:eastAsia="宋体"/>
                <w:sz w:val="21"/>
                <w:szCs w:val="21"/>
                <w:highlight w:val="none"/>
                <w:lang w:val="en-US" w:eastAsia="zh-CN"/>
              </w:rPr>
            </w:pPr>
            <w:r>
              <w:rPr>
                <w:rFonts w:hint="eastAsia" w:eastAsia="宋体"/>
                <w:sz w:val="21"/>
                <w:szCs w:val="21"/>
                <w:highlight w:val="none"/>
                <w:lang w:val="en-US" w:eastAsia="zh-CN"/>
              </w:rPr>
              <w:t>3</w:t>
            </w:r>
          </w:p>
        </w:tc>
        <w:tc>
          <w:tcPr>
            <w:tcW w:w="1742" w:type="dxa"/>
            <w:vMerge w:val="continue"/>
            <w:tcBorders>
              <w:top w:val="single" w:color="auto" w:sz="4" w:space="0"/>
              <w:left w:val="single" w:color="auto" w:sz="4" w:space="0"/>
              <w:bottom w:val="single" w:color="auto" w:sz="4" w:space="0"/>
              <w:right w:val="single" w:color="auto" w:sz="4" w:space="0"/>
            </w:tcBorders>
            <w:noWrap/>
            <w:vAlign w:val="center"/>
          </w:tcPr>
          <w:p w14:paraId="08CD2DCA">
            <w:pPr>
              <w:rPr>
                <w:highlight w:val="none"/>
              </w:rPr>
            </w:pPr>
          </w:p>
        </w:tc>
        <w:tc>
          <w:tcPr>
            <w:tcW w:w="4014" w:type="dxa"/>
            <w:tcBorders>
              <w:top w:val="single" w:color="auto" w:sz="4" w:space="0"/>
              <w:left w:val="single" w:color="auto" w:sz="4" w:space="0"/>
              <w:bottom w:val="single" w:color="auto" w:sz="4" w:space="0"/>
              <w:right w:val="single" w:color="auto" w:sz="4" w:space="0"/>
            </w:tcBorders>
            <w:noWrap/>
            <w:vAlign w:val="center"/>
          </w:tcPr>
          <w:p w14:paraId="055C9613">
            <w:pPr>
              <w:keepNext w:val="0"/>
              <w:keepLines w:val="0"/>
              <w:widowControl/>
              <w:suppressLineNumbers w:val="0"/>
              <w:ind w:firstLine="0" w:firstLineChars="0"/>
              <w:jc w:val="both"/>
              <w:rPr>
                <w:rFonts w:hint="eastAsia" w:ascii="宋体"/>
                <w:sz w:val="21"/>
                <w:szCs w:val="21"/>
                <w:highlight w:val="none"/>
              </w:rPr>
            </w:pPr>
            <w:r>
              <w:rPr>
                <w:rFonts w:hint="eastAsia" w:ascii="宋体" w:eastAsia="宋体" w:cs="宋体"/>
                <w:color w:val="0B0B0B"/>
                <w:kern w:val="0"/>
                <w:sz w:val="21"/>
                <w:szCs w:val="21"/>
                <w:highlight w:val="none"/>
                <w:lang w:val="en-US" w:eastAsia="zh-CN"/>
              </w:rPr>
              <w:t>网络安全宣传周金融日活动支撑服务</w:t>
            </w:r>
          </w:p>
        </w:tc>
        <w:tc>
          <w:tcPr>
            <w:tcW w:w="2091" w:type="dxa"/>
            <w:tcBorders>
              <w:top w:val="single" w:color="auto" w:sz="4" w:space="0"/>
              <w:left w:val="single" w:color="auto" w:sz="4" w:space="0"/>
              <w:bottom w:val="single" w:color="auto" w:sz="4" w:space="0"/>
              <w:right w:val="single" w:color="auto" w:sz="4" w:space="0"/>
            </w:tcBorders>
            <w:noWrap/>
            <w:vAlign w:val="center"/>
          </w:tcPr>
          <w:p w14:paraId="388B68F7">
            <w:pPr>
              <w:spacing w:line="360" w:lineRule="auto"/>
              <w:jc w:val="center"/>
              <w:rPr>
                <w:rFonts w:hint="eastAsia" w:ascii="宋体" w:cs="宋体"/>
                <w:sz w:val="21"/>
                <w:szCs w:val="21"/>
                <w:highlight w:val="none"/>
              </w:rPr>
            </w:pPr>
          </w:p>
        </w:tc>
      </w:tr>
    </w:tbl>
    <w:p w14:paraId="58CAA171">
      <w:pPr>
        <w:ind w:firstLine="0" w:firstLineChars="0"/>
        <w:jc w:val="both"/>
        <w:rPr>
          <w:rFonts w:ascii="Times New Roman" w:hAnsi="Times New Roman"/>
          <w:highlight w:val="none"/>
        </w:rPr>
      </w:pPr>
    </w:p>
    <w:p w14:paraId="6D0B136A">
      <w:pPr>
        <w:rPr>
          <w:rStyle w:val="25"/>
          <w:rFonts w:ascii="Times New Roman" w:hAnsi="Times New Roman"/>
          <w:b/>
          <w:highlight w:val="none"/>
        </w:rPr>
      </w:pPr>
      <w:r>
        <w:rPr>
          <w:rStyle w:val="25"/>
          <w:rFonts w:hint="eastAsia" w:ascii="Times New Roman" w:hAnsi="Times New Roman"/>
          <w:b/>
          <w:highlight w:val="none"/>
        </w:rPr>
        <w:br w:type="page"/>
      </w:r>
    </w:p>
    <w:p w14:paraId="57C496DE">
      <w:pPr>
        <w:pStyle w:val="27"/>
        <w:outlineLvl w:val="0"/>
        <w:rPr>
          <w:rFonts w:ascii="Times New Roman" w:hAnsi="Times New Roman"/>
          <w:highlight w:val="none"/>
        </w:rPr>
      </w:pPr>
      <w:bookmarkStart w:id="290" w:name="_Toc214159498"/>
      <w:r>
        <w:rPr>
          <w:rFonts w:hint="eastAsia" w:ascii="Times New Roman" w:hAnsi="Times New Roman"/>
          <w:highlight w:val="none"/>
          <w:lang w:val="en-US" w:eastAsia="zh-CN"/>
        </w:rPr>
        <w:t>四</w:t>
      </w:r>
      <w:r>
        <w:rPr>
          <w:rFonts w:ascii="Times New Roman" w:hAnsi="Times New Roman"/>
          <w:highlight w:val="none"/>
        </w:rPr>
        <w:t>、资格性文件</w:t>
      </w:r>
      <w:bookmarkEnd w:id="290"/>
    </w:p>
    <w:p w14:paraId="5BAAFF0C">
      <w:pPr>
        <w:pStyle w:val="28"/>
        <w:outlineLvl w:val="1"/>
        <w:rPr>
          <w:rFonts w:ascii="Times New Roman" w:hAnsi="Times New Roman"/>
          <w:highlight w:val="none"/>
        </w:rPr>
      </w:pPr>
      <w:r>
        <w:rPr>
          <w:rFonts w:ascii="Times New Roman" w:hAnsi="Times New Roman"/>
          <w:highlight w:val="none"/>
        </w:rPr>
        <w:t>（一）参选人基本情况介绍，资质证明等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A1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BABC82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789BCA9E">
            <w:pPr>
              <w:spacing w:line="360" w:lineRule="auto"/>
              <w:ind w:firstLine="0" w:firstLineChars="0"/>
              <w:jc w:val="center"/>
              <w:rPr>
                <w:rFonts w:ascii="Times New Roman" w:hAnsi="Times New Roman"/>
                <w:sz w:val="22"/>
                <w:szCs w:val="24"/>
                <w:highlight w:val="none"/>
              </w:rPr>
            </w:pPr>
          </w:p>
        </w:tc>
      </w:tr>
      <w:tr w14:paraId="13E2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3BD7CF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68B8F2FB">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5C71C9D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021F84B0">
            <w:pPr>
              <w:spacing w:line="360" w:lineRule="auto"/>
              <w:ind w:firstLine="0" w:firstLineChars="0"/>
              <w:jc w:val="center"/>
              <w:rPr>
                <w:rFonts w:ascii="Times New Roman" w:hAnsi="Times New Roman"/>
                <w:sz w:val="22"/>
                <w:szCs w:val="24"/>
                <w:highlight w:val="none"/>
              </w:rPr>
            </w:pPr>
          </w:p>
        </w:tc>
      </w:tr>
      <w:tr w14:paraId="1E68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12219C9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25BF47B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115CED90">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5AE0160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45295A63">
            <w:pPr>
              <w:spacing w:line="360" w:lineRule="auto"/>
              <w:ind w:firstLine="0" w:firstLineChars="0"/>
              <w:jc w:val="center"/>
              <w:rPr>
                <w:rFonts w:ascii="Times New Roman" w:hAnsi="Times New Roman"/>
                <w:sz w:val="22"/>
                <w:szCs w:val="24"/>
                <w:highlight w:val="none"/>
              </w:rPr>
            </w:pPr>
          </w:p>
        </w:tc>
      </w:tr>
      <w:tr w14:paraId="3A99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295E2FA3">
            <w:pPr>
              <w:rPr>
                <w:highlight w:val="none"/>
              </w:rPr>
            </w:pPr>
          </w:p>
        </w:tc>
        <w:tc>
          <w:tcPr>
            <w:tcW w:w="1077" w:type="dxa"/>
            <w:tcBorders>
              <w:top w:val="single" w:color="auto" w:sz="4" w:space="0"/>
              <w:left w:val="single" w:color="auto" w:sz="4" w:space="0"/>
              <w:bottom w:val="single" w:color="auto" w:sz="4" w:space="0"/>
              <w:right w:val="single" w:color="auto" w:sz="4" w:space="0"/>
            </w:tcBorders>
            <w:noWrap/>
            <w:vAlign w:val="center"/>
          </w:tcPr>
          <w:p w14:paraId="08B5312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76C63671">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26D9B32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4800C9BB">
            <w:pPr>
              <w:spacing w:line="360" w:lineRule="auto"/>
              <w:ind w:firstLine="0" w:firstLineChars="0"/>
              <w:jc w:val="center"/>
              <w:rPr>
                <w:rFonts w:ascii="Times New Roman" w:hAnsi="Times New Roman"/>
                <w:sz w:val="22"/>
                <w:szCs w:val="24"/>
                <w:highlight w:val="none"/>
              </w:rPr>
            </w:pPr>
          </w:p>
        </w:tc>
      </w:tr>
      <w:tr w14:paraId="1A5D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A20DC4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4A20F929">
            <w:pPr>
              <w:spacing w:line="360" w:lineRule="auto"/>
              <w:ind w:firstLine="0" w:firstLineChars="0"/>
              <w:jc w:val="center"/>
              <w:rPr>
                <w:rFonts w:ascii="Times New Roman" w:hAnsi="Times New Roman"/>
                <w:sz w:val="22"/>
                <w:szCs w:val="24"/>
                <w:highlight w:val="none"/>
              </w:rPr>
            </w:pPr>
          </w:p>
        </w:tc>
      </w:tr>
      <w:tr w14:paraId="46F8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3C08E0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695F603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14:paraId="71D4FD27">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360C10C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57FBEAB3">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94F4E6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14:paraId="520EAC9D">
            <w:pPr>
              <w:spacing w:line="360" w:lineRule="auto"/>
              <w:ind w:firstLine="0" w:firstLineChars="0"/>
              <w:jc w:val="center"/>
              <w:rPr>
                <w:rFonts w:ascii="Times New Roman" w:hAnsi="Times New Roman"/>
                <w:sz w:val="22"/>
                <w:szCs w:val="24"/>
                <w:highlight w:val="none"/>
              </w:rPr>
            </w:pPr>
          </w:p>
        </w:tc>
      </w:tr>
      <w:tr w14:paraId="2404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476FA6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43909B3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14:paraId="65094564">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56E9826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7BDA1562">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0D9E2A6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14:paraId="13B5CFF0">
            <w:pPr>
              <w:spacing w:line="360" w:lineRule="auto"/>
              <w:ind w:firstLine="0" w:firstLineChars="0"/>
              <w:jc w:val="center"/>
              <w:rPr>
                <w:rFonts w:ascii="Times New Roman" w:hAnsi="Times New Roman"/>
                <w:sz w:val="22"/>
                <w:szCs w:val="24"/>
                <w:highlight w:val="none"/>
              </w:rPr>
            </w:pPr>
          </w:p>
        </w:tc>
      </w:tr>
      <w:tr w14:paraId="5995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054280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33E9BE3A">
            <w:pPr>
              <w:spacing w:line="360" w:lineRule="auto"/>
              <w:ind w:firstLine="0" w:firstLineChars="0"/>
              <w:jc w:val="center"/>
              <w:rPr>
                <w:rFonts w:ascii="Times New Roman" w:hAnsi="Times New Roman"/>
                <w:sz w:val="22"/>
                <w:szCs w:val="24"/>
                <w:highlight w:val="none"/>
              </w:rPr>
            </w:pPr>
          </w:p>
        </w:tc>
        <w:tc>
          <w:tcPr>
            <w:tcW w:w="4234" w:type="dxa"/>
            <w:gridSpan w:val="6"/>
            <w:tcBorders>
              <w:top w:val="single" w:color="auto" w:sz="4" w:space="0"/>
              <w:left w:val="single" w:color="auto" w:sz="4" w:space="0"/>
              <w:bottom w:val="single" w:color="auto" w:sz="4" w:space="0"/>
              <w:right w:val="single" w:color="auto" w:sz="4" w:space="0"/>
            </w:tcBorders>
            <w:noWrap/>
          </w:tcPr>
          <w:p w14:paraId="4D902D9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6E5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BDE369E">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37558E33">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4277F94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54542EA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4E4F16F5">
            <w:pPr>
              <w:spacing w:line="360" w:lineRule="auto"/>
              <w:ind w:firstLine="0" w:firstLineChars="0"/>
              <w:jc w:val="center"/>
              <w:rPr>
                <w:rFonts w:ascii="Times New Roman" w:hAnsi="Times New Roman"/>
                <w:sz w:val="22"/>
                <w:szCs w:val="24"/>
                <w:highlight w:val="none"/>
              </w:rPr>
            </w:pPr>
          </w:p>
        </w:tc>
      </w:tr>
      <w:tr w14:paraId="1FE3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9D6AF0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455F0A69">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568AD5F8">
            <w:pPr>
              <w:rPr>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58C0035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076F2FCA">
            <w:pPr>
              <w:spacing w:line="360" w:lineRule="auto"/>
              <w:ind w:firstLine="0" w:firstLineChars="0"/>
              <w:jc w:val="center"/>
              <w:rPr>
                <w:rFonts w:ascii="Times New Roman" w:hAnsi="Times New Roman"/>
                <w:sz w:val="22"/>
                <w:szCs w:val="24"/>
                <w:highlight w:val="none"/>
              </w:rPr>
            </w:pPr>
          </w:p>
        </w:tc>
      </w:tr>
      <w:tr w14:paraId="41B8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C58082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18F052FD">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7DE0F922">
            <w:pPr>
              <w:rPr>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4C3842C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5397F733">
            <w:pPr>
              <w:spacing w:line="360" w:lineRule="auto"/>
              <w:ind w:firstLine="0" w:firstLineChars="0"/>
              <w:jc w:val="center"/>
              <w:rPr>
                <w:rFonts w:ascii="Times New Roman" w:hAnsi="Times New Roman"/>
                <w:sz w:val="22"/>
                <w:szCs w:val="24"/>
                <w:highlight w:val="none"/>
              </w:rPr>
            </w:pPr>
          </w:p>
        </w:tc>
      </w:tr>
      <w:tr w14:paraId="7CD6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198792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681F3940">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64101133">
            <w:pPr>
              <w:rPr>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59F1A4D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44B95A7C">
            <w:pPr>
              <w:spacing w:line="360" w:lineRule="auto"/>
              <w:ind w:firstLine="0" w:firstLineChars="0"/>
              <w:jc w:val="center"/>
              <w:rPr>
                <w:rFonts w:ascii="Times New Roman" w:hAnsi="Times New Roman"/>
                <w:sz w:val="22"/>
                <w:szCs w:val="24"/>
                <w:highlight w:val="none"/>
              </w:rPr>
            </w:pPr>
          </w:p>
        </w:tc>
      </w:tr>
      <w:tr w14:paraId="506F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08E5CE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5738724F">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2BEB7F14">
            <w:pPr>
              <w:rPr>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E1BEB1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20EC1169">
            <w:pPr>
              <w:spacing w:line="360" w:lineRule="auto"/>
              <w:ind w:firstLine="0" w:firstLineChars="0"/>
              <w:jc w:val="center"/>
              <w:rPr>
                <w:rFonts w:ascii="Times New Roman" w:hAnsi="Times New Roman"/>
                <w:sz w:val="22"/>
                <w:szCs w:val="24"/>
                <w:highlight w:val="none"/>
              </w:rPr>
            </w:pPr>
          </w:p>
        </w:tc>
      </w:tr>
      <w:tr w14:paraId="3660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C2C9AC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0BA74325">
            <w:pPr>
              <w:spacing w:line="360" w:lineRule="auto"/>
              <w:ind w:firstLine="0" w:firstLineChars="0"/>
              <w:jc w:val="center"/>
              <w:rPr>
                <w:rFonts w:ascii="Times New Roman" w:hAnsi="Times New Roman"/>
                <w:sz w:val="22"/>
                <w:szCs w:val="24"/>
                <w:highlight w:val="none"/>
              </w:rPr>
            </w:pPr>
          </w:p>
        </w:tc>
      </w:tr>
      <w:tr w14:paraId="52D0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8DBED8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13366016">
            <w:pPr>
              <w:spacing w:line="360" w:lineRule="auto"/>
              <w:ind w:firstLine="0" w:firstLineChars="0"/>
              <w:jc w:val="center"/>
              <w:rPr>
                <w:rFonts w:ascii="Times New Roman" w:hAnsi="Times New Roman"/>
                <w:sz w:val="22"/>
                <w:szCs w:val="24"/>
                <w:highlight w:val="none"/>
              </w:rPr>
            </w:pPr>
          </w:p>
        </w:tc>
      </w:tr>
    </w:tbl>
    <w:p w14:paraId="39A93EEB">
      <w:pPr>
        <w:widowControl/>
        <w:spacing w:line="360" w:lineRule="auto"/>
        <w:jc w:val="left"/>
        <w:rPr>
          <w:rFonts w:ascii="Times New Roman" w:hAnsi="Times New Roman"/>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7D6C30AC">
      <w:pPr>
        <w:pStyle w:val="28"/>
        <w:outlineLvl w:val="1"/>
        <w:rPr>
          <w:rFonts w:ascii="Times New Roman" w:hAnsi="Times New Roman"/>
          <w:highlight w:val="none"/>
        </w:rPr>
      </w:pPr>
      <w:bookmarkStart w:id="291" w:name="_Toc478053903"/>
      <w:bookmarkStart w:id="292" w:name="_Toc378234770"/>
      <w:bookmarkStart w:id="293" w:name="_Toc472780356"/>
      <w:bookmarkStart w:id="294" w:name="_Toc478054435"/>
      <w:bookmarkStart w:id="295" w:name="_Toc378234584"/>
      <w:r>
        <w:rPr>
          <w:rFonts w:ascii="Times New Roman" w:hAnsi="Times New Roman"/>
          <w:highlight w:val="none"/>
        </w:rPr>
        <w:t>（二）法定代表人身份证明及授权委托书</w:t>
      </w:r>
      <w:bookmarkEnd w:id="291"/>
      <w:bookmarkEnd w:id="292"/>
      <w:bookmarkEnd w:id="293"/>
      <w:bookmarkEnd w:id="294"/>
      <w:bookmarkEnd w:id="295"/>
    </w:p>
    <w:p w14:paraId="61D70B55">
      <w:pPr>
        <w:pStyle w:val="29"/>
        <w:outlineLvl w:val="2"/>
        <w:rPr>
          <w:rFonts w:ascii="Times New Roman" w:hAnsi="Times New Roman"/>
          <w:highlight w:val="none"/>
        </w:rPr>
      </w:pPr>
      <w:r>
        <w:rPr>
          <w:rFonts w:ascii="Times New Roman" w:hAnsi="Times New Roman"/>
          <w:highlight w:val="none"/>
        </w:rPr>
        <w:t>法定代表人身份证明书</w:t>
      </w:r>
    </w:p>
    <w:p w14:paraId="3204DF3C">
      <w:pPr>
        <w:tabs>
          <w:tab w:val="left" w:pos="6300"/>
        </w:tabs>
        <w:snapToGrid w:val="0"/>
        <w:spacing w:line="360" w:lineRule="auto"/>
        <w:rPr>
          <w:rFonts w:ascii="Times New Roman" w:hAnsi="Times New Roman"/>
          <w:snapToGrid w:val="0"/>
          <w:kern w:val="0"/>
          <w:highlight w:val="none"/>
        </w:rPr>
      </w:pPr>
    </w:p>
    <w:p w14:paraId="4808DB0E">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01C47953">
      <w:pPr>
        <w:tabs>
          <w:tab w:val="left" w:pos="6300"/>
        </w:tabs>
        <w:snapToGrid w:val="0"/>
        <w:spacing w:line="360" w:lineRule="auto"/>
        <w:rPr>
          <w:rFonts w:ascii="Times New Roman" w:hAnsi="Times New Roman"/>
          <w:snapToGrid w:val="0"/>
          <w:kern w:val="0"/>
          <w:highlight w:val="none"/>
        </w:rPr>
      </w:pPr>
    </w:p>
    <w:p w14:paraId="33673C9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0ACA8F32">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p>
    <w:p w14:paraId="0B95470D">
      <w:pPr>
        <w:tabs>
          <w:tab w:val="left" w:pos="6300"/>
        </w:tabs>
        <w:snapToGrid w:val="0"/>
        <w:spacing w:line="360" w:lineRule="auto"/>
        <w:rPr>
          <w:rFonts w:ascii="Times New Roman" w:hAnsi="Times New Roman"/>
          <w:snapToGrid w:val="0"/>
          <w:kern w:val="0"/>
          <w:highlight w:val="none"/>
        </w:rPr>
      </w:pPr>
    </w:p>
    <w:p w14:paraId="5952AE52">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69BE8FCF">
      <w:pPr>
        <w:tabs>
          <w:tab w:val="left" w:pos="6300"/>
        </w:tabs>
        <w:snapToGrid w:val="0"/>
        <w:spacing w:line="360" w:lineRule="auto"/>
        <w:rPr>
          <w:rFonts w:ascii="Times New Roman" w:hAnsi="Times New Roman"/>
          <w:snapToGrid w:val="0"/>
          <w:kern w:val="0"/>
          <w:highlight w:val="none"/>
        </w:rPr>
      </w:pPr>
    </w:p>
    <w:p w14:paraId="2D630F3B">
      <w:pPr>
        <w:tabs>
          <w:tab w:val="left" w:pos="6300"/>
        </w:tabs>
        <w:snapToGrid w:val="0"/>
        <w:spacing w:line="360" w:lineRule="auto"/>
        <w:rPr>
          <w:rFonts w:ascii="Times New Roman" w:hAnsi="Times New Roman"/>
          <w:snapToGrid w:val="0"/>
          <w:kern w:val="0"/>
          <w:highlight w:val="none"/>
        </w:rPr>
      </w:pPr>
    </w:p>
    <w:p w14:paraId="5E1AE69D">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18CAD00D">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38FBBA9E">
      <w:pPr>
        <w:tabs>
          <w:tab w:val="left" w:pos="6300"/>
        </w:tabs>
        <w:snapToGrid w:val="0"/>
        <w:spacing w:line="360" w:lineRule="auto"/>
        <w:rPr>
          <w:rFonts w:ascii="Times New Roman" w:hAnsi="Times New Roman"/>
          <w:snapToGrid w:val="0"/>
          <w:kern w:val="0"/>
          <w:highlight w:val="none"/>
        </w:rPr>
      </w:pPr>
    </w:p>
    <w:p w14:paraId="2EBCC634">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0AFFBCB0">
      <w:pPr>
        <w:tabs>
          <w:tab w:val="left" w:pos="6300"/>
        </w:tabs>
        <w:snapToGrid w:val="0"/>
        <w:spacing w:line="360" w:lineRule="auto"/>
        <w:rPr>
          <w:rFonts w:ascii="Times New Roman" w:hAnsi="Times New Roman"/>
          <w:snapToGrid w:val="0"/>
          <w:kern w:val="0"/>
          <w:highlight w:val="none"/>
        </w:rPr>
      </w:pPr>
    </w:p>
    <w:p w14:paraId="30D0805E">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0AF05FDD">
      <w:pPr>
        <w:tabs>
          <w:tab w:val="left" w:pos="6300"/>
        </w:tabs>
        <w:snapToGrid w:val="0"/>
        <w:spacing w:line="360" w:lineRule="auto"/>
        <w:rPr>
          <w:rFonts w:ascii="Times New Roman" w:hAnsi="Times New Roman"/>
          <w:snapToGrid w:val="0"/>
          <w:kern w:val="0"/>
          <w:highlight w:val="none"/>
        </w:rPr>
      </w:pPr>
    </w:p>
    <w:p w14:paraId="0780EC07">
      <w:pPr>
        <w:tabs>
          <w:tab w:val="left" w:pos="6300"/>
        </w:tabs>
        <w:snapToGrid w:val="0"/>
        <w:spacing w:line="360" w:lineRule="auto"/>
        <w:rPr>
          <w:rFonts w:ascii="Times New Roman" w:hAnsi="Times New Roman"/>
          <w:snapToGrid w:val="0"/>
          <w:kern w:val="0"/>
          <w:highlight w:val="none"/>
        </w:rPr>
      </w:pPr>
    </w:p>
    <w:p w14:paraId="4CAC2975">
      <w:pPr>
        <w:tabs>
          <w:tab w:val="left" w:pos="6300"/>
        </w:tabs>
        <w:snapToGrid w:val="0"/>
        <w:spacing w:line="360" w:lineRule="auto"/>
        <w:rPr>
          <w:rFonts w:ascii="Times New Roman" w:hAnsi="Times New Roman"/>
          <w:snapToGrid w:val="0"/>
          <w:kern w:val="0"/>
          <w:highlight w:val="none"/>
        </w:rPr>
      </w:pPr>
    </w:p>
    <w:p w14:paraId="3910CA41">
      <w:pPr>
        <w:spacing w:line="240" w:lineRule="auto"/>
        <w:jc w:val="center"/>
        <w:outlineLvl w:val="2"/>
        <w:rPr>
          <w:rStyle w:val="30"/>
          <w:rFonts w:hint="eastAsia"/>
          <w:color w:val="auto"/>
          <w:highlight w:val="none"/>
        </w:rPr>
      </w:pPr>
      <w:r>
        <w:rPr>
          <w:rFonts w:hint="eastAsia" w:ascii="Times New Roman" w:hAnsi="Times New Roman"/>
          <w:snapToGrid w:val="0"/>
          <w:kern w:val="0"/>
          <w:highlight w:val="none"/>
        </w:rPr>
        <w:br w:type="column"/>
      </w:r>
      <w:r>
        <w:rPr>
          <w:rStyle w:val="30"/>
          <w:rFonts w:hint="eastAsia"/>
          <w:color w:val="auto"/>
          <w:highlight w:val="none"/>
        </w:rPr>
        <w:t>法定代表人授权委托书</w:t>
      </w:r>
    </w:p>
    <w:p w14:paraId="58590A18">
      <w:pPr>
        <w:spacing w:line="240" w:lineRule="auto"/>
        <w:ind w:firstLine="0" w:firstLineChars="0"/>
        <w:jc w:val="center"/>
        <w:rPr>
          <w:color w:val="auto"/>
          <w:highlight w:val="none"/>
        </w:rPr>
      </w:pPr>
      <w:r>
        <w:rPr>
          <w:rFonts w:hint="eastAsia"/>
          <w:color w:val="auto"/>
          <w:highlight w:val="none"/>
        </w:rPr>
        <w:t>(适用于有委托代理人的情况时采用)</w:t>
      </w:r>
    </w:p>
    <w:p w14:paraId="4210C49E">
      <w:pPr>
        <w:jc w:val="center"/>
        <w:rPr>
          <w:rStyle w:val="30"/>
          <w:rFonts w:ascii="Times New Roman" w:hAnsi="Times New Roman"/>
          <w:highlight w:val="none"/>
        </w:rPr>
      </w:pPr>
    </w:p>
    <w:p w14:paraId="21CE1BAA">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4C50C9A0">
      <w:pPr>
        <w:tabs>
          <w:tab w:val="left" w:pos="6300"/>
        </w:tabs>
        <w:snapToGrid w:val="0"/>
        <w:spacing w:line="360" w:lineRule="auto"/>
        <w:rPr>
          <w:rFonts w:ascii="Times New Roman" w:hAnsi="Times New Roman"/>
          <w:snapToGrid w:val="0"/>
          <w:kern w:val="0"/>
          <w:highlight w:val="none"/>
        </w:rPr>
      </w:pPr>
    </w:p>
    <w:p w14:paraId="636C91DD">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724B2F0C">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olor w:val="auto"/>
          <w:highlight w:val="none"/>
        </w:rPr>
        <w:t>委托代理人</w:t>
      </w:r>
      <w:r>
        <w:rPr>
          <w:rFonts w:hint="eastAsia" w:ascii="Times New Roman" w:hAnsi="Times New Roman"/>
          <w:snapToGrid w:val="0"/>
          <w:kern w:val="0"/>
          <w:highlight w:val="none"/>
        </w:rPr>
        <w:t>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2E8F098C">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我单位对</w:t>
      </w:r>
      <w:r>
        <w:rPr>
          <w:rFonts w:hint="eastAsia"/>
          <w:color w:val="auto"/>
          <w:highlight w:val="none"/>
        </w:rPr>
        <w:t>委托代理人</w:t>
      </w:r>
      <w:r>
        <w:rPr>
          <w:rFonts w:hint="eastAsia" w:ascii="Times New Roman" w:hAnsi="Times New Roman"/>
          <w:snapToGrid w:val="0"/>
          <w:kern w:val="0"/>
          <w:highlight w:val="none"/>
        </w:rPr>
        <w:t>的签字负全部责任。</w:t>
      </w:r>
    </w:p>
    <w:p w14:paraId="3EBFC9C5">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w:t>
      </w:r>
      <w:r>
        <w:rPr>
          <w:rFonts w:hint="eastAsia"/>
          <w:color w:val="auto"/>
          <w:highlight w:val="none"/>
        </w:rPr>
        <w:t>委托代理人</w:t>
      </w:r>
      <w:r>
        <w:rPr>
          <w:rFonts w:hint="eastAsia" w:ascii="Times New Roman" w:hAnsi="Times New Roman"/>
          <w:snapToGrid w:val="0"/>
          <w:kern w:val="0"/>
          <w:highlight w:val="none"/>
        </w:rPr>
        <w:t>在授权书有效期内签署的所有文件不因授权的撤消而失效。</w:t>
      </w:r>
    </w:p>
    <w:p w14:paraId="386F4B1F">
      <w:pPr>
        <w:tabs>
          <w:tab w:val="left" w:pos="6300"/>
        </w:tabs>
        <w:snapToGrid w:val="0"/>
        <w:spacing w:line="360" w:lineRule="auto"/>
        <w:rPr>
          <w:rFonts w:ascii="Times New Roman" w:hAnsi="Times New Roman"/>
          <w:snapToGrid w:val="0"/>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C2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1C46923E">
            <w:pPr>
              <w:tabs>
                <w:tab w:val="left" w:pos="6300"/>
              </w:tabs>
              <w:snapToGrid w:val="0"/>
              <w:spacing w:line="360" w:lineRule="auto"/>
              <w:ind w:firstLine="0" w:firstLineChars="0"/>
              <w:rPr>
                <w:rFonts w:ascii="Times New Roman" w:hAnsi="Times New Roman"/>
                <w:snapToGrid w:val="0"/>
                <w:kern w:val="0"/>
                <w:highlight w:val="none"/>
              </w:rPr>
            </w:pPr>
            <w:r>
              <w:rPr>
                <w:rFonts w:hint="eastAsia"/>
                <w:color w:val="auto"/>
                <w:highlight w:val="none"/>
              </w:rPr>
              <w:t>委托代理人</w:t>
            </w:r>
          </w:p>
        </w:tc>
        <w:tc>
          <w:tcPr>
            <w:tcW w:w="4261" w:type="dxa"/>
            <w:tcBorders>
              <w:top w:val="nil"/>
              <w:left w:val="nil"/>
              <w:bottom w:val="nil"/>
              <w:right w:val="nil"/>
            </w:tcBorders>
            <w:noWrap/>
          </w:tcPr>
          <w:p w14:paraId="31D1020D">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w:t>
            </w:r>
          </w:p>
        </w:tc>
      </w:tr>
      <w:tr w14:paraId="043F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7F66FF4F">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noWrap/>
          </w:tcPr>
          <w:p w14:paraId="5D0CE689">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247F6659">
      <w:pPr>
        <w:tabs>
          <w:tab w:val="left" w:pos="6300"/>
        </w:tabs>
        <w:snapToGrid w:val="0"/>
        <w:spacing w:line="360" w:lineRule="auto"/>
        <w:rPr>
          <w:rFonts w:ascii="Times New Roman" w:hAnsi="Times New Roman"/>
          <w:snapToGrid w:val="0"/>
          <w:kern w:val="0"/>
          <w:highlight w:val="none"/>
        </w:rPr>
      </w:pPr>
    </w:p>
    <w:p w14:paraId="32E7AEF5">
      <w:pPr>
        <w:tabs>
          <w:tab w:val="left" w:pos="6300"/>
        </w:tabs>
        <w:snapToGrid w:val="0"/>
        <w:spacing w:line="360" w:lineRule="auto"/>
        <w:rPr>
          <w:rFonts w:ascii="Times New Roman" w:hAnsi="Times New Roman"/>
          <w:snapToGrid w:val="0"/>
          <w:kern w:val="0"/>
          <w:szCs w:val="28"/>
          <w:highlight w:val="none"/>
        </w:rPr>
      </w:pPr>
    </w:p>
    <w:p w14:paraId="682E9A9F">
      <w:pPr>
        <w:tabs>
          <w:tab w:val="left" w:pos="6300"/>
        </w:tabs>
        <w:snapToGrid w:val="0"/>
        <w:spacing w:line="360" w:lineRule="auto"/>
        <w:rPr>
          <w:rFonts w:ascii="Times New Roman" w:hAnsi="Times New Roman"/>
          <w:snapToGrid w:val="0"/>
          <w:kern w:val="0"/>
          <w:highlight w:val="none"/>
        </w:rPr>
      </w:pPr>
    </w:p>
    <w:p w14:paraId="644A487D">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w:t>
      </w:r>
      <w:r>
        <w:rPr>
          <w:rFonts w:hint="eastAsia"/>
          <w:color w:val="auto"/>
          <w:highlight w:val="none"/>
        </w:rPr>
        <w:t>委托代理人</w:t>
      </w:r>
      <w:r>
        <w:rPr>
          <w:rFonts w:hint="eastAsia" w:ascii="Times New Roman" w:hAnsi="Times New Roman"/>
          <w:snapToGrid w:val="0"/>
          <w:kern w:val="0"/>
          <w:highlight w:val="none"/>
        </w:rPr>
        <w:t>身份证正反面复印件）</w:t>
      </w:r>
    </w:p>
    <w:p w14:paraId="3813AA81">
      <w:pPr>
        <w:tabs>
          <w:tab w:val="left" w:pos="6300"/>
        </w:tabs>
        <w:snapToGrid w:val="0"/>
        <w:spacing w:line="360" w:lineRule="auto"/>
        <w:rPr>
          <w:rFonts w:ascii="Times New Roman" w:hAnsi="Times New Roman"/>
          <w:snapToGrid w:val="0"/>
          <w:kern w:val="0"/>
          <w:highlight w:val="none"/>
        </w:rPr>
      </w:pPr>
    </w:p>
    <w:p w14:paraId="7A71E3C6">
      <w:pPr>
        <w:tabs>
          <w:tab w:val="left" w:pos="6300"/>
        </w:tabs>
        <w:snapToGrid w:val="0"/>
        <w:spacing w:line="360" w:lineRule="auto"/>
        <w:rPr>
          <w:rFonts w:ascii="Times New Roman" w:hAnsi="Times New Roman"/>
          <w:snapToGrid w:val="0"/>
          <w:kern w:val="0"/>
          <w:highlight w:val="none"/>
        </w:rPr>
      </w:pPr>
    </w:p>
    <w:p w14:paraId="02ED8287">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7C405042">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5C880873">
      <w:pPr>
        <w:tabs>
          <w:tab w:val="left" w:pos="6300"/>
        </w:tabs>
        <w:snapToGrid w:val="0"/>
        <w:spacing w:line="360" w:lineRule="auto"/>
        <w:rPr>
          <w:rFonts w:ascii="Times New Roman" w:hAnsi="Times New Roman"/>
          <w:snapToGrid w:val="0"/>
          <w:kern w:val="0"/>
          <w:highlight w:val="none"/>
        </w:rPr>
      </w:pPr>
    </w:p>
    <w:p w14:paraId="35E2E0A2">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注：1.若为法定代表人办理并签署参选文件的，不提供此文件。</w:t>
      </w:r>
    </w:p>
    <w:p w14:paraId="035F442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2.若为联合体参选的，法定代表人授权委托书由联合体主办方（主体）出具。</w:t>
      </w:r>
    </w:p>
    <w:p w14:paraId="2C825516">
      <w:pPr>
        <w:rPr>
          <w:rFonts w:ascii="Times New Roman" w:hAnsi="Times New Roman"/>
          <w:highlight w:val="none"/>
        </w:rPr>
      </w:pPr>
    </w:p>
    <w:p w14:paraId="02BFADC0">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525A63A8">
      <w:pPr>
        <w:pStyle w:val="28"/>
        <w:outlineLvl w:val="1"/>
        <w:rPr>
          <w:rFonts w:ascii="Times New Roman" w:hAnsi="Times New Roman"/>
          <w:highlight w:val="none"/>
        </w:rPr>
      </w:pPr>
      <w:r>
        <w:rPr>
          <w:rFonts w:hint="eastAsia" w:ascii="Times New Roman" w:hAnsi="Times New Roman"/>
          <w:highlight w:val="none"/>
        </w:rPr>
        <w:t>（三）书面声明</w:t>
      </w:r>
    </w:p>
    <w:p w14:paraId="6AF84FF1">
      <w:pPr>
        <w:tabs>
          <w:tab w:val="left" w:pos="6300"/>
        </w:tabs>
        <w:snapToGrid w:val="0"/>
        <w:spacing w:line="360" w:lineRule="auto"/>
        <w:rPr>
          <w:rFonts w:ascii="Times New Roman" w:hAnsi="Times New Roman"/>
          <w:highlight w:val="none"/>
        </w:rPr>
      </w:pPr>
    </w:p>
    <w:p w14:paraId="3629595A">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02B6E6AC">
      <w:pPr>
        <w:tabs>
          <w:tab w:val="left" w:pos="6300"/>
        </w:tabs>
        <w:snapToGrid w:val="0"/>
        <w:spacing w:line="360" w:lineRule="auto"/>
        <w:rPr>
          <w:rFonts w:ascii="Times New Roman" w:hAnsi="Times New Roman"/>
          <w:highlight w:val="none"/>
        </w:rPr>
      </w:pPr>
    </w:p>
    <w:p w14:paraId="0E733274">
      <w:pPr>
        <w:tabs>
          <w:tab w:val="left" w:pos="6300"/>
        </w:tabs>
        <w:snapToGrid w:val="0"/>
        <w:spacing w:line="360" w:lineRule="auto"/>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232D8EF0">
      <w:pPr>
        <w:tabs>
          <w:tab w:val="left" w:pos="6300"/>
        </w:tabs>
        <w:snapToGrid w:val="0"/>
        <w:spacing w:line="360" w:lineRule="auto"/>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3E1CFEB8">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12DF87B8">
      <w:pPr>
        <w:tabs>
          <w:tab w:val="left" w:pos="6300"/>
        </w:tabs>
        <w:snapToGrid w:val="0"/>
        <w:spacing w:line="360" w:lineRule="auto"/>
        <w:rPr>
          <w:rFonts w:ascii="Times New Roman" w:hAnsi="Times New Roman"/>
          <w:highlight w:val="none"/>
        </w:rPr>
      </w:pPr>
    </w:p>
    <w:p w14:paraId="417DC413">
      <w:pPr>
        <w:tabs>
          <w:tab w:val="left" w:pos="6300"/>
        </w:tabs>
        <w:snapToGrid w:val="0"/>
        <w:spacing w:line="360" w:lineRule="auto"/>
        <w:rPr>
          <w:rFonts w:ascii="Times New Roman" w:hAnsi="Times New Roman"/>
          <w:highlight w:val="none"/>
        </w:rPr>
      </w:pPr>
    </w:p>
    <w:p w14:paraId="5649CB3C">
      <w:pPr>
        <w:tabs>
          <w:tab w:val="left" w:pos="6300"/>
        </w:tabs>
        <w:snapToGrid w:val="0"/>
        <w:spacing w:line="360" w:lineRule="auto"/>
        <w:rPr>
          <w:rFonts w:ascii="Times New Roman" w:hAnsi="Times New Roman"/>
          <w:highlight w:val="none"/>
        </w:rPr>
      </w:pPr>
    </w:p>
    <w:p w14:paraId="2E996827">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5468FEF0">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0021157D">
      <w:pPr>
        <w:spacing w:line="360" w:lineRule="auto"/>
        <w:jc w:val="left"/>
        <w:rPr>
          <w:rFonts w:ascii="Times New Roman" w:hAnsi="Times New Roman" w:cs="等线 Light"/>
          <w:snapToGrid w:val="0"/>
          <w:kern w:val="0"/>
          <w:szCs w:val="24"/>
          <w:highlight w:val="none"/>
        </w:rPr>
      </w:pPr>
    </w:p>
    <w:p w14:paraId="416DE30A">
      <w:pPr>
        <w:spacing w:line="360" w:lineRule="auto"/>
        <w:jc w:val="left"/>
        <w:rPr>
          <w:rFonts w:ascii="Times New Roman" w:hAnsi="Times New Roman" w:cs="等线 Light"/>
          <w:snapToGrid w:val="0"/>
          <w:kern w:val="0"/>
          <w:szCs w:val="24"/>
          <w:highlight w:val="none"/>
        </w:rPr>
      </w:pPr>
    </w:p>
    <w:p w14:paraId="0216FE66">
      <w:pPr>
        <w:spacing w:line="360" w:lineRule="auto"/>
        <w:jc w:val="left"/>
        <w:rPr>
          <w:rFonts w:ascii="Times New Roman" w:hAnsi="Times New Roman" w:cs="等线 Light"/>
          <w:snapToGrid w:val="0"/>
          <w:kern w:val="0"/>
          <w:szCs w:val="24"/>
          <w:highlight w:val="none"/>
        </w:rPr>
      </w:pPr>
    </w:p>
    <w:p w14:paraId="2557686B">
      <w:pPr>
        <w:spacing w:line="360" w:lineRule="auto"/>
        <w:jc w:val="left"/>
        <w:rPr>
          <w:rFonts w:ascii="Times New Roman" w:hAnsi="Times New Roman" w:cs="等线 Light"/>
          <w:snapToGrid w:val="0"/>
          <w:kern w:val="0"/>
          <w:szCs w:val="24"/>
          <w:highlight w:val="none"/>
        </w:rPr>
      </w:pPr>
    </w:p>
    <w:p w14:paraId="732A3A84">
      <w:pPr>
        <w:spacing w:line="360" w:lineRule="auto"/>
        <w:jc w:val="left"/>
        <w:rPr>
          <w:rFonts w:ascii="Times New Roman" w:hAnsi="Times New Roman" w:cs="等线 Light"/>
          <w:snapToGrid w:val="0"/>
          <w:kern w:val="0"/>
          <w:szCs w:val="24"/>
          <w:highlight w:val="none"/>
        </w:rPr>
      </w:pPr>
    </w:p>
    <w:p w14:paraId="0D257E9C">
      <w:pPr>
        <w:spacing w:line="360" w:lineRule="auto"/>
        <w:jc w:val="left"/>
        <w:rPr>
          <w:rFonts w:ascii="Times New Roman" w:hAnsi="Times New Roman" w:cs="等线 Light"/>
          <w:snapToGrid w:val="0"/>
          <w:kern w:val="0"/>
          <w:szCs w:val="24"/>
          <w:highlight w:val="none"/>
        </w:rPr>
      </w:pPr>
    </w:p>
    <w:p w14:paraId="36E9A000">
      <w:pPr>
        <w:spacing w:line="360" w:lineRule="auto"/>
        <w:jc w:val="left"/>
        <w:rPr>
          <w:rFonts w:ascii="Times New Roman" w:hAnsi="Times New Roman" w:cs="等线 Light"/>
          <w:snapToGrid w:val="0"/>
          <w:kern w:val="0"/>
          <w:szCs w:val="24"/>
          <w:highlight w:val="none"/>
        </w:rPr>
      </w:pPr>
    </w:p>
    <w:p w14:paraId="4DFB7673">
      <w:pPr>
        <w:rPr>
          <w:rFonts w:ascii="Times New Roman" w:hAnsi="Times New Roman"/>
          <w:b/>
          <w:bCs/>
          <w:highlight w:val="none"/>
        </w:rPr>
      </w:pPr>
      <w:r>
        <w:rPr>
          <w:rFonts w:hint="eastAsia" w:ascii="Times New Roman" w:hAnsi="Times New Roman"/>
          <w:kern w:val="0"/>
          <w:highlight w:val="none"/>
        </w:rPr>
        <w:br w:type="page"/>
      </w:r>
    </w:p>
    <w:p w14:paraId="4D7B98EB">
      <w:pPr>
        <w:pStyle w:val="28"/>
        <w:outlineLvl w:val="1"/>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3CFB4D1D">
      <w:pPr>
        <w:rPr>
          <w:rFonts w:hint="eastAsia" w:ascii="Times New Roman" w:hAnsi="Times New Roman"/>
          <w:highlight w:val="none"/>
        </w:rPr>
      </w:pPr>
      <w:r>
        <w:rPr>
          <w:rFonts w:hint="eastAsia" w:ascii="Times New Roman" w:hAnsi="Times New Roman"/>
          <w:highlight w:val="none"/>
          <w:lang w:val="en-US" w:eastAsia="zh-CN"/>
        </w:rPr>
        <w:t>1.</w:t>
      </w:r>
      <w:r>
        <w:rPr>
          <w:rFonts w:hint="eastAsia" w:ascii="Times New Roman" w:hAnsi="Times New Roman"/>
          <w:highlight w:val="none"/>
        </w:rPr>
        <w:t>法人中国执行信息公开网截图</w:t>
      </w:r>
    </w:p>
    <w:p w14:paraId="0459C3A8">
      <w:pPr>
        <w:pStyle w:val="9"/>
        <w:rPr>
          <w:rFonts w:hint="default"/>
          <w:highlight w:val="none"/>
          <w:lang w:val="en-US" w:eastAsia="zh-CN"/>
        </w:rPr>
      </w:pPr>
      <w:r>
        <w:rPr>
          <w:rFonts w:hint="eastAsia" w:ascii="Times New Roman" w:hAnsi="Times New Roman"/>
          <w:highlight w:val="none"/>
          <w:lang w:val="en-US" w:eastAsia="zh-CN"/>
        </w:rPr>
        <w:t>2.</w:t>
      </w:r>
      <w:r>
        <w:rPr>
          <w:rFonts w:hint="eastAsia" w:ascii="Times New Roman" w:hAnsi="Times New Roman"/>
          <w:highlight w:val="none"/>
        </w:rPr>
        <w:t>法定代表人中国执行信息公开网截图</w:t>
      </w:r>
    </w:p>
    <w:p w14:paraId="2CD44ED5">
      <w:pPr>
        <w:rPr>
          <w:rFonts w:ascii="Times New Roman" w:hAnsi="Times New Roman"/>
          <w:highlight w:val="none"/>
        </w:rPr>
      </w:pPr>
    </w:p>
    <w:p w14:paraId="4213C2C2">
      <w:pPr>
        <w:rPr>
          <w:rFonts w:ascii="Times New Roman" w:hAnsi="Times New Roman"/>
          <w:highlight w:val="none"/>
        </w:rPr>
      </w:pPr>
    </w:p>
    <w:p w14:paraId="48D3012D">
      <w:pPr>
        <w:rPr>
          <w:rFonts w:ascii="Times New Roman" w:hAnsi="Times New Roman"/>
          <w:highlight w:val="none"/>
        </w:rPr>
      </w:pPr>
    </w:p>
    <w:p w14:paraId="66BBFC18">
      <w:pPr>
        <w:rPr>
          <w:rFonts w:ascii="Times New Roman" w:hAnsi="Times New Roman"/>
          <w:highlight w:val="none"/>
        </w:rPr>
      </w:pPr>
    </w:p>
    <w:p w14:paraId="2E9BF755">
      <w:pPr>
        <w:rPr>
          <w:rFonts w:ascii="Times New Roman" w:hAnsi="Times New Roman"/>
          <w:highlight w:val="none"/>
        </w:rPr>
      </w:pPr>
    </w:p>
    <w:p w14:paraId="3B94CC60">
      <w:pPr>
        <w:rPr>
          <w:rFonts w:ascii="Times New Roman" w:hAnsi="Times New Roman"/>
          <w:highlight w:val="none"/>
        </w:rPr>
      </w:pPr>
    </w:p>
    <w:p w14:paraId="0FD1D260">
      <w:pPr>
        <w:rPr>
          <w:rFonts w:ascii="Times New Roman" w:hAnsi="Times New Roman"/>
          <w:highlight w:val="none"/>
        </w:rPr>
      </w:pPr>
      <w:r>
        <w:rPr>
          <w:rFonts w:hint="eastAsia" w:ascii="Times New Roman" w:hAnsi="Times New Roman"/>
          <w:highlight w:val="none"/>
        </w:rPr>
        <w:br w:type="page"/>
      </w:r>
    </w:p>
    <w:p w14:paraId="1CA297B0">
      <w:pPr>
        <w:pStyle w:val="28"/>
        <w:outlineLvl w:val="1"/>
        <w:rPr>
          <w:rFonts w:ascii="Times New Roman" w:hAnsi="Times New Roman"/>
          <w:highlight w:val="none"/>
        </w:rPr>
      </w:pPr>
      <w:r>
        <w:rPr>
          <w:rFonts w:ascii="Times New Roman" w:hAnsi="Times New Roman"/>
          <w:highlight w:val="none"/>
          <w:lang w:val="zh-CN"/>
        </w:rPr>
        <w:t>（</w:t>
      </w:r>
      <w:r>
        <w:rPr>
          <w:rFonts w:ascii="Times New Roman" w:hAnsi="Times New Roman"/>
          <w:highlight w:val="none"/>
        </w:rPr>
        <w:t>五</w:t>
      </w:r>
      <w:r>
        <w:rPr>
          <w:rFonts w:ascii="Times New Roman" w:hAnsi="Times New Roman"/>
          <w:highlight w:val="none"/>
          <w:lang w:val="zh-CN"/>
        </w:rPr>
        <w:t>）</w:t>
      </w:r>
      <w:r>
        <w:rPr>
          <w:rFonts w:ascii="Times New Roman" w:hAnsi="Times New Roman"/>
          <w:highlight w:val="none"/>
          <w:lang w:val="en-US" w:eastAsia="zh-CN"/>
        </w:rPr>
        <w:t>网络安全竞赛服务相关</w:t>
      </w:r>
      <w:r>
        <w:rPr>
          <w:rFonts w:hint="eastAsia" w:ascii="Times New Roman" w:hAnsi="Times New Roman"/>
          <w:highlight w:val="none"/>
          <w:lang w:val="en-US" w:eastAsia="zh-CN"/>
        </w:rPr>
        <w:t>项目</w:t>
      </w:r>
      <w:r>
        <w:rPr>
          <w:rFonts w:ascii="Times New Roman" w:hAnsi="Times New Roman"/>
          <w:highlight w:val="none"/>
          <w:lang w:val="en-US" w:eastAsia="zh-CN"/>
        </w:rPr>
        <w:t>实施</w:t>
      </w:r>
      <w:r>
        <w:rPr>
          <w:rFonts w:ascii="Times New Roman" w:hAnsi="Times New Roman"/>
          <w:highlight w:val="none"/>
          <w:lang w:val="zh-CN"/>
        </w:rPr>
        <w:t>案例</w:t>
      </w:r>
    </w:p>
    <w:p w14:paraId="3CF84D1B">
      <w:pPr>
        <w:rPr>
          <w:rFonts w:ascii="Times New Roman" w:hAnsi="Times New Roman"/>
          <w:highlight w:val="none"/>
          <w:lang w:val="zh-CN"/>
        </w:rPr>
      </w:pPr>
      <w:r>
        <w:rPr>
          <w:rFonts w:hint="eastAsia" w:ascii="Times New Roman" w:hAnsi="Times New Roman" w:cs="Times New Roman"/>
          <w:highlight w:val="none"/>
          <w:lang w:eastAsia="zh-CN"/>
        </w:rPr>
        <w:t>（</w:t>
      </w:r>
      <w:r>
        <w:rPr>
          <w:rFonts w:hint="eastAsia"/>
          <w:highlight w:val="none"/>
          <w:lang w:val="en-US" w:eastAsia="zh-CN"/>
        </w:rPr>
        <w:t>提供合同关键页。</w:t>
      </w:r>
      <w:r>
        <w:rPr>
          <w:rFonts w:ascii="Times New Roman" w:hAnsi="Times New Roman" w:cs="Times New Roman"/>
          <w:highlight w:val="none"/>
        </w:rPr>
        <w:t>此处为第一章第2条参选人资格条件所用案例</w:t>
      </w:r>
      <w:r>
        <w:rPr>
          <w:rFonts w:hint="eastAsia" w:ascii="Times New Roman" w:hAnsi="Times New Roman" w:cs="Times New Roman"/>
          <w:highlight w:val="none"/>
          <w:lang w:eastAsia="zh-CN"/>
        </w:rPr>
        <w:t>）</w:t>
      </w:r>
    </w:p>
    <w:p w14:paraId="32950CD3">
      <w:pPr>
        <w:ind w:firstLine="0" w:firstLineChars="0"/>
        <w:rPr>
          <w:rFonts w:ascii="Times New Roman" w:hAnsi="Times New Roman"/>
          <w:highlight w:val="none"/>
          <w:lang w:val="zh-CN"/>
        </w:rPr>
      </w:pPr>
      <w:r>
        <w:rPr>
          <w:rFonts w:ascii="Times New Roman" w:hAnsi="Times New Roman"/>
          <w:highlight w:val="none"/>
          <w:lang w:val="zh-CN"/>
        </w:rPr>
        <w:br w:type="page"/>
      </w:r>
    </w:p>
    <w:p w14:paraId="4D7295FF">
      <w:pPr>
        <w:numPr>
          <w:ilvl w:val="0"/>
          <w:numId w:val="6"/>
        </w:numPr>
        <w:ind w:left="0" w:firstLine="0" w:firstLineChars="0"/>
        <w:jc w:val="center"/>
        <w:outlineLvl w:val="1"/>
        <w:rPr>
          <w:rFonts w:ascii="Times New Roman" w:hAnsi="Times New Roman" w:eastAsia="宋体"/>
          <w:bCs/>
          <w:szCs w:val="32"/>
          <w:highlight w:val="none"/>
          <w:lang w:val="zh-CN" w:eastAsia="zh-CN"/>
        </w:rPr>
      </w:pPr>
      <w:r>
        <w:rPr>
          <w:rFonts w:ascii="Times New Roman" w:hAnsi="Times New Roman" w:eastAsia="宋体"/>
          <w:bCs/>
          <w:szCs w:val="32"/>
          <w:highlight w:val="none"/>
          <w:lang w:val="zh-CN" w:eastAsia="zh-CN"/>
        </w:rPr>
        <w:t>安全服务资质证明文件复印件</w:t>
      </w:r>
    </w:p>
    <w:p w14:paraId="6C465F4F">
      <w:pPr>
        <w:ind w:left="0" w:firstLine="0" w:firstLineChars="0"/>
        <w:jc w:val="both"/>
        <w:outlineLvl w:val="9"/>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w:t>
      </w:r>
      <w:r>
        <w:rPr>
          <w:rFonts w:hint="eastAsia"/>
          <w:highlight w:val="none"/>
          <w:lang w:val="en-US" w:eastAsia="zh-CN"/>
        </w:rPr>
        <w:t>提供资格资质。</w:t>
      </w:r>
      <w:r>
        <w:rPr>
          <w:rFonts w:ascii="Times New Roman" w:hAnsi="Times New Roman" w:cs="Times New Roman"/>
          <w:highlight w:val="none"/>
        </w:rPr>
        <w:t>此处为第一章第2条参选人资格条件所用</w:t>
      </w:r>
      <w:r>
        <w:rPr>
          <w:rFonts w:hint="eastAsia" w:ascii="Times New Roman" w:hAnsi="Times New Roman" w:cs="Times New Roman"/>
          <w:highlight w:val="none"/>
          <w:lang w:val="en-US" w:eastAsia="zh-CN"/>
        </w:rPr>
        <w:t>资质文件</w:t>
      </w:r>
      <w:r>
        <w:rPr>
          <w:rFonts w:hint="eastAsia" w:ascii="Times New Roman" w:hAnsi="Times New Roman" w:cs="Times New Roman"/>
          <w:highlight w:val="none"/>
          <w:lang w:eastAsia="zh-CN"/>
        </w:rPr>
        <w:t>）</w:t>
      </w:r>
    </w:p>
    <w:p w14:paraId="16CF5F55">
      <w:pPr>
        <w:rPr>
          <w:rFonts w:ascii="Times New Roman" w:hAnsi="Times New Roman"/>
          <w:highlight w:val="none"/>
          <w:lang w:val="zh-CN"/>
        </w:rPr>
      </w:pPr>
      <w:r>
        <w:rPr>
          <w:rFonts w:ascii="Times New Roman" w:hAnsi="Times New Roman"/>
          <w:highlight w:val="none"/>
          <w:lang w:val="zh-CN"/>
        </w:rPr>
        <w:br w:type="page"/>
      </w:r>
    </w:p>
    <w:p w14:paraId="67419349">
      <w:pPr>
        <w:pStyle w:val="4"/>
        <w:jc w:val="center"/>
        <w:outlineLvl w:val="1"/>
        <w:rPr>
          <w:rFonts w:hint="eastAsia"/>
          <w:b w:val="0"/>
          <w:bCs w:val="0"/>
          <w:highlight w:val="none"/>
          <w:lang w:val="en-US" w:eastAsia="zh-CN"/>
        </w:rPr>
      </w:pPr>
      <w:r>
        <w:rPr>
          <w:rFonts w:hint="eastAsia"/>
          <w:b w:val="0"/>
          <w:bCs w:val="0"/>
          <w:highlight w:val="none"/>
          <w:lang w:val="en-US" w:eastAsia="zh-CN"/>
        </w:rPr>
        <w:t>（七）</w:t>
      </w:r>
      <w:r>
        <w:rPr>
          <w:rFonts w:hint="eastAsia" w:ascii="宋体" w:cs="宋体"/>
          <w:snapToGrid w:val="0"/>
          <w:color w:val="auto"/>
          <w:kern w:val="0"/>
          <w:sz w:val="24"/>
          <w:szCs w:val="24"/>
          <w:highlight w:val="none"/>
          <w:lang w:val="en-US" w:eastAsia="zh-CN" w:bidi="ar-SA"/>
        </w:rPr>
        <w:t>原服务提供商证明</w:t>
      </w:r>
    </w:p>
    <w:p w14:paraId="676E883F">
      <w:pPr>
        <w:pStyle w:val="28"/>
        <w:outlineLvl w:val="9"/>
        <w:rPr>
          <w:rFonts w:ascii="Times New Roman" w:hAnsi="Times New Roman" w:cs="Times New Roman"/>
          <w:highlight w:val="none"/>
          <w:lang w:val="zh-CN"/>
        </w:rPr>
      </w:pPr>
    </w:p>
    <w:p w14:paraId="5E81FCC9">
      <w:pPr>
        <w:ind w:left="0" w:firstLine="0" w:firstLineChars="0"/>
        <w:jc w:val="both"/>
        <w:outlineLvl w:val="9"/>
        <w:rPr>
          <w:rFonts w:hint="eastAsia" w:eastAsia="宋体"/>
          <w:highlight w:val="none"/>
          <w:lang w:val="en-US" w:eastAsia="zh-CN"/>
        </w:rPr>
        <w:sectPr>
          <w:pgSz w:w="11906" w:h="16838"/>
          <w:pgMar w:top="1440" w:right="1800" w:bottom="1440" w:left="1800" w:header="851" w:footer="992" w:gutter="0"/>
          <w:cols w:space="720" w:num="1"/>
          <w:docGrid w:type="lines" w:linePitch="312" w:charSpace="0"/>
        </w:sectPr>
      </w:pPr>
    </w:p>
    <w:p w14:paraId="1D3337D9">
      <w:pPr>
        <w:ind w:firstLine="0" w:firstLineChars="0"/>
        <w:rPr>
          <w:highlight w:val="none"/>
          <w:lang w:val="zh-CN"/>
        </w:rPr>
      </w:pPr>
    </w:p>
    <w:p w14:paraId="0548081F">
      <w:pPr>
        <w:pStyle w:val="27"/>
        <w:outlineLvl w:val="0"/>
        <w:rPr>
          <w:rFonts w:ascii="Times New Roman" w:hAnsi="Times New Roman"/>
          <w:highlight w:val="none"/>
        </w:rPr>
      </w:pPr>
      <w:bookmarkStart w:id="296" w:name="_Toc1445062859"/>
      <w:r>
        <w:rPr>
          <w:rFonts w:hint="eastAsia" w:ascii="Times New Roman" w:hAnsi="Times New Roman"/>
          <w:highlight w:val="none"/>
          <w:lang w:val="en-US" w:eastAsia="zh-CN"/>
        </w:rPr>
        <w:t>五</w:t>
      </w:r>
      <w:r>
        <w:rPr>
          <w:rFonts w:ascii="Times New Roman" w:hAnsi="Times New Roman"/>
          <w:highlight w:val="none"/>
        </w:rPr>
        <w:t>、响应</w:t>
      </w:r>
      <w:r>
        <w:rPr>
          <w:rFonts w:hint="eastAsia" w:ascii="Times New Roman" w:hAnsi="Times New Roman"/>
          <w:highlight w:val="none"/>
          <w:lang w:eastAsia="zh-CN"/>
        </w:rPr>
        <w:t>性文件</w:t>
      </w:r>
      <w:bookmarkEnd w:id="296"/>
    </w:p>
    <w:p w14:paraId="46B55E55">
      <w:pPr>
        <w:pStyle w:val="28"/>
        <w:outlineLvl w:val="1"/>
        <w:rPr>
          <w:rFonts w:ascii="Times New Roman" w:hAnsi="Times New Roman"/>
          <w:highlight w:val="none"/>
        </w:rPr>
      </w:pPr>
      <w:r>
        <w:rPr>
          <w:rFonts w:hint="eastAsia" w:ascii="Times New Roman" w:hAnsi="Times New Roman"/>
          <w:highlight w:val="none"/>
        </w:rPr>
        <w:t>（一）响应承诺函</w:t>
      </w:r>
    </w:p>
    <w:p w14:paraId="0F7CF2D5">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eastAsia" w:cs="Cambria Math"/>
          <w:color w:val="auto"/>
          <w:kern w:val="2"/>
          <w:sz w:val="24"/>
          <w:szCs w:val="24"/>
          <w:highlight w:val="none"/>
          <w:shd w:val="clear" w:color="auto" w:fill="auto"/>
          <w:lang w:val="en-US" w:eastAsia="zh-CN" w:bidi="ar"/>
        </w:rPr>
      </w:pPr>
      <w:r>
        <w:rPr>
          <w:rFonts w:hint="eastAsia" w:ascii="宋体" w:hAnsi="宋体" w:cs="宋体"/>
          <w:color w:val="auto"/>
          <w:kern w:val="2"/>
          <w:sz w:val="24"/>
          <w:szCs w:val="24"/>
          <w:highlight w:val="none"/>
          <w:shd w:val="clear" w:color="auto" w:fill="auto"/>
          <w:lang w:val="en-US" w:eastAsia="zh-CN" w:bidi="ar"/>
        </w:rPr>
        <w:t>注：1、</w:t>
      </w:r>
      <w:r>
        <w:rPr>
          <w:rFonts w:hint="eastAsia" w:cs="Cambria Math"/>
          <w:color w:val="auto"/>
          <w:kern w:val="2"/>
          <w:sz w:val="24"/>
          <w:szCs w:val="24"/>
          <w:highlight w:val="none"/>
          <w:shd w:val="clear" w:color="auto" w:fill="auto"/>
          <w:lang w:val="en-US" w:eastAsia="zh-CN" w:bidi="ar"/>
        </w:rPr>
        <w:t>对比选文件第三章做出整体承诺，格式自理；</w:t>
      </w:r>
    </w:p>
    <w:p w14:paraId="0863370B">
      <w:pPr>
        <w:wordWrap/>
        <w:snapToGrid w:val="0"/>
        <w:spacing w:line="480" w:lineRule="exact"/>
        <w:ind w:right="480" w:firstLine="480"/>
        <w:jc w:val="left"/>
        <w:rPr>
          <w:rFonts w:hint="eastAsia" w:ascii="宋体" w:hAnsi="宋体" w:eastAsia="宋体" w:cs="宋体"/>
          <w:color w:val="auto"/>
          <w:kern w:val="2"/>
          <w:sz w:val="24"/>
          <w:szCs w:val="24"/>
          <w:highlight w:val="none"/>
          <w:shd w:val="clear" w:color="auto" w:fill="auto"/>
          <w:lang w:val="en-US" w:eastAsia="zh-CN" w:bidi="ar"/>
        </w:rPr>
      </w:pPr>
      <w:r>
        <w:rPr>
          <w:rFonts w:hint="eastAsia" w:cs="Cambria Math"/>
          <w:color w:val="auto"/>
          <w:kern w:val="2"/>
          <w:sz w:val="24"/>
          <w:szCs w:val="24"/>
          <w:highlight w:val="none"/>
          <w:shd w:val="clear" w:color="auto" w:fill="auto"/>
          <w:lang w:val="en-US" w:eastAsia="zh-CN" w:bidi="ar"/>
        </w:rPr>
        <w:t xml:space="preserve">2、对比选文件第三章第4 条人员要求中对应内容做出响应承诺，格式自拟。 </w:t>
      </w:r>
      <w:r>
        <w:rPr>
          <w:rFonts w:hint="eastAsia" w:ascii="宋体" w:hAnsi="宋体" w:cs="宋体"/>
          <w:color w:val="auto"/>
          <w:kern w:val="2"/>
          <w:sz w:val="24"/>
          <w:szCs w:val="24"/>
          <w:highlight w:val="none"/>
          <w:shd w:val="clear" w:color="auto" w:fill="auto"/>
          <w:lang w:val="en-US" w:eastAsia="zh-CN" w:bidi="ar"/>
        </w:rPr>
        <w:t xml:space="preserve"> </w:t>
      </w:r>
    </w:p>
    <w:p w14:paraId="676C5E60">
      <w:pPr>
        <w:wordWrap/>
        <w:snapToGrid w:val="0"/>
        <w:spacing w:line="480" w:lineRule="exact"/>
        <w:ind w:right="480" w:firstLine="480"/>
        <w:jc w:val="left"/>
        <w:rPr>
          <w:rFonts w:hint="eastAsia" w:ascii="宋体" w:hAnsi="宋体" w:eastAsia="宋体" w:cs="宋体"/>
          <w:color w:val="auto"/>
          <w:kern w:val="2"/>
          <w:sz w:val="24"/>
          <w:szCs w:val="24"/>
          <w:highlight w:val="none"/>
          <w:shd w:val="clear" w:color="auto" w:fill="auto"/>
          <w:lang w:val="en-US" w:eastAsia="zh-CN" w:bidi="ar"/>
        </w:rPr>
      </w:pPr>
    </w:p>
    <w:p w14:paraId="488A3EB2">
      <w:pPr>
        <w:wordWrap/>
        <w:snapToGrid w:val="0"/>
        <w:spacing w:line="480" w:lineRule="exact"/>
        <w:ind w:right="480" w:firstLine="480"/>
        <w:jc w:val="left"/>
        <w:rPr>
          <w:rFonts w:hint="default" w:ascii="宋体" w:hAnsi="宋体" w:eastAsia="宋体" w:cs="宋体"/>
          <w:color w:val="auto"/>
          <w:kern w:val="2"/>
          <w:sz w:val="24"/>
          <w:szCs w:val="24"/>
          <w:highlight w:val="none"/>
          <w:shd w:val="clear" w:color="auto" w:fill="auto"/>
          <w:lang w:val="en-US" w:eastAsia="zh-CN" w:bidi="ar"/>
        </w:rPr>
        <w:sectPr>
          <w:pgSz w:w="11905" w:h="16837"/>
          <w:pgMar w:top="1440" w:right="1800" w:bottom="1440" w:left="1800" w:header="851" w:footer="992" w:gutter="0"/>
          <w:pgNumType w:fmt="decimal"/>
          <w:cols w:space="720" w:num="1"/>
          <w:docGrid w:type="lines" w:linePitch="312" w:charSpace="0"/>
        </w:sectPr>
      </w:pPr>
    </w:p>
    <w:p w14:paraId="1745FF69">
      <w:pPr>
        <w:pStyle w:val="28"/>
        <w:jc w:val="center"/>
        <w:outlineLvl w:val="1"/>
        <w:rPr>
          <w:rFonts w:hint="eastAsia" w:ascii="Times New Roman" w:hAnsi="Times New Roman" w:eastAsia="宋体"/>
          <w:highlight w:val="none"/>
          <w:lang w:val="en-US" w:eastAsia="zh-CN"/>
        </w:rPr>
      </w:pPr>
      <w:r>
        <w:rPr>
          <w:rFonts w:hint="eastAsia" w:ascii="Times New Roman" w:hAnsi="Times New Roman" w:eastAsia="宋体"/>
          <w:highlight w:val="none"/>
          <w:lang w:eastAsia="zh-CN"/>
        </w:rPr>
        <w:t>（</w:t>
      </w:r>
      <w:r>
        <w:rPr>
          <w:rFonts w:hint="eastAsia" w:ascii="Times New Roman" w:hAnsi="Times New Roman" w:eastAsia="宋体"/>
          <w:highlight w:val="none"/>
          <w:lang w:val="en-US" w:eastAsia="zh-CN"/>
        </w:rPr>
        <w:t>二</w:t>
      </w:r>
      <w:r>
        <w:rPr>
          <w:rFonts w:hint="eastAsia" w:ascii="Times New Roman" w:hAnsi="Times New Roman" w:eastAsia="宋体"/>
          <w:highlight w:val="none"/>
          <w:lang w:eastAsia="zh-CN"/>
        </w:rPr>
        <w:t>）</w:t>
      </w:r>
      <w:r>
        <w:rPr>
          <w:rFonts w:hint="eastAsia" w:ascii="Times New Roman" w:hAnsi="Times New Roman" w:eastAsia="宋体"/>
          <w:highlight w:val="none"/>
          <w:lang w:val="en-US" w:eastAsia="zh-CN"/>
        </w:rPr>
        <w:t>项目经理个人简历</w:t>
      </w:r>
    </w:p>
    <w:p w14:paraId="21C39972">
      <w:pPr>
        <w:rPr>
          <w:rFonts w:ascii="Times New Roman" w:hAnsi="Times New Roman" w:cs="Times New Roman"/>
          <w:highlight w:val="none"/>
        </w:rPr>
      </w:pPr>
      <w:r>
        <w:rPr>
          <w:rFonts w:ascii="Times New Roman" w:hAnsi="Times New Roman" w:cs="Times New Roman"/>
          <w:highlight w:val="none"/>
        </w:rPr>
        <w:t>格式自拟</w:t>
      </w:r>
    </w:p>
    <w:p w14:paraId="14414EB4">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73B50E92">
      <w:pPr>
        <w:pStyle w:val="28"/>
        <w:outlineLvl w:val="1"/>
        <w:rPr>
          <w:rFonts w:hint="eastAsia" w:ascii="Times New Roman" w:hAnsi="Times New Roman"/>
          <w:highlight w:val="none"/>
        </w:rPr>
      </w:pPr>
      <w:bookmarkStart w:id="297" w:name="_Toc2130978608"/>
      <w:r>
        <w:rPr>
          <w:rFonts w:hint="eastAsia" w:ascii="Times New Roman" w:hAnsi="Times New Roman"/>
          <w:highlight w:val="none"/>
          <w:lang w:eastAsia="zh-CN"/>
        </w:rPr>
        <w:t>（</w:t>
      </w:r>
      <w:r>
        <w:rPr>
          <w:rFonts w:hint="eastAsia" w:ascii="Times New Roman" w:hAnsi="Times New Roman"/>
          <w:highlight w:val="none"/>
          <w:lang w:val="en-US" w:eastAsia="zh-CN"/>
        </w:rPr>
        <w:t>三</w:t>
      </w:r>
      <w:r>
        <w:rPr>
          <w:rFonts w:hint="eastAsia" w:ascii="Times New Roman" w:hAnsi="Times New Roman"/>
          <w:highlight w:val="none"/>
          <w:lang w:eastAsia="zh-CN"/>
        </w:rPr>
        <w:t>）</w:t>
      </w:r>
      <w:r>
        <w:rPr>
          <w:rFonts w:hint="eastAsia" w:ascii="Times New Roman" w:hAnsi="Times New Roman"/>
          <w:highlight w:val="none"/>
        </w:rPr>
        <w:t>服务连续性预案</w:t>
      </w:r>
    </w:p>
    <w:p w14:paraId="2509B989">
      <w:pPr>
        <w:ind w:firstLine="0" w:firstLineChars="0"/>
        <w:jc w:val="center"/>
        <w:rPr>
          <w:rFonts w:ascii="Times New Roman" w:hAnsi="Times New Roman"/>
          <w:highlight w:val="none"/>
        </w:rPr>
      </w:pPr>
      <w:r>
        <w:rPr>
          <w:rFonts w:hint="eastAsia" w:ascii="Times New Roman" w:hAnsi="Times New Roman"/>
          <w:highlight w:val="none"/>
        </w:rPr>
        <w:t>（应考虑供应链风险产生的影响）</w:t>
      </w:r>
    </w:p>
    <w:p w14:paraId="1A88D613">
      <w:pPr>
        <w:outlineLvl w:val="0"/>
        <w:rPr>
          <w:rFonts w:hint="eastAsia"/>
          <w:highlight w:val="none"/>
        </w:rPr>
        <w:sectPr>
          <w:pgSz w:w="11906" w:h="16838"/>
          <w:pgMar w:top="1440" w:right="1800" w:bottom="1440" w:left="1800" w:header="851" w:footer="992" w:gutter="0"/>
          <w:cols w:space="720" w:num="1"/>
          <w:docGrid w:type="lines" w:linePitch="312" w:charSpace="0"/>
        </w:sectPr>
      </w:pPr>
    </w:p>
    <w:p w14:paraId="69114DC8">
      <w:pPr>
        <w:pStyle w:val="28"/>
        <w:outlineLvl w:val="1"/>
        <w:rPr>
          <w:rFonts w:hint="eastAsia" w:ascii="Times New Roman" w:hAnsi="Times New Roman" w:eastAsia="宋体"/>
          <w:highlight w:val="none"/>
        </w:rPr>
      </w:pPr>
      <w:r>
        <w:rPr>
          <w:rFonts w:hint="eastAsia" w:ascii="Times New Roman" w:hAnsi="Times New Roman" w:eastAsia="宋体"/>
          <w:highlight w:val="none"/>
          <w:lang w:eastAsia="zh-CN"/>
        </w:rPr>
        <w:t>（</w:t>
      </w:r>
      <w:r>
        <w:rPr>
          <w:rFonts w:hint="eastAsia" w:ascii="Times New Roman" w:hAnsi="Times New Roman"/>
          <w:highlight w:val="none"/>
          <w:lang w:val="en-US" w:eastAsia="zh-CN"/>
        </w:rPr>
        <w:t>四</w:t>
      </w:r>
      <w:r>
        <w:rPr>
          <w:rFonts w:hint="eastAsia" w:ascii="Times New Roman" w:hAnsi="Times New Roman" w:eastAsia="宋体"/>
          <w:highlight w:val="none"/>
          <w:lang w:eastAsia="zh-CN"/>
        </w:rPr>
        <w:t>）</w:t>
      </w:r>
      <w:r>
        <w:rPr>
          <w:rFonts w:hint="eastAsia" w:ascii="Times New Roman" w:hAnsi="Times New Roman" w:eastAsia="宋体"/>
          <w:highlight w:val="none"/>
        </w:rPr>
        <w:t>项目实施方案</w:t>
      </w:r>
    </w:p>
    <w:p w14:paraId="428CB8E9">
      <w:pPr>
        <w:rPr>
          <w:rFonts w:hint="eastAsia" w:ascii="Times New Roman" w:hAnsi="Times New Roman" w:eastAsia="宋体"/>
          <w:highlight w:val="none"/>
        </w:rPr>
      </w:pPr>
    </w:p>
    <w:p w14:paraId="7C29EE97">
      <w:pPr>
        <w:tabs>
          <w:tab w:val="left" w:pos="6300"/>
        </w:tabs>
        <w:snapToGrid w:val="0"/>
        <w:spacing w:line="360" w:lineRule="auto"/>
        <w:jc w:val="center"/>
        <w:rPr>
          <w:rFonts w:ascii="Times New Roman" w:hAnsi="Times New Roman"/>
          <w:snapToGrid w:val="0"/>
          <w:kern w:val="0"/>
          <w:szCs w:val="24"/>
          <w:highlight w:val="none"/>
        </w:rPr>
      </w:pPr>
      <w:r>
        <w:rPr>
          <w:rFonts w:hint="eastAsia" w:ascii="Times New Roman" w:hAnsi="Times New Roman"/>
          <w:snapToGrid w:val="0"/>
          <w:kern w:val="0"/>
          <w:szCs w:val="24"/>
          <w:highlight w:val="none"/>
        </w:rPr>
        <w:t>（实施方案包括</w:t>
      </w:r>
      <w:r>
        <w:rPr>
          <w:rFonts w:ascii="Times New Roman" w:hAnsi="Times New Roman" w:cs="Times New Roman"/>
          <w:kern w:val="2"/>
          <w:sz w:val="24"/>
          <w:szCs w:val="20"/>
          <w:highlight w:val="none"/>
        </w:rPr>
        <w:t>网络安全攻防竞赛平台详细功能介绍</w:t>
      </w:r>
      <w:r>
        <w:rPr>
          <w:rFonts w:ascii="Times New Roman" w:hAnsi="Times New Roman" w:cs="Times New Roman"/>
          <w:kern w:val="2"/>
          <w:sz w:val="24"/>
          <w:szCs w:val="20"/>
          <w:highlight w:val="none"/>
          <w:lang w:eastAsia="zh-CN"/>
        </w:rPr>
        <w:t>、</w:t>
      </w:r>
      <w:r>
        <w:rPr>
          <w:rFonts w:ascii="Times New Roman" w:hAnsi="Times New Roman" w:cs="Times New Roman"/>
          <w:kern w:val="2"/>
          <w:sz w:val="24"/>
          <w:szCs w:val="20"/>
          <w:highlight w:val="none"/>
        </w:rPr>
        <w:t>人员组织安排计划、历年来的竞赛支撑服务经验、网络安全培训</w:t>
      </w:r>
      <w:r>
        <w:rPr>
          <w:rFonts w:hint="eastAsia" w:ascii="Times New Roman" w:hAnsi="Times New Roman"/>
          <w:snapToGrid w:val="0"/>
          <w:kern w:val="0"/>
          <w:szCs w:val="24"/>
          <w:highlight w:val="none"/>
        </w:rPr>
        <w:t>等）</w:t>
      </w:r>
    </w:p>
    <w:p w14:paraId="2CB2D4FA">
      <w:pPr>
        <w:pStyle w:val="9"/>
        <w:rPr>
          <w:rFonts w:hint="eastAsia"/>
          <w:highlight w:val="none"/>
        </w:rPr>
        <w:sectPr>
          <w:pgSz w:w="11906" w:h="16838"/>
          <w:pgMar w:top="1440" w:right="1800" w:bottom="1440" w:left="1800" w:header="851" w:footer="992" w:gutter="0"/>
          <w:cols w:space="720" w:num="1"/>
          <w:docGrid w:type="lines" w:linePitch="312" w:charSpace="0"/>
        </w:sectPr>
      </w:pPr>
    </w:p>
    <w:p w14:paraId="3B5B23F2">
      <w:pPr>
        <w:pStyle w:val="28"/>
        <w:outlineLvl w:val="1"/>
        <w:rPr>
          <w:rFonts w:hint="eastAsia" w:ascii="Times New Roman" w:hAnsi="Times New Roman" w:eastAsia="宋体"/>
          <w:highlight w:val="none"/>
        </w:rPr>
      </w:pPr>
      <w:r>
        <w:rPr>
          <w:rFonts w:hint="eastAsia" w:ascii="Times New Roman" w:hAnsi="Times New Roman" w:eastAsia="宋体"/>
          <w:highlight w:val="none"/>
          <w:lang w:val="en-US" w:eastAsia="zh-CN"/>
        </w:rPr>
        <w:t>（</w:t>
      </w:r>
      <w:r>
        <w:rPr>
          <w:rFonts w:hint="eastAsia" w:ascii="Times New Roman" w:hAnsi="Times New Roman"/>
          <w:highlight w:val="none"/>
          <w:lang w:val="en-US" w:eastAsia="zh-CN"/>
        </w:rPr>
        <w:t>五</w:t>
      </w:r>
      <w:r>
        <w:rPr>
          <w:rFonts w:hint="eastAsia" w:ascii="Times New Roman" w:hAnsi="Times New Roman" w:eastAsia="宋体"/>
          <w:highlight w:val="none"/>
          <w:lang w:val="en-US" w:eastAsia="zh-CN"/>
        </w:rPr>
        <w:t>）</w:t>
      </w:r>
      <w:r>
        <w:rPr>
          <w:rFonts w:hint="eastAsia" w:ascii="Times New Roman" w:hAnsi="Times New Roman" w:eastAsia="宋体"/>
          <w:highlight w:val="none"/>
        </w:rPr>
        <w:t>参选保证金</w:t>
      </w:r>
    </w:p>
    <w:p w14:paraId="13E239E1">
      <w:pPr>
        <w:outlineLvl w:val="9"/>
        <w:rPr>
          <w:rFonts w:hint="eastAsia" w:ascii="Times New Roman" w:hAnsi="Times New Roman" w:eastAsia="宋体"/>
          <w:highlight w:val="none"/>
        </w:rPr>
      </w:pPr>
    </w:p>
    <w:p w14:paraId="5DD46845">
      <w:pPr>
        <w:pStyle w:val="9"/>
        <w:outlineLvl w:val="9"/>
        <w:rPr>
          <w:rFonts w:hint="eastAsia" w:ascii="Times New Roman" w:hAnsi="Times New Roman" w:eastAsia="宋体"/>
          <w:highlight w:val="none"/>
        </w:rPr>
      </w:pPr>
    </w:p>
    <w:p w14:paraId="6765B083">
      <w:pPr>
        <w:outlineLvl w:val="9"/>
        <w:rPr>
          <w:rFonts w:hint="eastAsia" w:ascii="Times New Roman" w:hAnsi="Times New Roman" w:eastAsia="宋体"/>
          <w:highlight w:val="none"/>
        </w:rPr>
      </w:pPr>
    </w:p>
    <w:p w14:paraId="78804AB9">
      <w:pPr>
        <w:pStyle w:val="9"/>
        <w:outlineLvl w:val="9"/>
        <w:rPr>
          <w:rFonts w:hint="eastAsia" w:ascii="Times New Roman" w:hAnsi="Times New Roman" w:eastAsia="宋体"/>
          <w:highlight w:val="none"/>
        </w:rPr>
      </w:pPr>
    </w:p>
    <w:p w14:paraId="479A6A8C">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注：附</w:t>
      </w:r>
      <w:r>
        <w:rPr>
          <w:rFonts w:hint="eastAsia" w:ascii="Times New Roman" w:hAnsi="Times New Roman" w:cs="等线 Light"/>
          <w:snapToGrid w:val="0"/>
          <w:kern w:val="0"/>
          <w:szCs w:val="24"/>
          <w:highlight w:val="none"/>
        </w:rPr>
        <w:t>参选</w:t>
      </w:r>
      <w:r>
        <w:rPr>
          <w:rFonts w:hint="eastAsia" w:ascii="Times New Roman" w:hAnsi="Times New Roman"/>
          <w:snapToGrid w:val="0"/>
          <w:kern w:val="0"/>
          <w:highlight w:val="none"/>
        </w:rPr>
        <w:t>保证金交款凭据复印件</w:t>
      </w:r>
    </w:p>
    <w:p w14:paraId="3A28A856">
      <w:pPr>
        <w:outlineLvl w:val="9"/>
        <w:rPr>
          <w:rFonts w:hint="eastAsia"/>
          <w:highlight w:val="none"/>
        </w:rPr>
        <w:sectPr>
          <w:pgSz w:w="11906" w:h="16838"/>
          <w:pgMar w:top="1440" w:right="1800" w:bottom="1440" w:left="1800" w:header="851" w:footer="992" w:gutter="0"/>
          <w:cols w:space="720" w:num="1"/>
          <w:docGrid w:type="lines" w:linePitch="312" w:charSpace="0"/>
        </w:sectPr>
      </w:pPr>
    </w:p>
    <w:p w14:paraId="6092F7BE">
      <w:pPr>
        <w:pStyle w:val="27"/>
        <w:outlineLvl w:val="0"/>
        <w:rPr>
          <w:rFonts w:hint="eastAsia" w:ascii="Times New Roman" w:hAnsi="Times New Roman" w:eastAsia="宋体" w:cs="Cambria Math"/>
          <w:kern w:val="2"/>
          <w:sz w:val="24"/>
          <w:highlight w:val="none"/>
          <w:lang w:val="en-US" w:eastAsia="zh-CN"/>
        </w:rPr>
      </w:pPr>
      <w:r>
        <w:rPr>
          <w:rFonts w:hint="eastAsia" w:ascii="Times New Roman" w:hAnsi="Times New Roman" w:eastAsia="宋体" w:cs="Cambria Math"/>
          <w:kern w:val="2"/>
          <w:sz w:val="24"/>
          <w:highlight w:val="none"/>
          <w:lang w:eastAsia="zh-CN"/>
        </w:rPr>
        <w:t>六、</w:t>
      </w:r>
      <w:r>
        <w:rPr>
          <w:rFonts w:hint="eastAsia" w:ascii="Times New Roman" w:hAnsi="Times New Roman" w:eastAsia="宋体" w:cs="Cambria Math"/>
          <w:kern w:val="2"/>
          <w:sz w:val="24"/>
          <w:highlight w:val="none"/>
        </w:rPr>
        <w:t>全国金融单位网络安全攻防竞赛服务项目案例</w:t>
      </w:r>
      <w:r>
        <w:rPr>
          <w:rFonts w:hint="eastAsia" w:ascii="Times New Roman" w:hAnsi="Times New Roman" w:cs="Cambria Math"/>
          <w:kern w:val="2"/>
          <w:sz w:val="24"/>
          <w:highlight w:val="none"/>
          <w:lang w:eastAsia="zh-CN"/>
        </w:rPr>
        <w:t>（如有）</w:t>
      </w:r>
    </w:p>
    <w:p w14:paraId="0B0B3788">
      <w:pPr>
        <w:outlineLvl w:val="9"/>
        <w:rPr>
          <w:rFonts w:hint="eastAsia"/>
          <w:highlight w:val="none"/>
          <w:lang w:val="en-US" w:eastAsia="zh-CN"/>
        </w:rPr>
        <w:sectPr>
          <w:pgSz w:w="11906" w:h="16838"/>
          <w:pgMar w:top="1440" w:right="1800" w:bottom="1440" w:left="1800" w:header="851" w:footer="992" w:gutter="0"/>
          <w:cols w:space="720" w:num="1"/>
          <w:docGrid w:type="lines" w:linePitch="312" w:charSpace="0"/>
        </w:sectPr>
      </w:pPr>
      <w:r>
        <w:rPr>
          <w:highlight w:val="none"/>
        </w:rPr>
        <w:t>此处案例为第四章评审办法所用案例</w:t>
      </w:r>
      <w:r>
        <w:rPr>
          <w:rFonts w:hint="eastAsia"/>
          <w:highlight w:val="none"/>
          <w:lang w:eastAsia="zh-CN"/>
        </w:rPr>
        <w:t>，</w:t>
      </w:r>
      <w:r>
        <w:rPr>
          <w:rFonts w:hint="eastAsia"/>
          <w:highlight w:val="none"/>
          <w:lang w:val="en-US" w:eastAsia="zh-CN"/>
        </w:rPr>
        <w:t>参选人可将除资格业绩的其他业绩、案例放于此处</w:t>
      </w:r>
      <w:r>
        <w:rPr>
          <w:rFonts w:hint="eastAsia"/>
          <w:highlight w:val="none"/>
        </w:rPr>
        <w:t>（如有）</w:t>
      </w:r>
      <w:r>
        <w:rPr>
          <w:rFonts w:hint="eastAsia"/>
          <w:highlight w:val="none"/>
          <w:lang w:val="en-US" w:eastAsia="zh-CN"/>
        </w:rPr>
        <w:t>。</w:t>
      </w:r>
    </w:p>
    <w:p w14:paraId="47C4C80E">
      <w:pPr>
        <w:jc w:val="center"/>
        <w:outlineLvl w:val="0"/>
        <w:rPr>
          <w:rFonts w:hint="eastAsia" w:ascii="Times New Roman" w:hAnsi="Times New Roman" w:eastAsia="宋体" w:cs="Cambria Math"/>
          <w:b/>
          <w:kern w:val="2"/>
          <w:sz w:val="24"/>
          <w:highlight w:val="none"/>
        </w:rPr>
      </w:pPr>
      <w:r>
        <w:rPr>
          <w:rFonts w:hint="eastAsia" w:ascii="Times New Roman" w:hAnsi="Times New Roman" w:eastAsia="宋体" w:cs="Cambria Math"/>
          <w:b/>
          <w:kern w:val="2"/>
          <w:sz w:val="24"/>
          <w:highlight w:val="none"/>
          <w:lang w:val="en-US" w:eastAsia="zh-CN"/>
        </w:rPr>
        <w:t>七、</w:t>
      </w:r>
      <w:r>
        <w:rPr>
          <w:rFonts w:hint="eastAsia" w:ascii="Times New Roman" w:hAnsi="Times New Roman" w:eastAsia="宋体" w:cs="Cambria Math"/>
          <w:b/>
          <w:kern w:val="2"/>
          <w:sz w:val="24"/>
          <w:highlight w:val="none"/>
        </w:rPr>
        <w:t>重庆区域金融单位网络安全攻防竞赛服务项目案例</w:t>
      </w:r>
      <w:r>
        <w:rPr>
          <w:rFonts w:hint="eastAsia" w:ascii="Times New Roman" w:hAnsi="Times New Roman" w:cs="Cambria Math"/>
          <w:b/>
          <w:kern w:val="2"/>
          <w:sz w:val="24"/>
          <w:highlight w:val="none"/>
          <w:lang w:eastAsia="zh-CN"/>
        </w:rPr>
        <w:t>（如有）</w:t>
      </w:r>
    </w:p>
    <w:p w14:paraId="6795B9FF">
      <w:pPr>
        <w:jc w:val="center"/>
        <w:outlineLvl w:val="9"/>
        <w:rPr>
          <w:rFonts w:hint="eastAsia" w:ascii="Times New Roman" w:hAnsi="Times New Roman" w:eastAsia="宋体" w:cs="Cambria Math"/>
          <w:b/>
          <w:kern w:val="2"/>
          <w:sz w:val="24"/>
          <w:highlight w:val="none"/>
        </w:rPr>
      </w:pPr>
    </w:p>
    <w:p w14:paraId="04F72CAA">
      <w:pPr>
        <w:jc w:val="center"/>
        <w:outlineLvl w:val="9"/>
        <w:rPr>
          <w:rFonts w:hint="eastAsia" w:ascii="Times New Roman" w:hAnsi="Times New Roman" w:eastAsia="宋体" w:cs="Cambria Math"/>
          <w:b/>
          <w:kern w:val="2"/>
          <w:sz w:val="24"/>
          <w:highlight w:val="none"/>
        </w:rPr>
        <w:sectPr>
          <w:pgSz w:w="11906" w:h="16838"/>
          <w:pgMar w:top="1440" w:right="1800" w:bottom="1440" w:left="1800" w:header="851" w:footer="992" w:gutter="0"/>
          <w:cols w:space="720" w:num="1"/>
          <w:docGrid w:type="lines" w:linePitch="312" w:charSpace="0"/>
        </w:sectPr>
      </w:pPr>
      <w:r>
        <w:rPr>
          <w:highlight w:val="none"/>
        </w:rPr>
        <w:t>此处案例为第四章评审办法所用案例</w:t>
      </w:r>
      <w:r>
        <w:rPr>
          <w:rFonts w:hint="eastAsia"/>
          <w:highlight w:val="none"/>
          <w:lang w:eastAsia="zh-CN"/>
        </w:rPr>
        <w:t>，</w:t>
      </w:r>
      <w:r>
        <w:rPr>
          <w:rFonts w:hint="eastAsia"/>
          <w:highlight w:val="none"/>
          <w:lang w:val="en-US" w:eastAsia="zh-CN"/>
        </w:rPr>
        <w:t>参选人可将除资格业绩的其他业绩、案例放于此处</w:t>
      </w:r>
      <w:r>
        <w:rPr>
          <w:rFonts w:hint="eastAsia"/>
          <w:highlight w:val="none"/>
        </w:rPr>
        <w:t>（如有）</w:t>
      </w:r>
      <w:r>
        <w:rPr>
          <w:rFonts w:hint="eastAsia"/>
          <w:highlight w:val="none"/>
          <w:lang w:val="en-US" w:eastAsia="zh-CN"/>
        </w:rPr>
        <w:t>。</w:t>
      </w:r>
    </w:p>
    <w:p w14:paraId="24C97276">
      <w:pPr>
        <w:jc w:val="center"/>
        <w:outlineLvl w:val="0"/>
        <w:rPr>
          <w:rFonts w:hint="eastAsia" w:ascii="Times New Roman" w:hAnsi="Times New Roman" w:eastAsia="宋体"/>
          <w:b/>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b/>
          <w:highlight w:val="none"/>
          <w:lang w:val="en-US" w:eastAsia="zh-CN"/>
        </w:rPr>
        <w:t>八、服务能力相关证书</w:t>
      </w:r>
      <w:r>
        <w:rPr>
          <w:rFonts w:hint="eastAsia" w:ascii="Times New Roman" w:hAnsi="Times New Roman" w:cs="Cambria Math"/>
          <w:b/>
          <w:kern w:val="2"/>
          <w:sz w:val="24"/>
          <w:highlight w:val="none"/>
          <w:lang w:eastAsia="zh-CN"/>
        </w:rPr>
        <w:t>（如有）</w:t>
      </w:r>
    </w:p>
    <w:p w14:paraId="05CAC414">
      <w:pPr>
        <w:jc w:val="center"/>
        <w:outlineLvl w:val="0"/>
        <w:rPr>
          <w:rFonts w:hint="eastAsia" w:ascii="Times New Roman" w:hAnsi="Times New Roman" w:eastAsia="宋体"/>
          <w:b/>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b/>
          <w:highlight w:val="none"/>
          <w:lang w:val="en-US" w:eastAsia="zh-CN"/>
        </w:rPr>
        <w:t>九、竞赛平台功能截图</w:t>
      </w:r>
      <w:r>
        <w:rPr>
          <w:rFonts w:hint="eastAsia" w:ascii="Times New Roman" w:hAnsi="Times New Roman" w:cs="Cambria Math"/>
          <w:b/>
          <w:kern w:val="2"/>
          <w:sz w:val="24"/>
          <w:highlight w:val="none"/>
          <w:lang w:eastAsia="zh-CN"/>
        </w:rPr>
        <w:t>（如有）</w:t>
      </w:r>
    </w:p>
    <w:p w14:paraId="37C4E66B">
      <w:pPr>
        <w:jc w:val="center"/>
        <w:outlineLvl w:val="0"/>
        <w:rPr>
          <w:rFonts w:hint="eastAsia" w:ascii="Times New Roman" w:hAnsi="Times New Roman" w:eastAsia="宋体"/>
          <w:b/>
          <w:highlight w:val="none"/>
        </w:rPr>
      </w:pPr>
      <w:r>
        <w:rPr>
          <w:rFonts w:hint="eastAsia" w:ascii="Times New Roman" w:hAnsi="Times New Roman" w:eastAsia="宋体"/>
          <w:b/>
          <w:highlight w:val="none"/>
          <w:lang w:val="en-US" w:eastAsia="zh-CN"/>
        </w:rPr>
        <w:t>十</w:t>
      </w:r>
      <w:r>
        <w:rPr>
          <w:rFonts w:hint="eastAsia" w:ascii="Times New Roman" w:hAnsi="Times New Roman" w:eastAsia="宋体"/>
          <w:b/>
          <w:highlight w:val="none"/>
        </w:rPr>
        <w:t>、服务水平协议（SLA）</w:t>
      </w:r>
    </w:p>
    <w:p w14:paraId="1A3CE801">
      <w:pPr>
        <w:jc w:val="center"/>
        <w:outlineLvl w:val="9"/>
        <w:rPr>
          <w:rFonts w:hint="eastAsia" w:ascii="Times New Roman" w:hAnsi="Times New Roman" w:eastAsia="宋体"/>
          <w:b/>
          <w:highlight w:val="none"/>
        </w:rPr>
      </w:pPr>
    </w:p>
    <w:tbl>
      <w:tblPr>
        <w:tblStyle w:val="20"/>
        <w:tblW w:w="78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1071"/>
        <w:gridCol w:w="1129"/>
        <w:gridCol w:w="1257"/>
        <w:gridCol w:w="1264"/>
        <w:gridCol w:w="1093"/>
        <w:gridCol w:w="1213"/>
      </w:tblGrid>
      <w:tr w14:paraId="7C64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0A91">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b/>
                <w:bCs/>
                <w:i w:val="0"/>
                <w:iCs w:val="0"/>
                <w:color w:val="000000"/>
                <w:sz w:val="20"/>
                <w:szCs w:val="20"/>
                <w:highlight w:val="none"/>
                <w:u w:val="none"/>
              </w:rPr>
            </w:pPr>
            <w:r>
              <w:rPr>
                <w:rFonts w:hint="eastAsia" w:ascii="宋体" w:eastAsia="宋体" w:cs="宋体"/>
                <w:b/>
                <w:bCs/>
                <w:i w:val="0"/>
                <w:iCs w:val="0"/>
                <w:color w:val="000000"/>
                <w:kern w:val="0"/>
                <w:sz w:val="20"/>
                <w:szCs w:val="20"/>
                <w:highlight w:val="none"/>
                <w:u w:val="none"/>
                <w:lang w:val="en-US" w:eastAsia="zh-CN"/>
              </w:rPr>
              <w:t>序号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04EE">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b/>
                <w:bCs/>
                <w:i w:val="0"/>
                <w:iCs w:val="0"/>
                <w:color w:val="000000"/>
                <w:sz w:val="20"/>
                <w:szCs w:val="20"/>
                <w:highlight w:val="none"/>
                <w:u w:val="none"/>
              </w:rPr>
            </w:pPr>
            <w:r>
              <w:rPr>
                <w:rFonts w:hint="eastAsia" w:ascii="宋体" w:eastAsia="宋体" w:cs="宋体"/>
                <w:b/>
                <w:bCs/>
                <w:i w:val="0"/>
                <w:iCs w:val="0"/>
                <w:color w:val="000000"/>
                <w:kern w:val="0"/>
                <w:sz w:val="20"/>
                <w:szCs w:val="20"/>
                <w:highlight w:val="none"/>
                <w:u w:val="none"/>
                <w:lang w:val="en-US" w:eastAsia="zh-CN"/>
              </w:rPr>
              <w:t>服务内容</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F998">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b/>
                <w:bCs/>
                <w:i w:val="0"/>
                <w:iCs w:val="0"/>
                <w:color w:val="000000"/>
                <w:sz w:val="20"/>
                <w:szCs w:val="20"/>
                <w:highlight w:val="none"/>
                <w:u w:val="none"/>
              </w:rPr>
            </w:pPr>
            <w:r>
              <w:rPr>
                <w:rFonts w:hint="eastAsia" w:ascii="宋体" w:eastAsia="宋体" w:cs="宋体"/>
                <w:b/>
                <w:bCs/>
                <w:i w:val="0"/>
                <w:iCs w:val="0"/>
                <w:color w:val="000000"/>
                <w:kern w:val="0"/>
                <w:sz w:val="20"/>
                <w:szCs w:val="20"/>
                <w:highlight w:val="none"/>
                <w:u w:val="none"/>
                <w:lang w:val="en-US" w:eastAsia="zh-CN"/>
              </w:rPr>
              <w:t>服务定义</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3114">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b/>
                <w:bCs/>
                <w:i w:val="0"/>
                <w:iCs w:val="0"/>
                <w:color w:val="000000"/>
                <w:sz w:val="20"/>
                <w:szCs w:val="20"/>
                <w:highlight w:val="none"/>
                <w:u w:val="none"/>
              </w:rPr>
            </w:pPr>
            <w:r>
              <w:rPr>
                <w:rFonts w:hint="eastAsia" w:ascii="宋体" w:eastAsia="宋体" w:cs="宋体"/>
                <w:b/>
                <w:bCs/>
                <w:i w:val="0"/>
                <w:iCs w:val="0"/>
                <w:color w:val="000000"/>
                <w:kern w:val="0"/>
                <w:sz w:val="20"/>
                <w:szCs w:val="20"/>
                <w:highlight w:val="none"/>
                <w:u w:val="none"/>
                <w:lang w:val="en-US" w:eastAsia="zh-CN"/>
              </w:rPr>
              <w:t>服务标准</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C9E0">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b/>
                <w:bCs/>
                <w:i w:val="0"/>
                <w:iCs w:val="0"/>
                <w:color w:val="000000"/>
                <w:sz w:val="20"/>
                <w:szCs w:val="20"/>
                <w:highlight w:val="none"/>
                <w:u w:val="none"/>
              </w:rPr>
            </w:pPr>
            <w:r>
              <w:rPr>
                <w:rFonts w:hint="eastAsia" w:ascii="宋体" w:eastAsia="宋体" w:cs="宋体"/>
                <w:b/>
                <w:bCs/>
                <w:i w:val="0"/>
                <w:iCs w:val="0"/>
                <w:color w:val="000000"/>
                <w:kern w:val="0"/>
                <w:sz w:val="20"/>
                <w:szCs w:val="20"/>
                <w:highlight w:val="none"/>
                <w:u w:val="none"/>
                <w:lang w:val="en-US" w:eastAsia="zh-CN"/>
              </w:rPr>
              <w:t>指标计算</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7B23">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b/>
                <w:bCs/>
                <w:i w:val="0"/>
                <w:iCs w:val="0"/>
                <w:color w:val="000000"/>
                <w:sz w:val="20"/>
                <w:szCs w:val="20"/>
                <w:highlight w:val="none"/>
                <w:u w:val="none"/>
              </w:rPr>
            </w:pPr>
            <w:r>
              <w:rPr>
                <w:rFonts w:hint="eastAsia" w:ascii="宋体" w:eastAsia="宋体" w:cs="宋体"/>
                <w:b/>
                <w:bCs/>
                <w:i w:val="0"/>
                <w:iCs w:val="0"/>
                <w:color w:val="000000"/>
                <w:kern w:val="0"/>
                <w:sz w:val="20"/>
                <w:szCs w:val="20"/>
                <w:highlight w:val="none"/>
                <w:u w:val="none"/>
                <w:lang w:val="en-US" w:eastAsia="zh-CN"/>
              </w:rPr>
              <w:t>服务水平要求</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27FA">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b/>
                <w:bCs/>
                <w:i w:val="0"/>
                <w:iCs w:val="0"/>
                <w:color w:val="000000"/>
                <w:sz w:val="20"/>
                <w:szCs w:val="20"/>
                <w:highlight w:val="none"/>
                <w:u w:val="none"/>
              </w:rPr>
            </w:pPr>
            <w:r>
              <w:rPr>
                <w:rFonts w:hint="eastAsia" w:ascii="宋体" w:eastAsia="宋体" w:cs="宋体"/>
                <w:b/>
                <w:bCs/>
                <w:i w:val="0"/>
                <w:iCs w:val="0"/>
                <w:color w:val="000000"/>
                <w:kern w:val="0"/>
                <w:sz w:val="20"/>
                <w:szCs w:val="20"/>
                <w:highlight w:val="none"/>
                <w:u w:val="none"/>
                <w:lang w:val="en-US" w:eastAsia="zh-CN"/>
              </w:rPr>
              <w:t>违约金标准</w:t>
            </w:r>
          </w:p>
        </w:tc>
      </w:tr>
      <w:tr w14:paraId="7F3D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EA40">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8A1C">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任务响应</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83B5">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衡量乙方在需求与问题响应方面的能力</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A456">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乙方在收到甲方任务后2个工作日内，向甲方反馈确认任务的实施方案、计划和工作量等</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73F1">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甲方应当明确任务提出时间，乙方应当向甲方发出一个确认任务响应信息</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0694">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乙方不得违反承诺响应时间</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1E3E">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如违反承诺的响应时间要求，每次扣除1000元违约金</w:t>
            </w:r>
          </w:p>
        </w:tc>
      </w:tr>
      <w:tr w14:paraId="4393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A3B4">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00C1">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任务完成情况</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74CA">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衡量乙方按计划完成任务的能力</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F0F0">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乙方应当在双方确认的时间内完成任务</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DBD9">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任务完成及时率＝（规定时间内完成任务的次数/总任务数）×100%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E7D0">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任务完成及时率≥90%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433D">
            <w:pPr>
              <w:keepNext w:val="0"/>
              <w:keepLines w:val="0"/>
              <w:pageBreakBefore w:val="0"/>
              <w:widowControl/>
              <w:kinsoku/>
              <w:wordWrap/>
              <w:overflowPunct/>
              <w:topLinePunct w:val="0"/>
              <w:autoSpaceDE w:val="0"/>
              <w:autoSpaceDN w:val="0"/>
              <w:bidi w:val="0"/>
              <w:adjustRightInd/>
              <w:snapToGrid/>
              <w:spacing w:line="360" w:lineRule="exact"/>
              <w:jc w:val="left"/>
              <w:rPr>
                <w:rFonts w:hint="eastAsia" w:ascii="宋体" w:eastAsia="宋体" w:cs="宋体"/>
                <w:i w:val="0"/>
                <w:iCs w:val="0"/>
                <w:color w:val="000000"/>
                <w:sz w:val="20"/>
                <w:szCs w:val="20"/>
                <w:highlight w:val="none"/>
                <w:u w:val="none"/>
              </w:rPr>
            </w:pPr>
          </w:p>
        </w:tc>
      </w:tr>
      <w:tr w14:paraId="3F8E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1"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6F20">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B3BA">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项目延期</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EBD2">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衡量乙方对项目整体实施进度的控制能力</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B6F7">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乙方原因导致的项目进度偏差</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E8D9">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按项目计划为基准计算进度偏差天数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E57E">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进度偏差率=进度偏差天数/项目计划中进度天数（进度偏差率≤20%）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C711">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20%＜进度偏差率≤30%，每偏差一天按合同金额的0.1%罚款，进度偏差率＞30%并且延期3个月以上，罚款合同金额的10%</w:t>
            </w:r>
          </w:p>
        </w:tc>
      </w:tr>
      <w:tr w14:paraId="36BF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7D8F">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AE6F">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交付文档数量及质量</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D71F">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衡量甲方内部人员对乙方所提供文档的满意情况</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6B98">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交付文档数量及质量满足甲方要求</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C822">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甲方根据乙方实际交付的文档数量及文档质量计算</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9D39">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文档实际交付数量不少于甲方要求数量（文档实际交付数量是指文档交付甲方后甲方确认文档质量并实际接收的文档数量）</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08F8">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文档每缺少一个扣除合同金额2000元；每有一个文档质量不合格扣除合同金额2000元</w:t>
            </w:r>
          </w:p>
        </w:tc>
      </w:tr>
      <w:tr w14:paraId="6F5D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5B1">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56A3">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人力资源投入及人员稳定性</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6B1F">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衡量乙方人员服务的符合度及人员稳定性</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6717">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投入人员情况符合</w:t>
            </w:r>
            <w:r>
              <w:rPr>
                <w:rFonts w:ascii="宋体" w:eastAsia="宋体" w:cs="宋体"/>
                <w:i w:val="0"/>
                <w:iCs w:val="0"/>
                <w:color w:val="000000"/>
                <w:kern w:val="0"/>
                <w:sz w:val="20"/>
                <w:szCs w:val="20"/>
                <w:highlight w:val="none"/>
                <w:u w:val="none"/>
                <w:lang w:val="en-US" w:eastAsia="zh-CN"/>
              </w:rPr>
              <w:t>参选</w:t>
            </w:r>
            <w:r>
              <w:rPr>
                <w:rFonts w:hint="eastAsia" w:ascii="宋体" w:eastAsia="宋体" w:cs="宋体"/>
                <w:i w:val="0"/>
                <w:iCs w:val="0"/>
                <w:color w:val="000000"/>
                <w:kern w:val="0"/>
                <w:sz w:val="20"/>
                <w:szCs w:val="20"/>
                <w:highlight w:val="none"/>
                <w:u w:val="none"/>
                <w:lang w:val="en-US" w:eastAsia="zh-CN"/>
              </w:rPr>
              <w:t>文件或合同要求</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0A0">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甲方按合同要求判定乙方人员投入及变动情况</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35F6">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项目经理不得变动</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F06A">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项目经理变动扣除5万元</w:t>
            </w:r>
          </w:p>
        </w:tc>
      </w:tr>
      <w:tr w14:paraId="2B6B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5EB">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C2D7">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人员异常退出</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0AED">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衡量乙方人员是否提供持续服务</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1809">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未经甲方同意，乙方人员辞职和离职或无计划的调离项目组</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241D">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甲方根据乙方人员退出的具体时间和原因测算</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4C6B">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人员异常退出次数=0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FC2A">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每次人员异常退出扣除乙方金额人民币1000元</w:t>
            </w:r>
          </w:p>
        </w:tc>
      </w:tr>
      <w:tr w14:paraId="7282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1AF7">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7</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25F2">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网络安全事件</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C9E2">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控制网络安全风险</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52DD">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不得因乙方原因（含乙方合作的第三方）导致在活动中发生网络安全事件</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B4AB">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甲方根据监管及本行要求及事件危害程度判定。</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678E">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网络安全事件=0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9B8">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每发生一次网络安全事件扣除乙方合同金额不低于3%,并要求乙方赔偿实际损失。</w:t>
            </w:r>
          </w:p>
        </w:tc>
      </w:tr>
      <w:tr w14:paraId="2CA1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DE65">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both"/>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7713">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整体服务质量</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025D">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衡量乙方整体服务能力和服务质量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1A82">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乙方不得出现因其组织不力、技术方法不当或竞赛敏感信息泄露影响正常竞赛秩序等问题导致甲方被监管机构通报、批评或提醒谈话的次数。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38F9">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甲方根据整理服务质量进行判定</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26B6">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通报、批评或提醒谈话次数</w:t>
            </w:r>
            <w:r>
              <w:rPr>
                <w:rFonts w:ascii="Times New Roman" w:hAnsi="Times New Roman" w:eastAsia="宋体" w:cs="Times New Roman"/>
                <w:i w:val="0"/>
                <w:iCs w:val="0"/>
                <w:color w:val="000000"/>
                <w:kern w:val="0"/>
                <w:sz w:val="20"/>
                <w:szCs w:val="20"/>
                <w:highlight w:val="none"/>
                <w:u w:val="none"/>
                <w:lang w:val="en-US" w:eastAsia="zh-CN"/>
              </w:rPr>
              <w:t>=0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CEEE">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发生一起，甲方有权终止合同，扣除合同金额</w:t>
            </w:r>
            <w:r>
              <w:rPr>
                <w:rFonts w:ascii="Times New Roman" w:hAnsi="Times New Roman" w:eastAsia="宋体" w:cs="Times New Roman"/>
                <w:i w:val="0"/>
                <w:iCs w:val="0"/>
                <w:color w:val="000000"/>
                <w:kern w:val="0"/>
                <w:sz w:val="20"/>
                <w:szCs w:val="20"/>
                <w:highlight w:val="none"/>
                <w:u w:val="none"/>
                <w:lang w:val="en-US" w:eastAsia="zh-CN"/>
              </w:rPr>
              <w:t>100%</w:t>
            </w:r>
            <w:r>
              <w:rPr>
                <w:rFonts w:hint="eastAsia" w:ascii="宋体" w:eastAsia="宋体" w:cs="宋体"/>
                <w:i w:val="0"/>
                <w:iCs w:val="0"/>
                <w:color w:val="000000"/>
                <w:kern w:val="0"/>
                <w:sz w:val="20"/>
                <w:szCs w:val="20"/>
                <w:highlight w:val="none"/>
                <w:u w:val="none"/>
                <w:lang w:val="en-US" w:eastAsia="zh-CN"/>
              </w:rPr>
              <w:t>，并要求乙方赔偿相关损失。</w:t>
            </w:r>
          </w:p>
        </w:tc>
      </w:tr>
      <w:tr w14:paraId="4A6D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D8DA">
            <w:pPr>
              <w:keepNext w:val="0"/>
              <w:keepLines w:val="0"/>
              <w:pageBreakBefore w:val="0"/>
              <w:widowControl/>
              <w:suppressLineNumbers w:val="0"/>
              <w:kinsoku/>
              <w:wordWrap/>
              <w:overflowPunct/>
              <w:topLinePunct w:val="0"/>
              <w:autoSpaceDE w:val="0"/>
              <w:autoSpaceDN w:val="0"/>
              <w:bidi w:val="0"/>
              <w:adjustRightInd/>
              <w:snapToGrid/>
              <w:spacing w:line="360" w:lineRule="exact"/>
              <w:ind w:firstLine="400" w:firstLineChars="200"/>
              <w:jc w:val="center"/>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合计</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32A2">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SLA满足率</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DDEC">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此数据是衡量满足要求的SLA个数与整体SLA个数的百分之整体的比率</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2C06">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衡量乙方达到要求的SLA占全部SLA的百分比。</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28F9">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为了这个度量报告，需要持续汇报SOW中所有SLA情况。</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1F70">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SLA满足率＝（满足SLA的个数/总体SLA的个数）×100%（SLA满足率≥70%）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DE5B">
            <w:pPr>
              <w:keepNext w:val="0"/>
              <w:keepLines w:val="0"/>
              <w:pageBreakBefore w:val="0"/>
              <w:widowControl/>
              <w:suppressLineNumbers w:val="0"/>
              <w:kinsoku/>
              <w:wordWrap/>
              <w:overflowPunct/>
              <w:topLinePunct w:val="0"/>
              <w:autoSpaceDE w:val="0"/>
              <w:autoSpaceDN w:val="0"/>
              <w:bidi w:val="0"/>
              <w:adjustRightInd/>
              <w:snapToGrid/>
              <w:spacing w:line="360" w:lineRule="exact"/>
              <w:ind w:left="0" w:firstLine="0" w:firstLineChars="0"/>
              <w:jc w:val="left"/>
              <w:textAlignment w:val="center"/>
              <w:rPr>
                <w:rFonts w:hint="eastAsia" w:ascii="宋体" w:eastAsia="宋体" w:cs="宋体"/>
                <w:i w:val="0"/>
                <w:iCs w:val="0"/>
                <w:color w:val="000000"/>
                <w:sz w:val="20"/>
                <w:szCs w:val="20"/>
                <w:highlight w:val="none"/>
                <w:u w:val="none"/>
              </w:rPr>
            </w:pPr>
            <w:r>
              <w:rPr>
                <w:rFonts w:hint="eastAsia" w:ascii="宋体" w:eastAsia="宋体" w:cs="宋体"/>
                <w:i w:val="0"/>
                <w:iCs w:val="0"/>
                <w:color w:val="000000"/>
                <w:kern w:val="0"/>
                <w:sz w:val="20"/>
                <w:szCs w:val="20"/>
                <w:highlight w:val="none"/>
                <w:u w:val="none"/>
                <w:lang w:val="en-US" w:eastAsia="zh-CN"/>
              </w:rPr>
              <w:t>SLA满足率每低于标准5%，扣除合同金额的1%</w:t>
            </w:r>
          </w:p>
        </w:tc>
      </w:tr>
    </w:tbl>
    <w:p w14:paraId="54FC3CF0">
      <w:pPr>
        <w:jc w:val="center"/>
        <w:outlineLvl w:val="9"/>
        <w:rPr>
          <w:rFonts w:hint="eastAsia" w:ascii="Times New Roman" w:hAnsi="Times New Roman" w:eastAsia="宋体"/>
          <w:b/>
          <w:highlight w:val="none"/>
        </w:rPr>
        <w:sectPr>
          <w:pgSz w:w="11906" w:h="16838"/>
          <w:pgMar w:top="1440" w:right="1800" w:bottom="1440" w:left="1800" w:header="851" w:footer="992" w:gutter="0"/>
          <w:cols w:space="720" w:num="1"/>
          <w:docGrid w:type="lines" w:linePitch="312" w:charSpace="0"/>
        </w:sectPr>
      </w:pPr>
    </w:p>
    <w:p w14:paraId="64983940">
      <w:pPr>
        <w:jc w:val="center"/>
        <w:outlineLvl w:val="0"/>
        <w:rPr>
          <w:rFonts w:hint="eastAsia" w:ascii="Times New Roman" w:hAnsi="Times New Roman" w:eastAsia="宋体"/>
          <w:b/>
          <w:highlight w:val="none"/>
        </w:rPr>
      </w:pPr>
      <w:r>
        <w:rPr>
          <w:rFonts w:hint="eastAsia" w:ascii="Times New Roman" w:hAnsi="Times New Roman" w:eastAsia="宋体"/>
          <w:b/>
          <w:highlight w:val="none"/>
        </w:rPr>
        <w:t>十</w:t>
      </w:r>
      <w:r>
        <w:rPr>
          <w:rFonts w:hint="eastAsia" w:ascii="Times New Roman" w:hAnsi="Times New Roman" w:eastAsia="宋体"/>
          <w:b/>
          <w:highlight w:val="none"/>
          <w:lang w:eastAsia="zh-CN"/>
        </w:rPr>
        <w:t>一</w:t>
      </w:r>
      <w:r>
        <w:rPr>
          <w:rFonts w:hint="eastAsia" w:ascii="Times New Roman" w:hAnsi="Times New Roman" w:eastAsia="宋体"/>
          <w:b/>
          <w:highlight w:val="none"/>
        </w:rPr>
        <w:t>、其他（如有）</w:t>
      </w:r>
    </w:p>
    <w:bookmarkEnd w:id="297"/>
    <w:p w14:paraId="446FEBC6">
      <w:pPr>
        <w:spacing w:line="360" w:lineRule="auto"/>
        <w:rPr>
          <w:rFonts w:ascii="Times New Roman" w:hAnsi="Times New Roman" w:cs="等线 Light"/>
          <w:highlight w:val="none"/>
        </w:rPr>
      </w:pPr>
    </w:p>
    <w:p w14:paraId="03FC6E72">
      <w:pPr>
        <w:rPr>
          <w:rFonts w:ascii="Times New Roman" w:hAnsi="Times New Roman"/>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彩虹黑体">
    <w:altName w:val="黑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898AA">
    <w:pPr>
      <w:pStyle w:val="13"/>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9210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291922" cy="380999"/>
                      </a:xfrm>
                      <a:prstGeom prst="rect">
                        <a:avLst/>
                      </a:prstGeom>
                      <a:noFill/>
                      <a:ln w="6350" cap="flat" cmpd="sng">
                        <a:noFill/>
                        <a:prstDash val="solid"/>
                        <a:round/>
                      </a:ln>
                    </wps:spPr>
                    <wps:txbx>
                      <w:txbxContent>
                        <w:p w14:paraId="05EEF310">
                          <w:pPr>
                            <w:pStyle w:val="13"/>
                            <w:rPr>
                              <w:rFonts w:hint="eastAsia"/>
                            </w:rPr>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3pt;mso-position-horizontal:center;mso-position-horizontal-relative:margin;mso-wrap-style:none;z-index:251659264;mso-width-relative:page;mso-height-relative:page;" filled="f" stroked="f" coordsize="21600,21600" o:gfxdata="UEsDBAoAAAAAAIdO4kAAAAAAAAAAAAAAAAAEAAAAZHJzL1BLAwQUAAAACACHTuJAtJeYrdUAAAAD&#10;AQAADwAAAGRycy9kb3ducmV2LnhtbE2PQUvDQBCF74L/YRnBS7G7LRIkzaaHigqiB2MRvG2z02xo&#10;djZmt0n11zt60cuDxxve+6ZYn3wnRhxiG0jDYq5AINXBttRo2L7eXd2AiMmQNV0g1PCJEdbl+Vlh&#10;chsmesGxSo3gEoq50eBS6nMpY+3QmzgPPRJn+zB4k9gOjbSDmbjcd3KpVCa9aYkXnOlx47A+VEev&#10;4en2/v1t5h7V8vlrtg9TtR0/Hg5aX14s1ApEwlP6O4YffEaHkpl24Ug2ik4DP5J+lbPrjN1OQ6YU&#10;yLKQ/9nLb1BLAwQUAAAACACHTuJAy7lzIwQCAAD0AwAADgAAAGRycy9lMm9Eb2MueG1srVNLbtsw&#10;EN0X6B0I7mvJDhrEguWgqJGiQNEGSHsAmqIsAvxhhrbkHqC9QVfddN9z+RwZUv4E6SaLbqQhOXwz&#10;783j4nawhu0UoPau5tNJyZly0jfabWr+7evdmxvOMArXCOOdqvleIb9dvn616EOlZr7zplHACMRh&#10;1YeadzGGqihQdsoKnPigHB22HqyItIRN0YDoCd2aYlaW10XvoQngpUKk3dV4yI+I8BJA37ZaqpWX&#10;W6tcHFFBGRGJEnY6IF/mbttWyfilbVFFZmpOTGP+UhGK1+lbLBei2oAInZbHFsRLWnjGyQrtqOgZ&#10;aiWiYFvQ/0BZLcGjb+NEeluMRLIixGJaPtPmoRNBZS4kNYaz6Pj/YOXn3T0w3ZATOHPC0sAPv34e&#10;fv89/PnBpkmePmBFWQ/hHo4rpDBxHVqw6U8s2JAl3Z8lVUNkkjZn8+l8NuNM0tHVTTmfzxNmcbkc&#10;AOMH5S1LQc2BJpaFFLtPGMfUU0qq5fydNob2RWUc62t+ffWWZikFObElB1BoA7FBt8kwT/ITzEpg&#10;x3aCzIDe6GYcP/ita8ZSxlFzifHIMUVxWA90mMK1b/akFj0e6rTz8J2znqxTc0cvhTPz0dFkkstO&#10;AZyC9SkQTtLFmlOjY/g+jm7cBtCbjnDL3DeGd9tIXLMEl9rH7sgMWcSjcZPbnq5z1uWx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JeYrdUAAAADAQAADwAAAAAAAAABACAAAAAiAAAAZHJzL2Rv&#10;d25yZXYueG1sUEsBAhQAFAAAAAgAh07iQMu5cyMEAgAA9AMAAA4AAAAAAAAAAQAgAAAAJAEAAGRy&#10;cy9lMm9Eb2MueG1sUEsFBgAAAAAGAAYAWQEAAJoFAAAAAA==&#10;">
              <v:fill on="f" focussize="0,0"/>
              <v:stroke on="f" weight="0.5pt" joinstyle="round"/>
              <v:imagedata o:title=""/>
              <o:lock v:ext="edit" aspectratio="f"/>
              <v:textbox inset="0mm,0mm,0mm,0mm" style="mso-fit-shape-to-text:t;">
                <w:txbxContent>
                  <w:p w14:paraId="05EEF310">
                    <w:pPr>
                      <w:pStyle w:val="13"/>
                      <w:rPr>
                        <w:rFonts w:hint="eastAsia"/>
                      </w:rPr>
                    </w:pPr>
                    <w:r>
                      <w:fldChar w:fldCharType="begin"/>
                    </w:r>
                    <w:r>
                      <w:instrText xml:space="preserve"> PAGE  \* MERGEFORMAT </w:instrText>
                    </w:r>
                    <w:r>
                      <w:fldChar w:fldCharType="separate"/>
                    </w:r>
                    <w:r>
                      <w:t>13</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24B1D4F"/>
    <w:multiLevelType w:val="singleLevel"/>
    <w:tmpl w:val="324B1D4F"/>
    <w:lvl w:ilvl="0" w:tentative="0">
      <w:start w:val="6"/>
      <w:numFmt w:val="chineseCounting"/>
      <w:suff w:val="nothing"/>
      <w:lvlText w:val="（%1）"/>
      <w:lvlJc w:val="left"/>
      <w:pPr>
        <w:ind w:left="0" w:firstLine="0"/>
      </w:pPr>
      <w:rPr>
        <w:rFonts w:hint="eastAsia"/>
      </w:rPr>
    </w:lvl>
  </w:abstractNum>
  <w:abstractNum w:abstractNumId="4">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5">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012F246E"/>
    <w:rsid w:val="03887BE8"/>
    <w:rsid w:val="0639341C"/>
    <w:rsid w:val="14E37374"/>
    <w:rsid w:val="184D2F8F"/>
    <w:rsid w:val="18E45469"/>
    <w:rsid w:val="1A4E34E2"/>
    <w:rsid w:val="1AA2034B"/>
    <w:rsid w:val="1F3F4767"/>
    <w:rsid w:val="22926C95"/>
    <w:rsid w:val="22BE4F7D"/>
    <w:rsid w:val="24923EB8"/>
    <w:rsid w:val="24CC572F"/>
    <w:rsid w:val="24D06542"/>
    <w:rsid w:val="2A3D0E7D"/>
    <w:rsid w:val="2B7E0EB6"/>
    <w:rsid w:val="2FB632F2"/>
    <w:rsid w:val="2FEA8733"/>
    <w:rsid w:val="35FDAAA3"/>
    <w:rsid w:val="37227252"/>
    <w:rsid w:val="37716D5D"/>
    <w:rsid w:val="37FE0FAA"/>
    <w:rsid w:val="3BFD43B1"/>
    <w:rsid w:val="3C830972"/>
    <w:rsid w:val="3DF720C7"/>
    <w:rsid w:val="411918A4"/>
    <w:rsid w:val="421E135E"/>
    <w:rsid w:val="42B555FD"/>
    <w:rsid w:val="47CFD873"/>
    <w:rsid w:val="49025314"/>
    <w:rsid w:val="4995554A"/>
    <w:rsid w:val="514A7858"/>
    <w:rsid w:val="52B92EE7"/>
    <w:rsid w:val="539B1CE1"/>
    <w:rsid w:val="55591EF4"/>
    <w:rsid w:val="55DC0E37"/>
    <w:rsid w:val="56EDCC37"/>
    <w:rsid w:val="58831ECF"/>
    <w:rsid w:val="595D5CFA"/>
    <w:rsid w:val="5C540D14"/>
    <w:rsid w:val="5DFF1A60"/>
    <w:rsid w:val="5EE601F6"/>
    <w:rsid w:val="5FFF2284"/>
    <w:rsid w:val="6322A9C9"/>
    <w:rsid w:val="63E31ABB"/>
    <w:rsid w:val="66D63C10"/>
    <w:rsid w:val="675B3A39"/>
    <w:rsid w:val="677FA298"/>
    <w:rsid w:val="67975B9A"/>
    <w:rsid w:val="68394457"/>
    <w:rsid w:val="698901E2"/>
    <w:rsid w:val="6AEE3E39"/>
    <w:rsid w:val="6BDD1E2C"/>
    <w:rsid w:val="6BF6C78D"/>
    <w:rsid w:val="6F6A67B8"/>
    <w:rsid w:val="6F870CF1"/>
    <w:rsid w:val="72AFA138"/>
    <w:rsid w:val="73B653F9"/>
    <w:rsid w:val="743261FE"/>
    <w:rsid w:val="766B2A10"/>
    <w:rsid w:val="77692DC8"/>
    <w:rsid w:val="77F5546A"/>
    <w:rsid w:val="79E81839"/>
    <w:rsid w:val="7A482325"/>
    <w:rsid w:val="7B758170"/>
    <w:rsid w:val="7BFB06CB"/>
    <w:rsid w:val="7CFF3E59"/>
    <w:rsid w:val="7DCF5B3B"/>
    <w:rsid w:val="7EDC1AF3"/>
    <w:rsid w:val="7EEC838B"/>
    <w:rsid w:val="7EFAE08E"/>
    <w:rsid w:val="7F366DBC"/>
    <w:rsid w:val="7F374CE4"/>
    <w:rsid w:val="7FB71074"/>
    <w:rsid w:val="7FEBFCAF"/>
    <w:rsid w:val="7FF11B6C"/>
    <w:rsid w:val="7FF97DED"/>
    <w:rsid w:val="7FFFEC6B"/>
    <w:rsid w:val="8FCF516D"/>
    <w:rsid w:val="9F6BAD63"/>
    <w:rsid w:val="AFDEAB33"/>
    <w:rsid w:val="BEFFE035"/>
    <w:rsid w:val="C53D6EFE"/>
    <w:rsid w:val="C75FD19D"/>
    <w:rsid w:val="CBC4DD92"/>
    <w:rsid w:val="D2DD7610"/>
    <w:rsid w:val="D7BFE1A6"/>
    <w:rsid w:val="DFF70AB0"/>
    <w:rsid w:val="EB9DD2D1"/>
    <w:rsid w:val="EBEE0430"/>
    <w:rsid w:val="EDD250BB"/>
    <w:rsid w:val="EF77EB87"/>
    <w:rsid w:val="EF7B7D21"/>
    <w:rsid w:val="F3FA731E"/>
    <w:rsid w:val="F3FF6954"/>
    <w:rsid w:val="F5BF84BD"/>
    <w:rsid w:val="F73F8173"/>
    <w:rsid w:val="F7C7F08B"/>
    <w:rsid w:val="F8EDB039"/>
    <w:rsid w:val="F96FE7E7"/>
    <w:rsid w:val="FAD5E402"/>
    <w:rsid w:val="FB7D586D"/>
    <w:rsid w:val="FBEEC637"/>
    <w:rsid w:val="FBFFCEE5"/>
    <w:rsid w:val="FC5D79B3"/>
    <w:rsid w:val="FE2F6536"/>
    <w:rsid w:val="FFBDDE5F"/>
    <w:rsid w:val="FFEB1682"/>
    <w:rsid w:val="FFEBA78C"/>
    <w:rsid w:val="FFEFC9E8"/>
    <w:rsid w:val="FFF6155C"/>
    <w:rsid w:val="FFFD8A0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qFormat/>
    <w:uiPriority w:val="0"/>
    <w:pPr>
      <w:tabs>
        <w:tab w:val="left" w:pos="3360"/>
      </w:tabs>
      <w:snapToGrid w:val="0"/>
      <w:ind w:firstLine="0" w:firstLineChars="0"/>
      <w:jc w:val="center"/>
      <w:outlineLvl w:val="0"/>
    </w:pPr>
    <w:rPr>
      <w:rFonts w:ascii="宋体" w:cs="等线 Light"/>
      <w:b/>
      <w:snapToGrid w:val="0"/>
      <w:kern w:val="0"/>
      <w:sz w:val="44"/>
      <w:szCs w:val="44"/>
    </w:rPr>
  </w:style>
  <w:style w:type="paragraph" w:styleId="3">
    <w:name w:val="heading 2"/>
    <w:basedOn w:val="1"/>
    <w:next w:val="1"/>
    <w:qFormat/>
    <w:uiPriority w:val="0"/>
    <w:pPr>
      <w:ind w:firstLine="0" w:firstLineChars="0"/>
      <w:outlineLvl w:val="1"/>
    </w:pPr>
    <w:rPr>
      <w:rFonts w:ascii="宋体" w:cs="Times New Roman"/>
      <w:b/>
      <w:bCs/>
      <w:snapToGrid w:val="0"/>
      <w:szCs w:val="24"/>
    </w:rPr>
  </w:style>
  <w:style w:type="paragraph" w:styleId="4">
    <w:name w:val="heading 3"/>
    <w:basedOn w:val="1"/>
    <w:next w:val="1"/>
    <w:qFormat/>
    <w:uiPriority w:val="0"/>
    <w:pPr>
      <w:outlineLvl w:val="2"/>
    </w:pPr>
    <w:rPr>
      <w:b/>
      <w:bCs/>
      <w:szCs w:val="32"/>
    </w:rPr>
  </w:style>
  <w:style w:type="paragraph" w:styleId="5">
    <w:name w:val="heading 4"/>
    <w:basedOn w:val="1"/>
    <w:next w:val="1"/>
    <w:link w:val="25"/>
    <w:qFormat/>
    <w:uiPriority w:val="0"/>
    <w:pPr>
      <w:outlineLvl w:val="3"/>
    </w:pPr>
    <w:rPr>
      <w:rFonts w:ascii="Calibri Light" w:hAnsi="Calibri Light" w:cs="Times New Roman"/>
      <w:bCs/>
      <w:szCs w:val="28"/>
    </w:rPr>
  </w:style>
  <w:style w:type="paragraph" w:styleId="6">
    <w:name w:val="heading 5"/>
    <w:basedOn w:val="1"/>
    <w:next w:val="1"/>
    <w:link w:val="26"/>
    <w:qFormat/>
    <w:uiPriority w:val="0"/>
    <w:pPr>
      <w:spacing w:line="360" w:lineRule="auto"/>
      <w:ind w:firstLine="0" w:firstLineChars="0"/>
      <w:jc w:val="center"/>
      <w:outlineLvl w:val="4"/>
    </w:pPr>
    <w:rPr>
      <w:b/>
      <w:sz w:val="28"/>
    </w:rPr>
  </w:style>
  <w:style w:type="paragraph" w:styleId="7">
    <w:name w:val="heading 6"/>
    <w:basedOn w:val="1"/>
    <w:next w:val="1"/>
    <w:qFormat/>
    <w:uiPriority w:val="0"/>
    <w:pPr>
      <w:keepNext/>
      <w:keepLines/>
      <w:widowControl w:val="0"/>
      <w:spacing w:before="240" w:after="64" w:line="317" w:lineRule="auto"/>
      <w:outlineLvl w:val="5"/>
    </w:pPr>
    <w:rPr>
      <w:rFonts w:ascii="Arial" w:hAnsi="Arial" w:eastAsia="黑体"/>
      <w:b/>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next w:val="1"/>
    <w:qFormat/>
    <w:uiPriority w:val="0"/>
    <w:pPr>
      <w:spacing w:before="100" w:beforeAutospacing="1" w:after="120"/>
    </w:pPr>
  </w:style>
  <w:style w:type="paragraph" w:styleId="10">
    <w:name w:val="Body Text Indent"/>
    <w:basedOn w:val="1"/>
    <w:qFormat/>
    <w:uiPriority w:val="0"/>
    <w:pPr>
      <w:widowControl/>
      <w:tabs>
        <w:tab w:val="left" w:pos="630"/>
        <w:tab w:val="right" w:pos="8730"/>
      </w:tabs>
      <w:ind w:right="-178"/>
    </w:pPr>
    <w:rPr>
      <w:rFonts w:ascii="华文楷体" w:eastAsia="华文楷体"/>
      <w:kern w:val="0"/>
      <w:sz w:val="26"/>
      <w:szCs w:val="20"/>
      <w:lang w:val="en-GB" w:eastAsia="en-GB"/>
    </w:rPr>
  </w:style>
  <w:style w:type="paragraph" w:styleId="11">
    <w:name w:val="Body Text Indent 2"/>
    <w:basedOn w:val="1"/>
    <w:qFormat/>
    <w:uiPriority w:val="0"/>
    <w:pPr>
      <w:spacing w:line="480" w:lineRule="exact"/>
    </w:pPr>
    <w:rPr>
      <w:rFonts w:ascii="彩虹黑体" w:eastAsia="彩虹黑体"/>
      <w:sz w:val="24"/>
    </w:rPr>
  </w:style>
  <w:style w:type="paragraph" w:styleId="12">
    <w:name w:val="Balloon Text"/>
    <w:basedOn w:val="1"/>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Subtitle"/>
    <w:basedOn w:val="1"/>
    <w:qFormat/>
    <w:uiPriority w:val="0"/>
    <w:pPr>
      <w:spacing w:before="240" w:after="60" w:line="312" w:lineRule="auto"/>
      <w:jc w:val="center"/>
      <w:outlineLvl w:val="1"/>
    </w:pPr>
    <w:rPr>
      <w:rFonts w:ascii="Arial" w:hAnsi="Arial"/>
      <w:b/>
      <w:kern w:val="28"/>
      <w:sz w:val="32"/>
    </w:rPr>
  </w:style>
  <w:style w:type="paragraph" w:styleId="17">
    <w:name w:val="Title"/>
    <w:basedOn w:val="1"/>
    <w:next w:val="1"/>
    <w:qFormat/>
    <w:uiPriority w:val="0"/>
    <w:pPr>
      <w:spacing w:before="240" w:after="60"/>
      <w:jc w:val="center"/>
      <w:outlineLvl w:val="0"/>
    </w:pPr>
    <w:rPr>
      <w:rFonts w:ascii="Calibri Light" w:hAnsi="Calibri Light" w:cs="Times New Roman"/>
      <w:b/>
      <w:bCs/>
      <w:sz w:val="32"/>
      <w:szCs w:val="32"/>
      <w:lang w:bidi="ar-SA"/>
    </w:rPr>
  </w:style>
  <w:style w:type="paragraph" w:styleId="18">
    <w:name w:val="annotation subject"/>
    <w:basedOn w:val="8"/>
    <w:next w:val="8"/>
    <w:qFormat/>
    <w:uiPriority w:val="0"/>
    <w:rPr>
      <w:b/>
      <w:bCs/>
    </w:rPr>
  </w:style>
  <w:style w:type="paragraph" w:styleId="19">
    <w:name w:val="Body Text First Indent"/>
    <w:basedOn w:val="9"/>
    <w:qFormat/>
    <w:uiPriority w:val="0"/>
    <w:pPr>
      <w:ind w:firstLine="100" w:firstLineChars="100"/>
    </w:pPr>
  </w:style>
  <w:style w:type="character" w:styleId="22">
    <w:name w:val="Strong"/>
    <w:basedOn w:val="21"/>
    <w:qFormat/>
    <w:uiPriority w:val="0"/>
    <w:rPr>
      <w:b/>
      <w:bCs/>
    </w:rPr>
  </w:style>
  <w:style w:type="character" w:styleId="23">
    <w:name w:val="page number"/>
    <w:basedOn w:val="21"/>
    <w:qFormat/>
    <w:uiPriority w:val="0"/>
  </w:style>
  <w:style w:type="character" w:styleId="24">
    <w:name w:val="annotation reference"/>
    <w:basedOn w:val="21"/>
    <w:qFormat/>
    <w:uiPriority w:val="0"/>
    <w:rPr>
      <w:sz w:val="21"/>
      <w:szCs w:val="21"/>
    </w:rPr>
  </w:style>
  <w:style w:type="character" w:customStyle="1" w:styleId="25">
    <w:name w:val="heading 4 Char"/>
    <w:basedOn w:val="21"/>
    <w:link w:val="5"/>
    <w:qFormat/>
    <w:uiPriority w:val="0"/>
    <w:rPr>
      <w:rFonts w:ascii="Calibri Light" w:hAnsi="Calibri Light" w:eastAsia="宋体" w:cs="Times New Roman"/>
      <w:bCs/>
      <w:kern w:val="2"/>
      <w:sz w:val="24"/>
      <w:szCs w:val="28"/>
      <w:lang w:val="en-US" w:eastAsia="zh-CN" w:bidi="ar-SA"/>
    </w:rPr>
  </w:style>
  <w:style w:type="character" w:customStyle="1" w:styleId="26">
    <w:name w:val="heading 5 Char"/>
    <w:basedOn w:val="21"/>
    <w:link w:val="6"/>
    <w:qFormat/>
    <w:uiPriority w:val="0"/>
    <w:rPr>
      <w:rFonts w:ascii="Cambria Math" w:hAnsi="Cambria Math" w:eastAsia="宋体" w:cs="Cambria Math"/>
      <w:b/>
      <w:kern w:val="2"/>
      <w:sz w:val="28"/>
      <w:szCs w:val="20"/>
      <w:lang w:val="en-US" w:eastAsia="zh-CN" w:bidi="ar-SA"/>
    </w:rPr>
  </w:style>
  <w:style w:type="paragraph" w:customStyle="1" w:styleId="27">
    <w:name w:val="参选文件格式1"/>
    <w:basedOn w:val="1"/>
    <w:next w:val="1"/>
    <w:qFormat/>
    <w:uiPriority w:val="0"/>
    <w:pPr>
      <w:spacing w:line="360" w:lineRule="auto"/>
      <w:ind w:firstLine="0" w:firstLineChars="0"/>
      <w:jc w:val="center"/>
      <w:outlineLvl w:val="1"/>
    </w:pPr>
    <w:rPr>
      <w:b/>
      <w:sz w:val="28"/>
    </w:rPr>
  </w:style>
  <w:style w:type="paragraph" w:customStyle="1" w:styleId="28">
    <w:name w:val="参选文件格式2"/>
    <w:basedOn w:val="1"/>
    <w:next w:val="1"/>
    <w:qFormat/>
    <w:uiPriority w:val="0"/>
    <w:pPr>
      <w:ind w:firstLine="0" w:firstLineChars="0"/>
      <w:jc w:val="center"/>
      <w:outlineLvl w:val="2"/>
    </w:pPr>
    <w:rPr>
      <w:bCs/>
      <w:szCs w:val="32"/>
    </w:rPr>
  </w:style>
  <w:style w:type="paragraph" w:customStyle="1" w:styleId="29">
    <w:name w:val="参选文件格式3"/>
    <w:basedOn w:val="1"/>
    <w:link w:val="30"/>
    <w:qFormat/>
    <w:uiPriority w:val="0"/>
    <w:pPr>
      <w:tabs>
        <w:tab w:val="left" w:pos="6300"/>
      </w:tabs>
      <w:snapToGrid w:val="0"/>
      <w:ind w:firstLine="0" w:firstLineChars="0"/>
      <w:jc w:val="center"/>
    </w:pPr>
    <w:rPr>
      <w:rFonts w:ascii="宋体"/>
      <w:b/>
      <w:snapToGrid w:val="0"/>
      <w:kern w:val="0"/>
    </w:rPr>
  </w:style>
  <w:style w:type="character" w:customStyle="1" w:styleId="30">
    <w:name w:val="参选文件格式3 Char"/>
    <w:basedOn w:val="21"/>
    <w:link w:val="29"/>
    <w:qFormat/>
    <w:uiPriority w:val="0"/>
    <w:rPr>
      <w:rFonts w:ascii="宋体" w:eastAsia="宋体" w:cs="Cambria Math"/>
      <w:b/>
      <w:snapToGrid w:val="0"/>
      <w:kern w:val="0"/>
      <w:sz w:val="24"/>
      <w:szCs w:val="20"/>
      <w:lang w:val="en-US" w:eastAsia="zh-CN" w:bidi="ar-SA"/>
    </w:rPr>
  </w:style>
  <w:style w:type="character" w:customStyle="1" w:styleId="31">
    <w:name w:val="font11"/>
    <w:basedOn w:val="21"/>
    <w:qFormat/>
    <w:uiPriority w:val="0"/>
    <w:rPr>
      <w:rFonts w:ascii="宋体" w:eastAsia="宋体" w:cs="宋体"/>
      <w:b/>
      <w:bCs/>
      <w:color w:val="000000"/>
      <w:sz w:val="21"/>
      <w:szCs w:val="21"/>
      <w:u w:val="none"/>
    </w:rPr>
  </w:style>
  <w:style w:type="character" w:customStyle="1" w:styleId="32">
    <w:name w:val="font21"/>
    <w:basedOn w:val="21"/>
    <w:qFormat/>
    <w:uiPriority w:val="0"/>
    <w:rPr>
      <w:rFonts w:ascii="宋体" w:eastAsia="宋体" w:cs="宋体"/>
      <w:color w:val="000000"/>
      <w:sz w:val="21"/>
      <w:szCs w:val="21"/>
      <w:u w:val="none"/>
    </w:rPr>
  </w:style>
  <w:style w:type="character" w:customStyle="1" w:styleId="33">
    <w:name w:val="font31"/>
    <w:basedOn w:val="21"/>
    <w:qFormat/>
    <w:uiPriority w:val="0"/>
    <w:rPr>
      <w:rFonts w:ascii="宋体" w:eastAsia="宋体" w:cs="宋体"/>
      <w:color w:val="FF0000"/>
      <w:sz w:val="21"/>
      <w:szCs w:val="21"/>
      <w:u w:val="none"/>
    </w:rPr>
  </w:style>
  <w:style w:type="paragraph" w:styleId="34">
    <w:name w:val="List Paragraph"/>
    <w:basedOn w:val="1"/>
    <w:qFormat/>
    <w:uiPriority w:val="0"/>
  </w:style>
  <w:style w:type="paragraph" w:customStyle="1" w:styleId="35">
    <w:name w:val="a14"/>
    <w:basedOn w:val="1"/>
    <w:qFormat/>
    <w:uiPriority w:val="0"/>
    <w:pPr>
      <w:widowControl/>
      <w:spacing w:before="50" w:beforeLines="50" w:beforeAutospacing="1" w:after="100" w:afterAutospacing="1" w:line="300" w:lineRule="atLeast"/>
      <w:ind w:firstLine="200" w:firstLineChars="200"/>
      <w:jc w:val="left"/>
    </w:pPr>
    <w:rPr>
      <w:rFonts w:ascii="宋体"/>
      <w:kern w:val="0"/>
      <w:sz w:val="24"/>
      <w:szCs w:val="21"/>
    </w:rPr>
  </w:style>
  <w:style w:type="character" w:customStyle="1" w:styleId="36">
    <w:name w:val="font_text_1"/>
    <w:basedOn w:val="21"/>
    <w:qFormat/>
    <w:uiPriority w:val="0"/>
  </w:style>
  <w:style w:type="character" w:customStyle="1" w:styleId="37">
    <w:name w:val="font41"/>
    <w:basedOn w:val="21"/>
    <w:qFormat/>
    <w:uiPriority w:val="0"/>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22092</Words>
  <Characters>23643</Characters>
  <Lines>2064</Lines>
  <Paragraphs>988</Paragraphs>
  <TotalTime>6</TotalTime>
  <ScaleCrop>false</ScaleCrop>
  <LinksUpToDate>false</LinksUpToDate>
  <CharactersWithSpaces>24617</CharactersWithSpaces>
  <Application>WPS Office_12.1.0.17150_F1E327BC-269C-435d-A152-05C5408002CA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2024-01-18T14:16:00Z</dcterms:created>
  <dc:creator>admin</dc:creator>
  <cp:lastModifiedBy>张婷</cp:lastModifiedBy>
  <cp:lastPrinted>2024-01-21T17:29:00Z</cp:lastPrinted>
  <dcterms:modified xsi:type="dcterms:W3CDTF">2024-08-08T02:29:54Z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56C8BE36A9024FC5A7BAE660A7CC0E0A_13</vt:lpwstr>
  </property>
</Properties>
</file>